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671" w:rsidRPr="00FB7985" w:rsidRDefault="00D01671" w:rsidP="00D01671">
      <w:pPr>
        <w:pStyle w:val="Header"/>
        <w:jc w:val="center"/>
        <w:rPr>
          <w:b/>
          <w:sz w:val="32"/>
        </w:rPr>
      </w:pPr>
      <w:r w:rsidRPr="00FB7985">
        <w:rPr>
          <w:b/>
          <w:sz w:val="32"/>
        </w:rPr>
        <w:t>Supreme Court of Canada / Cour suprême du Canada</w:t>
      </w:r>
    </w:p>
    <w:p w:rsidR="00D01671" w:rsidRPr="00FB7985" w:rsidRDefault="00D01671" w:rsidP="00D01671">
      <w:pPr>
        <w:widowControl w:val="0"/>
        <w:rPr>
          <w:i/>
        </w:rPr>
      </w:pPr>
    </w:p>
    <w:p w:rsidR="00D01671" w:rsidRPr="00FB7985" w:rsidRDefault="00D01671" w:rsidP="00D01671">
      <w:pPr>
        <w:widowControl w:val="0"/>
        <w:rPr>
          <w:i/>
        </w:rPr>
      </w:pPr>
    </w:p>
    <w:p w:rsidR="006F2579" w:rsidRPr="00FB7985" w:rsidRDefault="006F2579" w:rsidP="006F2579">
      <w:pPr>
        <w:widowControl w:val="0"/>
        <w:rPr>
          <w:i/>
          <w:sz w:val="20"/>
          <w:lang w:val="fr-CA"/>
        </w:rPr>
      </w:pPr>
      <w:r w:rsidRPr="00FB7985">
        <w:rPr>
          <w:i/>
          <w:sz w:val="20"/>
          <w:lang w:val="fr-CA"/>
        </w:rPr>
        <w:t>(</w:t>
      </w:r>
      <w:r w:rsidR="00423943" w:rsidRPr="00FB7985">
        <w:rPr>
          <w:i/>
          <w:sz w:val="20"/>
          <w:lang w:val="fr-CA"/>
        </w:rPr>
        <w:t>L</w:t>
      </w:r>
      <w:r w:rsidRPr="00FB7985">
        <w:rPr>
          <w:i/>
          <w:sz w:val="20"/>
          <w:lang w:val="fr-CA"/>
        </w:rPr>
        <w:t>e français suit)</w:t>
      </w:r>
    </w:p>
    <w:p w:rsidR="006F2579" w:rsidRPr="00FB7985" w:rsidRDefault="006F2579" w:rsidP="006F2579">
      <w:pPr>
        <w:widowControl w:val="0"/>
        <w:rPr>
          <w:lang w:val="fr-CA"/>
        </w:rPr>
      </w:pPr>
    </w:p>
    <w:p w:rsidR="006F2579" w:rsidRPr="00FB7985" w:rsidRDefault="00F404D5" w:rsidP="006F2579">
      <w:pPr>
        <w:widowControl w:val="0"/>
        <w:jc w:val="center"/>
        <w:rPr>
          <w:b/>
          <w:lang w:val="fr-CA"/>
        </w:rPr>
      </w:pPr>
      <w:r w:rsidRPr="00FB7985">
        <w:rPr>
          <w:b/>
          <w:lang w:val="fr-CA"/>
        </w:rPr>
        <w:t>AGENDA</w:t>
      </w:r>
    </w:p>
    <w:p w:rsidR="006F2579" w:rsidRPr="00FB7985" w:rsidRDefault="006F2579" w:rsidP="006F2579">
      <w:pPr>
        <w:widowControl w:val="0"/>
        <w:rPr>
          <w:lang w:val="fr-CA"/>
        </w:rPr>
      </w:pPr>
    </w:p>
    <w:p w:rsidR="006F2579" w:rsidRPr="00FB7985" w:rsidRDefault="00A0119A" w:rsidP="006F2579">
      <w:pPr>
        <w:widowControl w:val="0"/>
        <w:rPr>
          <w:b/>
          <w:lang w:val="fr-CA"/>
        </w:rPr>
      </w:pPr>
      <w:r w:rsidRPr="00FB7985">
        <w:rPr>
          <w:b/>
          <w:lang w:val="fr-CA"/>
        </w:rPr>
        <w:t>September</w:t>
      </w:r>
      <w:r w:rsidR="00B205BF" w:rsidRPr="00FB7985">
        <w:rPr>
          <w:b/>
          <w:lang w:val="fr-CA"/>
        </w:rPr>
        <w:t xml:space="preserve"> </w:t>
      </w:r>
      <w:r w:rsidR="00902477" w:rsidRPr="00FB7985">
        <w:rPr>
          <w:b/>
          <w:lang w:val="fr-CA"/>
        </w:rPr>
        <w:t>2</w:t>
      </w:r>
      <w:r w:rsidRPr="00FB7985">
        <w:rPr>
          <w:b/>
          <w:lang w:val="fr-CA"/>
        </w:rPr>
        <w:t>3</w:t>
      </w:r>
      <w:r w:rsidR="000E1CD6" w:rsidRPr="00FB7985">
        <w:rPr>
          <w:b/>
          <w:lang w:val="fr-CA"/>
        </w:rPr>
        <w:t>, 20</w:t>
      </w:r>
      <w:r w:rsidR="00ED24DA" w:rsidRPr="00FB7985">
        <w:rPr>
          <w:b/>
          <w:lang w:val="fr-CA"/>
        </w:rPr>
        <w:t>2</w:t>
      </w:r>
      <w:r w:rsidR="00E57045" w:rsidRPr="00FB7985">
        <w:rPr>
          <w:b/>
          <w:lang w:val="fr-CA"/>
        </w:rPr>
        <w:t>2</w:t>
      </w:r>
    </w:p>
    <w:p w:rsidR="006F2579" w:rsidRPr="00FB7985" w:rsidRDefault="006F2579" w:rsidP="006F2579">
      <w:pPr>
        <w:widowControl w:val="0"/>
        <w:rPr>
          <w:b/>
        </w:rPr>
      </w:pPr>
      <w:r w:rsidRPr="00FB7985">
        <w:rPr>
          <w:b/>
        </w:rPr>
        <w:t>For immediate release</w:t>
      </w:r>
    </w:p>
    <w:p w:rsidR="006F2579" w:rsidRPr="00FB7985" w:rsidRDefault="006F2579" w:rsidP="006F2579">
      <w:pPr>
        <w:widowControl w:val="0"/>
      </w:pPr>
    </w:p>
    <w:p w:rsidR="009010F1" w:rsidRPr="00FB7985" w:rsidRDefault="006F2579" w:rsidP="009010F1">
      <w:pPr>
        <w:widowControl w:val="0"/>
      </w:pPr>
      <w:r w:rsidRPr="00FB7985">
        <w:rPr>
          <w:b/>
        </w:rPr>
        <w:t>OTTAWA</w:t>
      </w:r>
      <w:r w:rsidRPr="00FB7985">
        <w:t xml:space="preserve"> – </w:t>
      </w:r>
      <w:r w:rsidR="009010F1" w:rsidRPr="00FB7985">
        <w:t>The Supreme Court of Canada announced today the list of appeals</w:t>
      </w:r>
      <w:r w:rsidR="00700E69" w:rsidRPr="00FB7985">
        <w:t xml:space="preserve"> </w:t>
      </w:r>
      <w:r w:rsidR="009010F1" w:rsidRPr="00FB7985">
        <w:t>that will be heard</w:t>
      </w:r>
      <w:r w:rsidR="00264572" w:rsidRPr="00FB7985">
        <w:t xml:space="preserve"> </w:t>
      </w:r>
      <w:r w:rsidR="0053286F" w:rsidRPr="00FB7985">
        <w:t xml:space="preserve">from </w:t>
      </w:r>
      <w:r w:rsidR="00A0119A" w:rsidRPr="00FB7985">
        <w:t>October</w:t>
      </w:r>
      <w:r w:rsidR="0053286F" w:rsidRPr="00FB7985">
        <w:t xml:space="preserve"> </w:t>
      </w:r>
      <w:r w:rsidR="00A0119A" w:rsidRPr="00FB7985">
        <w:t>3</w:t>
      </w:r>
      <w:r w:rsidR="0053286F" w:rsidRPr="00FB7985">
        <w:t xml:space="preserve"> t</w:t>
      </w:r>
      <w:r w:rsidR="007A4306" w:rsidRPr="00FB7985">
        <w:t>o</w:t>
      </w:r>
      <w:r w:rsidR="0053286F" w:rsidRPr="00FB7985">
        <w:t xml:space="preserve"> </w:t>
      </w:r>
      <w:r w:rsidR="00A0119A" w:rsidRPr="00FB7985">
        <w:t>October</w:t>
      </w:r>
      <w:r w:rsidR="00980565" w:rsidRPr="00FB7985">
        <w:t xml:space="preserve"> </w:t>
      </w:r>
      <w:r w:rsidR="00A0119A" w:rsidRPr="00FB7985">
        <w:t>14</w:t>
      </w:r>
      <w:r w:rsidR="0053286F" w:rsidRPr="00FB7985">
        <w:t>, 20</w:t>
      </w:r>
      <w:r w:rsidR="00ED24DA" w:rsidRPr="00FB7985">
        <w:t>2</w:t>
      </w:r>
      <w:r w:rsidR="00645CF5" w:rsidRPr="00FB7985">
        <w:t>2.</w:t>
      </w:r>
    </w:p>
    <w:p w:rsidR="00D32CC0" w:rsidRPr="00FB7985" w:rsidRDefault="00D32CC0" w:rsidP="006F2579">
      <w:pPr>
        <w:widowControl w:val="0"/>
      </w:pPr>
    </w:p>
    <w:p w:rsidR="006A00B5" w:rsidRPr="00FB7985" w:rsidRDefault="006A00B5" w:rsidP="006F2579">
      <w:pPr>
        <w:widowControl w:val="0"/>
      </w:pPr>
    </w:p>
    <w:p w:rsidR="006F2579" w:rsidRPr="00FB7985" w:rsidRDefault="00F404D5" w:rsidP="006F2579">
      <w:pPr>
        <w:widowControl w:val="0"/>
        <w:jc w:val="center"/>
        <w:rPr>
          <w:lang w:val="fr-CA"/>
        </w:rPr>
      </w:pPr>
      <w:r w:rsidRPr="00FB7985">
        <w:rPr>
          <w:b/>
          <w:lang w:val="fr-CA"/>
        </w:rPr>
        <w:t>CALENDRIER</w:t>
      </w:r>
    </w:p>
    <w:p w:rsidR="006F2579" w:rsidRPr="00FB7985" w:rsidRDefault="006F2579" w:rsidP="006F2579">
      <w:pPr>
        <w:widowControl w:val="0"/>
        <w:rPr>
          <w:lang w:val="fr-CA"/>
        </w:rPr>
      </w:pPr>
    </w:p>
    <w:p w:rsidR="006F2579" w:rsidRPr="00FB7985" w:rsidRDefault="006F2579" w:rsidP="006F2579">
      <w:pPr>
        <w:widowControl w:val="0"/>
        <w:rPr>
          <w:b/>
          <w:lang w:val="fr-CA"/>
        </w:rPr>
      </w:pPr>
      <w:r w:rsidRPr="00FB7985">
        <w:rPr>
          <w:b/>
          <w:lang w:val="fr-CA"/>
        </w:rPr>
        <w:t xml:space="preserve">Le </w:t>
      </w:r>
      <w:r w:rsidR="00902477" w:rsidRPr="00FB7985">
        <w:rPr>
          <w:b/>
          <w:lang w:val="fr-CA"/>
        </w:rPr>
        <w:t>2</w:t>
      </w:r>
      <w:r w:rsidR="00A0119A" w:rsidRPr="00FB7985">
        <w:rPr>
          <w:b/>
          <w:lang w:val="fr-CA"/>
        </w:rPr>
        <w:t>3</w:t>
      </w:r>
      <w:r w:rsidR="00380A0F" w:rsidRPr="00FB7985">
        <w:rPr>
          <w:b/>
          <w:lang w:val="fr-CA"/>
        </w:rPr>
        <w:t xml:space="preserve"> </w:t>
      </w:r>
      <w:r w:rsidR="00A0119A" w:rsidRPr="00FB7985">
        <w:rPr>
          <w:b/>
          <w:lang w:val="fr-CA"/>
        </w:rPr>
        <w:t>septembre</w:t>
      </w:r>
      <w:r w:rsidR="006B24D0" w:rsidRPr="00FB7985">
        <w:rPr>
          <w:b/>
          <w:lang w:val="fr-CA"/>
        </w:rPr>
        <w:t xml:space="preserve"> </w:t>
      </w:r>
      <w:r w:rsidRPr="00FB7985">
        <w:rPr>
          <w:b/>
          <w:lang w:val="fr-CA"/>
        </w:rPr>
        <w:t>20</w:t>
      </w:r>
      <w:r w:rsidR="00ED24DA" w:rsidRPr="00FB7985">
        <w:rPr>
          <w:b/>
          <w:lang w:val="fr-CA"/>
        </w:rPr>
        <w:t>2</w:t>
      </w:r>
      <w:r w:rsidR="00E57045" w:rsidRPr="00FB7985">
        <w:rPr>
          <w:b/>
          <w:lang w:val="fr-CA"/>
        </w:rPr>
        <w:t>2</w:t>
      </w:r>
    </w:p>
    <w:p w:rsidR="006F2579" w:rsidRPr="00FB7985" w:rsidRDefault="006F2579" w:rsidP="006F2579">
      <w:pPr>
        <w:widowControl w:val="0"/>
        <w:rPr>
          <w:lang w:val="fr-CA"/>
        </w:rPr>
      </w:pPr>
      <w:r w:rsidRPr="00FB7985">
        <w:rPr>
          <w:b/>
          <w:lang w:val="fr-CA"/>
        </w:rPr>
        <w:t>Pour diffusion immédiate</w:t>
      </w:r>
    </w:p>
    <w:p w:rsidR="006F2579" w:rsidRPr="00FB7985" w:rsidRDefault="006F2579" w:rsidP="006F2579">
      <w:pPr>
        <w:widowControl w:val="0"/>
        <w:rPr>
          <w:lang w:val="fr-CA"/>
        </w:rPr>
      </w:pPr>
    </w:p>
    <w:p w:rsidR="006F2579" w:rsidRPr="00FB7985" w:rsidRDefault="006F2579" w:rsidP="006F2579">
      <w:pPr>
        <w:widowControl w:val="0"/>
        <w:rPr>
          <w:lang w:val="fr-CA"/>
        </w:rPr>
      </w:pPr>
      <w:r w:rsidRPr="00FB7985">
        <w:rPr>
          <w:b/>
          <w:lang w:val="fr-CA"/>
        </w:rPr>
        <w:t>OTTAWA</w:t>
      </w:r>
      <w:r w:rsidRPr="00FB7985">
        <w:rPr>
          <w:lang w:val="fr-CA"/>
        </w:rPr>
        <w:t xml:space="preserve"> – </w:t>
      </w:r>
      <w:r w:rsidR="009010F1" w:rsidRPr="00FB7985">
        <w:rPr>
          <w:lang w:val="fr-CA"/>
        </w:rPr>
        <w:t xml:space="preserve">La Cour suprême du Canada a </w:t>
      </w:r>
      <w:r w:rsidR="00423943" w:rsidRPr="00FB7985">
        <w:rPr>
          <w:lang w:val="fr-CA"/>
        </w:rPr>
        <w:t>annonc</w:t>
      </w:r>
      <w:r w:rsidR="00CE7AB4" w:rsidRPr="00FB7985">
        <w:rPr>
          <w:lang w:val="fr-CA"/>
        </w:rPr>
        <w:t>é aujourd’hui la liste d</w:t>
      </w:r>
      <w:r w:rsidR="00163EC7" w:rsidRPr="00FB7985">
        <w:rPr>
          <w:lang w:val="fr-CA"/>
        </w:rPr>
        <w:t xml:space="preserve">es </w:t>
      </w:r>
      <w:r w:rsidR="009010F1" w:rsidRPr="00FB7985">
        <w:rPr>
          <w:lang w:val="fr-CA"/>
        </w:rPr>
        <w:t>appels</w:t>
      </w:r>
      <w:r w:rsidR="00700E69" w:rsidRPr="00FB7985">
        <w:rPr>
          <w:lang w:val="fr-CA"/>
        </w:rPr>
        <w:t xml:space="preserve"> </w:t>
      </w:r>
      <w:r w:rsidR="009010F1" w:rsidRPr="00FB7985">
        <w:rPr>
          <w:lang w:val="fr-CA"/>
        </w:rPr>
        <w:t xml:space="preserve">qui seront entendus </w:t>
      </w:r>
      <w:r w:rsidR="0053286F" w:rsidRPr="00FB7985">
        <w:rPr>
          <w:lang w:val="fr-CA"/>
        </w:rPr>
        <w:t xml:space="preserve">du </w:t>
      </w:r>
      <w:r w:rsidR="00A0119A" w:rsidRPr="00FB7985">
        <w:rPr>
          <w:lang w:val="fr-CA"/>
        </w:rPr>
        <w:t>3</w:t>
      </w:r>
      <w:r w:rsidR="0053286F" w:rsidRPr="00FB7985">
        <w:rPr>
          <w:lang w:val="fr-CA"/>
        </w:rPr>
        <w:t xml:space="preserve"> </w:t>
      </w:r>
      <w:r w:rsidR="00A0119A" w:rsidRPr="00FB7985">
        <w:rPr>
          <w:lang w:val="fr-CA"/>
        </w:rPr>
        <w:t>octobre</w:t>
      </w:r>
      <w:r w:rsidR="0053286F" w:rsidRPr="00FB7985">
        <w:rPr>
          <w:lang w:val="fr-CA"/>
        </w:rPr>
        <w:t xml:space="preserve"> au </w:t>
      </w:r>
      <w:r w:rsidR="00A0119A" w:rsidRPr="00FB7985">
        <w:rPr>
          <w:lang w:val="fr-CA"/>
        </w:rPr>
        <w:t>14</w:t>
      </w:r>
      <w:r w:rsidR="0053286F" w:rsidRPr="00FB7985">
        <w:rPr>
          <w:lang w:val="fr-CA"/>
        </w:rPr>
        <w:t xml:space="preserve"> </w:t>
      </w:r>
      <w:r w:rsidR="00A0119A" w:rsidRPr="00FB7985">
        <w:rPr>
          <w:lang w:val="fr-CA"/>
        </w:rPr>
        <w:t>octobre</w:t>
      </w:r>
      <w:r w:rsidR="00364285" w:rsidRPr="00FB7985">
        <w:rPr>
          <w:lang w:val="fr-CA"/>
        </w:rPr>
        <w:t xml:space="preserve"> 20</w:t>
      </w:r>
      <w:r w:rsidR="00ED24DA" w:rsidRPr="00FB7985">
        <w:rPr>
          <w:lang w:val="fr-CA"/>
        </w:rPr>
        <w:t>2</w:t>
      </w:r>
      <w:r w:rsidR="00645CF5" w:rsidRPr="00FB7985">
        <w:rPr>
          <w:lang w:val="fr-CA"/>
        </w:rPr>
        <w:t>2.</w:t>
      </w:r>
    </w:p>
    <w:p w:rsidR="00D32CC0" w:rsidRPr="00FB7985" w:rsidRDefault="00D32CC0" w:rsidP="006F2579">
      <w:pPr>
        <w:widowControl w:val="0"/>
        <w:rPr>
          <w:lang w:val="fr-CA"/>
        </w:rPr>
      </w:pPr>
    </w:p>
    <w:p w:rsidR="00493382" w:rsidRPr="00FB7985" w:rsidRDefault="00872881" w:rsidP="006F2579">
      <w:pPr>
        <w:widowControl w:val="0"/>
        <w:rPr>
          <w:lang w:val="fr-CA"/>
        </w:rPr>
      </w:pPr>
      <w:r>
        <w:rPr>
          <w:sz w:val="20"/>
        </w:rPr>
        <w:pict>
          <v:rect id="_x0000_i1025" style="width:2in;height:1pt" o:hrpct="0" o:hralign="center" o:hrstd="t" o:hrnoshade="t" o:hr="t" fillcolor="black [3213]" stroked="f"/>
        </w:pict>
      </w:r>
    </w:p>
    <w:p w:rsidR="004F46E6" w:rsidRPr="00FB7985" w:rsidRDefault="004F46E6" w:rsidP="004F46E6">
      <w:pPr>
        <w:widowControl w:val="0"/>
        <w:rPr>
          <w:sz w:val="16"/>
          <w:szCs w:val="16"/>
        </w:rPr>
      </w:pPr>
    </w:p>
    <w:tbl>
      <w:tblPr>
        <w:tblW w:w="5149" w:type="pct"/>
        <w:tblCellMar>
          <w:top w:w="15" w:type="dxa"/>
          <w:left w:w="15" w:type="dxa"/>
          <w:bottom w:w="15" w:type="dxa"/>
          <w:right w:w="15" w:type="dxa"/>
        </w:tblCellMar>
        <w:tblLook w:val="04A0" w:firstRow="1" w:lastRow="0" w:firstColumn="1" w:lastColumn="0" w:noHBand="0" w:noVBand="1"/>
      </w:tblPr>
      <w:tblGrid>
        <w:gridCol w:w="2410"/>
        <w:gridCol w:w="7229"/>
      </w:tblGrid>
      <w:tr w:rsidR="004F1AF3" w:rsidRPr="00AC446A" w:rsidTr="004F1AF3">
        <w:trPr>
          <w:trHeight w:val="561"/>
        </w:trPr>
        <w:tc>
          <w:tcPr>
            <w:tcW w:w="1250" w:type="pct"/>
            <w:shd w:val="clear" w:color="auto" w:fill="auto"/>
            <w:tcMar>
              <w:top w:w="0" w:type="dxa"/>
              <w:left w:w="45" w:type="dxa"/>
              <w:bottom w:w="0" w:type="dxa"/>
              <w:right w:w="45" w:type="dxa"/>
            </w:tcMar>
            <w:hideMark/>
          </w:tcPr>
          <w:p w:rsidR="004F1AF3" w:rsidRPr="00FB7985" w:rsidRDefault="004F1AF3" w:rsidP="007655B2">
            <w:pPr>
              <w:widowControl w:val="0"/>
              <w:spacing w:after="120"/>
              <w:rPr>
                <w:b/>
                <w:sz w:val="20"/>
              </w:rPr>
            </w:pPr>
            <w:r w:rsidRPr="00FB7985">
              <w:rPr>
                <w:b/>
                <w:sz w:val="20"/>
              </w:rPr>
              <w:t>DATE OF HEARING /</w:t>
            </w:r>
            <w:r w:rsidRPr="00FB7985">
              <w:rPr>
                <w:b/>
                <w:sz w:val="20"/>
              </w:rPr>
              <w:br/>
              <w:t>DATE D’AUDITION</w:t>
            </w:r>
          </w:p>
        </w:tc>
        <w:tc>
          <w:tcPr>
            <w:tcW w:w="3750" w:type="pct"/>
            <w:shd w:val="clear" w:color="auto" w:fill="auto"/>
            <w:tcMar>
              <w:top w:w="0" w:type="dxa"/>
              <w:left w:w="45" w:type="dxa"/>
              <w:bottom w:w="0" w:type="dxa"/>
              <w:right w:w="45" w:type="dxa"/>
            </w:tcMar>
            <w:hideMark/>
          </w:tcPr>
          <w:p w:rsidR="004F1AF3" w:rsidRPr="00FB7985" w:rsidRDefault="004F1AF3" w:rsidP="00A66695">
            <w:pPr>
              <w:widowControl w:val="0"/>
              <w:spacing w:after="120"/>
              <w:rPr>
                <w:b/>
                <w:sz w:val="20"/>
                <w:lang w:val="fr-CA"/>
              </w:rPr>
            </w:pPr>
            <w:r w:rsidRPr="00FB7985">
              <w:rPr>
                <w:b/>
                <w:sz w:val="20"/>
                <w:lang w:val="fr-CA"/>
              </w:rPr>
              <w:t>NAME AND CASE NUMBER /</w:t>
            </w:r>
            <w:r w:rsidRPr="00FB7985">
              <w:rPr>
                <w:b/>
                <w:sz w:val="20"/>
                <w:lang w:val="fr-CA"/>
              </w:rPr>
              <w:br/>
              <w:t>NOM DE LA CAUSE ET NUMÉRO</w:t>
            </w:r>
          </w:p>
        </w:tc>
      </w:tr>
      <w:tr w:rsidR="00292C0E" w:rsidRPr="00FB7985" w:rsidTr="005C7117">
        <w:trPr>
          <w:trHeight w:val="415"/>
        </w:trPr>
        <w:tc>
          <w:tcPr>
            <w:tcW w:w="1250" w:type="pct"/>
            <w:shd w:val="clear" w:color="auto" w:fill="auto"/>
            <w:tcMar>
              <w:top w:w="0" w:type="dxa"/>
              <w:left w:w="45" w:type="dxa"/>
              <w:bottom w:w="0" w:type="dxa"/>
              <w:right w:w="45" w:type="dxa"/>
            </w:tcMar>
          </w:tcPr>
          <w:p w:rsidR="00292C0E" w:rsidRPr="00FB7985" w:rsidRDefault="00292C0E" w:rsidP="00EE112A">
            <w:pPr>
              <w:rPr>
                <w:sz w:val="20"/>
              </w:rPr>
            </w:pPr>
            <w:r w:rsidRPr="00FB7985">
              <w:rPr>
                <w:sz w:val="20"/>
              </w:rPr>
              <w:t>2022-</w:t>
            </w:r>
            <w:r w:rsidR="00FE0A72" w:rsidRPr="00FB7985">
              <w:rPr>
                <w:sz w:val="20"/>
              </w:rPr>
              <w:t>1</w:t>
            </w:r>
            <w:r w:rsidRPr="00FB7985">
              <w:rPr>
                <w:sz w:val="20"/>
              </w:rPr>
              <w:t>0</w:t>
            </w:r>
            <w:r w:rsidR="00902477" w:rsidRPr="00FB7985">
              <w:rPr>
                <w:sz w:val="20"/>
              </w:rPr>
              <w:t>-</w:t>
            </w:r>
            <w:r w:rsidR="00FE0A72" w:rsidRPr="00FB7985">
              <w:rPr>
                <w:sz w:val="20"/>
              </w:rPr>
              <w:t>04</w:t>
            </w:r>
          </w:p>
        </w:tc>
        <w:tc>
          <w:tcPr>
            <w:tcW w:w="3750" w:type="pct"/>
            <w:shd w:val="clear" w:color="auto" w:fill="auto"/>
            <w:tcMar>
              <w:top w:w="0" w:type="dxa"/>
              <w:left w:w="45" w:type="dxa"/>
              <w:bottom w:w="0" w:type="dxa"/>
              <w:right w:w="45" w:type="dxa"/>
            </w:tcMar>
          </w:tcPr>
          <w:p w:rsidR="005D4B99" w:rsidRPr="00FB7985" w:rsidRDefault="00FE0A72" w:rsidP="00716A34">
            <w:pPr>
              <w:spacing w:after="120"/>
              <w:rPr>
                <w:iCs/>
                <w:sz w:val="20"/>
              </w:rPr>
            </w:pPr>
            <w:r w:rsidRPr="00FB7985">
              <w:rPr>
                <w:i/>
                <w:iCs/>
                <w:sz w:val="20"/>
              </w:rPr>
              <w:t>H</w:t>
            </w:r>
            <w:r w:rsidR="00716A34">
              <w:rPr>
                <w:i/>
                <w:iCs/>
                <w:sz w:val="20"/>
              </w:rPr>
              <w:t>is</w:t>
            </w:r>
            <w:r w:rsidRPr="00FB7985">
              <w:rPr>
                <w:i/>
                <w:iCs/>
                <w:sz w:val="20"/>
              </w:rPr>
              <w:t xml:space="preserve"> Majesty the </w:t>
            </w:r>
            <w:r w:rsidR="00716A34">
              <w:rPr>
                <w:i/>
                <w:iCs/>
                <w:sz w:val="20"/>
              </w:rPr>
              <w:t>King</w:t>
            </w:r>
            <w:r w:rsidRPr="00FB7985">
              <w:rPr>
                <w:i/>
                <w:iCs/>
                <w:sz w:val="20"/>
              </w:rPr>
              <w:t xml:space="preserve"> v. Matthew James Johnston, et al. </w:t>
            </w:r>
            <w:r w:rsidRPr="00FB7985">
              <w:rPr>
                <w:iCs/>
                <w:sz w:val="20"/>
              </w:rPr>
              <w:t>(B.C.) (Criminal) (By Leave) (</w:t>
            </w:r>
            <w:hyperlink r:id="rId8" w:history="1">
              <w:r w:rsidRPr="00FB7985">
                <w:rPr>
                  <w:rStyle w:val="Hyperlink"/>
                  <w:iCs/>
                  <w:sz w:val="20"/>
                </w:rPr>
                <w:t>39635</w:t>
              </w:r>
            </w:hyperlink>
            <w:r w:rsidRPr="00FB7985">
              <w:rPr>
                <w:iCs/>
                <w:sz w:val="20"/>
              </w:rPr>
              <w:t>)</w:t>
            </w:r>
          </w:p>
        </w:tc>
      </w:tr>
      <w:tr w:rsidR="00E57045" w:rsidRPr="00FB7985" w:rsidTr="005C7117">
        <w:trPr>
          <w:trHeight w:val="415"/>
        </w:trPr>
        <w:tc>
          <w:tcPr>
            <w:tcW w:w="1250" w:type="pct"/>
            <w:shd w:val="clear" w:color="auto" w:fill="auto"/>
            <w:tcMar>
              <w:top w:w="0" w:type="dxa"/>
              <w:left w:w="45" w:type="dxa"/>
              <w:bottom w:w="0" w:type="dxa"/>
              <w:right w:w="45" w:type="dxa"/>
            </w:tcMar>
          </w:tcPr>
          <w:p w:rsidR="00E57045" w:rsidRPr="00FB7985" w:rsidRDefault="00E57045" w:rsidP="00FE0A72">
            <w:pPr>
              <w:rPr>
                <w:sz w:val="20"/>
              </w:rPr>
            </w:pPr>
            <w:r w:rsidRPr="00FB7985">
              <w:rPr>
                <w:sz w:val="20"/>
              </w:rPr>
              <w:t>2022-</w:t>
            </w:r>
            <w:r w:rsidR="00FE0A72" w:rsidRPr="00FB7985">
              <w:rPr>
                <w:sz w:val="20"/>
              </w:rPr>
              <w:t>1</w:t>
            </w:r>
            <w:r w:rsidRPr="00FB7985">
              <w:rPr>
                <w:sz w:val="20"/>
              </w:rPr>
              <w:t>0</w:t>
            </w:r>
            <w:r w:rsidR="00FE0A72" w:rsidRPr="00FB7985">
              <w:rPr>
                <w:sz w:val="20"/>
              </w:rPr>
              <w:t>-06</w:t>
            </w:r>
          </w:p>
        </w:tc>
        <w:tc>
          <w:tcPr>
            <w:tcW w:w="3750" w:type="pct"/>
            <w:shd w:val="clear" w:color="auto" w:fill="auto"/>
            <w:tcMar>
              <w:top w:w="0" w:type="dxa"/>
              <w:left w:w="45" w:type="dxa"/>
              <w:bottom w:w="0" w:type="dxa"/>
              <w:right w:w="45" w:type="dxa"/>
            </w:tcMar>
          </w:tcPr>
          <w:p w:rsidR="00E57045" w:rsidRPr="00FB7985" w:rsidRDefault="00FE0A72" w:rsidP="007F522C">
            <w:pPr>
              <w:spacing w:after="120"/>
              <w:rPr>
                <w:i/>
                <w:sz w:val="20"/>
              </w:rPr>
            </w:pPr>
            <w:r w:rsidRPr="00FB7985">
              <w:rPr>
                <w:i/>
                <w:iCs/>
                <w:sz w:val="20"/>
              </w:rPr>
              <w:t>Canadian Council for Refugees, et al. v. Minister of Citizenship and Immigration, et al.</w:t>
            </w:r>
            <w:r w:rsidRPr="00FB7985">
              <w:rPr>
                <w:iCs/>
                <w:sz w:val="20"/>
              </w:rPr>
              <w:t xml:space="preserve"> (F.C.) (Civil) (By Leave) (</w:t>
            </w:r>
            <w:hyperlink r:id="rId9" w:history="1">
              <w:r w:rsidRPr="00FB7985">
                <w:rPr>
                  <w:rStyle w:val="Hyperlink"/>
                  <w:iCs/>
                  <w:sz w:val="20"/>
                </w:rPr>
                <w:t>39749</w:t>
              </w:r>
            </w:hyperlink>
            <w:r w:rsidRPr="00FB7985">
              <w:rPr>
                <w:iCs/>
                <w:sz w:val="20"/>
              </w:rPr>
              <w:t>)</w:t>
            </w:r>
          </w:p>
        </w:tc>
      </w:tr>
      <w:tr w:rsidR="00902477" w:rsidRPr="00FB7985" w:rsidTr="005C7117">
        <w:trPr>
          <w:trHeight w:val="415"/>
        </w:trPr>
        <w:tc>
          <w:tcPr>
            <w:tcW w:w="1250" w:type="pct"/>
            <w:shd w:val="clear" w:color="auto" w:fill="auto"/>
            <w:tcMar>
              <w:top w:w="0" w:type="dxa"/>
              <w:left w:w="45" w:type="dxa"/>
              <w:bottom w:w="0" w:type="dxa"/>
              <w:right w:w="45" w:type="dxa"/>
            </w:tcMar>
          </w:tcPr>
          <w:p w:rsidR="00902477" w:rsidRPr="00FB7985" w:rsidRDefault="00902477" w:rsidP="00FE0A72">
            <w:pPr>
              <w:rPr>
                <w:sz w:val="20"/>
              </w:rPr>
            </w:pPr>
            <w:r w:rsidRPr="00FB7985">
              <w:rPr>
                <w:sz w:val="20"/>
              </w:rPr>
              <w:t>2022-</w:t>
            </w:r>
            <w:r w:rsidR="00FE0A72" w:rsidRPr="00FB7985">
              <w:rPr>
                <w:sz w:val="20"/>
              </w:rPr>
              <w:t>1</w:t>
            </w:r>
            <w:r w:rsidRPr="00FB7985">
              <w:rPr>
                <w:sz w:val="20"/>
              </w:rPr>
              <w:t>0</w:t>
            </w:r>
            <w:r w:rsidR="00FE0A72" w:rsidRPr="00FB7985">
              <w:rPr>
                <w:sz w:val="20"/>
              </w:rPr>
              <w:t>-11</w:t>
            </w:r>
          </w:p>
        </w:tc>
        <w:tc>
          <w:tcPr>
            <w:tcW w:w="3750" w:type="pct"/>
            <w:shd w:val="clear" w:color="auto" w:fill="auto"/>
            <w:tcMar>
              <w:top w:w="0" w:type="dxa"/>
              <w:left w:w="45" w:type="dxa"/>
              <w:bottom w:w="0" w:type="dxa"/>
              <w:right w:w="45" w:type="dxa"/>
            </w:tcMar>
          </w:tcPr>
          <w:p w:rsidR="00902477" w:rsidRPr="00FB7985" w:rsidRDefault="00FE0A72" w:rsidP="00FE0A72">
            <w:pPr>
              <w:spacing w:after="120"/>
              <w:rPr>
                <w:i/>
                <w:sz w:val="20"/>
              </w:rPr>
            </w:pPr>
            <w:r w:rsidRPr="00FB7985">
              <w:rPr>
                <w:i/>
                <w:iCs/>
                <w:sz w:val="20"/>
              </w:rPr>
              <w:t xml:space="preserve">Glen Hansman v. Barry Neufeld </w:t>
            </w:r>
            <w:r w:rsidRPr="00FB7985">
              <w:rPr>
                <w:iCs/>
                <w:sz w:val="20"/>
              </w:rPr>
              <w:t>(B.C.) (Civil) (By Leave) (</w:t>
            </w:r>
            <w:hyperlink r:id="rId10" w:history="1">
              <w:r w:rsidRPr="00FB7985">
                <w:rPr>
                  <w:rStyle w:val="Hyperlink"/>
                  <w:iCs/>
                  <w:sz w:val="20"/>
                </w:rPr>
                <w:t>39796</w:t>
              </w:r>
            </w:hyperlink>
            <w:r w:rsidRPr="00FB7985">
              <w:rPr>
                <w:iCs/>
                <w:sz w:val="20"/>
              </w:rPr>
              <w:t>)</w:t>
            </w:r>
          </w:p>
        </w:tc>
      </w:tr>
      <w:tr w:rsidR="00FE0A72" w:rsidRPr="00AC446A" w:rsidTr="005C7117">
        <w:trPr>
          <w:trHeight w:val="415"/>
        </w:trPr>
        <w:tc>
          <w:tcPr>
            <w:tcW w:w="1250" w:type="pct"/>
            <w:shd w:val="clear" w:color="auto" w:fill="auto"/>
            <w:tcMar>
              <w:top w:w="0" w:type="dxa"/>
              <w:left w:w="45" w:type="dxa"/>
              <w:bottom w:w="0" w:type="dxa"/>
              <w:right w:w="45" w:type="dxa"/>
            </w:tcMar>
          </w:tcPr>
          <w:p w:rsidR="00FE0A72" w:rsidRPr="00FB7985" w:rsidRDefault="00FE0A72" w:rsidP="00FE0A72">
            <w:pPr>
              <w:rPr>
                <w:sz w:val="20"/>
              </w:rPr>
            </w:pPr>
            <w:r w:rsidRPr="00FB7985">
              <w:rPr>
                <w:sz w:val="20"/>
              </w:rPr>
              <w:t>2022-10-12</w:t>
            </w:r>
          </w:p>
        </w:tc>
        <w:tc>
          <w:tcPr>
            <w:tcW w:w="3750" w:type="pct"/>
            <w:shd w:val="clear" w:color="auto" w:fill="auto"/>
            <w:tcMar>
              <w:top w:w="0" w:type="dxa"/>
              <w:left w:w="45" w:type="dxa"/>
              <w:bottom w:w="0" w:type="dxa"/>
              <w:right w:w="45" w:type="dxa"/>
            </w:tcMar>
          </w:tcPr>
          <w:p w:rsidR="00FE0A72" w:rsidRDefault="00FE0A72" w:rsidP="00AC446A">
            <w:pPr>
              <w:rPr>
                <w:iCs/>
                <w:sz w:val="20"/>
              </w:rPr>
            </w:pPr>
            <w:r w:rsidRPr="00FB7985">
              <w:rPr>
                <w:i/>
                <w:iCs/>
                <w:sz w:val="20"/>
              </w:rPr>
              <w:t>Corporation of the City of Greater Sudbury v. Ministry of the Attorney General (Ministry of Labour, Training and Skills Development)</w:t>
            </w:r>
            <w:r w:rsidRPr="00FB7985">
              <w:rPr>
                <w:iCs/>
                <w:sz w:val="20"/>
              </w:rPr>
              <w:t xml:space="preserve"> (Ont.) (Civil) (By Leave) (</w:t>
            </w:r>
            <w:hyperlink r:id="rId11" w:history="1">
              <w:r w:rsidRPr="00FB7985">
                <w:rPr>
                  <w:rStyle w:val="Hyperlink"/>
                  <w:iCs/>
                  <w:sz w:val="20"/>
                </w:rPr>
                <w:t>39754</w:t>
              </w:r>
            </w:hyperlink>
            <w:r w:rsidRPr="00FB7985">
              <w:rPr>
                <w:iCs/>
                <w:sz w:val="20"/>
              </w:rPr>
              <w:t>)</w:t>
            </w:r>
          </w:p>
          <w:p w:rsidR="00AC446A" w:rsidRPr="00AC446A" w:rsidRDefault="00AC446A" w:rsidP="00872881">
            <w:pPr>
              <w:spacing w:after="120"/>
              <w:rPr>
                <w:i/>
                <w:sz w:val="20"/>
                <w:lang w:val="fr-CA"/>
              </w:rPr>
            </w:pPr>
            <w:r w:rsidRPr="00AC446A">
              <w:rPr>
                <w:color w:val="333333"/>
                <w:sz w:val="20"/>
                <w:lang w:val="fr-CA"/>
              </w:rPr>
              <w:t>(Later start time: 10:</w:t>
            </w:r>
            <w:r w:rsidRPr="00AC446A">
              <w:rPr>
                <w:color w:val="333333"/>
                <w:sz w:val="20"/>
                <w:lang w:val="fr-CA"/>
              </w:rPr>
              <w:t>0</w:t>
            </w:r>
            <w:r w:rsidRPr="00AC446A">
              <w:rPr>
                <w:color w:val="333333"/>
                <w:sz w:val="20"/>
                <w:lang w:val="fr-CA"/>
              </w:rPr>
              <w:t>0 a.m. / Horaire modifié: audience débutant à 10 h)</w:t>
            </w:r>
          </w:p>
        </w:tc>
      </w:tr>
      <w:tr w:rsidR="00FE0A72" w:rsidRPr="00AC446A" w:rsidTr="005C7117">
        <w:trPr>
          <w:trHeight w:val="415"/>
        </w:trPr>
        <w:tc>
          <w:tcPr>
            <w:tcW w:w="1250" w:type="pct"/>
            <w:shd w:val="clear" w:color="auto" w:fill="auto"/>
            <w:tcMar>
              <w:top w:w="0" w:type="dxa"/>
              <w:left w:w="45" w:type="dxa"/>
              <w:bottom w:w="0" w:type="dxa"/>
              <w:right w:w="45" w:type="dxa"/>
            </w:tcMar>
          </w:tcPr>
          <w:p w:rsidR="00FE0A72" w:rsidRPr="00FB7985" w:rsidRDefault="00FE0A72" w:rsidP="00FE0A72">
            <w:pPr>
              <w:rPr>
                <w:sz w:val="20"/>
              </w:rPr>
            </w:pPr>
            <w:r w:rsidRPr="00FB7985">
              <w:rPr>
                <w:sz w:val="20"/>
              </w:rPr>
              <w:t>2022-10-13</w:t>
            </w:r>
          </w:p>
        </w:tc>
        <w:tc>
          <w:tcPr>
            <w:tcW w:w="3750" w:type="pct"/>
            <w:shd w:val="clear" w:color="auto" w:fill="auto"/>
            <w:tcMar>
              <w:top w:w="0" w:type="dxa"/>
              <w:left w:w="45" w:type="dxa"/>
              <w:bottom w:w="0" w:type="dxa"/>
              <w:right w:w="45" w:type="dxa"/>
            </w:tcMar>
          </w:tcPr>
          <w:p w:rsidR="00FE0A72" w:rsidRDefault="00FE0A72" w:rsidP="00AC446A">
            <w:pPr>
              <w:rPr>
                <w:iCs/>
                <w:sz w:val="20"/>
              </w:rPr>
            </w:pPr>
            <w:r w:rsidRPr="00FB7985">
              <w:rPr>
                <w:i/>
                <w:iCs/>
                <w:sz w:val="20"/>
              </w:rPr>
              <w:t>H</w:t>
            </w:r>
            <w:r w:rsidR="00716A34">
              <w:rPr>
                <w:i/>
                <w:iCs/>
                <w:sz w:val="20"/>
              </w:rPr>
              <w:t>is</w:t>
            </w:r>
            <w:r w:rsidRPr="00FB7985">
              <w:rPr>
                <w:i/>
                <w:iCs/>
                <w:sz w:val="20"/>
              </w:rPr>
              <w:t xml:space="preserve"> Majesty the </w:t>
            </w:r>
            <w:r w:rsidR="00716A34">
              <w:rPr>
                <w:i/>
                <w:iCs/>
                <w:sz w:val="20"/>
              </w:rPr>
              <w:t>King</w:t>
            </w:r>
            <w:r w:rsidRPr="00FB7985">
              <w:rPr>
                <w:i/>
                <w:iCs/>
                <w:sz w:val="20"/>
              </w:rPr>
              <w:t xml:space="preserve"> v. Randy William Downes</w:t>
            </w:r>
            <w:r w:rsidRPr="00FB7985">
              <w:rPr>
                <w:iCs/>
                <w:sz w:val="20"/>
              </w:rPr>
              <w:t xml:space="preserve"> (B.C.) (Criminal) (As of Right) (</w:t>
            </w:r>
            <w:hyperlink r:id="rId12" w:history="1">
              <w:r w:rsidRPr="00FB7985">
                <w:rPr>
                  <w:rStyle w:val="Hyperlink"/>
                  <w:iCs/>
                  <w:sz w:val="20"/>
                </w:rPr>
                <w:t>40045</w:t>
              </w:r>
            </w:hyperlink>
            <w:r w:rsidRPr="00FB7985">
              <w:rPr>
                <w:iCs/>
                <w:sz w:val="20"/>
              </w:rPr>
              <w:t>)</w:t>
            </w:r>
          </w:p>
          <w:p w:rsidR="00AC446A" w:rsidRPr="00AC446A" w:rsidRDefault="00AC446A" w:rsidP="00872881">
            <w:pPr>
              <w:spacing w:after="120"/>
              <w:rPr>
                <w:i/>
                <w:sz w:val="20"/>
                <w:lang w:val="fr-CA"/>
              </w:rPr>
            </w:pPr>
            <w:r w:rsidRPr="00AC446A">
              <w:rPr>
                <w:color w:val="333333"/>
                <w:sz w:val="20"/>
                <w:lang w:val="fr-CA"/>
              </w:rPr>
              <w:t>(Later start time: 10:0</w:t>
            </w:r>
            <w:bookmarkStart w:id="0" w:name="_GoBack"/>
            <w:bookmarkEnd w:id="0"/>
            <w:r w:rsidRPr="00AC446A">
              <w:rPr>
                <w:color w:val="333333"/>
                <w:sz w:val="20"/>
                <w:lang w:val="fr-CA"/>
              </w:rPr>
              <w:t>0 a.m. / Horaire modifié: audience débutant à 10 h)</w:t>
            </w:r>
          </w:p>
        </w:tc>
      </w:tr>
    </w:tbl>
    <w:p w:rsidR="00BE50C2" w:rsidRPr="00AC446A" w:rsidRDefault="00BE50C2" w:rsidP="0048502A">
      <w:pPr>
        <w:widowControl w:val="0"/>
        <w:rPr>
          <w:sz w:val="20"/>
          <w:lang w:val="fr-CA"/>
        </w:rPr>
      </w:pPr>
    </w:p>
    <w:p w:rsidR="00EE4187" w:rsidRPr="00FB7985" w:rsidRDefault="00EE4187" w:rsidP="00EE4187">
      <w:pPr>
        <w:widowControl w:val="0"/>
        <w:jc w:val="both"/>
        <w:rPr>
          <w:sz w:val="18"/>
          <w:szCs w:val="18"/>
        </w:rPr>
      </w:pPr>
      <w:r w:rsidRPr="00FB7985">
        <w:rPr>
          <w:b/>
          <w:sz w:val="18"/>
          <w:szCs w:val="18"/>
        </w:rPr>
        <w:t>NOTE:</w:t>
      </w:r>
      <w:r w:rsidRPr="00FB7985">
        <w:rPr>
          <w:sz w:val="18"/>
          <w:szCs w:val="18"/>
        </w:rPr>
        <w:t xml:space="preserve"> This agenda is subject to change. Hearings normally commence at 9:30 a.m.</w:t>
      </w:r>
      <w:r w:rsidR="00DF5D71" w:rsidRPr="00FB7985">
        <w:rPr>
          <w:sz w:val="18"/>
          <w:szCs w:val="18"/>
        </w:rPr>
        <w:t xml:space="preserve"> ET</w:t>
      </w:r>
      <w:r w:rsidRPr="00FB7985">
        <w:rPr>
          <w:sz w:val="18"/>
          <w:szCs w:val="18"/>
        </w:rPr>
        <w:t>; however, cases with multiple parties often commence at 9:00 a.m. Where two cases are scheduled on a given day, the second case may be heard immediately after the first one or at 2:00 p.m. Hearing dates and times should be confirmed with Registry staff at 613-996-8666.</w:t>
      </w:r>
    </w:p>
    <w:p w:rsidR="00EE4187" w:rsidRPr="00FB7985" w:rsidRDefault="00EE4187" w:rsidP="00EE4187">
      <w:pPr>
        <w:widowControl w:val="0"/>
        <w:jc w:val="both"/>
        <w:rPr>
          <w:sz w:val="18"/>
          <w:szCs w:val="18"/>
        </w:rPr>
      </w:pPr>
    </w:p>
    <w:p w:rsidR="00EE4187" w:rsidRPr="00FB7985" w:rsidRDefault="00EE4187" w:rsidP="00EE4187">
      <w:pPr>
        <w:jc w:val="both"/>
        <w:rPr>
          <w:sz w:val="18"/>
          <w:szCs w:val="18"/>
          <w:lang w:val="fr-CA"/>
        </w:rPr>
      </w:pPr>
      <w:r w:rsidRPr="00FB7985">
        <w:rPr>
          <w:sz w:val="18"/>
          <w:szCs w:val="18"/>
          <w:lang w:val="fr-CA"/>
        </w:rPr>
        <w:t>Ce calendrier est sujet à modification. Les audiences débutent normalement à 9</w:t>
      </w:r>
      <w:r w:rsidR="00DF5D71" w:rsidRPr="00FB7985">
        <w:rPr>
          <w:sz w:val="18"/>
          <w:szCs w:val="18"/>
          <w:lang w:val="fr-CA"/>
        </w:rPr>
        <w:t xml:space="preserve"> </w:t>
      </w:r>
      <w:r w:rsidRPr="00FB7985">
        <w:rPr>
          <w:sz w:val="18"/>
          <w:szCs w:val="18"/>
          <w:lang w:val="fr-CA"/>
        </w:rPr>
        <w:t>h</w:t>
      </w:r>
      <w:r w:rsidR="00DF5D71" w:rsidRPr="00FB7985">
        <w:rPr>
          <w:sz w:val="18"/>
          <w:szCs w:val="18"/>
          <w:lang w:val="fr-CA"/>
        </w:rPr>
        <w:t xml:space="preserve"> </w:t>
      </w:r>
      <w:r w:rsidRPr="00FB7985">
        <w:rPr>
          <w:sz w:val="18"/>
          <w:szCs w:val="18"/>
          <w:lang w:val="fr-CA"/>
        </w:rPr>
        <w:t>30</w:t>
      </w:r>
      <w:r w:rsidR="00DF5D71" w:rsidRPr="00FB7985">
        <w:rPr>
          <w:sz w:val="18"/>
          <w:szCs w:val="18"/>
          <w:lang w:val="fr-CA"/>
        </w:rPr>
        <w:t xml:space="preserve"> HE</w:t>
      </w:r>
      <w:r w:rsidRPr="00FB7985">
        <w:rPr>
          <w:sz w:val="18"/>
          <w:szCs w:val="18"/>
          <w:lang w:val="fr-CA"/>
        </w:rPr>
        <w:t>;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EE4187" w:rsidRPr="00FB7985" w:rsidRDefault="00EE4187" w:rsidP="0052538B">
      <w:pPr>
        <w:widowControl w:val="0"/>
        <w:jc w:val="both"/>
        <w:rPr>
          <w:sz w:val="20"/>
          <w:lang w:val="fr-CA"/>
        </w:rPr>
      </w:pPr>
    </w:p>
    <w:p w:rsidR="00493382" w:rsidRPr="00FB7985" w:rsidRDefault="00872881" w:rsidP="0052538B">
      <w:pPr>
        <w:widowControl w:val="0"/>
        <w:jc w:val="both"/>
        <w:rPr>
          <w:sz w:val="20"/>
          <w:lang w:val="fr-CA"/>
        </w:rPr>
      </w:pPr>
      <w:r>
        <w:rPr>
          <w:sz w:val="20"/>
        </w:rPr>
        <w:pict>
          <v:rect id="_x0000_i1026" style="width:2in;height:1pt" o:hrpct="0" o:hralign="center" o:hrstd="t" o:hrnoshade="t" o:hr="t" fillcolor="black [3213]" stroked="f"/>
        </w:pict>
      </w:r>
    </w:p>
    <w:p w:rsidR="00FE0A72" w:rsidRPr="00FB7985" w:rsidRDefault="00FE0A72" w:rsidP="00FB7985">
      <w:pPr>
        <w:pStyle w:val="SCCLsocParty"/>
        <w:jc w:val="both"/>
        <w:rPr>
          <w:sz w:val="20"/>
          <w:szCs w:val="20"/>
        </w:rPr>
      </w:pPr>
      <w:bookmarkStart w:id="1" w:name="1"/>
      <w:bookmarkEnd w:id="1"/>
    </w:p>
    <w:p w:rsidR="00FB7985" w:rsidRPr="00FB7985" w:rsidRDefault="00FB7985" w:rsidP="00FB7985">
      <w:pPr>
        <w:widowControl w:val="0"/>
        <w:tabs>
          <w:tab w:val="left" w:pos="900"/>
        </w:tabs>
        <w:ind w:left="1440" w:hanging="1440"/>
        <w:jc w:val="both"/>
        <w:rPr>
          <w:b/>
          <w:i/>
          <w:sz w:val="20"/>
          <w:lang w:val="en-CA"/>
        </w:rPr>
      </w:pPr>
      <w:r w:rsidRPr="00FB7985">
        <w:rPr>
          <w:sz w:val="20"/>
          <w:lang w:val="en-CA"/>
        </w:rPr>
        <w:fldChar w:fldCharType="begin"/>
      </w:r>
      <w:r w:rsidRPr="00FB7985">
        <w:rPr>
          <w:sz w:val="20"/>
        </w:rPr>
        <w:instrText xml:space="preserve"> SEQ CHAPTER \h \r 1</w:instrText>
      </w:r>
      <w:r w:rsidRPr="00FB7985">
        <w:rPr>
          <w:sz w:val="20"/>
        </w:rPr>
        <w:fldChar w:fldCharType="end"/>
      </w:r>
      <w:r w:rsidRPr="00FB7985">
        <w:rPr>
          <w:b/>
          <w:sz w:val="20"/>
          <w:lang w:val="en-CA"/>
        </w:rPr>
        <w:t>39635</w:t>
      </w:r>
      <w:r w:rsidRPr="00FB7985">
        <w:rPr>
          <w:sz w:val="20"/>
          <w:lang w:val="en-CA"/>
        </w:rPr>
        <w:tab/>
      </w:r>
      <w:r w:rsidRPr="00FB7985">
        <w:rPr>
          <w:b/>
          <w:i/>
          <w:sz w:val="20"/>
          <w:lang w:val="en-CA"/>
        </w:rPr>
        <w:t>His Majesty the King v. Matthew James Johnston, et al.</w:t>
      </w:r>
    </w:p>
    <w:p w:rsidR="00FB7985" w:rsidRPr="00FB7985" w:rsidRDefault="00FB7985" w:rsidP="00FB7985">
      <w:pPr>
        <w:widowControl w:val="0"/>
        <w:tabs>
          <w:tab w:val="left" w:pos="900"/>
        </w:tabs>
        <w:ind w:left="1440" w:hanging="1440"/>
        <w:jc w:val="both"/>
        <w:rPr>
          <w:sz w:val="20"/>
          <w:lang w:val="en-CA"/>
        </w:rPr>
      </w:pPr>
      <w:r w:rsidRPr="00FB7985">
        <w:rPr>
          <w:sz w:val="20"/>
          <w:lang w:val="en-CA"/>
        </w:rPr>
        <w:tab/>
        <w:t>(B.C.) (Criminal) (By Leave)</w:t>
      </w:r>
    </w:p>
    <w:p w:rsidR="00FB7985" w:rsidRPr="00FB7985" w:rsidRDefault="00FB7985" w:rsidP="00FB7985">
      <w:pPr>
        <w:widowControl w:val="0"/>
        <w:jc w:val="both"/>
        <w:rPr>
          <w:sz w:val="20"/>
          <w:lang w:val="en-CA"/>
        </w:rPr>
      </w:pPr>
    </w:p>
    <w:p w:rsidR="00FB7985" w:rsidRPr="00FB7985" w:rsidRDefault="00FB7985" w:rsidP="00FB7985">
      <w:pPr>
        <w:widowControl w:val="0"/>
        <w:jc w:val="both"/>
        <w:rPr>
          <w:smallCaps/>
          <w:sz w:val="20"/>
          <w:lang w:val="en-CA"/>
        </w:rPr>
      </w:pPr>
      <w:r w:rsidRPr="00FB7985">
        <w:rPr>
          <w:smallCaps/>
          <w:sz w:val="20"/>
          <w:lang w:val="en-CA"/>
        </w:rPr>
        <w:t>(Publication ban in case) (Sealing order) (Certain information not available to the public)</w:t>
      </w:r>
    </w:p>
    <w:p w:rsidR="00FB7985" w:rsidRPr="00FB7985" w:rsidRDefault="00FB7985" w:rsidP="00FB7985">
      <w:pPr>
        <w:jc w:val="both"/>
        <w:rPr>
          <w:sz w:val="20"/>
          <w:lang w:val="en-CA"/>
        </w:rPr>
      </w:pPr>
    </w:p>
    <w:p w:rsidR="00FB7985" w:rsidRPr="00FB7985" w:rsidRDefault="00FB7985" w:rsidP="00FB7985">
      <w:pPr>
        <w:widowControl w:val="0"/>
        <w:jc w:val="both"/>
        <w:rPr>
          <w:sz w:val="20"/>
          <w:lang w:val="en-CA"/>
        </w:rPr>
      </w:pPr>
      <w:r w:rsidRPr="00FB7985">
        <w:rPr>
          <w:i/>
          <w:sz w:val="20"/>
          <w:lang w:val="en-CA"/>
        </w:rPr>
        <w:t xml:space="preserve">Charter of Rights </w:t>
      </w:r>
      <w:r w:rsidRPr="00FB7985">
        <w:rPr>
          <w:sz w:val="20"/>
          <w:lang w:val="en-CA"/>
        </w:rPr>
        <w:t>— Criminal law — Stay of proceedings — Abuse of process — Summary dismissal of applications — Whether, and to what extent, a judge is permitted to assess or weigh an applicant’s proposed evidence when determining whether to permit a full evidentiary hearing on an application for a stay of proceedings for abuse of process — Whether the Court of Appeal applied too low a threshold for determining whether a full evidentiary hearing is required on an application for a stay of proceedings for abuse of process.</w:t>
      </w:r>
    </w:p>
    <w:p w:rsidR="00FB7985" w:rsidRPr="00FB7985" w:rsidRDefault="00FB7985" w:rsidP="00FB7985">
      <w:pPr>
        <w:jc w:val="both"/>
        <w:rPr>
          <w:sz w:val="20"/>
          <w:lang w:val="en-CA"/>
        </w:rPr>
      </w:pPr>
    </w:p>
    <w:p w:rsidR="00FB7985" w:rsidRPr="00FB7985" w:rsidRDefault="00FB7985" w:rsidP="00FB7985">
      <w:pPr>
        <w:widowControl w:val="0"/>
        <w:jc w:val="both"/>
        <w:rPr>
          <w:sz w:val="20"/>
          <w:lang w:val="en-CA"/>
        </w:rPr>
      </w:pPr>
      <w:r w:rsidRPr="00FB7985">
        <w:rPr>
          <w:sz w:val="20"/>
          <w:lang w:val="en-CA"/>
        </w:rPr>
        <w:t xml:space="preserve">The respondents were found guilty of six counts of first degree murder and one count of conspiracy to commit murder. The respondents filed applications for stays of proceedings pursuant to s. 24(1) of the </w:t>
      </w:r>
      <w:r w:rsidRPr="00FB7985">
        <w:rPr>
          <w:i/>
          <w:sz w:val="20"/>
          <w:lang w:val="en-CA"/>
        </w:rPr>
        <w:t>Charter</w:t>
      </w:r>
      <w:r w:rsidRPr="00FB7985">
        <w:rPr>
          <w:sz w:val="20"/>
          <w:lang w:val="en-CA"/>
        </w:rPr>
        <w:t>, alleging abuses of process due to police misconduct during the investigation, and also because of their conditions while in pre-trial custody. The Crown applied for summary dismissal of the applications. Finding that the serious nature of the offences committed by the respondents could not justify a stay of proceedings, the trial judge allowed the Crown’s applications for summary dismissal, dismissed the respondents’ applications for stays of proceedings, and entered convictions. The Court of Appeal for British Columbia dismissed the respondents’ ground of appeal relating to non-disclosure of evidence, but allowed the respondents’ appeal in part, quashed the convictions but affirmed the verdicts of guilt, and ordered that the matter be remitted to the trial court for an evidentiary hearing on the respondents’ applications for a stay of proceedings for abuse of process.</w:t>
      </w:r>
    </w:p>
    <w:p w:rsidR="00FB7985" w:rsidRPr="00FB7985" w:rsidRDefault="00FB7985" w:rsidP="00FB7985">
      <w:pPr>
        <w:widowControl w:val="0"/>
        <w:jc w:val="both"/>
        <w:rPr>
          <w:sz w:val="20"/>
          <w:lang w:val="en-CA"/>
        </w:rPr>
      </w:pPr>
    </w:p>
    <w:p w:rsidR="00FB7985" w:rsidRPr="00FB7985" w:rsidRDefault="00872881" w:rsidP="00FB7985">
      <w:pPr>
        <w:widowControl w:val="0"/>
        <w:jc w:val="both"/>
        <w:rPr>
          <w:sz w:val="20"/>
          <w:lang w:val="en-CA"/>
        </w:rPr>
      </w:pPr>
      <w:r>
        <w:rPr>
          <w:sz w:val="20"/>
        </w:rPr>
        <w:pict>
          <v:rect id="_x0000_i1027" style="width:2in;height:1pt" o:hrpct="0" o:hralign="center" o:hrstd="t" o:hrnoshade="t" o:hr="t" fillcolor="black [3213]" stroked="f"/>
        </w:pict>
      </w:r>
    </w:p>
    <w:p w:rsidR="00FB7985" w:rsidRPr="00FB7985" w:rsidRDefault="00FB7985" w:rsidP="00FB7985">
      <w:pPr>
        <w:widowControl w:val="0"/>
        <w:jc w:val="both"/>
        <w:rPr>
          <w:sz w:val="20"/>
          <w:lang w:val="en-CA"/>
        </w:rPr>
      </w:pPr>
    </w:p>
    <w:p w:rsidR="00FB7985" w:rsidRPr="00FB7985" w:rsidRDefault="00FB7985" w:rsidP="00FB7985">
      <w:pPr>
        <w:pStyle w:val="SCCLsocParty"/>
        <w:jc w:val="both"/>
        <w:rPr>
          <w:b/>
          <w:i/>
          <w:sz w:val="20"/>
          <w:szCs w:val="20"/>
        </w:rPr>
      </w:pPr>
      <w:r w:rsidRPr="00FB7985">
        <w:rPr>
          <w:rStyle w:val="SCCFileNumberChar"/>
          <w:sz w:val="20"/>
          <w:szCs w:val="20"/>
          <w:lang w:val="fr-CA"/>
        </w:rPr>
        <w:t>39635</w:t>
      </w:r>
      <w:r w:rsidRPr="00FB7985">
        <w:rPr>
          <w:rStyle w:val="SCCFileNumberChar"/>
          <w:sz w:val="20"/>
          <w:szCs w:val="20"/>
          <w:lang w:val="fr-CA"/>
        </w:rPr>
        <w:tab/>
      </w:r>
      <w:r w:rsidRPr="00FB7985">
        <w:rPr>
          <w:b/>
          <w:i/>
          <w:sz w:val="20"/>
          <w:szCs w:val="20"/>
        </w:rPr>
        <w:t>Sa Majesté le Roi c. Matthew James Johnston, et al.</w:t>
      </w:r>
    </w:p>
    <w:p w:rsidR="00FB7985" w:rsidRPr="00EE112A" w:rsidRDefault="00FB7985" w:rsidP="00FB7985">
      <w:pPr>
        <w:widowControl w:val="0"/>
        <w:ind w:firstLine="720"/>
        <w:jc w:val="both"/>
        <w:rPr>
          <w:sz w:val="20"/>
          <w:lang w:val="fr-CA"/>
        </w:rPr>
      </w:pPr>
      <w:r w:rsidRPr="00EE112A">
        <w:rPr>
          <w:sz w:val="20"/>
          <w:lang w:val="fr-CA"/>
        </w:rPr>
        <w:t>(C.</w:t>
      </w:r>
      <w:r w:rsidRPr="00EE112A">
        <w:rPr>
          <w:sz w:val="20"/>
          <w:lang w:val="fr-CA"/>
        </w:rPr>
        <w:noBreakHyphen/>
        <w:t>B.) (Criminelle) (Autorisation)</w:t>
      </w:r>
    </w:p>
    <w:p w:rsidR="00FB7985" w:rsidRPr="00FB7985" w:rsidRDefault="00FB7985" w:rsidP="00FB7985">
      <w:pPr>
        <w:pStyle w:val="SCCBanSummary"/>
        <w:rPr>
          <w:sz w:val="20"/>
          <w:szCs w:val="20"/>
          <w:lang w:val="fr-CA"/>
        </w:rPr>
      </w:pPr>
    </w:p>
    <w:p w:rsidR="00FB7985" w:rsidRPr="00FB7985" w:rsidRDefault="00FB7985" w:rsidP="00FB7985">
      <w:pPr>
        <w:pStyle w:val="SCCBanSummary"/>
        <w:rPr>
          <w:sz w:val="20"/>
          <w:szCs w:val="20"/>
          <w:lang w:val="fr-CA"/>
        </w:rPr>
      </w:pPr>
      <w:r w:rsidRPr="00FB7985">
        <w:rPr>
          <w:sz w:val="20"/>
          <w:szCs w:val="20"/>
          <w:lang w:val="fr-CA"/>
        </w:rPr>
        <w:t>(Ordonnance de non</w:t>
      </w:r>
      <w:r w:rsidRPr="00FB7985">
        <w:rPr>
          <w:sz w:val="20"/>
          <w:szCs w:val="20"/>
          <w:lang w:val="fr-CA"/>
        </w:rPr>
        <w:noBreakHyphen/>
        <w:t>publication dans le dossier) (ordonnance de mise sous scellés) (certains renseignements non disponibles pour le public)</w:t>
      </w:r>
    </w:p>
    <w:p w:rsidR="00FB7985" w:rsidRPr="00FB7985" w:rsidRDefault="00FB7985" w:rsidP="00FB7985">
      <w:pPr>
        <w:jc w:val="both"/>
        <w:rPr>
          <w:sz w:val="20"/>
          <w:lang w:val="fr-CA"/>
        </w:rPr>
      </w:pPr>
    </w:p>
    <w:p w:rsidR="00FB7985" w:rsidRPr="00FB7985" w:rsidRDefault="00FB7985" w:rsidP="00FB7985">
      <w:pPr>
        <w:widowControl w:val="0"/>
        <w:jc w:val="both"/>
        <w:rPr>
          <w:sz w:val="20"/>
          <w:lang w:val="fr-CA"/>
        </w:rPr>
      </w:pPr>
      <w:r w:rsidRPr="00FB7985">
        <w:rPr>
          <w:i/>
          <w:sz w:val="20"/>
          <w:lang w:val="fr-CA"/>
        </w:rPr>
        <w:t xml:space="preserve">Charte des droits </w:t>
      </w:r>
      <w:r w:rsidRPr="00FB7985">
        <w:rPr>
          <w:sz w:val="20"/>
          <w:lang w:val="fr-CA"/>
        </w:rPr>
        <w:t>— Droit criminel — Suspension de l’instance — Abus de procédures — Rejet sommaire des demandes — Lorsqu’il décide s’il autorise une audition complète de la preuve dans une demande de suspension de l’instance pour abus de procédures, le juge peut</w:t>
      </w:r>
      <w:r w:rsidRPr="00FB7985">
        <w:rPr>
          <w:sz w:val="20"/>
          <w:lang w:val="fr-CA"/>
        </w:rPr>
        <w:noBreakHyphen/>
        <w:t>il évaluer ou soupeser la preuve présentée par le demandeur, et si oui, dans quelle mesure? — La Cour d’appel a</w:t>
      </w:r>
      <w:r w:rsidRPr="00FB7985">
        <w:rPr>
          <w:sz w:val="20"/>
          <w:lang w:val="fr-CA"/>
        </w:rPr>
        <w:noBreakHyphen/>
        <w:t>t</w:t>
      </w:r>
      <w:r w:rsidRPr="00FB7985">
        <w:rPr>
          <w:sz w:val="20"/>
          <w:lang w:val="fr-CA"/>
        </w:rPr>
        <w:noBreakHyphen/>
        <w:t>elle adopté un seuil trop bas pour déterminer si une audition complète de la preuve est nécessaire dans une demande de suspension de l’instance pour abus de procédures?</w:t>
      </w:r>
    </w:p>
    <w:p w:rsidR="00FB7985" w:rsidRPr="00FB7985" w:rsidRDefault="00FB7985" w:rsidP="00FB7985">
      <w:pPr>
        <w:widowControl w:val="0"/>
        <w:jc w:val="both"/>
        <w:rPr>
          <w:sz w:val="20"/>
          <w:lang w:val="fr-CA"/>
        </w:rPr>
      </w:pPr>
    </w:p>
    <w:p w:rsidR="00FB7985" w:rsidRPr="00FB7985" w:rsidRDefault="00FB7985" w:rsidP="00FB7985">
      <w:pPr>
        <w:jc w:val="both"/>
        <w:rPr>
          <w:sz w:val="20"/>
          <w:lang w:val="fr-CA"/>
        </w:rPr>
      </w:pPr>
      <w:r w:rsidRPr="00FB7985">
        <w:rPr>
          <w:sz w:val="20"/>
          <w:lang w:val="fr-CA"/>
        </w:rPr>
        <w:t xml:space="preserve">Les intimés ont été déclarés coupables de six chefs d’accusation de meurtre au premier degré et d’un chef d’accusation de complot en vue de commettre un meurtre. Les intimés ont déposé des demandes de suspension de l’instance, au titre du par. 24(1) de la </w:t>
      </w:r>
      <w:r w:rsidRPr="00FB7985">
        <w:rPr>
          <w:i/>
          <w:sz w:val="20"/>
          <w:lang w:val="fr-CA"/>
        </w:rPr>
        <w:t>Charte</w:t>
      </w:r>
      <w:r w:rsidRPr="00FB7985">
        <w:rPr>
          <w:sz w:val="20"/>
          <w:lang w:val="fr-CA"/>
        </w:rPr>
        <w:t>, faisant valoir que des abus de procédures avaient été commis, en raison de la conduite répréhensible des policiers pendant l’enquête et aussi de leurs conditions pendant leur détention avant le procès. La Couronne a sollicité le rejet sommaire des demandes. Concluant que la nature grave des infractions commises par les intimés ne pouvait pas justifier une suspension de l’instance, le juge du procès a accueilli les demandes de la Couronne en vue du rejet sommaire, a rejeté les demandes des intimés visant la suspension de l’instance, et a prononcé les déclarations de culpabilité. La Cour d’appel de la Colombie</w:t>
      </w:r>
      <w:r w:rsidRPr="00FB7985">
        <w:rPr>
          <w:sz w:val="20"/>
          <w:lang w:val="fr-CA"/>
        </w:rPr>
        <w:noBreakHyphen/>
        <w:t>Britannique a rejeté le moyen d’appel lié à la non</w:t>
      </w:r>
      <w:r w:rsidRPr="00FB7985">
        <w:rPr>
          <w:sz w:val="20"/>
          <w:lang w:val="fr-CA"/>
        </w:rPr>
        <w:noBreakHyphen/>
        <w:t>communication de la preuve avancé par les intimés, mais a accueilli en partie l’appel interjeté par les intimés, a écarté les déclarations de culpabilité, mais a confirmé les verdicts de culpabilité et ordonné que l’affaire soit renvoyée au tribunal de première instance pour une audition de la preuve relativement aux demandes des intimés visant la suspension de l’instance pour abus de procédures.</w:t>
      </w:r>
    </w:p>
    <w:p w:rsidR="00795A4B" w:rsidRPr="00FB7985" w:rsidRDefault="00795A4B" w:rsidP="00795A4B">
      <w:pPr>
        <w:rPr>
          <w:sz w:val="20"/>
          <w:lang w:val="fr-CA"/>
        </w:rPr>
      </w:pPr>
    </w:p>
    <w:p w:rsidR="00795A4B" w:rsidRPr="00FB7985" w:rsidRDefault="00872881" w:rsidP="00795A4B">
      <w:pPr>
        <w:rPr>
          <w:sz w:val="20"/>
          <w:lang w:val="fr-CA"/>
        </w:rPr>
      </w:pPr>
      <w:r>
        <w:rPr>
          <w:sz w:val="20"/>
        </w:rPr>
        <w:pict>
          <v:rect id="_x0000_i1028" style="width:2in;height:1pt" o:hrpct="0" o:hralign="center" o:hrstd="t" o:hrnoshade="t" o:hr="t" fillcolor="black [3213]" stroked="f"/>
        </w:pict>
      </w:r>
    </w:p>
    <w:p w:rsidR="00795A4B" w:rsidRPr="00FB7985" w:rsidRDefault="00795A4B" w:rsidP="00795A4B">
      <w:pPr>
        <w:jc w:val="both"/>
        <w:rPr>
          <w:sz w:val="20"/>
          <w:lang w:val="fr-CA"/>
        </w:rPr>
      </w:pPr>
    </w:p>
    <w:p w:rsidR="00795A4B" w:rsidRPr="00FB7985" w:rsidRDefault="00795A4B" w:rsidP="00795A4B">
      <w:pPr>
        <w:pStyle w:val="SCCLsocParty"/>
        <w:tabs>
          <w:tab w:val="left" w:pos="0"/>
        </w:tabs>
        <w:ind w:left="720" w:hanging="720"/>
        <w:jc w:val="both"/>
        <w:rPr>
          <w:b/>
          <w:i/>
          <w:sz w:val="20"/>
          <w:szCs w:val="20"/>
          <w:lang w:val="en-US"/>
        </w:rPr>
      </w:pPr>
      <w:r w:rsidRPr="00FB7985">
        <w:rPr>
          <w:b/>
          <w:sz w:val="20"/>
          <w:szCs w:val="20"/>
        </w:rPr>
        <w:fldChar w:fldCharType="begin"/>
      </w:r>
      <w:r w:rsidRPr="00FB7985">
        <w:rPr>
          <w:b/>
          <w:sz w:val="20"/>
          <w:szCs w:val="20"/>
          <w:lang w:val="en-US"/>
        </w:rPr>
        <w:instrText xml:space="preserve"> SEQ CHAPTER \h \r 1</w:instrText>
      </w:r>
      <w:r w:rsidRPr="00FB7985">
        <w:rPr>
          <w:b/>
          <w:sz w:val="20"/>
          <w:szCs w:val="20"/>
        </w:rPr>
        <w:fldChar w:fldCharType="end"/>
      </w:r>
      <w:r w:rsidRPr="00FB7985">
        <w:rPr>
          <w:b/>
          <w:sz w:val="20"/>
          <w:szCs w:val="20"/>
          <w:lang w:val="en-US"/>
        </w:rPr>
        <w:t>39749</w:t>
      </w:r>
      <w:r w:rsidRPr="00FB7985">
        <w:rPr>
          <w:sz w:val="20"/>
          <w:szCs w:val="20"/>
          <w:lang w:val="en-US"/>
        </w:rPr>
        <w:tab/>
      </w:r>
      <w:r w:rsidRPr="00FB7985">
        <w:rPr>
          <w:b/>
          <w:i/>
          <w:sz w:val="20"/>
          <w:szCs w:val="20"/>
          <w:lang w:val="en-US"/>
        </w:rPr>
        <w:t>Canadian Council for Refugees, Amnesty International, Canadian Council of Churches, ABC, DE [by her litigation guardian ABC], FG [by her litigation guardian ABC], Mohammad Majd Maher Homsi, Hala Maher Homsi, Karam Maher Homsi, Reda Yassin Al Nahass, Nedira Jemal Mustefa v. Minister of Citizenship and Immigration, Minister of Public Safety and Emergency Preparedness</w:t>
      </w:r>
    </w:p>
    <w:p w:rsidR="00795A4B" w:rsidRPr="00FB7985" w:rsidRDefault="00795A4B" w:rsidP="00795A4B">
      <w:pPr>
        <w:pStyle w:val="SCCLsocParty"/>
        <w:tabs>
          <w:tab w:val="left" w:pos="0"/>
        </w:tabs>
        <w:ind w:left="720" w:hanging="720"/>
        <w:jc w:val="both"/>
        <w:rPr>
          <w:sz w:val="20"/>
          <w:szCs w:val="20"/>
          <w:lang w:val="en-US"/>
        </w:rPr>
      </w:pPr>
      <w:r w:rsidRPr="00FB7985">
        <w:rPr>
          <w:sz w:val="20"/>
          <w:szCs w:val="20"/>
          <w:lang w:val="en-US"/>
        </w:rPr>
        <w:tab/>
        <w:t>(F.C.) (Civil) (By Leave)</w:t>
      </w:r>
    </w:p>
    <w:p w:rsidR="00795A4B" w:rsidRPr="00FB7985" w:rsidRDefault="00795A4B" w:rsidP="00795A4B">
      <w:pPr>
        <w:jc w:val="both"/>
        <w:rPr>
          <w:sz w:val="20"/>
          <w:lang w:val="en-CA"/>
        </w:rPr>
      </w:pPr>
    </w:p>
    <w:p w:rsidR="00795A4B" w:rsidRPr="00FB7985" w:rsidRDefault="00795A4B" w:rsidP="00795A4B">
      <w:pPr>
        <w:pStyle w:val="SCCCaseDescriptor"/>
        <w:jc w:val="both"/>
        <w:rPr>
          <w:sz w:val="20"/>
        </w:rPr>
      </w:pPr>
      <w:r w:rsidRPr="00FB7985">
        <w:rPr>
          <w:sz w:val="20"/>
        </w:rPr>
        <w:t>(Publication in case)(Sealing order)</w:t>
      </w:r>
    </w:p>
    <w:p w:rsidR="00795A4B" w:rsidRPr="00FB7985" w:rsidRDefault="00795A4B" w:rsidP="00795A4B">
      <w:pPr>
        <w:jc w:val="both"/>
        <w:rPr>
          <w:sz w:val="20"/>
          <w:lang w:val="en-CA"/>
        </w:rPr>
      </w:pPr>
    </w:p>
    <w:p w:rsidR="00795A4B" w:rsidRPr="00FB7985" w:rsidRDefault="00795A4B" w:rsidP="00795A4B">
      <w:pPr>
        <w:jc w:val="both"/>
        <w:rPr>
          <w:sz w:val="20"/>
        </w:rPr>
      </w:pPr>
      <w:r w:rsidRPr="00FB7985">
        <w:rPr>
          <w:sz w:val="20"/>
        </w:rPr>
        <w:t xml:space="preserve">Constitutional law — </w:t>
      </w:r>
      <w:r w:rsidRPr="00FB7985">
        <w:rPr>
          <w:i/>
          <w:sz w:val="20"/>
        </w:rPr>
        <w:t>Charter of Rights</w:t>
      </w:r>
      <w:r w:rsidRPr="00FB7985">
        <w:rPr>
          <w:sz w:val="20"/>
        </w:rPr>
        <w:t xml:space="preserve"> — Right to security of the person — Fundamental Justice — Right to equality — Reasonable limits — Immigration — Inadmissibility and removal — Judicial review — Appellants seeking judicial review of decisions regarding their ineligibility to claim refugee protections in Canada after arriving at a land port of </w:t>
      </w:r>
      <w:r w:rsidRPr="00FB7985">
        <w:rPr>
          <w:sz w:val="20"/>
        </w:rPr>
        <w:lastRenderedPageBreak/>
        <w:t xml:space="preserve">entry from the United States — Whether the Federal Court of Appeal erred in refusing to determine the constitutionality of the operative provisions — Whether the gender equality claim under s. 15 of the </w:t>
      </w:r>
      <w:r w:rsidRPr="00FB7985">
        <w:rPr>
          <w:i/>
          <w:sz w:val="20"/>
        </w:rPr>
        <w:t>Charter</w:t>
      </w:r>
      <w:r w:rsidRPr="00FB7985">
        <w:rPr>
          <w:sz w:val="20"/>
        </w:rPr>
        <w:t xml:space="preserve"> must be adjudicated — Whether s. 159.3 of the </w:t>
      </w:r>
      <w:r w:rsidRPr="00FB7985">
        <w:rPr>
          <w:i/>
          <w:sz w:val="20"/>
        </w:rPr>
        <w:t>Regulations</w:t>
      </w:r>
      <w:r w:rsidRPr="00FB7985">
        <w:rPr>
          <w:sz w:val="20"/>
        </w:rPr>
        <w:t xml:space="preserve"> is </w:t>
      </w:r>
      <w:r w:rsidRPr="00FB7985">
        <w:rPr>
          <w:i/>
          <w:sz w:val="20"/>
        </w:rPr>
        <w:t>ultra vires</w:t>
      </w:r>
      <w:r w:rsidRPr="00FB7985">
        <w:rPr>
          <w:sz w:val="20"/>
        </w:rPr>
        <w:t xml:space="preserve"> — Whether the combined effect of s. 159.3 of the </w:t>
      </w:r>
      <w:r w:rsidRPr="00FB7985">
        <w:rPr>
          <w:i/>
          <w:sz w:val="20"/>
        </w:rPr>
        <w:t xml:space="preserve">Regulations </w:t>
      </w:r>
      <w:r w:rsidRPr="00FB7985">
        <w:rPr>
          <w:sz w:val="20"/>
        </w:rPr>
        <w:t xml:space="preserve">and s. 101(1)(e) of the </w:t>
      </w:r>
      <w:r w:rsidRPr="00FB7985">
        <w:rPr>
          <w:i/>
          <w:sz w:val="20"/>
        </w:rPr>
        <w:t>Act</w:t>
      </w:r>
      <w:r w:rsidRPr="00FB7985">
        <w:rPr>
          <w:sz w:val="20"/>
        </w:rPr>
        <w:t xml:space="preserve"> infringe s. 7 of the </w:t>
      </w:r>
      <w:r w:rsidRPr="00FB7985">
        <w:rPr>
          <w:i/>
          <w:sz w:val="20"/>
        </w:rPr>
        <w:t>Charter</w:t>
      </w:r>
      <w:r w:rsidRPr="00FB7985">
        <w:rPr>
          <w:sz w:val="20"/>
        </w:rPr>
        <w:t xml:space="preserve"> and violate the s. 7 rights of refugee claimants — If so, is the infringement a reasonable limit prescribed by law as can be demonstrably justified in a free and democratic society under s. 1 of the </w:t>
      </w:r>
      <w:r w:rsidRPr="00FB7985">
        <w:rPr>
          <w:i/>
          <w:sz w:val="20"/>
        </w:rPr>
        <w:t>Charter</w:t>
      </w:r>
      <w:r w:rsidRPr="00FB7985">
        <w:rPr>
          <w:sz w:val="20"/>
        </w:rPr>
        <w:t xml:space="preserve"> — Whether the combined effect of s. 159.3 of the </w:t>
      </w:r>
      <w:r w:rsidRPr="00FB7985">
        <w:rPr>
          <w:i/>
          <w:sz w:val="20"/>
        </w:rPr>
        <w:t xml:space="preserve">Regulations </w:t>
      </w:r>
      <w:r w:rsidRPr="00FB7985">
        <w:rPr>
          <w:sz w:val="20"/>
        </w:rPr>
        <w:t xml:space="preserve">and s. 101(1)(e) of the </w:t>
      </w:r>
      <w:r w:rsidRPr="00FB7985">
        <w:rPr>
          <w:i/>
          <w:sz w:val="20"/>
        </w:rPr>
        <w:t>Act</w:t>
      </w:r>
      <w:r w:rsidRPr="00FB7985">
        <w:rPr>
          <w:sz w:val="20"/>
        </w:rPr>
        <w:t xml:space="preserve"> infringe s. 15 of the </w:t>
      </w:r>
      <w:r w:rsidRPr="00FB7985">
        <w:rPr>
          <w:i/>
          <w:sz w:val="20"/>
        </w:rPr>
        <w:t>Charter</w:t>
      </w:r>
      <w:r w:rsidRPr="00FB7985">
        <w:rPr>
          <w:sz w:val="20"/>
        </w:rPr>
        <w:t xml:space="preserve"> — If so, is the infringement a reasonable limit prescribed by law as can be demonstrably justified in a free and democratic society under s. 1 of the </w:t>
      </w:r>
      <w:r w:rsidRPr="00FB7985">
        <w:rPr>
          <w:i/>
          <w:sz w:val="20"/>
        </w:rPr>
        <w:t xml:space="preserve">Charter </w:t>
      </w:r>
      <w:r w:rsidRPr="00FB7985">
        <w:rPr>
          <w:sz w:val="20"/>
        </w:rPr>
        <w:t xml:space="preserve">— </w:t>
      </w:r>
      <w:r w:rsidRPr="00FB7985">
        <w:rPr>
          <w:i/>
          <w:sz w:val="20"/>
        </w:rPr>
        <w:t>Canadian Charter of Rights and Freedoms</w:t>
      </w:r>
      <w:r w:rsidRPr="00FB7985">
        <w:rPr>
          <w:sz w:val="20"/>
        </w:rPr>
        <w:t xml:space="preserve">, ss. 1, 7 and 15 — </w:t>
      </w:r>
      <w:r w:rsidRPr="00FB7985">
        <w:rPr>
          <w:i/>
          <w:sz w:val="20"/>
        </w:rPr>
        <w:t>Immigration and Refugee Protection Act</w:t>
      </w:r>
      <w:r w:rsidRPr="00FB7985">
        <w:rPr>
          <w:sz w:val="20"/>
        </w:rPr>
        <w:t xml:space="preserve">, S.C. 2001, c. 27, ss. 101(1)(e), 102(2) and 102(3) — </w:t>
      </w:r>
      <w:r w:rsidRPr="00FB7985">
        <w:rPr>
          <w:i/>
          <w:sz w:val="20"/>
        </w:rPr>
        <w:t xml:space="preserve">Immigration and Refugee Protection Regulations, </w:t>
      </w:r>
      <w:r w:rsidRPr="00FB7985">
        <w:rPr>
          <w:sz w:val="20"/>
        </w:rPr>
        <w:t>S.O.R./2002</w:t>
      </w:r>
      <w:r w:rsidRPr="00FB7985">
        <w:rPr>
          <w:sz w:val="20"/>
        </w:rPr>
        <w:noBreakHyphen/>
        <w:t>227, s. 159.3.</w:t>
      </w:r>
    </w:p>
    <w:p w:rsidR="00795A4B" w:rsidRPr="00FB7985" w:rsidRDefault="00795A4B" w:rsidP="00795A4B">
      <w:pPr>
        <w:jc w:val="both"/>
        <w:rPr>
          <w:sz w:val="20"/>
        </w:rPr>
      </w:pPr>
    </w:p>
    <w:p w:rsidR="00795A4B" w:rsidRPr="00FB7985" w:rsidRDefault="00795A4B" w:rsidP="00795A4B">
      <w:pPr>
        <w:jc w:val="both"/>
        <w:rPr>
          <w:sz w:val="20"/>
        </w:rPr>
      </w:pPr>
      <w:r w:rsidRPr="00FB7985">
        <w:rPr>
          <w:sz w:val="20"/>
        </w:rPr>
        <w:t xml:space="preserve">Since the 2004 agreement between Canada and the United States known as the Safe Third Country Agreement, the U.S. has been designated a safe country pursuant to s. 159.3 of the </w:t>
      </w:r>
      <w:r w:rsidRPr="00FB7985">
        <w:rPr>
          <w:i/>
          <w:sz w:val="20"/>
        </w:rPr>
        <w:t xml:space="preserve">Immigration and Refugee Protection Regulations, </w:t>
      </w:r>
      <w:r w:rsidRPr="00FB7985">
        <w:rPr>
          <w:sz w:val="20"/>
        </w:rPr>
        <w:t>S.O.R./2002</w:t>
      </w:r>
      <w:r w:rsidRPr="00FB7985">
        <w:rPr>
          <w:sz w:val="20"/>
        </w:rPr>
        <w:noBreakHyphen/>
        <w:t xml:space="preserve">227. As a result, claimants arriving at a land port of entry to Canada from the U.S. are deemed to be ineligible for refugee protection in Canada pursuant to s. 101(1)(e) of the </w:t>
      </w:r>
      <w:r w:rsidRPr="00FB7985">
        <w:rPr>
          <w:i/>
          <w:sz w:val="20"/>
        </w:rPr>
        <w:t>Immigration and Refugee Protection Act</w:t>
      </w:r>
      <w:r w:rsidRPr="00FB7985">
        <w:rPr>
          <w:sz w:val="20"/>
        </w:rPr>
        <w:t>, S.C. 2001, c. 27. The individual appellants are among those claimants who were deemed ineligible. The appellants ABC and her children are from El Salvador, claiming refugee status based on gang violence and gender</w:t>
      </w:r>
      <w:r w:rsidRPr="00FB7985">
        <w:rPr>
          <w:sz w:val="20"/>
        </w:rPr>
        <w:noBreakHyphen/>
        <w:t xml:space="preserve">based persecution. The Homsi/Al Nahass appellants are a Muslim family from Syria who left the U.S. following the issuance of the first travel ban by the U.S. government. The appellant Ms. Mustefa is a Muslim woman from Ethiopia who was detained after her attempt to enter Canada from the U.S. The appellant organizations were granted the right to participate as public interest parties. The collective appellants challenged the Canadian government’s failure to review the ongoing designation of the U.S. under s. 159.3 of the </w:t>
      </w:r>
      <w:r w:rsidRPr="00FB7985">
        <w:rPr>
          <w:i/>
          <w:sz w:val="20"/>
        </w:rPr>
        <w:t>Regulations</w:t>
      </w:r>
      <w:r w:rsidRPr="00FB7985">
        <w:rPr>
          <w:sz w:val="20"/>
        </w:rPr>
        <w:t xml:space="preserve"> as rendering that provision </w:t>
      </w:r>
      <w:r w:rsidRPr="00FB7985">
        <w:rPr>
          <w:i/>
          <w:sz w:val="20"/>
        </w:rPr>
        <w:t>ultra vires</w:t>
      </w:r>
      <w:r w:rsidRPr="00FB7985">
        <w:rPr>
          <w:sz w:val="20"/>
        </w:rPr>
        <w:t xml:space="preserve"> and not in conformity with s. 101(1</w:t>
      </w:r>
      <w:proofErr w:type="gramStart"/>
      <w:r w:rsidRPr="00FB7985">
        <w:rPr>
          <w:sz w:val="20"/>
        </w:rPr>
        <w:t>)(</w:t>
      </w:r>
      <w:proofErr w:type="gramEnd"/>
      <w:r w:rsidRPr="00FB7985">
        <w:rPr>
          <w:sz w:val="20"/>
        </w:rPr>
        <w:t xml:space="preserve">a), 102(2) and 102(3) of the </w:t>
      </w:r>
      <w:r w:rsidRPr="00FB7985">
        <w:rPr>
          <w:i/>
          <w:sz w:val="20"/>
        </w:rPr>
        <w:t>Act</w:t>
      </w:r>
      <w:r w:rsidRPr="00FB7985">
        <w:rPr>
          <w:sz w:val="20"/>
        </w:rPr>
        <w:t xml:space="preserve">. They also claimed that the designation and their ineligibility to claim refugee status infringed their rights guaranteed under sections 7 and 15 of the </w:t>
      </w:r>
      <w:r w:rsidRPr="00FB7985">
        <w:rPr>
          <w:i/>
          <w:sz w:val="20"/>
        </w:rPr>
        <w:t>Canadian Charter of Rights and Freedoms</w:t>
      </w:r>
      <w:r w:rsidRPr="00FB7985">
        <w:rPr>
          <w:sz w:val="20"/>
        </w:rPr>
        <w:t xml:space="preserve"> and were not justified under s. 1.</w:t>
      </w:r>
    </w:p>
    <w:p w:rsidR="00795A4B" w:rsidRPr="00FB7985" w:rsidRDefault="00795A4B" w:rsidP="00795A4B">
      <w:pPr>
        <w:jc w:val="both"/>
        <w:rPr>
          <w:sz w:val="20"/>
        </w:rPr>
      </w:pPr>
    </w:p>
    <w:p w:rsidR="00795A4B" w:rsidRPr="00FB7985" w:rsidRDefault="00795A4B" w:rsidP="00795A4B">
      <w:pPr>
        <w:widowControl w:val="0"/>
        <w:jc w:val="both"/>
        <w:rPr>
          <w:sz w:val="20"/>
        </w:rPr>
      </w:pPr>
      <w:r w:rsidRPr="00FB7985">
        <w:rPr>
          <w:sz w:val="20"/>
        </w:rPr>
        <w:t xml:space="preserve">The Federal Court rejected the </w:t>
      </w:r>
      <w:r w:rsidRPr="00FB7985">
        <w:rPr>
          <w:i/>
          <w:sz w:val="20"/>
        </w:rPr>
        <w:t>ultra vires</w:t>
      </w:r>
      <w:r w:rsidRPr="00FB7985">
        <w:rPr>
          <w:sz w:val="20"/>
        </w:rPr>
        <w:t xml:space="preserve"> argument but held that s. 159.3 of the </w:t>
      </w:r>
      <w:r w:rsidRPr="00FB7985">
        <w:rPr>
          <w:i/>
          <w:sz w:val="20"/>
        </w:rPr>
        <w:t>Regulations</w:t>
      </w:r>
      <w:r w:rsidRPr="00FB7985">
        <w:rPr>
          <w:sz w:val="20"/>
        </w:rPr>
        <w:t xml:space="preserve"> and s. 101(1</w:t>
      </w:r>
      <w:proofErr w:type="gramStart"/>
      <w:r w:rsidRPr="00FB7985">
        <w:rPr>
          <w:sz w:val="20"/>
        </w:rPr>
        <w:t>)(</w:t>
      </w:r>
      <w:proofErr w:type="gramEnd"/>
      <w:r w:rsidRPr="00FB7985">
        <w:rPr>
          <w:sz w:val="20"/>
        </w:rPr>
        <w:t xml:space="preserve">e) of the </w:t>
      </w:r>
      <w:r w:rsidRPr="00FB7985">
        <w:rPr>
          <w:i/>
          <w:sz w:val="20"/>
        </w:rPr>
        <w:t xml:space="preserve">Act </w:t>
      </w:r>
      <w:r w:rsidRPr="00FB7985">
        <w:rPr>
          <w:sz w:val="20"/>
        </w:rPr>
        <w:t>infringed s. 7 of the</w:t>
      </w:r>
      <w:r w:rsidRPr="00FB7985">
        <w:rPr>
          <w:i/>
          <w:sz w:val="20"/>
        </w:rPr>
        <w:t xml:space="preserve"> Charter </w:t>
      </w:r>
      <w:r w:rsidRPr="00FB7985">
        <w:rPr>
          <w:sz w:val="20"/>
        </w:rPr>
        <w:t>and were not justified under s. 1</w:t>
      </w:r>
      <w:r w:rsidRPr="00FB7985">
        <w:rPr>
          <w:i/>
          <w:sz w:val="20"/>
        </w:rPr>
        <w:t xml:space="preserve">. </w:t>
      </w:r>
      <w:r w:rsidRPr="00FB7985">
        <w:rPr>
          <w:sz w:val="20"/>
        </w:rPr>
        <w:t>The court found it unnecessary to consider whether the provisions also infringed s. 15. The appellate court allowed the appeal, dismissed a cross</w:t>
      </w:r>
      <w:r w:rsidRPr="00FB7985">
        <w:rPr>
          <w:sz w:val="20"/>
        </w:rPr>
        <w:noBreakHyphen/>
        <w:t xml:space="preserve">appeal on the </w:t>
      </w:r>
      <w:r w:rsidRPr="00FB7985">
        <w:rPr>
          <w:i/>
          <w:sz w:val="20"/>
        </w:rPr>
        <w:t>ultra vires</w:t>
      </w:r>
      <w:r w:rsidRPr="00FB7985">
        <w:rPr>
          <w:sz w:val="20"/>
        </w:rPr>
        <w:t xml:space="preserve"> and s. 15 issues, set aside the Federal Court decisions, and dismissed the applications for judicial review.</w:t>
      </w:r>
    </w:p>
    <w:p w:rsidR="00795A4B" w:rsidRPr="00FB7985" w:rsidRDefault="00795A4B" w:rsidP="00795A4B">
      <w:pPr>
        <w:widowControl w:val="0"/>
        <w:jc w:val="both"/>
        <w:rPr>
          <w:sz w:val="20"/>
        </w:rPr>
      </w:pPr>
    </w:p>
    <w:p w:rsidR="00795A4B" w:rsidRPr="00FB7985" w:rsidRDefault="00872881" w:rsidP="00795A4B">
      <w:pPr>
        <w:widowControl w:val="0"/>
        <w:jc w:val="both"/>
        <w:rPr>
          <w:sz w:val="20"/>
        </w:rPr>
      </w:pPr>
      <w:r>
        <w:rPr>
          <w:sz w:val="20"/>
        </w:rPr>
        <w:pict>
          <v:rect id="_x0000_i1029" style="width:2in;height:1pt" o:hrpct="0" o:hralign="center" o:hrstd="t" o:hrnoshade="t" o:hr="t" fillcolor="black [3213]" stroked="f"/>
        </w:pict>
      </w:r>
    </w:p>
    <w:p w:rsidR="00795A4B" w:rsidRPr="00FB7985" w:rsidRDefault="00795A4B" w:rsidP="00795A4B">
      <w:pPr>
        <w:widowControl w:val="0"/>
        <w:jc w:val="both"/>
        <w:rPr>
          <w:sz w:val="20"/>
          <w:lang w:val="en-CA"/>
        </w:rPr>
      </w:pPr>
    </w:p>
    <w:p w:rsidR="00795A4B" w:rsidRPr="00FB7985" w:rsidRDefault="00795A4B" w:rsidP="00795A4B">
      <w:pPr>
        <w:pStyle w:val="SCCLsocParty"/>
        <w:ind w:left="720" w:hanging="720"/>
        <w:jc w:val="both"/>
        <w:rPr>
          <w:i/>
          <w:sz w:val="20"/>
          <w:szCs w:val="20"/>
        </w:rPr>
      </w:pPr>
      <w:r w:rsidRPr="00FB7985">
        <w:rPr>
          <w:b/>
          <w:sz w:val="20"/>
          <w:szCs w:val="20"/>
        </w:rPr>
        <w:fldChar w:fldCharType="begin"/>
      </w:r>
      <w:r w:rsidRPr="00FB7985">
        <w:rPr>
          <w:b/>
          <w:sz w:val="20"/>
          <w:szCs w:val="20"/>
        </w:rPr>
        <w:instrText xml:space="preserve"> SEQ CHAPTER \h \r 1</w:instrText>
      </w:r>
      <w:r w:rsidRPr="00FB7985">
        <w:rPr>
          <w:b/>
          <w:sz w:val="20"/>
          <w:szCs w:val="20"/>
        </w:rPr>
        <w:fldChar w:fldCharType="end"/>
      </w:r>
      <w:r w:rsidRPr="00FB7985">
        <w:rPr>
          <w:b/>
          <w:sz w:val="20"/>
          <w:szCs w:val="20"/>
        </w:rPr>
        <w:t>39749</w:t>
      </w:r>
      <w:r w:rsidRPr="00FB7985">
        <w:rPr>
          <w:sz w:val="20"/>
          <w:szCs w:val="20"/>
        </w:rPr>
        <w:tab/>
      </w:r>
      <w:r w:rsidRPr="00FB7985">
        <w:rPr>
          <w:b/>
          <w:i/>
          <w:sz w:val="20"/>
          <w:szCs w:val="20"/>
        </w:rPr>
        <w:t>Conseil canadien pour les réfugiés, Amnestie Internationale, Conseil canadien des Églises, ABC, DE [représentée par sa tutrice à l’instance ABC], FG [représentée par sa tutrice à l’instance ABC], Mohammad Majd Maher Homsi, Hala Maher Homsi, Karam Maher Homsi, Reda Yassin Al Nahass, Nedira Jemal Mustefa c. Ministre de la Citoyenneté et de l’Immigration, Ministre de la Sécurité publique de la Protection civile</w:t>
      </w:r>
    </w:p>
    <w:p w:rsidR="00795A4B" w:rsidRPr="00FB7985" w:rsidRDefault="00795A4B" w:rsidP="00795A4B">
      <w:pPr>
        <w:pStyle w:val="SCCLsocParty"/>
        <w:tabs>
          <w:tab w:val="left" w:pos="0"/>
        </w:tabs>
        <w:jc w:val="both"/>
        <w:rPr>
          <w:sz w:val="20"/>
          <w:szCs w:val="20"/>
        </w:rPr>
      </w:pPr>
      <w:r w:rsidRPr="00FB7985">
        <w:rPr>
          <w:sz w:val="20"/>
          <w:szCs w:val="20"/>
        </w:rPr>
        <w:tab/>
        <w:t>(C.F.) (Civile) (Autorisation)</w:t>
      </w:r>
    </w:p>
    <w:p w:rsidR="00795A4B" w:rsidRPr="00FB7985" w:rsidRDefault="00795A4B" w:rsidP="00795A4B">
      <w:pPr>
        <w:jc w:val="both"/>
        <w:rPr>
          <w:sz w:val="20"/>
          <w:lang w:val="fr-CA"/>
        </w:rPr>
      </w:pPr>
    </w:p>
    <w:p w:rsidR="00795A4B" w:rsidRPr="00FB7985" w:rsidRDefault="00795A4B" w:rsidP="00795A4B">
      <w:pPr>
        <w:pStyle w:val="SCCCaseDescriptor"/>
        <w:jc w:val="both"/>
        <w:rPr>
          <w:sz w:val="20"/>
          <w:lang w:val="fr-CA"/>
        </w:rPr>
      </w:pPr>
      <w:r w:rsidRPr="00FB7985">
        <w:rPr>
          <w:sz w:val="20"/>
          <w:lang w:val="fr-CA"/>
        </w:rPr>
        <w:t>(Publication dans le dossier) (Ordonnance de mise sous scellés)</w:t>
      </w:r>
    </w:p>
    <w:p w:rsidR="00795A4B" w:rsidRPr="00FB7985" w:rsidRDefault="00795A4B" w:rsidP="00795A4B">
      <w:pPr>
        <w:jc w:val="both"/>
        <w:rPr>
          <w:sz w:val="20"/>
          <w:lang w:val="fr-CA"/>
        </w:rPr>
      </w:pPr>
    </w:p>
    <w:p w:rsidR="00795A4B" w:rsidRPr="00FB7985" w:rsidRDefault="00795A4B" w:rsidP="00795A4B">
      <w:pPr>
        <w:jc w:val="both"/>
        <w:rPr>
          <w:sz w:val="20"/>
          <w:lang w:val="fr-CA"/>
        </w:rPr>
      </w:pPr>
      <w:r w:rsidRPr="00FB7985">
        <w:rPr>
          <w:sz w:val="20"/>
          <w:lang w:val="fr-CA"/>
        </w:rPr>
        <w:t>Droit constitutionnel —</w:t>
      </w:r>
      <w:r w:rsidRPr="00FB7985">
        <w:rPr>
          <w:i/>
          <w:sz w:val="20"/>
          <w:lang w:val="fr-CA"/>
        </w:rPr>
        <w:t xml:space="preserve"> Charte des droits </w:t>
      </w:r>
      <w:r w:rsidRPr="00FB7985">
        <w:rPr>
          <w:sz w:val="20"/>
          <w:lang w:val="fr-CA"/>
        </w:rPr>
        <w:t>— Droit à la sécurité de la personne — Justice fondamentale — Droit à l’égalité — Limites raisonnables — Immigration — Interdiction de territoire et renvoi — Contrôle judiciaire — Appelants sollicitant le contrôle judiciaire de décisions relatives à leur irrecevabilité à présenter des demandes d’asile au Canada après être arrivés à un point d’entrée terrestre en provenant des États</w:t>
      </w:r>
      <w:r w:rsidRPr="00FB7985">
        <w:rPr>
          <w:sz w:val="20"/>
          <w:lang w:val="fr-CA"/>
        </w:rPr>
        <w:noBreakHyphen/>
        <w:t>Unis — La Cour d’appel fédérale a</w:t>
      </w:r>
      <w:r w:rsidRPr="00FB7985">
        <w:rPr>
          <w:sz w:val="20"/>
          <w:lang w:val="fr-CA"/>
        </w:rPr>
        <w:noBreakHyphen/>
        <w:t>t</w:t>
      </w:r>
      <w:r w:rsidRPr="00FB7985">
        <w:rPr>
          <w:sz w:val="20"/>
          <w:lang w:val="fr-CA"/>
        </w:rPr>
        <w:noBreakHyphen/>
        <w:t>elle commis une erreur en refusant de statuer sur la constitutionnalité des dispositions applicables? — Faut</w:t>
      </w:r>
      <w:r w:rsidRPr="00FB7985">
        <w:rPr>
          <w:sz w:val="20"/>
          <w:lang w:val="fr-CA"/>
        </w:rPr>
        <w:noBreakHyphen/>
        <w:t xml:space="preserve">il trancher la revendication fondée sur l’égalité de sexe, au titre de l’art. 15 de la </w:t>
      </w:r>
      <w:r w:rsidRPr="00FB7985">
        <w:rPr>
          <w:i/>
          <w:sz w:val="20"/>
          <w:lang w:val="fr-CA"/>
        </w:rPr>
        <w:t>Charte</w:t>
      </w:r>
      <w:r w:rsidRPr="00FB7985">
        <w:rPr>
          <w:sz w:val="20"/>
          <w:lang w:val="fr-CA"/>
        </w:rPr>
        <w:t xml:space="preserve">? — L’art. 159.3 </w:t>
      </w:r>
      <w:proofErr w:type="gramStart"/>
      <w:r w:rsidRPr="00FB7985">
        <w:rPr>
          <w:sz w:val="20"/>
          <w:lang w:val="fr-CA"/>
        </w:rPr>
        <w:t>du</w:t>
      </w:r>
      <w:proofErr w:type="gramEnd"/>
      <w:r w:rsidRPr="00FB7985">
        <w:rPr>
          <w:sz w:val="20"/>
          <w:lang w:val="fr-CA"/>
        </w:rPr>
        <w:t xml:space="preserve"> </w:t>
      </w:r>
      <w:r w:rsidRPr="00FB7985">
        <w:rPr>
          <w:i/>
          <w:sz w:val="20"/>
          <w:lang w:val="fr-CA"/>
        </w:rPr>
        <w:t>Règlement</w:t>
      </w:r>
      <w:r w:rsidRPr="00FB7985">
        <w:rPr>
          <w:sz w:val="20"/>
          <w:lang w:val="fr-CA"/>
        </w:rPr>
        <w:t xml:space="preserve"> est</w:t>
      </w:r>
      <w:r w:rsidRPr="00FB7985">
        <w:rPr>
          <w:sz w:val="20"/>
          <w:lang w:val="fr-CA"/>
        </w:rPr>
        <w:noBreakHyphen/>
        <w:t xml:space="preserve">il </w:t>
      </w:r>
      <w:r w:rsidRPr="00FB7985">
        <w:rPr>
          <w:i/>
          <w:sz w:val="20"/>
          <w:lang w:val="fr-CA"/>
        </w:rPr>
        <w:t>ultra vires</w:t>
      </w:r>
      <w:r w:rsidRPr="00FB7985">
        <w:rPr>
          <w:sz w:val="20"/>
          <w:lang w:val="fr-CA"/>
        </w:rPr>
        <w:t xml:space="preserve">? — L’effet combiné de l’art. 159.3 </w:t>
      </w:r>
      <w:proofErr w:type="gramStart"/>
      <w:r w:rsidRPr="00FB7985">
        <w:rPr>
          <w:sz w:val="20"/>
          <w:lang w:val="fr-CA"/>
        </w:rPr>
        <w:t>du</w:t>
      </w:r>
      <w:proofErr w:type="gramEnd"/>
      <w:r w:rsidRPr="00FB7985">
        <w:rPr>
          <w:i/>
          <w:sz w:val="20"/>
          <w:lang w:val="fr-CA"/>
        </w:rPr>
        <w:t xml:space="preserve"> Règlement</w:t>
      </w:r>
      <w:r w:rsidRPr="00FB7985">
        <w:rPr>
          <w:sz w:val="20"/>
          <w:lang w:val="fr-CA"/>
        </w:rPr>
        <w:t xml:space="preserve"> et de l’al. 101(1)e) de la </w:t>
      </w:r>
      <w:r w:rsidRPr="00FB7985">
        <w:rPr>
          <w:i/>
          <w:sz w:val="20"/>
          <w:lang w:val="fr-CA"/>
        </w:rPr>
        <w:t>Loi</w:t>
      </w:r>
      <w:r w:rsidRPr="00FB7985">
        <w:rPr>
          <w:sz w:val="20"/>
          <w:lang w:val="fr-CA"/>
        </w:rPr>
        <w:t xml:space="preserve"> viole</w:t>
      </w:r>
      <w:r w:rsidRPr="00FB7985">
        <w:rPr>
          <w:sz w:val="20"/>
          <w:lang w:val="fr-CA"/>
        </w:rPr>
        <w:noBreakHyphen/>
        <w:t>t</w:t>
      </w:r>
      <w:r w:rsidRPr="00FB7985">
        <w:rPr>
          <w:sz w:val="20"/>
          <w:lang w:val="fr-CA"/>
        </w:rPr>
        <w:noBreakHyphen/>
        <w:t xml:space="preserve">il les droits garantis à l’art. 7 de la </w:t>
      </w:r>
      <w:r w:rsidRPr="00FB7985">
        <w:rPr>
          <w:i/>
          <w:sz w:val="20"/>
          <w:lang w:val="fr-CA"/>
        </w:rPr>
        <w:t>Charte</w:t>
      </w:r>
      <w:r w:rsidRPr="00FB7985">
        <w:rPr>
          <w:sz w:val="20"/>
          <w:lang w:val="fr-CA"/>
        </w:rPr>
        <w:t xml:space="preserve"> aux demandeurs d’asile? — Si oui, la violation est</w:t>
      </w:r>
      <w:r w:rsidRPr="00FB7985">
        <w:rPr>
          <w:sz w:val="20"/>
          <w:lang w:val="fr-CA"/>
        </w:rPr>
        <w:noBreakHyphen/>
        <w:t xml:space="preserve">elle une limite raisonnable restreinte par une règle de droit et dont la justification peut se démontrer dans le cadre d’une société libre et démocratique, en vertu de l’article premier de la </w:t>
      </w:r>
      <w:r w:rsidRPr="00FB7985">
        <w:rPr>
          <w:i/>
          <w:sz w:val="20"/>
          <w:lang w:val="fr-CA"/>
        </w:rPr>
        <w:t>Charte</w:t>
      </w:r>
      <w:r w:rsidRPr="00FB7985">
        <w:rPr>
          <w:sz w:val="20"/>
          <w:lang w:val="fr-CA"/>
        </w:rPr>
        <w:t xml:space="preserve">? — L’effet combiné de l’art. 159.3 </w:t>
      </w:r>
      <w:proofErr w:type="gramStart"/>
      <w:r w:rsidRPr="00FB7985">
        <w:rPr>
          <w:sz w:val="20"/>
          <w:lang w:val="fr-CA"/>
        </w:rPr>
        <w:t>du</w:t>
      </w:r>
      <w:proofErr w:type="gramEnd"/>
      <w:r w:rsidRPr="00FB7985">
        <w:rPr>
          <w:sz w:val="20"/>
          <w:lang w:val="fr-CA"/>
        </w:rPr>
        <w:t xml:space="preserve"> </w:t>
      </w:r>
      <w:r w:rsidRPr="00FB7985">
        <w:rPr>
          <w:i/>
          <w:sz w:val="20"/>
          <w:lang w:val="fr-CA"/>
        </w:rPr>
        <w:t>Règlement</w:t>
      </w:r>
      <w:r w:rsidRPr="00FB7985">
        <w:rPr>
          <w:sz w:val="20"/>
          <w:lang w:val="fr-CA"/>
        </w:rPr>
        <w:t xml:space="preserve"> et de l’al. 101(1)e) de la </w:t>
      </w:r>
      <w:r w:rsidRPr="00FB7985">
        <w:rPr>
          <w:i/>
          <w:sz w:val="20"/>
          <w:lang w:val="fr-CA"/>
        </w:rPr>
        <w:t>Loi</w:t>
      </w:r>
      <w:r w:rsidRPr="00FB7985">
        <w:rPr>
          <w:sz w:val="20"/>
          <w:lang w:val="fr-CA"/>
        </w:rPr>
        <w:t xml:space="preserve"> viole</w:t>
      </w:r>
      <w:r w:rsidRPr="00FB7985">
        <w:rPr>
          <w:sz w:val="20"/>
          <w:lang w:val="fr-CA"/>
        </w:rPr>
        <w:noBreakHyphen/>
        <w:t>t</w:t>
      </w:r>
      <w:r w:rsidRPr="00FB7985">
        <w:rPr>
          <w:sz w:val="20"/>
          <w:lang w:val="fr-CA"/>
        </w:rPr>
        <w:noBreakHyphen/>
        <w:t xml:space="preserve">il l’art. 15 de la </w:t>
      </w:r>
      <w:r w:rsidRPr="00FB7985">
        <w:rPr>
          <w:i/>
          <w:sz w:val="20"/>
          <w:lang w:val="fr-CA"/>
        </w:rPr>
        <w:t>Charte</w:t>
      </w:r>
      <w:r w:rsidRPr="00FB7985">
        <w:rPr>
          <w:sz w:val="20"/>
          <w:lang w:val="fr-CA"/>
        </w:rPr>
        <w:t>? — Si oui, la violation est</w:t>
      </w:r>
      <w:r w:rsidRPr="00FB7985">
        <w:rPr>
          <w:sz w:val="20"/>
          <w:lang w:val="fr-CA"/>
        </w:rPr>
        <w:noBreakHyphen/>
        <w:t xml:space="preserve">elle une limite raisonnable restreinte par une règle de droit et dont la justification peut se démontrer dans le cadre d’une société libre et démocratique, en vertu de l’article premier de la </w:t>
      </w:r>
      <w:r w:rsidRPr="00FB7985">
        <w:rPr>
          <w:i/>
          <w:sz w:val="20"/>
          <w:lang w:val="fr-CA"/>
        </w:rPr>
        <w:t>Charte</w:t>
      </w:r>
      <w:r w:rsidRPr="00FB7985">
        <w:rPr>
          <w:sz w:val="20"/>
          <w:lang w:val="fr-CA"/>
        </w:rPr>
        <w:t>? —</w:t>
      </w:r>
      <w:r w:rsidRPr="00FB7985">
        <w:rPr>
          <w:i/>
          <w:sz w:val="20"/>
          <w:lang w:val="fr-CA"/>
        </w:rPr>
        <w:t xml:space="preserve"> Charte canadienne des droits et libertés</w:t>
      </w:r>
      <w:r w:rsidRPr="00FB7985">
        <w:rPr>
          <w:sz w:val="20"/>
          <w:lang w:val="fr-CA"/>
        </w:rPr>
        <w:t>, articles premier, 7 et 15 —</w:t>
      </w:r>
      <w:r w:rsidRPr="00FB7985">
        <w:rPr>
          <w:i/>
          <w:sz w:val="20"/>
          <w:lang w:val="fr-CA"/>
        </w:rPr>
        <w:t xml:space="preserve"> Loi sur l’immigration et la protection des réfugiés</w:t>
      </w:r>
      <w:r w:rsidRPr="00FB7985">
        <w:rPr>
          <w:sz w:val="20"/>
          <w:lang w:val="fr-CA"/>
        </w:rPr>
        <w:t>, L.C. 2001, c. 27, par. 102(2) et 102(3), al. 101(1)e) —</w:t>
      </w:r>
      <w:r w:rsidRPr="00FB7985">
        <w:rPr>
          <w:i/>
          <w:sz w:val="20"/>
          <w:lang w:val="fr-CA"/>
        </w:rPr>
        <w:t xml:space="preserve"> Règlement sur l’immigration et la protection des réfugiés</w:t>
      </w:r>
      <w:r w:rsidRPr="00FB7985">
        <w:rPr>
          <w:sz w:val="20"/>
          <w:lang w:val="fr-CA"/>
        </w:rPr>
        <w:t>, D.O.R.S./2002</w:t>
      </w:r>
      <w:r w:rsidRPr="00FB7985">
        <w:rPr>
          <w:sz w:val="20"/>
          <w:lang w:val="fr-CA"/>
        </w:rPr>
        <w:noBreakHyphen/>
        <w:t>227, art. 159.3.</w:t>
      </w:r>
    </w:p>
    <w:p w:rsidR="00795A4B" w:rsidRPr="00FB7985" w:rsidRDefault="00795A4B" w:rsidP="00795A4B">
      <w:pPr>
        <w:jc w:val="both"/>
        <w:rPr>
          <w:sz w:val="20"/>
          <w:lang w:val="fr-CA"/>
        </w:rPr>
      </w:pPr>
    </w:p>
    <w:p w:rsidR="00795A4B" w:rsidRPr="00FB7985" w:rsidRDefault="00795A4B" w:rsidP="00795A4B">
      <w:pPr>
        <w:jc w:val="both"/>
        <w:rPr>
          <w:sz w:val="20"/>
          <w:lang w:val="fr-CA"/>
        </w:rPr>
      </w:pPr>
      <w:r w:rsidRPr="00FB7985">
        <w:rPr>
          <w:sz w:val="20"/>
          <w:lang w:val="fr-CA"/>
        </w:rPr>
        <w:lastRenderedPageBreak/>
        <w:t>Depuis l’entente de 2004 entre le Canada et les États</w:t>
      </w:r>
      <w:r w:rsidRPr="00FB7985">
        <w:rPr>
          <w:sz w:val="20"/>
          <w:lang w:val="fr-CA"/>
        </w:rPr>
        <w:noBreakHyphen/>
        <w:t>Unis, communément appelée Entente sur les tiers pays sûrs, les États</w:t>
      </w:r>
      <w:r w:rsidRPr="00FB7985">
        <w:rPr>
          <w:sz w:val="20"/>
          <w:lang w:val="fr-CA"/>
        </w:rPr>
        <w:noBreakHyphen/>
        <w:t xml:space="preserve">Unis ont été désignés tiers pays sûr, au titre de l’art 159.3 du </w:t>
      </w:r>
      <w:r w:rsidRPr="00FB7985">
        <w:rPr>
          <w:i/>
          <w:sz w:val="20"/>
          <w:lang w:val="fr-CA"/>
        </w:rPr>
        <w:t>Règlement sur l’immigration et la protection des réfugiés</w:t>
      </w:r>
      <w:r w:rsidRPr="00FB7985">
        <w:rPr>
          <w:sz w:val="20"/>
          <w:lang w:val="fr-CA"/>
        </w:rPr>
        <w:t>, D.O.R.S./2002 227. Par conséquent, les demandeurs arrivant à un point d’entrée terrestre canadien en provenance des États</w:t>
      </w:r>
      <w:r w:rsidRPr="00FB7985">
        <w:rPr>
          <w:sz w:val="20"/>
          <w:lang w:val="fr-CA"/>
        </w:rPr>
        <w:noBreakHyphen/>
        <w:t xml:space="preserve">Unis sont considérés comme irrecevables à présenter une demande d’asile au Canada, en application de l’al. 101(1)e) de la </w:t>
      </w:r>
      <w:r w:rsidRPr="00FB7985">
        <w:rPr>
          <w:i/>
          <w:sz w:val="20"/>
          <w:lang w:val="fr-CA"/>
        </w:rPr>
        <w:t>Loi sur l’immigration et la protection des réfugiés</w:t>
      </w:r>
      <w:r w:rsidRPr="00FB7985">
        <w:rPr>
          <w:sz w:val="20"/>
          <w:lang w:val="fr-CA"/>
        </w:rPr>
        <w:t>, L.C. 2001, c 27. Les individus appelants font partie de ces demandeurs qui ont été considérés comme irrecevables. Les appelants, ABC et ses enfants, sont originaires du Salvador, ils demandent l’asile en raison de la violence des gangs et de la persécution fondée sur le sexe. Les appelants Homsi/Al Nahass sont des membres d’une famille musulmane syrienne qui a quitté les États</w:t>
      </w:r>
      <w:r w:rsidRPr="00FB7985">
        <w:rPr>
          <w:sz w:val="20"/>
          <w:lang w:val="fr-CA"/>
        </w:rPr>
        <w:noBreakHyphen/>
        <w:t>Unis après l’instauration de la première mesure d’interdiction de voyager par le gouvernement américain. L’appelante, M</w:t>
      </w:r>
      <w:r w:rsidRPr="00FB7985">
        <w:rPr>
          <w:sz w:val="20"/>
          <w:vertAlign w:val="superscript"/>
          <w:lang w:val="fr-CA"/>
        </w:rPr>
        <w:t>me</w:t>
      </w:r>
      <w:r w:rsidRPr="00FB7985">
        <w:rPr>
          <w:sz w:val="20"/>
          <w:lang w:val="fr-CA"/>
        </w:rPr>
        <w:t> Mustefa, est une femme musulmane originaire d’Éthiopie qui a été détenue après sa tentative d’entrer au Canada en provenance des États</w:t>
      </w:r>
      <w:r w:rsidRPr="00FB7985">
        <w:rPr>
          <w:sz w:val="20"/>
          <w:lang w:val="fr-CA"/>
        </w:rPr>
        <w:noBreakHyphen/>
        <w:t>Unis. Les organisations appelantes ont obtenu le droit de participer aux demandes en tant que parties intéressées. Les appelants contestent collectivement le défaut du gouvernement canadien de revoir la désignation actuelle des États</w:t>
      </w:r>
      <w:r w:rsidRPr="00FB7985">
        <w:rPr>
          <w:sz w:val="20"/>
          <w:lang w:val="fr-CA"/>
        </w:rPr>
        <w:noBreakHyphen/>
        <w:t xml:space="preserve">Unis au titre de l’article 159.3 du </w:t>
      </w:r>
      <w:r w:rsidRPr="00FB7985">
        <w:rPr>
          <w:i/>
          <w:sz w:val="20"/>
          <w:lang w:val="fr-CA"/>
        </w:rPr>
        <w:t>Règlement</w:t>
      </w:r>
      <w:r w:rsidRPr="00FB7985">
        <w:rPr>
          <w:sz w:val="20"/>
          <w:lang w:val="fr-CA"/>
        </w:rPr>
        <w:t xml:space="preserve"> qui rendrait cette disposition </w:t>
      </w:r>
      <w:r w:rsidRPr="00FB7985">
        <w:rPr>
          <w:i/>
          <w:sz w:val="20"/>
          <w:lang w:val="fr-CA"/>
        </w:rPr>
        <w:t>ultra vires</w:t>
      </w:r>
      <w:r w:rsidRPr="00FB7985">
        <w:rPr>
          <w:sz w:val="20"/>
          <w:lang w:val="fr-CA"/>
        </w:rPr>
        <w:t xml:space="preserve"> et non conforme aux par. 102(2) et 102(3) et à l’al. 101(1)a) de la </w:t>
      </w:r>
      <w:r w:rsidRPr="00FB7985">
        <w:rPr>
          <w:i/>
          <w:sz w:val="20"/>
          <w:lang w:val="fr-CA"/>
        </w:rPr>
        <w:t>Loi</w:t>
      </w:r>
      <w:r w:rsidRPr="00FB7985">
        <w:rPr>
          <w:sz w:val="20"/>
          <w:lang w:val="fr-CA"/>
        </w:rPr>
        <w:t xml:space="preserve">. Ils font aussi valoir que la désignation et leur irrecevabilité à demander l’asile violent les droits que les articles 7 et 15 de la </w:t>
      </w:r>
      <w:r w:rsidRPr="00FB7985">
        <w:rPr>
          <w:i/>
          <w:sz w:val="20"/>
          <w:lang w:val="fr-CA"/>
        </w:rPr>
        <w:t>Charte canadienne des droits et libertés</w:t>
      </w:r>
      <w:r w:rsidRPr="00FB7985">
        <w:rPr>
          <w:sz w:val="20"/>
          <w:lang w:val="fr-CA"/>
        </w:rPr>
        <w:t xml:space="preserve"> leur garantissent et ne sont pas justifiées au titre de l’article premier. </w:t>
      </w:r>
    </w:p>
    <w:p w:rsidR="00795A4B" w:rsidRPr="00FB7985" w:rsidRDefault="00795A4B" w:rsidP="00795A4B">
      <w:pPr>
        <w:jc w:val="both"/>
        <w:rPr>
          <w:sz w:val="20"/>
          <w:lang w:val="fr-CA"/>
        </w:rPr>
      </w:pPr>
    </w:p>
    <w:p w:rsidR="00795A4B" w:rsidRPr="00FB7985" w:rsidRDefault="00795A4B" w:rsidP="00795A4B">
      <w:pPr>
        <w:widowControl w:val="0"/>
        <w:jc w:val="both"/>
        <w:rPr>
          <w:sz w:val="20"/>
          <w:lang w:val="fr-CA"/>
        </w:rPr>
      </w:pPr>
      <w:r w:rsidRPr="00FB7985">
        <w:rPr>
          <w:sz w:val="20"/>
          <w:lang w:val="fr-CA"/>
        </w:rPr>
        <w:t xml:space="preserve">La Cour fédérale a rejeté l’argument fondé sur le caractère </w:t>
      </w:r>
      <w:r w:rsidRPr="00FB7985">
        <w:rPr>
          <w:i/>
          <w:sz w:val="20"/>
          <w:lang w:val="fr-CA"/>
        </w:rPr>
        <w:t>ultra vires</w:t>
      </w:r>
      <w:r w:rsidRPr="00FB7985">
        <w:rPr>
          <w:sz w:val="20"/>
          <w:lang w:val="fr-CA"/>
        </w:rPr>
        <w:t xml:space="preserve">, mais a jugé que l’art. 159.3 </w:t>
      </w:r>
      <w:proofErr w:type="gramStart"/>
      <w:r w:rsidRPr="00FB7985">
        <w:rPr>
          <w:sz w:val="20"/>
          <w:lang w:val="fr-CA"/>
        </w:rPr>
        <w:t>du</w:t>
      </w:r>
      <w:proofErr w:type="gramEnd"/>
      <w:r w:rsidRPr="00FB7985">
        <w:rPr>
          <w:sz w:val="20"/>
          <w:lang w:val="fr-CA"/>
        </w:rPr>
        <w:t xml:space="preserve"> </w:t>
      </w:r>
      <w:r w:rsidRPr="00FB7985">
        <w:rPr>
          <w:i/>
          <w:sz w:val="20"/>
          <w:lang w:val="fr-CA"/>
        </w:rPr>
        <w:t>Règlement</w:t>
      </w:r>
      <w:r w:rsidRPr="00FB7985">
        <w:rPr>
          <w:sz w:val="20"/>
          <w:lang w:val="fr-CA"/>
        </w:rPr>
        <w:t xml:space="preserve"> et l’al. 101(1)e) de la </w:t>
      </w:r>
      <w:r w:rsidRPr="00FB7985">
        <w:rPr>
          <w:i/>
          <w:sz w:val="20"/>
          <w:lang w:val="fr-CA"/>
        </w:rPr>
        <w:t>Loi</w:t>
      </w:r>
      <w:r w:rsidRPr="00FB7985">
        <w:rPr>
          <w:sz w:val="20"/>
          <w:lang w:val="fr-CA"/>
        </w:rPr>
        <w:t xml:space="preserve"> violaient l’art. 7 de la </w:t>
      </w:r>
      <w:r w:rsidRPr="00FB7985">
        <w:rPr>
          <w:i/>
          <w:sz w:val="20"/>
          <w:lang w:val="fr-CA"/>
        </w:rPr>
        <w:t>Charte</w:t>
      </w:r>
      <w:r w:rsidRPr="00FB7985">
        <w:rPr>
          <w:sz w:val="20"/>
          <w:lang w:val="fr-CA"/>
        </w:rPr>
        <w:t xml:space="preserve"> et n’étaient pas justifiés au regard de l’article premier</w:t>
      </w:r>
      <w:r w:rsidRPr="00FB7985">
        <w:rPr>
          <w:i/>
          <w:sz w:val="20"/>
          <w:lang w:val="fr-CA"/>
        </w:rPr>
        <w:t>.</w:t>
      </w:r>
      <w:r w:rsidRPr="00FB7985">
        <w:rPr>
          <w:sz w:val="20"/>
          <w:lang w:val="fr-CA"/>
        </w:rPr>
        <w:t xml:space="preserve"> Cette cour a conclu qu’il n’était pas nécessaire d’examiner si les dispositions violaient aussi l’art. 15. La Cour d’appel a accueilli l’appel, a rejeté l’appel incident sur le fondement du caractère </w:t>
      </w:r>
      <w:r w:rsidRPr="00FB7985">
        <w:rPr>
          <w:i/>
          <w:sz w:val="20"/>
          <w:lang w:val="fr-CA"/>
        </w:rPr>
        <w:t>ultra vires</w:t>
      </w:r>
      <w:r w:rsidRPr="00FB7985">
        <w:rPr>
          <w:sz w:val="20"/>
          <w:lang w:val="fr-CA"/>
        </w:rPr>
        <w:t xml:space="preserve"> et des questions relatives à l’art. 15, a annulé les décisions de la Cour fédérale et a rejeté les demandes de contrôle judiciaire.</w:t>
      </w:r>
    </w:p>
    <w:p w:rsidR="00795A4B" w:rsidRPr="00FB7985" w:rsidRDefault="00795A4B" w:rsidP="00795A4B">
      <w:pPr>
        <w:jc w:val="both"/>
        <w:rPr>
          <w:sz w:val="20"/>
          <w:lang w:val="fr-CA"/>
        </w:rPr>
      </w:pPr>
    </w:p>
    <w:p w:rsidR="00795A4B" w:rsidRPr="00FB7985" w:rsidRDefault="00872881" w:rsidP="00795A4B">
      <w:pPr>
        <w:jc w:val="both"/>
        <w:rPr>
          <w:sz w:val="20"/>
          <w:lang w:val="fr-CA"/>
        </w:rPr>
      </w:pPr>
      <w:r>
        <w:rPr>
          <w:sz w:val="20"/>
        </w:rPr>
        <w:pict>
          <v:rect id="_x0000_i1030" style="width:2in;height:1pt" o:hrpct="0" o:hralign="center" o:hrstd="t" o:hrnoshade="t" o:hr="t" fillcolor="black [3213]" stroked="f"/>
        </w:pict>
      </w:r>
    </w:p>
    <w:p w:rsidR="00795A4B" w:rsidRPr="00FB7985" w:rsidRDefault="00795A4B" w:rsidP="000B23D2">
      <w:pPr>
        <w:jc w:val="both"/>
        <w:rPr>
          <w:sz w:val="20"/>
          <w:lang w:val="fr-CA"/>
        </w:rPr>
      </w:pPr>
    </w:p>
    <w:p w:rsidR="000B23D2" w:rsidRPr="00FB7985" w:rsidRDefault="000B23D2" w:rsidP="000B23D2">
      <w:pPr>
        <w:widowControl w:val="0"/>
        <w:tabs>
          <w:tab w:val="left" w:pos="900"/>
        </w:tabs>
        <w:ind w:left="1440" w:hanging="1440"/>
        <w:jc w:val="both"/>
        <w:rPr>
          <w:b/>
          <w:i/>
          <w:sz w:val="20"/>
          <w:lang w:val="en-CA"/>
        </w:rPr>
      </w:pPr>
      <w:r w:rsidRPr="00FB7985">
        <w:rPr>
          <w:b/>
          <w:sz w:val="20"/>
          <w:lang w:val="en-CA"/>
        </w:rPr>
        <w:fldChar w:fldCharType="begin"/>
      </w:r>
      <w:r w:rsidRPr="00FB7985">
        <w:rPr>
          <w:b/>
          <w:sz w:val="20"/>
        </w:rPr>
        <w:instrText xml:space="preserve"> SEQ CHAPTER \h \r 1</w:instrText>
      </w:r>
      <w:r w:rsidRPr="00FB7985">
        <w:rPr>
          <w:b/>
          <w:sz w:val="20"/>
        </w:rPr>
        <w:fldChar w:fldCharType="end"/>
      </w:r>
      <w:r w:rsidRPr="00FB7985">
        <w:rPr>
          <w:b/>
          <w:sz w:val="20"/>
          <w:lang w:val="en-CA"/>
        </w:rPr>
        <w:t>39796</w:t>
      </w:r>
      <w:r w:rsidRPr="00FB7985">
        <w:rPr>
          <w:sz w:val="20"/>
          <w:lang w:val="en-CA"/>
        </w:rPr>
        <w:tab/>
      </w:r>
      <w:r w:rsidRPr="00FB7985">
        <w:rPr>
          <w:b/>
          <w:i/>
          <w:sz w:val="20"/>
          <w:lang w:val="en-CA"/>
        </w:rPr>
        <w:t>Glen Hansman v. Barry Neufeld</w:t>
      </w:r>
    </w:p>
    <w:p w:rsidR="000B23D2" w:rsidRPr="00FB7985" w:rsidRDefault="000B23D2" w:rsidP="000B23D2">
      <w:pPr>
        <w:widowControl w:val="0"/>
        <w:tabs>
          <w:tab w:val="left" w:pos="900"/>
        </w:tabs>
        <w:ind w:left="1440" w:hanging="1440"/>
        <w:jc w:val="both"/>
        <w:rPr>
          <w:sz w:val="20"/>
          <w:lang w:val="en-CA"/>
        </w:rPr>
      </w:pPr>
      <w:r w:rsidRPr="00FB7985">
        <w:rPr>
          <w:sz w:val="20"/>
          <w:lang w:val="en-CA"/>
        </w:rPr>
        <w:tab/>
        <w:t>(B.C.) (Civil) (By Leave)</w:t>
      </w:r>
    </w:p>
    <w:p w:rsidR="000B23D2" w:rsidRPr="00FB7985" w:rsidRDefault="000B23D2" w:rsidP="000B23D2">
      <w:pPr>
        <w:widowControl w:val="0"/>
        <w:jc w:val="both"/>
        <w:rPr>
          <w:sz w:val="20"/>
          <w:lang w:val="en-CA"/>
        </w:rPr>
      </w:pPr>
    </w:p>
    <w:p w:rsidR="000B23D2" w:rsidRPr="00FB7985" w:rsidRDefault="000B23D2" w:rsidP="000B23D2">
      <w:pPr>
        <w:jc w:val="both"/>
        <w:rPr>
          <w:sz w:val="20"/>
        </w:rPr>
      </w:pPr>
      <w:r w:rsidRPr="00FB7985">
        <w:rPr>
          <w:sz w:val="20"/>
        </w:rPr>
        <w:t xml:space="preserve">Torts — Libel and slander — Anti-SLAPP legislation — Appellant applying to summarily dismiss respondent’s defamation action in relation to appellant’s public statements that were published and broadcast — Did the Court of Appeal err in overturning the chambers judge’s dismissal of the action on the basis of the fair comment defence? — Did the Court of Appeal err in overturning the chambers judge’s conclusion that the public interest in continuing the proceeding did not outweigh the public interest in protecting the defendant’s expression? — </w:t>
      </w:r>
      <w:r w:rsidRPr="00FB7985">
        <w:rPr>
          <w:i/>
          <w:sz w:val="20"/>
        </w:rPr>
        <w:t>Protection of Public Participation Act</w:t>
      </w:r>
      <w:r w:rsidRPr="00FB7985">
        <w:rPr>
          <w:sz w:val="20"/>
        </w:rPr>
        <w:t>, S.B.C. 2019, c. 3, s. 4.</w:t>
      </w:r>
    </w:p>
    <w:p w:rsidR="000B23D2" w:rsidRPr="00FB7985" w:rsidRDefault="000B23D2" w:rsidP="000B23D2">
      <w:pPr>
        <w:widowControl w:val="0"/>
        <w:jc w:val="both"/>
        <w:rPr>
          <w:sz w:val="20"/>
        </w:rPr>
      </w:pPr>
    </w:p>
    <w:p w:rsidR="000B23D2" w:rsidRPr="00FB7985" w:rsidRDefault="000B23D2" w:rsidP="000B23D2">
      <w:pPr>
        <w:jc w:val="both"/>
        <w:rPr>
          <w:sz w:val="20"/>
        </w:rPr>
      </w:pPr>
      <w:r w:rsidRPr="00FB7985">
        <w:rPr>
          <w:sz w:val="20"/>
        </w:rPr>
        <w:t xml:space="preserve">The appellant, Glen Hansman, is a gay man and teacher, and at the time of the events in question, he was also the President of the British Columbia Teacher’s Federation (“BCTF”). The respondent, Barry Neufeld, is an elected public school board trustee in the Chilliwack School District in B.C. </w:t>
      </w:r>
    </w:p>
    <w:p w:rsidR="000B23D2" w:rsidRPr="00FB7985" w:rsidRDefault="000B23D2" w:rsidP="000B23D2">
      <w:pPr>
        <w:jc w:val="both"/>
        <w:rPr>
          <w:sz w:val="20"/>
        </w:rPr>
      </w:pPr>
    </w:p>
    <w:p w:rsidR="000B23D2" w:rsidRPr="00FB7985" w:rsidRDefault="000B23D2" w:rsidP="000B23D2">
      <w:pPr>
        <w:jc w:val="both"/>
        <w:rPr>
          <w:sz w:val="20"/>
        </w:rPr>
      </w:pPr>
      <w:r w:rsidRPr="00FB7985">
        <w:rPr>
          <w:sz w:val="20"/>
        </w:rPr>
        <w:t>The B.C. Minister of Education, after consultations with stakeholders, published age-appropriate tools and resources for teachers of children from Kindergarten through Grade 12, with the goal of promoting inclusive environments, policies and procedures in schools regarding sexual orientation and gender identity (“SOGI 123”). Mr. Neufeld posted negative comments and criticisms about the implementation of SOGI 123 materials on his Facebook page. His comments attracted significant criticism and media attention. In his capacity as President of the BCTF, Mr. Hansman was interviewed about Mr. Neufeld’s post. Mr. Neufeld alleged that Mr. Hansman defamed him in that interview and in subsequent statements that were broadcast and published in the press and online. Public debate on SOGI 123 materials continued for over a year.</w:t>
      </w:r>
    </w:p>
    <w:p w:rsidR="000B23D2" w:rsidRPr="00FB7985" w:rsidRDefault="000B23D2" w:rsidP="000B23D2">
      <w:pPr>
        <w:jc w:val="both"/>
        <w:rPr>
          <w:sz w:val="20"/>
        </w:rPr>
      </w:pPr>
    </w:p>
    <w:p w:rsidR="000B23D2" w:rsidRPr="00FB7985" w:rsidRDefault="000B23D2" w:rsidP="000B23D2">
      <w:pPr>
        <w:jc w:val="both"/>
        <w:rPr>
          <w:sz w:val="20"/>
        </w:rPr>
      </w:pPr>
      <w:r w:rsidRPr="00FB7985">
        <w:rPr>
          <w:sz w:val="20"/>
        </w:rPr>
        <w:t xml:space="preserve">Mr. Neufeld filed a defamation lawsuit against Mr. Hansman. Mr. Hansman applied to have Mr. Neufeld’s action dismissed under s. 4 of the </w:t>
      </w:r>
      <w:r w:rsidRPr="00FB7985">
        <w:rPr>
          <w:i/>
          <w:sz w:val="20"/>
        </w:rPr>
        <w:t>Protection of Public Participation Act</w:t>
      </w:r>
      <w:r w:rsidRPr="00FB7985">
        <w:rPr>
          <w:sz w:val="20"/>
        </w:rPr>
        <w:t>, S.B.C. 2019, c. 3 (“</w:t>
      </w:r>
      <w:r w:rsidRPr="00FB7985">
        <w:rPr>
          <w:i/>
          <w:sz w:val="20"/>
        </w:rPr>
        <w:t>PPPA</w:t>
      </w:r>
      <w:r w:rsidRPr="00FB7985">
        <w:rPr>
          <w:sz w:val="20"/>
        </w:rPr>
        <w:t xml:space="preserve">”), commonly known as anti-“SLAAP” legislation which allows for the possibility of early dismissal of “Strategic Lawsuits </w:t>
      </w:r>
      <w:proofErr w:type="gramStart"/>
      <w:r w:rsidRPr="00FB7985">
        <w:rPr>
          <w:sz w:val="20"/>
        </w:rPr>
        <w:t>Against</w:t>
      </w:r>
      <w:proofErr w:type="gramEnd"/>
      <w:r w:rsidRPr="00FB7985">
        <w:rPr>
          <w:sz w:val="20"/>
        </w:rPr>
        <w:t xml:space="preserve"> Public Participation”.</w:t>
      </w:r>
    </w:p>
    <w:p w:rsidR="000B23D2" w:rsidRPr="00FB7985" w:rsidRDefault="000B23D2" w:rsidP="000B23D2">
      <w:pPr>
        <w:jc w:val="both"/>
        <w:rPr>
          <w:sz w:val="20"/>
        </w:rPr>
      </w:pPr>
    </w:p>
    <w:p w:rsidR="000B23D2" w:rsidRPr="00FB7985" w:rsidRDefault="000B23D2" w:rsidP="000B23D2">
      <w:pPr>
        <w:widowControl w:val="0"/>
        <w:jc w:val="both"/>
        <w:rPr>
          <w:sz w:val="20"/>
        </w:rPr>
      </w:pPr>
      <w:r w:rsidRPr="00FB7985">
        <w:rPr>
          <w:sz w:val="20"/>
        </w:rPr>
        <w:t xml:space="preserve">The application judge granted Mr. Hansman’s application for dismissal of Mr. Neufeld’s defamation action, finding that Mr. Hansman had established the necessary grounds for a dismissal under the </w:t>
      </w:r>
      <w:r w:rsidRPr="00FB7985">
        <w:rPr>
          <w:i/>
          <w:sz w:val="20"/>
        </w:rPr>
        <w:t>PPPA</w:t>
      </w:r>
      <w:r w:rsidRPr="00FB7985">
        <w:rPr>
          <w:sz w:val="20"/>
        </w:rPr>
        <w:t xml:space="preserve"> and concluding that the public interest in allowing debate over this issue outweighed the public interest in allowing Mr. Neufeld to continue his defamation proceeding against Mr. Hansman. The Court of Appeal unanimously allowed Mr. Neufeld’s appeal, holding that the application judge made several errors, and allowed Mr. Neufeld’s defamation action against Mr. Hansman to go forward.</w:t>
      </w:r>
    </w:p>
    <w:p w:rsidR="000B23D2" w:rsidRPr="00FB7985" w:rsidRDefault="000B23D2" w:rsidP="000B23D2">
      <w:pPr>
        <w:widowControl w:val="0"/>
        <w:jc w:val="both"/>
        <w:rPr>
          <w:sz w:val="20"/>
        </w:rPr>
      </w:pPr>
    </w:p>
    <w:p w:rsidR="000B23D2" w:rsidRPr="00FB7985" w:rsidRDefault="00872881" w:rsidP="000B23D2">
      <w:pPr>
        <w:widowControl w:val="0"/>
        <w:jc w:val="both"/>
        <w:rPr>
          <w:sz w:val="20"/>
        </w:rPr>
      </w:pPr>
      <w:r>
        <w:rPr>
          <w:sz w:val="20"/>
        </w:rPr>
        <w:pict>
          <v:rect id="_x0000_i1031" style="width:2in;height:1pt" o:hrpct="0" o:hralign="center" o:hrstd="t" o:hrnoshade="t" o:hr="t" fillcolor="black [3213]" stroked="f"/>
        </w:pict>
      </w:r>
    </w:p>
    <w:p w:rsidR="000B23D2" w:rsidRPr="00FB7985" w:rsidRDefault="000B23D2" w:rsidP="000B23D2">
      <w:pPr>
        <w:widowControl w:val="0"/>
        <w:jc w:val="both"/>
        <w:rPr>
          <w:sz w:val="20"/>
        </w:rPr>
      </w:pPr>
    </w:p>
    <w:p w:rsidR="000B23D2" w:rsidRPr="00FB7985" w:rsidRDefault="000B23D2" w:rsidP="000B23D2">
      <w:pPr>
        <w:pStyle w:val="SCCLsocParty"/>
        <w:jc w:val="both"/>
        <w:rPr>
          <w:b/>
          <w:i/>
          <w:sz w:val="20"/>
          <w:szCs w:val="20"/>
          <w:lang w:val="en-US"/>
        </w:rPr>
      </w:pPr>
      <w:r w:rsidRPr="00FB7985">
        <w:rPr>
          <w:rStyle w:val="SCCFileNumberChar"/>
          <w:sz w:val="20"/>
          <w:szCs w:val="20"/>
          <w:lang w:val="en-US"/>
        </w:rPr>
        <w:t>39796</w:t>
      </w:r>
      <w:r w:rsidRPr="00FB7985">
        <w:rPr>
          <w:rStyle w:val="SCCFileNumberChar"/>
          <w:sz w:val="20"/>
          <w:szCs w:val="20"/>
          <w:lang w:val="en-US"/>
        </w:rPr>
        <w:tab/>
      </w:r>
      <w:r w:rsidRPr="00FB7985">
        <w:rPr>
          <w:b/>
          <w:i/>
          <w:sz w:val="20"/>
          <w:szCs w:val="20"/>
          <w:lang w:val="en-US"/>
        </w:rPr>
        <w:t>Glen Hansman c. Barry Neufeld</w:t>
      </w:r>
    </w:p>
    <w:p w:rsidR="000B23D2" w:rsidRPr="00FB7985" w:rsidRDefault="000B23D2" w:rsidP="000B23D2">
      <w:pPr>
        <w:widowControl w:val="0"/>
        <w:ind w:firstLine="720"/>
        <w:jc w:val="both"/>
        <w:rPr>
          <w:sz w:val="20"/>
          <w:lang w:val="fr-CA"/>
        </w:rPr>
      </w:pPr>
      <w:r w:rsidRPr="00FB7985">
        <w:rPr>
          <w:sz w:val="20"/>
        </w:rPr>
        <w:t>(C.</w:t>
      </w:r>
      <w:r w:rsidRPr="00FB7985">
        <w:rPr>
          <w:sz w:val="20"/>
        </w:rPr>
        <w:noBreakHyphen/>
        <w:t xml:space="preserve">B.) </w:t>
      </w:r>
      <w:r w:rsidRPr="00FB7985">
        <w:rPr>
          <w:sz w:val="20"/>
          <w:lang w:val="fr-CA"/>
        </w:rPr>
        <w:t>(Civile) (Autorisation)</w:t>
      </w:r>
    </w:p>
    <w:p w:rsidR="000B23D2" w:rsidRPr="00FB7985" w:rsidRDefault="000B23D2" w:rsidP="000B23D2">
      <w:pPr>
        <w:widowControl w:val="0"/>
        <w:jc w:val="both"/>
        <w:rPr>
          <w:sz w:val="20"/>
          <w:lang w:val="fr-CA"/>
        </w:rPr>
      </w:pPr>
    </w:p>
    <w:p w:rsidR="000B23D2" w:rsidRPr="00FB7985" w:rsidRDefault="000B23D2" w:rsidP="000B23D2">
      <w:pPr>
        <w:widowControl w:val="0"/>
        <w:jc w:val="both"/>
        <w:rPr>
          <w:sz w:val="20"/>
          <w:lang w:val="fr-CA"/>
        </w:rPr>
      </w:pPr>
      <w:r w:rsidRPr="00FB7985">
        <w:rPr>
          <w:sz w:val="20"/>
          <w:lang w:val="fr-CA"/>
        </w:rPr>
        <w:t>Responsabilité délictuelle — Diffamation — Loi contre les poursuites</w:t>
      </w:r>
      <w:r w:rsidRPr="00FB7985">
        <w:rPr>
          <w:sz w:val="20"/>
          <w:lang w:val="fr-CA"/>
        </w:rPr>
        <w:noBreakHyphen/>
        <w:t xml:space="preserve">bâillons — Appelant sollicitant le rejet sommaire de l’action en diffamation de l’intimé relativement aux déclarations publiques de l’appelant, lesquelles ont été publiées et diffusées — La Cour d’appel a-t-elle commis une erreur en infirmant la décision du juge siégeant en son cabinet de rejeter l’action au motif de la défense de commentaire loyal ? La Cour d’appel a-t-elle commis une erreur en infirmant la conclusion du juge siégeant en son cabinet selon laquelle l’intérêt public de poursuivre l’instance ne l’emportait pas sur l’intérêt public de la protection de l’expression du défendeur ? — </w:t>
      </w:r>
      <w:r w:rsidRPr="00FB7985">
        <w:rPr>
          <w:i/>
          <w:sz w:val="20"/>
          <w:lang w:val="fr-CA"/>
        </w:rPr>
        <w:t>Protection of Public Participation Act</w:t>
      </w:r>
      <w:r w:rsidRPr="00FB7985">
        <w:rPr>
          <w:sz w:val="20"/>
          <w:lang w:val="fr-CA"/>
        </w:rPr>
        <w:t>, S.B.C. 2019, c. 3, art. 4.</w:t>
      </w:r>
    </w:p>
    <w:p w:rsidR="000B23D2" w:rsidRPr="00FB7985" w:rsidRDefault="000B23D2" w:rsidP="000B23D2">
      <w:pPr>
        <w:jc w:val="both"/>
        <w:rPr>
          <w:sz w:val="20"/>
          <w:lang w:val="fr-CA"/>
        </w:rPr>
      </w:pPr>
    </w:p>
    <w:p w:rsidR="000B23D2" w:rsidRPr="00FB7985" w:rsidRDefault="000B23D2" w:rsidP="000B23D2">
      <w:pPr>
        <w:jc w:val="both"/>
        <w:rPr>
          <w:sz w:val="20"/>
          <w:lang w:val="fr-CA"/>
        </w:rPr>
      </w:pPr>
      <w:r w:rsidRPr="00FB7985">
        <w:rPr>
          <w:sz w:val="20"/>
          <w:lang w:val="fr-CA"/>
        </w:rPr>
        <w:t xml:space="preserve">L’appelant, Glen Hansman, est un enseignant homosexuel qui, au moment des événements en cause, était également président de la British Columbia Teacher’s Federation (« BCTF »). L’intimé, Barry Neufeld, est un conseiller scolaire élu du conseil des écoles publiques de Chilliwack en Colombie-Britannique. </w:t>
      </w:r>
    </w:p>
    <w:p w:rsidR="000B23D2" w:rsidRPr="00FB7985" w:rsidRDefault="000B23D2" w:rsidP="000B23D2">
      <w:pPr>
        <w:jc w:val="both"/>
        <w:rPr>
          <w:sz w:val="20"/>
          <w:lang w:val="fr-CA"/>
        </w:rPr>
      </w:pPr>
    </w:p>
    <w:p w:rsidR="000B23D2" w:rsidRPr="00FB7985" w:rsidRDefault="000B23D2" w:rsidP="000B23D2">
      <w:pPr>
        <w:jc w:val="both"/>
        <w:rPr>
          <w:sz w:val="20"/>
          <w:lang w:val="fr-CA"/>
        </w:rPr>
      </w:pPr>
      <w:r w:rsidRPr="00FB7985">
        <w:rPr>
          <w:sz w:val="20"/>
          <w:lang w:val="fr-CA"/>
        </w:rPr>
        <w:t>Après avoir tenu des consultations avec les parties intéressées, le ministère de l’Éducation de la Colombie-Britannique a publié des outils et des ressources adaptés à l’âge des enfants destinés aux enseignants des classes de la maternelle à 12</w:t>
      </w:r>
      <w:r w:rsidRPr="00FB7985">
        <w:rPr>
          <w:sz w:val="20"/>
          <w:vertAlign w:val="superscript"/>
          <w:lang w:val="fr-CA"/>
        </w:rPr>
        <w:t>e</w:t>
      </w:r>
      <w:r w:rsidRPr="00FB7985">
        <w:rPr>
          <w:sz w:val="20"/>
          <w:lang w:val="fr-CA"/>
        </w:rPr>
        <w:t xml:space="preserve"> année, dont l’objectif était la promotion de politiques, de procédures et d’environnements inclusifs concernant l’orientation sexuelle et l’identité de genre dans les écoles (« SOGI 123 »). En 2017, M. Neufeld a publié des commentaires désagréables et des critiques sur la mise en œuvre des documents SOGI 123 sur sa page Facebook. Ses commentaires ont suscité beaucoup de critiques et ont attiré l’attention des médias. En sa qualité de président de la BCTF, M. Hansman a été interviewé relativement aux publications de M. Neufeld. Ce dernier a prétendu que M. Hansman l’avait </w:t>
      </w:r>
      <w:proofErr w:type="gramStart"/>
      <w:r w:rsidRPr="00FB7985">
        <w:rPr>
          <w:sz w:val="20"/>
          <w:lang w:val="fr-CA"/>
        </w:rPr>
        <w:t>diffamé</w:t>
      </w:r>
      <w:proofErr w:type="gramEnd"/>
      <w:r w:rsidRPr="00FB7985">
        <w:rPr>
          <w:sz w:val="20"/>
          <w:lang w:val="fr-CA"/>
        </w:rPr>
        <w:t xml:space="preserve"> dans cette entrevue et dans des déclarations subséquentes qui ont été diffusées et publiées dans les journaux et en ligne. Le débat public concernant les documents SOGI 123 s’est poursuivi pendant plus d’un an.</w:t>
      </w:r>
    </w:p>
    <w:p w:rsidR="000B23D2" w:rsidRPr="00FB7985" w:rsidRDefault="000B23D2" w:rsidP="000B23D2">
      <w:pPr>
        <w:jc w:val="both"/>
        <w:rPr>
          <w:sz w:val="20"/>
          <w:lang w:val="fr-CA"/>
        </w:rPr>
      </w:pPr>
    </w:p>
    <w:p w:rsidR="000B23D2" w:rsidRPr="00FB7985" w:rsidRDefault="000B23D2" w:rsidP="000B23D2">
      <w:pPr>
        <w:jc w:val="both"/>
        <w:rPr>
          <w:sz w:val="20"/>
          <w:lang w:val="fr-CA"/>
        </w:rPr>
      </w:pPr>
      <w:r w:rsidRPr="00FB7985">
        <w:rPr>
          <w:sz w:val="20"/>
          <w:lang w:val="fr-CA"/>
        </w:rPr>
        <w:t xml:space="preserve">Monsieur Neufeld a intenté une action en diffamation contre M. Hansman. Ce dernier a présenté une demande afin que l’action de M. Neufeld soit rejetée en vertu de l’art. 4 de la </w:t>
      </w:r>
      <w:r w:rsidRPr="00FB7985">
        <w:rPr>
          <w:i/>
          <w:sz w:val="20"/>
          <w:lang w:val="fr-CA"/>
        </w:rPr>
        <w:t>Protection of Public Participation Act</w:t>
      </w:r>
      <w:r w:rsidRPr="00FB7985">
        <w:rPr>
          <w:sz w:val="20"/>
          <w:lang w:val="fr-CA"/>
        </w:rPr>
        <w:t>, S.B.C. 2019, c. 3 (« </w:t>
      </w:r>
      <w:r w:rsidRPr="00FB7985">
        <w:rPr>
          <w:i/>
          <w:sz w:val="20"/>
          <w:lang w:val="fr-CA"/>
        </w:rPr>
        <w:t>PPPA</w:t>
      </w:r>
      <w:r w:rsidRPr="00FB7985">
        <w:rPr>
          <w:sz w:val="20"/>
          <w:lang w:val="fr-CA"/>
        </w:rPr>
        <w:t xml:space="preserve"> »), aussi connue sous le nom de </w:t>
      </w:r>
      <w:r w:rsidRPr="00FB7985">
        <w:rPr>
          <w:color w:val="000000"/>
          <w:sz w:val="20"/>
          <w:lang w:val="fr-CA"/>
        </w:rPr>
        <w:t>« loi contre les poursuites</w:t>
      </w:r>
      <w:r w:rsidRPr="00FB7985">
        <w:rPr>
          <w:color w:val="000000"/>
          <w:sz w:val="20"/>
          <w:lang w:val="fr-CA"/>
        </w:rPr>
        <w:noBreakHyphen/>
        <w:t>bâillons » ou « loi anti</w:t>
      </w:r>
      <w:r w:rsidRPr="00FB7985">
        <w:rPr>
          <w:color w:val="000000"/>
          <w:sz w:val="20"/>
          <w:lang w:val="fr-CA"/>
        </w:rPr>
        <w:noBreakHyphen/>
        <w:t>SLAPP », qui prévoit la possibilité du rejet hâtif de « poursuites stratégiques contre la mobilisation publique ».</w:t>
      </w:r>
    </w:p>
    <w:p w:rsidR="000B23D2" w:rsidRPr="00FB7985" w:rsidRDefault="000B23D2" w:rsidP="000B23D2">
      <w:pPr>
        <w:jc w:val="both"/>
        <w:rPr>
          <w:sz w:val="20"/>
          <w:lang w:val="fr-CA"/>
        </w:rPr>
      </w:pPr>
    </w:p>
    <w:p w:rsidR="000B23D2" w:rsidRPr="00FB7985" w:rsidRDefault="000B23D2" w:rsidP="000B23D2">
      <w:pPr>
        <w:widowControl w:val="0"/>
        <w:jc w:val="both"/>
        <w:rPr>
          <w:sz w:val="20"/>
          <w:lang w:val="fr-CA"/>
        </w:rPr>
      </w:pPr>
      <w:r w:rsidRPr="00FB7985">
        <w:rPr>
          <w:sz w:val="20"/>
          <w:lang w:val="fr-CA"/>
        </w:rPr>
        <w:t xml:space="preserve">Le juge de première instance a accueilli la demande de M. Hansman de rejet de l’action en diffamation intentée par M. Neufeld, estimant que M. Hansman avait établi les motifs nécessaires pour rejeter l’action en vertu de la </w:t>
      </w:r>
      <w:r w:rsidRPr="00FB7985">
        <w:rPr>
          <w:i/>
          <w:sz w:val="20"/>
          <w:lang w:val="fr-CA"/>
        </w:rPr>
        <w:t>PPPA,</w:t>
      </w:r>
      <w:r w:rsidRPr="00FB7985">
        <w:rPr>
          <w:sz w:val="20"/>
          <w:lang w:val="fr-CA"/>
        </w:rPr>
        <w:t xml:space="preserve"> et concluant que</w:t>
      </w:r>
      <w:r w:rsidRPr="00FB7985">
        <w:rPr>
          <w:color w:val="000000"/>
          <w:sz w:val="20"/>
          <w:lang w:val="fr-CA"/>
        </w:rPr>
        <w:t xml:space="preserve"> l’intérêt public à permettre le débat sur cette question </w:t>
      </w:r>
      <w:r w:rsidRPr="00FB7985">
        <w:rPr>
          <w:iCs/>
          <w:color w:val="000000"/>
          <w:sz w:val="20"/>
          <w:lang w:val="fr-CA"/>
        </w:rPr>
        <w:t>l’emportait sur</w:t>
      </w:r>
      <w:r w:rsidRPr="00FB7985">
        <w:rPr>
          <w:color w:val="000000"/>
          <w:sz w:val="20"/>
          <w:lang w:val="fr-CA"/>
        </w:rPr>
        <w:t xml:space="preserve"> l’intérêt public à</w:t>
      </w:r>
      <w:r w:rsidRPr="00FB7985">
        <w:rPr>
          <w:sz w:val="20"/>
          <w:lang w:val="fr-CA"/>
        </w:rPr>
        <w:t xml:space="preserve"> permettre la continuation de l’action en diffamation de M. Neufeld contre M. Hansman. La Cour d’appel a accueilli à l’unanimité l’appel de M. Neufeld, statuant que le juge de première instance avait commis plusieurs erreurs, et a autorisé la continuation de l’action en diffamation de M. Neufeld contre M. Hansman.</w:t>
      </w:r>
    </w:p>
    <w:p w:rsidR="00795A4B" w:rsidRPr="00FB7985" w:rsidRDefault="00795A4B" w:rsidP="00795A4B">
      <w:pPr>
        <w:jc w:val="both"/>
        <w:rPr>
          <w:sz w:val="20"/>
          <w:lang w:val="fr-CA"/>
        </w:rPr>
      </w:pPr>
    </w:p>
    <w:p w:rsidR="00795A4B" w:rsidRPr="00FB7985" w:rsidRDefault="00872881" w:rsidP="00795A4B">
      <w:pPr>
        <w:jc w:val="both"/>
        <w:rPr>
          <w:sz w:val="20"/>
          <w:lang w:val="fr-CA"/>
        </w:rPr>
      </w:pPr>
      <w:r>
        <w:rPr>
          <w:sz w:val="20"/>
        </w:rPr>
        <w:pict>
          <v:rect id="_x0000_i1032" style="width:2in;height:1pt" o:hrpct="0" o:hralign="center" o:hrstd="t" o:hrnoshade="t" o:hr="t" fillcolor="black [3213]" stroked="f"/>
        </w:pict>
      </w:r>
    </w:p>
    <w:p w:rsidR="00795A4B" w:rsidRPr="00FB7985" w:rsidRDefault="00795A4B" w:rsidP="00795A4B">
      <w:pPr>
        <w:jc w:val="both"/>
        <w:rPr>
          <w:sz w:val="20"/>
          <w:lang w:val="fr-CA"/>
        </w:rPr>
      </w:pPr>
    </w:p>
    <w:p w:rsidR="00795A4B" w:rsidRPr="00FB7985" w:rsidRDefault="00795A4B" w:rsidP="00795A4B">
      <w:pPr>
        <w:widowControl w:val="0"/>
        <w:tabs>
          <w:tab w:val="left" w:pos="720"/>
        </w:tabs>
        <w:ind w:left="720" w:hanging="720"/>
        <w:jc w:val="both"/>
        <w:rPr>
          <w:b/>
          <w:i/>
          <w:sz w:val="20"/>
          <w:lang w:val="en-CA"/>
        </w:rPr>
      </w:pPr>
      <w:r w:rsidRPr="00FB7985">
        <w:rPr>
          <w:b/>
          <w:sz w:val="20"/>
          <w:lang w:val="en-CA"/>
        </w:rPr>
        <w:fldChar w:fldCharType="begin"/>
      </w:r>
      <w:r w:rsidRPr="00FB7985">
        <w:rPr>
          <w:b/>
          <w:sz w:val="20"/>
        </w:rPr>
        <w:instrText xml:space="preserve"> SEQ CHAPTER \h \r 1</w:instrText>
      </w:r>
      <w:r w:rsidRPr="00FB7985">
        <w:rPr>
          <w:b/>
          <w:sz w:val="20"/>
        </w:rPr>
        <w:fldChar w:fldCharType="end"/>
      </w:r>
      <w:r w:rsidRPr="00FB7985">
        <w:rPr>
          <w:b/>
          <w:sz w:val="20"/>
          <w:lang w:val="en-CA"/>
        </w:rPr>
        <w:t>39754</w:t>
      </w:r>
      <w:r w:rsidRPr="00FB7985">
        <w:rPr>
          <w:sz w:val="20"/>
          <w:lang w:val="en-CA"/>
        </w:rPr>
        <w:tab/>
      </w:r>
      <w:bookmarkStart w:id="2" w:name="3"/>
      <w:bookmarkEnd w:id="2"/>
      <w:r w:rsidRPr="00FB7985">
        <w:rPr>
          <w:b/>
          <w:i/>
          <w:sz w:val="20"/>
        </w:rPr>
        <w:t>Corporation of the City of Greater Sudbury</w:t>
      </w:r>
      <w:r w:rsidRPr="00FB7985">
        <w:rPr>
          <w:rStyle w:val="HeaderChar"/>
          <w:i/>
          <w:color w:val="333333"/>
          <w:sz w:val="20"/>
          <w:lang w:val="en"/>
        </w:rPr>
        <w:t xml:space="preserve"> </w:t>
      </w:r>
      <w:r w:rsidRPr="00FB7985">
        <w:rPr>
          <w:rStyle w:val="Strong"/>
          <w:i/>
          <w:color w:val="333333"/>
          <w:sz w:val="20"/>
          <w:lang w:val="en"/>
        </w:rPr>
        <w:t xml:space="preserve">v. </w:t>
      </w:r>
      <w:r w:rsidRPr="00FB7985">
        <w:rPr>
          <w:b/>
          <w:i/>
          <w:sz w:val="20"/>
        </w:rPr>
        <w:t>Ministry of the Attorney General (Ministry of Labour, Training and Skills Development)</w:t>
      </w:r>
    </w:p>
    <w:p w:rsidR="00795A4B" w:rsidRPr="00FB7985" w:rsidRDefault="00795A4B" w:rsidP="00795A4B">
      <w:pPr>
        <w:widowControl w:val="0"/>
        <w:tabs>
          <w:tab w:val="left" w:pos="720"/>
        </w:tabs>
        <w:ind w:left="1440" w:hanging="1440"/>
        <w:jc w:val="both"/>
        <w:rPr>
          <w:sz w:val="20"/>
          <w:lang w:val="en-CA"/>
        </w:rPr>
      </w:pPr>
      <w:r w:rsidRPr="00FB7985">
        <w:rPr>
          <w:sz w:val="20"/>
          <w:lang w:val="en-CA"/>
        </w:rPr>
        <w:tab/>
        <w:t>(Ont.) (Civil) (By Leave)</w:t>
      </w:r>
    </w:p>
    <w:p w:rsidR="00795A4B" w:rsidRPr="00FB7985" w:rsidRDefault="00795A4B" w:rsidP="00795A4B">
      <w:pPr>
        <w:widowControl w:val="0"/>
        <w:jc w:val="both"/>
        <w:rPr>
          <w:sz w:val="20"/>
          <w:lang w:val="en-CA"/>
        </w:rPr>
      </w:pPr>
      <w:bookmarkStart w:id="3" w:name="QuickMark_1"/>
      <w:bookmarkEnd w:id="3"/>
    </w:p>
    <w:p w:rsidR="00795A4B" w:rsidRPr="00FB7985" w:rsidRDefault="00795A4B" w:rsidP="00795A4B">
      <w:pPr>
        <w:widowControl w:val="0"/>
        <w:jc w:val="both"/>
        <w:rPr>
          <w:bCs/>
          <w:color w:val="212121"/>
          <w:sz w:val="20"/>
        </w:rPr>
      </w:pPr>
      <w:r w:rsidRPr="00FB7985">
        <w:rPr>
          <w:sz w:val="20"/>
        </w:rPr>
        <w:t xml:space="preserve">Provincial offences </w:t>
      </w:r>
      <w:r w:rsidRPr="00FB7985">
        <w:rPr>
          <w:sz w:val="20"/>
          <w:lang w:val="en"/>
        </w:rPr>
        <w:t xml:space="preserve">— </w:t>
      </w:r>
      <w:r w:rsidRPr="00FB7985">
        <w:rPr>
          <w:bCs/>
          <w:color w:val="212121"/>
          <w:sz w:val="20"/>
        </w:rPr>
        <w:t xml:space="preserve">Occupational health and safety </w:t>
      </w:r>
      <w:r w:rsidRPr="00FB7985">
        <w:rPr>
          <w:sz w:val="20"/>
          <w:lang w:val="en"/>
        </w:rPr>
        <w:t xml:space="preserve">— </w:t>
      </w:r>
      <w:r w:rsidRPr="00FB7985">
        <w:rPr>
          <w:color w:val="000000"/>
          <w:sz w:val="20"/>
        </w:rPr>
        <w:t xml:space="preserve">Whether the owner of a construction project which had contracted the construction out to a third party to act as the constructor was the employer pursuant to s. 1(1) of the </w:t>
      </w:r>
      <w:r w:rsidRPr="00FB7985">
        <w:rPr>
          <w:i/>
          <w:color w:val="000000"/>
          <w:sz w:val="20"/>
        </w:rPr>
        <w:t>Occupational Health and Safety Act</w:t>
      </w:r>
      <w:r w:rsidRPr="00FB7985">
        <w:rPr>
          <w:color w:val="000000"/>
          <w:sz w:val="20"/>
        </w:rPr>
        <w:t>, R.S.O. 1990, c. 0.1, and responsible for workplace safety?</w:t>
      </w:r>
    </w:p>
    <w:p w:rsidR="00795A4B" w:rsidRPr="00FB7985" w:rsidRDefault="00795A4B" w:rsidP="00795A4B">
      <w:pPr>
        <w:widowControl w:val="0"/>
        <w:jc w:val="both"/>
        <w:rPr>
          <w:sz w:val="20"/>
        </w:rPr>
      </w:pPr>
    </w:p>
    <w:p w:rsidR="00795A4B" w:rsidRPr="00FB7985" w:rsidRDefault="00795A4B" w:rsidP="00795A4B">
      <w:pPr>
        <w:widowControl w:val="0"/>
        <w:jc w:val="both"/>
        <w:rPr>
          <w:sz w:val="20"/>
          <w:lang w:val="en"/>
        </w:rPr>
      </w:pPr>
      <w:r w:rsidRPr="00FB7985">
        <w:rPr>
          <w:sz w:val="20"/>
          <w:lang w:val="en"/>
        </w:rPr>
        <w:t xml:space="preserve">The City of Greater Sudbury contracted Interpaving Limited to repair utilities and to repave streets affected by the repairs. An employee of Interpaving Limited operating a road grader struck and killed a pedestrian who was attempting to cross a street in the construction zone. Safety measures required by legislation were not in place. The Ministry of Labour charged the City as a “constructor” and an “employer” under the </w:t>
      </w:r>
      <w:r w:rsidRPr="00FB7985">
        <w:rPr>
          <w:i/>
          <w:iCs/>
          <w:color w:val="262626" w:themeColor="text1" w:themeTint="D9"/>
          <w:sz w:val="20"/>
          <w:lang w:val="en"/>
        </w:rPr>
        <w:t>Occupational Health and Safety Act</w:t>
      </w:r>
      <w:r w:rsidRPr="00FB7985">
        <w:rPr>
          <w:color w:val="000000"/>
          <w:sz w:val="20"/>
        </w:rPr>
        <w:t xml:space="preserve">, R.S.O. 1990, c. 0.1, and </w:t>
      </w:r>
      <w:r w:rsidRPr="00FB7985">
        <w:rPr>
          <w:i/>
          <w:sz w:val="20"/>
          <w:lang w:val="en"/>
        </w:rPr>
        <w:t>Construction Projects</w:t>
      </w:r>
      <w:r w:rsidRPr="00FB7985">
        <w:rPr>
          <w:sz w:val="20"/>
          <w:lang w:val="en"/>
        </w:rPr>
        <w:t>, O. Reg</w:t>
      </w:r>
      <w:r w:rsidRPr="00FB7985">
        <w:rPr>
          <w:i/>
          <w:sz w:val="20"/>
          <w:lang w:val="en"/>
        </w:rPr>
        <w:t xml:space="preserve">. </w:t>
      </w:r>
      <w:r w:rsidRPr="00FB7985">
        <w:rPr>
          <w:sz w:val="20"/>
          <w:lang w:val="en"/>
        </w:rPr>
        <w:t xml:space="preserve">213/9. The Ontario Court of Justice acquitted the City on all charges. The Ontario Superior Court of Justice dismissed an appeal. The Court of Appeal granted leave to appeal in respect of the three charges against the City as an employer and set aside the acquittals on those charges. The Crown conceded that the factual findings to determine guilt on one count had not been made at trial. The Court of Appeal remanded the case to the Ontario Superior Court of Justice to hear an appeal raising whether the City had established a defence of due diligence in respect of the other two charges. </w:t>
      </w:r>
    </w:p>
    <w:p w:rsidR="00795A4B" w:rsidRPr="00FB7985" w:rsidRDefault="00795A4B" w:rsidP="00795A4B">
      <w:pPr>
        <w:jc w:val="both"/>
        <w:rPr>
          <w:sz w:val="20"/>
          <w:lang w:val="en"/>
        </w:rPr>
      </w:pPr>
    </w:p>
    <w:p w:rsidR="00795A4B" w:rsidRPr="00FB7985" w:rsidRDefault="00872881" w:rsidP="00795A4B">
      <w:pPr>
        <w:jc w:val="both"/>
        <w:rPr>
          <w:sz w:val="20"/>
          <w:lang w:val="en"/>
        </w:rPr>
      </w:pPr>
      <w:r>
        <w:rPr>
          <w:sz w:val="20"/>
        </w:rPr>
        <w:pict>
          <v:rect id="_x0000_i1033" style="width:2in;height:1pt" o:hrpct="0" o:hralign="center" o:hrstd="t" o:hrnoshade="t" o:hr="t" fillcolor="black [3213]" stroked="f"/>
        </w:pict>
      </w:r>
    </w:p>
    <w:p w:rsidR="00795A4B" w:rsidRPr="00FB7985" w:rsidRDefault="00795A4B" w:rsidP="00795A4B">
      <w:pPr>
        <w:jc w:val="both"/>
        <w:rPr>
          <w:sz w:val="20"/>
          <w:lang w:val="en"/>
        </w:rPr>
      </w:pPr>
    </w:p>
    <w:p w:rsidR="009852B1" w:rsidRPr="00FB7985" w:rsidRDefault="009852B1" w:rsidP="009852B1">
      <w:pPr>
        <w:ind w:left="720" w:hanging="720"/>
        <w:jc w:val="both"/>
        <w:rPr>
          <w:b/>
          <w:i/>
          <w:sz w:val="20"/>
          <w:lang w:val="fr-CA"/>
        </w:rPr>
      </w:pPr>
      <w:r w:rsidRPr="00FB7985">
        <w:rPr>
          <w:rStyle w:val="SCCFileNumberChar"/>
          <w:rFonts w:eastAsia="Calibri"/>
          <w:sz w:val="20"/>
          <w:szCs w:val="20"/>
          <w:lang w:val="fr-CA"/>
        </w:rPr>
        <w:t>39754</w:t>
      </w:r>
      <w:r w:rsidRPr="00FB7985">
        <w:rPr>
          <w:rStyle w:val="SCCFileNumberChar"/>
          <w:rFonts w:eastAsia="Calibri"/>
          <w:sz w:val="20"/>
          <w:szCs w:val="20"/>
          <w:lang w:val="fr-CA"/>
        </w:rPr>
        <w:tab/>
      </w:r>
      <w:r w:rsidRPr="00FB7985">
        <w:rPr>
          <w:b/>
          <w:i/>
          <w:sz w:val="20"/>
          <w:lang w:val="fr-CA"/>
        </w:rPr>
        <w:t xml:space="preserve">Ville du Grand Sudbury c. </w:t>
      </w:r>
      <w:r w:rsidRPr="00FB7985">
        <w:rPr>
          <w:rStyle w:val="Strong"/>
          <w:i/>
          <w:color w:val="333333"/>
          <w:sz w:val="20"/>
          <w:lang w:val="fr-CA"/>
        </w:rPr>
        <w:t>Ministère du Procureur général (</w:t>
      </w:r>
      <w:r w:rsidRPr="00FB7985">
        <w:rPr>
          <w:b/>
          <w:i/>
          <w:color w:val="000000"/>
          <w:sz w:val="20"/>
          <w:lang w:val="fr-CA"/>
        </w:rPr>
        <w:t>Ministère du Travail, de la Formation et du Développement des compétences</w:t>
      </w:r>
      <w:r w:rsidRPr="00FB7985">
        <w:rPr>
          <w:rStyle w:val="Strong"/>
          <w:i/>
          <w:color w:val="333333"/>
          <w:sz w:val="20"/>
          <w:lang w:val="fr-CA"/>
        </w:rPr>
        <w:t>)</w:t>
      </w:r>
    </w:p>
    <w:p w:rsidR="009852B1" w:rsidRPr="00FB7985" w:rsidRDefault="009852B1" w:rsidP="009852B1">
      <w:pPr>
        <w:ind w:firstLine="720"/>
        <w:jc w:val="both"/>
        <w:rPr>
          <w:sz w:val="20"/>
          <w:lang w:val="fr-CA"/>
        </w:rPr>
      </w:pPr>
      <w:r w:rsidRPr="00FB7985">
        <w:rPr>
          <w:sz w:val="20"/>
          <w:lang w:val="fr-CA"/>
        </w:rPr>
        <w:t>(Ont.) (Civile) (Sur autorisation)</w:t>
      </w:r>
    </w:p>
    <w:p w:rsidR="009852B1" w:rsidRPr="00FB7985" w:rsidRDefault="009852B1" w:rsidP="009852B1">
      <w:pPr>
        <w:jc w:val="both"/>
        <w:rPr>
          <w:sz w:val="20"/>
          <w:lang w:val="fr-CA"/>
        </w:rPr>
      </w:pPr>
    </w:p>
    <w:p w:rsidR="009852B1" w:rsidRPr="00FB7985" w:rsidRDefault="009852B1" w:rsidP="009852B1">
      <w:pPr>
        <w:jc w:val="both"/>
        <w:rPr>
          <w:b/>
          <w:lang w:val="fr-CA"/>
        </w:rPr>
      </w:pPr>
      <w:r w:rsidRPr="00FB7985">
        <w:rPr>
          <w:sz w:val="20"/>
          <w:lang w:val="fr-CA"/>
        </w:rPr>
        <w:t>Infractions provinciales — Santé et sécurité au travail</w:t>
      </w:r>
      <w:r w:rsidRPr="00FB7985">
        <w:rPr>
          <w:bCs/>
          <w:color w:val="212121"/>
          <w:sz w:val="20"/>
          <w:lang w:val="fr-CA"/>
        </w:rPr>
        <w:t xml:space="preserve"> —</w:t>
      </w:r>
      <w:r w:rsidRPr="00FB7985">
        <w:rPr>
          <w:sz w:val="20"/>
          <w:lang w:val="fr-CA"/>
        </w:rPr>
        <w:t xml:space="preserve"> Le propriétaire d’un chantier de construction, qui avait engagé par contrat un tiers pour effectuer des travaux de construction en tant que constructeur, était</w:t>
      </w:r>
      <w:r w:rsidRPr="00FB7985">
        <w:rPr>
          <w:sz w:val="20"/>
          <w:lang w:val="fr-CA"/>
        </w:rPr>
        <w:noBreakHyphen/>
        <w:t xml:space="preserve">il l’employeur au titre du par. 1(1) de la </w:t>
      </w:r>
      <w:r w:rsidRPr="00FB7985">
        <w:rPr>
          <w:i/>
          <w:sz w:val="20"/>
          <w:lang w:val="fr-CA"/>
        </w:rPr>
        <w:t>Loi sur la santé et la sécurité au travail</w:t>
      </w:r>
      <w:r w:rsidRPr="00FB7985">
        <w:rPr>
          <w:spacing w:val="-4"/>
          <w:sz w:val="20"/>
          <w:lang w:val="fr-CA"/>
        </w:rPr>
        <w:t>, L.R.O. 1990, ch. 0.1, et responsable de la sécurité au travail </w:t>
      </w:r>
      <w:r w:rsidRPr="00FB7985">
        <w:rPr>
          <w:sz w:val="20"/>
          <w:lang w:val="fr-CA"/>
        </w:rPr>
        <w:t>?</w:t>
      </w:r>
    </w:p>
    <w:p w:rsidR="009852B1" w:rsidRPr="00FB7985" w:rsidRDefault="009852B1" w:rsidP="00795A4B">
      <w:pPr>
        <w:jc w:val="both"/>
        <w:rPr>
          <w:sz w:val="20"/>
          <w:lang w:val="fr-CA"/>
        </w:rPr>
      </w:pPr>
    </w:p>
    <w:p w:rsidR="009852B1" w:rsidRPr="00FB7985" w:rsidRDefault="009852B1" w:rsidP="009852B1">
      <w:pPr>
        <w:pStyle w:val="mainparagraph"/>
        <w:widowControl w:val="0"/>
        <w:spacing w:before="0" w:beforeAutospacing="0" w:after="0" w:afterAutospacing="0"/>
        <w:jc w:val="both"/>
        <w:rPr>
          <w:sz w:val="20"/>
          <w:szCs w:val="20"/>
          <w:lang w:val="fr-CA"/>
        </w:rPr>
      </w:pPr>
      <w:r w:rsidRPr="00FB7985">
        <w:rPr>
          <w:sz w:val="20"/>
          <w:szCs w:val="20"/>
          <w:lang w:val="fr-CA"/>
        </w:rPr>
        <w:t>La Ville du Grand Sudbury a engagé par contrat Interpaving Limited afin d’effectuer des réparations relatives à des services publics et de repaver les rues touchées par ces réparations. Un employé d’Interpaving Limited qui opérait une niveleuse a percuté et tué un piéton qui tentait de traverser une rue dans la zone de construction. Les mesures de sécurité exigées par la législation n’avaient pas été mises en place. Le m</w:t>
      </w:r>
      <w:r w:rsidRPr="00FB7985">
        <w:rPr>
          <w:color w:val="000000" w:themeColor="text1"/>
          <w:sz w:val="20"/>
          <w:szCs w:val="20"/>
          <w:lang w:val="fr-CA"/>
        </w:rPr>
        <w:t xml:space="preserve">inistre du Travail a accusé la Ville à titre de « constructeur » et d’« employeur » en vertu de </w:t>
      </w:r>
      <w:r w:rsidRPr="00FB7985">
        <w:rPr>
          <w:sz w:val="20"/>
          <w:szCs w:val="20"/>
          <w:lang w:val="fr-CA"/>
        </w:rPr>
        <w:t xml:space="preserve">la </w:t>
      </w:r>
      <w:r w:rsidRPr="00FB7985">
        <w:rPr>
          <w:i/>
          <w:sz w:val="20"/>
          <w:szCs w:val="20"/>
          <w:lang w:val="fr-CA"/>
        </w:rPr>
        <w:t>Loi sur la santé et la sécurité au travail</w:t>
      </w:r>
      <w:r w:rsidRPr="00FB7985">
        <w:rPr>
          <w:spacing w:val="-4"/>
          <w:sz w:val="20"/>
          <w:szCs w:val="20"/>
          <w:lang w:val="fr-CA"/>
        </w:rPr>
        <w:t xml:space="preserve">, L.R.O. 1990, ch. 0.1 </w:t>
      </w:r>
      <w:r w:rsidRPr="00FB7985">
        <w:rPr>
          <w:color w:val="000000" w:themeColor="text1"/>
          <w:sz w:val="20"/>
          <w:szCs w:val="20"/>
          <w:lang w:val="fr-CA"/>
        </w:rPr>
        <w:t xml:space="preserve">et du règlement intitulé </w:t>
      </w:r>
      <w:r w:rsidRPr="00FB7985">
        <w:rPr>
          <w:i/>
          <w:sz w:val="20"/>
          <w:szCs w:val="20"/>
          <w:lang w:val="fr-CA"/>
        </w:rPr>
        <w:t>Chantiers de construction</w:t>
      </w:r>
      <w:r w:rsidRPr="00FB7985">
        <w:rPr>
          <w:sz w:val="20"/>
          <w:szCs w:val="20"/>
          <w:lang w:val="fr-CA"/>
        </w:rPr>
        <w:t xml:space="preserve">, Règl. </w:t>
      </w:r>
      <w:proofErr w:type="gramStart"/>
      <w:r w:rsidRPr="00FB7985">
        <w:rPr>
          <w:sz w:val="20"/>
          <w:szCs w:val="20"/>
          <w:lang w:val="fr-CA"/>
        </w:rPr>
        <w:t>de</w:t>
      </w:r>
      <w:proofErr w:type="gramEnd"/>
      <w:r w:rsidRPr="00FB7985">
        <w:rPr>
          <w:sz w:val="20"/>
          <w:szCs w:val="20"/>
          <w:lang w:val="fr-CA"/>
        </w:rPr>
        <w:t xml:space="preserve"> l’Ont. 213/91. La Cour de justice de l’Ontario a acquitté la Ville de toutes les accusations portées contre elle. La Cour supérieure de justice de l’Ontario a rejeté l’appel. La Cour d’appel a accueilli la demande d’autorisation d’appel à l’égard des trois accusations portées contre la Ville à titre d’employeur et a annulé les acquittements inscrits quant à ces accusations. Le ministère public a reconnu que les conclusions de fait pour déterminer la culpabilité à l’égard d’un des chefs d’accusation n’avaient pas été tirées au procès. La Cour d’appel a renvoyé l’affaire à la Cour supérieure de justice de l’Ontario pour qu'elle entende l’appel quant à la question de savoir si la Ville avait établi une défense de diligence raisonnable à l’égard des deux autres accusations pesant contre elle.</w:t>
      </w:r>
    </w:p>
    <w:p w:rsidR="00795A4B" w:rsidRPr="00FB7985" w:rsidRDefault="00795A4B" w:rsidP="00795A4B">
      <w:pPr>
        <w:jc w:val="both"/>
        <w:rPr>
          <w:sz w:val="20"/>
          <w:lang w:val="fr-CA"/>
        </w:rPr>
      </w:pPr>
    </w:p>
    <w:p w:rsidR="00795A4B" w:rsidRPr="00FB7985" w:rsidRDefault="00872881" w:rsidP="00795A4B">
      <w:pPr>
        <w:jc w:val="both"/>
        <w:rPr>
          <w:sz w:val="20"/>
          <w:lang w:val="fr-CA"/>
        </w:rPr>
      </w:pPr>
      <w:r>
        <w:rPr>
          <w:sz w:val="20"/>
        </w:rPr>
        <w:pict>
          <v:rect id="_x0000_i1034" style="width:2in;height:1pt" o:hrpct="0" o:hralign="center" o:hrstd="t" o:hrnoshade="t" o:hr="t" fillcolor="black [3213]" stroked="f"/>
        </w:pict>
      </w:r>
    </w:p>
    <w:p w:rsidR="00795A4B" w:rsidRPr="00FB7985" w:rsidRDefault="00795A4B" w:rsidP="00795A4B">
      <w:pPr>
        <w:jc w:val="both"/>
        <w:rPr>
          <w:sz w:val="20"/>
          <w:lang w:val="fr-CA"/>
        </w:rPr>
      </w:pPr>
    </w:p>
    <w:p w:rsidR="009852B1" w:rsidRPr="00FB7985" w:rsidRDefault="009852B1" w:rsidP="009B7F7F">
      <w:pPr>
        <w:widowControl w:val="0"/>
        <w:tabs>
          <w:tab w:val="left" w:pos="720"/>
        </w:tabs>
        <w:ind w:left="1440" w:hanging="1440"/>
        <w:jc w:val="both"/>
        <w:rPr>
          <w:b/>
          <w:i/>
          <w:sz w:val="20"/>
          <w:lang w:val="en-CA"/>
        </w:rPr>
      </w:pPr>
      <w:r w:rsidRPr="00FB7985">
        <w:rPr>
          <w:b/>
          <w:sz w:val="20"/>
          <w:lang w:val="en-CA"/>
        </w:rPr>
        <w:fldChar w:fldCharType="begin"/>
      </w:r>
      <w:r w:rsidRPr="00FB7985">
        <w:rPr>
          <w:b/>
          <w:sz w:val="20"/>
        </w:rPr>
        <w:instrText xml:space="preserve"> SEQ CHAPTER \h \r 1</w:instrText>
      </w:r>
      <w:r w:rsidRPr="00FB7985">
        <w:rPr>
          <w:b/>
          <w:sz w:val="20"/>
        </w:rPr>
        <w:fldChar w:fldCharType="end"/>
      </w:r>
      <w:r w:rsidRPr="00FB7985">
        <w:rPr>
          <w:b/>
          <w:sz w:val="20"/>
          <w:lang w:val="en-CA"/>
        </w:rPr>
        <w:t>40045</w:t>
      </w:r>
      <w:r w:rsidRPr="00FB7985">
        <w:rPr>
          <w:sz w:val="20"/>
          <w:lang w:val="en-CA"/>
        </w:rPr>
        <w:tab/>
      </w:r>
      <w:r w:rsidRPr="00FB7985">
        <w:rPr>
          <w:b/>
          <w:i/>
          <w:sz w:val="20"/>
          <w:lang w:val="en-CA"/>
        </w:rPr>
        <w:t>H</w:t>
      </w:r>
      <w:r w:rsidR="00716A34">
        <w:rPr>
          <w:b/>
          <w:i/>
          <w:sz w:val="20"/>
          <w:lang w:val="en-CA"/>
        </w:rPr>
        <w:t>is</w:t>
      </w:r>
      <w:r w:rsidRPr="00FB7985">
        <w:rPr>
          <w:b/>
          <w:i/>
          <w:sz w:val="20"/>
          <w:lang w:val="en-CA"/>
        </w:rPr>
        <w:t xml:space="preserve"> Majesty the </w:t>
      </w:r>
      <w:r w:rsidR="00716A34">
        <w:rPr>
          <w:b/>
          <w:i/>
          <w:sz w:val="20"/>
          <w:lang w:val="en-CA"/>
        </w:rPr>
        <w:t>King</w:t>
      </w:r>
      <w:r w:rsidRPr="00FB7985">
        <w:rPr>
          <w:b/>
          <w:i/>
          <w:sz w:val="20"/>
          <w:lang w:val="en-CA"/>
        </w:rPr>
        <w:t xml:space="preserve"> v. Randy William Downes</w:t>
      </w:r>
    </w:p>
    <w:p w:rsidR="009852B1" w:rsidRPr="00FB7985" w:rsidRDefault="009852B1" w:rsidP="009B7F7F">
      <w:pPr>
        <w:widowControl w:val="0"/>
        <w:tabs>
          <w:tab w:val="left" w:pos="720"/>
        </w:tabs>
        <w:ind w:left="1440" w:hanging="1440"/>
        <w:jc w:val="both"/>
        <w:rPr>
          <w:sz w:val="20"/>
          <w:lang w:val="en-CA"/>
        </w:rPr>
      </w:pPr>
      <w:r w:rsidRPr="00FB7985">
        <w:rPr>
          <w:sz w:val="20"/>
          <w:lang w:val="en-CA"/>
        </w:rPr>
        <w:tab/>
        <w:t>(B.C.) (Criminal) (As of Right)</w:t>
      </w:r>
    </w:p>
    <w:p w:rsidR="009852B1" w:rsidRPr="00FB7985" w:rsidRDefault="009852B1" w:rsidP="005F3377">
      <w:pPr>
        <w:widowControl w:val="0"/>
        <w:ind w:left="1440" w:hanging="1440"/>
        <w:jc w:val="both"/>
        <w:rPr>
          <w:sz w:val="20"/>
          <w:lang w:val="en-CA"/>
        </w:rPr>
      </w:pPr>
    </w:p>
    <w:p w:rsidR="009852B1" w:rsidRPr="00FB7985" w:rsidRDefault="009852B1" w:rsidP="005F3377">
      <w:pPr>
        <w:widowControl w:val="0"/>
        <w:ind w:left="1440" w:hanging="1440"/>
        <w:jc w:val="both"/>
        <w:rPr>
          <w:sz w:val="20"/>
          <w:lang w:val="en-CA"/>
        </w:rPr>
      </w:pPr>
      <w:r w:rsidRPr="00FB7985">
        <w:rPr>
          <w:smallCaps/>
          <w:sz w:val="20"/>
          <w:lang w:val="en-CA"/>
        </w:rPr>
        <w:t>(Publication Ban)</w:t>
      </w:r>
    </w:p>
    <w:p w:rsidR="009852B1" w:rsidRPr="00FB7985" w:rsidRDefault="009852B1" w:rsidP="005F3377">
      <w:pPr>
        <w:widowControl w:val="0"/>
        <w:ind w:left="1440" w:hanging="1440"/>
        <w:jc w:val="both"/>
        <w:rPr>
          <w:sz w:val="20"/>
          <w:lang w:val="en-CA"/>
        </w:rPr>
      </w:pPr>
    </w:p>
    <w:p w:rsidR="009852B1" w:rsidRPr="00FB7985" w:rsidRDefault="009852B1" w:rsidP="00982534">
      <w:pPr>
        <w:jc w:val="both"/>
        <w:rPr>
          <w:sz w:val="20"/>
        </w:rPr>
      </w:pPr>
      <w:r w:rsidRPr="00FB7985">
        <w:rPr>
          <w:sz w:val="20"/>
        </w:rPr>
        <w:t xml:space="preserve">Criminal law — Voyeurism — Elements of the offence — Whether the trial judge erred by failing to consider whether nudity was reasonably expected at the place and at the time where the offence was alleged to have occurred — Whether s. 162(1)(a) of the </w:t>
      </w:r>
      <w:r w:rsidRPr="00FB7985">
        <w:rPr>
          <w:i/>
          <w:sz w:val="20"/>
        </w:rPr>
        <w:t>Criminal Code</w:t>
      </w:r>
      <w:r w:rsidRPr="00FB7985">
        <w:rPr>
          <w:sz w:val="20"/>
        </w:rPr>
        <w:t xml:space="preserve"> infringes s. 7 of the Canadian Charter of Rights and Freedoms? — If so, is the infringement a reasonable limit prescribed by law as can be demonstrably justified in a free and democratic society under s. 1 of the </w:t>
      </w:r>
      <w:r w:rsidRPr="00FB7985">
        <w:rPr>
          <w:i/>
          <w:sz w:val="20"/>
        </w:rPr>
        <w:t>Charter</w:t>
      </w:r>
      <w:r w:rsidRPr="00FB7985">
        <w:rPr>
          <w:sz w:val="20"/>
        </w:rPr>
        <w:t xml:space="preserve">? — </w:t>
      </w:r>
      <w:r w:rsidRPr="00FB7985">
        <w:rPr>
          <w:i/>
          <w:sz w:val="20"/>
        </w:rPr>
        <w:t>Criminal Code</w:t>
      </w:r>
      <w:r w:rsidRPr="00FB7985">
        <w:rPr>
          <w:sz w:val="20"/>
        </w:rPr>
        <w:t>, R.S.C. 1985, c. C</w:t>
      </w:r>
      <w:r w:rsidRPr="00FB7985">
        <w:rPr>
          <w:sz w:val="20"/>
        </w:rPr>
        <w:noBreakHyphen/>
        <w:t>46, s. 162(1</w:t>
      </w:r>
      <w:proofErr w:type="gramStart"/>
      <w:r w:rsidRPr="00FB7985">
        <w:rPr>
          <w:sz w:val="20"/>
        </w:rPr>
        <w:t>)(</w:t>
      </w:r>
      <w:proofErr w:type="gramEnd"/>
      <w:r w:rsidRPr="00FB7985">
        <w:rPr>
          <w:sz w:val="20"/>
        </w:rPr>
        <w:t>a).</w:t>
      </w:r>
    </w:p>
    <w:p w:rsidR="009852B1" w:rsidRPr="00FB7985" w:rsidRDefault="009852B1" w:rsidP="00982534">
      <w:pPr>
        <w:jc w:val="both"/>
        <w:rPr>
          <w:sz w:val="20"/>
        </w:rPr>
      </w:pPr>
    </w:p>
    <w:p w:rsidR="009852B1" w:rsidRPr="00FB7985" w:rsidRDefault="009852B1" w:rsidP="005F3377">
      <w:pPr>
        <w:widowControl w:val="0"/>
        <w:jc w:val="both"/>
        <w:rPr>
          <w:sz w:val="20"/>
        </w:rPr>
      </w:pPr>
      <w:r w:rsidRPr="00FB7985">
        <w:rPr>
          <w:sz w:val="20"/>
        </w:rPr>
        <w:t>At trial, the respondent, Randy William Downes, was convicted of two counts of voyeurism contrary to s. 162(1</w:t>
      </w:r>
      <w:proofErr w:type="gramStart"/>
      <w:r w:rsidRPr="00FB7985">
        <w:rPr>
          <w:sz w:val="20"/>
        </w:rPr>
        <w:t>)(</w:t>
      </w:r>
      <w:proofErr w:type="gramEnd"/>
      <w:r w:rsidRPr="00FB7985">
        <w:rPr>
          <w:sz w:val="20"/>
        </w:rPr>
        <w:t xml:space="preserve">a) of the </w:t>
      </w:r>
      <w:r w:rsidRPr="00FB7985">
        <w:rPr>
          <w:i/>
          <w:sz w:val="20"/>
        </w:rPr>
        <w:t>Criminal Code</w:t>
      </w:r>
      <w:r w:rsidRPr="00FB7985">
        <w:rPr>
          <w:sz w:val="20"/>
        </w:rPr>
        <w:t>, R.S.C. 1985, c. C</w:t>
      </w:r>
      <w:r w:rsidRPr="00FB7985">
        <w:rPr>
          <w:sz w:val="20"/>
        </w:rPr>
        <w:noBreakHyphen/>
        <w:t xml:space="preserve">46. He was found to have surreptitiously taken photographs of adolescent male hockey players in stages of undress in a dressing room while he was coaching. </w:t>
      </w:r>
    </w:p>
    <w:p w:rsidR="009852B1" w:rsidRPr="00FB7985" w:rsidRDefault="009852B1" w:rsidP="005F3377">
      <w:pPr>
        <w:widowControl w:val="0"/>
        <w:jc w:val="both"/>
        <w:rPr>
          <w:sz w:val="20"/>
        </w:rPr>
      </w:pPr>
    </w:p>
    <w:p w:rsidR="009852B1" w:rsidRPr="00FB7985" w:rsidRDefault="009852B1" w:rsidP="005F3377">
      <w:pPr>
        <w:widowControl w:val="0"/>
        <w:jc w:val="both"/>
        <w:rPr>
          <w:sz w:val="20"/>
        </w:rPr>
      </w:pPr>
      <w:r w:rsidRPr="00FB7985">
        <w:rPr>
          <w:sz w:val="20"/>
        </w:rPr>
        <w:t>A majority of the Court of Appeal (per Willcock J.A. with Grauer J.A. concurring), allowed Mr. Downes’ appeal, set aside the conviction and ordered a new trial. The majority explained that, while it was open to the trial judge to find nudity was expected in the dressing room in which the offences were found to have occurred, the conflicts in evidence regarding whether nudity was expected at the time the photos were taken were not addressed. In dissent, Dickson J.A. would have dismissed the appeal on the basis that the characterization of “a place” under s. 162(1) does not include a temporal use component. In her view, the relevant inquiry was whether the place in which the impugned conduct occurred is a place in which a person can reasonably be expected to be nude, regardless of the expected use of that place specifically when the conduct occurred.</w:t>
      </w:r>
    </w:p>
    <w:p w:rsidR="009852B1" w:rsidRPr="00FB7985" w:rsidRDefault="009852B1">
      <w:pPr>
        <w:widowControl w:val="0"/>
        <w:jc w:val="both"/>
        <w:rPr>
          <w:sz w:val="20"/>
        </w:rPr>
      </w:pPr>
    </w:p>
    <w:p w:rsidR="009852B1" w:rsidRPr="00FB7985" w:rsidRDefault="00872881">
      <w:pPr>
        <w:widowControl w:val="0"/>
        <w:jc w:val="both"/>
        <w:rPr>
          <w:sz w:val="20"/>
          <w:lang w:val="en-CA"/>
        </w:rPr>
      </w:pPr>
      <w:r>
        <w:rPr>
          <w:sz w:val="20"/>
        </w:rPr>
        <w:pict>
          <v:rect id="_x0000_i1035" style="width:2in;height:1pt" o:hrpct="0" o:hralign="center" o:hrstd="t" o:hrnoshade="t" o:hr="t" fillcolor="black [3213]" stroked="f"/>
        </w:pict>
      </w:r>
    </w:p>
    <w:p w:rsidR="009852B1" w:rsidRPr="00FB7985" w:rsidRDefault="009852B1">
      <w:pPr>
        <w:widowControl w:val="0"/>
        <w:jc w:val="both"/>
        <w:rPr>
          <w:sz w:val="20"/>
          <w:lang w:val="en-CA"/>
        </w:rPr>
      </w:pPr>
    </w:p>
    <w:p w:rsidR="009852B1" w:rsidRPr="00FB7985" w:rsidRDefault="009852B1" w:rsidP="00A97DEE">
      <w:pPr>
        <w:widowControl w:val="0"/>
        <w:tabs>
          <w:tab w:val="left" w:pos="720"/>
        </w:tabs>
        <w:ind w:left="1440" w:hanging="1440"/>
        <w:jc w:val="both"/>
        <w:rPr>
          <w:b/>
          <w:i/>
          <w:sz w:val="20"/>
          <w:lang w:val="fr-CA"/>
        </w:rPr>
      </w:pPr>
      <w:r w:rsidRPr="00FB7985">
        <w:rPr>
          <w:b/>
          <w:sz w:val="20"/>
          <w:lang w:val="fr-CA"/>
        </w:rPr>
        <w:fldChar w:fldCharType="begin"/>
      </w:r>
      <w:r w:rsidRPr="00FB7985">
        <w:rPr>
          <w:b/>
          <w:sz w:val="20"/>
          <w:lang w:val="fr-CA"/>
        </w:rPr>
        <w:instrText xml:space="preserve"> SEQ CHAPTER \h \r 1</w:instrText>
      </w:r>
      <w:r w:rsidRPr="00FB7985">
        <w:rPr>
          <w:b/>
          <w:sz w:val="20"/>
          <w:lang w:val="fr-CA"/>
        </w:rPr>
        <w:fldChar w:fldCharType="end"/>
      </w:r>
      <w:r w:rsidRPr="00FB7985">
        <w:rPr>
          <w:b/>
          <w:sz w:val="20"/>
          <w:lang w:val="fr-CA"/>
        </w:rPr>
        <w:t>40045</w:t>
      </w:r>
      <w:r w:rsidRPr="00FB7985">
        <w:rPr>
          <w:sz w:val="20"/>
          <w:lang w:val="fr-CA"/>
        </w:rPr>
        <w:tab/>
      </w:r>
      <w:r w:rsidRPr="00FB7985">
        <w:rPr>
          <w:b/>
          <w:i/>
          <w:sz w:val="20"/>
          <w:lang w:val="fr-CA"/>
        </w:rPr>
        <w:t>Sa Majesté l</w:t>
      </w:r>
      <w:r w:rsidR="00716A34">
        <w:rPr>
          <w:b/>
          <w:i/>
          <w:sz w:val="20"/>
          <w:lang w:val="fr-CA"/>
        </w:rPr>
        <w:t>e</w:t>
      </w:r>
      <w:r w:rsidRPr="00FB7985">
        <w:rPr>
          <w:b/>
          <w:i/>
          <w:sz w:val="20"/>
          <w:lang w:val="fr-CA"/>
        </w:rPr>
        <w:t xml:space="preserve"> R</w:t>
      </w:r>
      <w:r w:rsidR="00716A34">
        <w:rPr>
          <w:b/>
          <w:i/>
          <w:sz w:val="20"/>
          <w:lang w:val="fr-CA"/>
        </w:rPr>
        <w:t>oi</w:t>
      </w:r>
      <w:r w:rsidRPr="00FB7985">
        <w:rPr>
          <w:b/>
          <w:i/>
          <w:sz w:val="20"/>
          <w:lang w:val="fr-CA"/>
        </w:rPr>
        <w:t xml:space="preserve"> c. Randy William Downes</w:t>
      </w:r>
    </w:p>
    <w:p w:rsidR="009852B1" w:rsidRPr="00FB7985" w:rsidRDefault="009852B1" w:rsidP="00A97DEE">
      <w:pPr>
        <w:widowControl w:val="0"/>
        <w:tabs>
          <w:tab w:val="left" w:pos="720"/>
        </w:tabs>
        <w:ind w:left="1440" w:hanging="1440"/>
        <w:jc w:val="both"/>
        <w:rPr>
          <w:sz w:val="20"/>
          <w:lang w:val="fr-CA"/>
        </w:rPr>
      </w:pPr>
      <w:r w:rsidRPr="00FB7985">
        <w:rPr>
          <w:sz w:val="20"/>
          <w:lang w:val="fr-CA"/>
        </w:rPr>
        <w:tab/>
        <w:t>(C.</w:t>
      </w:r>
      <w:r w:rsidRPr="00FB7985">
        <w:rPr>
          <w:sz w:val="20"/>
          <w:lang w:val="fr-CA"/>
        </w:rPr>
        <w:noBreakHyphen/>
        <w:t>B.) (Criminelle) (De plein droit)</w:t>
      </w:r>
    </w:p>
    <w:p w:rsidR="009852B1" w:rsidRPr="00FB7985" w:rsidRDefault="009852B1" w:rsidP="005F3377">
      <w:pPr>
        <w:widowControl w:val="0"/>
        <w:ind w:left="1440" w:hanging="1440"/>
        <w:jc w:val="both"/>
        <w:rPr>
          <w:sz w:val="20"/>
          <w:lang w:val="fr-CA"/>
        </w:rPr>
      </w:pPr>
    </w:p>
    <w:p w:rsidR="009852B1" w:rsidRPr="00FB7985" w:rsidRDefault="009852B1" w:rsidP="005F3377">
      <w:pPr>
        <w:widowControl w:val="0"/>
        <w:ind w:left="1440" w:hanging="1440"/>
        <w:jc w:val="both"/>
        <w:rPr>
          <w:sz w:val="20"/>
          <w:lang w:val="fr-CA"/>
        </w:rPr>
      </w:pPr>
      <w:r w:rsidRPr="00FB7985">
        <w:rPr>
          <w:smallCaps/>
          <w:sz w:val="20"/>
          <w:lang w:val="fr-CA"/>
        </w:rPr>
        <w:t>(Ordonnance de non</w:t>
      </w:r>
      <w:r w:rsidRPr="00FB7985">
        <w:rPr>
          <w:smallCaps/>
          <w:sz w:val="20"/>
          <w:lang w:val="fr-CA"/>
        </w:rPr>
        <w:noBreakHyphen/>
        <w:t>publication)</w:t>
      </w:r>
    </w:p>
    <w:p w:rsidR="009852B1" w:rsidRPr="00FB7985" w:rsidRDefault="009852B1" w:rsidP="005F3377">
      <w:pPr>
        <w:widowControl w:val="0"/>
        <w:ind w:left="1440" w:hanging="1440"/>
        <w:jc w:val="both"/>
        <w:rPr>
          <w:sz w:val="20"/>
          <w:lang w:val="fr-CA"/>
        </w:rPr>
      </w:pPr>
    </w:p>
    <w:p w:rsidR="009852B1" w:rsidRPr="00FB7985" w:rsidRDefault="009852B1" w:rsidP="005F3377">
      <w:pPr>
        <w:jc w:val="both"/>
        <w:rPr>
          <w:sz w:val="20"/>
          <w:lang w:val="fr-CA"/>
        </w:rPr>
      </w:pPr>
      <w:r w:rsidRPr="00FB7985">
        <w:rPr>
          <w:sz w:val="20"/>
          <w:lang w:val="fr-CA"/>
        </w:rPr>
        <w:t>Droit criminel — Voyeurisme — Éléments de l’infraction — Le juge du procès a</w:t>
      </w:r>
      <w:r w:rsidRPr="00FB7985">
        <w:rPr>
          <w:sz w:val="20"/>
          <w:lang w:val="fr-CA"/>
        </w:rPr>
        <w:noBreakHyphen/>
        <w:t>t</w:t>
      </w:r>
      <w:r w:rsidRPr="00FB7985">
        <w:rPr>
          <w:sz w:val="20"/>
          <w:lang w:val="fr-CA"/>
        </w:rPr>
        <w:noBreakHyphen/>
        <w:t xml:space="preserve">il commis une erreur en omettant de se demander si on pouvait raisonnablement s’attendre à ce que des personnes soient nues dans le lieu et au moment où l’infraction aurait été commise? — L’alinéa 162(1)a) du </w:t>
      </w:r>
      <w:r w:rsidRPr="00FB7985">
        <w:rPr>
          <w:i/>
          <w:sz w:val="20"/>
          <w:lang w:val="fr-CA"/>
        </w:rPr>
        <w:t>Code criminel</w:t>
      </w:r>
      <w:r w:rsidRPr="00FB7985">
        <w:rPr>
          <w:sz w:val="20"/>
          <w:lang w:val="fr-CA"/>
        </w:rPr>
        <w:t xml:space="preserve"> contrevient</w:t>
      </w:r>
      <w:r w:rsidRPr="00FB7985">
        <w:rPr>
          <w:sz w:val="20"/>
          <w:lang w:val="fr-CA"/>
        </w:rPr>
        <w:noBreakHyphen/>
        <w:t xml:space="preserve">il à l’art. 7 de la </w:t>
      </w:r>
      <w:r w:rsidRPr="00FB7985">
        <w:rPr>
          <w:i/>
          <w:sz w:val="20"/>
          <w:lang w:val="fr-CA"/>
        </w:rPr>
        <w:t>Charte canadienne des droits et libertés</w:t>
      </w:r>
      <w:r w:rsidRPr="00FB7985">
        <w:rPr>
          <w:sz w:val="20"/>
          <w:lang w:val="fr-CA"/>
        </w:rPr>
        <w:t>? — Dans l’affirmative, la contravention constitue</w:t>
      </w:r>
      <w:r w:rsidRPr="00FB7985">
        <w:rPr>
          <w:sz w:val="20"/>
          <w:lang w:val="fr-CA"/>
        </w:rPr>
        <w:noBreakHyphen/>
        <w:t xml:space="preserve">elle une limite raisonnable prescrite par une règle de droit dont la justification peut se démontrer dans le cadre d’une société libre et démocratique au regard de l’article premier de la </w:t>
      </w:r>
      <w:r w:rsidRPr="00FB7985">
        <w:rPr>
          <w:i/>
          <w:sz w:val="20"/>
          <w:lang w:val="fr-CA"/>
        </w:rPr>
        <w:t>Charte</w:t>
      </w:r>
      <w:r w:rsidRPr="00FB7985">
        <w:rPr>
          <w:sz w:val="20"/>
          <w:lang w:val="fr-CA"/>
        </w:rPr>
        <w:t xml:space="preserve">? — </w:t>
      </w:r>
      <w:r w:rsidRPr="00FB7985">
        <w:rPr>
          <w:i/>
          <w:sz w:val="20"/>
          <w:lang w:val="fr-CA"/>
        </w:rPr>
        <w:t>Code criminel</w:t>
      </w:r>
      <w:r w:rsidRPr="00FB7985">
        <w:rPr>
          <w:sz w:val="20"/>
          <w:lang w:val="fr-CA"/>
        </w:rPr>
        <w:t>, L.R.C. 1985, c. C</w:t>
      </w:r>
      <w:r w:rsidRPr="00FB7985">
        <w:rPr>
          <w:sz w:val="20"/>
          <w:lang w:val="fr-CA"/>
        </w:rPr>
        <w:noBreakHyphen/>
        <w:t>46, art. 162(1)a).</w:t>
      </w:r>
    </w:p>
    <w:p w:rsidR="009852B1" w:rsidRPr="00FB7985" w:rsidRDefault="009852B1" w:rsidP="005F3377">
      <w:pPr>
        <w:widowControl w:val="0"/>
        <w:jc w:val="both"/>
        <w:rPr>
          <w:sz w:val="20"/>
          <w:lang w:val="fr-CA"/>
        </w:rPr>
      </w:pPr>
    </w:p>
    <w:p w:rsidR="009852B1" w:rsidRPr="00FB7985" w:rsidRDefault="009852B1" w:rsidP="005F3377">
      <w:pPr>
        <w:widowControl w:val="0"/>
        <w:jc w:val="both"/>
        <w:rPr>
          <w:sz w:val="20"/>
          <w:lang w:val="fr-CA"/>
        </w:rPr>
      </w:pPr>
      <w:r w:rsidRPr="00FB7985">
        <w:rPr>
          <w:sz w:val="20"/>
          <w:lang w:val="fr-CA"/>
        </w:rPr>
        <w:t xml:space="preserve">Au procès, l’intimé, Randy William Downes, a été déclaré coupable de deux chefs d’accusation de voyeurisme, infraction prévue à l’al. 162(1)a) du </w:t>
      </w:r>
      <w:r w:rsidRPr="00FB7985">
        <w:rPr>
          <w:i/>
          <w:sz w:val="20"/>
          <w:lang w:val="fr-CA"/>
        </w:rPr>
        <w:t>Code criminel</w:t>
      </w:r>
      <w:r w:rsidRPr="00FB7985">
        <w:rPr>
          <w:sz w:val="20"/>
          <w:lang w:val="fr-CA"/>
        </w:rPr>
        <w:t>, L.R.C. 1985, c. C</w:t>
      </w:r>
      <w:r w:rsidRPr="00FB7985">
        <w:rPr>
          <w:sz w:val="20"/>
          <w:lang w:val="fr-CA"/>
        </w:rPr>
        <w:noBreakHyphen/>
        <w:t xml:space="preserve">46. Il a été déclaré coupable d’avoir subrepticement pris des photographies de joueurs de hockey adolescents de sexe masculin en train de se dévêtir dans un vestiaire alors qu’il était leur entraîneur. </w:t>
      </w:r>
    </w:p>
    <w:p w:rsidR="009852B1" w:rsidRPr="00FB7985" w:rsidRDefault="009852B1" w:rsidP="005F3377">
      <w:pPr>
        <w:widowControl w:val="0"/>
        <w:jc w:val="both"/>
        <w:rPr>
          <w:sz w:val="20"/>
          <w:lang w:val="fr-CA"/>
        </w:rPr>
      </w:pPr>
    </w:p>
    <w:p w:rsidR="009852B1" w:rsidRPr="00FB7985" w:rsidRDefault="009852B1" w:rsidP="005F3377">
      <w:pPr>
        <w:widowControl w:val="0"/>
        <w:jc w:val="both"/>
        <w:rPr>
          <w:sz w:val="20"/>
          <w:lang w:val="fr-CA"/>
        </w:rPr>
      </w:pPr>
      <w:r w:rsidRPr="00FB7985">
        <w:rPr>
          <w:sz w:val="20"/>
          <w:lang w:val="fr-CA"/>
        </w:rPr>
        <w:t>Les juges majoritaires de la Cour d’appel (sous la plume du juge Willcock, motifs concordants du juge Grauer) ont accueilli le pourvoi de M. Downes, annulé sa déclaration de culpabilité et ordonné la tenue d’un nouveau procès. Ils ont expliqué que, bien que le juge du procès pouvait conclure qu’il était raisonnable de s’attendre à ce qu’une personne soit nue dans le vestiaire où les infractions ont été commises, les éléments de preuve contradictoires quant à savoir si on s’attendait à ce qu’il y ait nudité au moment où les photographies ont été prises n’ont pas été examinés. En dissidence, la juge Dickson aurait rejeté le pourvoi au motif que la qualification du terme « un lieu » au titre du par. 162(1) ne comprend pas un élément d’utilisation temporelle. À son avis, la question pertinente était de savoir si le lieu où la conduite reprochée s’est déroulée est un lieu où il est raisonnable de s’attendre à ce qu’une personne soit nue, peu importe l’utilisation prévue de ce lieu précisément lorsque la conduite s’est déroulée.</w:t>
      </w:r>
    </w:p>
    <w:p w:rsidR="00795A4B" w:rsidRPr="00FB7985" w:rsidRDefault="00795A4B" w:rsidP="00795A4B">
      <w:pPr>
        <w:jc w:val="both"/>
        <w:rPr>
          <w:sz w:val="20"/>
          <w:lang w:val="fr-CA"/>
        </w:rPr>
      </w:pPr>
    </w:p>
    <w:p w:rsidR="00795A4B" w:rsidRPr="00FB7985" w:rsidRDefault="00872881" w:rsidP="00795A4B">
      <w:pPr>
        <w:jc w:val="both"/>
        <w:rPr>
          <w:sz w:val="20"/>
          <w:lang w:val="fr-CA"/>
        </w:rPr>
      </w:pPr>
      <w:r>
        <w:rPr>
          <w:sz w:val="20"/>
        </w:rPr>
        <w:pict>
          <v:rect id="_x0000_i1036" style="width:2in;height:1pt" o:hrpct="0" o:hralign="center" o:hrstd="t" o:hrnoshade="t" o:hr="t" fillcolor="black [3213]" stroked="f"/>
        </w:pict>
      </w:r>
    </w:p>
    <w:p w:rsidR="00380A0F" w:rsidRPr="00FB7985" w:rsidRDefault="00380A0F" w:rsidP="00397831">
      <w:pPr>
        <w:widowControl w:val="0"/>
        <w:jc w:val="both"/>
        <w:rPr>
          <w:sz w:val="20"/>
          <w:lang w:val="fr-CA"/>
        </w:rPr>
      </w:pPr>
    </w:p>
    <w:p w:rsidR="00831114" w:rsidRPr="00FB7985" w:rsidRDefault="00831114" w:rsidP="00991060">
      <w:pPr>
        <w:jc w:val="both"/>
        <w:rPr>
          <w:sz w:val="20"/>
          <w:lang w:val="fr-CA"/>
        </w:rPr>
      </w:pPr>
    </w:p>
    <w:p w:rsidR="003F43E6" w:rsidRPr="00FB7985" w:rsidRDefault="003F43E6" w:rsidP="006F2579">
      <w:pPr>
        <w:widowControl w:val="0"/>
        <w:outlineLvl w:val="0"/>
        <w:rPr>
          <w:sz w:val="20"/>
          <w:lang w:val="fr-CA"/>
        </w:rPr>
      </w:pPr>
    </w:p>
    <w:p w:rsidR="008A4B5A" w:rsidRPr="00FB7985" w:rsidRDefault="008A4B5A" w:rsidP="008A4B5A">
      <w:pPr>
        <w:widowControl w:val="0"/>
        <w:outlineLvl w:val="0"/>
      </w:pPr>
      <w:r w:rsidRPr="00FB7985">
        <w:t xml:space="preserve">Supreme Court of Canada / Cour suprême du </w:t>
      </w:r>
      <w:proofErr w:type="gramStart"/>
      <w:r w:rsidRPr="00FB7985">
        <w:t>Canada :</w:t>
      </w:r>
      <w:proofErr w:type="gramEnd"/>
      <w:r w:rsidRPr="00FB7985">
        <w:t xml:space="preserve"> </w:t>
      </w:r>
    </w:p>
    <w:p w:rsidR="008A4B5A" w:rsidRPr="00FB7985" w:rsidRDefault="00872881" w:rsidP="008A4B5A">
      <w:pPr>
        <w:widowControl w:val="0"/>
        <w:outlineLvl w:val="0"/>
        <w:rPr>
          <w:u w:val="single"/>
        </w:rPr>
      </w:pPr>
      <w:hyperlink r:id="rId13" w:history="1">
        <w:r w:rsidR="008A4B5A" w:rsidRPr="00FB7985">
          <w:rPr>
            <w:rStyle w:val="Hyperlink"/>
          </w:rPr>
          <w:t>comments-commentaires@scc-csc.ca</w:t>
        </w:r>
      </w:hyperlink>
    </w:p>
    <w:p w:rsidR="008A4B5A" w:rsidRPr="00FB7985" w:rsidRDefault="008A4B5A" w:rsidP="008A4B5A">
      <w:pPr>
        <w:widowControl w:val="0"/>
        <w:outlineLvl w:val="0"/>
      </w:pPr>
      <w:r w:rsidRPr="00FB7985">
        <w:t>613-995-4330</w:t>
      </w:r>
    </w:p>
    <w:p w:rsidR="008A4B5A" w:rsidRPr="00FB7985" w:rsidRDefault="008A4B5A" w:rsidP="008A4B5A">
      <w:pPr>
        <w:widowControl w:val="0"/>
        <w:rPr>
          <w:sz w:val="20"/>
        </w:rPr>
      </w:pPr>
    </w:p>
    <w:p w:rsidR="008A4B5A" w:rsidRPr="0003141B" w:rsidRDefault="008A4B5A" w:rsidP="008A4B5A">
      <w:pPr>
        <w:pStyle w:val="Footer"/>
        <w:jc w:val="center"/>
      </w:pPr>
      <w:r w:rsidRPr="00FB7985">
        <w:t>- 30 -</w:t>
      </w:r>
    </w:p>
    <w:p w:rsidR="008A4B5A" w:rsidRPr="0003141B" w:rsidRDefault="008A4B5A" w:rsidP="008A4B5A">
      <w:pPr>
        <w:pStyle w:val="Footer"/>
        <w:jc w:val="center"/>
      </w:pPr>
    </w:p>
    <w:sectPr w:rsidR="008A4B5A" w:rsidRPr="0003141B" w:rsidSect="00A705DC">
      <w:headerReference w:type="even" r:id="rId14"/>
      <w:headerReference w:type="default" r:id="rId15"/>
      <w:footerReference w:type="even" r:id="rId16"/>
      <w:footerReference w:type="default" r:id="rId17"/>
      <w:headerReference w:type="first" r:id="rId18"/>
      <w:footerReference w:type="first" r:id="rId19"/>
      <w:pgSz w:w="12240" w:h="15840"/>
      <w:pgMar w:top="851" w:right="1440" w:bottom="1440" w:left="1440" w:header="567"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9E2" w:rsidRDefault="00E039E2" w:rsidP="0034178A">
      <w:r>
        <w:separator/>
      </w:r>
    </w:p>
  </w:endnote>
  <w:endnote w:type="continuationSeparator" w:id="0">
    <w:p w:rsidR="00E039E2" w:rsidRDefault="00E039E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9E2" w:rsidRDefault="00E039E2" w:rsidP="0034178A">
      <w:r>
        <w:separator/>
      </w:r>
    </w:p>
  </w:footnote>
  <w:footnote w:type="continuationSeparator" w:id="0">
    <w:p w:rsidR="00E039E2" w:rsidRDefault="00E039E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DB6B8F"/>
    <w:multiLevelType w:val="hybridMultilevel"/>
    <w:tmpl w:val="6B52C162"/>
    <w:lvl w:ilvl="0" w:tplc="7F6606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1562F"/>
    <w:multiLevelType w:val="hybridMultilevel"/>
    <w:tmpl w:val="520C0BCA"/>
    <w:lvl w:ilvl="0" w:tplc="0409000F">
      <w:start w:val="1"/>
      <w:numFmt w:val="decimal"/>
      <w:lvlText w:val="%1."/>
      <w:lvlJc w:val="left"/>
      <w:pPr>
        <w:ind w:left="720" w:hanging="360"/>
      </w:pPr>
    </w:lvl>
    <w:lvl w:ilvl="1" w:tplc="AE44FEFC">
      <w:start w:val="4"/>
      <w:numFmt w:val="bullet"/>
      <w:lvlText w:val="-"/>
      <w:lvlJc w:val="left"/>
      <w:pPr>
        <w:ind w:left="1440" w:hanging="360"/>
      </w:pPr>
      <w:rPr>
        <w:rFonts w:ascii="Times New Roman" w:eastAsia="Times New Roman" w:hAnsi="Times New Roman" w:cs="Times New Roman"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2"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D2C6E97"/>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2A455EA"/>
    <w:multiLevelType w:val="hybridMultilevel"/>
    <w:tmpl w:val="2070E618"/>
    <w:lvl w:ilvl="0" w:tplc="B8C84A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B2732"/>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05226"/>
    <w:multiLevelType w:val="hybridMultilevel"/>
    <w:tmpl w:val="955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75718E"/>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6"/>
  </w:num>
  <w:num w:numId="4">
    <w:abstractNumId w:val="14"/>
  </w:num>
  <w:num w:numId="5">
    <w:abstractNumId w:val="26"/>
  </w:num>
  <w:num w:numId="6">
    <w:abstractNumId w:val="0"/>
  </w:num>
  <w:num w:numId="7">
    <w:abstractNumId w:val="37"/>
  </w:num>
  <w:num w:numId="8">
    <w:abstractNumId w:val="42"/>
  </w:num>
  <w:num w:numId="9">
    <w:abstractNumId w:val="13"/>
  </w:num>
  <w:num w:numId="10">
    <w:abstractNumId w:val="10"/>
  </w:num>
  <w:num w:numId="11">
    <w:abstractNumId w:val="11"/>
  </w:num>
  <w:num w:numId="12">
    <w:abstractNumId w:val="28"/>
  </w:num>
  <w:num w:numId="13">
    <w:abstractNumId w:val="38"/>
  </w:num>
  <w:num w:numId="14">
    <w:abstractNumId w:val="5"/>
  </w:num>
  <w:num w:numId="15">
    <w:abstractNumId w:val="8"/>
  </w:num>
  <w:num w:numId="16">
    <w:abstractNumId w:val="46"/>
  </w:num>
  <w:num w:numId="17">
    <w:abstractNumId w:val="7"/>
  </w:num>
  <w:num w:numId="18">
    <w:abstractNumId w:val="39"/>
  </w:num>
  <w:num w:numId="19">
    <w:abstractNumId w:val="29"/>
  </w:num>
  <w:num w:numId="20">
    <w:abstractNumId w:val="18"/>
  </w:num>
  <w:num w:numId="21">
    <w:abstractNumId w:val="44"/>
  </w:num>
  <w:num w:numId="22">
    <w:abstractNumId w:val="19"/>
  </w:num>
  <w:num w:numId="23">
    <w:abstractNumId w:val="20"/>
  </w:num>
  <w:num w:numId="24">
    <w:abstractNumId w:val="34"/>
  </w:num>
  <w:num w:numId="25">
    <w:abstractNumId w:val="45"/>
  </w:num>
  <w:num w:numId="26">
    <w:abstractNumId w:val="12"/>
  </w:num>
  <w:num w:numId="27">
    <w:abstractNumId w:val="33"/>
  </w:num>
  <w:num w:numId="28">
    <w:abstractNumId w:val="15"/>
  </w:num>
  <w:num w:numId="29">
    <w:abstractNumId w:val="2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1"/>
  </w:num>
  <w:num w:numId="33">
    <w:abstractNumId w:val="32"/>
  </w:num>
  <w:num w:numId="34">
    <w:abstractNumId w:val="4"/>
  </w:num>
  <w:num w:numId="35">
    <w:abstractNumId w:val="30"/>
  </w:num>
  <w:num w:numId="36">
    <w:abstractNumId w:val="24"/>
  </w:num>
  <w:num w:numId="37">
    <w:abstractNumId w:val="43"/>
  </w:num>
  <w:num w:numId="38">
    <w:abstractNumId w:val="9"/>
  </w:num>
  <w:num w:numId="39">
    <w:abstractNumId w:val="2"/>
  </w:num>
  <w:num w:numId="40">
    <w:abstractNumId w:val="40"/>
  </w:num>
  <w:num w:numId="41">
    <w:abstractNumId w:val="16"/>
  </w:num>
  <w:num w:numId="42">
    <w:abstractNumId w:val="3"/>
  </w:num>
  <w:num w:numId="43">
    <w:abstractNumId w:val="27"/>
  </w:num>
  <w:num w:numId="44">
    <w:abstractNumId w:val="35"/>
  </w:num>
  <w:num w:numId="45">
    <w:abstractNumId w:val="23"/>
  </w:num>
  <w:num w:numId="46">
    <w:abstractNumId w:val="25"/>
  </w:num>
  <w:num w:numId="47">
    <w:abstractNumId w:val="17"/>
  </w:num>
  <w:num w:numId="48">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9E2"/>
    <w:rsid w:val="00000FA6"/>
    <w:rsid w:val="000018E3"/>
    <w:rsid w:val="000043C3"/>
    <w:rsid w:val="00011BFB"/>
    <w:rsid w:val="000128A2"/>
    <w:rsid w:val="000136CC"/>
    <w:rsid w:val="00013B9D"/>
    <w:rsid w:val="00014C19"/>
    <w:rsid w:val="000164DB"/>
    <w:rsid w:val="00016CD1"/>
    <w:rsid w:val="00016D65"/>
    <w:rsid w:val="00020578"/>
    <w:rsid w:val="00020797"/>
    <w:rsid w:val="00020816"/>
    <w:rsid w:val="00020A29"/>
    <w:rsid w:val="0002267C"/>
    <w:rsid w:val="00024962"/>
    <w:rsid w:val="000276EE"/>
    <w:rsid w:val="0003141B"/>
    <w:rsid w:val="00033257"/>
    <w:rsid w:val="00033D1E"/>
    <w:rsid w:val="00033D28"/>
    <w:rsid w:val="00034A7F"/>
    <w:rsid w:val="00035790"/>
    <w:rsid w:val="00037AD3"/>
    <w:rsid w:val="00041B58"/>
    <w:rsid w:val="00042069"/>
    <w:rsid w:val="00043FDE"/>
    <w:rsid w:val="000470B9"/>
    <w:rsid w:val="00047CD6"/>
    <w:rsid w:val="00051DE6"/>
    <w:rsid w:val="000530B5"/>
    <w:rsid w:val="000577D9"/>
    <w:rsid w:val="000623CD"/>
    <w:rsid w:val="000627A2"/>
    <w:rsid w:val="00065F8F"/>
    <w:rsid w:val="00066570"/>
    <w:rsid w:val="00066B80"/>
    <w:rsid w:val="00067F50"/>
    <w:rsid w:val="0007009F"/>
    <w:rsid w:val="00070830"/>
    <w:rsid w:val="000775A9"/>
    <w:rsid w:val="00077E16"/>
    <w:rsid w:val="0008184B"/>
    <w:rsid w:val="00082444"/>
    <w:rsid w:val="000825A5"/>
    <w:rsid w:val="000843DB"/>
    <w:rsid w:val="000845B4"/>
    <w:rsid w:val="00084988"/>
    <w:rsid w:val="00085D13"/>
    <w:rsid w:val="00086629"/>
    <w:rsid w:val="00087124"/>
    <w:rsid w:val="00087808"/>
    <w:rsid w:val="00092C48"/>
    <w:rsid w:val="000941B1"/>
    <w:rsid w:val="00095627"/>
    <w:rsid w:val="000A0444"/>
    <w:rsid w:val="000A245A"/>
    <w:rsid w:val="000A260E"/>
    <w:rsid w:val="000A34A2"/>
    <w:rsid w:val="000A4311"/>
    <w:rsid w:val="000A50F9"/>
    <w:rsid w:val="000B163F"/>
    <w:rsid w:val="000B23D2"/>
    <w:rsid w:val="000B2456"/>
    <w:rsid w:val="000B2925"/>
    <w:rsid w:val="000B3FB0"/>
    <w:rsid w:val="000B679D"/>
    <w:rsid w:val="000B7258"/>
    <w:rsid w:val="000B754A"/>
    <w:rsid w:val="000C072B"/>
    <w:rsid w:val="000C0E20"/>
    <w:rsid w:val="000C182C"/>
    <w:rsid w:val="000C3667"/>
    <w:rsid w:val="000D3129"/>
    <w:rsid w:val="000D4AE1"/>
    <w:rsid w:val="000E1CD6"/>
    <w:rsid w:val="000E35CD"/>
    <w:rsid w:val="000E50F2"/>
    <w:rsid w:val="000E5407"/>
    <w:rsid w:val="000E6037"/>
    <w:rsid w:val="000F4521"/>
    <w:rsid w:val="000F4C35"/>
    <w:rsid w:val="000F525E"/>
    <w:rsid w:val="000F70A0"/>
    <w:rsid w:val="000F74E8"/>
    <w:rsid w:val="00100CEE"/>
    <w:rsid w:val="00101E4B"/>
    <w:rsid w:val="001024DC"/>
    <w:rsid w:val="00102F8F"/>
    <w:rsid w:val="00105612"/>
    <w:rsid w:val="001068F5"/>
    <w:rsid w:val="00107219"/>
    <w:rsid w:val="00107866"/>
    <w:rsid w:val="00117AF3"/>
    <w:rsid w:val="0012101A"/>
    <w:rsid w:val="00121A9B"/>
    <w:rsid w:val="00122956"/>
    <w:rsid w:val="00122DFE"/>
    <w:rsid w:val="00123976"/>
    <w:rsid w:val="00124DEC"/>
    <w:rsid w:val="00131855"/>
    <w:rsid w:val="00132635"/>
    <w:rsid w:val="0013300E"/>
    <w:rsid w:val="00134190"/>
    <w:rsid w:val="001354E7"/>
    <w:rsid w:val="001368A7"/>
    <w:rsid w:val="00141200"/>
    <w:rsid w:val="0014243F"/>
    <w:rsid w:val="00142C72"/>
    <w:rsid w:val="00143310"/>
    <w:rsid w:val="00144111"/>
    <w:rsid w:val="0014705F"/>
    <w:rsid w:val="00147BE4"/>
    <w:rsid w:val="00147DE3"/>
    <w:rsid w:val="00150453"/>
    <w:rsid w:val="00151336"/>
    <w:rsid w:val="001543E0"/>
    <w:rsid w:val="00155A61"/>
    <w:rsid w:val="00155FD8"/>
    <w:rsid w:val="0015605D"/>
    <w:rsid w:val="001560EC"/>
    <w:rsid w:val="00162824"/>
    <w:rsid w:val="00163EC7"/>
    <w:rsid w:val="00171379"/>
    <w:rsid w:val="001716F7"/>
    <w:rsid w:val="001731CA"/>
    <w:rsid w:val="00173B3A"/>
    <w:rsid w:val="001740F8"/>
    <w:rsid w:val="00174655"/>
    <w:rsid w:val="0017579D"/>
    <w:rsid w:val="001764FA"/>
    <w:rsid w:val="00176790"/>
    <w:rsid w:val="001813C3"/>
    <w:rsid w:val="00181FBC"/>
    <w:rsid w:val="00182B77"/>
    <w:rsid w:val="00185355"/>
    <w:rsid w:val="0018573B"/>
    <w:rsid w:val="001866BF"/>
    <w:rsid w:val="00186884"/>
    <w:rsid w:val="0019030D"/>
    <w:rsid w:val="00190C7A"/>
    <w:rsid w:val="00190F7F"/>
    <w:rsid w:val="001947C1"/>
    <w:rsid w:val="00194F2A"/>
    <w:rsid w:val="001A06DE"/>
    <w:rsid w:val="001A1AE7"/>
    <w:rsid w:val="001A1C0F"/>
    <w:rsid w:val="001A2314"/>
    <w:rsid w:val="001A2F38"/>
    <w:rsid w:val="001A4547"/>
    <w:rsid w:val="001A48FB"/>
    <w:rsid w:val="001A562F"/>
    <w:rsid w:val="001B3EDD"/>
    <w:rsid w:val="001B4569"/>
    <w:rsid w:val="001B4C16"/>
    <w:rsid w:val="001B5D3B"/>
    <w:rsid w:val="001B68D3"/>
    <w:rsid w:val="001C0491"/>
    <w:rsid w:val="001C0C39"/>
    <w:rsid w:val="001C0E0C"/>
    <w:rsid w:val="001C2F21"/>
    <w:rsid w:val="001C4EE4"/>
    <w:rsid w:val="001C5E6C"/>
    <w:rsid w:val="001D0423"/>
    <w:rsid w:val="001D235D"/>
    <w:rsid w:val="001D2555"/>
    <w:rsid w:val="001E3BCD"/>
    <w:rsid w:val="001E4B57"/>
    <w:rsid w:val="001E52EA"/>
    <w:rsid w:val="001E590C"/>
    <w:rsid w:val="001F17C2"/>
    <w:rsid w:val="001F232F"/>
    <w:rsid w:val="001F27B1"/>
    <w:rsid w:val="001F5B11"/>
    <w:rsid w:val="001F7013"/>
    <w:rsid w:val="001F7120"/>
    <w:rsid w:val="00200F31"/>
    <w:rsid w:val="0020221F"/>
    <w:rsid w:val="00202729"/>
    <w:rsid w:val="00202A27"/>
    <w:rsid w:val="00203AEA"/>
    <w:rsid w:val="00204DE0"/>
    <w:rsid w:val="00205051"/>
    <w:rsid w:val="002069D6"/>
    <w:rsid w:val="0020794A"/>
    <w:rsid w:val="00207C7F"/>
    <w:rsid w:val="00212962"/>
    <w:rsid w:val="002129E1"/>
    <w:rsid w:val="00217135"/>
    <w:rsid w:val="0022132D"/>
    <w:rsid w:val="00222CAE"/>
    <w:rsid w:val="00223B83"/>
    <w:rsid w:val="00225A53"/>
    <w:rsid w:val="002264F4"/>
    <w:rsid w:val="00227D1A"/>
    <w:rsid w:val="00231427"/>
    <w:rsid w:val="00233057"/>
    <w:rsid w:val="00234A3D"/>
    <w:rsid w:val="002357ED"/>
    <w:rsid w:val="002407C6"/>
    <w:rsid w:val="00242F44"/>
    <w:rsid w:val="00244CDD"/>
    <w:rsid w:val="00245CA3"/>
    <w:rsid w:val="00245D73"/>
    <w:rsid w:val="002514CA"/>
    <w:rsid w:val="00252FDB"/>
    <w:rsid w:val="002567CD"/>
    <w:rsid w:val="002613AC"/>
    <w:rsid w:val="00261D3C"/>
    <w:rsid w:val="002620C3"/>
    <w:rsid w:val="00262C42"/>
    <w:rsid w:val="0026349D"/>
    <w:rsid w:val="00264549"/>
    <w:rsid w:val="00264572"/>
    <w:rsid w:val="00266E0E"/>
    <w:rsid w:val="002671CC"/>
    <w:rsid w:val="0026793A"/>
    <w:rsid w:val="00267F92"/>
    <w:rsid w:val="002709E7"/>
    <w:rsid w:val="00276C42"/>
    <w:rsid w:val="00280E55"/>
    <w:rsid w:val="002848CB"/>
    <w:rsid w:val="002858BA"/>
    <w:rsid w:val="0028662D"/>
    <w:rsid w:val="0028686B"/>
    <w:rsid w:val="002909AB"/>
    <w:rsid w:val="00292574"/>
    <w:rsid w:val="00292C0E"/>
    <w:rsid w:val="00292CB4"/>
    <w:rsid w:val="00292F81"/>
    <w:rsid w:val="002A5245"/>
    <w:rsid w:val="002A55D1"/>
    <w:rsid w:val="002A5C41"/>
    <w:rsid w:val="002A652A"/>
    <w:rsid w:val="002A7390"/>
    <w:rsid w:val="002B5525"/>
    <w:rsid w:val="002C10D1"/>
    <w:rsid w:val="002C2254"/>
    <w:rsid w:val="002C793E"/>
    <w:rsid w:val="002C7E1E"/>
    <w:rsid w:val="002D0C49"/>
    <w:rsid w:val="002D16B9"/>
    <w:rsid w:val="002D2553"/>
    <w:rsid w:val="002D43A1"/>
    <w:rsid w:val="002D6680"/>
    <w:rsid w:val="002E261F"/>
    <w:rsid w:val="002E3092"/>
    <w:rsid w:val="002E3911"/>
    <w:rsid w:val="002E5BD3"/>
    <w:rsid w:val="002F06D0"/>
    <w:rsid w:val="002F0A56"/>
    <w:rsid w:val="002F0B78"/>
    <w:rsid w:val="002F3830"/>
    <w:rsid w:val="002F414C"/>
    <w:rsid w:val="002F4929"/>
    <w:rsid w:val="002F4D71"/>
    <w:rsid w:val="002F7DDE"/>
    <w:rsid w:val="002F7E97"/>
    <w:rsid w:val="003012A2"/>
    <w:rsid w:val="003063D0"/>
    <w:rsid w:val="00313652"/>
    <w:rsid w:val="00313A1F"/>
    <w:rsid w:val="003151B5"/>
    <w:rsid w:val="00315D98"/>
    <w:rsid w:val="003235CC"/>
    <w:rsid w:val="00325668"/>
    <w:rsid w:val="0032661A"/>
    <w:rsid w:val="00326DC1"/>
    <w:rsid w:val="0032742B"/>
    <w:rsid w:val="0033004B"/>
    <w:rsid w:val="00330371"/>
    <w:rsid w:val="0033241A"/>
    <w:rsid w:val="00332627"/>
    <w:rsid w:val="00335252"/>
    <w:rsid w:val="0033535C"/>
    <w:rsid w:val="00340D7B"/>
    <w:rsid w:val="00340E08"/>
    <w:rsid w:val="0034178A"/>
    <w:rsid w:val="00343C1E"/>
    <w:rsid w:val="003509E6"/>
    <w:rsid w:val="00350D51"/>
    <w:rsid w:val="00351946"/>
    <w:rsid w:val="00352802"/>
    <w:rsid w:val="003533BC"/>
    <w:rsid w:val="003535EF"/>
    <w:rsid w:val="00357C3B"/>
    <w:rsid w:val="00360FCE"/>
    <w:rsid w:val="003628ED"/>
    <w:rsid w:val="00362E82"/>
    <w:rsid w:val="00364001"/>
    <w:rsid w:val="00364285"/>
    <w:rsid w:val="00367B9A"/>
    <w:rsid w:val="0037013D"/>
    <w:rsid w:val="003706AA"/>
    <w:rsid w:val="00370C5B"/>
    <w:rsid w:val="003710CD"/>
    <w:rsid w:val="00372FD5"/>
    <w:rsid w:val="00376958"/>
    <w:rsid w:val="00377C17"/>
    <w:rsid w:val="00380A0F"/>
    <w:rsid w:val="00380B69"/>
    <w:rsid w:val="00380E76"/>
    <w:rsid w:val="0038431A"/>
    <w:rsid w:val="0038547C"/>
    <w:rsid w:val="00385A88"/>
    <w:rsid w:val="00387AF8"/>
    <w:rsid w:val="00390065"/>
    <w:rsid w:val="00393660"/>
    <w:rsid w:val="003940A4"/>
    <w:rsid w:val="003958AE"/>
    <w:rsid w:val="00395F63"/>
    <w:rsid w:val="00395FC2"/>
    <w:rsid w:val="0039624A"/>
    <w:rsid w:val="0039709D"/>
    <w:rsid w:val="00397213"/>
    <w:rsid w:val="00397831"/>
    <w:rsid w:val="003A00C9"/>
    <w:rsid w:val="003A0258"/>
    <w:rsid w:val="003A11C4"/>
    <w:rsid w:val="003A1F69"/>
    <w:rsid w:val="003A2770"/>
    <w:rsid w:val="003A5371"/>
    <w:rsid w:val="003A58BA"/>
    <w:rsid w:val="003B0718"/>
    <w:rsid w:val="003B1455"/>
    <w:rsid w:val="003B2312"/>
    <w:rsid w:val="003B2AC6"/>
    <w:rsid w:val="003B39D7"/>
    <w:rsid w:val="003B61F0"/>
    <w:rsid w:val="003B64B3"/>
    <w:rsid w:val="003B6E18"/>
    <w:rsid w:val="003B77CF"/>
    <w:rsid w:val="003B7E97"/>
    <w:rsid w:val="003C15F9"/>
    <w:rsid w:val="003C5F5E"/>
    <w:rsid w:val="003C6BB7"/>
    <w:rsid w:val="003D0A88"/>
    <w:rsid w:val="003D0BC8"/>
    <w:rsid w:val="003D27BD"/>
    <w:rsid w:val="003D3E2B"/>
    <w:rsid w:val="003D618C"/>
    <w:rsid w:val="003E2C4E"/>
    <w:rsid w:val="003E3957"/>
    <w:rsid w:val="003E569F"/>
    <w:rsid w:val="003E6AB5"/>
    <w:rsid w:val="003F17F0"/>
    <w:rsid w:val="003F1E6F"/>
    <w:rsid w:val="003F3BC1"/>
    <w:rsid w:val="003F43E6"/>
    <w:rsid w:val="003F566D"/>
    <w:rsid w:val="003F73EF"/>
    <w:rsid w:val="004000BE"/>
    <w:rsid w:val="00400236"/>
    <w:rsid w:val="004026BA"/>
    <w:rsid w:val="00403038"/>
    <w:rsid w:val="00405B84"/>
    <w:rsid w:val="0040709C"/>
    <w:rsid w:val="004116DA"/>
    <w:rsid w:val="004117D6"/>
    <w:rsid w:val="00411834"/>
    <w:rsid w:val="004149DA"/>
    <w:rsid w:val="00416D4C"/>
    <w:rsid w:val="004171D3"/>
    <w:rsid w:val="0042157A"/>
    <w:rsid w:val="0042212F"/>
    <w:rsid w:val="00423943"/>
    <w:rsid w:val="00424581"/>
    <w:rsid w:val="00426976"/>
    <w:rsid w:val="00427F4F"/>
    <w:rsid w:val="00433C3E"/>
    <w:rsid w:val="004361AB"/>
    <w:rsid w:val="00436C0B"/>
    <w:rsid w:val="004375C1"/>
    <w:rsid w:val="0044348E"/>
    <w:rsid w:val="00444072"/>
    <w:rsid w:val="00445E2E"/>
    <w:rsid w:val="004511AB"/>
    <w:rsid w:val="004522B8"/>
    <w:rsid w:val="0045235F"/>
    <w:rsid w:val="004533F1"/>
    <w:rsid w:val="00453ABE"/>
    <w:rsid w:val="004542A8"/>
    <w:rsid w:val="004565C5"/>
    <w:rsid w:val="00456687"/>
    <w:rsid w:val="00460794"/>
    <w:rsid w:val="0046302E"/>
    <w:rsid w:val="00464FEE"/>
    <w:rsid w:val="004672B7"/>
    <w:rsid w:val="00467391"/>
    <w:rsid w:val="00472190"/>
    <w:rsid w:val="00474D9B"/>
    <w:rsid w:val="00476584"/>
    <w:rsid w:val="004771B0"/>
    <w:rsid w:val="00481888"/>
    <w:rsid w:val="00482589"/>
    <w:rsid w:val="004845C4"/>
    <w:rsid w:val="0048502A"/>
    <w:rsid w:val="0048604E"/>
    <w:rsid w:val="00490DDC"/>
    <w:rsid w:val="00491D60"/>
    <w:rsid w:val="00493382"/>
    <w:rsid w:val="00494394"/>
    <w:rsid w:val="00494CD1"/>
    <w:rsid w:val="004957BA"/>
    <w:rsid w:val="004970C9"/>
    <w:rsid w:val="00497B5E"/>
    <w:rsid w:val="004A224A"/>
    <w:rsid w:val="004A3074"/>
    <w:rsid w:val="004A7CEC"/>
    <w:rsid w:val="004B06E1"/>
    <w:rsid w:val="004B7AF8"/>
    <w:rsid w:val="004C0544"/>
    <w:rsid w:val="004C14B4"/>
    <w:rsid w:val="004C1A88"/>
    <w:rsid w:val="004C2585"/>
    <w:rsid w:val="004C281D"/>
    <w:rsid w:val="004C2E9D"/>
    <w:rsid w:val="004C4513"/>
    <w:rsid w:val="004C51E2"/>
    <w:rsid w:val="004C7FC6"/>
    <w:rsid w:val="004D3D9C"/>
    <w:rsid w:val="004E0B2F"/>
    <w:rsid w:val="004E1B3F"/>
    <w:rsid w:val="004E1BC8"/>
    <w:rsid w:val="004E337D"/>
    <w:rsid w:val="004F0EC9"/>
    <w:rsid w:val="004F1AF3"/>
    <w:rsid w:val="004F27DD"/>
    <w:rsid w:val="004F340E"/>
    <w:rsid w:val="004F40AB"/>
    <w:rsid w:val="004F431D"/>
    <w:rsid w:val="004F46E6"/>
    <w:rsid w:val="004F7301"/>
    <w:rsid w:val="00500E35"/>
    <w:rsid w:val="005012D5"/>
    <w:rsid w:val="00501C1A"/>
    <w:rsid w:val="005021F6"/>
    <w:rsid w:val="00502F3E"/>
    <w:rsid w:val="00503196"/>
    <w:rsid w:val="00504706"/>
    <w:rsid w:val="005103F9"/>
    <w:rsid w:val="00511E62"/>
    <w:rsid w:val="00515205"/>
    <w:rsid w:val="005208AC"/>
    <w:rsid w:val="00521EFA"/>
    <w:rsid w:val="0052538B"/>
    <w:rsid w:val="00525B79"/>
    <w:rsid w:val="0053286F"/>
    <w:rsid w:val="00532EB0"/>
    <w:rsid w:val="00533C07"/>
    <w:rsid w:val="00535069"/>
    <w:rsid w:val="00535A60"/>
    <w:rsid w:val="005418C8"/>
    <w:rsid w:val="00542443"/>
    <w:rsid w:val="00542E05"/>
    <w:rsid w:val="00544481"/>
    <w:rsid w:val="00546DAD"/>
    <w:rsid w:val="005504F1"/>
    <w:rsid w:val="005542A1"/>
    <w:rsid w:val="00557DCC"/>
    <w:rsid w:val="005617DA"/>
    <w:rsid w:val="00561B18"/>
    <w:rsid w:val="005650AF"/>
    <w:rsid w:val="00566C79"/>
    <w:rsid w:val="00570169"/>
    <w:rsid w:val="00573172"/>
    <w:rsid w:val="00575F91"/>
    <w:rsid w:val="005812EF"/>
    <w:rsid w:val="0058351E"/>
    <w:rsid w:val="00583D6E"/>
    <w:rsid w:val="0058523D"/>
    <w:rsid w:val="00587914"/>
    <w:rsid w:val="005925EC"/>
    <w:rsid w:val="0059357E"/>
    <w:rsid w:val="00593612"/>
    <w:rsid w:val="0059611F"/>
    <w:rsid w:val="00597224"/>
    <w:rsid w:val="005A187E"/>
    <w:rsid w:val="005A1B7D"/>
    <w:rsid w:val="005A3592"/>
    <w:rsid w:val="005A4082"/>
    <w:rsid w:val="005A43B7"/>
    <w:rsid w:val="005A64AA"/>
    <w:rsid w:val="005B0703"/>
    <w:rsid w:val="005B0AAB"/>
    <w:rsid w:val="005B4EB8"/>
    <w:rsid w:val="005B529F"/>
    <w:rsid w:val="005C196C"/>
    <w:rsid w:val="005C2CA2"/>
    <w:rsid w:val="005C3064"/>
    <w:rsid w:val="005C3DE0"/>
    <w:rsid w:val="005C42FB"/>
    <w:rsid w:val="005C7117"/>
    <w:rsid w:val="005C7BBF"/>
    <w:rsid w:val="005D019B"/>
    <w:rsid w:val="005D1044"/>
    <w:rsid w:val="005D3069"/>
    <w:rsid w:val="005D3730"/>
    <w:rsid w:val="005D4016"/>
    <w:rsid w:val="005D4B99"/>
    <w:rsid w:val="005D4DBD"/>
    <w:rsid w:val="005E10A3"/>
    <w:rsid w:val="005E2D77"/>
    <w:rsid w:val="005E2F89"/>
    <w:rsid w:val="005E4F3B"/>
    <w:rsid w:val="005E73A1"/>
    <w:rsid w:val="005F0456"/>
    <w:rsid w:val="005F4197"/>
    <w:rsid w:val="005F5163"/>
    <w:rsid w:val="006005B0"/>
    <w:rsid w:val="00604007"/>
    <w:rsid w:val="006067DB"/>
    <w:rsid w:val="00610BC0"/>
    <w:rsid w:val="0061282A"/>
    <w:rsid w:val="006132AE"/>
    <w:rsid w:val="00615108"/>
    <w:rsid w:val="006167B8"/>
    <w:rsid w:val="006167C9"/>
    <w:rsid w:val="00621F03"/>
    <w:rsid w:val="00624469"/>
    <w:rsid w:val="00625B63"/>
    <w:rsid w:val="0063061F"/>
    <w:rsid w:val="00632A4A"/>
    <w:rsid w:val="00634573"/>
    <w:rsid w:val="00635A24"/>
    <w:rsid w:val="00636008"/>
    <w:rsid w:val="00636ADD"/>
    <w:rsid w:val="00636C1A"/>
    <w:rsid w:val="006406E5"/>
    <w:rsid w:val="00640B24"/>
    <w:rsid w:val="0064267F"/>
    <w:rsid w:val="006442C8"/>
    <w:rsid w:val="00644B38"/>
    <w:rsid w:val="00645CF5"/>
    <w:rsid w:val="0065124F"/>
    <w:rsid w:val="006514E6"/>
    <w:rsid w:val="00655090"/>
    <w:rsid w:val="00656E1D"/>
    <w:rsid w:val="0066004E"/>
    <w:rsid w:val="0066013D"/>
    <w:rsid w:val="00664817"/>
    <w:rsid w:val="00664E1D"/>
    <w:rsid w:val="00666BA1"/>
    <w:rsid w:val="00670794"/>
    <w:rsid w:val="006721DF"/>
    <w:rsid w:val="00672A20"/>
    <w:rsid w:val="00674808"/>
    <w:rsid w:val="00674CE6"/>
    <w:rsid w:val="00677979"/>
    <w:rsid w:val="00680FDB"/>
    <w:rsid w:val="006829C1"/>
    <w:rsid w:val="00683770"/>
    <w:rsid w:val="006842FD"/>
    <w:rsid w:val="006849D2"/>
    <w:rsid w:val="00686A7E"/>
    <w:rsid w:val="00690509"/>
    <w:rsid w:val="00690963"/>
    <w:rsid w:val="00690B95"/>
    <w:rsid w:val="00690E2D"/>
    <w:rsid w:val="00693751"/>
    <w:rsid w:val="00693795"/>
    <w:rsid w:val="00693CE6"/>
    <w:rsid w:val="00693EEF"/>
    <w:rsid w:val="00695005"/>
    <w:rsid w:val="00696375"/>
    <w:rsid w:val="006965DF"/>
    <w:rsid w:val="006966C2"/>
    <w:rsid w:val="00697DD5"/>
    <w:rsid w:val="006A00B5"/>
    <w:rsid w:val="006A09A4"/>
    <w:rsid w:val="006A21CC"/>
    <w:rsid w:val="006A3856"/>
    <w:rsid w:val="006A4901"/>
    <w:rsid w:val="006A503A"/>
    <w:rsid w:val="006B10D7"/>
    <w:rsid w:val="006B1C34"/>
    <w:rsid w:val="006B24D0"/>
    <w:rsid w:val="006B293F"/>
    <w:rsid w:val="006B2BDD"/>
    <w:rsid w:val="006B3D5C"/>
    <w:rsid w:val="006B40C1"/>
    <w:rsid w:val="006B6A20"/>
    <w:rsid w:val="006C319F"/>
    <w:rsid w:val="006C4010"/>
    <w:rsid w:val="006C477E"/>
    <w:rsid w:val="006C5266"/>
    <w:rsid w:val="006D0F19"/>
    <w:rsid w:val="006D247F"/>
    <w:rsid w:val="006D3FB0"/>
    <w:rsid w:val="006D41DB"/>
    <w:rsid w:val="006D443D"/>
    <w:rsid w:val="006D5A96"/>
    <w:rsid w:val="006D614A"/>
    <w:rsid w:val="006D6B5E"/>
    <w:rsid w:val="006D7DA7"/>
    <w:rsid w:val="006E27D1"/>
    <w:rsid w:val="006E4B08"/>
    <w:rsid w:val="006E4EB7"/>
    <w:rsid w:val="006E7F81"/>
    <w:rsid w:val="006F04E4"/>
    <w:rsid w:val="006F248E"/>
    <w:rsid w:val="006F2579"/>
    <w:rsid w:val="006F409C"/>
    <w:rsid w:val="006F7688"/>
    <w:rsid w:val="00700E69"/>
    <w:rsid w:val="00701BB5"/>
    <w:rsid w:val="0070488F"/>
    <w:rsid w:val="00704CDE"/>
    <w:rsid w:val="0070582E"/>
    <w:rsid w:val="00716A34"/>
    <w:rsid w:val="007226F3"/>
    <w:rsid w:val="007240C3"/>
    <w:rsid w:val="007243CC"/>
    <w:rsid w:val="007301CB"/>
    <w:rsid w:val="0073047B"/>
    <w:rsid w:val="00733EF3"/>
    <w:rsid w:val="00734E8D"/>
    <w:rsid w:val="007356BB"/>
    <w:rsid w:val="00735BED"/>
    <w:rsid w:val="0073666D"/>
    <w:rsid w:val="0073669E"/>
    <w:rsid w:val="0073707B"/>
    <w:rsid w:val="007371F4"/>
    <w:rsid w:val="00737D1D"/>
    <w:rsid w:val="00737F76"/>
    <w:rsid w:val="00741002"/>
    <w:rsid w:val="00741637"/>
    <w:rsid w:val="00744F24"/>
    <w:rsid w:val="007471FA"/>
    <w:rsid w:val="00747C5A"/>
    <w:rsid w:val="00751DE7"/>
    <w:rsid w:val="007572E3"/>
    <w:rsid w:val="00761E6B"/>
    <w:rsid w:val="007655B2"/>
    <w:rsid w:val="00766432"/>
    <w:rsid w:val="00766983"/>
    <w:rsid w:val="00767D92"/>
    <w:rsid w:val="007712C3"/>
    <w:rsid w:val="007736D0"/>
    <w:rsid w:val="00775F1C"/>
    <w:rsid w:val="00775FEC"/>
    <w:rsid w:val="007823D7"/>
    <w:rsid w:val="00782E96"/>
    <w:rsid w:val="00784088"/>
    <w:rsid w:val="00786937"/>
    <w:rsid w:val="0078776F"/>
    <w:rsid w:val="00795A4B"/>
    <w:rsid w:val="00795FC0"/>
    <w:rsid w:val="007975AC"/>
    <w:rsid w:val="007A10D6"/>
    <w:rsid w:val="007A14FC"/>
    <w:rsid w:val="007A3BD3"/>
    <w:rsid w:val="007A4306"/>
    <w:rsid w:val="007A5A11"/>
    <w:rsid w:val="007A667F"/>
    <w:rsid w:val="007A6F16"/>
    <w:rsid w:val="007A7F7F"/>
    <w:rsid w:val="007A7FD6"/>
    <w:rsid w:val="007B09DF"/>
    <w:rsid w:val="007B300E"/>
    <w:rsid w:val="007B567F"/>
    <w:rsid w:val="007B57E8"/>
    <w:rsid w:val="007B65D4"/>
    <w:rsid w:val="007C42C9"/>
    <w:rsid w:val="007C5323"/>
    <w:rsid w:val="007C5990"/>
    <w:rsid w:val="007C6187"/>
    <w:rsid w:val="007C67EE"/>
    <w:rsid w:val="007C7A8C"/>
    <w:rsid w:val="007D21B4"/>
    <w:rsid w:val="007D24AB"/>
    <w:rsid w:val="007D26B8"/>
    <w:rsid w:val="007D42D5"/>
    <w:rsid w:val="007D4BFC"/>
    <w:rsid w:val="007D6193"/>
    <w:rsid w:val="007D6B1C"/>
    <w:rsid w:val="007E0325"/>
    <w:rsid w:val="007E1AD7"/>
    <w:rsid w:val="007E3B55"/>
    <w:rsid w:val="007E6196"/>
    <w:rsid w:val="007E70BF"/>
    <w:rsid w:val="007E735A"/>
    <w:rsid w:val="007F0325"/>
    <w:rsid w:val="007F0D2E"/>
    <w:rsid w:val="007F0DF0"/>
    <w:rsid w:val="007F0F01"/>
    <w:rsid w:val="007F155F"/>
    <w:rsid w:val="007F1E21"/>
    <w:rsid w:val="007F22ED"/>
    <w:rsid w:val="007F3A38"/>
    <w:rsid w:val="007F4F42"/>
    <w:rsid w:val="007F522C"/>
    <w:rsid w:val="00800DF8"/>
    <w:rsid w:val="008021FD"/>
    <w:rsid w:val="008031DB"/>
    <w:rsid w:val="008036BE"/>
    <w:rsid w:val="00804FE6"/>
    <w:rsid w:val="00805636"/>
    <w:rsid w:val="0080792B"/>
    <w:rsid w:val="00807EB6"/>
    <w:rsid w:val="008115B8"/>
    <w:rsid w:val="00812315"/>
    <w:rsid w:val="00814BC7"/>
    <w:rsid w:val="00815D1B"/>
    <w:rsid w:val="00816C1F"/>
    <w:rsid w:val="0082143F"/>
    <w:rsid w:val="0082254A"/>
    <w:rsid w:val="00822691"/>
    <w:rsid w:val="00823610"/>
    <w:rsid w:val="00823C10"/>
    <w:rsid w:val="00825565"/>
    <w:rsid w:val="0082608B"/>
    <w:rsid w:val="008267D6"/>
    <w:rsid w:val="00831114"/>
    <w:rsid w:val="0083380F"/>
    <w:rsid w:val="00835FCE"/>
    <w:rsid w:val="00836607"/>
    <w:rsid w:val="008368DE"/>
    <w:rsid w:val="008369F5"/>
    <w:rsid w:val="00840D33"/>
    <w:rsid w:val="008415C1"/>
    <w:rsid w:val="0084161A"/>
    <w:rsid w:val="00841962"/>
    <w:rsid w:val="00846002"/>
    <w:rsid w:val="00847EA5"/>
    <w:rsid w:val="008503F7"/>
    <w:rsid w:val="00850FFA"/>
    <w:rsid w:val="0085127E"/>
    <w:rsid w:val="00852898"/>
    <w:rsid w:val="00853C98"/>
    <w:rsid w:val="0085543E"/>
    <w:rsid w:val="00857902"/>
    <w:rsid w:val="00857C7A"/>
    <w:rsid w:val="008601E2"/>
    <w:rsid w:val="008613D7"/>
    <w:rsid w:val="00861CAB"/>
    <w:rsid w:val="00864CB6"/>
    <w:rsid w:val="00865274"/>
    <w:rsid w:val="00866A27"/>
    <w:rsid w:val="00866D43"/>
    <w:rsid w:val="0087081B"/>
    <w:rsid w:val="00872881"/>
    <w:rsid w:val="00874308"/>
    <w:rsid w:val="00877B13"/>
    <w:rsid w:val="00877E0F"/>
    <w:rsid w:val="00882F70"/>
    <w:rsid w:val="00883138"/>
    <w:rsid w:val="008836A7"/>
    <w:rsid w:val="0089173C"/>
    <w:rsid w:val="008A1084"/>
    <w:rsid w:val="008A3884"/>
    <w:rsid w:val="008A4ABF"/>
    <w:rsid w:val="008A4B5A"/>
    <w:rsid w:val="008A6DF0"/>
    <w:rsid w:val="008B0108"/>
    <w:rsid w:val="008B29C4"/>
    <w:rsid w:val="008B3670"/>
    <w:rsid w:val="008B4157"/>
    <w:rsid w:val="008B4A24"/>
    <w:rsid w:val="008B5AFF"/>
    <w:rsid w:val="008B5E0B"/>
    <w:rsid w:val="008B63D2"/>
    <w:rsid w:val="008B7CD2"/>
    <w:rsid w:val="008C12F3"/>
    <w:rsid w:val="008C653C"/>
    <w:rsid w:val="008D01E3"/>
    <w:rsid w:val="008D19DB"/>
    <w:rsid w:val="008D1AC8"/>
    <w:rsid w:val="008D7A42"/>
    <w:rsid w:val="008E14CF"/>
    <w:rsid w:val="008E226D"/>
    <w:rsid w:val="008E4D8A"/>
    <w:rsid w:val="008E7C23"/>
    <w:rsid w:val="008E7F8D"/>
    <w:rsid w:val="008F0D8D"/>
    <w:rsid w:val="008F2850"/>
    <w:rsid w:val="008F292E"/>
    <w:rsid w:val="008F302C"/>
    <w:rsid w:val="008F76D2"/>
    <w:rsid w:val="009010F1"/>
    <w:rsid w:val="00902477"/>
    <w:rsid w:val="009035A2"/>
    <w:rsid w:val="00904226"/>
    <w:rsid w:val="00904AA3"/>
    <w:rsid w:val="009079F7"/>
    <w:rsid w:val="009100DC"/>
    <w:rsid w:val="009111E7"/>
    <w:rsid w:val="00923186"/>
    <w:rsid w:val="00924618"/>
    <w:rsid w:val="00930982"/>
    <w:rsid w:val="00933A45"/>
    <w:rsid w:val="009340AB"/>
    <w:rsid w:val="00934D03"/>
    <w:rsid w:val="00936084"/>
    <w:rsid w:val="00936192"/>
    <w:rsid w:val="0094028A"/>
    <w:rsid w:val="00942A08"/>
    <w:rsid w:val="00942CAD"/>
    <w:rsid w:val="00943363"/>
    <w:rsid w:val="00944CB7"/>
    <w:rsid w:val="009456CB"/>
    <w:rsid w:val="0094668A"/>
    <w:rsid w:val="00953F38"/>
    <w:rsid w:val="009540C6"/>
    <w:rsid w:val="00956067"/>
    <w:rsid w:val="00957921"/>
    <w:rsid w:val="00957C00"/>
    <w:rsid w:val="009619CF"/>
    <w:rsid w:val="0096755F"/>
    <w:rsid w:val="0097114B"/>
    <w:rsid w:val="0097127E"/>
    <w:rsid w:val="00971F36"/>
    <w:rsid w:val="0097588C"/>
    <w:rsid w:val="0097713E"/>
    <w:rsid w:val="00977C25"/>
    <w:rsid w:val="00980565"/>
    <w:rsid w:val="009807C9"/>
    <w:rsid w:val="0098122A"/>
    <w:rsid w:val="009816C8"/>
    <w:rsid w:val="0098307F"/>
    <w:rsid w:val="009833CB"/>
    <w:rsid w:val="00983671"/>
    <w:rsid w:val="009837A3"/>
    <w:rsid w:val="009852B1"/>
    <w:rsid w:val="009861EE"/>
    <w:rsid w:val="009879FE"/>
    <w:rsid w:val="0099216F"/>
    <w:rsid w:val="0099251E"/>
    <w:rsid w:val="00996373"/>
    <w:rsid w:val="00997705"/>
    <w:rsid w:val="00997838"/>
    <w:rsid w:val="009A1215"/>
    <w:rsid w:val="009A20E4"/>
    <w:rsid w:val="009A2448"/>
    <w:rsid w:val="009A488C"/>
    <w:rsid w:val="009A5727"/>
    <w:rsid w:val="009A6007"/>
    <w:rsid w:val="009A6F9E"/>
    <w:rsid w:val="009B0602"/>
    <w:rsid w:val="009B0987"/>
    <w:rsid w:val="009B140F"/>
    <w:rsid w:val="009B360B"/>
    <w:rsid w:val="009B38BC"/>
    <w:rsid w:val="009B4C4F"/>
    <w:rsid w:val="009B4EC5"/>
    <w:rsid w:val="009B50CC"/>
    <w:rsid w:val="009B67B3"/>
    <w:rsid w:val="009B739B"/>
    <w:rsid w:val="009C205F"/>
    <w:rsid w:val="009C2D99"/>
    <w:rsid w:val="009C3B2A"/>
    <w:rsid w:val="009C5124"/>
    <w:rsid w:val="009C5F2B"/>
    <w:rsid w:val="009C6454"/>
    <w:rsid w:val="009D1B33"/>
    <w:rsid w:val="009D2A49"/>
    <w:rsid w:val="009D2BFA"/>
    <w:rsid w:val="009D2D62"/>
    <w:rsid w:val="009D31CD"/>
    <w:rsid w:val="009D5DD2"/>
    <w:rsid w:val="009D7121"/>
    <w:rsid w:val="009E051F"/>
    <w:rsid w:val="009E3117"/>
    <w:rsid w:val="009E333D"/>
    <w:rsid w:val="009E52A8"/>
    <w:rsid w:val="009F0D41"/>
    <w:rsid w:val="009F161C"/>
    <w:rsid w:val="009F2F18"/>
    <w:rsid w:val="009F4EF8"/>
    <w:rsid w:val="009F4F1B"/>
    <w:rsid w:val="009F5872"/>
    <w:rsid w:val="00A00F88"/>
    <w:rsid w:val="00A0119A"/>
    <w:rsid w:val="00A01AAA"/>
    <w:rsid w:val="00A041C7"/>
    <w:rsid w:val="00A06B3C"/>
    <w:rsid w:val="00A104A0"/>
    <w:rsid w:val="00A11C56"/>
    <w:rsid w:val="00A12CC9"/>
    <w:rsid w:val="00A2060D"/>
    <w:rsid w:val="00A20EE9"/>
    <w:rsid w:val="00A216B7"/>
    <w:rsid w:val="00A24265"/>
    <w:rsid w:val="00A242EA"/>
    <w:rsid w:val="00A2504D"/>
    <w:rsid w:val="00A3383E"/>
    <w:rsid w:val="00A35E13"/>
    <w:rsid w:val="00A36C6C"/>
    <w:rsid w:val="00A37E1D"/>
    <w:rsid w:val="00A41B5E"/>
    <w:rsid w:val="00A42042"/>
    <w:rsid w:val="00A4281A"/>
    <w:rsid w:val="00A442A1"/>
    <w:rsid w:val="00A44802"/>
    <w:rsid w:val="00A466AC"/>
    <w:rsid w:val="00A50604"/>
    <w:rsid w:val="00A50E26"/>
    <w:rsid w:val="00A54818"/>
    <w:rsid w:val="00A60CA4"/>
    <w:rsid w:val="00A6164E"/>
    <w:rsid w:val="00A62285"/>
    <w:rsid w:val="00A632BC"/>
    <w:rsid w:val="00A63459"/>
    <w:rsid w:val="00A63E1C"/>
    <w:rsid w:val="00A70197"/>
    <w:rsid w:val="00A705DC"/>
    <w:rsid w:val="00A70AC5"/>
    <w:rsid w:val="00A721AA"/>
    <w:rsid w:val="00A73387"/>
    <w:rsid w:val="00A77E5F"/>
    <w:rsid w:val="00A801B6"/>
    <w:rsid w:val="00A8029C"/>
    <w:rsid w:val="00A80304"/>
    <w:rsid w:val="00A8033D"/>
    <w:rsid w:val="00A83260"/>
    <w:rsid w:val="00A8395A"/>
    <w:rsid w:val="00A83C7E"/>
    <w:rsid w:val="00A8418C"/>
    <w:rsid w:val="00A84DA1"/>
    <w:rsid w:val="00A86286"/>
    <w:rsid w:val="00A879BC"/>
    <w:rsid w:val="00A90CC7"/>
    <w:rsid w:val="00A9444F"/>
    <w:rsid w:val="00A95CA8"/>
    <w:rsid w:val="00A960E9"/>
    <w:rsid w:val="00A9663A"/>
    <w:rsid w:val="00A97F93"/>
    <w:rsid w:val="00AA0E4D"/>
    <w:rsid w:val="00AA1E09"/>
    <w:rsid w:val="00AA2D6A"/>
    <w:rsid w:val="00AA3100"/>
    <w:rsid w:val="00AA68BF"/>
    <w:rsid w:val="00AB05C9"/>
    <w:rsid w:val="00AB16C9"/>
    <w:rsid w:val="00AB2A71"/>
    <w:rsid w:val="00AB2AAE"/>
    <w:rsid w:val="00AB2C0F"/>
    <w:rsid w:val="00AC0631"/>
    <w:rsid w:val="00AC16D4"/>
    <w:rsid w:val="00AC21C6"/>
    <w:rsid w:val="00AC3779"/>
    <w:rsid w:val="00AC4061"/>
    <w:rsid w:val="00AC446A"/>
    <w:rsid w:val="00AC6616"/>
    <w:rsid w:val="00AD0097"/>
    <w:rsid w:val="00AD020B"/>
    <w:rsid w:val="00AD0609"/>
    <w:rsid w:val="00AD52A6"/>
    <w:rsid w:val="00AD5B1D"/>
    <w:rsid w:val="00AD6AD0"/>
    <w:rsid w:val="00AE334A"/>
    <w:rsid w:val="00AE42F5"/>
    <w:rsid w:val="00AE4721"/>
    <w:rsid w:val="00AE4930"/>
    <w:rsid w:val="00AE6EB9"/>
    <w:rsid w:val="00AE747B"/>
    <w:rsid w:val="00AF1653"/>
    <w:rsid w:val="00AF654B"/>
    <w:rsid w:val="00B01CBE"/>
    <w:rsid w:val="00B02DE3"/>
    <w:rsid w:val="00B037AA"/>
    <w:rsid w:val="00B13787"/>
    <w:rsid w:val="00B1445B"/>
    <w:rsid w:val="00B145B3"/>
    <w:rsid w:val="00B15291"/>
    <w:rsid w:val="00B1644E"/>
    <w:rsid w:val="00B205BF"/>
    <w:rsid w:val="00B245B8"/>
    <w:rsid w:val="00B24ABA"/>
    <w:rsid w:val="00B25FB2"/>
    <w:rsid w:val="00B26753"/>
    <w:rsid w:val="00B30861"/>
    <w:rsid w:val="00B33FC9"/>
    <w:rsid w:val="00B34D2B"/>
    <w:rsid w:val="00B34E1F"/>
    <w:rsid w:val="00B35194"/>
    <w:rsid w:val="00B36686"/>
    <w:rsid w:val="00B36C97"/>
    <w:rsid w:val="00B37AAA"/>
    <w:rsid w:val="00B37C41"/>
    <w:rsid w:val="00B4078C"/>
    <w:rsid w:val="00B4191E"/>
    <w:rsid w:val="00B42393"/>
    <w:rsid w:val="00B42B27"/>
    <w:rsid w:val="00B42C6D"/>
    <w:rsid w:val="00B432E7"/>
    <w:rsid w:val="00B438C7"/>
    <w:rsid w:val="00B4516E"/>
    <w:rsid w:val="00B45B27"/>
    <w:rsid w:val="00B4724B"/>
    <w:rsid w:val="00B5139A"/>
    <w:rsid w:val="00B56011"/>
    <w:rsid w:val="00B56936"/>
    <w:rsid w:val="00B60699"/>
    <w:rsid w:val="00B6581A"/>
    <w:rsid w:val="00B66164"/>
    <w:rsid w:val="00B6639E"/>
    <w:rsid w:val="00B70890"/>
    <w:rsid w:val="00B74DA0"/>
    <w:rsid w:val="00B7733B"/>
    <w:rsid w:val="00B80F85"/>
    <w:rsid w:val="00B81FD8"/>
    <w:rsid w:val="00B836E4"/>
    <w:rsid w:val="00B83EBF"/>
    <w:rsid w:val="00B84F90"/>
    <w:rsid w:val="00B86E92"/>
    <w:rsid w:val="00B903B1"/>
    <w:rsid w:val="00B90F3B"/>
    <w:rsid w:val="00B9309E"/>
    <w:rsid w:val="00B93C6C"/>
    <w:rsid w:val="00B9752D"/>
    <w:rsid w:val="00BA01C1"/>
    <w:rsid w:val="00BA06FA"/>
    <w:rsid w:val="00BA0A23"/>
    <w:rsid w:val="00BA3460"/>
    <w:rsid w:val="00BA5E6C"/>
    <w:rsid w:val="00BA5F1E"/>
    <w:rsid w:val="00BA6DF2"/>
    <w:rsid w:val="00BA7782"/>
    <w:rsid w:val="00BB134D"/>
    <w:rsid w:val="00BB177D"/>
    <w:rsid w:val="00BC02D7"/>
    <w:rsid w:val="00BC0A42"/>
    <w:rsid w:val="00BC0C42"/>
    <w:rsid w:val="00BC44FE"/>
    <w:rsid w:val="00BC45E1"/>
    <w:rsid w:val="00BC471A"/>
    <w:rsid w:val="00BC52D2"/>
    <w:rsid w:val="00BC6F58"/>
    <w:rsid w:val="00BC7BBF"/>
    <w:rsid w:val="00BC7DEF"/>
    <w:rsid w:val="00BD07C7"/>
    <w:rsid w:val="00BD14CE"/>
    <w:rsid w:val="00BD4652"/>
    <w:rsid w:val="00BD62A2"/>
    <w:rsid w:val="00BE037A"/>
    <w:rsid w:val="00BE048A"/>
    <w:rsid w:val="00BE0C9F"/>
    <w:rsid w:val="00BE17E6"/>
    <w:rsid w:val="00BE2D31"/>
    <w:rsid w:val="00BE50C2"/>
    <w:rsid w:val="00BE5134"/>
    <w:rsid w:val="00BE540B"/>
    <w:rsid w:val="00BE6576"/>
    <w:rsid w:val="00BF048F"/>
    <w:rsid w:val="00BF1FCA"/>
    <w:rsid w:val="00BF67CE"/>
    <w:rsid w:val="00C00650"/>
    <w:rsid w:val="00C021BB"/>
    <w:rsid w:val="00C03932"/>
    <w:rsid w:val="00C22E65"/>
    <w:rsid w:val="00C22EB5"/>
    <w:rsid w:val="00C23824"/>
    <w:rsid w:val="00C239B6"/>
    <w:rsid w:val="00C24FF6"/>
    <w:rsid w:val="00C264D9"/>
    <w:rsid w:val="00C26F6A"/>
    <w:rsid w:val="00C273F1"/>
    <w:rsid w:val="00C31354"/>
    <w:rsid w:val="00C319FB"/>
    <w:rsid w:val="00C31C5A"/>
    <w:rsid w:val="00C3269C"/>
    <w:rsid w:val="00C32BE0"/>
    <w:rsid w:val="00C342CA"/>
    <w:rsid w:val="00C34515"/>
    <w:rsid w:val="00C34D9A"/>
    <w:rsid w:val="00C36221"/>
    <w:rsid w:val="00C36C08"/>
    <w:rsid w:val="00C36FF2"/>
    <w:rsid w:val="00C412AD"/>
    <w:rsid w:val="00C419F7"/>
    <w:rsid w:val="00C4559D"/>
    <w:rsid w:val="00C45F01"/>
    <w:rsid w:val="00C4698C"/>
    <w:rsid w:val="00C46F75"/>
    <w:rsid w:val="00C474F5"/>
    <w:rsid w:val="00C5207F"/>
    <w:rsid w:val="00C52A9E"/>
    <w:rsid w:val="00C52D21"/>
    <w:rsid w:val="00C52D74"/>
    <w:rsid w:val="00C55ECF"/>
    <w:rsid w:val="00C56FD2"/>
    <w:rsid w:val="00C570F6"/>
    <w:rsid w:val="00C573B1"/>
    <w:rsid w:val="00C60E45"/>
    <w:rsid w:val="00C62C5C"/>
    <w:rsid w:val="00C64192"/>
    <w:rsid w:val="00C6485D"/>
    <w:rsid w:val="00C67747"/>
    <w:rsid w:val="00C7351D"/>
    <w:rsid w:val="00C752EB"/>
    <w:rsid w:val="00C75863"/>
    <w:rsid w:val="00C75878"/>
    <w:rsid w:val="00C76BBB"/>
    <w:rsid w:val="00C779D4"/>
    <w:rsid w:val="00C77C0E"/>
    <w:rsid w:val="00C82451"/>
    <w:rsid w:val="00C827D0"/>
    <w:rsid w:val="00C874C9"/>
    <w:rsid w:val="00C87B09"/>
    <w:rsid w:val="00C905F3"/>
    <w:rsid w:val="00C90E28"/>
    <w:rsid w:val="00C935F6"/>
    <w:rsid w:val="00C945F2"/>
    <w:rsid w:val="00C9788C"/>
    <w:rsid w:val="00C978B9"/>
    <w:rsid w:val="00C97C59"/>
    <w:rsid w:val="00CA0632"/>
    <w:rsid w:val="00CB1766"/>
    <w:rsid w:val="00CB1E90"/>
    <w:rsid w:val="00CB1F32"/>
    <w:rsid w:val="00CB233B"/>
    <w:rsid w:val="00CB3B10"/>
    <w:rsid w:val="00CB4831"/>
    <w:rsid w:val="00CB5DBA"/>
    <w:rsid w:val="00CB5FBD"/>
    <w:rsid w:val="00CB7F2D"/>
    <w:rsid w:val="00CC15E5"/>
    <w:rsid w:val="00CC27F8"/>
    <w:rsid w:val="00CC759C"/>
    <w:rsid w:val="00CD0363"/>
    <w:rsid w:val="00CD171A"/>
    <w:rsid w:val="00CD2265"/>
    <w:rsid w:val="00CD33A6"/>
    <w:rsid w:val="00CD4F9A"/>
    <w:rsid w:val="00CD76C6"/>
    <w:rsid w:val="00CE113C"/>
    <w:rsid w:val="00CE1D44"/>
    <w:rsid w:val="00CE6C1C"/>
    <w:rsid w:val="00CE7AB4"/>
    <w:rsid w:val="00CE7B3F"/>
    <w:rsid w:val="00CF0DE8"/>
    <w:rsid w:val="00CF0EF2"/>
    <w:rsid w:val="00CF732A"/>
    <w:rsid w:val="00D00533"/>
    <w:rsid w:val="00D00F03"/>
    <w:rsid w:val="00D01671"/>
    <w:rsid w:val="00D0250E"/>
    <w:rsid w:val="00D04F41"/>
    <w:rsid w:val="00D07526"/>
    <w:rsid w:val="00D1308F"/>
    <w:rsid w:val="00D2012A"/>
    <w:rsid w:val="00D207B2"/>
    <w:rsid w:val="00D240C0"/>
    <w:rsid w:val="00D24A6C"/>
    <w:rsid w:val="00D24CF6"/>
    <w:rsid w:val="00D25A76"/>
    <w:rsid w:val="00D26729"/>
    <w:rsid w:val="00D27075"/>
    <w:rsid w:val="00D308D8"/>
    <w:rsid w:val="00D32ACC"/>
    <w:rsid w:val="00D32CC0"/>
    <w:rsid w:val="00D3344A"/>
    <w:rsid w:val="00D34B11"/>
    <w:rsid w:val="00D363D8"/>
    <w:rsid w:val="00D36BE9"/>
    <w:rsid w:val="00D3722A"/>
    <w:rsid w:val="00D43F58"/>
    <w:rsid w:val="00D460AB"/>
    <w:rsid w:val="00D47829"/>
    <w:rsid w:val="00D53A7A"/>
    <w:rsid w:val="00D542A9"/>
    <w:rsid w:val="00D5501F"/>
    <w:rsid w:val="00D55807"/>
    <w:rsid w:val="00D56479"/>
    <w:rsid w:val="00D645E0"/>
    <w:rsid w:val="00D64AF5"/>
    <w:rsid w:val="00D64E5A"/>
    <w:rsid w:val="00D6599A"/>
    <w:rsid w:val="00D66822"/>
    <w:rsid w:val="00D669A4"/>
    <w:rsid w:val="00D679CC"/>
    <w:rsid w:val="00D7143F"/>
    <w:rsid w:val="00D71856"/>
    <w:rsid w:val="00D7507B"/>
    <w:rsid w:val="00D752C1"/>
    <w:rsid w:val="00D7557F"/>
    <w:rsid w:val="00D758C9"/>
    <w:rsid w:val="00D75BC9"/>
    <w:rsid w:val="00D80AED"/>
    <w:rsid w:val="00D81AC4"/>
    <w:rsid w:val="00D81BB1"/>
    <w:rsid w:val="00D83C55"/>
    <w:rsid w:val="00D84F6A"/>
    <w:rsid w:val="00D86D3C"/>
    <w:rsid w:val="00D86E14"/>
    <w:rsid w:val="00D87443"/>
    <w:rsid w:val="00D90F27"/>
    <w:rsid w:val="00D90F8B"/>
    <w:rsid w:val="00D94393"/>
    <w:rsid w:val="00D95288"/>
    <w:rsid w:val="00D95F43"/>
    <w:rsid w:val="00D96AB8"/>
    <w:rsid w:val="00DA0FDC"/>
    <w:rsid w:val="00DA17B0"/>
    <w:rsid w:val="00DA2507"/>
    <w:rsid w:val="00DA2C00"/>
    <w:rsid w:val="00DA3325"/>
    <w:rsid w:val="00DA3C29"/>
    <w:rsid w:val="00DA50AD"/>
    <w:rsid w:val="00DA55C8"/>
    <w:rsid w:val="00DA5E1F"/>
    <w:rsid w:val="00DA6D82"/>
    <w:rsid w:val="00DB169C"/>
    <w:rsid w:val="00DB17EF"/>
    <w:rsid w:val="00DB180E"/>
    <w:rsid w:val="00DB27AF"/>
    <w:rsid w:val="00DB292F"/>
    <w:rsid w:val="00DB3966"/>
    <w:rsid w:val="00DB3F0F"/>
    <w:rsid w:val="00DB5A3F"/>
    <w:rsid w:val="00DC2AD7"/>
    <w:rsid w:val="00DC4A13"/>
    <w:rsid w:val="00DC64B4"/>
    <w:rsid w:val="00DD4632"/>
    <w:rsid w:val="00DD620A"/>
    <w:rsid w:val="00DD7F61"/>
    <w:rsid w:val="00DE11D6"/>
    <w:rsid w:val="00DF2C09"/>
    <w:rsid w:val="00DF3CA1"/>
    <w:rsid w:val="00DF5D71"/>
    <w:rsid w:val="00DF631D"/>
    <w:rsid w:val="00DF6C2D"/>
    <w:rsid w:val="00E010DC"/>
    <w:rsid w:val="00E02941"/>
    <w:rsid w:val="00E03081"/>
    <w:rsid w:val="00E039E2"/>
    <w:rsid w:val="00E059AD"/>
    <w:rsid w:val="00E05B90"/>
    <w:rsid w:val="00E06224"/>
    <w:rsid w:val="00E114D9"/>
    <w:rsid w:val="00E12244"/>
    <w:rsid w:val="00E134A9"/>
    <w:rsid w:val="00E150E0"/>
    <w:rsid w:val="00E2108D"/>
    <w:rsid w:val="00E21F9F"/>
    <w:rsid w:val="00E220EA"/>
    <w:rsid w:val="00E224EC"/>
    <w:rsid w:val="00E2288D"/>
    <w:rsid w:val="00E23054"/>
    <w:rsid w:val="00E237A8"/>
    <w:rsid w:val="00E25852"/>
    <w:rsid w:val="00E31BA9"/>
    <w:rsid w:val="00E337E8"/>
    <w:rsid w:val="00E34AA2"/>
    <w:rsid w:val="00E37FAF"/>
    <w:rsid w:val="00E40674"/>
    <w:rsid w:val="00E41878"/>
    <w:rsid w:val="00E41DB6"/>
    <w:rsid w:val="00E42B30"/>
    <w:rsid w:val="00E42DA2"/>
    <w:rsid w:val="00E45E6B"/>
    <w:rsid w:val="00E46932"/>
    <w:rsid w:val="00E47F5A"/>
    <w:rsid w:val="00E5097C"/>
    <w:rsid w:val="00E5361B"/>
    <w:rsid w:val="00E54925"/>
    <w:rsid w:val="00E57045"/>
    <w:rsid w:val="00E61C4E"/>
    <w:rsid w:val="00E64912"/>
    <w:rsid w:val="00E65318"/>
    <w:rsid w:val="00E65A41"/>
    <w:rsid w:val="00E710C9"/>
    <w:rsid w:val="00E724E4"/>
    <w:rsid w:val="00E73312"/>
    <w:rsid w:val="00E735D4"/>
    <w:rsid w:val="00E73F4C"/>
    <w:rsid w:val="00E74D67"/>
    <w:rsid w:val="00E76051"/>
    <w:rsid w:val="00E76439"/>
    <w:rsid w:val="00E80317"/>
    <w:rsid w:val="00E858D9"/>
    <w:rsid w:val="00E862F4"/>
    <w:rsid w:val="00E87279"/>
    <w:rsid w:val="00E9032B"/>
    <w:rsid w:val="00E92DE1"/>
    <w:rsid w:val="00E97330"/>
    <w:rsid w:val="00EA132D"/>
    <w:rsid w:val="00EA5939"/>
    <w:rsid w:val="00EC0E72"/>
    <w:rsid w:val="00EC2028"/>
    <w:rsid w:val="00EC2317"/>
    <w:rsid w:val="00EC2990"/>
    <w:rsid w:val="00EC2A4D"/>
    <w:rsid w:val="00EC4FBB"/>
    <w:rsid w:val="00ED171C"/>
    <w:rsid w:val="00ED200B"/>
    <w:rsid w:val="00ED2353"/>
    <w:rsid w:val="00ED24DA"/>
    <w:rsid w:val="00ED2E12"/>
    <w:rsid w:val="00ED41A6"/>
    <w:rsid w:val="00ED4F03"/>
    <w:rsid w:val="00EE0B61"/>
    <w:rsid w:val="00EE112A"/>
    <w:rsid w:val="00EE173D"/>
    <w:rsid w:val="00EE24D6"/>
    <w:rsid w:val="00EE4187"/>
    <w:rsid w:val="00EE4497"/>
    <w:rsid w:val="00EE59C6"/>
    <w:rsid w:val="00EE76FA"/>
    <w:rsid w:val="00EF1864"/>
    <w:rsid w:val="00EF26B4"/>
    <w:rsid w:val="00EF30D9"/>
    <w:rsid w:val="00F02E36"/>
    <w:rsid w:val="00F04707"/>
    <w:rsid w:val="00F04ACD"/>
    <w:rsid w:val="00F06014"/>
    <w:rsid w:val="00F0603A"/>
    <w:rsid w:val="00F10869"/>
    <w:rsid w:val="00F110F6"/>
    <w:rsid w:val="00F11398"/>
    <w:rsid w:val="00F1160C"/>
    <w:rsid w:val="00F122E7"/>
    <w:rsid w:val="00F152B2"/>
    <w:rsid w:val="00F22AFE"/>
    <w:rsid w:val="00F265F6"/>
    <w:rsid w:val="00F2691B"/>
    <w:rsid w:val="00F27291"/>
    <w:rsid w:val="00F32569"/>
    <w:rsid w:val="00F33889"/>
    <w:rsid w:val="00F349BA"/>
    <w:rsid w:val="00F35C22"/>
    <w:rsid w:val="00F3701C"/>
    <w:rsid w:val="00F404D5"/>
    <w:rsid w:val="00F41337"/>
    <w:rsid w:val="00F4193B"/>
    <w:rsid w:val="00F41940"/>
    <w:rsid w:val="00F43C8D"/>
    <w:rsid w:val="00F44405"/>
    <w:rsid w:val="00F46255"/>
    <w:rsid w:val="00F476CF"/>
    <w:rsid w:val="00F5608F"/>
    <w:rsid w:val="00F60DAD"/>
    <w:rsid w:val="00F61E10"/>
    <w:rsid w:val="00F61F8E"/>
    <w:rsid w:val="00F63405"/>
    <w:rsid w:val="00F63943"/>
    <w:rsid w:val="00F64156"/>
    <w:rsid w:val="00F6581C"/>
    <w:rsid w:val="00F7226D"/>
    <w:rsid w:val="00F72880"/>
    <w:rsid w:val="00F74F81"/>
    <w:rsid w:val="00F76A83"/>
    <w:rsid w:val="00F76A93"/>
    <w:rsid w:val="00F8064E"/>
    <w:rsid w:val="00F83ED3"/>
    <w:rsid w:val="00F857B4"/>
    <w:rsid w:val="00F86C88"/>
    <w:rsid w:val="00F87535"/>
    <w:rsid w:val="00F9031B"/>
    <w:rsid w:val="00F962B4"/>
    <w:rsid w:val="00F96B69"/>
    <w:rsid w:val="00FA0210"/>
    <w:rsid w:val="00FA0464"/>
    <w:rsid w:val="00FA04D9"/>
    <w:rsid w:val="00FA1A10"/>
    <w:rsid w:val="00FA2115"/>
    <w:rsid w:val="00FA3AA3"/>
    <w:rsid w:val="00FA4D85"/>
    <w:rsid w:val="00FA5D62"/>
    <w:rsid w:val="00FA5F70"/>
    <w:rsid w:val="00FB08CC"/>
    <w:rsid w:val="00FB3686"/>
    <w:rsid w:val="00FB4545"/>
    <w:rsid w:val="00FB578C"/>
    <w:rsid w:val="00FB597D"/>
    <w:rsid w:val="00FB7985"/>
    <w:rsid w:val="00FC1A5C"/>
    <w:rsid w:val="00FC35F2"/>
    <w:rsid w:val="00FC39EA"/>
    <w:rsid w:val="00FC3A9F"/>
    <w:rsid w:val="00FD0CB3"/>
    <w:rsid w:val="00FD15AF"/>
    <w:rsid w:val="00FD2BEA"/>
    <w:rsid w:val="00FD2F1A"/>
    <w:rsid w:val="00FD5066"/>
    <w:rsid w:val="00FD7F01"/>
    <w:rsid w:val="00FE0A72"/>
    <w:rsid w:val="00FE2775"/>
    <w:rsid w:val="00FE29DC"/>
    <w:rsid w:val="00FE44CF"/>
    <w:rsid w:val="00FE4721"/>
    <w:rsid w:val="00FE4D2A"/>
    <w:rsid w:val="00FE4FD0"/>
    <w:rsid w:val="00FE7FBE"/>
    <w:rsid w:val="00FF200A"/>
    <w:rsid w:val="00FF308B"/>
    <w:rsid w:val="00FF33D5"/>
    <w:rsid w:val="00FF3E7F"/>
    <w:rsid w:val="00FF3FF2"/>
    <w:rsid w:val="00FF61F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val="en-US"/>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paragraph" w:customStyle="1" w:styleId="SCCSsoc">
    <w:name w:val="SCC.Ssoc"/>
    <w:basedOn w:val="Normal"/>
    <w:next w:val="Normal"/>
    <w:link w:val="SCCSsocChar"/>
    <w:rsid w:val="000E1CD6"/>
    <w:rPr>
      <w:rFonts w:eastAsia="Calibri"/>
      <w:i/>
      <w:sz w:val="20"/>
      <w:lang w:val="en-CA"/>
    </w:rPr>
  </w:style>
  <w:style w:type="character" w:customStyle="1" w:styleId="SCCSsocChar">
    <w:name w:val="SCC.Ssoc Char"/>
    <w:link w:val="SCCSsoc"/>
    <w:rsid w:val="000E1CD6"/>
    <w:rPr>
      <w:rFonts w:ascii="Times New Roman" w:eastAsia="Calibri" w:hAnsi="Times New Roman" w:cs="Times New Roman"/>
      <w:i/>
      <w:lang w:val="en-CA"/>
    </w:rPr>
  </w:style>
  <w:style w:type="table" w:styleId="TableGrid">
    <w:name w:val="Table Grid"/>
    <w:basedOn w:val="TableNormal"/>
    <w:uiPriority w:val="59"/>
    <w:rsid w:val="00AC063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75A9"/>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DD7F6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33525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457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30982"/>
    <w:rPr>
      <w:sz w:val="16"/>
      <w:szCs w:val="16"/>
    </w:rPr>
  </w:style>
  <w:style w:type="paragraph" w:styleId="CommentText">
    <w:name w:val="annotation text"/>
    <w:basedOn w:val="Normal"/>
    <w:link w:val="CommentTextChar"/>
    <w:uiPriority w:val="99"/>
    <w:semiHidden/>
    <w:unhideWhenUsed/>
    <w:rsid w:val="00930982"/>
    <w:rPr>
      <w:sz w:val="20"/>
    </w:rPr>
  </w:style>
  <w:style w:type="character" w:customStyle="1" w:styleId="CommentTextChar">
    <w:name w:val="Comment Text Char"/>
    <w:basedOn w:val="DefaultParagraphFont"/>
    <w:link w:val="CommentText"/>
    <w:uiPriority w:val="99"/>
    <w:semiHidden/>
    <w:rsid w:val="0093098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30982"/>
    <w:rPr>
      <w:b/>
      <w:bCs/>
    </w:rPr>
  </w:style>
  <w:style w:type="character" w:customStyle="1" w:styleId="CommentSubjectChar">
    <w:name w:val="Comment Subject Char"/>
    <w:basedOn w:val="CommentTextChar"/>
    <w:link w:val="CommentSubject"/>
    <w:uiPriority w:val="99"/>
    <w:semiHidden/>
    <w:rsid w:val="00930982"/>
    <w:rPr>
      <w:rFonts w:ascii="Times New Roman" w:eastAsia="Times New Roman" w:hAnsi="Times New Roman"/>
      <w:b/>
      <w:bCs/>
      <w:lang w:val="en-US" w:eastAsia="en-US"/>
    </w:rPr>
  </w:style>
  <w:style w:type="table" w:customStyle="1" w:styleId="TableGrid4">
    <w:name w:val="Table Grid4"/>
    <w:basedOn w:val="TableNormal"/>
    <w:next w:val="TableGrid"/>
    <w:uiPriority w:val="59"/>
    <w:rsid w:val="00340E0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D235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F7226D"/>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B432E7"/>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866D4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6C319F"/>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BE2D31"/>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2F0B7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sparanotopmargin2">
    <w:name w:val="ss_paranotopmargin2"/>
    <w:basedOn w:val="Normal"/>
    <w:rsid w:val="007E0325"/>
    <w:pPr>
      <w:spacing w:after="100" w:afterAutospacing="1"/>
    </w:pPr>
    <w:rPr>
      <w:szCs w:val="24"/>
    </w:rPr>
  </w:style>
  <w:style w:type="paragraph" w:customStyle="1" w:styleId="SCCLsocSubfileSeparator">
    <w:name w:val="SCC.Lsoc.SubfileSeparator"/>
    <w:basedOn w:val="Normal"/>
    <w:next w:val="Normal"/>
    <w:link w:val="SCCLsocSubfileSeparatorChar"/>
    <w:rsid w:val="007E0325"/>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7E0325"/>
    <w:rPr>
      <w:rFonts w:ascii="Times New Roman" w:eastAsiaTheme="minorHAnsi" w:hAnsi="Times New Roman"/>
      <w:b/>
      <w:sz w:val="24"/>
      <w:szCs w:val="24"/>
      <w:lang w:eastAsia="en-US"/>
    </w:rPr>
  </w:style>
  <w:style w:type="paragraph" w:customStyle="1" w:styleId="SCCCaseDescriptor">
    <w:name w:val="SCC.CaseDescriptor"/>
    <w:basedOn w:val="Normal"/>
    <w:link w:val="SCCCaseDescriptorChar"/>
    <w:qFormat/>
    <w:rsid w:val="00A9444F"/>
    <w:rPr>
      <w:b/>
      <w:lang w:val="en-CA" w:eastAsia="en-CA"/>
    </w:rPr>
  </w:style>
  <w:style w:type="character" w:customStyle="1" w:styleId="SCCCaseDescriptorChar">
    <w:name w:val="SCC.CaseDescriptor Char"/>
    <w:basedOn w:val="DefaultParagraphFont"/>
    <w:link w:val="SCCCaseDescriptor"/>
    <w:rsid w:val="00A9444F"/>
    <w:rPr>
      <w:rFonts w:ascii="Times New Roman" w:eastAsia="Times New Roman" w:hAnsi="Times New Roman"/>
      <w:b/>
      <w:sz w:val="24"/>
    </w:rPr>
  </w:style>
  <w:style w:type="character" w:styleId="Strong">
    <w:name w:val="Strong"/>
    <w:basedOn w:val="DefaultParagraphFont"/>
    <w:uiPriority w:val="22"/>
    <w:qFormat/>
    <w:rsid w:val="00831114"/>
    <w:rPr>
      <w:b/>
      <w:bCs/>
    </w:rPr>
  </w:style>
  <w:style w:type="paragraph" w:customStyle="1" w:styleId="mainparagraph">
    <w:name w:val="mainparagraph"/>
    <w:basedOn w:val="Normal"/>
    <w:rsid w:val="00795A4B"/>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467363780">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635" TargetMode="External"/><Relationship Id="rId13" Type="http://schemas.openxmlformats.org/officeDocument/2006/relationships/hyperlink" Target="mailto:comments-commentaires@scc-csc.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c-csc.ca/case-dossier/info/sum-som-eng.aspx?cas=4004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75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cc-csc.ca/case-dossier/info/sum-som-eng.aspx?cas=39796"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cc-csc.ca/case-dossier/info/sum-som-eng.aspx?cas=3974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2D1C05-EEE9-4F9F-9AC3-0CB5236B4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4323</Words>
  <Characters>24646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28912</CharactersWithSpaces>
  <SharedDoc>false</SharedDoc>
  <HLinks>
    <vt:vector size="48" baseType="variant">
      <vt:variant>
        <vt:i4>3080249</vt:i4>
      </vt:variant>
      <vt:variant>
        <vt:i4>21</vt:i4>
      </vt:variant>
      <vt:variant>
        <vt:i4>0</vt:i4>
      </vt:variant>
      <vt:variant>
        <vt:i4>5</vt:i4>
      </vt:variant>
      <vt:variant>
        <vt:lpwstr>http://www.scc-csc.ca/news-nouv/rel-com/subs-abon-fra.aspx</vt:lpwstr>
      </vt:variant>
      <vt:variant>
        <vt:lpwstr/>
      </vt:variant>
      <vt:variant>
        <vt:i4>3342396</vt:i4>
      </vt:variant>
      <vt:variant>
        <vt:i4>18</vt:i4>
      </vt:variant>
      <vt:variant>
        <vt:i4>0</vt:i4>
      </vt:variant>
      <vt:variant>
        <vt:i4>5</vt:i4>
      </vt:variant>
      <vt:variant>
        <vt:lpwstr>http://www.scc-csc.ca/news-nouv/rel-com/subs-abon-eng.aspx</vt:lpwstr>
      </vt:variant>
      <vt:variant>
        <vt:lpwstr/>
      </vt:variant>
      <vt:variant>
        <vt:i4>3080213</vt:i4>
      </vt:variant>
      <vt:variant>
        <vt:i4>15</vt:i4>
      </vt:variant>
      <vt:variant>
        <vt:i4>0</vt:i4>
      </vt:variant>
      <vt:variant>
        <vt:i4>5</vt:i4>
      </vt:variant>
      <vt:variant>
        <vt:lpwstr>mailto:comments-commentaires@scc-csc.ca</vt:lpwstr>
      </vt:variant>
      <vt:variant>
        <vt:lpwstr/>
      </vt:variant>
      <vt:variant>
        <vt:i4>2883644</vt:i4>
      </vt:variant>
      <vt:variant>
        <vt:i4>12</vt:i4>
      </vt:variant>
      <vt:variant>
        <vt:i4>0</vt:i4>
      </vt:variant>
      <vt:variant>
        <vt:i4>5</vt:i4>
      </vt:variant>
      <vt:variant>
        <vt:lpwstr>http://www.scc-csc.ca/case-dossier/info/sum-som-eng.aspx?cas=36524</vt:lpwstr>
      </vt:variant>
      <vt:variant>
        <vt:lpwstr/>
      </vt:variant>
      <vt:variant>
        <vt:i4>2883645</vt:i4>
      </vt:variant>
      <vt:variant>
        <vt:i4>9</vt:i4>
      </vt:variant>
      <vt:variant>
        <vt:i4>0</vt:i4>
      </vt:variant>
      <vt:variant>
        <vt:i4>5</vt:i4>
      </vt:variant>
      <vt:variant>
        <vt:lpwstr>http://www.scc-csc.ca/case-dossier/info/sum-som-eng.aspx?cas=36435</vt:lpwstr>
      </vt:variant>
      <vt:variant>
        <vt:lpwstr/>
      </vt:variant>
      <vt:variant>
        <vt:i4>3473459</vt:i4>
      </vt:variant>
      <vt:variant>
        <vt:i4>6</vt:i4>
      </vt:variant>
      <vt:variant>
        <vt:i4>0</vt:i4>
      </vt:variant>
      <vt:variant>
        <vt:i4>5</vt:i4>
      </vt:variant>
      <vt:variant>
        <vt:lpwstr>http://www.scc-csc.ca/case-dossier/info/sum-som-fra.aspx?cas=36581</vt:lpwstr>
      </vt:variant>
      <vt:variant>
        <vt:lpwstr/>
      </vt:variant>
      <vt:variant>
        <vt:i4>2293818</vt:i4>
      </vt:variant>
      <vt:variant>
        <vt:i4>3</vt:i4>
      </vt:variant>
      <vt:variant>
        <vt:i4>0</vt:i4>
      </vt:variant>
      <vt:variant>
        <vt:i4>5</vt:i4>
      </vt:variant>
      <vt:variant>
        <vt:lpwstr>http://scc-csc.lexum.com/scc-csc/news/fr/item/5158/index.do</vt:lpwstr>
      </vt:variant>
      <vt:variant>
        <vt:lpwstr/>
      </vt:variant>
      <vt:variant>
        <vt:i4>4128825</vt:i4>
      </vt:variant>
      <vt:variant>
        <vt:i4>0</vt:i4>
      </vt:variant>
      <vt:variant>
        <vt:i4>0</vt:i4>
      </vt:variant>
      <vt:variant>
        <vt:i4>5</vt:i4>
      </vt:variant>
      <vt:variant>
        <vt:lpwstr>http://scc-csc.lexum.com/scc-csc/news/en/item/5158/index.do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2021-11-16T13:13:00Z</dcterms:created>
  <dcterms:modified xsi:type="dcterms:W3CDTF">2022-10-07T18:38:00Z</dcterms:modified>
</cp:coreProperties>
</file>