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192B" w:rsidRPr="0087500F" w:rsidRDefault="002A192B" w:rsidP="002A192B">
      <w:pPr>
        <w:pStyle w:val="Header"/>
        <w:jc w:val="center"/>
        <w:rPr>
          <w:b/>
          <w:sz w:val="32"/>
        </w:rPr>
      </w:pPr>
      <w:r w:rsidRPr="0087500F">
        <w:rPr>
          <w:b/>
          <w:sz w:val="32"/>
        </w:rPr>
        <w:t>Supreme Court of Canada / Cour suprême du Canada</w:t>
      </w:r>
    </w:p>
    <w:p w:rsidR="002A192B" w:rsidRPr="0087500F" w:rsidRDefault="002A192B" w:rsidP="002A192B">
      <w:pPr>
        <w:widowControl w:val="0"/>
        <w:rPr>
          <w:i/>
        </w:rPr>
      </w:pPr>
    </w:p>
    <w:p w:rsidR="002A192B" w:rsidRPr="0087500F" w:rsidRDefault="002A192B" w:rsidP="002A192B">
      <w:pPr>
        <w:widowControl w:val="0"/>
        <w:rPr>
          <w:i/>
        </w:rPr>
      </w:pPr>
    </w:p>
    <w:p w:rsidR="001C4415" w:rsidRPr="0087500F" w:rsidRDefault="001C4415" w:rsidP="001C4415">
      <w:pPr>
        <w:widowControl w:val="0"/>
        <w:rPr>
          <w:i/>
          <w:sz w:val="20"/>
        </w:rPr>
      </w:pPr>
      <w:r w:rsidRPr="0087500F">
        <w:rPr>
          <w:i/>
          <w:sz w:val="20"/>
        </w:rPr>
        <w:t>(</w:t>
      </w:r>
      <w:r w:rsidR="003C50BF" w:rsidRPr="0087500F">
        <w:rPr>
          <w:i/>
          <w:sz w:val="20"/>
        </w:rPr>
        <w:t>Le</w:t>
      </w:r>
      <w:r w:rsidRPr="0087500F">
        <w:rPr>
          <w:i/>
          <w:sz w:val="20"/>
        </w:rPr>
        <w:t xml:space="preserve"> français suit)</w:t>
      </w:r>
    </w:p>
    <w:p w:rsidR="001C4415" w:rsidRPr="0087500F" w:rsidRDefault="001C4415" w:rsidP="001C4415">
      <w:pPr>
        <w:widowControl w:val="0"/>
      </w:pPr>
    </w:p>
    <w:p w:rsidR="001C4415" w:rsidRPr="0087500F" w:rsidRDefault="000347C1" w:rsidP="00214729">
      <w:pPr>
        <w:widowControl w:val="0"/>
        <w:jc w:val="center"/>
        <w:rPr>
          <w:b/>
        </w:rPr>
      </w:pPr>
      <w:r w:rsidRPr="0087500F">
        <w:fldChar w:fldCharType="begin"/>
      </w:r>
      <w:r w:rsidR="00FA7412" w:rsidRPr="0087500F">
        <w:instrText xml:space="preserve"> SEQ CHAPTER \h \r 1</w:instrText>
      </w:r>
      <w:r w:rsidRPr="0087500F">
        <w:fldChar w:fldCharType="end"/>
      </w:r>
      <w:r w:rsidR="00455BB9" w:rsidRPr="0087500F">
        <w:rPr>
          <w:b/>
        </w:rPr>
        <w:t>JUDGMENT</w:t>
      </w:r>
      <w:r w:rsidR="00FA7412" w:rsidRPr="0087500F">
        <w:rPr>
          <w:b/>
        </w:rPr>
        <w:t xml:space="preserve"> TO BE RENDERED IN APPEA</w:t>
      </w:r>
      <w:r w:rsidR="00CC2799" w:rsidRPr="0087500F">
        <w:rPr>
          <w:b/>
        </w:rPr>
        <w:t>L</w:t>
      </w:r>
    </w:p>
    <w:p w:rsidR="005A7C1B" w:rsidRPr="0087500F" w:rsidRDefault="005A7C1B" w:rsidP="005A7C1B">
      <w:pPr>
        <w:widowControl w:val="0"/>
      </w:pPr>
    </w:p>
    <w:p w:rsidR="00EC79B0" w:rsidRPr="0087500F" w:rsidRDefault="00665DDB" w:rsidP="00EC79B0">
      <w:pPr>
        <w:widowControl w:val="0"/>
      </w:pPr>
      <w:r w:rsidRPr="0087500F">
        <w:rPr>
          <w:b/>
        </w:rPr>
        <w:t>October</w:t>
      </w:r>
      <w:r w:rsidR="00C86395" w:rsidRPr="0087500F">
        <w:rPr>
          <w:b/>
        </w:rPr>
        <w:t xml:space="preserve"> </w:t>
      </w:r>
      <w:r w:rsidR="00FD21D5" w:rsidRPr="0087500F">
        <w:rPr>
          <w:b/>
        </w:rPr>
        <w:t>2</w:t>
      </w:r>
      <w:r w:rsidR="0087500F" w:rsidRPr="0087500F">
        <w:rPr>
          <w:b/>
        </w:rPr>
        <w:t>4</w:t>
      </w:r>
      <w:r w:rsidR="00EC79B0" w:rsidRPr="0087500F">
        <w:rPr>
          <w:b/>
        </w:rPr>
        <w:t>, 2</w:t>
      </w:r>
      <w:r w:rsidR="00E6600C" w:rsidRPr="0087500F">
        <w:rPr>
          <w:b/>
        </w:rPr>
        <w:t>0</w:t>
      </w:r>
      <w:r w:rsidR="009544E9" w:rsidRPr="0087500F">
        <w:rPr>
          <w:b/>
        </w:rPr>
        <w:t>2</w:t>
      </w:r>
      <w:r w:rsidR="00B2287D" w:rsidRPr="0087500F">
        <w:rPr>
          <w:b/>
        </w:rPr>
        <w:t>2</w:t>
      </w:r>
    </w:p>
    <w:p w:rsidR="00EC79B0" w:rsidRPr="0087500F" w:rsidRDefault="00EC79B0" w:rsidP="00EC79B0">
      <w:pPr>
        <w:widowControl w:val="0"/>
        <w:rPr>
          <w:b/>
        </w:rPr>
      </w:pPr>
      <w:r w:rsidRPr="0087500F">
        <w:rPr>
          <w:b/>
        </w:rPr>
        <w:t>For immediate release</w:t>
      </w:r>
    </w:p>
    <w:p w:rsidR="00EC79B0" w:rsidRPr="0087500F" w:rsidRDefault="00EC79B0" w:rsidP="00EC79B0">
      <w:pPr>
        <w:widowControl w:val="0"/>
      </w:pPr>
    </w:p>
    <w:p w:rsidR="00EC79B0" w:rsidRPr="0087500F" w:rsidRDefault="00EC79B0" w:rsidP="00EC79B0">
      <w:pPr>
        <w:widowControl w:val="0"/>
        <w:rPr>
          <w:lang w:val="fr-CA"/>
        </w:rPr>
      </w:pPr>
      <w:r w:rsidRPr="0087500F">
        <w:rPr>
          <w:b/>
        </w:rPr>
        <w:t>OTTAWA</w:t>
      </w:r>
      <w:r w:rsidRPr="0087500F">
        <w:t xml:space="preserve"> – The Supreme Court of Canad</w:t>
      </w:r>
      <w:r w:rsidR="00455BB9" w:rsidRPr="0087500F">
        <w:t>a announced today that judgment</w:t>
      </w:r>
      <w:r w:rsidRPr="0087500F">
        <w:t xml:space="preserve"> in the following appeal will be delivered at 9:45 a.m. E</w:t>
      </w:r>
      <w:r w:rsidR="00762B23" w:rsidRPr="0087500F">
        <w:t>D</w:t>
      </w:r>
      <w:r w:rsidR="00DC6C1E" w:rsidRPr="0087500F">
        <w:t>T</w:t>
      </w:r>
      <w:r w:rsidR="00D74667" w:rsidRPr="0087500F">
        <w:t xml:space="preserve"> on</w:t>
      </w:r>
      <w:r w:rsidR="00DC6C1E" w:rsidRPr="0087500F">
        <w:t xml:space="preserve"> </w:t>
      </w:r>
      <w:r w:rsidR="0087500F" w:rsidRPr="0087500F">
        <w:t>Fri</w:t>
      </w:r>
      <w:r w:rsidR="00FC36F6" w:rsidRPr="0087500F">
        <w:t>day</w:t>
      </w:r>
      <w:r w:rsidR="000A7900" w:rsidRPr="0087500F">
        <w:t xml:space="preserve">, </w:t>
      </w:r>
      <w:r w:rsidR="00665DDB" w:rsidRPr="0087500F">
        <w:t>October</w:t>
      </w:r>
      <w:r w:rsidR="004E605A" w:rsidRPr="0087500F">
        <w:t xml:space="preserve"> </w:t>
      </w:r>
      <w:r w:rsidR="00B658B6" w:rsidRPr="0087500F">
        <w:t>2</w:t>
      </w:r>
      <w:r w:rsidR="0087500F" w:rsidRPr="0087500F">
        <w:t>8</w:t>
      </w:r>
      <w:r w:rsidR="00E63199" w:rsidRPr="0087500F">
        <w:t>, 2</w:t>
      </w:r>
      <w:r w:rsidR="0086609D" w:rsidRPr="0087500F">
        <w:t>0</w:t>
      </w:r>
      <w:r w:rsidR="009544E9" w:rsidRPr="0087500F">
        <w:t>2</w:t>
      </w:r>
      <w:r w:rsidR="00B2287D" w:rsidRPr="0087500F">
        <w:t>2</w:t>
      </w:r>
      <w:r w:rsidR="00455BB9" w:rsidRPr="0087500F">
        <w:t xml:space="preserve">. </w:t>
      </w:r>
      <w:r w:rsidR="00455BB9" w:rsidRPr="0087500F">
        <w:rPr>
          <w:lang w:val="fr-CA"/>
        </w:rPr>
        <w:t>This</w:t>
      </w:r>
      <w:r w:rsidRPr="0087500F">
        <w:rPr>
          <w:lang w:val="fr-CA"/>
        </w:rPr>
        <w:t xml:space="preserve"> list is subject to change.</w:t>
      </w:r>
    </w:p>
    <w:p w:rsidR="001F76DD" w:rsidRPr="0087500F" w:rsidRDefault="001F76DD" w:rsidP="001C4415">
      <w:pPr>
        <w:widowControl w:val="0"/>
        <w:rPr>
          <w:szCs w:val="24"/>
          <w:lang w:val="fr-CA"/>
        </w:rPr>
      </w:pPr>
    </w:p>
    <w:p w:rsidR="001C4415" w:rsidRPr="0087500F" w:rsidRDefault="001C4415" w:rsidP="001C4415">
      <w:pPr>
        <w:widowControl w:val="0"/>
        <w:rPr>
          <w:lang w:val="fr-CA"/>
        </w:rPr>
      </w:pPr>
    </w:p>
    <w:p w:rsidR="001335A1" w:rsidRPr="0087500F" w:rsidRDefault="001335A1" w:rsidP="001335A1">
      <w:pPr>
        <w:widowControl w:val="0"/>
        <w:jc w:val="center"/>
        <w:rPr>
          <w:b/>
          <w:lang w:val="fr-CA"/>
        </w:rPr>
      </w:pPr>
      <w:r w:rsidRPr="0087500F">
        <w:rPr>
          <w:b/>
          <w:lang w:val="fr-CA"/>
        </w:rPr>
        <w:t>PROCHAIN JUGEMENT</w:t>
      </w:r>
      <w:r w:rsidR="00455BB9" w:rsidRPr="0087500F">
        <w:rPr>
          <w:b/>
          <w:lang w:val="fr-CA"/>
        </w:rPr>
        <w:t xml:space="preserve"> SUR APPEL</w:t>
      </w:r>
    </w:p>
    <w:p w:rsidR="001335A1" w:rsidRPr="0087500F" w:rsidRDefault="001335A1" w:rsidP="001335A1">
      <w:pPr>
        <w:widowControl w:val="0"/>
        <w:rPr>
          <w:lang w:val="fr-CA"/>
        </w:rPr>
      </w:pPr>
    </w:p>
    <w:p w:rsidR="00EC79B0" w:rsidRPr="0087500F" w:rsidRDefault="00EC79B0" w:rsidP="00EC79B0">
      <w:pPr>
        <w:widowControl w:val="0"/>
        <w:rPr>
          <w:lang w:val="fr-CA"/>
        </w:rPr>
      </w:pPr>
      <w:r w:rsidRPr="0087500F">
        <w:rPr>
          <w:b/>
          <w:lang w:val="fr-CA"/>
        </w:rPr>
        <w:t xml:space="preserve">Le </w:t>
      </w:r>
      <w:r w:rsidR="00FD21D5" w:rsidRPr="0087500F">
        <w:rPr>
          <w:b/>
          <w:lang w:val="fr-CA"/>
        </w:rPr>
        <w:t>2</w:t>
      </w:r>
      <w:r w:rsidR="0087500F" w:rsidRPr="0087500F">
        <w:rPr>
          <w:b/>
          <w:lang w:val="fr-CA"/>
        </w:rPr>
        <w:t>4</w:t>
      </w:r>
      <w:r w:rsidR="00FA5450" w:rsidRPr="0087500F">
        <w:rPr>
          <w:b/>
          <w:lang w:val="fr-CA"/>
        </w:rPr>
        <w:t xml:space="preserve"> </w:t>
      </w:r>
      <w:r w:rsidR="00665DDB" w:rsidRPr="0087500F">
        <w:rPr>
          <w:b/>
          <w:lang w:val="fr-CA"/>
        </w:rPr>
        <w:t>octobre</w:t>
      </w:r>
      <w:r w:rsidR="00C86395" w:rsidRPr="0087500F">
        <w:rPr>
          <w:b/>
          <w:lang w:val="fr-CA"/>
        </w:rPr>
        <w:t xml:space="preserve"> </w:t>
      </w:r>
      <w:r w:rsidR="0086609D" w:rsidRPr="0087500F">
        <w:rPr>
          <w:b/>
          <w:lang w:val="fr-CA"/>
        </w:rPr>
        <w:t>20</w:t>
      </w:r>
      <w:r w:rsidR="009544E9" w:rsidRPr="0087500F">
        <w:rPr>
          <w:b/>
          <w:lang w:val="fr-CA"/>
        </w:rPr>
        <w:t>2</w:t>
      </w:r>
      <w:r w:rsidR="00B2287D" w:rsidRPr="0087500F">
        <w:rPr>
          <w:b/>
          <w:lang w:val="fr-CA"/>
        </w:rPr>
        <w:t>2</w:t>
      </w:r>
    </w:p>
    <w:p w:rsidR="00EC79B0" w:rsidRPr="0087500F" w:rsidRDefault="00EC79B0" w:rsidP="00EC79B0">
      <w:pPr>
        <w:widowControl w:val="0"/>
        <w:rPr>
          <w:b/>
          <w:lang w:val="fr-CA"/>
        </w:rPr>
      </w:pPr>
      <w:r w:rsidRPr="0087500F">
        <w:rPr>
          <w:b/>
          <w:lang w:val="fr-CA"/>
        </w:rPr>
        <w:t>Pour diffusion immédiate</w:t>
      </w:r>
    </w:p>
    <w:p w:rsidR="00EC79B0" w:rsidRPr="0087500F" w:rsidRDefault="00EC79B0" w:rsidP="00EC79B0">
      <w:pPr>
        <w:widowControl w:val="0"/>
        <w:rPr>
          <w:lang w:val="fr-CA"/>
        </w:rPr>
      </w:pPr>
    </w:p>
    <w:p w:rsidR="00EC79B0" w:rsidRPr="0087500F" w:rsidRDefault="00EC79B0" w:rsidP="00EC79B0">
      <w:pPr>
        <w:widowControl w:val="0"/>
        <w:rPr>
          <w:lang w:val="fr-CA"/>
        </w:rPr>
      </w:pPr>
      <w:r w:rsidRPr="0087500F">
        <w:rPr>
          <w:b/>
          <w:lang w:val="fr-CA"/>
        </w:rPr>
        <w:t>OTTAWA</w:t>
      </w:r>
      <w:r w:rsidRPr="0087500F">
        <w:rPr>
          <w:lang w:val="fr-CA"/>
        </w:rPr>
        <w:t xml:space="preserve"> – La Cour suprême du Canada annonce que jugement ser</w:t>
      </w:r>
      <w:r w:rsidR="00204750" w:rsidRPr="0087500F">
        <w:rPr>
          <w:lang w:val="fr-CA"/>
        </w:rPr>
        <w:t>a</w:t>
      </w:r>
      <w:r w:rsidRPr="0087500F">
        <w:rPr>
          <w:lang w:val="fr-CA"/>
        </w:rPr>
        <w:t xml:space="preserve"> rendu dans </w:t>
      </w:r>
      <w:r w:rsidR="001F1643" w:rsidRPr="0087500F">
        <w:rPr>
          <w:lang w:val="fr-CA"/>
        </w:rPr>
        <w:t>l</w:t>
      </w:r>
      <w:r w:rsidR="00204750" w:rsidRPr="0087500F">
        <w:rPr>
          <w:lang w:val="fr-CA"/>
        </w:rPr>
        <w:t>’</w:t>
      </w:r>
      <w:r w:rsidR="001F1643" w:rsidRPr="0087500F">
        <w:rPr>
          <w:lang w:val="fr-CA"/>
        </w:rPr>
        <w:t xml:space="preserve">appel </w:t>
      </w:r>
      <w:r w:rsidRPr="0087500F">
        <w:rPr>
          <w:lang w:val="fr-CA"/>
        </w:rPr>
        <w:t xml:space="preserve">suivant le </w:t>
      </w:r>
      <w:r w:rsidR="0087500F" w:rsidRPr="0087500F">
        <w:rPr>
          <w:lang w:val="fr-CA"/>
        </w:rPr>
        <w:t>vendredi</w:t>
      </w:r>
      <w:r w:rsidR="007C1648" w:rsidRPr="0087500F">
        <w:rPr>
          <w:lang w:val="fr-CA"/>
        </w:rPr>
        <w:t xml:space="preserve"> </w:t>
      </w:r>
      <w:r w:rsidR="00B658B6" w:rsidRPr="0087500F">
        <w:rPr>
          <w:lang w:val="fr-CA"/>
        </w:rPr>
        <w:t>2</w:t>
      </w:r>
      <w:r w:rsidR="0087500F" w:rsidRPr="0087500F">
        <w:rPr>
          <w:lang w:val="fr-CA"/>
        </w:rPr>
        <w:t>8</w:t>
      </w:r>
      <w:r w:rsidR="00F62251" w:rsidRPr="0087500F">
        <w:rPr>
          <w:lang w:val="fr-CA"/>
        </w:rPr>
        <w:t xml:space="preserve"> </w:t>
      </w:r>
      <w:r w:rsidR="00665DDB" w:rsidRPr="0087500F">
        <w:rPr>
          <w:lang w:val="fr-CA"/>
        </w:rPr>
        <w:t>octobre</w:t>
      </w:r>
      <w:r w:rsidR="00282563" w:rsidRPr="0087500F">
        <w:rPr>
          <w:lang w:val="fr-CA"/>
        </w:rPr>
        <w:t xml:space="preserve"> </w:t>
      </w:r>
      <w:r w:rsidRPr="0087500F">
        <w:rPr>
          <w:lang w:val="fr-CA"/>
        </w:rPr>
        <w:t>20</w:t>
      </w:r>
      <w:r w:rsidR="009544E9" w:rsidRPr="0087500F">
        <w:rPr>
          <w:lang w:val="fr-CA"/>
        </w:rPr>
        <w:t>2</w:t>
      </w:r>
      <w:r w:rsidR="00973946" w:rsidRPr="0087500F">
        <w:rPr>
          <w:lang w:val="fr-CA"/>
        </w:rPr>
        <w:t>2</w:t>
      </w:r>
      <w:r w:rsidRPr="0087500F">
        <w:rPr>
          <w:lang w:val="fr-CA"/>
        </w:rPr>
        <w:t>, à 9 h 45 H</w:t>
      </w:r>
      <w:r w:rsidR="00762B23" w:rsidRPr="0087500F">
        <w:rPr>
          <w:lang w:val="fr-CA"/>
        </w:rPr>
        <w:t>A</w:t>
      </w:r>
      <w:r w:rsidRPr="0087500F">
        <w:rPr>
          <w:lang w:val="fr-CA"/>
        </w:rPr>
        <w:t>E. Cette liste est sujette à modifications.</w:t>
      </w:r>
    </w:p>
    <w:p w:rsidR="001F76DD" w:rsidRPr="0087500F" w:rsidRDefault="001F76DD" w:rsidP="00E92006">
      <w:pPr>
        <w:widowControl w:val="0"/>
        <w:jc w:val="both"/>
        <w:rPr>
          <w:szCs w:val="24"/>
          <w:lang w:val="fr-CA"/>
        </w:rPr>
      </w:pPr>
    </w:p>
    <w:p w:rsidR="00EF4622" w:rsidRPr="0087500F" w:rsidRDefault="007F139B" w:rsidP="00E92006">
      <w:pPr>
        <w:widowControl w:val="0"/>
        <w:jc w:val="both"/>
        <w:rPr>
          <w:szCs w:val="24"/>
          <w:lang w:val="fr-CA"/>
        </w:rPr>
      </w:pPr>
      <w:r>
        <w:rPr>
          <w:sz w:val="20"/>
        </w:rPr>
        <w:pict>
          <v:rect id="_x0000_i1025" style="width:2in;height:1pt" o:hrpct="0" o:hralign="center" o:hrstd="t" o:hrnoshade="t" o:hr="t" fillcolor="black [3213]" stroked="f"/>
        </w:pict>
      </w:r>
    </w:p>
    <w:p w:rsidR="001335A1" w:rsidRPr="0087500F" w:rsidRDefault="001335A1" w:rsidP="001335A1">
      <w:pPr>
        <w:widowControl w:val="0"/>
        <w:rPr>
          <w:szCs w:val="24"/>
          <w:lang w:val="fr-CA"/>
        </w:rPr>
      </w:pPr>
    </w:p>
    <w:p w:rsidR="00772636" w:rsidRPr="0087500F" w:rsidRDefault="00DF5C9D" w:rsidP="00772636">
      <w:pPr>
        <w:jc w:val="both"/>
        <w:rPr>
          <w:szCs w:val="24"/>
        </w:rPr>
      </w:pPr>
      <w:r w:rsidRPr="00DF5C9D">
        <w:rPr>
          <w:i/>
          <w:szCs w:val="24"/>
        </w:rPr>
        <w:t>Eugene N</w:t>
      </w:r>
      <w:r>
        <w:rPr>
          <w:i/>
          <w:szCs w:val="24"/>
        </w:rPr>
        <w:t>dhlovu v. H</w:t>
      </w:r>
      <w:r w:rsidR="007F139B">
        <w:rPr>
          <w:i/>
          <w:szCs w:val="24"/>
        </w:rPr>
        <w:t>is</w:t>
      </w:r>
      <w:r>
        <w:rPr>
          <w:i/>
          <w:szCs w:val="24"/>
        </w:rPr>
        <w:t xml:space="preserve"> Majesty the </w:t>
      </w:r>
      <w:r w:rsidR="007F139B">
        <w:rPr>
          <w:i/>
          <w:szCs w:val="24"/>
        </w:rPr>
        <w:t>King</w:t>
      </w:r>
      <w:r w:rsidR="00735BE0" w:rsidRPr="0087500F">
        <w:rPr>
          <w:i/>
          <w:szCs w:val="24"/>
        </w:rPr>
        <w:t xml:space="preserve"> </w:t>
      </w:r>
      <w:r w:rsidR="00772636" w:rsidRPr="0087500F">
        <w:rPr>
          <w:szCs w:val="24"/>
        </w:rPr>
        <w:t>(</w:t>
      </w:r>
      <w:r>
        <w:rPr>
          <w:szCs w:val="24"/>
        </w:rPr>
        <w:t>Alta</w:t>
      </w:r>
      <w:r w:rsidR="000523F2" w:rsidRPr="0087500F">
        <w:rPr>
          <w:szCs w:val="24"/>
        </w:rPr>
        <w:t>.</w:t>
      </w:r>
      <w:r w:rsidR="00772636" w:rsidRPr="0087500F">
        <w:rPr>
          <w:szCs w:val="24"/>
        </w:rPr>
        <w:t>) (</w:t>
      </w:r>
      <w:hyperlink r:id="rId7" w:history="1">
        <w:r w:rsidR="00772636" w:rsidRPr="0087500F">
          <w:rPr>
            <w:rStyle w:val="Hyperlink"/>
            <w:szCs w:val="24"/>
          </w:rPr>
          <w:t>3</w:t>
        </w:r>
        <w:r w:rsidR="000E38C2" w:rsidRPr="0087500F">
          <w:rPr>
            <w:rStyle w:val="Hyperlink"/>
            <w:szCs w:val="24"/>
          </w:rPr>
          <w:t>9</w:t>
        </w:r>
        <w:r w:rsidR="0087500F" w:rsidRPr="0087500F">
          <w:rPr>
            <w:rStyle w:val="Hyperlink"/>
            <w:szCs w:val="24"/>
          </w:rPr>
          <w:t>360</w:t>
        </w:r>
      </w:hyperlink>
      <w:r w:rsidR="00772636" w:rsidRPr="0087500F">
        <w:rPr>
          <w:szCs w:val="24"/>
        </w:rPr>
        <w:t>)</w:t>
      </w:r>
    </w:p>
    <w:p w:rsidR="000E38C2" w:rsidRPr="0087500F" w:rsidRDefault="000E38C2" w:rsidP="00340C6D">
      <w:pPr>
        <w:jc w:val="both"/>
        <w:rPr>
          <w:sz w:val="20"/>
        </w:rPr>
      </w:pPr>
    </w:p>
    <w:p w:rsidR="00710E8B" w:rsidRPr="0087500F" w:rsidRDefault="00710E8B" w:rsidP="00340C6D">
      <w:pPr>
        <w:jc w:val="both"/>
        <w:rPr>
          <w:sz w:val="20"/>
        </w:rPr>
      </w:pPr>
    </w:p>
    <w:bookmarkStart w:id="0" w:name="1"/>
    <w:bookmarkEnd w:id="0"/>
    <w:p w:rsidR="0087500F" w:rsidRPr="0087500F" w:rsidRDefault="0087500F" w:rsidP="00637AFB">
      <w:pPr>
        <w:widowControl w:val="0"/>
        <w:tabs>
          <w:tab w:val="left" w:pos="720"/>
        </w:tabs>
        <w:ind w:left="1440" w:hanging="1440"/>
        <w:jc w:val="both"/>
        <w:rPr>
          <w:b/>
          <w:i/>
          <w:sz w:val="20"/>
          <w:lang w:val="en-CA"/>
        </w:rPr>
      </w:pPr>
      <w:r w:rsidRPr="0087500F">
        <w:rPr>
          <w:b/>
          <w:sz w:val="20"/>
          <w:lang w:val="en-CA"/>
        </w:rPr>
        <w:fldChar w:fldCharType="begin"/>
      </w:r>
      <w:r w:rsidRPr="0087500F">
        <w:rPr>
          <w:b/>
          <w:sz w:val="20"/>
        </w:rPr>
        <w:instrText xml:space="preserve"> SEQ CHAPTER \h \r 1</w:instrText>
      </w:r>
      <w:r w:rsidRPr="0087500F">
        <w:rPr>
          <w:b/>
          <w:sz w:val="20"/>
        </w:rPr>
        <w:fldChar w:fldCharType="end"/>
      </w:r>
      <w:r w:rsidRPr="0087500F">
        <w:rPr>
          <w:b/>
          <w:sz w:val="20"/>
          <w:lang w:val="en-CA"/>
        </w:rPr>
        <w:t>39360</w:t>
      </w:r>
      <w:r w:rsidRPr="0087500F">
        <w:rPr>
          <w:b/>
          <w:sz w:val="20"/>
          <w:lang w:val="en-CA"/>
        </w:rPr>
        <w:tab/>
      </w:r>
      <w:bookmarkStart w:id="1" w:name="3"/>
      <w:bookmarkEnd w:id="1"/>
      <w:r w:rsidRPr="0087500F">
        <w:rPr>
          <w:b/>
          <w:i/>
          <w:sz w:val="20"/>
          <w:lang w:val="en-CA"/>
        </w:rPr>
        <w:t>Eugene Ndhlovu v. H</w:t>
      </w:r>
      <w:r w:rsidR="007F139B">
        <w:rPr>
          <w:b/>
          <w:i/>
          <w:sz w:val="20"/>
          <w:lang w:val="en-CA"/>
        </w:rPr>
        <w:t>is</w:t>
      </w:r>
      <w:r w:rsidRPr="0087500F">
        <w:rPr>
          <w:b/>
          <w:i/>
          <w:sz w:val="20"/>
          <w:lang w:val="en-CA"/>
        </w:rPr>
        <w:t xml:space="preserve"> Majesty the </w:t>
      </w:r>
      <w:r w:rsidR="007F139B">
        <w:rPr>
          <w:b/>
          <w:i/>
          <w:sz w:val="20"/>
          <w:lang w:val="en-CA"/>
        </w:rPr>
        <w:t>King</w:t>
      </w:r>
    </w:p>
    <w:p w:rsidR="0087500F" w:rsidRPr="0087500F" w:rsidRDefault="0087500F" w:rsidP="00637AFB">
      <w:pPr>
        <w:widowControl w:val="0"/>
        <w:tabs>
          <w:tab w:val="left" w:pos="720"/>
        </w:tabs>
        <w:ind w:left="1440" w:hanging="1440"/>
        <w:jc w:val="both"/>
        <w:rPr>
          <w:sz w:val="20"/>
          <w:lang w:val="en-CA"/>
        </w:rPr>
      </w:pPr>
      <w:r w:rsidRPr="0087500F">
        <w:rPr>
          <w:sz w:val="20"/>
          <w:lang w:val="en-CA"/>
        </w:rPr>
        <w:tab/>
        <w:t>(Alta.) (Criminal) (By Leave)</w:t>
      </w:r>
    </w:p>
    <w:p w:rsidR="0087500F" w:rsidRPr="0087500F" w:rsidRDefault="0087500F">
      <w:pPr>
        <w:widowControl w:val="0"/>
        <w:ind w:left="1440" w:hanging="1440"/>
        <w:jc w:val="both"/>
        <w:rPr>
          <w:sz w:val="20"/>
          <w:lang w:val="en-CA"/>
        </w:rPr>
      </w:pPr>
    </w:p>
    <w:p w:rsidR="0087500F" w:rsidRPr="0087500F" w:rsidRDefault="0087500F">
      <w:pPr>
        <w:widowControl w:val="0"/>
        <w:ind w:left="1440" w:hanging="1440"/>
        <w:jc w:val="both"/>
        <w:rPr>
          <w:sz w:val="20"/>
          <w:lang w:val="en-CA"/>
        </w:rPr>
      </w:pPr>
      <w:r w:rsidRPr="0087500F">
        <w:rPr>
          <w:sz w:val="20"/>
          <w:lang w:val="en-CA"/>
        </w:rPr>
        <w:t>(</w:t>
      </w:r>
      <w:r w:rsidRPr="0087500F">
        <w:rPr>
          <w:smallCaps/>
          <w:sz w:val="20"/>
          <w:lang w:val="en-CA"/>
        </w:rPr>
        <w:t>Publication Ban</w:t>
      </w:r>
      <w:r w:rsidRPr="0087500F">
        <w:rPr>
          <w:sz w:val="20"/>
          <w:lang w:val="en-CA"/>
        </w:rPr>
        <w:t>)</w:t>
      </w:r>
    </w:p>
    <w:p w:rsidR="0087500F" w:rsidRPr="0087500F" w:rsidRDefault="0087500F">
      <w:pPr>
        <w:widowControl w:val="0"/>
        <w:ind w:left="1440" w:hanging="1440"/>
        <w:jc w:val="both"/>
        <w:rPr>
          <w:sz w:val="20"/>
          <w:lang w:val="en-CA"/>
        </w:rPr>
      </w:pPr>
    </w:p>
    <w:p w:rsidR="0087500F" w:rsidRPr="0087500F" w:rsidRDefault="0087500F" w:rsidP="0050467C">
      <w:pPr>
        <w:jc w:val="both"/>
        <w:rPr>
          <w:sz w:val="20"/>
        </w:rPr>
      </w:pPr>
      <w:r w:rsidRPr="0087500F">
        <w:rPr>
          <w:i/>
          <w:sz w:val="20"/>
        </w:rPr>
        <w:t xml:space="preserve">Charter of Rights </w:t>
      </w:r>
      <w:r w:rsidRPr="0087500F">
        <w:rPr>
          <w:sz w:val="20"/>
        </w:rPr>
        <w:noBreakHyphen/>
        <w:t xml:space="preserve"> Right to life, liberty and security of the person </w:t>
      </w:r>
      <w:r w:rsidRPr="0087500F">
        <w:rPr>
          <w:sz w:val="20"/>
        </w:rPr>
        <w:noBreakHyphen/>
        <w:t xml:space="preserve"> Criminal law </w:t>
      </w:r>
      <w:r w:rsidRPr="0087500F">
        <w:rPr>
          <w:sz w:val="20"/>
        </w:rPr>
        <w:noBreakHyphen/>
        <w:t xml:space="preserve"> Registration of sex offenders </w:t>
      </w:r>
      <w:r w:rsidRPr="0087500F">
        <w:rPr>
          <w:sz w:val="20"/>
        </w:rPr>
        <w:noBreakHyphen/>
        <w:t xml:space="preserve"> Whether ss. 490.012 and 490.013(2.1) of the </w:t>
      </w:r>
      <w:r w:rsidRPr="0087500F">
        <w:rPr>
          <w:i/>
          <w:sz w:val="20"/>
        </w:rPr>
        <w:t>Criminal Code</w:t>
      </w:r>
      <w:r w:rsidRPr="0087500F">
        <w:rPr>
          <w:sz w:val="20"/>
        </w:rPr>
        <w:t xml:space="preserve"> violate s. 7 of the </w:t>
      </w:r>
      <w:r w:rsidRPr="0087500F">
        <w:rPr>
          <w:i/>
          <w:sz w:val="20"/>
        </w:rPr>
        <w:t>Charter</w:t>
      </w:r>
      <w:r w:rsidRPr="0087500F">
        <w:rPr>
          <w:sz w:val="20"/>
        </w:rPr>
        <w:t xml:space="preserve"> </w:t>
      </w:r>
      <w:r w:rsidRPr="0087500F">
        <w:rPr>
          <w:sz w:val="20"/>
        </w:rPr>
        <w:noBreakHyphen/>
        <w:t xml:space="preserve"> If so, whether the violation can be saved under s. 1 of the </w:t>
      </w:r>
      <w:r w:rsidRPr="0087500F">
        <w:rPr>
          <w:i/>
          <w:sz w:val="20"/>
        </w:rPr>
        <w:t>Charter</w:t>
      </w:r>
      <w:r w:rsidRPr="0087500F">
        <w:rPr>
          <w:sz w:val="20"/>
        </w:rPr>
        <w:t xml:space="preserve"> </w:t>
      </w:r>
      <w:r w:rsidRPr="0087500F">
        <w:rPr>
          <w:sz w:val="20"/>
        </w:rPr>
        <w:noBreakHyphen/>
        <w:t xml:space="preserve"> Sections 490.012 and 490.013(2.1) of the </w:t>
      </w:r>
      <w:r w:rsidRPr="0087500F">
        <w:rPr>
          <w:i/>
          <w:sz w:val="20"/>
        </w:rPr>
        <w:t>Criminal Code</w:t>
      </w:r>
      <w:r w:rsidRPr="0087500F">
        <w:rPr>
          <w:sz w:val="20"/>
        </w:rPr>
        <w:t>, R.S.C. 1985, c. C</w:t>
      </w:r>
      <w:r w:rsidRPr="0087500F">
        <w:rPr>
          <w:sz w:val="20"/>
        </w:rPr>
        <w:noBreakHyphen/>
        <w:t xml:space="preserve">46 </w:t>
      </w:r>
      <w:r w:rsidRPr="0087500F">
        <w:rPr>
          <w:sz w:val="20"/>
        </w:rPr>
        <w:noBreakHyphen/>
        <w:t xml:space="preserve"> Sections 1 and 7 of the </w:t>
      </w:r>
      <w:r w:rsidRPr="0087500F">
        <w:rPr>
          <w:i/>
          <w:sz w:val="20"/>
        </w:rPr>
        <w:t>Canadian Charter of Rights and Freedoms</w:t>
      </w:r>
      <w:r w:rsidRPr="0087500F">
        <w:rPr>
          <w:sz w:val="20"/>
        </w:rPr>
        <w:t>.</w:t>
      </w:r>
    </w:p>
    <w:p w:rsidR="0087500F" w:rsidRPr="0087500F" w:rsidRDefault="0087500F">
      <w:pPr>
        <w:widowControl w:val="0"/>
        <w:ind w:left="1440" w:hanging="1440"/>
        <w:jc w:val="both"/>
        <w:rPr>
          <w:sz w:val="20"/>
        </w:rPr>
      </w:pPr>
    </w:p>
    <w:p w:rsidR="0087500F" w:rsidRPr="0087500F" w:rsidRDefault="0087500F" w:rsidP="0050467C">
      <w:pPr>
        <w:widowControl w:val="0"/>
        <w:jc w:val="both"/>
        <w:rPr>
          <w:sz w:val="20"/>
        </w:rPr>
      </w:pPr>
      <w:r w:rsidRPr="0087500F">
        <w:rPr>
          <w:sz w:val="20"/>
        </w:rPr>
        <w:t xml:space="preserve">The appellant pled guilty to two charges of sexual assault, contrary to s. 271 of the </w:t>
      </w:r>
      <w:r w:rsidRPr="0087500F">
        <w:rPr>
          <w:i/>
          <w:sz w:val="20"/>
        </w:rPr>
        <w:t>Criminal Code</w:t>
      </w:r>
      <w:r w:rsidRPr="0087500F">
        <w:rPr>
          <w:sz w:val="20"/>
        </w:rPr>
        <w:t>, R.S.C. 1985, c. C</w:t>
      </w:r>
      <w:r w:rsidRPr="0087500F">
        <w:rPr>
          <w:sz w:val="20"/>
        </w:rPr>
        <w:noBreakHyphen/>
        <w:t xml:space="preserve">46. The assaults had been committed against two complainants during the course of a party. The sentencing judge found the appellant was at low risk to reoffend, and sentenced him to six months of imprisonment and three years of probation. The appellant challenged the constitutionality of ss. 490.012 and 490.013(2.1) of the </w:t>
      </w:r>
      <w:r w:rsidRPr="0087500F">
        <w:rPr>
          <w:i/>
          <w:sz w:val="20"/>
        </w:rPr>
        <w:t>Criminal Code</w:t>
      </w:r>
      <w:r w:rsidRPr="0087500F">
        <w:rPr>
          <w:sz w:val="20"/>
        </w:rPr>
        <w:t xml:space="preserve">, which require him to register and report for life under the </w:t>
      </w:r>
      <w:r w:rsidRPr="0087500F">
        <w:rPr>
          <w:i/>
          <w:sz w:val="20"/>
        </w:rPr>
        <w:t>Sex Offender Information Registration Act</w:t>
      </w:r>
      <w:r w:rsidRPr="0087500F">
        <w:rPr>
          <w:sz w:val="20"/>
        </w:rPr>
        <w:t xml:space="preserve">, S.C. 2004, c. 10, as a result of his convictions for more than one designated offence. The sentencing judge held that ss. 490.012 and 490.013(2.1) violate s. 7 of the </w:t>
      </w:r>
      <w:r w:rsidRPr="0087500F">
        <w:rPr>
          <w:i/>
          <w:sz w:val="20"/>
        </w:rPr>
        <w:t>Charter</w:t>
      </w:r>
      <w:r w:rsidRPr="0087500F">
        <w:rPr>
          <w:sz w:val="20"/>
        </w:rPr>
        <w:t xml:space="preserve"> and cannot be saved under s. 1, and declared the sections to be of no force or effect.</w:t>
      </w:r>
    </w:p>
    <w:p w:rsidR="0087500F" w:rsidRPr="0087500F" w:rsidRDefault="0087500F" w:rsidP="0050467C">
      <w:pPr>
        <w:widowControl w:val="0"/>
        <w:jc w:val="both"/>
        <w:rPr>
          <w:sz w:val="20"/>
        </w:rPr>
      </w:pPr>
    </w:p>
    <w:p w:rsidR="0087500F" w:rsidRPr="0087500F" w:rsidRDefault="0087500F" w:rsidP="0050467C">
      <w:pPr>
        <w:widowControl w:val="0"/>
        <w:jc w:val="both"/>
        <w:rPr>
          <w:sz w:val="20"/>
        </w:rPr>
      </w:pPr>
      <w:r w:rsidRPr="0087500F">
        <w:rPr>
          <w:sz w:val="20"/>
        </w:rPr>
        <w:t xml:space="preserve">The Crown appealed the sentencing judge’s declaration of unconstitutionality. The majority of the Court of Appeal for Alberta allowed the appeal, holding that the sentencing judge had erred in finding that the appellant had established a deprivation of his right to life, liberty or security of the person under s. 7 of the </w:t>
      </w:r>
      <w:r w:rsidRPr="0087500F">
        <w:rPr>
          <w:i/>
          <w:sz w:val="20"/>
        </w:rPr>
        <w:t>Charter</w:t>
      </w:r>
      <w:r w:rsidRPr="0087500F">
        <w:rPr>
          <w:sz w:val="20"/>
        </w:rPr>
        <w:t>. Khullar J.A., dissenting, would have dismissed the appeal and upheld the sentencing judge’s decision.</w:t>
      </w:r>
    </w:p>
    <w:p w:rsidR="0087500F" w:rsidRPr="0087500F" w:rsidRDefault="0087500F" w:rsidP="0050467C">
      <w:pPr>
        <w:widowControl w:val="0"/>
        <w:jc w:val="both"/>
        <w:rPr>
          <w:sz w:val="20"/>
        </w:rPr>
      </w:pPr>
    </w:p>
    <w:p w:rsidR="0087500F" w:rsidRPr="0087500F" w:rsidRDefault="007F139B" w:rsidP="0050467C">
      <w:pPr>
        <w:widowControl w:val="0"/>
        <w:jc w:val="both"/>
        <w:rPr>
          <w:sz w:val="20"/>
        </w:rPr>
      </w:pPr>
      <w:r>
        <w:rPr>
          <w:sz w:val="20"/>
        </w:rPr>
        <w:pict>
          <v:rect id="_x0000_i1026" style="width:2in;height:1pt" o:hrpct="0" o:hralign="center" o:hrstd="t" o:hrnoshade="t" o:hr="t" fillcolor="black [3213]" stroked="f"/>
        </w:pict>
      </w:r>
    </w:p>
    <w:p w:rsidR="0087500F" w:rsidRPr="0087500F" w:rsidRDefault="0087500F" w:rsidP="0050467C">
      <w:pPr>
        <w:widowControl w:val="0"/>
        <w:jc w:val="both"/>
        <w:rPr>
          <w:sz w:val="20"/>
        </w:rPr>
      </w:pPr>
    </w:p>
    <w:p w:rsidR="0087500F" w:rsidRPr="0087500F" w:rsidRDefault="0087500F" w:rsidP="0087500F">
      <w:pPr>
        <w:pStyle w:val="SCCLsocParty"/>
        <w:rPr>
          <w:b/>
          <w:i w:val="0"/>
          <w:sz w:val="20"/>
          <w:szCs w:val="20"/>
        </w:rPr>
      </w:pPr>
      <w:r w:rsidRPr="0087500F">
        <w:rPr>
          <w:rStyle w:val="SCCFileNumberChar"/>
          <w:i w:val="0"/>
          <w:sz w:val="20"/>
          <w:szCs w:val="20"/>
          <w:lang w:val="fr-CA"/>
        </w:rPr>
        <w:lastRenderedPageBreak/>
        <w:t>39360</w:t>
      </w:r>
      <w:r w:rsidRPr="0087500F">
        <w:rPr>
          <w:rStyle w:val="SCCFileNumberChar"/>
          <w:i w:val="0"/>
          <w:sz w:val="20"/>
          <w:szCs w:val="20"/>
          <w:lang w:val="fr-CA"/>
        </w:rPr>
        <w:tab/>
      </w:r>
      <w:r w:rsidRPr="0087500F">
        <w:rPr>
          <w:b/>
          <w:sz w:val="20"/>
          <w:szCs w:val="20"/>
        </w:rPr>
        <w:t>Eugene Ndhlovu c. Sa Majesté l</w:t>
      </w:r>
      <w:r w:rsidR="007F139B">
        <w:rPr>
          <w:b/>
          <w:sz w:val="20"/>
          <w:szCs w:val="20"/>
        </w:rPr>
        <w:t>e</w:t>
      </w:r>
      <w:r w:rsidRPr="0087500F">
        <w:rPr>
          <w:b/>
          <w:sz w:val="20"/>
          <w:szCs w:val="20"/>
        </w:rPr>
        <w:t xml:space="preserve"> R</w:t>
      </w:r>
      <w:r w:rsidR="007F139B">
        <w:rPr>
          <w:b/>
          <w:sz w:val="20"/>
          <w:szCs w:val="20"/>
        </w:rPr>
        <w:t>oi</w:t>
      </w:r>
      <w:bookmarkStart w:id="2" w:name="_GoBack"/>
      <w:bookmarkEnd w:id="2"/>
    </w:p>
    <w:p w:rsidR="0087500F" w:rsidRPr="007F139B" w:rsidRDefault="0087500F" w:rsidP="0087500F">
      <w:pPr>
        <w:widowControl w:val="0"/>
        <w:ind w:left="360" w:firstLine="360"/>
        <w:jc w:val="both"/>
        <w:rPr>
          <w:sz w:val="20"/>
          <w:lang w:val="fr-CA"/>
        </w:rPr>
      </w:pPr>
      <w:r w:rsidRPr="0087500F">
        <w:rPr>
          <w:sz w:val="20"/>
          <w:lang w:val="fr-CA"/>
        </w:rPr>
        <w:t>(Alb.) (Criminelle) (Sur autorisation)</w:t>
      </w:r>
    </w:p>
    <w:p w:rsidR="0087500F" w:rsidRPr="0087500F" w:rsidRDefault="0087500F" w:rsidP="0087500F">
      <w:pPr>
        <w:jc w:val="both"/>
        <w:rPr>
          <w:sz w:val="20"/>
          <w:lang w:val="fr-CA"/>
        </w:rPr>
      </w:pPr>
    </w:p>
    <w:p w:rsidR="0087500F" w:rsidRPr="0087500F" w:rsidRDefault="0087500F" w:rsidP="0087500F">
      <w:pPr>
        <w:pStyle w:val="SCCBanSummary"/>
        <w:rPr>
          <w:rFonts w:cs="Times New Roman"/>
          <w:sz w:val="20"/>
          <w:szCs w:val="20"/>
          <w:lang w:val="fr-CA"/>
        </w:rPr>
      </w:pPr>
      <w:r w:rsidRPr="0087500F">
        <w:rPr>
          <w:rFonts w:cs="Times New Roman"/>
          <w:sz w:val="20"/>
          <w:szCs w:val="20"/>
          <w:lang w:val="fr-CA"/>
        </w:rPr>
        <w:t>(Ordonnance de non</w:t>
      </w:r>
      <w:r w:rsidRPr="0087500F">
        <w:rPr>
          <w:rFonts w:cs="Times New Roman"/>
          <w:sz w:val="20"/>
          <w:szCs w:val="20"/>
          <w:lang w:val="fr-CA"/>
        </w:rPr>
        <w:noBreakHyphen/>
        <w:t>publication dans le dossier)</w:t>
      </w:r>
    </w:p>
    <w:p w:rsidR="0087500F" w:rsidRPr="0087500F" w:rsidRDefault="0087500F" w:rsidP="0087500F">
      <w:pPr>
        <w:widowControl w:val="0"/>
        <w:jc w:val="both"/>
        <w:rPr>
          <w:sz w:val="20"/>
          <w:lang w:val="fr-CA"/>
        </w:rPr>
      </w:pPr>
    </w:p>
    <w:p w:rsidR="0087500F" w:rsidRPr="0087500F" w:rsidRDefault="0087500F" w:rsidP="0087500F">
      <w:pPr>
        <w:jc w:val="both"/>
        <w:rPr>
          <w:sz w:val="20"/>
          <w:lang w:val="fr-CA"/>
        </w:rPr>
      </w:pPr>
      <w:r w:rsidRPr="0087500F">
        <w:rPr>
          <w:i/>
          <w:sz w:val="20"/>
          <w:lang w:val="fr-CA"/>
        </w:rPr>
        <w:t xml:space="preserve">Charte des droits </w:t>
      </w:r>
      <w:r w:rsidRPr="0087500F">
        <w:rPr>
          <w:sz w:val="20"/>
          <w:lang w:val="fr-CA"/>
        </w:rPr>
        <w:noBreakHyphen/>
        <w:t xml:space="preserve"> Droit à la vie, à la liberté et à la sécurité de la personne </w:t>
      </w:r>
      <w:r w:rsidRPr="0087500F">
        <w:rPr>
          <w:sz w:val="20"/>
          <w:lang w:val="fr-CA"/>
        </w:rPr>
        <w:noBreakHyphen/>
        <w:t xml:space="preserve"> Droit criminel -Enregistrement des délinquants sexuels </w:t>
      </w:r>
      <w:r w:rsidRPr="0087500F">
        <w:rPr>
          <w:sz w:val="20"/>
          <w:lang w:val="fr-CA"/>
        </w:rPr>
        <w:noBreakHyphen/>
        <w:t xml:space="preserve"> L’article 490.012 et le paragraphe 490.013(2.1) du </w:t>
      </w:r>
      <w:r w:rsidRPr="0087500F">
        <w:rPr>
          <w:i/>
          <w:sz w:val="20"/>
          <w:lang w:val="fr-CA"/>
        </w:rPr>
        <w:t xml:space="preserve">Code criminel </w:t>
      </w:r>
      <w:r w:rsidRPr="0087500F">
        <w:rPr>
          <w:sz w:val="20"/>
          <w:lang w:val="fr-CA"/>
        </w:rPr>
        <w:t>violent</w:t>
      </w:r>
      <w:r w:rsidRPr="0087500F">
        <w:rPr>
          <w:sz w:val="20"/>
          <w:lang w:val="fr-CA"/>
        </w:rPr>
        <w:noBreakHyphen/>
        <w:t xml:space="preserve">ils l’art. 7 de la </w:t>
      </w:r>
      <w:r w:rsidRPr="0087500F">
        <w:rPr>
          <w:i/>
          <w:sz w:val="20"/>
          <w:lang w:val="fr-CA"/>
        </w:rPr>
        <w:t>Charte</w:t>
      </w:r>
      <w:r w:rsidRPr="0087500F">
        <w:rPr>
          <w:sz w:val="20"/>
          <w:lang w:val="fr-CA"/>
        </w:rPr>
        <w:t xml:space="preserve">? </w:t>
      </w:r>
      <w:r w:rsidRPr="0087500F">
        <w:rPr>
          <w:sz w:val="20"/>
          <w:lang w:val="fr-CA"/>
        </w:rPr>
        <w:noBreakHyphen/>
        <w:t xml:space="preserve"> Dans l’affirmative, la violation peut</w:t>
      </w:r>
      <w:r w:rsidRPr="0087500F">
        <w:rPr>
          <w:sz w:val="20"/>
          <w:lang w:val="fr-CA"/>
        </w:rPr>
        <w:noBreakHyphen/>
        <w:t xml:space="preserve">elle être sauvegardée par application de l’article premier de la </w:t>
      </w:r>
      <w:r w:rsidRPr="0087500F">
        <w:rPr>
          <w:i/>
          <w:sz w:val="20"/>
          <w:lang w:val="fr-CA"/>
        </w:rPr>
        <w:t>Charte</w:t>
      </w:r>
      <w:r w:rsidRPr="0087500F">
        <w:rPr>
          <w:sz w:val="20"/>
          <w:lang w:val="fr-CA"/>
        </w:rPr>
        <w:t xml:space="preserve">? </w:t>
      </w:r>
      <w:r w:rsidRPr="0087500F">
        <w:rPr>
          <w:sz w:val="20"/>
          <w:lang w:val="fr-CA"/>
        </w:rPr>
        <w:noBreakHyphen/>
        <w:t xml:space="preserve"> Articles 490.012 et 490.013(2.1) du </w:t>
      </w:r>
      <w:r w:rsidRPr="0087500F">
        <w:rPr>
          <w:i/>
          <w:sz w:val="20"/>
          <w:lang w:val="fr-CA"/>
        </w:rPr>
        <w:t>Code criminel</w:t>
      </w:r>
      <w:r w:rsidRPr="0087500F">
        <w:rPr>
          <w:sz w:val="20"/>
          <w:lang w:val="fr-CA"/>
        </w:rPr>
        <w:t>, L.R.C. 1985, c. C</w:t>
      </w:r>
      <w:r w:rsidRPr="0087500F">
        <w:rPr>
          <w:sz w:val="20"/>
          <w:lang w:val="fr-CA"/>
        </w:rPr>
        <w:noBreakHyphen/>
        <w:t xml:space="preserve">46 </w:t>
      </w:r>
      <w:r w:rsidRPr="0087500F">
        <w:rPr>
          <w:sz w:val="20"/>
          <w:lang w:val="fr-CA"/>
        </w:rPr>
        <w:noBreakHyphen/>
        <w:t xml:space="preserve"> Article premier et article 7 de la </w:t>
      </w:r>
      <w:r w:rsidRPr="0087500F">
        <w:rPr>
          <w:i/>
          <w:sz w:val="20"/>
          <w:lang w:val="fr-CA"/>
        </w:rPr>
        <w:t>Charte canadienne des droits et libertés</w:t>
      </w:r>
      <w:r w:rsidRPr="0087500F">
        <w:rPr>
          <w:sz w:val="20"/>
          <w:lang w:val="fr-CA"/>
        </w:rPr>
        <w:t>.</w:t>
      </w:r>
    </w:p>
    <w:p w:rsidR="0087500F" w:rsidRPr="0087500F" w:rsidRDefault="0087500F" w:rsidP="0087500F">
      <w:pPr>
        <w:widowControl w:val="0"/>
        <w:jc w:val="both"/>
        <w:rPr>
          <w:sz w:val="20"/>
          <w:lang w:val="fr-CA"/>
        </w:rPr>
      </w:pPr>
    </w:p>
    <w:p w:rsidR="0087500F" w:rsidRPr="0087500F" w:rsidRDefault="0087500F" w:rsidP="0087500F">
      <w:pPr>
        <w:widowControl w:val="0"/>
        <w:jc w:val="both"/>
        <w:rPr>
          <w:sz w:val="20"/>
          <w:lang w:val="fr-CA" w:eastAsia="en-CA"/>
        </w:rPr>
      </w:pPr>
      <w:r w:rsidRPr="0087500F">
        <w:rPr>
          <w:sz w:val="20"/>
          <w:lang w:val="fr-CA" w:eastAsia="en-CA"/>
        </w:rPr>
        <w:t xml:space="preserve">L’appelant a plaidé coupable à deux chefs d’accusation d’agression sexuelle, en contravention de l’art. 271 du </w:t>
      </w:r>
      <w:r w:rsidRPr="0087500F">
        <w:rPr>
          <w:i/>
          <w:sz w:val="20"/>
          <w:lang w:val="fr-CA" w:eastAsia="en-CA"/>
        </w:rPr>
        <w:t>Code criminel</w:t>
      </w:r>
      <w:r w:rsidRPr="0087500F">
        <w:rPr>
          <w:sz w:val="20"/>
          <w:lang w:val="fr-CA" w:eastAsia="en-CA"/>
        </w:rPr>
        <w:t>, L.R.C. 1985, c. C</w:t>
      </w:r>
      <w:r w:rsidRPr="0087500F">
        <w:rPr>
          <w:sz w:val="20"/>
          <w:lang w:val="fr-CA" w:eastAsia="en-CA"/>
        </w:rPr>
        <w:noBreakHyphen/>
        <w:t xml:space="preserve">46. Les agressions ont été commises à l’encontre de deux plaignantes pendant une fête. La juge chargée de la détermination de la peine a conclu que l’appelant présentait un faible risque de récidive, et l’a condamné à une peine de six mois d’emprisonnement et à une période de probation de trois ans. L’appelant a contesté la constitutionnalité de l’art. 490.012 et du par. 490.013(2.1) du </w:t>
      </w:r>
      <w:r w:rsidRPr="0087500F">
        <w:rPr>
          <w:i/>
          <w:sz w:val="20"/>
          <w:lang w:val="fr-CA" w:eastAsia="en-CA"/>
        </w:rPr>
        <w:t>Code criminel</w:t>
      </w:r>
      <w:r w:rsidRPr="0087500F">
        <w:rPr>
          <w:sz w:val="20"/>
          <w:lang w:val="fr-CA" w:eastAsia="en-CA"/>
        </w:rPr>
        <w:t xml:space="preserve">, aux termes desquels il doit s’enregistrer et comparaître au bureau d’inscription à perpétuité en vertu de la </w:t>
      </w:r>
      <w:r w:rsidRPr="0087500F">
        <w:rPr>
          <w:i/>
          <w:sz w:val="20"/>
          <w:lang w:val="fr-CA" w:eastAsia="en-CA"/>
        </w:rPr>
        <w:t>Loi sur l’enregistrement de renseignements sur les délinquants sexuels</w:t>
      </w:r>
      <w:r w:rsidRPr="0087500F">
        <w:rPr>
          <w:sz w:val="20"/>
          <w:lang w:val="fr-CA" w:eastAsia="en-CA"/>
        </w:rPr>
        <w:t xml:space="preserve">, L.C. 2004, c. 10, en conséquence des déclarations de culpabilité prononcées à son égard pour </w:t>
      </w:r>
      <w:r w:rsidRPr="0087500F">
        <w:rPr>
          <w:sz w:val="20"/>
          <w:lang w:val="fr-CA"/>
        </w:rPr>
        <w:t>plus d’une infraction désignée</w:t>
      </w:r>
      <w:r w:rsidRPr="0087500F">
        <w:rPr>
          <w:sz w:val="20"/>
          <w:lang w:val="fr-CA" w:eastAsia="en-CA"/>
        </w:rPr>
        <w:t xml:space="preserve">. La juge chargée de la détermination de la </w:t>
      </w:r>
      <w:proofErr w:type="gramStart"/>
      <w:r w:rsidRPr="0087500F">
        <w:rPr>
          <w:sz w:val="20"/>
          <w:lang w:val="fr-CA" w:eastAsia="en-CA"/>
        </w:rPr>
        <w:t>peine a</w:t>
      </w:r>
      <w:proofErr w:type="gramEnd"/>
      <w:r w:rsidRPr="0087500F">
        <w:rPr>
          <w:sz w:val="20"/>
          <w:lang w:val="fr-CA" w:eastAsia="en-CA"/>
        </w:rPr>
        <w:t xml:space="preserve"> conclu que l’art. 490.012 et le par. 490.013(2.1) violent l’art. 7 de la </w:t>
      </w:r>
      <w:r w:rsidRPr="0087500F">
        <w:rPr>
          <w:i/>
          <w:sz w:val="20"/>
          <w:lang w:val="fr-CA" w:eastAsia="en-CA"/>
        </w:rPr>
        <w:t>Charte</w:t>
      </w:r>
      <w:r w:rsidRPr="0087500F">
        <w:rPr>
          <w:sz w:val="20"/>
          <w:lang w:val="fr-CA" w:eastAsia="en-CA"/>
        </w:rPr>
        <w:t xml:space="preserve"> et ne peuvent être sauvegardés par application de l’article premier, et a déclaré que ces dispositions étaient inopérantes.</w:t>
      </w:r>
    </w:p>
    <w:p w:rsidR="0087500F" w:rsidRPr="0087500F" w:rsidRDefault="0087500F" w:rsidP="0087500F">
      <w:pPr>
        <w:widowControl w:val="0"/>
        <w:jc w:val="both"/>
        <w:rPr>
          <w:sz w:val="20"/>
          <w:lang w:val="fr-CA" w:eastAsia="en-CA"/>
        </w:rPr>
      </w:pPr>
    </w:p>
    <w:p w:rsidR="0087500F" w:rsidRPr="0087500F" w:rsidRDefault="0087500F" w:rsidP="0087500F">
      <w:pPr>
        <w:widowControl w:val="0"/>
        <w:jc w:val="both"/>
        <w:rPr>
          <w:sz w:val="20"/>
          <w:lang w:val="fr-CA" w:eastAsia="en-CA"/>
        </w:rPr>
      </w:pPr>
      <w:r w:rsidRPr="0087500F">
        <w:rPr>
          <w:sz w:val="20"/>
          <w:lang w:val="fr-CA" w:eastAsia="en-CA"/>
        </w:rPr>
        <w:t xml:space="preserve">La Couronne a fait appel de la déclaration d’inconstitutionnalité prononcée par la juge chargée de la détermination de la peine. Les juges majoritaires de la Cour d’appel de l’Alberta ont accueilli l’appel, statuant que la juge chargée de la détermination de la peine a commis une erreur en concluant que l’appelant avait établi qu’il y avait eu atteinte à son droit à la vie, à la liberté et à la sécurité de la personne garanti par l’art. 7 de la </w:t>
      </w:r>
      <w:r w:rsidRPr="0087500F">
        <w:rPr>
          <w:i/>
          <w:sz w:val="20"/>
          <w:lang w:val="fr-CA" w:eastAsia="en-CA"/>
        </w:rPr>
        <w:t>Charte</w:t>
      </w:r>
      <w:r w:rsidRPr="0087500F">
        <w:rPr>
          <w:sz w:val="20"/>
          <w:lang w:val="fr-CA" w:eastAsia="en-CA"/>
        </w:rPr>
        <w:t>. La juge Khullar, dissidente, aurait rejeté l’appel et confirmé la décision de la juge chargée de la détermination de la peine.</w:t>
      </w:r>
    </w:p>
    <w:p w:rsidR="00973946" w:rsidRPr="0087500F" w:rsidRDefault="00973946">
      <w:pPr>
        <w:widowControl w:val="0"/>
        <w:jc w:val="both"/>
        <w:rPr>
          <w:sz w:val="20"/>
          <w:lang w:val="fr-CA"/>
        </w:rPr>
      </w:pPr>
    </w:p>
    <w:p w:rsidR="00F5120E" w:rsidRPr="0087500F" w:rsidRDefault="007F139B" w:rsidP="00F5120E">
      <w:pPr>
        <w:widowControl w:val="0"/>
        <w:jc w:val="both"/>
        <w:rPr>
          <w:sz w:val="20"/>
          <w:lang w:val="fr-CA"/>
        </w:rPr>
      </w:pPr>
      <w:r>
        <w:rPr>
          <w:sz w:val="20"/>
        </w:rPr>
        <w:pict>
          <v:rect id="_x0000_i1027" style="width:2in;height:1pt" o:hrpct="0" o:hralign="center" o:hrstd="t" o:hrnoshade="t" o:hr="t" fillcolor="black [3213]" stroked="f"/>
        </w:pict>
      </w:r>
    </w:p>
    <w:p w:rsidR="00E92006" w:rsidRPr="0087500F" w:rsidRDefault="00E92006" w:rsidP="00340C6D">
      <w:pPr>
        <w:jc w:val="both"/>
        <w:rPr>
          <w:sz w:val="20"/>
          <w:lang w:val="fr-CA"/>
        </w:rPr>
      </w:pPr>
    </w:p>
    <w:p w:rsidR="00E92006" w:rsidRPr="0087500F" w:rsidRDefault="00E92006" w:rsidP="00340C6D">
      <w:pPr>
        <w:jc w:val="both"/>
        <w:rPr>
          <w:sz w:val="20"/>
          <w:lang w:val="fr-CA"/>
        </w:rPr>
      </w:pPr>
    </w:p>
    <w:p w:rsidR="00072A63" w:rsidRPr="0087500F" w:rsidRDefault="00072A63" w:rsidP="00EC79B0">
      <w:pPr>
        <w:jc w:val="both"/>
        <w:rPr>
          <w:sz w:val="20"/>
          <w:lang w:val="fr-CA"/>
        </w:rPr>
      </w:pPr>
    </w:p>
    <w:p w:rsidR="001C4415" w:rsidRPr="0087500F" w:rsidRDefault="001C4415" w:rsidP="001C4415">
      <w:pPr>
        <w:widowControl w:val="0"/>
        <w:outlineLvl w:val="0"/>
      </w:pPr>
      <w:r w:rsidRPr="0087500F">
        <w:t xml:space="preserve">Supreme Court of Canada / Cour suprême du </w:t>
      </w:r>
      <w:proofErr w:type="gramStart"/>
      <w:r w:rsidRPr="0087500F">
        <w:t>Canada :</w:t>
      </w:r>
      <w:proofErr w:type="gramEnd"/>
      <w:r w:rsidRPr="0087500F">
        <w:t xml:space="preserve"> </w:t>
      </w:r>
    </w:p>
    <w:p w:rsidR="001C4415" w:rsidRPr="0087500F" w:rsidRDefault="007F139B" w:rsidP="001C4415">
      <w:pPr>
        <w:widowControl w:val="0"/>
        <w:outlineLvl w:val="0"/>
      </w:pPr>
      <w:hyperlink r:id="rId8" w:history="1">
        <w:r w:rsidR="001C4415" w:rsidRPr="0087500F">
          <w:rPr>
            <w:rStyle w:val="Hyperlink"/>
          </w:rPr>
          <w:t>comments-commentaires@scc-csc.ca</w:t>
        </w:r>
      </w:hyperlink>
    </w:p>
    <w:p w:rsidR="001C4415" w:rsidRPr="0087500F" w:rsidRDefault="001C4415" w:rsidP="001C4415">
      <w:pPr>
        <w:widowControl w:val="0"/>
        <w:outlineLvl w:val="0"/>
      </w:pPr>
      <w:r w:rsidRPr="0087500F">
        <w:t>(613) 995-4330</w:t>
      </w:r>
    </w:p>
    <w:p w:rsidR="001C4415" w:rsidRPr="0087500F" w:rsidRDefault="001C4415" w:rsidP="001C4415">
      <w:pPr>
        <w:widowControl w:val="0"/>
        <w:rPr>
          <w:sz w:val="20"/>
        </w:rPr>
      </w:pPr>
    </w:p>
    <w:p w:rsidR="0036476C" w:rsidRPr="00A8502B" w:rsidRDefault="001C4415" w:rsidP="0036476C">
      <w:pPr>
        <w:pStyle w:val="Footer"/>
        <w:jc w:val="center"/>
        <w:rPr>
          <w:lang w:val="fr-CA"/>
        </w:rPr>
      </w:pPr>
      <w:r w:rsidRPr="0087500F">
        <w:rPr>
          <w:lang w:val="fr-CA"/>
        </w:rPr>
        <w:t xml:space="preserve">- 30 </w:t>
      </w:r>
      <w:r w:rsidR="003C1B6E" w:rsidRPr="0087500F">
        <w:rPr>
          <w:lang w:val="fr-CA"/>
        </w:rPr>
        <w:t>-</w:t>
      </w:r>
    </w:p>
    <w:p w:rsidR="0036476C" w:rsidRPr="00A8502B" w:rsidRDefault="0036476C" w:rsidP="0036476C">
      <w:pPr>
        <w:pStyle w:val="Footer"/>
        <w:jc w:val="center"/>
        <w:rPr>
          <w:lang w:val="fr-CA"/>
        </w:rPr>
      </w:pPr>
    </w:p>
    <w:sectPr w:rsidR="0036476C" w:rsidRPr="00A8502B" w:rsidSect="00D362A2">
      <w:headerReference w:type="even" r:id="rId9"/>
      <w:headerReference w:type="default" r:id="rId10"/>
      <w:footerReference w:type="even" r:id="rId11"/>
      <w:footerReference w:type="default" r:id="rId12"/>
      <w:headerReference w:type="first" r:id="rId13"/>
      <w:footerReference w:type="first" r:id="rId14"/>
      <w:pgSz w:w="12240" w:h="15840"/>
      <w:pgMar w:top="900" w:right="1440" w:bottom="806" w:left="1440" w:header="1080" w:footer="56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3CAD" w:rsidRDefault="00FF3CAD">
      <w:r>
        <w:separator/>
      </w:r>
    </w:p>
  </w:endnote>
  <w:endnote w:type="continuationSeparator" w:id="0">
    <w:p w:rsidR="00FF3CAD" w:rsidRDefault="00FF3C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spacing w:line="0" w:lineRule="atLea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3CAD" w:rsidRDefault="00FF3CAD">
      <w:r>
        <w:separator/>
      </w:r>
    </w:p>
  </w:footnote>
  <w:footnote w:type="continuationSeparator" w:id="0">
    <w:p w:rsidR="00FF3CAD" w:rsidRDefault="00FF3C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33274A"/>
    <w:multiLevelType w:val="hybridMultilevel"/>
    <w:tmpl w:val="EF6A56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825C16"/>
    <w:multiLevelType w:val="hybridMultilevel"/>
    <w:tmpl w:val="0D6645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D4E6CDB"/>
    <w:multiLevelType w:val="hybridMultilevel"/>
    <w:tmpl w:val="C30068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removePersonalInformation/>
  <w:removeDateAndTime/>
  <w:bordersDoNotSurroundHeader/>
  <w:bordersDoNotSurroundFooter/>
  <w:proofState w:spelling="clean" w:grammar="clean"/>
  <w:defaultTabStop w:val="36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679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86C"/>
    <w:rsid w:val="000015B6"/>
    <w:rsid w:val="00003CBA"/>
    <w:rsid w:val="000100BA"/>
    <w:rsid w:val="00010D78"/>
    <w:rsid w:val="0001212E"/>
    <w:rsid w:val="0001605B"/>
    <w:rsid w:val="0001634B"/>
    <w:rsid w:val="0002161B"/>
    <w:rsid w:val="00021901"/>
    <w:rsid w:val="0003356F"/>
    <w:rsid w:val="000347C1"/>
    <w:rsid w:val="00035555"/>
    <w:rsid w:val="00035B99"/>
    <w:rsid w:val="0003611D"/>
    <w:rsid w:val="0003620E"/>
    <w:rsid w:val="00036BD1"/>
    <w:rsid w:val="00037405"/>
    <w:rsid w:val="00042B21"/>
    <w:rsid w:val="000446D3"/>
    <w:rsid w:val="000454BF"/>
    <w:rsid w:val="00047EB5"/>
    <w:rsid w:val="000523F2"/>
    <w:rsid w:val="00053111"/>
    <w:rsid w:val="00060140"/>
    <w:rsid w:val="00060B39"/>
    <w:rsid w:val="00061A14"/>
    <w:rsid w:val="00072A63"/>
    <w:rsid w:val="0008116D"/>
    <w:rsid w:val="000855FD"/>
    <w:rsid w:val="00087122"/>
    <w:rsid w:val="0009615F"/>
    <w:rsid w:val="00097C3C"/>
    <w:rsid w:val="000A03A4"/>
    <w:rsid w:val="000A063C"/>
    <w:rsid w:val="000A0834"/>
    <w:rsid w:val="000A21DA"/>
    <w:rsid w:val="000A30BB"/>
    <w:rsid w:val="000A33B2"/>
    <w:rsid w:val="000A401F"/>
    <w:rsid w:val="000A7900"/>
    <w:rsid w:val="000B0E38"/>
    <w:rsid w:val="000B216A"/>
    <w:rsid w:val="000B6CE0"/>
    <w:rsid w:val="000C1225"/>
    <w:rsid w:val="000C466B"/>
    <w:rsid w:val="000C7C9D"/>
    <w:rsid w:val="000D25C5"/>
    <w:rsid w:val="000D4096"/>
    <w:rsid w:val="000D413D"/>
    <w:rsid w:val="000D682D"/>
    <w:rsid w:val="000E1ABF"/>
    <w:rsid w:val="000E1FA5"/>
    <w:rsid w:val="000E33A8"/>
    <w:rsid w:val="000E38C2"/>
    <w:rsid w:val="000E457A"/>
    <w:rsid w:val="000E5C1F"/>
    <w:rsid w:val="000F2225"/>
    <w:rsid w:val="000F2F73"/>
    <w:rsid w:val="000F5730"/>
    <w:rsid w:val="000F7714"/>
    <w:rsid w:val="001002A7"/>
    <w:rsid w:val="00101539"/>
    <w:rsid w:val="0010171C"/>
    <w:rsid w:val="00103400"/>
    <w:rsid w:val="00105085"/>
    <w:rsid w:val="001065AF"/>
    <w:rsid w:val="00114B52"/>
    <w:rsid w:val="00114D6F"/>
    <w:rsid w:val="00116CE5"/>
    <w:rsid w:val="001170D1"/>
    <w:rsid w:val="00121D32"/>
    <w:rsid w:val="0012635E"/>
    <w:rsid w:val="00127E76"/>
    <w:rsid w:val="001305E1"/>
    <w:rsid w:val="00131418"/>
    <w:rsid w:val="001335A1"/>
    <w:rsid w:val="001364D9"/>
    <w:rsid w:val="0013792F"/>
    <w:rsid w:val="00141A4B"/>
    <w:rsid w:val="001439C6"/>
    <w:rsid w:val="00143A58"/>
    <w:rsid w:val="001448DF"/>
    <w:rsid w:val="00145925"/>
    <w:rsid w:val="001476BD"/>
    <w:rsid w:val="00150BC6"/>
    <w:rsid w:val="00152C42"/>
    <w:rsid w:val="001563FF"/>
    <w:rsid w:val="00163F70"/>
    <w:rsid w:val="001642A1"/>
    <w:rsid w:val="00165E2A"/>
    <w:rsid w:val="00167E17"/>
    <w:rsid w:val="001710E4"/>
    <w:rsid w:val="001714EA"/>
    <w:rsid w:val="00172FC0"/>
    <w:rsid w:val="0017395A"/>
    <w:rsid w:val="00175566"/>
    <w:rsid w:val="00177C9B"/>
    <w:rsid w:val="001801D4"/>
    <w:rsid w:val="0018124A"/>
    <w:rsid w:val="001826CD"/>
    <w:rsid w:val="00191CA9"/>
    <w:rsid w:val="00191F98"/>
    <w:rsid w:val="00193030"/>
    <w:rsid w:val="001936BC"/>
    <w:rsid w:val="00194B53"/>
    <w:rsid w:val="001A1632"/>
    <w:rsid w:val="001A24F4"/>
    <w:rsid w:val="001A29BA"/>
    <w:rsid w:val="001A4A73"/>
    <w:rsid w:val="001B092D"/>
    <w:rsid w:val="001B0D7E"/>
    <w:rsid w:val="001B104F"/>
    <w:rsid w:val="001B4934"/>
    <w:rsid w:val="001B599A"/>
    <w:rsid w:val="001B71AA"/>
    <w:rsid w:val="001C0462"/>
    <w:rsid w:val="001C149E"/>
    <w:rsid w:val="001C3E08"/>
    <w:rsid w:val="001C4415"/>
    <w:rsid w:val="001C6FEC"/>
    <w:rsid w:val="001D75ED"/>
    <w:rsid w:val="001E4A60"/>
    <w:rsid w:val="001E5E23"/>
    <w:rsid w:val="001E70CD"/>
    <w:rsid w:val="001F1643"/>
    <w:rsid w:val="001F1B2F"/>
    <w:rsid w:val="001F27D7"/>
    <w:rsid w:val="001F332E"/>
    <w:rsid w:val="001F37AC"/>
    <w:rsid w:val="001F458A"/>
    <w:rsid w:val="001F57C9"/>
    <w:rsid w:val="001F5973"/>
    <w:rsid w:val="001F76DD"/>
    <w:rsid w:val="001F7F62"/>
    <w:rsid w:val="002029F5"/>
    <w:rsid w:val="00204750"/>
    <w:rsid w:val="00204BED"/>
    <w:rsid w:val="00205278"/>
    <w:rsid w:val="00207BC4"/>
    <w:rsid w:val="00211F62"/>
    <w:rsid w:val="00212F84"/>
    <w:rsid w:val="00214729"/>
    <w:rsid w:val="002160B0"/>
    <w:rsid w:val="00221703"/>
    <w:rsid w:val="002257CF"/>
    <w:rsid w:val="00226AE8"/>
    <w:rsid w:val="00234845"/>
    <w:rsid w:val="00234B46"/>
    <w:rsid w:val="0023600D"/>
    <w:rsid w:val="002404C4"/>
    <w:rsid w:val="00240881"/>
    <w:rsid w:val="00241C35"/>
    <w:rsid w:val="00241F69"/>
    <w:rsid w:val="00242EC8"/>
    <w:rsid w:val="00243B49"/>
    <w:rsid w:val="00244461"/>
    <w:rsid w:val="00244D04"/>
    <w:rsid w:val="00245FBD"/>
    <w:rsid w:val="0024634F"/>
    <w:rsid w:val="002506ED"/>
    <w:rsid w:val="002511EB"/>
    <w:rsid w:val="00251D1B"/>
    <w:rsid w:val="00252555"/>
    <w:rsid w:val="0025265E"/>
    <w:rsid w:val="00253698"/>
    <w:rsid w:val="0025452B"/>
    <w:rsid w:val="00254D6F"/>
    <w:rsid w:val="002617BB"/>
    <w:rsid w:val="0026289A"/>
    <w:rsid w:val="00262BC7"/>
    <w:rsid w:val="0026466A"/>
    <w:rsid w:val="00264AA1"/>
    <w:rsid w:val="002667BA"/>
    <w:rsid w:val="002667ED"/>
    <w:rsid w:val="00266A8B"/>
    <w:rsid w:val="002723AE"/>
    <w:rsid w:val="00272EAB"/>
    <w:rsid w:val="002768F6"/>
    <w:rsid w:val="00282563"/>
    <w:rsid w:val="0028630C"/>
    <w:rsid w:val="00290E05"/>
    <w:rsid w:val="00290F21"/>
    <w:rsid w:val="00291F84"/>
    <w:rsid w:val="00296694"/>
    <w:rsid w:val="00297E1D"/>
    <w:rsid w:val="002A192B"/>
    <w:rsid w:val="002A1A63"/>
    <w:rsid w:val="002A23AD"/>
    <w:rsid w:val="002A2F5A"/>
    <w:rsid w:val="002A3DD8"/>
    <w:rsid w:val="002A4252"/>
    <w:rsid w:val="002A44BE"/>
    <w:rsid w:val="002A5496"/>
    <w:rsid w:val="002A6BD5"/>
    <w:rsid w:val="002A7752"/>
    <w:rsid w:val="002B06A9"/>
    <w:rsid w:val="002B23EF"/>
    <w:rsid w:val="002B4A1D"/>
    <w:rsid w:val="002B4D23"/>
    <w:rsid w:val="002B4F4E"/>
    <w:rsid w:val="002C177C"/>
    <w:rsid w:val="002C23CB"/>
    <w:rsid w:val="002C5CA9"/>
    <w:rsid w:val="002C5FAF"/>
    <w:rsid w:val="002D62BE"/>
    <w:rsid w:val="002D631B"/>
    <w:rsid w:val="002D6424"/>
    <w:rsid w:val="002D6539"/>
    <w:rsid w:val="002D68ED"/>
    <w:rsid w:val="002E3F05"/>
    <w:rsid w:val="002E5644"/>
    <w:rsid w:val="002F28E0"/>
    <w:rsid w:val="002F2E89"/>
    <w:rsid w:val="002F4212"/>
    <w:rsid w:val="003023B2"/>
    <w:rsid w:val="003054B8"/>
    <w:rsid w:val="003078A0"/>
    <w:rsid w:val="003112E4"/>
    <w:rsid w:val="00311F53"/>
    <w:rsid w:val="00317C58"/>
    <w:rsid w:val="00321B31"/>
    <w:rsid w:val="00324B83"/>
    <w:rsid w:val="003255C3"/>
    <w:rsid w:val="00334A90"/>
    <w:rsid w:val="00334E40"/>
    <w:rsid w:val="00336089"/>
    <w:rsid w:val="00336F85"/>
    <w:rsid w:val="00337D5F"/>
    <w:rsid w:val="00340C6D"/>
    <w:rsid w:val="00342E49"/>
    <w:rsid w:val="00346B6F"/>
    <w:rsid w:val="00346F0D"/>
    <w:rsid w:val="00350C6A"/>
    <w:rsid w:val="00350CE0"/>
    <w:rsid w:val="00352B94"/>
    <w:rsid w:val="00353AB0"/>
    <w:rsid w:val="00357919"/>
    <w:rsid w:val="00362484"/>
    <w:rsid w:val="0036476C"/>
    <w:rsid w:val="00365867"/>
    <w:rsid w:val="0037261F"/>
    <w:rsid w:val="00374148"/>
    <w:rsid w:val="0037569E"/>
    <w:rsid w:val="00380399"/>
    <w:rsid w:val="00380CC3"/>
    <w:rsid w:val="003835A6"/>
    <w:rsid w:val="00387EA2"/>
    <w:rsid w:val="00390E39"/>
    <w:rsid w:val="0039248C"/>
    <w:rsid w:val="003932EE"/>
    <w:rsid w:val="00393419"/>
    <w:rsid w:val="003936B9"/>
    <w:rsid w:val="003959D2"/>
    <w:rsid w:val="0039607F"/>
    <w:rsid w:val="003A1FB4"/>
    <w:rsid w:val="003A2267"/>
    <w:rsid w:val="003B038F"/>
    <w:rsid w:val="003B10C6"/>
    <w:rsid w:val="003B3AD5"/>
    <w:rsid w:val="003B3C19"/>
    <w:rsid w:val="003B4E7E"/>
    <w:rsid w:val="003B6ECB"/>
    <w:rsid w:val="003C1B6E"/>
    <w:rsid w:val="003C381F"/>
    <w:rsid w:val="003C50BF"/>
    <w:rsid w:val="003D4D2A"/>
    <w:rsid w:val="003D74E7"/>
    <w:rsid w:val="003E0326"/>
    <w:rsid w:val="003E101F"/>
    <w:rsid w:val="003E1BBF"/>
    <w:rsid w:val="003E21D8"/>
    <w:rsid w:val="003E222C"/>
    <w:rsid w:val="003E31F8"/>
    <w:rsid w:val="003E5C8D"/>
    <w:rsid w:val="003F127B"/>
    <w:rsid w:val="003F2710"/>
    <w:rsid w:val="003F7920"/>
    <w:rsid w:val="004005FE"/>
    <w:rsid w:val="004016BB"/>
    <w:rsid w:val="004019D4"/>
    <w:rsid w:val="0040345E"/>
    <w:rsid w:val="00405F0F"/>
    <w:rsid w:val="004066AC"/>
    <w:rsid w:val="00406D7D"/>
    <w:rsid w:val="004102D0"/>
    <w:rsid w:val="004115B2"/>
    <w:rsid w:val="0041533E"/>
    <w:rsid w:val="0042151F"/>
    <w:rsid w:val="00421CC7"/>
    <w:rsid w:val="00422676"/>
    <w:rsid w:val="0042330C"/>
    <w:rsid w:val="00423876"/>
    <w:rsid w:val="0042442F"/>
    <w:rsid w:val="00424E50"/>
    <w:rsid w:val="00425FF3"/>
    <w:rsid w:val="00426675"/>
    <w:rsid w:val="00426798"/>
    <w:rsid w:val="00426F87"/>
    <w:rsid w:val="00427239"/>
    <w:rsid w:val="004324FD"/>
    <w:rsid w:val="00432DE1"/>
    <w:rsid w:val="0043341E"/>
    <w:rsid w:val="00433466"/>
    <w:rsid w:val="00442F1A"/>
    <w:rsid w:val="00446BF2"/>
    <w:rsid w:val="0045070D"/>
    <w:rsid w:val="00452E96"/>
    <w:rsid w:val="0045409A"/>
    <w:rsid w:val="00455BB9"/>
    <w:rsid w:val="00460580"/>
    <w:rsid w:val="00464E71"/>
    <w:rsid w:val="0046531B"/>
    <w:rsid w:val="00467AE4"/>
    <w:rsid w:val="00475644"/>
    <w:rsid w:val="0047787E"/>
    <w:rsid w:val="004824D8"/>
    <w:rsid w:val="00486701"/>
    <w:rsid w:val="0048671C"/>
    <w:rsid w:val="0048741E"/>
    <w:rsid w:val="00487DE3"/>
    <w:rsid w:val="00491284"/>
    <w:rsid w:val="004927D1"/>
    <w:rsid w:val="004A017B"/>
    <w:rsid w:val="004A2228"/>
    <w:rsid w:val="004A40E1"/>
    <w:rsid w:val="004A4570"/>
    <w:rsid w:val="004A56AC"/>
    <w:rsid w:val="004A6F06"/>
    <w:rsid w:val="004B22B5"/>
    <w:rsid w:val="004B4821"/>
    <w:rsid w:val="004B6E20"/>
    <w:rsid w:val="004B6F3A"/>
    <w:rsid w:val="004C070B"/>
    <w:rsid w:val="004D033B"/>
    <w:rsid w:val="004D2539"/>
    <w:rsid w:val="004D4322"/>
    <w:rsid w:val="004D465A"/>
    <w:rsid w:val="004D488A"/>
    <w:rsid w:val="004D7A9D"/>
    <w:rsid w:val="004E4B79"/>
    <w:rsid w:val="004E5455"/>
    <w:rsid w:val="004E605A"/>
    <w:rsid w:val="004E7227"/>
    <w:rsid w:val="004F0A44"/>
    <w:rsid w:val="004F215A"/>
    <w:rsid w:val="004F22F6"/>
    <w:rsid w:val="004F3FB9"/>
    <w:rsid w:val="004F76A1"/>
    <w:rsid w:val="00504582"/>
    <w:rsid w:val="00506DD4"/>
    <w:rsid w:val="00512FB2"/>
    <w:rsid w:val="0051320D"/>
    <w:rsid w:val="005132EC"/>
    <w:rsid w:val="00517F18"/>
    <w:rsid w:val="00520A3C"/>
    <w:rsid w:val="00525362"/>
    <w:rsid w:val="00525B8E"/>
    <w:rsid w:val="005271AD"/>
    <w:rsid w:val="00531567"/>
    <w:rsid w:val="00534E1E"/>
    <w:rsid w:val="00537187"/>
    <w:rsid w:val="005400BA"/>
    <w:rsid w:val="00542361"/>
    <w:rsid w:val="0054302E"/>
    <w:rsid w:val="0054378D"/>
    <w:rsid w:val="005441B9"/>
    <w:rsid w:val="00545B3E"/>
    <w:rsid w:val="005463D9"/>
    <w:rsid w:val="005511F1"/>
    <w:rsid w:val="00552278"/>
    <w:rsid w:val="005528B6"/>
    <w:rsid w:val="0055520C"/>
    <w:rsid w:val="00560D32"/>
    <w:rsid w:val="005631B8"/>
    <w:rsid w:val="00563EF8"/>
    <w:rsid w:val="005671BC"/>
    <w:rsid w:val="005717F4"/>
    <w:rsid w:val="00572E24"/>
    <w:rsid w:val="00575FA2"/>
    <w:rsid w:val="0057727D"/>
    <w:rsid w:val="00580897"/>
    <w:rsid w:val="00580EBF"/>
    <w:rsid w:val="005831CF"/>
    <w:rsid w:val="00591F70"/>
    <w:rsid w:val="00592185"/>
    <w:rsid w:val="005932DF"/>
    <w:rsid w:val="00595150"/>
    <w:rsid w:val="00595922"/>
    <w:rsid w:val="005A0FB1"/>
    <w:rsid w:val="005A5B16"/>
    <w:rsid w:val="005A5D20"/>
    <w:rsid w:val="005A7C1B"/>
    <w:rsid w:val="005B10FA"/>
    <w:rsid w:val="005B11A1"/>
    <w:rsid w:val="005B4F58"/>
    <w:rsid w:val="005B7E1A"/>
    <w:rsid w:val="005C258D"/>
    <w:rsid w:val="005C2979"/>
    <w:rsid w:val="005C3F3D"/>
    <w:rsid w:val="005C571B"/>
    <w:rsid w:val="005C7767"/>
    <w:rsid w:val="005C7A4F"/>
    <w:rsid w:val="005D1FAA"/>
    <w:rsid w:val="005D4151"/>
    <w:rsid w:val="005E1617"/>
    <w:rsid w:val="005E1FA2"/>
    <w:rsid w:val="005E263A"/>
    <w:rsid w:val="005E3E02"/>
    <w:rsid w:val="005E696E"/>
    <w:rsid w:val="005E74B7"/>
    <w:rsid w:val="005F3B17"/>
    <w:rsid w:val="005F547E"/>
    <w:rsid w:val="005F6821"/>
    <w:rsid w:val="005F6E1A"/>
    <w:rsid w:val="006004E2"/>
    <w:rsid w:val="00600C43"/>
    <w:rsid w:val="006144E7"/>
    <w:rsid w:val="00614699"/>
    <w:rsid w:val="00615DA3"/>
    <w:rsid w:val="00616C60"/>
    <w:rsid w:val="00616DAE"/>
    <w:rsid w:val="006219EE"/>
    <w:rsid w:val="00622F54"/>
    <w:rsid w:val="006256B4"/>
    <w:rsid w:val="006268A3"/>
    <w:rsid w:val="006269C3"/>
    <w:rsid w:val="006306BF"/>
    <w:rsid w:val="0063116A"/>
    <w:rsid w:val="0063254B"/>
    <w:rsid w:val="00632844"/>
    <w:rsid w:val="006334F5"/>
    <w:rsid w:val="0063679E"/>
    <w:rsid w:val="0063766F"/>
    <w:rsid w:val="00640A4E"/>
    <w:rsid w:val="006413E6"/>
    <w:rsid w:val="006429EF"/>
    <w:rsid w:val="00650518"/>
    <w:rsid w:val="00651F3A"/>
    <w:rsid w:val="006630E5"/>
    <w:rsid w:val="00664993"/>
    <w:rsid w:val="00665DDB"/>
    <w:rsid w:val="00666E0D"/>
    <w:rsid w:val="0067017D"/>
    <w:rsid w:val="00670F2C"/>
    <w:rsid w:val="00676709"/>
    <w:rsid w:val="00680968"/>
    <w:rsid w:val="00682A71"/>
    <w:rsid w:val="00685A30"/>
    <w:rsid w:val="006861E2"/>
    <w:rsid w:val="006942C4"/>
    <w:rsid w:val="006A3523"/>
    <w:rsid w:val="006A58E0"/>
    <w:rsid w:val="006A6C0C"/>
    <w:rsid w:val="006B4B4E"/>
    <w:rsid w:val="006B5529"/>
    <w:rsid w:val="006C4A8F"/>
    <w:rsid w:val="006C5AA6"/>
    <w:rsid w:val="006C7633"/>
    <w:rsid w:val="006D2CD6"/>
    <w:rsid w:val="006D2DF8"/>
    <w:rsid w:val="006D69C4"/>
    <w:rsid w:val="006E0932"/>
    <w:rsid w:val="006E1781"/>
    <w:rsid w:val="006E3A6A"/>
    <w:rsid w:val="006E416A"/>
    <w:rsid w:val="006E5414"/>
    <w:rsid w:val="006E6156"/>
    <w:rsid w:val="006E741D"/>
    <w:rsid w:val="006E7CC3"/>
    <w:rsid w:val="006E7FD1"/>
    <w:rsid w:val="006F1899"/>
    <w:rsid w:val="006F1A6D"/>
    <w:rsid w:val="006F202E"/>
    <w:rsid w:val="006F3B04"/>
    <w:rsid w:val="006F636B"/>
    <w:rsid w:val="006F73CC"/>
    <w:rsid w:val="006F7FC8"/>
    <w:rsid w:val="007009F9"/>
    <w:rsid w:val="00700C57"/>
    <w:rsid w:val="0070294E"/>
    <w:rsid w:val="00710E8B"/>
    <w:rsid w:val="00711DBC"/>
    <w:rsid w:val="0071224C"/>
    <w:rsid w:val="0071392B"/>
    <w:rsid w:val="00716381"/>
    <w:rsid w:val="00717966"/>
    <w:rsid w:val="00724953"/>
    <w:rsid w:val="00724998"/>
    <w:rsid w:val="00727681"/>
    <w:rsid w:val="00731F00"/>
    <w:rsid w:val="00732616"/>
    <w:rsid w:val="00732764"/>
    <w:rsid w:val="00735BE0"/>
    <w:rsid w:val="00736325"/>
    <w:rsid w:val="007364BD"/>
    <w:rsid w:val="007418AB"/>
    <w:rsid w:val="00743AB2"/>
    <w:rsid w:val="00743CD0"/>
    <w:rsid w:val="007464AD"/>
    <w:rsid w:val="007505FE"/>
    <w:rsid w:val="00753E0D"/>
    <w:rsid w:val="00753FDD"/>
    <w:rsid w:val="00755A54"/>
    <w:rsid w:val="00762239"/>
    <w:rsid w:val="00762B23"/>
    <w:rsid w:val="0076366F"/>
    <w:rsid w:val="00767B87"/>
    <w:rsid w:val="00772636"/>
    <w:rsid w:val="00777C18"/>
    <w:rsid w:val="007805CD"/>
    <w:rsid w:val="0078068B"/>
    <w:rsid w:val="00780B16"/>
    <w:rsid w:val="0078318A"/>
    <w:rsid w:val="00785AB9"/>
    <w:rsid w:val="00785CE8"/>
    <w:rsid w:val="0079131E"/>
    <w:rsid w:val="00791AA4"/>
    <w:rsid w:val="00793134"/>
    <w:rsid w:val="0079370B"/>
    <w:rsid w:val="00794A43"/>
    <w:rsid w:val="00794D8B"/>
    <w:rsid w:val="0079562F"/>
    <w:rsid w:val="00795926"/>
    <w:rsid w:val="007A0A44"/>
    <w:rsid w:val="007A2100"/>
    <w:rsid w:val="007A4A45"/>
    <w:rsid w:val="007A6290"/>
    <w:rsid w:val="007A6330"/>
    <w:rsid w:val="007A6FF5"/>
    <w:rsid w:val="007A71C4"/>
    <w:rsid w:val="007A7383"/>
    <w:rsid w:val="007B1B40"/>
    <w:rsid w:val="007B2E91"/>
    <w:rsid w:val="007B47FB"/>
    <w:rsid w:val="007C1648"/>
    <w:rsid w:val="007C288F"/>
    <w:rsid w:val="007C30F2"/>
    <w:rsid w:val="007D1B42"/>
    <w:rsid w:val="007D20F6"/>
    <w:rsid w:val="007D4862"/>
    <w:rsid w:val="007D5D5B"/>
    <w:rsid w:val="007D5F75"/>
    <w:rsid w:val="007D6B10"/>
    <w:rsid w:val="007E08A3"/>
    <w:rsid w:val="007E7DF1"/>
    <w:rsid w:val="007F139B"/>
    <w:rsid w:val="007F29FE"/>
    <w:rsid w:val="007F3D16"/>
    <w:rsid w:val="007F45A9"/>
    <w:rsid w:val="00800066"/>
    <w:rsid w:val="00803329"/>
    <w:rsid w:val="008064C3"/>
    <w:rsid w:val="00807EAE"/>
    <w:rsid w:val="00810A3F"/>
    <w:rsid w:val="00811E14"/>
    <w:rsid w:val="008120D8"/>
    <w:rsid w:val="008134C2"/>
    <w:rsid w:val="0081445F"/>
    <w:rsid w:val="00815249"/>
    <w:rsid w:val="00815E69"/>
    <w:rsid w:val="00815F42"/>
    <w:rsid w:val="008203B9"/>
    <w:rsid w:val="00820A00"/>
    <w:rsid w:val="008227A7"/>
    <w:rsid w:val="0083044B"/>
    <w:rsid w:val="008313A9"/>
    <w:rsid w:val="00831AFC"/>
    <w:rsid w:val="00831D1B"/>
    <w:rsid w:val="00833C42"/>
    <w:rsid w:val="00837302"/>
    <w:rsid w:val="00843914"/>
    <w:rsid w:val="00844A0C"/>
    <w:rsid w:val="00845B97"/>
    <w:rsid w:val="0085122E"/>
    <w:rsid w:val="00851B24"/>
    <w:rsid w:val="00857775"/>
    <w:rsid w:val="00861E1D"/>
    <w:rsid w:val="0086609D"/>
    <w:rsid w:val="00870608"/>
    <w:rsid w:val="008709FF"/>
    <w:rsid w:val="008716D8"/>
    <w:rsid w:val="0087500F"/>
    <w:rsid w:val="00875923"/>
    <w:rsid w:val="00875B30"/>
    <w:rsid w:val="008766B1"/>
    <w:rsid w:val="008814A0"/>
    <w:rsid w:val="0088190D"/>
    <w:rsid w:val="0088662B"/>
    <w:rsid w:val="00890FD7"/>
    <w:rsid w:val="00893647"/>
    <w:rsid w:val="008B0841"/>
    <w:rsid w:val="008B305D"/>
    <w:rsid w:val="008B5FA3"/>
    <w:rsid w:val="008B5FDB"/>
    <w:rsid w:val="008B6308"/>
    <w:rsid w:val="008C2F61"/>
    <w:rsid w:val="008C5ACC"/>
    <w:rsid w:val="008C5D03"/>
    <w:rsid w:val="008D2829"/>
    <w:rsid w:val="008D3DE1"/>
    <w:rsid w:val="008D557C"/>
    <w:rsid w:val="008D5B1F"/>
    <w:rsid w:val="008D6BC4"/>
    <w:rsid w:val="008D7257"/>
    <w:rsid w:val="008E0CE6"/>
    <w:rsid w:val="008E0CF4"/>
    <w:rsid w:val="008E5108"/>
    <w:rsid w:val="008E5567"/>
    <w:rsid w:val="008E68D2"/>
    <w:rsid w:val="008E7015"/>
    <w:rsid w:val="008E7777"/>
    <w:rsid w:val="008F15CD"/>
    <w:rsid w:val="008F246A"/>
    <w:rsid w:val="008F6C55"/>
    <w:rsid w:val="0090380F"/>
    <w:rsid w:val="009050BE"/>
    <w:rsid w:val="009062BF"/>
    <w:rsid w:val="009079AF"/>
    <w:rsid w:val="00911071"/>
    <w:rsid w:val="00916404"/>
    <w:rsid w:val="00916B9F"/>
    <w:rsid w:val="009202FD"/>
    <w:rsid w:val="00921102"/>
    <w:rsid w:val="009214B3"/>
    <w:rsid w:val="0092264F"/>
    <w:rsid w:val="009234CE"/>
    <w:rsid w:val="009246D2"/>
    <w:rsid w:val="00925384"/>
    <w:rsid w:val="00931A3C"/>
    <w:rsid w:val="0093468B"/>
    <w:rsid w:val="00935D33"/>
    <w:rsid w:val="009408A3"/>
    <w:rsid w:val="009421D0"/>
    <w:rsid w:val="009448B0"/>
    <w:rsid w:val="00945121"/>
    <w:rsid w:val="00945199"/>
    <w:rsid w:val="00945849"/>
    <w:rsid w:val="00946EC7"/>
    <w:rsid w:val="009544E9"/>
    <w:rsid w:val="00955BCE"/>
    <w:rsid w:val="009603A2"/>
    <w:rsid w:val="00961DA1"/>
    <w:rsid w:val="00962301"/>
    <w:rsid w:val="00964827"/>
    <w:rsid w:val="00970CA2"/>
    <w:rsid w:val="00970EDF"/>
    <w:rsid w:val="00972F05"/>
    <w:rsid w:val="00973946"/>
    <w:rsid w:val="00975F1B"/>
    <w:rsid w:val="0097705F"/>
    <w:rsid w:val="009773EE"/>
    <w:rsid w:val="009813C5"/>
    <w:rsid w:val="009907CD"/>
    <w:rsid w:val="0099092D"/>
    <w:rsid w:val="009927A8"/>
    <w:rsid w:val="00992E03"/>
    <w:rsid w:val="00993EF1"/>
    <w:rsid w:val="00995BAC"/>
    <w:rsid w:val="009A229C"/>
    <w:rsid w:val="009A7FCE"/>
    <w:rsid w:val="009B06DD"/>
    <w:rsid w:val="009B3142"/>
    <w:rsid w:val="009B68EF"/>
    <w:rsid w:val="009B72F4"/>
    <w:rsid w:val="009C0D0F"/>
    <w:rsid w:val="009C2A17"/>
    <w:rsid w:val="009C643F"/>
    <w:rsid w:val="009C7B71"/>
    <w:rsid w:val="009D109B"/>
    <w:rsid w:val="009D30BC"/>
    <w:rsid w:val="009E15E2"/>
    <w:rsid w:val="009E23BF"/>
    <w:rsid w:val="009E24E3"/>
    <w:rsid w:val="009E2BF3"/>
    <w:rsid w:val="009E2D9A"/>
    <w:rsid w:val="009E478A"/>
    <w:rsid w:val="009E6E2B"/>
    <w:rsid w:val="009E7F8F"/>
    <w:rsid w:val="009F18D7"/>
    <w:rsid w:val="009F1E2B"/>
    <w:rsid w:val="009F5005"/>
    <w:rsid w:val="009F5F96"/>
    <w:rsid w:val="009F74D0"/>
    <w:rsid w:val="00A00CBF"/>
    <w:rsid w:val="00A06BFF"/>
    <w:rsid w:val="00A129AE"/>
    <w:rsid w:val="00A12B84"/>
    <w:rsid w:val="00A13112"/>
    <w:rsid w:val="00A17FF7"/>
    <w:rsid w:val="00A20D09"/>
    <w:rsid w:val="00A21A0F"/>
    <w:rsid w:val="00A253E7"/>
    <w:rsid w:val="00A26653"/>
    <w:rsid w:val="00A2764E"/>
    <w:rsid w:val="00A37C7C"/>
    <w:rsid w:val="00A40505"/>
    <w:rsid w:val="00A409CF"/>
    <w:rsid w:val="00A42C03"/>
    <w:rsid w:val="00A45E77"/>
    <w:rsid w:val="00A47417"/>
    <w:rsid w:val="00A50E58"/>
    <w:rsid w:val="00A52FC3"/>
    <w:rsid w:val="00A539FF"/>
    <w:rsid w:val="00A56E84"/>
    <w:rsid w:val="00A60F48"/>
    <w:rsid w:val="00A641A8"/>
    <w:rsid w:val="00A64DFD"/>
    <w:rsid w:val="00A709E8"/>
    <w:rsid w:val="00A83DF2"/>
    <w:rsid w:val="00A8420B"/>
    <w:rsid w:val="00A8502B"/>
    <w:rsid w:val="00A86226"/>
    <w:rsid w:val="00A86D9C"/>
    <w:rsid w:val="00A920FB"/>
    <w:rsid w:val="00A9462E"/>
    <w:rsid w:val="00A968C4"/>
    <w:rsid w:val="00A96F68"/>
    <w:rsid w:val="00A97C36"/>
    <w:rsid w:val="00AA6478"/>
    <w:rsid w:val="00AB1071"/>
    <w:rsid w:val="00AB4EFD"/>
    <w:rsid w:val="00AB6E49"/>
    <w:rsid w:val="00AB7298"/>
    <w:rsid w:val="00AB76F5"/>
    <w:rsid w:val="00AC0E55"/>
    <w:rsid w:val="00AC1EBB"/>
    <w:rsid w:val="00AC29C3"/>
    <w:rsid w:val="00AC3DA6"/>
    <w:rsid w:val="00AD1CD7"/>
    <w:rsid w:val="00AD271C"/>
    <w:rsid w:val="00AD28E3"/>
    <w:rsid w:val="00AD4D8B"/>
    <w:rsid w:val="00AE57A4"/>
    <w:rsid w:val="00AE77AE"/>
    <w:rsid w:val="00AF291D"/>
    <w:rsid w:val="00AF51A0"/>
    <w:rsid w:val="00AF5D67"/>
    <w:rsid w:val="00B00765"/>
    <w:rsid w:val="00B0211B"/>
    <w:rsid w:val="00B0252F"/>
    <w:rsid w:val="00B02858"/>
    <w:rsid w:val="00B10539"/>
    <w:rsid w:val="00B10F2E"/>
    <w:rsid w:val="00B11D20"/>
    <w:rsid w:val="00B11D74"/>
    <w:rsid w:val="00B14DCE"/>
    <w:rsid w:val="00B15276"/>
    <w:rsid w:val="00B17303"/>
    <w:rsid w:val="00B21DA8"/>
    <w:rsid w:val="00B2287D"/>
    <w:rsid w:val="00B26A2D"/>
    <w:rsid w:val="00B348B0"/>
    <w:rsid w:val="00B36EC1"/>
    <w:rsid w:val="00B435C2"/>
    <w:rsid w:val="00B46027"/>
    <w:rsid w:val="00B46448"/>
    <w:rsid w:val="00B46917"/>
    <w:rsid w:val="00B50803"/>
    <w:rsid w:val="00B51F4D"/>
    <w:rsid w:val="00B57CEE"/>
    <w:rsid w:val="00B622BC"/>
    <w:rsid w:val="00B62425"/>
    <w:rsid w:val="00B658B6"/>
    <w:rsid w:val="00B67B8C"/>
    <w:rsid w:val="00B75D52"/>
    <w:rsid w:val="00B7734D"/>
    <w:rsid w:val="00B80672"/>
    <w:rsid w:val="00B8086C"/>
    <w:rsid w:val="00B809D3"/>
    <w:rsid w:val="00B80A40"/>
    <w:rsid w:val="00B84353"/>
    <w:rsid w:val="00B87097"/>
    <w:rsid w:val="00B87662"/>
    <w:rsid w:val="00B90B28"/>
    <w:rsid w:val="00B92053"/>
    <w:rsid w:val="00BA5D3E"/>
    <w:rsid w:val="00BA60B3"/>
    <w:rsid w:val="00BB4305"/>
    <w:rsid w:val="00BB4CC8"/>
    <w:rsid w:val="00BB5F43"/>
    <w:rsid w:val="00BC097C"/>
    <w:rsid w:val="00BC100C"/>
    <w:rsid w:val="00BC4F13"/>
    <w:rsid w:val="00BD0BD6"/>
    <w:rsid w:val="00BD2EF8"/>
    <w:rsid w:val="00BD2F73"/>
    <w:rsid w:val="00BD325B"/>
    <w:rsid w:val="00BD4D56"/>
    <w:rsid w:val="00BD762D"/>
    <w:rsid w:val="00BF00CF"/>
    <w:rsid w:val="00BF07B1"/>
    <w:rsid w:val="00BF0DC4"/>
    <w:rsid w:val="00BF1E18"/>
    <w:rsid w:val="00BF336E"/>
    <w:rsid w:val="00BF3F02"/>
    <w:rsid w:val="00BF4B52"/>
    <w:rsid w:val="00BF5E12"/>
    <w:rsid w:val="00C02565"/>
    <w:rsid w:val="00C02A35"/>
    <w:rsid w:val="00C05DB6"/>
    <w:rsid w:val="00C06000"/>
    <w:rsid w:val="00C06CDF"/>
    <w:rsid w:val="00C07D18"/>
    <w:rsid w:val="00C103A9"/>
    <w:rsid w:val="00C10553"/>
    <w:rsid w:val="00C1495B"/>
    <w:rsid w:val="00C14970"/>
    <w:rsid w:val="00C173E2"/>
    <w:rsid w:val="00C20C17"/>
    <w:rsid w:val="00C210C3"/>
    <w:rsid w:val="00C23E02"/>
    <w:rsid w:val="00C26855"/>
    <w:rsid w:val="00C26ED7"/>
    <w:rsid w:val="00C318D7"/>
    <w:rsid w:val="00C343BF"/>
    <w:rsid w:val="00C34DBC"/>
    <w:rsid w:val="00C3754A"/>
    <w:rsid w:val="00C443AF"/>
    <w:rsid w:val="00C46901"/>
    <w:rsid w:val="00C472C0"/>
    <w:rsid w:val="00C51144"/>
    <w:rsid w:val="00C5334E"/>
    <w:rsid w:val="00C54C7F"/>
    <w:rsid w:val="00C55365"/>
    <w:rsid w:val="00C56B06"/>
    <w:rsid w:val="00C610C8"/>
    <w:rsid w:val="00C63FB9"/>
    <w:rsid w:val="00C65E58"/>
    <w:rsid w:val="00C724D2"/>
    <w:rsid w:val="00C72BFA"/>
    <w:rsid w:val="00C72BFD"/>
    <w:rsid w:val="00C72F53"/>
    <w:rsid w:val="00C7690C"/>
    <w:rsid w:val="00C7692E"/>
    <w:rsid w:val="00C76C3D"/>
    <w:rsid w:val="00C77D60"/>
    <w:rsid w:val="00C80CEE"/>
    <w:rsid w:val="00C86395"/>
    <w:rsid w:val="00C87AA9"/>
    <w:rsid w:val="00C92D07"/>
    <w:rsid w:val="00C9358F"/>
    <w:rsid w:val="00C9499A"/>
    <w:rsid w:val="00C96187"/>
    <w:rsid w:val="00C96700"/>
    <w:rsid w:val="00CA0D0B"/>
    <w:rsid w:val="00CA4014"/>
    <w:rsid w:val="00CA425B"/>
    <w:rsid w:val="00CA4B10"/>
    <w:rsid w:val="00CB05B1"/>
    <w:rsid w:val="00CB0853"/>
    <w:rsid w:val="00CB0F26"/>
    <w:rsid w:val="00CB3AE2"/>
    <w:rsid w:val="00CB3FBB"/>
    <w:rsid w:val="00CB5906"/>
    <w:rsid w:val="00CB65F1"/>
    <w:rsid w:val="00CC2799"/>
    <w:rsid w:val="00CC2CF7"/>
    <w:rsid w:val="00CC59ED"/>
    <w:rsid w:val="00CD00F0"/>
    <w:rsid w:val="00CD14BB"/>
    <w:rsid w:val="00CD2A1C"/>
    <w:rsid w:val="00CD2EFD"/>
    <w:rsid w:val="00CD4BC4"/>
    <w:rsid w:val="00CD72FE"/>
    <w:rsid w:val="00CD75D2"/>
    <w:rsid w:val="00CD77BC"/>
    <w:rsid w:val="00CE017D"/>
    <w:rsid w:val="00CE1B9F"/>
    <w:rsid w:val="00CE6F80"/>
    <w:rsid w:val="00CF18AB"/>
    <w:rsid w:val="00D00632"/>
    <w:rsid w:val="00D01F37"/>
    <w:rsid w:val="00D02758"/>
    <w:rsid w:val="00D03A26"/>
    <w:rsid w:val="00D05D59"/>
    <w:rsid w:val="00D17D39"/>
    <w:rsid w:val="00D17D8F"/>
    <w:rsid w:val="00D17E8A"/>
    <w:rsid w:val="00D22031"/>
    <w:rsid w:val="00D303D6"/>
    <w:rsid w:val="00D32687"/>
    <w:rsid w:val="00D32D6E"/>
    <w:rsid w:val="00D3314A"/>
    <w:rsid w:val="00D362A2"/>
    <w:rsid w:val="00D37B27"/>
    <w:rsid w:val="00D424D2"/>
    <w:rsid w:val="00D51791"/>
    <w:rsid w:val="00D5468E"/>
    <w:rsid w:val="00D55F42"/>
    <w:rsid w:val="00D61701"/>
    <w:rsid w:val="00D63A7D"/>
    <w:rsid w:val="00D641AC"/>
    <w:rsid w:val="00D64BC8"/>
    <w:rsid w:val="00D65268"/>
    <w:rsid w:val="00D70C1C"/>
    <w:rsid w:val="00D710A9"/>
    <w:rsid w:val="00D715E9"/>
    <w:rsid w:val="00D73A55"/>
    <w:rsid w:val="00D74667"/>
    <w:rsid w:val="00D75A2B"/>
    <w:rsid w:val="00D83DF6"/>
    <w:rsid w:val="00D8474E"/>
    <w:rsid w:val="00D86029"/>
    <w:rsid w:val="00D86814"/>
    <w:rsid w:val="00D8701B"/>
    <w:rsid w:val="00D906DD"/>
    <w:rsid w:val="00D93AE3"/>
    <w:rsid w:val="00D94FA0"/>
    <w:rsid w:val="00DA1A84"/>
    <w:rsid w:val="00DA2EAA"/>
    <w:rsid w:val="00DA6A86"/>
    <w:rsid w:val="00DB2F91"/>
    <w:rsid w:val="00DB406B"/>
    <w:rsid w:val="00DB531C"/>
    <w:rsid w:val="00DB53BA"/>
    <w:rsid w:val="00DC32EB"/>
    <w:rsid w:val="00DC42B7"/>
    <w:rsid w:val="00DC4589"/>
    <w:rsid w:val="00DC4734"/>
    <w:rsid w:val="00DC4E25"/>
    <w:rsid w:val="00DC6C1E"/>
    <w:rsid w:val="00DD4383"/>
    <w:rsid w:val="00DD78FE"/>
    <w:rsid w:val="00DE04BB"/>
    <w:rsid w:val="00DE2FDB"/>
    <w:rsid w:val="00DE3506"/>
    <w:rsid w:val="00DE37D6"/>
    <w:rsid w:val="00DE746A"/>
    <w:rsid w:val="00DE7E96"/>
    <w:rsid w:val="00DF349B"/>
    <w:rsid w:val="00DF42A7"/>
    <w:rsid w:val="00DF44C2"/>
    <w:rsid w:val="00DF4A3F"/>
    <w:rsid w:val="00DF54E7"/>
    <w:rsid w:val="00DF5C9D"/>
    <w:rsid w:val="00DF614F"/>
    <w:rsid w:val="00DF6B95"/>
    <w:rsid w:val="00DF7A2E"/>
    <w:rsid w:val="00E02404"/>
    <w:rsid w:val="00E046A3"/>
    <w:rsid w:val="00E06885"/>
    <w:rsid w:val="00E07FAA"/>
    <w:rsid w:val="00E128DB"/>
    <w:rsid w:val="00E12E0B"/>
    <w:rsid w:val="00E14E68"/>
    <w:rsid w:val="00E16926"/>
    <w:rsid w:val="00E21239"/>
    <w:rsid w:val="00E228C8"/>
    <w:rsid w:val="00E363C5"/>
    <w:rsid w:val="00E36DE8"/>
    <w:rsid w:val="00E40153"/>
    <w:rsid w:val="00E41DF4"/>
    <w:rsid w:val="00E44A3B"/>
    <w:rsid w:val="00E450FF"/>
    <w:rsid w:val="00E47A93"/>
    <w:rsid w:val="00E507CC"/>
    <w:rsid w:val="00E51DCC"/>
    <w:rsid w:val="00E538AE"/>
    <w:rsid w:val="00E575D4"/>
    <w:rsid w:val="00E602CC"/>
    <w:rsid w:val="00E60BCF"/>
    <w:rsid w:val="00E63199"/>
    <w:rsid w:val="00E631BB"/>
    <w:rsid w:val="00E6600C"/>
    <w:rsid w:val="00E6642E"/>
    <w:rsid w:val="00E66FC2"/>
    <w:rsid w:val="00E67137"/>
    <w:rsid w:val="00E701AC"/>
    <w:rsid w:val="00E71B6C"/>
    <w:rsid w:val="00E71F47"/>
    <w:rsid w:val="00E7552C"/>
    <w:rsid w:val="00E75EDC"/>
    <w:rsid w:val="00E76F19"/>
    <w:rsid w:val="00E7729C"/>
    <w:rsid w:val="00E77DF7"/>
    <w:rsid w:val="00E802FE"/>
    <w:rsid w:val="00E823D3"/>
    <w:rsid w:val="00E828F0"/>
    <w:rsid w:val="00E82DB5"/>
    <w:rsid w:val="00E8450A"/>
    <w:rsid w:val="00E857F1"/>
    <w:rsid w:val="00E919C6"/>
    <w:rsid w:val="00E919F1"/>
    <w:rsid w:val="00E92006"/>
    <w:rsid w:val="00E93DBE"/>
    <w:rsid w:val="00E95156"/>
    <w:rsid w:val="00E9584F"/>
    <w:rsid w:val="00EA00F5"/>
    <w:rsid w:val="00EA2FA7"/>
    <w:rsid w:val="00EA389B"/>
    <w:rsid w:val="00EB1B1D"/>
    <w:rsid w:val="00EB3D84"/>
    <w:rsid w:val="00EB4F12"/>
    <w:rsid w:val="00EB5BC7"/>
    <w:rsid w:val="00EB6CB3"/>
    <w:rsid w:val="00EB7F81"/>
    <w:rsid w:val="00EC0B90"/>
    <w:rsid w:val="00EC103C"/>
    <w:rsid w:val="00EC79B0"/>
    <w:rsid w:val="00ED1C3A"/>
    <w:rsid w:val="00ED2D18"/>
    <w:rsid w:val="00ED4D5F"/>
    <w:rsid w:val="00ED67B7"/>
    <w:rsid w:val="00EE1079"/>
    <w:rsid w:val="00EE1D6B"/>
    <w:rsid w:val="00EE642E"/>
    <w:rsid w:val="00EE677E"/>
    <w:rsid w:val="00EE77E0"/>
    <w:rsid w:val="00EF0BD7"/>
    <w:rsid w:val="00EF4622"/>
    <w:rsid w:val="00EF65C0"/>
    <w:rsid w:val="00EF778F"/>
    <w:rsid w:val="00EF78B8"/>
    <w:rsid w:val="00EF7999"/>
    <w:rsid w:val="00F006DA"/>
    <w:rsid w:val="00F01ED3"/>
    <w:rsid w:val="00F020DF"/>
    <w:rsid w:val="00F03BFD"/>
    <w:rsid w:val="00F043BC"/>
    <w:rsid w:val="00F118D3"/>
    <w:rsid w:val="00F1242C"/>
    <w:rsid w:val="00F128C3"/>
    <w:rsid w:val="00F16512"/>
    <w:rsid w:val="00F1711D"/>
    <w:rsid w:val="00F200BC"/>
    <w:rsid w:val="00F223F4"/>
    <w:rsid w:val="00F23EAF"/>
    <w:rsid w:val="00F25C3E"/>
    <w:rsid w:val="00F269BB"/>
    <w:rsid w:val="00F317F9"/>
    <w:rsid w:val="00F33A4A"/>
    <w:rsid w:val="00F353AE"/>
    <w:rsid w:val="00F36D46"/>
    <w:rsid w:val="00F42BF1"/>
    <w:rsid w:val="00F43DC9"/>
    <w:rsid w:val="00F441EF"/>
    <w:rsid w:val="00F443E2"/>
    <w:rsid w:val="00F5120E"/>
    <w:rsid w:val="00F52595"/>
    <w:rsid w:val="00F530EE"/>
    <w:rsid w:val="00F531CE"/>
    <w:rsid w:val="00F5415C"/>
    <w:rsid w:val="00F54B30"/>
    <w:rsid w:val="00F57324"/>
    <w:rsid w:val="00F62251"/>
    <w:rsid w:val="00F64A4F"/>
    <w:rsid w:val="00F67027"/>
    <w:rsid w:val="00F71933"/>
    <w:rsid w:val="00F74994"/>
    <w:rsid w:val="00F74DE7"/>
    <w:rsid w:val="00F7795B"/>
    <w:rsid w:val="00F803D9"/>
    <w:rsid w:val="00F823B0"/>
    <w:rsid w:val="00F82D1B"/>
    <w:rsid w:val="00F85483"/>
    <w:rsid w:val="00F950E6"/>
    <w:rsid w:val="00F960F5"/>
    <w:rsid w:val="00F97939"/>
    <w:rsid w:val="00FA0ED7"/>
    <w:rsid w:val="00FA3210"/>
    <w:rsid w:val="00FA5450"/>
    <w:rsid w:val="00FA62A2"/>
    <w:rsid w:val="00FA7412"/>
    <w:rsid w:val="00FB0F59"/>
    <w:rsid w:val="00FB3BF9"/>
    <w:rsid w:val="00FB55B6"/>
    <w:rsid w:val="00FB56B2"/>
    <w:rsid w:val="00FB5B7E"/>
    <w:rsid w:val="00FB61C0"/>
    <w:rsid w:val="00FB709E"/>
    <w:rsid w:val="00FB7C16"/>
    <w:rsid w:val="00FC36F6"/>
    <w:rsid w:val="00FC57AE"/>
    <w:rsid w:val="00FC6C27"/>
    <w:rsid w:val="00FD21D5"/>
    <w:rsid w:val="00FD7E78"/>
    <w:rsid w:val="00FE3585"/>
    <w:rsid w:val="00FF09DA"/>
    <w:rsid w:val="00FF16A1"/>
    <w:rsid w:val="00FF330A"/>
    <w:rsid w:val="00FF3CAD"/>
    <w:rsid w:val="00FF483D"/>
    <w:rsid w:val="00FF49A5"/>
    <w:rsid w:val="00FF69FD"/>
    <w:rsid w:val="00FF6B2B"/>
    <w:rsid w:val="00FF6CAF"/>
    <w:rsid w:val="00FF7398"/>
    <w:rsid w:val="00FF76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79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47C1"/>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7B87"/>
    <w:rPr>
      <w:color w:val="0000FF"/>
      <w:u w:val="single"/>
    </w:rPr>
  </w:style>
  <w:style w:type="character" w:customStyle="1" w:styleId="SYSHYPERTEXT">
    <w:name w:val="SYS_HYPERTEXT"/>
    <w:basedOn w:val="DefaultParagraphFont"/>
    <w:rsid w:val="000347C1"/>
    <w:rPr>
      <w:color w:val="0000FF"/>
      <w:u w:val="single"/>
    </w:rPr>
  </w:style>
  <w:style w:type="character" w:styleId="FollowedHyperlink">
    <w:name w:val="FollowedHyperlink"/>
    <w:basedOn w:val="DefaultParagraphFont"/>
    <w:uiPriority w:val="99"/>
    <w:semiHidden/>
    <w:unhideWhenUsed/>
    <w:rsid w:val="008709FF"/>
    <w:rPr>
      <w:color w:val="800080"/>
      <w:u w:val="single"/>
    </w:rPr>
  </w:style>
  <w:style w:type="paragraph" w:styleId="Header">
    <w:name w:val="header"/>
    <w:basedOn w:val="Normal"/>
    <w:link w:val="HeaderChar"/>
    <w:uiPriority w:val="99"/>
    <w:unhideWhenUsed/>
    <w:rsid w:val="00FA62A2"/>
    <w:pPr>
      <w:tabs>
        <w:tab w:val="center" w:pos="4680"/>
        <w:tab w:val="right" w:pos="9360"/>
      </w:tabs>
    </w:pPr>
  </w:style>
  <w:style w:type="character" w:customStyle="1" w:styleId="HeaderChar">
    <w:name w:val="Header Char"/>
    <w:basedOn w:val="DefaultParagraphFont"/>
    <w:link w:val="Header"/>
    <w:uiPriority w:val="99"/>
    <w:rsid w:val="00FA62A2"/>
    <w:rPr>
      <w:sz w:val="24"/>
    </w:rPr>
  </w:style>
  <w:style w:type="paragraph" w:styleId="Footer">
    <w:name w:val="footer"/>
    <w:basedOn w:val="Normal"/>
    <w:link w:val="FooterChar"/>
    <w:uiPriority w:val="99"/>
    <w:unhideWhenUsed/>
    <w:rsid w:val="00FA62A2"/>
    <w:pPr>
      <w:tabs>
        <w:tab w:val="center" w:pos="4680"/>
        <w:tab w:val="right" w:pos="9360"/>
      </w:tabs>
    </w:pPr>
  </w:style>
  <w:style w:type="character" w:customStyle="1" w:styleId="FooterChar">
    <w:name w:val="Footer Char"/>
    <w:basedOn w:val="DefaultParagraphFont"/>
    <w:link w:val="Footer"/>
    <w:uiPriority w:val="99"/>
    <w:rsid w:val="00FA62A2"/>
    <w:rPr>
      <w:sz w:val="24"/>
    </w:rPr>
  </w:style>
  <w:style w:type="character" w:styleId="Strong">
    <w:name w:val="Strong"/>
    <w:basedOn w:val="DefaultParagraphFont"/>
    <w:uiPriority w:val="22"/>
    <w:qFormat/>
    <w:rsid w:val="0079562F"/>
    <w:rPr>
      <w:b/>
      <w:bCs/>
    </w:rPr>
  </w:style>
  <w:style w:type="paragraph" w:customStyle="1" w:styleId="SCCLsocParty">
    <w:name w:val="SCC.Lsoc.Party"/>
    <w:basedOn w:val="Normal"/>
    <w:next w:val="Normal"/>
    <w:link w:val="SCCLsocPartyChar"/>
    <w:rsid w:val="0079562F"/>
    <w:pPr>
      <w:jc w:val="both"/>
    </w:pPr>
    <w:rPr>
      <w:rFonts w:eastAsia="Calibri"/>
      <w:i/>
      <w:szCs w:val="22"/>
      <w:lang w:val="fr-CA"/>
    </w:rPr>
  </w:style>
  <w:style w:type="character" w:customStyle="1" w:styleId="SCCLsocPartyChar">
    <w:name w:val="SCC.Lsoc.Party Char"/>
    <w:basedOn w:val="DefaultParagraphFont"/>
    <w:link w:val="SCCLsocParty"/>
    <w:rsid w:val="0079562F"/>
    <w:rPr>
      <w:rFonts w:eastAsia="Calibri" w:cs="Times New Roman"/>
      <w:i/>
      <w:sz w:val="24"/>
      <w:szCs w:val="22"/>
      <w:lang w:val="fr-CA"/>
    </w:rPr>
  </w:style>
  <w:style w:type="paragraph" w:styleId="BalloonText">
    <w:name w:val="Balloon Text"/>
    <w:basedOn w:val="Normal"/>
    <w:link w:val="BalloonTextChar"/>
    <w:uiPriority w:val="99"/>
    <w:semiHidden/>
    <w:unhideWhenUsed/>
    <w:rsid w:val="00F200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00BC"/>
    <w:rPr>
      <w:rFonts w:ascii="Segoe UI" w:hAnsi="Segoe UI" w:cs="Segoe UI"/>
      <w:sz w:val="18"/>
      <w:szCs w:val="18"/>
    </w:rPr>
  </w:style>
  <w:style w:type="table" w:styleId="TableGrid">
    <w:name w:val="Table Grid"/>
    <w:basedOn w:val="TableNormal"/>
    <w:uiPriority w:val="59"/>
    <w:rsid w:val="00097C3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aranumbering1">
    <w:name w:val="aparanumbering1"/>
    <w:basedOn w:val="Normal"/>
    <w:rsid w:val="003B3C19"/>
    <w:pPr>
      <w:spacing w:before="120" w:after="120"/>
      <w:ind w:left="142"/>
      <w:jc w:val="both"/>
    </w:pPr>
    <w:rPr>
      <w:rFonts w:ascii="Arial" w:hAnsi="Arial" w:cs="Arial"/>
      <w:sz w:val="26"/>
      <w:szCs w:val="26"/>
    </w:rPr>
  </w:style>
  <w:style w:type="paragraph" w:customStyle="1" w:styleId="SCCFileNumber">
    <w:name w:val="SCC.FileNumber"/>
    <w:basedOn w:val="Normal"/>
    <w:next w:val="Normal"/>
    <w:link w:val="SCCFileNumberChar"/>
    <w:qFormat/>
    <w:rsid w:val="000E38C2"/>
    <w:pPr>
      <w:jc w:val="both"/>
    </w:pPr>
    <w:rPr>
      <w:rFonts w:eastAsiaTheme="minorHAnsi" w:cstheme="minorBidi"/>
      <w:b/>
      <w:szCs w:val="22"/>
      <w:lang w:val="en-CA"/>
    </w:rPr>
  </w:style>
  <w:style w:type="character" w:customStyle="1" w:styleId="SCCFileNumberChar">
    <w:name w:val="SCC.FileNumber Char"/>
    <w:basedOn w:val="DefaultParagraphFont"/>
    <w:link w:val="SCCFileNumber"/>
    <w:rsid w:val="000E38C2"/>
    <w:rPr>
      <w:rFonts w:eastAsiaTheme="minorHAnsi" w:cstheme="minorBidi"/>
      <w:b/>
      <w:sz w:val="24"/>
      <w:szCs w:val="22"/>
      <w:lang w:val="en-CA"/>
    </w:rPr>
  </w:style>
  <w:style w:type="paragraph" w:customStyle="1" w:styleId="SCCBanSummary">
    <w:name w:val="SCC.BanSummary"/>
    <w:basedOn w:val="Normal"/>
    <w:next w:val="Normal"/>
    <w:link w:val="SCCBanSummaryChar"/>
    <w:rsid w:val="000E38C2"/>
    <w:pPr>
      <w:jc w:val="both"/>
    </w:pPr>
    <w:rPr>
      <w:rFonts w:eastAsiaTheme="minorHAnsi" w:cstheme="minorBidi"/>
      <w:smallCaps/>
      <w:szCs w:val="22"/>
      <w:lang w:val="en-CA"/>
    </w:rPr>
  </w:style>
  <w:style w:type="character" w:customStyle="1" w:styleId="SCCBanSummaryChar">
    <w:name w:val="SCC.BanSummary Char"/>
    <w:basedOn w:val="DefaultParagraphFont"/>
    <w:link w:val="SCCBanSummary"/>
    <w:rsid w:val="000E38C2"/>
    <w:rPr>
      <w:rFonts w:eastAsiaTheme="minorHAnsi" w:cstheme="minorBidi"/>
      <w:smallCaps/>
      <w:sz w:val="24"/>
      <w:szCs w:val="22"/>
      <w:lang w:val="en-CA"/>
    </w:rPr>
  </w:style>
  <w:style w:type="paragraph" w:customStyle="1" w:styleId="nameofcounsel">
    <w:name w:val="nameofcounsel"/>
    <w:basedOn w:val="Normal"/>
    <w:rsid w:val="001F458A"/>
    <w:pPr>
      <w:spacing w:before="100" w:beforeAutospacing="1" w:after="100" w:afterAutospacing="1"/>
    </w:pPr>
    <w:rPr>
      <w:szCs w:val="24"/>
    </w:rPr>
  </w:style>
  <w:style w:type="paragraph" w:customStyle="1" w:styleId="ssparanotopmargin2">
    <w:name w:val="ss_paranotopmargin2"/>
    <w:basedOn w:val="Normal"/>
    <w:rsid w:val="00FB7C16"/>
    <w:pPr>
      <w:spacing w:after="100" w:afterAutospacing="1"/>
    </w:pPr>
    <w:rPr>
      <w:szCs w:val="24"/>
    </w:rPr>
  </w:style>
  <w:style w:type="paragraph" w:customStyle="1" w:styleId="SCCLsocSubfileSeparator">
    <w:name w:val="SCC.Lsoc.SubfileSeparator"/>
    <w:basedOn w:val="Normal"/>
    <w:next w:val="Normal"/>
    <w:link w:val="SCCLsocSubfileSeparatorChar"/>
    <w:rsid w:val="005F547E"/>
    <w:pPr>
      <w:jc w:val="both"/>
    </w:pPr>
    <w:rPr>
      <w:rFonts w:eastAsiaTheme="minorHAnsi"/>
      <w:b/>
      <w:szCs w:val="24"/>
      <w:lang w:val="en-CA"/>
    </w:rPr>
  </w:style>
  <w:style w:type="character" w:customStyle="1" w:styleId="SCCLsocSubfileSeparatorChar">
    <w:name w:val="SCC.Lsoc.SubfileSeparator Char"/>
    <w:basedOn w:val="DefaultParagraphFont"/>
    <w:link w:val="SCCLsocSubfileSeparator"/>
    <w:rsid w:val="005F547E"/>
    <w:rPr>
      <w:rFonts w:eastAsiaTheme="minorHAnsi"/>
      <w:b/>
      <w:sz w:val="24"/>
      <w:szCs w:val="24"/>
      <w:lang w:val="en-CA"/>
    </w:rPr>
  </w:style>
  <w:style w:type="paragraph" w:customStyle="1" w:styleId="SCCCaseDescriptor">
    <w:name w:val="SCC.CaseDescriptor"/>
    <w:basedOn w:val="Normal"/>
    <w:link w:val="SCCCaseDescriptorChar"/>
    <w:qFormat/>
    <w:rsid w:val="00FD21D5"/>
    <w:rPr>
      <w:b/>
      <w:lang w:val="en-CA" w:eastAsia="en-CA"/>
    </w:rPr>
  </w:style>
  <w:style w:type="character" w:customStyle="1" w:styleId="SCCCaseDescriptorChar">
    <w:name w:val="SCC.CaseDescriptor Char"/>
    <w:basedOn w:val="DefaultParagraphFont"/>
    <w:link w:val="SCCCaseDescriptor"/>
    <w:rsid w:val="00FD21D5"/>
    <w:rPr>
      <w:b/>
      <w:sz w:val="2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47468">
      <w:bodyDiv w:val="1"/>
      <w:marLeft w:val="0"/>
      <w:marRight w:val="0"/>
      <w:marTop w:val="0"/>
      <w:marBottom w:val="0"/>
      <w:divBdr>
        <w:top w:val="none" w:sz="0" w:space="0" w:color="auto"/>
        <w:left w:val="none" w:sz="0" w:space="0" w:color="auto"/>
        <w:bottom w:val="none" w:sz="0" w:space="0" w:color="auto"/>
        <w:right w:val="none" w:sz="0" w:space="0" w:color="auto"/>
      </w:divBdr>
    </w:div>
    <w:div w:id="15929832">
      <w:bodyDiv w:val="1"/>
      <w:marLeft w:val="0"/>
      <w:marRight w:val="0"/>
      <w:marTop w:val="0"/>
      <w:marBottom w:val="0"/>
      <w:divBdr>
        <w:top w:val="none" w:sz="0" w:space="0" w:color="auto"/>
        <w:left w:val="none" w:sz="0" w:space="0" w:color="auto"/>
        <w:bottom w:val="none" w:sz="0" w:space="0" w:color="auto"/>
        <w:right w:val="none" w:sz="0" w:space="0" w:color="auto"/>
      </w:divBdr>
    </w:div>
    <w:div w:id="155541300">
      <w:bodyDiv w:val="1"/>
      <w:marLeft w:val="0"/>
      <w:marRight w:val="0"/>
      <w:marTop w:val="0"/>
      <w:marBottom w:val="0"/>
      <w:divBdr>
        <w:top w:val="none" w:sz="0" w:space="0" w:color="auto"/>
        <w:left w:val="none" w:sz="0" w:space="0" w:color="auto"/>
        <w:bottom w:val="none" w:sz="0" w:space="0" w:color="auto"/>
        <w:right w:val="none" w:sz="0" w:space="0" w:color="auto"/>
      </w:divBdr>
    </w:div>
    <w:div w:id="434251522">
      <w:bodyDiv w:val="1"/>
      <w:marLeft w:val="0"/>
      <w:marRight w:val="0"/>
      <w:marTop w:val="0"/>
      <w:marBottom w:val="0"/>
      <w:divBdr>
        <w:top w:val="none" w:sz="0" w:space="0" w:color="auto"/>
        <w:left w:val="none" w:sz="0" w:space="0" w:color="auto"/>
        <w:bottom w:val="none" w:sz="0" w:space="0" w:color="auto"/>
        <w:right w:val="none" w:sz="0" w:space="0" w:color="auto"/>
      </w:divBdr>
    </w:div>
    <w:div w:id="470638163">
      <w:bodyDiv w:val="1"/>
      <w:marLeft w:val="0"/>
      <w:marRight w:val="0"/>
      <w:marTop w:val="0"/>
      <w:marBottom w:val="0"/>
      <w:divBdr>
        <w:top w:val="none" w:sz="0" w:space="0" w:color="auto"/>
        <w:left w:val="none" w:sz="0" w:space="0" w:color="auto"/>
        <w:bottom w:val="none" w:sz="0" w:space="0" w:color="auto"/>
        <w:right w:val="none" w:sz="0" w:space="0" w:color="auto"/>
      </w:divBdr>
    </w:div>
    <w:div w:id="563030962">
      <w:bodyDiv w:val="1"/>
      <w:marLeft w:val="0"/>
      <w:marRight w:val="0"/>
      <w:marTop w:val="0"/>
      <w:marBottom w:val="0"/>
      <w:divBdr>
        <w:top w:val="none" w:sz="0" w:space="0" w:color="auto"/>
        <w:left w:val="none" w:sz="0" w:space="0" w:color="auto"/>
        <w:bottom w:val="none" w:sz="0" w:space="0" w:color="auto"/>
        <w:right w:val="none" w:sz="0" w:space="0" w:color="auto"/>
      </w:divBdr>
    </w:div>
    <w:div w:id="585531170">
      <w:bodyDiv w:val="1"/>
      <w:marLeft w:val="0"/>
      <w:marRight w:val="0"/>
      <w:marTop w:val="0"/>
      <w:marBottom w:val="0"/>
      <w:divBdr>
        <w:top w:val="none" w:sz="0" w:space="0" w:color="auto"/>
        <w:left w:val="none" w:sz="0" w:space="0" w:color="auto"/>
        <w:bottom w:val="none" w:sz="0" w:space="0" w:color="auto"/>
        <w:right w:val="none" w:sz="0" w:space="0" w:color="auto"/>
      </w:divBdr>
    </w:div>
    <w:div w:id="848062956">
      <w:bodyDiv w:val="1"/>
      <w:marLeft w:val="0"/>
      <w:marRight w:val="0"/>
      <w:marTop w:val="0"/>
      <w:marBottom w:val="0"/>
      <w:divBdr>
        <w:top w:val="none" w:sz="0" w:space="0" w:color="auto"/>
        <w:left w:val="none" w:sz="0" w:space="0" w:color="auto"/>
        <w:bottom w:val="none" w:sz="0" w:space="0" w:color="auto"/>
        <w:right w:val="none" w:sz="0" w:space="0" w:color="auto"/>
      </w:divBdr>
    </w:div>
    <w:div w:id="850292782">
      <w:bodyDiv w:val="1"/>
      <w:marLeft w:val="0"/>
      <w:marRight w:val="0"/>
      <w:marTop w:val="0"/>
      <w:marBottom w:val="0"/>
      <w:divBdr>
        <w:top w:val="none" w:sz="0" w:space="0" w:color="auto"/>
        <w:left w:val="none" w:sz="0" w:space="0" w:color="auto"/>
        <w:bottom w:val="none" w:sz="0" w:space="0" w:color="auto"/>
        <w:right w:val="none" w:sz="0" w:space="0" w:color="auto"/>
      </w:divBdr>
    </w:div>
    <w:div w:id="868831822">
      <w:bodyDiv w:val="1"/>
      <w:marLeft w:val="0"/>
      <w:marRight w:val="0"/>
      <w:marTop w:val="0"/>
      <w:marBottom w:val="0"/>
      <w:divBdr>
        <w:top w:val="none" w:sz="0" w:space="0" w:color="auto"/>
        <w:left w:val="none" w:sz="0" w:space="0" w:color="auto"/>
        <w:bottom w:val="none" w:sz="0" w:space="0" w:color="auto"/>
        <w:right w:val="none" w:sz="0" w:space="0" w:color="auto"/>
      </w:divBdr>
    </w:div>
    <w:div w:id="888108128">
      <w:bodyDiv w:val="1"/>
      <w:marLeft w:val="0"/>
      <w:marRight w:val="0"/>
      <w:marTop w:val="0"/>
      <w:marBottom w:val="0"/>
      <w:divBdr>
        <w:top w:val="none" w:sz="0" w:space="0" w:color="auto"/>
        <w:left w:val="none" w:sz="0" w:space="0" w:color="auto"/>
        <w:bottom w:val="none" w:sz="0" w:space="0" w:color="auto"/>
        <w:right w:val="none" w:sz="0" w:space="0" w:color="auto"/>
      </w:divBdr>
    </w:div>
    <w:div w:id="913852924">
      <w:bodyDiv w:val="1"/>
      <w:marLeft w:val="0"/>
      <w:marRight w:val="0"/>
      <w:marTop w:val="0"/>
      <w:marBottom w:val="0"/>
      <w:divBdr>
        <w:top w:val="none" w:sz="0" w:space="0" w:color="auto"/>
        <w:left w:val="none" w:sz="0" w:space="0" w:color="auto"/>
        <w:bottom w:val="none" w:sz="0" w:space="0" w:color="auto"/>
        <w:right w:val="none" w:sz="0" w:space="0" w:color="auto"/>
      </w:divBdr>
    </w:div>
    <w:div w:id="1044868879">
      <w:bodyDiv w:val="1"/>
      <w:marLeft w:val="0"/>
      <w:marRight w:val="0"/>
      <w:marTop w:val="0"/>
      <w:marBottom w:val="0"/>
      <w:divBdr>
        <w:top w:val="none" w:sz="0" w:space="0" w:color="auto"/>
        <w:left w:val="none" w:sz="0" w:space="0" w:color="auto"/>
        <w:bottom w:val="none" w:sz="0" w:space="0" w:color="auto"/>
        <w:right w:val="none" w:sz="0" w:space="0" w:color="auto"/>
      </w:divBdr>
    </w:div>
    <w:div w:id="1098332106">
      <w:bodyDiv w:val="1"/>
      <w:marLeft w:val="0"/>
      <w:marRight w:val="0"/>
      <w:marTop w:val="0"/>
      <w:marBottom w:val="0"/>
      <w:divBdr>
        <w:top w:val="none" w:sz="0" w:space="0" w:color="auto"/>
        <w:left w:val="none" w:sz="0" w:space="0" w:color="auto"/>
        <w:bottom w:val="none" w:sz="0" w:space="0" w:color="auto"/>
        <w:right w:val="none" w:sz="0" w:space="0" w:color="auto"/>
      </w:divBdr>
    </w:div>
    <w:div w:id="1195773862">
      <w:bodyDiv w:val="1"/>
      <w:marLeft w:val="0"/>
      <w:marRight w:val="0"/>
      <w:marTop w:val="0"/>
      <w:marBottom w:val="0"/>
      <w:divBdr>
        <w:top w:val="none" w:sz="0" w:space="0" w:color="auto"/>
        <w:left w:val="none" w:sz="0" w:space="0" w:color="auto"/>
        <w:bottom w:val="none" w:sz="0" w:space="0" w:color="auto"/>
        <w:right w:val="none" w:sz="0" w:space="0" w:color="auto"/>
      </w:divBdr>
    </w:div>
    <w:div w:id="1203446659">
      <w:bodyDiv w:val="1"/>
      <w:marLeft w:val="0"/>
      <w:marRight w:val="0"/>
      <w:marTop w:val="0"/>
      <w:marBottom w:val="0"/>
      <w:divBdr>
        <w:top w:val="none" w:sz="0" w:space="0" w:color="auto"/>
        <w:left w:val="none" w:sz="0" w:space="0" w:color="auto"/>
        <w:bottom w:val="none" w:sz="0" w:space="0" w:color="auto"/>
        <w:right w:val="none" w:sz="0" w:space="0" w:color="auto"/>
      </w:divBdr>
    </w:div>
    <w:div w:id="1261792763">
      <w:bodyDiv w:val="1"/>
      <w:marLeft w:val="0"/>
      <w:marRight w:val="0"/>
      <w:marTop w:val="0"/>
      <w:marBottom w:val="0"/>
      <w:divBdr>
        <w:top w:val="none" w:sz="0" w:space="0" w:color="auto"/>
        <w:left w:val="none" w:sz="0" w:space="0" w:color="auto"/>
        <w:bottom w:val="none" w:sz="0" w:space="0" w:color="auto"/>
        <w:right w:val="none" w:sz="0" w:space="0" w:color="auto"/>
      </w:divBdr>
    </w:div>
    <w:div w:id="1288120850">
      <w:bodyDiv w:val="1"/>
      <w:marLeft w:val="0"/>
      <w:marRight w:val="0"/>
      <w:marTop w:val="0"/>
      <w:marBottom w:val="0"/>
      <w:divBdr>
        <w:top w:val="none" w:sz="0" w:space="0" w:color="auto"/>
        <w:left w:val="none" w:sz="0" w:space="0" w:color="auto"/>
        <w:bottom w:val="none" w:sz="0" w:space="0" w:color="auto"/>
        <w:right w:val="none" w:sz="0" w:space="0" w:color="auto"/>
      </w:divBdr>
    </w:div>
    <w:div w:id="1302808878">
      <w:bodyDiv w:val="1"/>
      <w:marLeft w:val="0"/>
      <w:marRight w:val="0"/>
      <w:marTop w:val="0"/>
      <w:marBottom w:val="0"/>
      <w:divBdr>
        <w:top w:val="none" w:sz="0" w:space="0" w:color="auto"/>
        <w:left w:val="none" w:sz="0" w:space="0" w:color="auto"/>
        <w:bottom w:val="none" w:sz="0" w:space="0" w:color="auto"/>
        <w:right w:val="none" w:sz="0" w:space="0" w:color="auto"/>
      </w:divBdr>
    </w:div>
    <w:div w:id="1315262274">
      <w:bodyDiv w:val="1"/>
      <w:marLeft w:val="0"/>
      <w:marRight w:val="0"/>
      <w:marTop w:val="0"/>
      <w:marBottom w:val="0"/>
      <w:divBdr>
        <w:top w:val="none" w:sz="0" w:space="0" w:color="auto"/>
        <w:left w:val="none" w:sz="0" w:space="0" w:color="auto"/>
        <w:bottom w:val="none" w:sz="0" w:space="0" w:color="auto"/>
        <w:right w:val="none" w:sz="0" w:space="0" w:color="auto"/>
      </w:divBdr>
    </w:div>
    <w:div w:id="1404916155">
      <w:bodyDiv w:val="1"/>
      <w:marLeft w:val="0"/>
      <w:marRight w:val="0"/>
      <w:marTop w:val="0"/>
      <w:marBottom w:val="0"/>
      <w:divBdr>
        <w:top w:val="none" w:sz="0" w:space="0" w:color="auto"/>
        <w:left w:val="none" w:sz="0" w:space="0" w:color="auto"/>
        <w:bottom w:val="none" w:sz="0" w:space="0" w:color="auto"/>
        <w:right w:val="none" w:sz="0" w:space="0" w:color="auto"/>
      </w:divBdr>
    </w:div>
    <w:div w:id="1426224100">
      <w:bodyDiv w:val="1"/>
      <w:marLeft w:val="0"/>
      <w:marRight w:val="0"/>
      <w:marTop w:val="0"/>
      <w:marBottom w:val="0"/>
      <w:divBdr>
        <w:top w:val="none" w:sz="0" w:space="0" w:color="auto"/>
        <w:left w:val="none" w:sz="0" w:space="0" w:color="auto"/>
        <w:bottom w:val="none" w:sz="0" w:space="0" w:color="auto"/>
        <w:right w:val="none" w:sz="0" w:space="0" w:color="auto"/>
      </w:divBdr>
    </w:div>
    <w:div w:id="1442187160">
      <w:bodyDiv w:val="1"/>
      <w:marLeft w:val="0"/>
      <w:marRight w:val="0"/>
      <w:marTop w:val="0"/>
      <w:marBottom w:val="0"/>
      <w:divBdr>
        <w:top w:val="none" w:sz="0" w:space="0" w:color="auto"/>
        <w:left w:val="none" w:sz="0" w:space="0" w:color="auto"/>
        <w:bottom w:val="none" w:sz="0" w:space="0" w:color="auto"/>
        <w:right w:val="none" w:sz="0" w:space="0" w:color="auto"/>
      </w:divBdr>
    </w:div>
    <w:div w:id="1467426635">
      <w:bodyDiv w:val="1"/>
      <w:marLeft w:val="0"/>
      <w:marRight w:val="0"/>
      <w:marTop w:val="0"/>
      <w:marBottom w:val="0"/>
      <w:divBdr>
        <w:top w:val="none" w:sz="0" w:space="0" w:color="auto"/>
        <w:left w:val="none" w:sz="0" w:space="0" w:color="auto"/>
        <w:bottom w:val="none" w:sz="0" w:space="0" w:color="auto"/>
        <w:right w:val="none" w:sz="0" w:space="0" w:color="auto"/>
      </w:divBdr>
    </w:div>
    <w:div w:id="1633704952">
      <w:bodyDiv w:val="1"/>
      <w:marLeft w:val="0"/>
      <w:marRight w:val="0"/>
      <w:marTop w:val="0"/>
      <w:marBottom w:val="0"/>
      <w:divBdr>
        <w:top w:val="none" w:sz="0" w:space="0" w:color="auto"/>
        <w:left w:val="none" w:sz="0" w:space="0" w:color="auto"/>
        <w:bottom w:val="none" w:sz="0" w:space="0" w:color="auto"/>
        <w:right w:val="none" w:sz="0" w:space="0" w:color="auto"/>
      </w:divBdr>
    </w:div>
    <w:div w:id="1663897148">
      <w:bodyDiv w:val="1"/>
      <w:marLeft w:val="0"/>
      <w:marRight w:val="0"/>
      <w:marTop w:val="0"/>
      <w:marBottom w:val="0"/>
      <w:divBdr>
        <w:top w:val="none" w:sz="0" w:space="0" w:color="auto"/>
        <w:left w:val="none" w:sz="0" w:space="0" w:color="auto"/>
        <w:bottom w:val="none" w:sz="0" w:space="0" w:color="auto"/>
        <w:right w:val="none" w:sz="0" w:space="0" w:color="auto"/>
      </w:divBdr>
    </w:div>
    <w:div w:id="1794329043">
      <w:bodyDiv w:val="1"/>
      <w:marLeft w:val="0"/>
      <w:marRight w:val="0"/>
      <w:marTop w:val="0"/>
      <w:marBottom w:val="0"/>
      <w:divBdr>
        <w:top w:val="none" w:sz="0" w:space="0" w:color="auto"/>
        <w:left w:val="none" w:sz="0" w:space="0" w:color="auto"/>
        <w:bottom w:val="none" w:sz="0" w:space="0" w:color="auto"/>
        <w:right w:val="none" w:sz="0" w:space="0" w:color="auto"/>
      </w:divBdr>
    </w:div>
    <w:div w:id="1824928011">
      <w:bodyDiv w:val="1"/>
      <w:marLeft w:val="0"/>
      <w:marRight w:val="0"/>
      <w:marTop w:val="0"/>
      <w:marBottom w:val="0"/>
      <w:divBdr>
        <w:top w:val="none" w:sz="0" w:space="0" w:color="auto"/>
        <w:left w:val="none" w:sz="0" w:space="0" w:color="auto"/>
        <w:bottom w:val="none" w:sz="0" w:space="0" w:color="auto"/>
        <w:right w:val="none" w:sz="0" w:space="0" w:color="auto"/>
      </w:divBdr>
    </w:div>
    <w:div w:id="2017027245">
      <w:bodyDiv w:val="1"/>
      <w:marLeft w:val="0"/>
      <w:marRight w:val="0"/>
      <w:marTop w:val="0"/>
      <w:marBottom w:val="0"/>
      <w:divBdr>
        <w:top w:val="none" w:sz="0" w:space="0" w:color="auto"/>
        <w:left w:val="none" w:sz="0" w:space="0" w:color="auto"/>
        <w:bottom w:val="none" w:sz="0" w:space="0" w:color="auto"/>
        <w:right w:val="none" w:sz="0" w:space="0" w:color="auto"/>
      </w:divBdr>
    </w:div>
    <w:div w:id="2065331188">
      <w:bodyDiv w:val="1"/>
      <w:marLeft w:val="0"/>
      <w:marRight w:val="0"/>
      <w:marTop w:val="0"/>
      <w:marBottom w:val="0"/>
      <w:divBdr>
        <w:top w:val="none" w:sz="0" w:space="0" w:color="auto"/>
        <w:left w:val="none" w:sz="0" w:space="0" w:color="auto"/>
        <w:bottom w:val="none" w:sz="0" w:space="0" w:color="auto"/>
        <w:right w:val="none" w:sz="0" w:space="0" w:color="auto"/>
      </w:divBdr>
    </w:div>
    <w:div w:id="2145198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mments-commentaires@scc-csc.ca"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scc-csc.ca/case-dossier/info/sum-som-eng.aspx?cas=39360"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800</Words>
  <Characters>4255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5045</CharactersWithSpaces>
  <SharedDoc>false</SharedDoc>
  <HLinks>
    <vt:vector size="48" baseType="variant">
      <vt:variant>
        <vt:i4>524364</vt:i4>
      </vt:variant>
      <vt:variant>
        <vt:i4>23</vt:i4>
      </vt:variant>
      <vt:variant>
        <vt:i4>0</vt:i4>
      </vt:variant>
      <vt:variant>
        <vt:i4>5</vt:i4>
      </vt:variant>
      <vt:variant>
        <vt:lpwstr>http://www.scc-csc.gc.ca/news-nouv/rel-com/subs-abon-fra.aspx</vt:lpwstr>
      </vt:variant>
      <vt:variant>
        <vt:lpwstr/>
      </vt:variant>
      <vt:variant>
        <vt:i4>852048</vt:i4>
      </vt:variant>
      <vt:variant>
        <vt:i4>20</vt:i4>
      </vt:variant>
      <vt:variant>
        <vt:i4>0</vt:i4>
      </vt:variant>
      <vt:variant>
        <vt:i4>5</vt:i4>
      </vt:variant>
      <vt:variant>
        <vt:lpwstr>http://www.scc-csc.gc.ca/news-nouv/rel-com/subs-abon-eng.aspx</vt:lpwstr>
      </vt:variant>
      <vt:variant>
        <vt:lpwstr/>
      </vt:variant>
      <vt:variant>
        <vt:i4>3080213</vt:i4>
      </vt:variant>
      <vt:variant>
        <vt:i4>17</vt:i4>
      </vt:variant>
      <vt:variant>
        <vt:i4>0</vt:i4>
      </vt:variant>
      <vt:variant>
        <vt:i4>5</vt:i4>
      </vt:variant>
      <vt:variant>
        <vt:lpwstr>mailto:comments-commentaires@scc-csc.ca</vt:lpwstr>
      </vt:variant>
      <vt:variant>
        <vt:lpwstr/>
      </vt:variant>
      <vt:variant>
        <vt:i4>589830</vt:i4>
      </vt:variant>
      <vt:variant>
        <vt:i4>14</vt:i4>
      </vt:variant>
      <vt:variant>
        <vt:i4>0</vt:i4>
      </vt:variant>
      <vt:variant>
        <vt:i4>5</vt:i4>
      </vt:variant>
      <vt:variant>
        <vt:lpwstr>http://www.scc-csc.gc.ca/case-dossier/info/sum-som-eng.aspx?cas=36064</vt:lpwstr>
      </vt:variant>
      <vt:variant>
        <vt:lpwstr/>
      </vt:variant>
      <vt:variant>
        <vt:i4>720911</vt:i4>
      </vt:variant>
      <vt:variant>
        <vt:i4>11</vt:i4>
      </vt:variant>
      <vt:variant>
        <vt:i4>0</vt:i4>
      </vt:variant>
      <vt:variant>
        <vt:i4>5</vt:i4>
      </vt:variant>
      <vt:variant>
        <vt:lpwstr>http://www.scc-csc.gc.ca/case-dossier/info/sum-som-eng.aspx?cas=35977</vt:lpwstr>
      </vt:variant>
      <vt:variant>
        <vt:lpwstr/>
      </vt:variant>
      <vt:variant>
        <vt:i4>720898</vt:i4>
      </vt:variant>
      <vt:variant>
        <vt:i4>8</vt:i4>
      </vt:variant>
      <vt:variant>
        <vt:i4>0</vt:i4>
      </vt:variant>
      <vt:variant>
        <vt:i4>5</vt:i4>
      </vt:variant>
      <vt:variant>
        <vt:lpwstr>http://www.scc-csc.gc.ca/case-dossier/info/sum-som-eng.aspx?cas=35475</vt:lpwstr>
      </vt:variant>
      <vt:variant>
        <vt:lpwstr/>
      </vt:variant>
      <vt:variant>
        <vt:i4>2424895</vt:i4>
      </vt:variant>
      <vt:variant>
        <vt:i4>5</vt:i4>
      </vt:variant>
      <vt:variant>
        <vt:i4>0</vt:i4>
      </vt:variant>
      <vt:variant>
        <vt:i4>5</vt:i4>
      </vt:variant>
      <vt:variant>
        <vt:lpwstr>http://scc-csc.lexum.com/scc-csc/news/fr/item/4916/index.do</vt:lpwstr>
      </vt:variant>
      <vt:variant>
        <vt:lpwstr/>
      </vt:variant>
      <vt:variant>
        <vt:i4>3735612</vt:i4>
      </vt:variant>
      <vt:variant>
        <vt:i4>2</vt:i4>
      </vt:variant>
      <vt:variant>
        <vt:i4>0</vt:i4>
      </vt:variant>
      <vt:variant>
        <vt:i4>5</vt:i4>
      </vt:variant>
      <vt:variant>
        <vt:lpwstr>http://scc-csc.lexum.com/scc-csc/news/en/item/4916/index.do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2022-03-04T15:45:00Z</dcterms:created>
  <dcterms:modified xsi:type="dcterms:W3CDTF">2022-10-17T11:41:00Z</dcterms:modified>
</cp:coreProperties>
</file>