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602884" w:rsidRDefault="000E391F" w:rsidP="000E391F">
      <w:pPr>
        <w:pStyle w:val="Header"/>
        <w:jc w:val="center"/>
        <w:rPr>
          <w:b/>
          <w:sz w:val="32"/>
          <w:szCs w:val="32"/>
        </w:rPr>
      </w:pPr>
      <w:r w:rsidRPr="00602884">
        <w:rPr>
          <w:b/>
          <w:sz w:val="32"/>
          <w:szCs w:val="32"/>
        </w:rPr>
        <w:t>Supreme Court of Canada / Cour suprême du Canada</w:t>
      </w:r>
    </w:p>
    <w:p w:rsidR="000E391F" w:rsidRPr="00602884" w:rsidRDefault="000E391F" w:rsidP="000E391F">
      <w:pPr>
        <w:widowControl w:val="0"/>
        <w:rPr>
          <w:sz w:val="20"/>
        </w:rPr>
      </w:pPr>
    </w:p>
    <w:p w:rsidR="000E391F" w:rsidRPr="00602884" w:rsidRDefault="000E391F" w:rsidP="000E391F">
      <w:pPr>
        <w:widowControl w:val="0"/>
        <w:rPr>
          <w:i/>
          <w:sz w:val="20"/>
        </w:rPr>
      </w:pPr>
    </w:p>
    <w:p w:rsidR="006F2579" w:rsidRPr="00602884" w:rsidRDefault="006F2579" w:rsidP="006F2579">
      <w:pPr>
        <w:widowControl w:val="0"/>
        <w:rPr>
          <w:i/>
          <w:sz w:val="20"/>
        </w:rPr>
      </w:pPr>
      <w:r w:rsidRPr="00602884">
        <w:rPr>
          <w:i/>
          <w:sz w:val="20"/>
        </w:rPr>
        <w:t>(</w:t>
      </w:r>
      <w:r w:rsidR="003240B6" w:rsidRPr="00602884">
        <w:rPr>
          <w:i/>
          <w:sz w:val="20"/>
        </w:rPr>
        <w:t>L</w:t>
      </w:r>
      <w:r w:rsidRPr="00602884">
        <w:rPr>
          <w:i/>
          <w:sz w:val="20"/>
        </w:rPr>
        <w:t>e français suit)</w:t>
      </w:r>
    </w:p>
    <w:p w:rsidR="006F2579" w:rsidRPr="00602884" w:rsidRDefault="006F2579" w:rsidP="006F2579">
      <w:pPr>
        <w:widowControl w:val="0"/>
        <w:rPr>
          <w:sz w:val="20"/>
        </w:rPr>
      </w:pPr>
    </w:p>
    <w:p w:rsidR="006F2579" w:rsidRPr="00602884" w:rsidRDefault="00B07908" w:rsidP="006F2579">
      <w:pPr>
        <w:widowControl w:val="0"/>
        <w:jc w:val="center"/>
        <w:rPr>
          <w:b/>
          <w:szCs w:val="24"/>
        </w:rPr>
      </w:pPr>
      <w:r w:rsidRPr="00602884">
        <w:rPr>
          <w:szCs w:val="24"/>
        </w:rPr>
        <w:fldChar w:fldCharType="begin"/>
      </w:r>
      <w:r w:rsidR="006F2579" w:rsidRPr="00602884">
        <w:rPr>
          <w:szCs w:val="24"/>
        </w:rPr>
        <w:instrText xml:space="preserve"> SEQ CHAPTER \h \r 1</w:instrText>
      </w:r>
      <w:r w:rsidRPr="00602884">
        <w:rPr>
          <w:szCs w:val="24"/>
        </w:rPr>
        <w:fldChar w:fldCharType="end"/>
      </w:r>
      <w:r w:rsidR="006F2579" w:rsidRPr="00602884">
        <w:rPr>
          <w:b/>
          <w:szCs w:val="24"/>
        </w:rPr>
        <w:t>JUDGMENT TO B</w:t>
      </w:r>
      <w:r w:rsidR="00001846" w:rsidRPr="00602884">
        <w:rPr>
          <w:b/>
          <w:szCs w:val="24"/>
        </w:rPr>
        <w:t>E RENDERED IN LE</w:t>
      </w:r>
      <w:r w:rsidR="00A0288A" w:rsidRPr="00602884">
        <w:rPr>
          <w:b/>
          <w:szCs w:val="24"/>
        </w:rPr>
        <w:t>A</w:t>
      </w:r>
      <w:r w:rsidR="00001846" w:rsidRPr="00602884">
        <w:rPr>
          <w:b/>
          <w:szCs w:val="24"/>
        </w:rPr>
        <w:t>VE APPLICATION</w:t>
      </w:r>
    </w:p>
    <w:p w:rsidR="006F2579" w:rsidRPr="00602884" w:rsidRDefault="006F2579" w:rsidP="006F2579">
      <w:pPr>
        <w:widowControl w:val="0"/>
        <w:rPr>
          <w:szCs w:val="24"/>
        </w:rPr>
      </w:pPr>
    </w:p>
    <w:p w:rsidR="006F2579" w:rsidRPr="00602884" w:rsidRDefault="00DC4AAB" w:rsidP="006F2579">
      <w:pPr>
        <w:widowControl w:val="0"/>
        <w:rPr>
          <w:szCs w:val="24"/>
        </w:rPr>
      </w:pPr>
      <w:r w:rsidRPr="00602884">
        <w:rPr>
          <w:b/>
          <w:szCs w:val="24"/>
        </w:rPr>
        <w:t>October</w:t>
      </w:r>
      <w:r w:rsidR="00A15B66" w:rsidRPr="00602884">
        <w:rPr>
          <w:b/>
          <w:szCs w:val="24"/>
        </w:rPr>
        <w:t xml:space="preserve"> </w:t>
      </w:r>
      <w:r w:rsidR="0042507C" w:rsidRPr="00602884">
        <w:rPr>
          <w:b/>
          <w:szCs w:val="24"/>
        </w:rPr>
        <w:t>31</w:t>
      </w:r>
      <w:r w:rsidR="004441C7" w:rsidRPr="00602884">
        <w:rPr>
          <w:b/>
          <w:szCs w:val="24"/>
        </w:rPr>
        <w:t>,</w:t>
      </w:r>
      <w:r w:rsidR="006F2579" w:rsidRPr="00602884">
        <w:rPr>
          <w:b/>
          <w:szCs w:val="24"/>
        </w:rPr>
        <w:t xml:space="preserve"> </w:t>
      </w:r>
      <w:r w:rsidR="0054689F" w:rsidRPr="00602884">
        <w:rPr>
          <w:b/>
          <w:szCs w:val="24"/>
        </w:rPr>
        <w:t>20</w:t>
      </w:r>
      <w:r w:rsidR="00526754" w:rsidRPr="00602884">
        <w:rPr>
          <w:b/>
          <w:szCs w:val="24"/>
        </w:rPr>
        <w:t>2</w:t>
      </w:r>
      <w:r w:rsidR="00644008" w:rsidRPr="00602884">
        <w:rPr>
          <w:b/>
          <w:szCs w:val="24"/>
        </w:rPr>
        <w:t>2</w:t>
      </w:r>
    </w:p>
    <w:p w:rsidR="006F2579" w:rsidRPr="00602884" w:rsidRDefault="00674F39" w:rsidP="006F2579">
      <w:pPr>
        <w:widowControl w:val="0"/>
        <w:rPr>
          <w:b/>
          <w:szCs w:val="24"/>
        </w:rPr>
      </w:pPr>
      <w:r w:rsidRPr="00602884">
        <w:rPr>
          <w:b/>
          <w:szCs w:val="24"/>
        </w:rPr>
        <w:t>For immediate release</w:t>
      </w:r>
    </w:p>
    <w:p w:rsidR="006F2579" w:rsidRPr="00602884" w:rsidRDefault="006F2579" w:rsidP="006F2579">
      <w:pPr>
        <w:widowControl w:val="0"/>
        <w:rPr>
          <w:szCs w:val="24"/>
        </w:rPr>
      </w:pPr>
    </w:p>
    <w:p w:rsidR="006F2579" w:rsidRPr="00602884" w:rsidRDefault="006F2579" w:rsidP="006F2579">
      <w:pPr>
        <w:widowControl w:val="0"/>
        <w:rPr>
          <w:szCs w:val="24"/>
          <w:lang w:val="fr-CA"/>
        </w:rPr>
      </w:pPr>
      <w:r w:rsidRPr="00602884">
        <w:rPr>
          <w:b/>
          <w:szCs w:val="24"/>
        </w:rPr>
        <w:t>OTTAWA</w:t>
      </w:r>
      <w:r w:rsidRPr="00602884">
        <w:rPr>
          <w:szCs w:val="24"/>
        </w:rPr>
        <w:t xml:space="preserve"> – The Supreme Court of Canad</w:t>
      </w:r>
      <w:r w:rsidR="006246E4" w:rsidRPr="00602884">
        <w:rPr>
          <w:szCs w:val="24"/>
        </w:rPr>
        <w:t>a</w:t>
      </w:r>
      <w:r w:rsidRPr="00602884">
        <w:rPr>
          <w:szCs w:val="24"/>
        </w:rPr>
        <w:t xml:space="preserve"> announced today that judgment in the following </w:t>
      </w:r>
      <w:r w:rsidR="00DB6199" w:rsidRPr="00602884">
        <w:rPr>
          <w:szCs w:val="24"/>
        </w:rPr>
        <w:t xml:space="preserve">leave application </w:t>
      </w:r>
      <w:r w:rsidRPr="00602884">
        <w:rPr>
          <w:szCs w:val="24"/>
        </w:rPr>
        <w:t>will be delivere</w:t>
      </w:r>
      <w:r w:rsidR="00CE2C5F" w:rsidRPr="00602884">
        <w:rPr>
          <w:szCs w:val="24"/>
        </w:rPr>
        <w:t>d</w:t>
      </w:r>
      <w:r w:rsidRPr="00602884">
        <w:rPr>
          <w:szCs w:val="24"/>
        </w:rPr>
        <w:t xml:space="preserve"> at 9:45 a.m. </w:t>
      </w:r>
      <w:r w:rsidR="00E05816" w:rsidRPr="00602884">
        <w:rPr>
          <w:szCs w:val="24"/>
        </w:rPr>
        <w:t>E</w:t>
      </w:r>
      <w:r w:rsidR="00882B6B" w:rsidRPr="00602884">
        <w:rPr>
          <w:szCs w:val="24"/>
        </w:rPr>
        <w:t>D</w:t>
      </w:r>
      <w:r w:rsidR="00E05816" w:rsidRPr="00602884">
        <w:rPr>
          <w:szCs w:val="24"/>
        </w:rPr>
        <w:t>T</w:t>
      </w:r>
      <w:r w:rsidRPr="00602884">
        <w:rPr>
          <w:szCs w:val="24"/>
        </w:rPr>
        <w:t xml:space="preserve"> on </w:t>
      </w:r>
      <w:r w:rsidR="00322A9C" w:rsidRPr="00602884">
        <w:rPr>
          <w:szCs w:val="24"/>
        </w:rPr>
        <w:t>Thurs</w:t>
      </w:r>
      <w:r w:rsidR="00680A85" w:rsidRPr="00602884">
        <w:rPr>
          <w:szCs w:val="24"/>
        </w:rPr>
        <w:t>day</w:t>
      </w:r>
      <w:r w:rsidRPr="00602884">
        <w:rPr>
          <w:szCs w:val="24"/>
        </w:rPr>
        <w:t xml:space="preserve">, </w:t>
      </w:r>
      <w:r w:rsidR="0042507C" w:rsidRPr="00602884">
        <w:rPr>
          <w:szCs w:val="24"/>
        </w:rPr>
        <w:t>November</w:t>
      </w:r>
      <w:r w:rsidR="00455912" w:rsidRPr="00602884">
        <w:rPr>
          <w:szCs w:val="24"/>
        </w:rPr>
        <w:t xml:space="preserve"> </w:t>
      </w:r>
      <w:r w:rsidR="0042507C" w:rsidRPr="00602884">
        <w:rPr>
          <w:szCs w:val="24"/>
        </w:rPr>
        <w:t>3</w:t>
      </w:r>
      <w:r w:rsidR="007E112F" w:rsidRPr="00602884">
        <w:rPr>
          <w:szCs w:val="24"/>
        </w:rPr>
        <w:t>,</w:t>
      </w:r>
      <w:r w:rsidR="002F38D7" w:rsidRPr="00602884">
        <w:rPr>
          <w:szCs w:val="24"/>
        </w:rPr>
        <w:t xml:space="preserve"> </w:t>
      </w:r>
      <w:r w:rsidR="006648D1" w:rsidRPr="00602884">
        <w:rPr>
          <w:szCs w:val="24"/>
        </w:rPr>
        <w:t>20</w:t>
      </w:r>
      <w:r w:rsidR="00526754" w:rsidRPr="00602884">
        <w:rPr>
          <w:szCs w:val="24"/>
        </w:rPr>
        <w:t>2</w:t>
      </w:r>
      <w:r w:rsidR="00644008" w:rsidRPr="00602884">
        <w:rPr>
          <w:szCs w:val="24"/>
        </w:rPr>
        <w:t>2</w:t>
      </w:r>
      <w:r w:rsidRPr="00602884">
        <w:rPr>
          <w:szCs w:val="24"/>
        </w:rPr>
        <w:t xml:space="preserve">. </w:t>
      </w:r>
      <w:r w:rsidRPr="00602884">
        <w:rPr>
          <w:szCs w:val="24"/>
          <w:lang w:val="fr-CA"/>
        </w:rPr>
        <w:t>This list is subject to chang</w:t>
      </w:r>
      <w:r w:rsidR="00192F7F" w:rsidRPr="00602884">
        <w:rPr>
          <w:szCs w:val="24"/>
          <w:lang w:val="fr-CA"/>
        </w:rPr>
        <w:t>e</w:t>
      </w:r>
      <w:r w:rsidRPr="00602884">
        <w:rPr>
          <w:szCs w:val="24"/>
          <w:lang w:val="fr-CA"/>
        </w:rPr>
        <w:t>.</w:t>
      </w:r>
    </w:p>
    <w:p w:rsidR="00FF5AA4" w:rsidRPr="00602884" w:rsidRDefault="00FF5AA4" w:rsidP="006F2579">
      <w:pPr>
        <w:widowControl w:val="0"/>
        <w:rPr>
          <w:szCs w:val="24"/>
          <w:lang w:val="fr-CA"/>
        </w:rPr>
      </w:pPr>
    </w:p>
    <w:p w:rsidR="00B43418" w:rsidRPr="00602884" w:rsidRDefault="00B43418" w:rsidP="006F2579">
      <w:pPr>
        <w:widowControl w:val="0"/>
        <w:rPr>
          <w:szCs w:val="24"/>
          <w:lang w:val="fr-CA"/>
        </w:rPr>
      </w:pPr>
    </w:p>
    <w:p w:rsidR="006F2579" w:rsidRPr="00602884" w:rsidRDefault="006F2579" w:rsidP="006F2579">
      <w:pPr>
        <w:widowControl w:val="0"/>
        <w:jc w:val="center"/>
        <w:rPr>
          <w:szCs w:val="24"/>
          <w:lang w:val="fr-CA"/>
        </w:rPr>
      </w:pPr>
      <w:r w:rsidRPr="00602884">
        <w:rPr>
          <w:b/>
          <w:szCs w:val="24"/>
          <w:lang w:val="fr-CA"/>
        </w:rPr>
        <w:t>PROCHAIN JUGEMENT</w:t>
      </w:r>
      <w:r w:rsidR="00001846" w:rsidRPr="00602884">
        <w:rPr>
          <w:b/>
          <w:szCs w:val="24"/>
          <w:lang w:val="fr-CA"/>
        </w:rPr>
        <w:t xml:space="preserve"> SUR DEMANDE</w:t>
      </w:r>
      <w:r w:rsidRPr="00602884">
        <w:rPr>
          <w:b/>
          <w:szCs w:val="24"/>
          <w:lang w:val="fr-CA"/>
        </w:rPr>
        <w:t xml:space="preserve"> D’AUTORISATION</w:t>
      </w:r>
    </w:p>
    <w:p w:rsidR="006F2579" w:rsidRPr="00602884" w:rsidRDefault="006F2579" w:rsidP="006F2579">
      <w:pPr>
        <w:widowControl w:val="0"/>
        <w:rPr>
          <w:szCs w:val="24"/>
          <w:lang w:val="fr-CA"/>
        </w:rPr>
      </w:pPr>
    </w:p>
    <w:p w:rsidR="006F2579" w:rsidRPr="00602884" w:rsidRDefault="006F2579" w:rsidP="006F2579">
      <w:pPr>
        <w:widowControl w:val="0"/>
        <w:rPr>
          <w:szCs w:val="24"/>
          <w:lang w:val="fr-CA"/>
        </w:rPr>
      </w:pPr>
      <w:r w:rsidRPr="00602884">
        <w:rPr>
          <w:b/>
          <w:szCs w:val="24"/>
          <w:lang w:val="fr-CA"/>
        </w:rPr>
        <w:t>Le</w:t>
      </w:r>
      <w:r w:rsidR="00957A76" w:rsidRPr="00602884">
        <w:rPr>
          <w:b/>
          <w:szCs w:val="24"/>
          <w:lang w:val="fr-CA"/>
        </w:rPr>
        <w:t xml:space="preserve"> </w:t>
      </w:r>
      <w:r w:rsidR="0042507C" w:rsidRPr="00602884">
        <w:rPr>
          <w:b/>
          <w:szCs w:val="24"/>
          <w:lang w:val="fr-CA"/>
        </w:rPr>
        <w:t>31</w:t>
      </w:r>
      <w:r w:rsidR="00FA6BAB" w:rsidRPr="00602884">
        <w:rPr>
          <w:b/>
          <w:szCs w:val="24"/>
          <w:lang w:val="fr-CA"/>
        </w:rPr>
        <w:t xml:space="preserve"> </w:t>
      </w:r>
      <w:r w:rsidR="00DC4AAB" w:rsidRPr="00602884">
        <w:rPr>
          <w:b/>
          <w:szCs w:val="24"/>
          <w:lang w:val="fr-CA"/>
        </w:rPr>
        <w:t>octobre</w:t>
      </w:r>
      <w:r w:rsidR="00A151D1" w:rsidRPr="00602884">
        <w:rPr>
          <w:b/>
          <w:szCs w:val="24"/>
          <w:lang w:val="fr-CA"/>
        </w:rPr>
        <w:t xml:space="preserve"> 20</w:t>
      </w:r>
      <w:r w:rsidR="00526754" w:rsidRPr="00602884">
        <w:rPr>
          <w:b/>
          <w:szCs w:val="24"/>
          <w:lang w:val="fr-CA"/>
        </w:rPr>
        <w:t>2</w:t>
      </w:r>
      <w:r w:rsidR="00644008" w:rsidRPr="00602884">
        <w:rPr>
          <w:b/>
          <w:szCs w:val="24"/>
          <w:lang w:val="fr-CA"/>
        </w:rPr>
        <w:t>2</w:t>
      </w:r>
    </w:p>
    <w:p w:rsidR="006F2579" w:rsidRPr="00602884" w:rsidRDefault="006F2579" w:rsidP="006F2579">
      <w:pPr>
        <w:widowControl w:val="0"/>
        <w:rPr>
          <w:b/>
          <w:szCs w:val="24"/>
          <w:lang w:val="fr-CA"/>
        </w:rPr>
      </w:pPr>
      <w:r w:rsidRPr="00602884">
        <w:rPr>
          <w:b/>
          <w:szCs w:val="24"/>
          <w:lang w:val="fr-CA"/>
        </w:rPr>
        <w:t>Pour diffusion immédiate</w:t>
      </w:r>
    </w:p>
    <w:p w:rsidR="006F2579" w:rsidRPr="00602884" w:rsidRDefault="006F2579" w:rsidP="006F2579">
      <w:pPr>
        <w:widowControl w:val="0"/>
        <w:rPr>
          <w:szCs w:val="24"/>
          <w:lang w:val="fr-CA"/>
        </w:rPr>
      </w:pPr>
    </w:p>
    <w:p w:rsidR="006F2579" w:rsidRPr="00602884" w:rsidRDefault="006F2579" w:rsidP="006F2579">
      <w:pPr>
        <w:widowControl w:val="0"/>
        <w:rPr>
          <w:szCs w:val="24"/>
          <w:lang w:val="fr-CA"/>
        </w:rPr>
      </w:pPr>
      <w:r w:rsidRPr="00602884">
        <w:rPr>
          <w:b/>
          <w:szCs w:val="24"/>
          <w:lang w:val="fr-CA"/>
        </w:rPr>
        <w:t>OTTAWA</w:t>
      </w:r>
      <w:r w:rsidRPr="00602884">
        <w:rPr>
          <w:szCs w:val="24"/>
          <w:lang w:val="fr-CA"/>
        </w:rPr>
        <w:t xml:space="preserve"> – La Cour suprême du Canada annonce que jugement ser</w:t>
      </w:r>
      <w:r w:rsidR="004259F9" w:rsidRPr="00602884">
        <w:rPr>
          <w:szCs w:val="24"/>
          <w:lang w:val="fr-CA"/>
        </w:rPr>
        <w:t>a</w:t>
      </w:r>
      <w:r w:rsidRPr="00602884">
        <w:rPr>
          <w:szCs w:val="24"/>
          <w:lang w:val="fr-CA"/>
        </w:rPr>
        <w:t xml:space="preserve"> rendu dans l</w:t>
      </w:r>
      <w:r w:rsidR="00602884" w:rsidRPr="00602884">
        <w:rPr>
          <w:szCs w:val="24"/>
          <w:lang w:val="fr-CA"/>
        </w:rPr>
        <w:t>a</w:t>
      </w:r>
      <w:r w:rsidRPr="00602884">
        <w:rPr>
          <w:szCs w:val="24"/>
          <w:lang w:val="fr-CA"/>
        </w:rPr>
        <w:t xml:space="preserve"> demande d</w:t>
      </w:r>
      <w:r w:rsidR="00001846" w:rsidRPr="00602884">
        <w:rPr>
          <w:szCs w:val="24"/>
          <w:lang w:val="fr-CA"/>
        </w:rPr>
        <w:t>’autorisation suivante</w:t>
      </w:r>
      <w:r w:rsidRPr="00602884">
        <w:rPr>
          <w:szCs w:val="24"/>
          <w:lang w:val="fr-CA"/>
        </w:rPr>
        <w:t xml:space="preserve"> le </w:t>
      </w:r>
      <w:r w:rsidR="00322A9C" w:rsidRPr="00602884">
        <w:rPr>
          <w:szCs w:val="24"/>
          <w:lang w:val="fr-CA"/>
        </w:rPr>
        <w:t>jeu</w:t>
      </w:r>
      <w:r w:rsidR="00680A85" w:rsidRPr="00602884">
        <w:rPr>
          <w:szCs w:val="24"/>
          <w:lang w:val="fr-CA"/>
        </w:rPr>
        <w:t>di</w:t>
      </w:r>
      <w:r w:rsidRPr="00602884">
        <w:rPr>
          <w:szCs w:val="24"/>
          <w:lang w:val="fr-CA"/>
        </w:rPr>
        <w:t xml:space="preserve"> </w:t>
      </w:r>
      <w:r w:rsidR="0042507C" w:rsidRPr="00602884">
        <w:rPr>
          <w:szCs w:val="24"/>
          <w:lang w:val="fr-CA"/>
        </w:rPr>
        <w:t>3</w:t>
      </w:r>
      <w:r w:rsidR="009E0BD3" w:rsidRPr="00602884">
        <w:rPr>
          <w:szCs w:val="24"/>
          <w:lang w:val="fr-CA"/>
        </w:rPr>
        <w:t xml:space="preserve"> </w:t>
      </w:r>
      <w:r w:rsidR="0042507C" w:rsidRPr="00602884">
        <w:rPr>
          <w:szCs w:val="24"/>
          <w:lang w:val="fr-CA"/>
        </w:rPr>
        <w:t>novembre</w:t>
      </w:r>
      <w:r w:rsidR="00694391" w:rsidRPr="00602884">
        <w:rPr>
          <w:szCs w:val="24"/>
          <w:lang w:val="fr-CA"/>
        </w:rPr>
        <w:t xml:space="preserve"> 2</w:t>
      </w:r>
      <w:r w:rsidR="006648D1" w:rsidRPr="00602884">
        <w:rPr>
          <w:szCs w:val="24"/>
          <w:lang w:val="fr-CA"/>
        </w:rPr>
        <w:t>0</w:t>
      </w:r>
      <w:r w:rsidR="00526754" w:rsidRPr="00602884">
        <w:rPr>
          <w:szCs w:val="24"/>
          <w:lang w:val="fr-CA"/>
        </w:rPr>
        <w:t>2</w:t>
      </w:r>
      <w:r w:rsidR="00644008" w:rsidRPr="00602884">
        <w:rPr>
          <w:szCs w:val="24"/>
          <w:lang w:val="fr-CA"/>
        </w:rPr>
        <w:t>2</w:t>
      </w:r>
      <w:r w:rsidRPr="00602884">
        <w:rPr>
          <w:szCs w:val="24"/>
          <w:lang w:val="fr-CA"/>
        </w:rPr>
        <w:t xml:space="preserve">, à 9 h 45 </w:t>
      </w:r>
      <w:r w:rsidR="000627A2" w:rsidRPr="00602884">
        <w:rPr>
          <w:szCs w:val="24"/>
          <w:lang w:val="fr-CA"/>
        </w:rPr>
        <w:t>H</w:t>
      </w:r>
      <w:r w:rsidR="00882B6B" w:rsidRPr="00602884">
        <w:rPr>
          <w:szCs w:val="24"/>
          <w:lang w:val="fr-CA"/>
        </w:rPr>
        <w:t>A</w:t>
      </w:r>
      <w:r w:rsidRPr="00602884">
        <w:rPr>
          <w:szCs w:val="24"/>
          <w:lang w:val="fr-CA"/>
        </w:rPr>
        <w:t>E. Cette liste est sujette à modification</w:t>
      </w:r>
      <w:r w:rsidR="00130ADB" w:rsidRPr="00602884">
        <w:rPr>
          <w:szCs w:val="24"/>
          <w:lang w:val="fr-CA"/>
        </w:rPr>
        <w:t>s</w:t>
      </w:r>
      <w:r w:rsidRPr="00602884">
        <w:rPr>
          <w:szCs w:val="24"/>
          <w:lang w:val="fr-CA"/>
        </w:rPr>
        <w:t>.</w:t>
      </w:r>
    </w:p>
    <w:p w:rsidR="0080556B" w:rsidRPr="00602884" w:rsidRDefault="0080556B" w:rsidP="005F2A78">
      <w:pPr>
        <w:widowControl w:val="0"/>
        <w:tabs>
          <w:tab w:val="left" w:pos="3840"/>
        </w:tabs>
        <w:jc w:val="both"/>
        <w:rPr>
          <w:sz w:val="20"/>
          <w:lang w:val="fr-CA"/>
        </w:rPr>
      </w:pPr>
    </w:p>
    <w:p w:rsidR="00867C61" w:rsidRPr="00602884" w:rsidRDefault="00602884" w:rsidP="009B14F4">
      <w:pPr>
        <w:widowControl w:val="0"/>
        <w:jc w:val="both"/>
        <w:rPr>
          <w:sz w:val="20"/>
        </w:rPr>
      </w:pPr>
      <w:r w:rsidRPr="00602884">
        <w:rPr>
          <w:sz w:val="20"/>
        </w:rPr>
        <w:pict>
          <v:rect id="_x0000_i1025" style="width:2in;height:1pt" o:hrpct="0" o:hralign="center" o:hrstd="t" o:hrnoshade="t" o:hr="t" fillcolor="black [3213]" stroked="f"/>
        </w:pict>
      </w:r>
    </w:p>
    <w:p w:rsidR="004A6E51" w:rsidRPr="00602884" w:rsidRDefault="004A6E51" w:rsidP="00963277">
      <w:pPr>
        <w:ind w:left="357" w:hanging="357"/>
        <w:rPr>
          <w:sz w:val="20"/>
          <w:lang w:val="fr-CA"/>
        </w:rPr>
      </w:pPr>
    </w:p>
    <w:p w:rsidR="00602884" w:rsidRPr="00602884" w:rsidRDefault="00602884" w:rsidP="00602884">
      <w:pPr>
        <w:pStyle w:val="SCCLsocParty"/>
        <w:numPr>
          <w:ilvl w:val="0"/>
          <w:numId w:val="19"/>
        </w:numPr>
        <w:ind w:left="357" w:hanging="357"/>
        <w:jc w:val="left"/>
        <w:rPr>
          <w:b/>
          <w:i/>
          <w:sz w:val="20"/>
          <w:szCs w:val="20"/>
          <w:lang w:val="en-US"/>
        </w:rPr>
      </w:pPr>
      <w:r w:rsidRPr="00602884">
        <w:rPr>
          <w:i/>
          <w:sz w:val="20"/>
          <w:szCs w:val="20"/>
          <w:lang w:val="en-US"/>
        </w:rPr>
        <w:t xml:space="preserve">Barry Alan </w:t>
      </w:r>
      <w:r w:rsidRPr="00602884">
        <w:rPr>
          <w:i/>
          <w:sz w:val="20"/>
          <w:szCs w:val="20"/>
          <w:lang w:val="en-US"/>
        </w:rPr>
        <w:t>Wollach v. His Majesty the King</w:t>
      </w:r>
      <w:r w:rsidRPr="00602884">
        <w:rPr>
          <w:sz w:val="20"/>
          <w:szCs w:val="20"/>
          <w:lang w:val="en-US"/>
        </w:rPr>
        <w:t xml:space="preserve"> (Alta.) (Criminal) (By Leave)</w:t>
      </w:r>
      <w:r w:rsidRPr="00602884">
        <w:rPr>
          <w:sz w:val="20"/>
          <w:szCs w:val="20"/>
          <w:lang w:val="en-US"/>
        </w:rPr>
        <w:t xml:space="preserve"> </w:t>
      </w:r>
      <w:r w:rsidRPr="00602884">
        <w:rPr>
          <w:sz w:val="20"/>
        </w:rPr>
        <w:t>(</w:t>
      </w:r>
      <w:hyperlink r:id="rId8" w:history="1">
        <w:r w:rsidRPr="00602884">
          <w:rPr>
            <w:rStyle w:val="Hyperlink"/>
            <w:sz w:val="20"/>
          </w:rPr>
          <w:t>40207</w:t>
        </w:r>
      </w:hyperlink>
      <w:r w:rsidRPr="00602884">
        <w:rPr>
          <w:sz w:val="20"/>
        </w:rPr>
        <w:t>)</w:t>
      </w:r>
    </w:p>
    <w:p w:rsidR="00F649C7" w:rsidRPr="00602884" w:rsidRDefault="00F649C7" w:rsidP="0053032E">
      <w:pPr>
        <w:widowControl w:val="0"/>
        <w:jc w:val="both"/>
        <w:rPr>
          <w:sz w:val="20"/>
        </w:rPr>
      </w:pPr>
    </w:p>
    <w:p w:rsidR="0057402C" w:rsidRPr="00602884" w:rsidRDefault="00602884" w:rsidP="0053032E">
      <w:pPr>
        <w:widowControl w:val="0"/>
        <w:jc w:val="both"/>
        <w:rPr>
          <w:sz w:val="20"/>
        </w:rPr>
      </w:pPr>
      <w:r w:rsidRPr="00602884">
        <w:rPr>
          <w:sz w:val="20"/>
        </w:rPr>
        <w:pict>
          <v:rect id="_x0000_i1026" style="width:2in;height:1pt" o:hrpct="0" o:hralign="center" o:hrstd="t" o:hrnoshade="t" o:hr="t" fillcolor="black [3213]" stroked="f"/>
        </w:pict>
      </w:r>
    </w:p>
    <w:p w:rsidR="0042507C" w:rsidRPr="00602884" w:rsidRDefault="0042507C" w:rsidP="002B2C2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02884" w:rsidRPr="00602884" w:rsidTr="00E95A6A">
        <w:tc>
          <w:tcPr>
            <w:tcW w:w="543" w:type="pct"/>
          </w:tcPr>
          <w:p w:rsidR="00602884" w:rsidRPr="00602884" w:rsidRDefault="00602884" w:rsidP="00602884">
            <w:pPr>
              <w:jc w:val="both"/>
              <w:rPr>
                <w:sz w:val="20"/>
              </w:rPr>
            </w:pPr>
            <w:r w:rsidRPr="00602884">
              <w:rPr>
                <w:rStyle w:val="SCCFileNumberChar"/>
                <w:sz w:val="20"/>
                <w:szCs w:val="20"/>
              </w:rPr>
              <w:t>40207</w:t>
            </w:r>
          </w:p>
        </w:tc>
        <w:tc>
          <w:tcPr>
            <w:tcW w:w="4457" w:type="pct"/>
            <w:gridSpan w:val="3"/>
          </w:tcPr>
          <w:p w:rsidR="00602884" w:rsidRPr="00602884" w:rsidRDefault="00602884" w:rsidP="00602884">
            <w:pPr>
              <w:pStyle w:val="SCCLsocParty"/>
              <w:jc w:val="both"/>
              <w:rPr>
                <w:b/>
                <w:sz w:val="20"/>
                <w:szCs w:val="20"/>
                <w:lang w:val="en-US"/>
              </w:rPr>
            </w:pPr>
            <w:r w:rsidRPr="00602884">
              <w:rPr>
                <w:b/>
                <w:sz w:val="20"/>
                <w:szCs w:val="20"/>
                <w:lang w:val="en-US"/>
              </w:rPr>
              <w:t>Barry Alan Wollach v. His Majesty the King</w:t>
            </w:r>
          </w:p>
          <w:p w:rsidR="00602884" w:rsidRPr="00602884" w:rsidRDefault="00602884" w:rsidP="00602884">
            <w:pPr>
              <w:jc w:val="both"/>
              <w:rPr>
                <w:sz w:val="20"/>
              </w:rPr>
            </w:pPr>
            <w:r w:rsidRPr="00602884">
              <w:rPr>
                <w:sz w:val="20"/>
              </w:rPr>
              <w:t>(Alta.) (Criminal) (By Leave)</w:t>
            </w:r>
          </w:p>
        </w:tc>
      </w:tr>
      <w:tr w:rsidR="00602884" w:rsidRPr="00602884" w:rsidTr="00E95A6A">
        <w:tc>
          <w:tcPr>
            <w:tcW w:w="5000" w:type="pct"/>
            <w:gridSpan w:val="4"/>
          </w:tcPr>
          <w:p w:rsidR="00602884" w:rsidRPr="00602884" w:rsidRDefault="00602884" w:rsidP="00602884">
            <w:pPr>
              <w:jc w:val="both"/>
              <w:rPr>
                <w:smallCaps/>
                <w:sz w:val="20"/>
              </w:rPr>
            </w:pPr>
            <w:r w:rsidRPr="00602884">
              <w:rPr>
                <w:smallCaps/>
                <w:sz w:val="20"/>
              </w:rPr>
              <w:t>(publication ban in case)</w:t>
            </w:r>
          </w:p>
          <w:p w:rsidR="00602884" w:rsidRPr="00602884" w:rsidRDefault="00602884" w:rsidP="00602884">
            <w:pPr>
              <w:jc w:val="both"/>
              <w:rPr>
                <w:sz w:val="20"/>
              </w:rPr>
            </w:pPr>
          </w:p>
          <w:p w:rsidR="00602884" w:rsidRPr="00602884" w:rsidRDefault="00602884" w:rsidP="00602884">
            <w:pPr>
              <w:jc w:val="both"/>
              <w:rPr>
                <w:sz w:val="20"/>
              </w:rPr>
            </w:pPr>
            <w:r w:rsidRPr="00602884">
              <w:rPr>
                <w:sz w:val="20"/>
              </w:rPr>
              <w:t xml:space="preserve">Criminal law — Evidence — Assessment — Credibility — Duty to disclose — Whether the test set out in </w:t>
            </w:r>
            <w:r w:rsidRPr="00602884">
              <w:rPr>
                <w:i/>
                <w:sz w:val="20"/>
              </w:rPr>
              <w:t xml:space="preserve">R. v. Dixon </w:t>
            </w:r>
            <w:r w:rsidRPr="00602884">
              <w:rPr>
                <w:sz w:val="20"/>
              </w:rPr>
              <w:t>as it applies to convictions based exclusively on credibility assessments needs to be clarified — Whether the appellate standard of review as it applies to the sufficiency of reasons in credibility cases needs to be clarified.</w:t>
            </w:r>
          </w:p>
        </w:tc>
      </w:tr>
      <w:tr w:rsidR="00602884" w:rsidRPr="00602884" w:rsidTr="00E95A6A">
        <w:tc>
          <w:tcPr>
            <w:tcW w:w="5000" w:type="pct"/>
            <w:gridSpan w:val="4"/>
          </w:tcPr>
          <w:p w:rsidR="00602884" w:rsidRPr="00602884" w:rsidRDefault="00602884" w:rsidP="00602884">
            <w:pPr>
              <w:jc w:val="both"/>
              <w:rPr>
                <w:sz w:val="20"/>
              </w:rPr>
            </w:pPr>
          </w:p>
          <w:p w:rsidR="00602884" w:rsidRPr="00602884" w:rsidRDefault="00602884" w:rsidP="00602884">
            <w:pPr>
              <w:jc w:val="both"/>
              <w:rPr>
                <w:sz w:val="20"/>
              </w:rPr>
            </w:pPr>
            <w:r w:rsidRPr="00602884">
              <w:rPr>
                <w:sz w:val="20"/>
              </w:rPr>
              <w:t>The applicant met the complainant on a dating app. They went out for dinner and returned to his house where sexual activity took place. The complainant sought medical attention the next day. She contacted police three months later.</w:t>
            </w:r>
            <w:r w:rsidRPr="00602884">
              <w:rPr>
                <w:color w:val="000000"/>
                <w:sz w:val="20"/>
              </w:rPr>
              <w:t xml:space="preserve"> The applicant’s evidence was that the acts were consensual. The complainant testified that she did not consent to the sexual activity. Following the applicant’s conviction and prior to sentencing, the parties discovered and reviewed a two-page written statement the complainant had prepared during her visit the day following the alleged assault. The statement itself was not, however, in the possession of the police, Crown, or defence at the time of trial, nor were any of them aware of its existence at that time. The applicant brought a mistrial application on the basis that he had been precluded from cross-examining the complainant on the contents of the statement, which he argued had inconsistencies. An application for a mistrial was dismissed. The applicant was convicted of sexual assault. The conviction appeal was dismissed.</w:t>
            </w:r>
          </w:p>
        </w:tc>
      </w:tr>
      <w:tr w:rsidR="00602884" w:rsidRPr="00602884" w:rsidTr="00E95A6A">
        <w:tc>
          <w:tcPr>
            <w:tcW w:w="5000" w:type="pct"/>
            <w:gridSpan w:val="4"/>
          </w:tcPr>
          <w:p w:rsidR="00602884" w:rsidRPr="00602884" w:rsidRDefault="00602884" w:rsidP="00602884">
            <w:pPr>
              <w:jc w:val="both"/>
              <w:rPr>
                <w:sz w:val="20"/>
              </w:rPr>
            </w:pPr>
          </w:p>
        </w:tc>
      </w:tr>
      <w:tr w:rsidR="00602884" w:rsidRPr="00602884" w:rsidTr="00E95A6A">
        <w:tc>
          <w:tcPr>
            <w:tcW w:w="2427" w:type="pct"/>
            <w:gridSpan w:val="2"/>
          </w:tcPr>
          <w:p w:rsidR="00602884" w:rsidRPr="00602884" w:rsidRDefault="00602884" w:rsidP="00602884">
            <w:pPr>
              <w:jc w:val="both"/>
              <w:rPr>
                <w:sz w:val="20"/>
              </w:rPr>
            </w:pPr>
            <w:r w:rsidRPr="00602884">
              <w:rPr>
                <w:sz w:val="20"/>
              </w:rPr>
              <w:t>November 30, 2020</w:t>
            </w:r>
          </w:p>
          <w:p w:rsidR="00602884" w:rsidRPr="00602884" w:rsidRDefault="00602884" w:rsidP="00602884">
            <w:pPr>
              <w:jc w:val="both"/>
              <w:rPr>
                <w:sz w:val="20"/>
              </w:rPr>
            </w:pPr>
            <w:r w:rsidRPr="00602884">
              <w:rPr>
                <w:sz w:val="20"/>
              </w:rPr>
              <w:t>Provincial Court of Alberta</w:t>
            </w:r>
          </w:p>
          <w:p w:rsidR="00602884" w:rsidRPr="00602884" w:rsidRDefault="00602884" w:rsidP="00602884">
            <w:pPr>
              <w:jc w:val="both"/>
              <w:rPr>
                <w:sz w:val="20"/>
              </w:rPr>
            </w:pPr>
            <w:r w:rsidRPr="00602884">
              <w:rPr>
                <w:sz w:val="20"/>
              </w:rPr>
              <w:t>(Stevenson P.C.J.)</w:t>
            </w:r>
          </w:p>
          <w:p w:rsidR="00602884" w:rsidRPr="00602884" w:rsidRDefault="00602884" w:rsidP="00602884">
            <w:pPr>
              <w:jc w:val="both"/>
              <w:rPr>
                <w:sz w:val="20"/>
              </w:rPr>
            </w:pPr>
            <w:hyperlink r:id="rId9" w:history="1">
              <w:r w:rsidRPr="00602884">
                <w:rPr>
                  <w:rStyle w:val="Hyperlink"/>
                  <w:sz w:val="20"/>
                </w:rPr>
                <w:t>2019 ABPC 266</w:t>
              </w:r>
            </w:hyperlink>
          </w:p>
          <w:p w:rsidR="00602884" w:rsidRPr="00602884" w:rsidRDefault="00602884" w:rsidP="00602884">
            <w:pPr>
              <w:jc w:val="both"/>
              <w:rPr>
                <w:sz w:val="20"/>
              </w:rPr>
            </w:pPr>
          </w:p>
        </w:tc>
        <w:tc>
          <w:tcPr>
            <w:tcW w:w="243" w:type="pct"/>
          </w:tcPr>
          <w:p w:rsidR="00602884" w:rsidRPr="00602884" w:rsidRDefault="00602884" w:rsidP="00602884">
            <w:pPr>
              <w:jc w:val="both"/>
              <w:rPr>
                <w:sz w:val="20"/>
              </w:rPr>
            </w:pPr>
          </w:p>
        </w:tc>
        <w:tc>
          <w:tcPr>
            <w:tcW w:w="2330" w:type="pct"/>
          </w:tcPr>
          <w:p w:rsidR="00602884" w:rsidRPr="00602884" w:rsidRDefault="00602884" w:rsidP="00602884">
            <w:pPr>
              <w:jc w:val="both"/>
              <w:rPr>
                <w:sz w:val="20"/>
              </w:rPr>
            </w:pPr>
            <w:r w:rsidRPr="00602884">
              <w:rPr>
                <w:sz w:val="20"/>
              </w:rPr>
              <w:t>Conviction: sexual assault</w:t>
            </w:r>
          </w:p>
          <w:p w:rsidR="00602884" w:rsidRPr="00602884" w:rsidRDefault="00602884" w:rsidP="00602884">
            <w:pPr>
              <w:jc w:val="both"/>
              <w:rPr>
                <w:sz w:val="20"/>
              </w:rPr>
            </w:pPr>
          </w:p>
        </w:tc>
      </w:tr>
      <w:tr w:rsidR="00602884" w:rsidRPr="00602884" w:rsidTr="00E95A6A">
        <w:tc>
          <w:tcPr>
            <w:tcW w:w="2427" w:type="pct"/>
            <w:gridSpan w:val="2"/>
          </w:tcPr>
          <w:p w:rsidR="00602884" w:rsidRPr="00602884" w:rsidRDefault="00602884" w:rsidP="00602884">
            <w:pPr>
              <w:jc w:val="both"/>
              <w:rPr>
                <w:sz w:val="20"/>
              </w:rPr>
            </w:pPr>
            <w:r w:rsidRPr="00602884">
              <w:rPr>
                <w:sz w:val="20"/>
              </w:rPr>
              <w:t>March 16, 2022</w:t>
            </w:r>
          </w:p>
          <w:p w:rsidR="00602884" w:rsidRPr="00602884" w:rsidRDefault="00602884" w:rsidP="00602884">
            <w:pPr>
              <w:jc w:val="both"/>
              <w:rPr>
                <w:sz w:val="20"/>
              </w:rPr>
            </w:pPr>
            <w:r w:rsidRPr="00602884">
              <w:rPr>
                <w:sz w:val="20"/>
              </w:rPr>
              <w:t>Court of Appeal of Alberta (Calgary)</w:t>
            </w:r>
          </w:p>
          <w:p w:rsidR="00602884" w:rsidRPr="00602884" w:rsidRDefault="00602884" w:rsidP="00602884">
            <w:pPr>
              <w:jc w:val="both"/>
              <w:rPr>
                <w:sz w:val="20"/>
              </w:rPr>
            </w:pPr>
            <w:r w:rsidRPr="00602884">
              <w:rPr>
                <w:sz w:val="20"/>
              </w:rPr>
              <w:t>(Paperny, Rowbotham, Strekaf JJ.A.)</w:t>
            </w:r>
          </w:p>
          <w:p w:rsidR="00602884" w:rsidRPr="00602884" w:rsidRDefault="00602884" w:rsidP="00602884">
            <w:pPr>
              <w:jc w:val="both"/>
              <w:rPr>
                <w:sz w:val="20"/>
              </w:rPr>
            </w:pPr>
            <w:r w:rsidRPr="00602884">
              <w:rPr>
                <w:sz w:val="20"/>
              </w:rPr>
              <w:t xml:space="preserve">2001-0210A; </w:t>
            </w:r>
            <w:hyperlink r:id="rId10" w:history="1">
              <w:r w:rsidRPr="00602884">
                <w:rPr>
                  <w:rStyle w:val="Hyperlink"/>
                  <w:sz w:val="20"/>
                </w:rPr>
                <w:t>2022 ABCA 95</w:t>
              </w:r>
            </w:hyperlink>
          </w:p>
          <w:p w:rsidR="00602884" w:rsidRPr="00602884" w:rsidRDefault="00602884" w:rsidP="00602884">
            <w:pPr>
              <w:jc w:val="both"/>
              <w:rPr>
                <w:sz w:val="20"/>
              </w:rPr>
            </w:pPr>
          </w:p>
        </w:tc>
        <w:tc>
          <w:tcPr>
            <w:tcW w:w="243" w:type="pct"/>
          </w:tcPr>
          <w:p w:rsidR="00602884" w:rsidRPr="00602884" w:rsidRDefault="00602884" w:rsidP="00602884">
            <w:pPr>
              <w:jc w:val="both"/>
              <w:rPr>
                <w:sz w:val="20"/>
              </w:rPr>
            </w:pPr>
          </w:p>
        </w:tc>
        <w:tc>
          <w:tcPr>
            <w:tcW w:w="2330" w:type="pct"/>
          </w:tcPr>
          <w:p w:rsidR="00602884" w:rsidRPr="00602884" w:rsidRDefault="00602884" w:rsidP="00602884">
            <w:pPr>
              <w:jc w:val="both"/>
              <w:rPr>
                <w:sz w:val="20"/>
              </w:rPr>
            </w:pPr>
            <w:r w:rsidRPr="00602884">
              <w:rPr>
                <w:sz w:val="20"/>
              </w:rPr>
              <w:t>Appeal dismissed</w:t>
            </w:r>
          </w:p>
          <w:p w:rsidR="00602884" w:rsidRPr="00602884" w:rsidRDefault="00602884" w:rsidP="00602884">
            <w:pPr>
              <w:jc w:val="both"/>
              <w:rPr>
                <w:sz w:val="20"/>
              </w:rPr>
            </w:pPr>
          </w:p>
        </w:tc>
      </w:tr>
      <w:tr w:rsidR="00602884" w:rsidRPr="00602884" w:rsidTr="00E95A6A">
        <w:tc>
          <w:tcPr>
            <w:tcW w:w="2427" w:type="pct"/>
            <w:gridSpan w:val="2"/>
          </w:tcPr>
          <w:p w:rsidR="00602884" w:rsidRPr="00602884" w:rsidRDefault="00602884" w:rsidP="00602884">
            <w:pPr>
              <w:jc w:val="both"/>
              <w:rPr>
                <w:sz w:val="20"/>
              </w:rPr>
            </w:pPr>
            <w:r w:rsidRPr="00602884">
              <w:rPr>
                <w:sz w:val="20"/>
              </w:rPr>
              <w:t>June 9, 2022</w:t>
            </w:r>
          </w:p>
          <w:p w:rsidR="00602884" w:rsidRPr="00602884" w:rsidRDefault="00602884" w:rsidP="00602884">
            <w:pPr>
              <w:jc w:val="both"/>
              <w:rPr>
                <w:sz w:val="20"/>
              </w:rPr>
            </w:pPr>
            <w:r w:rsidRPr="00602884">
              <w:rPr>
                <w:sz w:val="20"/>
              </w:rPr>
              <w:t>Supreme Court of Canada</w:t>
            </w:r>
          </w:p>
          <w:p w:rsidR="00602884" w:rsidRPr="00602884" w:rsidRDefault="00602884" w:rsidP="00602884">
            <w:pPr>
              <w:jc w:val="both"/>
              <w:rPr>
                <w:sz w:val="20"/>
              </w:rPr>
            </w:pPr>
          </w:p>
        </w:tc>
        <w:tc>
          <w:tcPr>
            <w:tcW w:w="243" w:type="pct"/>
          </w:tcPr>
          <w:p w:rsidR="00602884" w:rsidRPr="00602884" w:rsidRDefault="00602884" w:rsidP="00602884">
            <w:pPr>
              <w:jc w:val="both"/>
              <w:rPr>
                <w:sz w:val="20"/>
              </w:rPr>
            </w:pPr>
          </w:p>
        </w:tc>
        <w:tc>
          <w:tcPr>
            <w:tcW w:w="2330" w:type="pct"/>
          </w:tcPr>
          <w:p w:rsidR="00602884" w:rsidRPr="00602884" w:rsidRDefault="00602884" w:rsidP="00602884">
            <w:pPr>
              <w:jc w:val="both"/>
              <w:rPr>
                <w:sz w:val="20"/>
              </w:rPr>
            </w:pPr>
            <w:r w:rsidRPr="00602884">
              <w:rPr>
                <w:sz w:val="20"/>
              </w:rPr>
              <w:t>Motion for an extension of time to serve and file the application for leave to appeal and application for leave to appeal filed</w:t>
            </w:r>
          </w:p>
        </w:tc>
      </w:tr>
    </w:tbl>
    <w:p w:rsidR="00602884" w:rsidRPr="00602884" w:rsidRDefault="00602884" w:rsidP="00602884">
      <w:pPr>
        <w:jc w:val="both"/>
        <w:rPr>
          <w:sz w:val="20"/>
        </w:rPr>
      </w:pPr>
    </w:p>
    <w:p w:rsidR="00602884" w:rsidRPr="00602884" w:rsidRDefault="00602884" w:rsidP="00602884">
      <w:pPr>
        <w:jc w:val="both"/>
        <w:rPr>
          <w:sz w:val="20"/>
        </w:rPr>
      </w:pPr>
      <w:r w:rsidRPr="00602884">
        <w:rPr>
          <w:sz w:val="20"/>
        </w:rPr>
        <w:pict>
          <v:rect id="_x0000_i1029" style="width:2in;height:1pt" o:hrpct="0" o:hralign="center" o:hrstd="t" o:hrnoshade="t" o:hr="t" fillcolor="black [3213]" stroked="f"/>
        </w:pict>
      </w:r>
    </w:p>
    <w:p w:rsidR="00602884" w:rsidRPr="00602884" w:rsidRDefault="00602884" w:rsidP="006028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02884" w:rsidRPr="00602884" w:rsidTr="00E95A6A">
        <w:tc>
          <w:tcPr>
            <w:tcW w:w="543" w:type="pct"/>
          </w:tcPr>
          <w:p w:rsidR="00602884" w:rsidRPr="00602884" w:rsidRDefault="00602884" w:rsidP="00602884">
            <w:pPr>
              <w:jc w:val="both"/>
              <w:rPr>
                <w:sz w:val="20"/>
                <w:lang w:val="fr-CA"/>
              </w:rPr>
            </w:pPr>
            <w:r w:rsidRPr="00602884">
              <w:rPr>
                <w:rStyle w:val="SCCFileNumberChar"/>
                <w:sz w:val="20"/>
                <w:szCs w:val="20"/>
                <w:lang w:val="fr-CA"/>
              </w:rPr>
              <w:t>40207</w:t>
            </w:r>
          </w:p>
        </w:tc>
        <w:tc>
          <w:tcPr>
            <w:tcW w:w="4457" w:type="pct"/>
            <w:gridSpan w:val="3"/>
          </w:tcPr>
          <w:p w:rsidR="00602884" w:rsidRPr="00602884" w:rsidRDefault="00602884" w:rsidP="00602884">
            <w:pPr>
              <w:pStyle w:val="SCCLsocParty"/>
              <w:jc w:val="both"/>
              <w:rPr>
                <w:b/>
                <w:sz w:val="20"/>
                <w:szCs w:val="20"/>
              </w:rPr>
            </w:pPr>
            <w:r w:rsidRPr="00602884">
              <w:rPr>
                <w:b/>
                <w:sz w:val="20"/>
                <w:szCs w:val="20"/>
              </w:rPr>
              <w:t>Barry Alan Wollach c. Sa Majesté le Roi</w:t>
            </w:r>
          </w:p>
          <w:p w:rsidR="00602884" w:rsidRPr="00602884" w:rsidRDefault="00602884" w:rsidP="00602884">
            <w:pPr>
              <w:jc w:val="both"/>
              <w:rPr>
                <w:sz w:val="20"/>
                <w:lang w:val="fr-CA"/>
              </w:rPr>
            </w:pPr>
            <w:r w:rsidRPr="00602884">
              <w:rPr>
                <w:sz w:val="20"/>
                <w:lang w:val="fr-CA"/>
              </w:rPr>
              <w:t>(Alb.) (criminelle) (sur autorisation)</w:t>
            </w:r>
          </w:p>
        </w:tc>
      </w:tr>
      <w:tr w:rsidR="00602884" w:rsidRPr="00602884" w:rsidTr="00E95A6A">
        <w:tc>
          <w:tcPr>
            <w:tcW w:w="5000" w:type="pct"/>
            <w:gridSpan w:val="4"/>
          </w:tcPr>
          <w:p w:rsidR="00602884" w:rsidRPr="00602884" w:rsidRDefault="00602884" w:rsidP="00602884">
            <w:pPr>
              <w:pStyle w:val="SCCBanSummary"/>
              <w:rPr>
                <w:smallCaps w:val="0"/>
                <w:sz w:val="20"/>
                <w:szCs w:val="20"/>
                <w:lang w:val="fr-CA"/>
              </w:rPr>
            </w:pPr>
            <w:r w:rsidRPr="00602884">
              <w:rPr>
                <w:sz w:val="20"/>
                <w:szCs w:val="20"/>
                <w:lang w:val="fr-CA"/>
              </w:rPr>
              <w:t>(Ordonnance de non-publication au dossier)</w:t>
            </w:r>
          </w:p>
          <w:p w:rsidR="00602884" w:rsidRPr="00602884" w:rsidRDefault="00602884" w:rsidP="00602884">
            <w:pPr>
              <w:jc w:val="both"/>
              <w:rPr>
                <w:sz w:val="20"/>
                <w:lang w:val="fr-CA"/>
              </w:rPr>
            </w:pPr>
          </w:p>
          <w:p w:rsidR="00602884" w:rsidRPr="00602884" w:rsidRDefault="00602884" w:rsidP="00602884">
            <w:pPr>
              <w:jc w:val="both"/>
              <w:rPr>
                <w:sz w:val="20"/>
                <w:lang w:val="fr-CA"/>
              </w:rPr>
            </w:pPr>
            <w:r w:rsidRPr="00602884">
              <w:rPr>
                <w:sz w:val="20"/>
                <w:lang w:val="fr-CA"/>
              </w:rPr>
              <w:t xml:space="preserve">Droit criminel — Preuve — Appréciation — Crédibilité — Obligation de divulguer la preuve — Convient-il de clarifier le test applicable aux déclarations de culpabilité fondée entièrement sur l’appréciation de la crédibilité énoncé dans l’arrêt </w:t>
            </w:r>
            <w:r w:rsidRPr="00602884">
              <w:rPr>
                <w:i/>
                <w:sz w:val="20"/>
                <w:lang w:val="fr-CA"/>
              </w:rPr>
              <w:t>R. c. Dixon </w:t>
            </w:r>
            <w:r w:rsidRPr="00602884">
              <w:rPr>
                <w:sz w:val="20"/>
                <w:lang w:val="fr-CA"/>
              </w:rPr>
              <w:t>? — Convient-il de clarifier la norme de contrôle en appel applicable au caractère suffisant des motifs dans les affaires mettant en cause la crédibilité ?</w:t>
            </w:r>
          </w:p>
        </w:tc>
      </w:tr>
      <w:tr w:rsidR="00602884" w:rsidRPr="00602884" w:rsidTr="00E95A6A">
        <w:tc>
          <w:tcPr>
            <w:tcW w:w="5000" w:type="pct"/>
            <w:gridSpan w:val="4"/>
          </w:tcPr>
          <w:p w:rsidR="00602884" w:rsidRPr="00602884" w:rsidRDefault="00602884" w:rsidP="00602884">
            <w:pPr>
              <w:jc w:val="both"/>
              <w:rPr>
                <w:sz w:val="20"/>
                <w:lang w:val="fr-CA"/>
              </w:rPr>
            </w:pPr>
          </w:p>
          <w:p w:rsidR="00602884" w:rsidRPr="00602884" w:rsidRDefault="00602884" w:rsidP="00602884">
            <w:pPr>
              <w:jc w:val="both"/>
              <w:rPr>
                <w:sz w:val="20"/>
                <w:lang w:val="fr-CA"/>
              </w:rPr>
            </w:pPr>
            <w:r w:rsidRPr="00602884">
              <w:rPr>
                <w:sz w:val="20"/>
                <w:lang w:val="fr-CA"/>
              </w:rPr>
              <w:t>Le demandeur a rencontré la plaignante par l’entremise d’une application de rencontres. Ils sont sortis ensemble souper et se sont par la suite rendus chez lui où des activités sexuelles ont eu lieu. La plaignante a consulté un médecin le lendemain. Elle a communiqué avec la police trois mois plus tard.</w:t>
            </w:r>
            <w:r w:rsidRPr="00602884">
              <w:rPr>
                <w:color w:val="000000"/>
                <w:sz w:val="20"/>
                <w:lang w:val="fr-CA"/>
              </w:rPr>
              <w:t xml:space="preserve"> Le demandeur a témoigné que les actes étaient consensuels. La plaignante a témoigné qu’elle n’a pas consenti aux activités sexuelles en question. Après que le demandeur a été déclaré </w:t>
            </w:r>
            <w:proofErr w:type="gramStart"/>
            <w:r w:rsidRPr="00602884">
              <w:rPr>
                <w:color w:val="000000"/>
                <w:sz w:val="20"/>
                <w:lang w:val="fr-CA"/>
              </w:rPr>
              <w:t>coupable</w:t>
            </w:r>
            <w:proofErr w:type="gramEnd"/>
            <w:r w:rsidRPr="00602884">
              <w:rPr>
                <w:color w:val="000000"/>
                <w:sz w:val="20"/>
                <w:lang w:val="fr-CA"/>
              </w:rPr>
              <w:t xml:space="preserve"> et avant la détermination de sa peine, les parties ont découvert et examiné une déclaration écrite de deux pages que la plaignante avait rédigée lors de sa consultation le lendemain de l’agression alléguée. Toutefois, la déclaration elle-même n’était pas en la possession de la police, de la Couronne ou de la défense au moment du procès, et ces derniers ignoraient l’existence de cette déclaration à ce moment-là. Le demandeur a présenté une demande en annulation du procès au motif qu’il n’a pas pu contre-interroger la plaignante quant au contenu de la déclaration qui, soutenait-il, renfermait des incohérences. La demande en annulation du procès a été rejetée. Le demandeur a été déclaré coupable d’agression sexuelle. L’appel de la déclaration de culpabilité a été rejeté.</w:t>
            </w:r>
          </w:p>
        </w:tc>
      </w:tr>
      <w:tr w:rsidR="00602884" w:rsidRPr="00602884" w:rsidTr="00E95A6A">
        <w:tc>
          <w:tcPr>
            <w:tcW w:w="5000" w:type="pct"/>
            <w:gridSpan w:val="4"/>
          </w:tcPr>
          <w:p w:rsidR="00602884" w:rsidRPr="00602884" w:rsidRDefault="00602884" w:rsidP="00602884">
            <w:pPr>
              <w:jc w:val="both"/>
              <w:rPr>
                <w:sz w:val="20"/>
                <w:lang w:val="fr-CA"/>
              </w:rPr>
            </w:pPr>
          </w:p>
        </w:tc>
      </w:tr>
      <w:tr w:rsidR="00602884" w:rsidRPr="00602884" w:rsidTr="00E95A6A">
        <w:tc>
          <w:tcPr>
            <w:tcW w:w="2427" w:type="pct"/>
            <w:gridSpan w:val="2"/>
          </w:tcPr>
          <w:p w:rsidR="00602884" w:rsidRPr="00602884" w:rsidRDefault="00602884" w:rsidP="00602884">
            <w:pPr>
              <w:jc w:val="both"/>
              <w:rPr>
                <w:sz w:val="20"/>
                <w:lang w:val="fr-CA"/>
              </w:rPr>
            </w:pPr>
            <w:r w:rsidRPr="00602884">
              <w:rPr>
                <w:sz w:val="20"/>
                <w:lang w:val="fr-CA"/>
              </w:rPr>
              <w:t>30 novembre 2020</w:t>
            </w:r>
          </w:p>
          <w:p w:rsidR="00602884" w:rsidRPr="00602884" w:rsidRDefault="00602884" w:rsidP="00602884">
            <w:pPr>
              <w:jc w:val="both"/>
              <w:rPr>
                <w:sz w:val="20"/>
                <w:lang w:val="fr-CA"/>
              </w:rPr>
            </w:pPr>
            <w:r w:rsidRPr="00602884">
              <w:rPr>
                <w:sz w:val="20"/>
                <w:lang w:val="fr-CA"/>
              </w:rPr>
              <w:t>Cour provinciale de l’Alberta</w:t>
            </w:r>
          </w:p>
          <w:p w:rsidR="00602884" w:rsidRPr="00602884" w:rsidRDefault="00602884" w:rsidP="00602884">
            <w:pPr>
              <w:jc w:val="both"/>
              <w:rPr>
                <w:sz w:val="20"/>
                <w:lang w:val="fr-CA"/>
              </w:rPr>
            </w:pPr>
            <w:r w:rsidRPr="00602884">
              <w:rPr>
                <w:sz w:val="20"/>
                <w:lang w:val="fr-CA"/>
              </w:rPr>
              <w:t>(juge Stevenson)</w:t>
            </w:r>
          </w:p>
          <w:p w:rsidR="00602884" w:rsidRPr="00602884" w:rsidRDefault="00602884" w:rsidP="00602884">
            <w:pPr>
              <w:jc w:val="both"/>
              <w:rPr>
                <w:sz w:val="20"/>
                <w:lang w:val="fr-CA"/>
              </w:rPr>
            </w:pPr>
            <w:hyperlink r:id="rId11" w:history="1">
              <w:r w:rsidRPr="00602884">
                <w:rPr>
                  <w:rStyle w:val="Hyperlink"/>
                  <w:sz w:val="20"/>
                  <w:lang w:val="fr-CA"/>
                </w:rPr>
                <w:t>2019 ABPC 266</w:t>
              </w:r>
            </w:hyperlink>
          </w:p>
          <w:p w:rsidR="00602884" w:rsidRPr="00602884" w:rsidRDefault="00602884" w:rsidP="00602884">
            <w:pPr>
              <w:jc w:val="both"/>
              <w:rPr>
                <w:sz w:val="20"/>
                <w:lang w:val="fr-CA"/>
              </w:rPr>
            </w:pPr>
          </w:p>
        </w:tc>
        <w:tc>
          <w:tcPr>
            <w:tcW w:w="243" w:type="pct"/>
          </w:tcPr>
          <w:p w:rsidR="00602884" w:rsidRPr="00602884" w:rsidRDefault="00602884" w:rsidP="00602884">
            <w:pPr>
              <w:jc w:val="both"/>
              <w:rPr>
                <w:sz w:val="20"/>
                <w:lang w:val="fr-CA"/>
              </w:rPr>
            </w:pPr>
          </w:p>
        </w:tc>
        <w:tc>
          <w:tcPr>
            <w:tcW w:w="2330" w:type="pct"/>
          </w:tcPr>
          <w:p w:rsidR="00602884" w:rsidRPr="00602884" w:rsidRDefault="00602884" w:rsidP="00602884">
            <w:pPr>
              <w:jc w:val="both"/>
              <w:rPr>
                <w:sz w:val="20"/>
                <w:lang w:val="fr-CA"/>
              </w:rPr>
            </w:pPr>
            <w:r w:rsidRPr="00602884">
              <w:rPr>
                <w:sz w:val="20"/>
                <w:lang w:val="fr-CA"/>
              </w:rPr>
              <w:t>La déclaration de culpabilité pour agression sexuelle est prononcée.</w:t>
            </w:r>
          </w:p>
          <w:p w:rsidR="00602884" w:rsidRPr="00602884" w:rsidRDefault="00602884" w:rsidP="00602884">
            <w:pPr>
              <w:jc w:val="both"/>
              <w:rPr>
                <w:sz w:val="20"/>
                <w:lang w:val="fr-CA"/>
              </w:rPr>
            </w:pPr>
          </w:p>
          <w:p w:rsidR="00602884" w:rsidRPr="00602884" w:rsidRDefault="00602884" w:rsidP="00602884">
            <w:pPr>
              <w:jc w:val="both"/>
              <w:rPr>
                <w:sz w:val="20"/>
                <w:lang w:val="fr-CA"/>
              </w:rPr>
            </w:pPr>
          </w:p>
        </w:tc>
      </w:tr>
      <w:tr w:rsidR="00602884" w:rsidRPr="00602884" w:rsidTr="00E95A6A">
        <w:tc>
          <w:tcPr>
            <w:tcW w:w="2427" w:type="pct"/>
            <w:gridSpan w:val="2"/>
          </w:tcPr>
          <w:p w:rsidR="00602884" w:rsidRPr="00602884" w:rsidRDefault="00602884" w:rsidP="00602884">
            <w:pPr>
              <w:jc w:val="both"/>
              <w:rPr>
                <w:sz w:val="20"/>
                <w:lang w:val="fr-CA"/>
              </w:rPr>
            </w:pPr>
            <w:r w:rsidRPr="00602884">
              <w:rPr>
                <w:sz w:val="20"/>
                <w:lang w:val="fr-CA"/>
              </w:rPr>
              <w:t>16 mars 2022</w:t>
            </w:r>
          </w:p>
          <w:p w:rsidR="00602884" w:rsidRPr="00602884" w:rsidRDefault="00602884" w:rsidP="00602884">
            <w:pPr>
              <w:jc w:val="both"/>
              <w:rPr>
                <w:sz w:val="20"/>
                <w:lang w:val="fr-CA"/>
              </w:rPr>
            </w:pPr>
            <w:r w:rsidRPr="00602884">
              <w:rPr>
                <w:sz w:val="20"/>
                <w:lang w:val="fr-CA"/>
              </w:rPr>
              <w:t>Cour d’appel de l’Alberta (Calgary)</w:t>
            </w:r>
          </w:p>
          <w:p w:rsidR="00602884" w:rsidRPr="00602884" w:rsidRDefault="00602884" w:rsidP="00602884">
            <w:pPr>
              <w:jc w:val="both"/>
              <w:rPr>
                <w:sz w:val="20"/>
              </w:rPr>
            </w:pPr>
            <w:r w:rsidRPr="00602884">
              <w:rPr>
                <w:sz w:val="20"/>
              </w:rPr>
              <w:t>(juges Paperny, Rowbotham, Strekaf)</w:t>
            </w:r>
          </w:p>
          <w:p w:rsidR="00602884" w:rsidRPr="00602884" w:rsidRDefault="00602884" w:rsidP="00602884">
            <w:pPr>
              <w:jc w:val="both"/>
              <w:rPr>
                <w:sz w:val="20"/>
              </w:rPr>
            </w:pPr>
            <w:r w:rsidRPr="00602884">
              <w:rPr>
                <w:sz w:val="20"/>
              </w:rPr>
              <w:t xml:space="preserve">2001-0210A; </w:t>
            </w:r>
            <w:hyperlink r:id="rId12" w:history="1">
              <w:r w:rsidRPr="00602884">
                <w:rPr>
                  <w:rStyle w:val="Hyperlink"/>
                  <w:sz w:val="20"/>
                </w:rPr>
                <w:t>2022 ABCA 95</w:t>
              </w:r>
            </w:hyperlink>
          </w:p>
          <w:p w:rsidR="00602884" w:rsidRPr="00602884" w:rsidRDefault="00602884" w:rsidP="00602884">
            <w:pPr>
              <w:jc w:val="both"/>
              <w:rPr>
                <w:sz w:val="20"/>
              </w:rPr>
            </w:pPr>
          </w:p>
        </w:tc>
        <w:tc>
          <w:tcPr>
            <w:tcW w:w="243" w:type="pct"/>
          </w:tcPr>
          <w:p w:rsidR="00602884" w:rsidRPr="00602884" w:rsidRDefault="00602884" w:rsidP="00602884">
            <w:pPr>
              <w:jc w:val="both"/>
              <w:rPr>
                <w:sz w:val="20"/>
              </w:rPr>
            </w:pPr>
          </w:p>
        </w:tc>
        <w:tc>
          <w:tcPr>
            <w:tcW w:w="2330" w:type="pct"/>
          </w:tcPr>
          <w:p w:rsidR="00602884" w:rsidRPr="00602884" w:rsidRDefault="00602884" w:rsidP="00602884">
            <w:pPr>
              <w:jc w:val="both"/>
              <w:rPr>
                <w:sz w:val="20"/>
                <w:lang w:val="fr-CA"/>
              </w:rPr>
            </w:pPr>
            <w:r w:rsidRPr="00602884">
              <w:rPr>
                <w:sz w:val="20"/>
                <w:lang w:val="fr-CA"/>
              </w:rPr>
              <w:t>L’appel est rejeté.</w:t>
            </w:r>
          </w:p>
          <w:p w:rsidR="00602884" w:rsidRPr="00602884" w:rsidRDefault="00602884" w:rsidP="00602884">
            <w:pPr>
              <w:jc w:val="both"/>
              <w:rPr>
                <w:sz w:val="20"/>
                <w:lang w:val="fr-CA"/>
              </w:rPr>
            </w:pPr>
          </w:p>
        </w:tc>
      </w:tr>
      <w:tr w:rsidR="00602884" w:rsidRPr="00602884" w:rsidTr="00E95A6A">
        <w:tc>
          <w:tcPr>
            <w:tcW w:w="2427" w:type="pct"/>
            <w:gridSpan w:val="2"/>
          </w:tcPr>
          <w:p w:rsidR="00602884" w:rsidRPr="00602884" w:rsidRDefault="00602884" w:rsidP="00602884">
            <w:pPr>
              <w:jc w:val="both"/>
              <w:rPr>
                <w:sz w:val="20"/>
                <w:lang w:val="fr-CA"/>
              </w:rPr>
            </w:pPr>
            <w:r w:rsidRPr="00602884">
              <w:rPr>
                <w:sz w:val="20"/>
                <w:lang w:val="fr-CA"/>
              </w:rPr>
              <w:t>9 juin 2022</w:t>
            </w:r>
          </w:p>
          <w:p w:rsidR="00602884" w:rsidRPr="00602884" w:rsidRDefault="00602884" w:rsidP="00602884">
            <w:pPr>
              <w:jc w:val="both"/>
              <w:rPr>
                <w:sz w:val="20"/>
                <w:lang w:val="fr-CA"/>
              </w:rPr>
            </w:pPr>
            <w:r w:rsidRPr="00602884">
              <w:rPr>
                <w:sz w:val="20"/>
                <w:lang w:val="fr-CA"/>
              </w:rPr>
              <w:t>Cour suprême du Canada</w:t>
            </w:r>
          </w:p>
          <w:p w:rsidR="00602884" w:rsidRPr="00602884" w:rsidRDefault="00602884" w:rsidP="00602884">
            <w:pPr>
              <w:jc w:val="both"/>
              <w:rPr>
                <w:sz w:val="20"/>
                <w:lang w:val="fr-CA"/>
              </w:rPr>
            </w:pPr>
          </w:p>
        </w:tc>
        <w:tc>
          <w:tcPr>
            <w:tcW w:w="243" w:type="pct"/>
          </w:tcPr>
          <w:p w:rsidR="00602884" w:rsidRPr="00602884" w:rsidRDefault="00602884" w:rsidP="00602884">
            <w:pPr>
              <w:jc w:val="both"/>
              <w:rPr>
                <w:sz w:val="20"/>
                <w:lang w:val="fr-CA"/>
              </w:rPr>
            </w:pPr>
          </w:p>
        </w:tc>
        <w:tc>
          <w:tcPr>
            <w:tcW w:w="2330" w:type="pct"/>
          </w:tcPr>
          <w:p w:rsidR="00602884" w:rsidRPr="00602884" w:rsidRDefault="00602884" w:rsidP="00602884">
            <w:pPr>
              <w:jc w:val="both"/>
              <w:rPr>
                <w:sz w:val="20"/>
                <w:lang w:val="fr-CA"/>
              </w:rPr>
            </w:pPr>
            <w:r w:rsidRPr="00602884">
              <w:rPr>
                <w:sz w:val="20"/>
                <w:lang w:val="fr-CA"/>
              </w:rPr>
              <w:t>La requête en prorogation du délai de signification et de dépôt de la demande d’autorisation d’appel et la demande d’autorisation d’appel sont présentées.</w:t>
            </w:r>
          </w:p>
        </w:tc>
      </w:tr>
    </w:tbl>
    <w:p w:rsidR="00DC4AAB" w:rsidRPr="00602884" w:rsidRDefault="00DC4AAB" w:rsidP="00792D8C">
      <w:pPr>
        <w:jc w:val="both"/>
        <w:rPr>
          <w:sz w:val="20"/>
          <w:lang w:val="fr-CA"/>
        </w:rPr>
      </w:pPr>
    </w:p>
    <w:p w:rsidR="004D21AC" w:rsidRPr="00602884" w:rsidRDefault="00602884" w:rsidP="00792D8C">
      <w:pPr>
        <w:widowControl w:val="0"/>
        <w:jc w:val="both"/>
        <w:rPr>
          <w:sz w:val="20"/>
          <w:lang w:val="fr-CA"/>
        </w:rPr>
      </w:pPr>
      <w:r w:rsidRPr="00602884">
        <w:rPr>
          <w:sz w:val="20"/>
        </w:rPr>
        <w:pict>
          <v:rect id="_x0000_i1027" style="width:2in;height:1pt" o:hrpct="0" o:hralign="center" o:hrstd="t" o:hrnoshade="t" o:hr="t" fillcolor="black [3213]" stroked="f"/>
        </w:pict>
      </w:r>
    </w:p>
    <w:p w:rsidR="00311655" w:rsidRPr="00602884" w:rsidRDefault="00311655" w:rsidP="00350651">
      <w:pPr>
        <w:ind w:left="142" w:hanging="142"/>
        <w:jc w:val="both"/>
        <w:rPr>
          <w:sz w:val="20"/>
        </w:rPr>
      </w:pPr>
    </w:p>
    <w:p w:rsidR="008F2F11" w:rsidRPr="00602884" w:rsidRDefault="008F2F11" w:rsidP="00350651">
      <w:pPr>
        <w:ind w:left="142" w:hanging="142"/>
        <w:jc w:val="both"/>
        <w:rPr>
          <w:sz w:val="20"/>
        </w:rPr>
      </w:pPr>
    </w:p>
    <w:p w:rsidR="008F2F11" w:rsidRPr="00602884" w:rsidRDefault="008F2F11" w:rsidP="00350651">
      <w:pPr>
        <w:ind w:left="142" w:hanging="142"/>
        <w:jc w:val="both"/>
        <w:rPr>
          <w:sz w:val="20"/>
        </w:rPr>
      </w:pPr>
    </w:p>
    <w:p w:rsidR="00D3344A" w:rsidRPr="00602884" w:rsidRDefault="00D3344A" w:rsidP="00D3344A">
      <w:pPr>
        <w:widowControl w:val="0"/>
        <w:outlineLvl w:val="0"/>
        <w:rPr>
          <w:sz w:val="20"/>
        </w:rPr>
      </w:pPr>
      <w:r w:rsidRPr="00602884">
        <w:rPr>
          <w:sz w:val="20"/>
        </w:rPr>
        <w:t xml:space="preserve">Supreme Court of Canada / Cour suprême du </w:t>
      </w:r>
      <w:proofErr w:type="gramStart"/>
      <w:r w:rsidRPr="00602884">
        <w:rPr>
          <w:sz w:val="20"/>
        </w:rPr>
        <w:t>Canad</w:t>
      </w:r>
      <w:r w:rsidR="00EE289F" w:rsidRPr="00602884">
        <w:rPr>
          <w:sz w:val="20"/>
        </w:rPr>
        <w:t>a</w:t>
      </w:r>
      <w:r w:rsidRPr="00602884">
        <w:rPr>
          <w:sz w:val="20"/>
        </w:rPr>
        <w:t xml:space="preserve"> :</w:t>
      </w:r>
      <w:proofErr w:type="gramEnd"/>
    </w:p>
    <w:p w:rsidR="00D3344A" w:rsidRPr="00602884" w:rsidRDefault="00602884" w:rsidP="00D3344A">
      <w:pPr>
        <w:widowControl w:val="0"/>
        <w:outlineLvl w:val="0"/>
        <w:rPr>
          <w:sz w:val="20"/>
          <w:u w:val="single"/>
        </w:rPr>
      </w:pPr>
      <w:hyperlink r:id="rId13" w:history="1">
        <w:r w:rsidR="009B7391" w:rsidRPr="00602884">
          <w:rPr>
            <w:rStyle w:val="Hyperlink"/>
            <w:sz w:val="20"/>
          </w:rPr>
          <w:t>comments-commentaires@scc-csc.ca</w:t>
        </w:r>
      </w:hyperlink>
    </w:p>
    <w:p w:rsidR="00D3344A" w:rsidRPr="00602884" w:rsidRDefault="0065588C" w:rsidP="00D3344A">
      <w:pPr>
        <w:widowControl w:val="0"/>
        <w:outlineLvl w:val="0"/>
        <w:rPr>
          <w:sz w:val="20"/>
        </w:rPr>
      </w:pPr>
      <w:r w:rsidRPr="00602884">
        <w:rPr>
          <w:sz w:val="20"/>
        </w:rPr>
        <w:t>613-</w:t>
      </w:r>
      <w:r w:rsidR="00D3344A" w:rsidRPr="00602884">
        <w:rPr>
          <w:sz w:val="20"/>
        </w:rPr>
        <w:t>995-4330</w:t>
      </w:r>
    </w:p>
    <w:p w:rsidR="00497B5E" w:rsidRPr="00602884" w:rsidRDefault="00497B5E" w:rsidP="00497B5E">
      <w:pPr>
        <w:widowControl w:val="0"/>
        <w:rPr>
          <w:sz w:val="20"/>
        </w:rPr>
      </w:pPr>
    </w:p>
    <w:p w:rsidR="00F6251B" w:rsidRPr="007607A2" w:rsidRDefault="003F43E6" w:rsidP="00F6251B">
      <w:pPr>
        <w:pStyle w:val="Footer"/>
        <w:jc w:val="center"/>
        <w:rPr>
          <w:sz w:val="20"/>
        </w:rPr>
      </w:pPr>
      <w:r w:rsidRPr="00602884">
        <w:rPr>
          <w:sz w:val="20"/>
        </w:rPr>
        <w:t>- 30 -</w:t>
      </w:r>
      <w:bookmarkStart w:id="0" w:name="_GoBack"/>
      <w:bookmarkEnd w:id="0"/>
    </w:p>
    <w:sectPr w:rsidR="00F6251B" w:rsidRPr="007607A2" w:rsidSect="00E62F93">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1A" w:rsidRDefault="00970A1A" w:rsidP="0034178A">
      <w:r>
        <w:separator/>
      </w:r>
    </w:p>
  </w:endnote>
  <w:endnote w:type="continuationSeparator" w:id="0">
    <w:p w:rsidR="00970A1A" w:rsidRDefault="00970A1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Pr="009F77F0" w:rsidRDefault="00970A1A"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1A" w:rsidRDefault="00970A1A" w:rsidP="0034178A">
      <w:r>
        <w:separator/>
      </w:r>
    </w:p>
  </w:footnote>
  <w:footnote w:type="continuationSeparator" w:id="0">
    <w:p w:rsidR="00970A1A" w:rsidRDefault="00970A1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9459A"/>
    <w:multiLevelType w:val="hybridMultilevel"/>
    <w:tmpl w:val="F1CA6448"/>
    <w:lvl w:ilvl="0" w:tplc="7C82F7D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3D75BE"/>
    <w:multiLevelType w:val="hybridMultilevel"/>
    <w:tmpl w:val="62F0EE5C"/>
    <w:lvl w:ilvl="0" w:tplc="F13C342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51835"/>
    <w:multiLevelType w:val="hybridMultilevel"/>
    <w:tmpl w:val="E9F4CFF2"/>
    <w:lvl w:ilvl="0" w:tplc="37A081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8"/>
  </w:num>
  <w:num w:numId="4">
    <w:abstractNumId w:val="9"/>
  </w:num>
  <w:num w:numId="5">
    <w:abstractNumId w:val="7"/>
  </w:num>
  <w:num w:numId="6">
    <w:abstractNumId w:val="15"/>
  </w:num>
  <w:num w:numId="7">
    <w:abstractNumId w:val="13"/>
  </w:num>
  <w:num w:numId="8">
    <w:abstractNumId w:val="17"/>
  </w:num>
  <w:num w:numId="9">
    <w:abstractNumId w:val="2"/>
  </w:num>
  <w:num w:numId="10">
    <w:abstractNumId w:val="4"/>
  </w:num>
  <w:num w:numId="11">
    <w:abstractNumId w:val="0"/>
  </w:num>
  <w:num w:numId="12">
    <w:abstractNumId w:val="14"/>
  </w:num>
  <w:num w:numId="13">
    <w:abstractNumId w:val="1"/>
  </w:num>
  <w:num w:numId="14">
    <w:abstractNumId w:val="8"/>
  </w:num>
  <w:num w:numId="15">
    <w:abstractNumId w:val="3"/>
  </w:num>
  <w:num w:numId="16">
    <w:abstractNumId w:val="5"/>
  </w:num>
  <w:num w:numId="17">
    <w:abstractNumId w:val="10"/>
  </w:num>
  <w:num w:numId="18">
    <w:abstractNumId w:val="16"/>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7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07C"/>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84"/>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277"/>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35E4"/>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07"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nlii.ca/t/jn4b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j34l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nlii.ca/t/jn4b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nlii.ca/t/j34l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5696-421F-4316-8D90-CE6755BE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2022-10-28T12:47:00Z</dcterms:modified>
</cp:coreProperties>
</file>