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941AD3" w:rsidRDefault="000E391F" w:rsidP="000E391F">
      <w:pPr>
        <w:pStyle w:val="Header"/>
        <w:jc w:val="center"/>
        <w:rPr>
          <w:b/>
          <w:sz w:val="32"/>
          <w:szCs w:val="32"/>
        </w:rPr>
      </w:pPr>
      <w:r w:rsidRPr="00941AD3">
        <w:rPr>
          <w:b/>
          <w:sz w:val="32"/>
          <w:szCs w:val="32"/>
        </w:rPr>
        <w:t>Supreme Court of Canada / Cour suprême du Canada</w:t>
      </w:r>
    </w:p>
    <w:p w:rsidR="000E391F" w:rsidRPr="00941AD3" w:rsidRDefault="000E391F" w:rsidP="000E391F">
      <w:pPr>
        <w:widowControl w:val="0"/>
        <w:rPr>
          <w:sz w:val="20"/>
        </w:rPr>
      </w:pPr>
    </w:p>
    <w:p w:rsidR="000E391F" w:rsidRPr="00941AD3" w:rsidRDefault="000E391F" w:rsidP="000E391F">
      <w:pPr>
        <w:widowControl w:val="0"/>
        <w:rPr>
          <w:i/>
          <w:sz w:val="20"/>
        </w:rPr>
      </w:pPr>
    </w:p>
    <w:p w:rsidR="006F2579" w:rsidRPr="00941AD3" w:rsidRDefault="006F2579" w:rsidP="006F2579">
      <w:pPr>
        <w:widowControl w:val="0"/>
        <w:rPr>
          <w:i/>
          <w:sz w:val="20"/>
        </w:rPr>
      </w:pPr>
      <w:r w:rsidRPr="00941AD3">
        <w:rPr>
          <w:i/>
          <w:sz w:val="20"/>
        </w:rPr>
        <w:t>(</w:t>
      </w:r>
      <w:r w:rsidR="003240B6" w:rsidRPr="00941AD3">
        <w:rPr>
          <w:i/>
          <w:sz w:val="20"/>
        </w:rPr>
        <w:t>L</w:t>
      </w:r>
      <w:r w:rsidRPr="00941AD3">
        <w:rPr>
          <w:i/>
          <w:sz w:val="20"/>
        </w:rPr>
        <w:t>e français suit)</w:t>
      </w:r>
    </w:p>
    <w:p w:rsidR="006F2579" w:rsidRPr="00941AD3" w:rsidRDefault="006F2579" w:rsidP="006F2579">
      <w:pPr>
        <w:widowControl w:val="0"/>
        <w:rPr>
          <w:sz w:val="20"/>
        </w:rPr>
      </w:pPr>
    </w:p>
    <w:p w:rsidR="006F2579" w:rsidRPr="00941AD3" w:rsidRDefault="00B07908" w:rsidP="006F2579">
      <w:pPr>
        <w:widowControl w:val="0"/>
        <w:jc w:val="center"/>
        <w:rPr>
          <w:b/>
          <w:szCs w:val="24"/>
        </w:rPr>
      </w:pPr>
      <w:r w:rsidRPr="00941AD3">
        <w:rPr>
          <w:szCs w:val="24"/>
        </w:rPr>
        <w:fldChar w:fldCharType="begin"/>
      </w:r>
      <w:r w:rsidR="006F2579" w:rsidRPr="00941AD3">
        <w:rPr>
          <w:szCs w:val="24"/>
        </w:rPr>
        <w:instrText xml:space="preserve"> SEQ CHAPTER \h \r 1</w:instrText>
      </w:r>
      <w:r w:rsidRPr="00941AD3">
        <w:rPr>
          <w:szCs w:val="24"/>
        </w:rPr>
        <w:fldChar w:fldCharType="end"/>
      </w:r>
      <w:r w:rsidR="006F2579" w:rsidRPr="00941AD3">
        <w:rPr>
          <w:b/>
          <w:szCs w:val="24"/>
        </w:rPr>
        <w:t>JUDGMENT</w:t>
      </w:r>
      <w:r w:rsidR="004F5491" w:rsidRPr="00941AD3">
        <w:rPr>
          <w:b/>
          <w:szCs w:val="24"/>
        </w:rPr>
        <w:t>S</w:t>
      </w:r>
      <w:r w:rsidR="006F2579" w:rsidRPr="00941AD3">
        <w:rPr>
          <w:b/>
          <w:szCs w:val="24"/>
        </w:rPr>
        <w:t xml:space="preserve"> TO B</w:t>
      </w:r>
      <w:r w:rsidR="00001846" w:rsidRPr="00941AD3">
        <w:rPr>
          <w:b/>
          <w:szCs w:val="24"/>
        </w:rPr>
        <w:t>E RENDERED IN LE</w:t>
      </w:r>
      <w:r w:rsidR="00A0288A" w:rsidRPr="00941AD3">
        <w:rPr>
          <w:b/>
          <w:szCs w:val="24"/>
        </w:rPr>
        <w:t>A</w:t>
      </w:r>
      <w:r w:rsidR="00001846" w:rsidRPr="00941AD3">
        <w:rPr>
          <w:b/>
          <w:szCs w:val="24"/>
        </w:rPr>
        <w:t>VE APPLICATION</w:t>
      </w:r>
      <w:r w:rsidR="004F5491" w:rsidRPr="00941AD3">
        <w:rPr>
          <w:b/>
          <w:szCs w:val="24"/>
        </w:rPr>
        <w:t>S</w:t>
      </w:r>
    </w:p>
    <w:p w:rsidR="006F2579" w:rsidRPr="00941AD3" w:rsidRDefault="006F2579" w:rsidP="006F2579">
      <w:pPr>
        <w:widowControl w:val="0"/>
        <w:rPr>
          <w:szCs w:val="24"/>
        </w:rPr>
      </w:pPr>
    </w:p>
    <w:p w:rsidR="006F2579" w:rsidRPr="00941AD3" w:rsidRDefault="00EB4A94" w:rsidP="006F2579">
      <w:pPr>
        <w:widowControl w:val="0"/>
        <w:rPr>
          <w:szCs w:val="24"/>
        </w:rPr>
      </w:pPr>
      <w:r w:rsidRPr="00941AD3">
        <w:rPr>
          <w:b/>
          <w:szCs w:val="24"/>
        </w:rPr>
        <w:t>November</w:t>
      </w:r>
      <w:r w:rsidR="00A15B66" w:rsidRPr="00941AD3">
        <w:rPr>
          <w:b/>
          <w:szCs w:val="24"/>
        </w:rPr>
        <w:t xml:space="preserve"> </w:t>
      </w:r>
      <w:r w:rsidR="00946739" w:rsidRPr="00941AD3">
        <w:rPr>
          <w:b/>
          <w:szCs w:val="24"/>
        </w:rPr>
        <w:t>2</w:t>
      </w:r>
      <w:r w:rsidR="0068648F" w:rsidRPr="00941AD3">
        <w:rPr>
          <w:b/>
          <w:szCs w:val="24"/>
        </w:rPr>
        <w:t>8</w:t>
      </w:r>
      <w:r w:rsidR="004441C7" w:rsidRPr="00941AD3">
        <w:rPr>
          <w:b/>
          <w:szCs w:val="24"/>
        </w:rPr>
        <w:t>,</w:t>
      </w:r>
      <w:r w:rsidR="006F2579" w:rsidRPr="00941AD3">
        <w:rPr>
          <w:b/>
          <w:szCs w:val="24"/>
        </w:rPr>
        <w:t xml:space="preserve"> </w:t>
      </w:r>
      <w:r w:rsidR="0054689F" w:rsidRPr="00941AD3">
        <w:rPr>
          <w:b/>
          <w:szCs w:val="24"/>
        </w:rPr>
        <w:t>20</w:t>
      </w:r>
      <w:r w:rsidR="00526754" w:rsidRPr="00941AD3">
        <w:rPr>
          <w:b/>
          <w:szCs w:val="24"/>
        </w:rPr>
        <w:t>2</w:t>
      </w:r>
      <w:r w:rsidR="00644008" w:rsidRPr="00941AD3">
        <w:rPr>
          <w:b/>
          <w:szCs w:val="24"/>
        </w:rPr>
        <w:t>2</w:t>
      </w:r>
    </w:p>
    <w:p w:rsidR="006F2579" w:rsidRPr="00941AD3" w:rsidRDefault="00674F39" w:rsidP="006F2579">
      <w:pPr>
        <w:widowControl w:val="0"/>
        <w:rPr>
          <w:b/>
          <w:szCs w:val="24"/>
        </w:rPr>
      </w:pPr>
      <w:r w:rsidRPr="00941AD3">
        <w:rPr>
          <w:b/>
          <w:szCs w:val="24"/>
        </w:rPr>
        <w:t>For immediate release</w:t>
      </w:r>
    </w:p>
    <w:p w:rsidR="006F2579" w:rsidRPr="00941AD3" w:rsidRDefault="006F2579" w:rsidP="006F2579">
      <w:pPr>
        <w:widowControl w:val="0"/>
        <w:rPr>
          <w:szCs w:val="24"/>
        </w:rPr>
      </w:pPr>
    </w:p>
    <w:p w:rsidR="006F2579" w:rsidRPr="00941AD3" w:rsidRDefault="006F2579" w:rsidP="006F2579">
      <w:pPr>
        <w:widowControl w:val="0"/>
        <w:rPr>
          <w:szCs w:val="24"/>
          <w:lang w:val="fr-CA"/>
        </w:rPr>
      </w:pPr>
      <w:r w:rsidRPr="00941AD3">
        <w:rPr>
          <w:b/>
          <w:szCs w:val="24"/>
        </w:rPr>
        <w:t>OTTAWA</w:t>
      </w:r>
      <w:r w:rsidRPr="00941AD3">
        <w:rPr>
          <w:szCs w:val="24"/>
        </w:rPr>
        <w:t xml:space="preserve"> – The Supreme Court of Canad</w:t>
      </w:r>
      <w:r w:rsidR="006246E4" w:rsidRPr="00941AD3">
        <w:rPr>
          <w:szCs w:val="24"/>
        </w:rPr>
        <w:t>a</w:t>
      </w:r>
      <w:r w:rsidRPr="00941AD3">
        <w:rPr>
          <w:szCs w:val="24"/>
        </w:rPr>
        <w:t xml:space="preserve"> announced today that judgment in the following </w:t>
      </w:r>
      <w:r w:rsidR="00DB6199" w:rsidRPr="00941AD3">
        <w:rPr>
          <w:szCs w:val="24"/>
        </w:rPr>
        <w:t>leave application</w:t>
      </w:r>
      <w:r w:rsidR="004F5491" w:rsidRPr="00941AD3">
        <w:rPr>
          <w:szCs w:val="24"/>
        </w:rPr>
        <w:t>s</w:t>
      </w:r>
      <w:r w:rsidR="00DB6199" w:rsidRPr="00941AD3">
        <w:rPr>
          <w:szCs w:val="24"/>
        </w:rPr>
        <w:t xml:space="preserve"> </w:t>
      </w:r>
      <w:r w:rsidRPr="00941AD3">
        <w:rPr>
          <w:szCs w:val="24"/>
        </w:rPr>
        <w:t>will be delivere</w:t>
      </w:r>
      <w:r w:rsidR="00CE2C5F" w:rsidRPr="00941AD3">
        <w:rPr>
          <w:szCs w:val="24"/>
        </w:rPr>
        <w:t>d</w:t>
      </w:r>
      <w:r w:rsidRPr="00941AD3">
        <w:rPr>
          <w:szCs w:val="24"/>
        </w:rPr>
        <w:t xml:space="preserve"> at 9:45 a.m. </w:t>
      </w:r>
      <w:r w:rsidR="00E05816" w:rsidRPr="00941AD3">
        <w:rPr>
          <w:szCs w:val="24"/>
        </w:rPr>
        <w:t>E</w:t>
      </w:r>
      <w:r w:rsidR="00EB4A94" w:rsidRPr="00941AD3">
        <w:rPr>
          <w:szCs w:val="24"/>
        </w:rPr>
        <w:t>S</w:t>
      </w:r>
      <w:r w:rsidR="00E05816" w:rsidRPr="00941AD3">
        <w:rPr>
          <w:szCs w:val="24"/>
        </w:rPr>
        <w:t>T</w:t>
      </w:r>
      <w:r w:rsidRPr="00941AD3">
        <w:rPr>
          <w:szCs w:val="24"/>
        </w:rPr>
        <w:t xml:space="preserve"> on </w:t>
      </w:r>
      <w:r w:rsidR="00322A9C" w:rsidRPr="00941AD3">
        <w:rPr>
          <w:szCs w:val="24"/>
        </w:rPr>
        <w:t>Thurs</w:t>
      </w:r>
      <w:r w:rsidR="00680A85" w:rsidRPr="00941AD3">
        <w:rPr>
          <w:szCs w:val="24"/>
        </w:rPr>
        <w:t>day</w:t>
      </w:r>
      <w:r w:rsidRPr="00941AD3">
        <w:rPr>
          <w:szCs w:val="24"/>
        </w:rPr>
        <w:t xml:space="preserve">, </w:t>
      </w:r>
      <w:r w:rsidR="0068648F" w:rsidRPr="00941AD3">
        <w:rPr>
          <w:szCs w:val="24"/>
        </w:rPr>
        <w:t>Decem</w:t>
      </w:r>
      <w:r w:rsidR="00EB4A94" w:rsidRPr="00941AD3">
        <w:rPr>
          <w:szCs w:val="24"/>
        </w:rPr>
        <w:t>ber</w:t>
      </w:r>
      <w:r w:rsidR="00455912" w:rsidRPr="00941AD3">
        <w:rPr>
          <w:szCs w:val="24"/>
        </w:rPr>
        <w:t xml:space="preserve"> </w:t>
      </w:r>
      <w:r w:rsidR="0068648F" w:rsidRPr="00941AD3">
        <w:rPr>
          <w:szCs w:val="24"/>
        </w:rPr>
        <w:t>1</w:t>
      </w:r>
      <w:r w:rsidR="007E112F" w:rsidRPr="00941AD3">
        <w:rPr>
          <w:szCs w:val="24"/>
        </w:rPr>
        <w:t>,</w:t>
      </w:r>
      <w:r w:rsidR="002F38D7" w:rsidRPr="00941AD3">
        <w:rPr>
          <w:szCs w:val="24"/>
        </w:rPr>
        <w:t xml:space="preserve"> </w:t>
      </w:r>
      <w:r w:rsidR="006648D1" w:rsidRPr="00941AD3">
        <w:rPr>
          <w:szCs w:val="24"/>
        </w:rPr>
        <w:t>20</w:t>
      </w:r>
      <w:r w:rsidR="00526754" w:rsidRPr="00941AD3">
        <w:rPr>
          <w:szCs w:val="24"/>
        </w:rPr>
        <w:t>2</w:t>
      </w:r>
      <w:r w:rsidR="00644008" w:rsidRPr="00941AD3">
        <w:rPr>
          <w:szCs w:val="24"/>
        </w:rPr>
        <w:t>2</w:t>
      </w:r>
      <w:r w:rsidRPr="00941AD3">
        <w:rPr>
          <w:szCs w:val="24"/>
        </w:rPr>
        <w:t xml:space="preserve">. </w:t>
      </w:r>
      <w:r w:rsidRPr="00941AD3">
        <w:rPr>
          <w:szCs w:val="24"/>
          <w:lang w:val="fr-CA"/>
        </w:rPr>
        <w:t>This list is subject to chang</w:t>
      </w:r>
      <w:r w:rsidR="00192F7F" w:rsidRPr="00941AD3">
        <w:rPr>
          <w:szCs w:val="24"/>
          <w:lang w:val="fr-CA"/>
        </w:rPr>
        <w:t>e</w:t>
      </w:r>
      <w:r w:rsidRPr="00941AD3">
        <w:rPr>
          <w:szCs w:val="24"/>
          <w:lang w:val="fr-CA"/>
        </w:rPr>
        <w:t>.</w:t>
      </w:r>
    </w:p>
    <w:p w:rsidR="00FF5AA4" w:rsidRPr="00941AD3" w:rsidRDefault="00FF5AA4" w:rsidP="006F2579">
      <w:pPr>
        <w:widowControl w:val="0"/>
        <w:rPr>
          <w:szCs w:val="24"/>
          <w:lang w:val="fr-CA"/>
        </w:rPr>
      </w:pPr>
    </w:p>
    <w:p w:rsidR="00B43418" w:rsidRPr="00941AD3" w:rsidRDefault="00B43418" w:rsidP="006F2579">
      <w:pPr>
        <w:widowControl w:val="0"/>
        <w:rPr>
          <w:szCs w:val="24"/>
          <w:lang w:val="fr-CA"/>
        </w:rPr>
      </w:pPr>
    </w:p>
    <w:p w:rsidR="006F2579" w:rsidRPr="00941AD3" w:rsidRDefault="006F2579" w:rsidP="006F2579">
      <w:pPr>
        <w:widowControl w:val="0"/>
        <w:jc w:val="center"/>
        <w:rPr>
          <w:szCs w:val="24"/>
          <w:lang w:val="fr-CA"/>
        </w:rPr>
      </w:pPr>
      <w:r w:rsidRPr="00941AD3">
        <w:rPr>
          <w:b/>
          <w:szCs w:val="24"/>
          <w:lang w:val="fr-CA"/>
        </w:rPr>
        <w:t>PROCHAIN</w:t>
      </w:r>
      <w:r w:rsidR="004F5491" w:rsidRPr="00941AD3">
        <w:rPr>
          <w:b/>
          <w:szCs w:val="24"/>
          <w:lang w:val="fr-CA"/>
        </w:rPr>
        <w:t>S</w:t>
      </w:r>
      <w:r w:rsidRPr="00941AD3">
        <w:rPr>
          <w:b/>
          <w:szCs w:val="24"/>
          <w:lang w:val="fr-CA"/>
        </w:rPr>
        <w:t xml:space="preserve"> JUGEMENT</w:t>
      </w:r>
      <w:r w:rsidR="004F5491" w:rsidRPr="00941AD3">
        <w:rPr>
          <w:b/>
          <w:szCs w:val="24"/>
          <w:lang w:val="fr-CA"/>
        </w:rPr>
        <w:t>S</w:t>
      </w:r>
      <w:r w:rsidR="00001846" w:rsidRPr="00941AD3">
        <w:rPr>
          <w:b/>
          <w:szCs w:val="24"/>
          <w:lang w:val="fr-CA"/>
        </w:rPr>
        <w:t xml:space="preserve"> SUR DEMANDE</w:t>
      </w:r>
      <w:r w:rsidR="004F5491" w:rsidRPr="00941AD3">
        <w:rPr>
          <w:b/>
          <w:szCs w:val="24"/>
          <w:lang w:val="fr-CA"/>
        </w:rPr>
        <w:t>S</w:t>
      </w:r>
      <w:r w:rsidRPr="00941AD3">
        <w:rPr>
          <w:b/>
          <w:szCs w:val="24"/>
          <w:lang w:val="fr-CA"/>
        </w:rPr>
        <w:t xml:space="preserve"> D’AUTORISATION</w:t>
      </w:r>
    </w:p>
    <w:p w:rsidR="006F2579" w:rsidRPr="00941AD3" w:rsidRDefault="006F2579" w:rsidP="006F2579">
      <w:pPr>
        <w:widowControl w:val="0"/>
        <w:rPr>
          <w:szCs w:val="24"/>
          <w:lang w:val="fr-CA"/>
        </w:rPr>
      </w:pPr>
    </w:p>
    <w:p w:rsidR="006F2579" w:rsidRPr="00941AD3" w:rsidRDefault="006F2579" w:rsidP="006F2579">
      <w:pPr>
        <w:widowControl w:val="0"/>
        <w:rPr>
          <w:szCs w:val="24"/>
          <w:lang w:val="fr-CA"/>
        </w:rPr>
      </w:pPr>
      <w:r w:rsidRPr="00941AD3">
        <w:rPr>
          <w:b/>
          <w:szCs w:val="24"/>
          <w:lang w:val="fr-CA"/>
        </w:rPr>
        <w:t>Le</w:t>
      </w:r>
      <w:r w:rsidR="00957A76" w:rsidRPr="00941AD3">
        <w:rPr>
          <w:b/>
          <w:szCs w:val="24"/>
          <w:lang w:val="fr-CA"/>
        </w:rPr>
        <w:t xml:space="preserve"> </w:t>
      </w:r>
      <w:r w:rsidR="00946739" w:rsidRPr="00941AD3">
        <w:rPr>
          <w:b/>
          <w:szCs w:val="24"/>
          <w:lang w:val="fr-CA"/>
        </w:rPr>
        <w:t>2</w:t>
      </w:r>
      <w:r w:rsidR="0068648F" w:rsidRPr="00941AD3">
        <w:rPr>
          <w:b/>
          <w:szCs w:val="24"/>
          <w:lang w:val="fr-CA"/>
        </w:rPr>
        <w:t>8</w:t>
      </w:r>
      <w:r w:rsidR="00FA6BAB" w:rsidRPr="00941AD3">
        <w:rPr>
          <w:b/>
          <w:szCs w:val="24"/>
          <w:lang w:val="fr-CA"/>
        </w:rPr>
        <w:t xml:space="preserve"> </w:t>
      </w:r>
      <w:r w:rsidR="00EB4A94" w:rsidRPr="00941AD3">
        <w:rPr>
          <w:b/>
          <w:szCs w:val="24"/>
          <w:lang w:val="fr-CA"/>
        </w:rPr>
        <w:t>novembre</w:t>
      </w:r>
      <w:r w:rsidR="00A151D1" w:rsidRPr="00941AD3">
        <w:rPr>
          <w:b/>
          <w:szCs w:val="24"/>
          <w:lang w:val="fr-CA"/>
        </w:rPr>
        <w:t xml:space="preserve"> 20</w:t>
      </w:r>
      <w:r w:rsidR="00526754" w:rsidRPr="00941AD3">
        <w:rPr>
          <w:b/>
          <w:szCs w:val="24"/>
          <w:lang w:val="fr-CA"/>
        </w:rPr>
        <w:t>2</w:t>
      </w:r>
      <w:r w:rsidR="00644008" w:rsidRPr="00941AD3">
        <w:rPr>
          <w:b/>
          <w:szCs w:val="24"/>
          <w:lang w:val="fr-CA"/>
        </w:rPr>
        <w:t>2</w:t>
      </w:r>
    </w:p>
    <w:p w:rsidR="006F2579" w:rsidRPr="00941AD3" w:rsidRDefault="006F2579" w:rsidP="006F2579">
      <w:pPr>
        <w:widowControl w:val="0"/>
        <w:rPr>
          <w:b/>
          <w:szCs w:val="24"/>
          <w:lang w:val="fr-CA"/>
        </w:rPr>
      </w:pPr>
      <w:r w:rsidRPr="00941AD3">
        <w:rPr>
          <w:b/>
          <w:szCs w:val="24"/>
          <w:lang w:val="fr-CA"/>
        </w:rPr>
        <w:t>Pour diffusion immédiate</w:t>
      </w:r>
    </w:p>
    <w:p w:rsidR="006F2579" w:rsidRPr="00941AD3" w:rsidRDefault="006F2579" w:rsidP="006F2579">
      <w:pPr>
        <w:widowControl w:val="0"/>
        <w:rPr>
          <w:szCs w:val="24"/>
          <w:lang w:val="fr-CA"/>
        </w:rPr>
      </w:pPr>
    </w:p>
    <w:p w:rsidR="006F2579" w:rsidRPr="00941AD3" w:rsidRDefault="006F2579" w:rsidP="006F2579">
      <w:pPr>
        <w:widowControl w:val="0"/>
        <w:rPr>
          <w:szCs w:val="24"/>
          <w:lang w:val="fr-CA"/>
        </w:rPr>
      </w:pPr>
      <w:r w:rsidRPr="00941AD3">
        <w:rPr>
          <w:b/>
          <w:szCs w:val="24"/>
          <w:lang w:val="fr-CA"/>
        </w:rPr>
        <w:t>OTTAWA</w:t>
      </w:r>
      <w:r w:rsidRPr="00941AD3">
        <w:rPr>
          <w:szCs w:val="24"/>
          <w:lang w:val="fr-CA"/>
        </w:rPr>
        <w:t xml:space="preserve"> – La Cour suprême du Canada annonce que jugement ser</w:t>
      </w:r>
      <w:r w:rsidR="004259F9" w:rsidRPr="00941AD3">
        <w:rPr>
          <w:szCs w:val="24"/>
          <w:lang w:val="fr-CA"/>
        </w:rPr>
        <w:t>a</w:t>
      </w:r>
      <w:r w:rsidRPr="00941AD3">
        <w:rPr>
          <w:szCs w:val="24"/>
          <w:lang w:val="fr-CA"/>
        </w:rPr>
        <w:t xml:space="preserve"> rendu dans l</w:t>
      </w:r>
      <w:r w:rsidR="004F5491" w:rsidRPr="00941AD3">
        <w:rPr>
          <w:szCs w:val="24"/>
          <w:lang w:val="fr-CA"/>
        </w:rPr>
        <w:t>es</w:t>
      </w:r>
      <w:r w:rsidRPr="00941AD3">
        <w:rPr>
          <w:szCs w:val="24"/>
          <w:lang w:val="fr-CA"/>
        </w:rPr>
        <w:t xml:space="preserve"> demande</w:t>
      </w:r>
      <w:r w:rsidR="004F5491" w:rsidRPr="00941AD3">
        <w:rPr>
          <w:szCs w:val="24"/>
          <w:lang w:val="fr-CA"/>
        </w:rPr>
        <w:t>s</w:t>
      </w:r>
      <w:r w:rsidRPr="00941AD3">
        <w:rPr>
          <w:szCs w:val="24"/>
          <w:lang w:val="fr-CA"/>
        </w:rPr>
        <w:t xml:space="preserve"> d</w:t>
      </w:r>
      <w:r w:rsidR="00001846" w:rsidRPr="00941AD3">
        <w:rPr>
          <w:szCs w:val="24"/>
          <w:lang w:val="fr-CA"/>
        </w:rPr>
        <w:t>’autorisation suivante</w:t>
      </w:r>
      <w:r w:rsidR="004F5491" w:rsidRPr="00941AD3">
        <w:rPr>
          <w:szCs w:val="24"/>
          <w:lang w:val="fr-CA"/>
        </w:rPr>
        <w:t>s</w:t>
      </w:r>
      <w:r w:rsidRPr="00941AD3">
        <w:rPr>
          <w:szCs w:val="24"/>
          <w:lang w:val="fr-CA"/>
        </w:rPr>
        <w:t xml:space="preserve"> le </w:t>
      </w:r>
      <w:r w:rsidR="00322A9C" w:rsidRPr="00941AD3">
        <w:rPr>
          <w:szCs w:val="24"/>
          <w:lang w:val="fr-CA"/>
        </w:rPr>
        <w:t>jeu</w:t>
      </w:r>
      <w:r w:rsidR="00680A85" w:rsidRPr="00941AD3">
        <w:rPr>
          <w:szCs w:val="24"/>
          <w:lang w:val="fr-CA"/>
        </w:rPr>
        <w:t>di</w:t>
      </w:r>
      <w:r w:rsidRPr="00941AD3">
        <w:rPr>
          <w:szCs w:val="24"/>
          <w:lang w:val="fr-CA"/>
        </w:rPr>
        <w:t xml:space="preserve"> </w:t>
      </w:r>
      <w:r w:rsidR="0068648F" w:rsidRPr="00941AD3">
        <w:rPr>
          <w:szCs w:val="24"/>
          <w:lang w:val="fr-CA"/>
        </w:rPr>
        <w:t>1er</w:t>
      </w:r>
      <w:r w:rsidR="009E0BD3" w:rsidRPr="00941AD3">
        <w:rPr>
          <w:szCs w:val="24"/>
          <w:lang w:val="fr-CA"/>
        </w:rPr>
        <w:t xml:space="preserve"> </w:t>
      </w:r>
      <w:r w:rsidR="0068648F" w:rsidRPr="00941AD3">
        <w:rPr>
          <w:szCs w:val="24"/>
          <w:lang w:val="fr-CA"/>
        </w:rPr>
        <w:t>déc</w:t>
      </w:r>
      <w:r w:rsidR="00EB4A94" w:rsidRPr="00941AD3">
        <w:rPr>
          <w:szCs w:val="24"/>
          <w:lang w:val="fr-CA"/>
        </w:rPr>
        <w:t>em</w:t>
      </w:r>
      <w:r w:rsidR="00DC4AAB" w:rsidRPr="00941AD3">
        <w:rPr>
          <w:szCs w:val="24"/>
          <w:lang w:val="fr-CA"/>
        </w:rPr>
        <w:t>bre</w:t>
      </w:r>
      <w:r w:rsidR="00694391" w:rsidRPr="00941AD3">
        <w:rPr>
          <w:szCs w:val="24"/>
          <w:lang w:val="fr-CA"/>
        </w:rPr>
        <w:t xml:space="preserve"> 2</w:t>
      </w:r>
      <w:r w:rsidR="006648D1" w:rsidRPr="00941AD3">
        <w:rPr>
          <w:szCs w:val="24"/>
          <w:lang w:val="fr-CA"/>
        </w:rPr>
        <w:t>0</w:t>
      </w:r>
      <w:r w:rsidR="00526754" w:rsidRPr="00941AD3">
        <w:rPr>
          <w:szCs w:val="24"/>
          <w:lang w:val="fr-CA"/>
        </w:rPr>
        <w:t>2</w:t>
      </w:r>
      <w:r w:rsidR="00644008" w:rsidRPr="00941AD3">
        <w:rPr>
          <w:szCs w:val="24"/>
          <w:lang w:val="fr-CA"/>
        </w:rPr>
        <w:t>2</w:t>
      </w:r>
      <w:r w:rsidRPr="00941AD3">
        <w:rPr>
          <w:szCs w:val="24"/>
          <w:lang w:val="fr-CA"/>
        </w:rPr>
        <w:t xml:space="preserve">, à 9 h 45 </w:t>
      </w:r>
      <w:r w:rsidR="000627A2" w:rsidRPr="00941AD3">
        <w:rPr>
          <w:szCs w:val="24"/>
          <w:lang w:val="fr-CA"/>
        </w:rPr>
        <w:t>H</w:t>
      </w:r>
      <w:r w:rsidR="00EB4A94" w:rsidRPr="00941AD3">
        <w:rPr>
          <w:szCs w:val="24"/>
          <w:lang w:val="fr-CA"/>
        </w:rPr>
        <w:t>N</w:t>
      </w:r>
      <w:r w:rsidRPr="00941AD3">
        <w:rPr>
          <w:szCs w:val="24"/>
          <w:lang w:val="fr-CA"/>
        </w:rPr>
        <w:t>E. Cette liste est sujette à modification</w:t>
      </w:r>
      <w:r w:rsidR="00130ADB" w:rsidRPr="00941AD3">
        <w:rPr>
          <w:szCs w:val="24"/>
          <w:lang w:val="fr-CA"/>
        </w:rPr>
        <w:t>s</w:t>
      </w:r>
      <w:r w:rsidRPr="00941AD3">
        <w:rPr>
          <w:szCs w:val="24"/>
          <w:lang w:val="fr-CA"/>
        </w:rPr>
        <w:t>.</w:t>
      </w:r>
    </w:p>
    <w:p w:rsidR="0080556B" w:rsidRPr="00941AD3" w:rsidRDefault="0080556B" w:rsidP="005F2A78">
      <w:pPr>
        <w:widowControl w:val="0"/>
        <w:tabs>
          <w:tab w:val="left" w:pos="3840"/>
        </w:tabs>
        <w:jc w:val="both"/>
        <w:rPr>
          <w:sz w:val="20"/>
          <w:lang w:val="fr-CA"/>
        </w:rPr>
      </w:pPr>
    </w:p>
    <w:p w:rsidR="00867C61" w:rsidRPr="00941AD3" w:rsidRDefault="00326CE3" w:rsidP="009B14F4">
      <w:pPr>
        <w:widowControl w:val="0"/>
        <w:jc w:val="both"/>
        <w:rPr>
          <w:sz w:val="20"/>
        </w:rPr>
      </w:pPr>
      <w:r>
        <w:rPr>
          <w:sz w:val="20"/>
        </w:rPr>
        <w:pict>
          <v:rect id="_x0000_i1025" style="width:2in;height:1pt" o:hrpct="0" o:hralign="center" o:hrstd="t" o:hrnoshade="t" o:hr="t" fillcolor="black [3213]" stroked="f"/>
        </w:pict>
      </w:r>
    </w:p>
    <w:p w:rsidR="004A6E51" w:rsidRPr="00941AD3" w:rsidRDefault="004A6E51" w:rsidP="0053032E">
      <w:pPr>
        <w:rPr>
          <w:sz w:val="20"/>
          <w:lang w:val="fr-CA"/>
        </w:rPr>
      </w:pPr>
    </w:p>
    <w:p w:rsidR="009F3851" w:rsidRPr="00941AD3" w:rsidRDefault="009F3851" w:rsidP="009F3851">
      <w:pPr>
        <w:pStyle w:val="ListParagraph"/>
        <w:numPr>
          <w:ilvl w:val="0"/>
          <w:numId w:val="20"/>
        </w:numPr>
        <w:ind w:left="357" w:hanging="357"/>
        <w:rPr>
          <w:sz w:val="20"/>
        </w:rPr>
      </w:pPr>
      <w:r w:rsidRPr="00941AD3">
        <w:rPr>
          <w:i/>
          <w:sz w:val="20"/>
        </w:rPr>
        <w:t>His Majesty the King v. Maurio Salehi</w:t>
      </w:r>
      <w:r w:rsidRPr="00941AD3">
        <w:rPr>
          <w:sz w:val="20"/>
        </w:rPr>
        <w:t xml:space="preserve"> (B.C) (Criminal) (By Leave) (</w:t>
      </w:r>
      <w:hyperlink r:id="rId8" w:history="1">
        <w:r w:rsidRPr="00941AD3">
          <w:rPr>
            <w:rStyle w:val="Hyperlink"/>
            <w:sz w:val="20"/>
            <w:szCs w:val="20"/>
          </w:rPr>
          <w:t>40</w:t>
        </w:r>
        <w:r w:rsidR="004174AE" w:rsidRPr="00941AD3">
          <w:rPr>
            <w:rStyle w:val="Hyperlink"/>
            <w:sz w:val="20"/>
            <w:szCs w:val="20"/>
          </w:rPr>
          <w:t>084</w:t>
        </w:r>
      </w:hyperlink>
      <w:r w:rsidRPr="00941AD3">
        <w:rPr>
          <w:sz w:val="20"/>
        </w:rPr>
        <w:t>)</w:t>
      </w:r>
    </w:p>
    <w:p w:rsidR="009F3851" w:rsidRPr="00941AD3" w:rsidRDefault="009F3851" w:rsidP="009F3851">
      <w:pPr>
        <w:ind w:left="357" w:hanging="357"/>
        <w:rPr>
          <w:sz w:val="20"/>
        </w:rPr>
      </w:pPr>
    </w:p>
    <w:p w:rsidR="009F3851" w:rsidRPr="00941AD3" w:rsidRDefault="009F3851" w:rsidP="009F3851">
      <w:pPr>
        <w:pStyle w:val="ListParagraph"/>
        <w:numPr>
          <w:ilvl w:val="0"/>
          <w:numId w:val="20"/>
        </w:numPr>
        <w:ind w:left="357" w:hanging="357"/>
        <w:rPr>
          <w:sz w:val="20"/>
        </w:rPr>
      </w:pPr>
      <w:r w:rsidRPr="00941AD3">
        <w:rPr>
          <w:i/>
          <w:sz w:val="20"/>
        </w:rPr>
        <w:t>William Kenneth Turner v. His Majesty the King</w:t>
      </w:r>
      <w:r w:rsidRPr="00941AD3">
        <w:rPr>
          <w:sz w:val="20"/>
        </w:rPr>
        <w:t xml:space="preserve"> (Alta.) (Criminal) (By Leave) (</w:t>
      </w:r>
      <w:hyperlink r:id="rId9" w:history="1">
        <w:r w:rsidRPr="00941AD3">
          <w:rPr>
            <w:rStyle w:val="Hyperlink"/>
            <w:sz w:val="20"/>
            <w:szCs w:val="20"/>
          </w:rPr>
          <w:t>40</w:t>
        </w:r>
        <w:r w:rsidR="004174AE" w:rsidRPr="00941AD3">
          <w:rPr>
            <w:rStyle w:val="Hyperlink"/>
            <w:sz w:val="20"/>
            <w:szCs w:val="20"/>
          </w:rPr>
          <w:t>323</w:t>
        </w:r>
      </w:hyperlink>
      <w:r w:rsidRPr="00941AD3">
        <w:rPr>
          <w:sz w:val="20"/>
        </w:rPr>
        <w:t>)</w:t>
      </w:r>
    </w:p>
    <w:p w:rsidR="009F3851" w:rsidRPr="00941AD3" w:rsidRDefault="009F3851" w:rsidP="009F3851">
      <w:pPr>
        <w:ind w:left="357" w:hanging="357"/>
        <w:rPr>
          <w:sz w:val="20"/>
        </w:rPr>
      </w:pPr>
    </w:p>
    <w:p w:rsidR="009F3851" w:rsidRPr="00941AD3" w:rsidRDefault="009F3851" w:rsidP="009F3851">
      <w:pPr>
        <w:pStyle w:val="ListParagraph"/>
        <w:numPr>
          <w:ilvl w:val="0"/>
          <w:numId w:val="20"/>
        </w:numPr>
        <w:ind w:left="357" w:hanging="357"/>
        <w:rPr>
          <w:sz w:val="20"/>
        </w:rPr>
      </w:pPr>
      <w:r w:rsidRPr="00941AD3">
        <w:rPr>
          <w:i/>
          <w:sz w:val="20"/>
        </w:rPr>
        <w:t>Marc Misir, et al. v. His Majesty the King in Right of Ontario as represented by Ministry of Health and Long-</w:t>
      </w:r>
      <w:r w:rsidR="004174AE" w:rsidRPr="00941AD3">
        <w:rPr>
          <w:i/>
          <w:sz w:val="20"/>
        </w:rPr>
        <w:t>Te</w:t>
      </w:r>
      <w:r w:rsidRPr="00941AD3">
        <w:rPr>
          <w:i/>
          <w:sz w:val="20"/>
        </w:rPr>
        <w:t xml:space="preserve">rm </w:t>
      </w:r>
      <w:r w:rsidR="004174AE" w:rsidRPr="00941AD3">
        <w:rPr>
          <w:i/>
          <w:sz w:val="20"/>
        </w:rPr>
        <w:t>C</w:t>
      </w:r>
      <w:r w:rsidRPr="00941AD3">
        <w:rPr>
          <w:i/>
          <w:sz w:val="20"/>
        </w:rPr>
        <w:t>are</w:t>
      </w:r>
      <w:r w:rsidRPr="00941AD3">
        <w:rPr>
          <w:sz w:val="20"/>
        </w:rPr>
        <w:t xml:space="preserve"> (Ont.) (Civil) (By Leave) (</w:t>
      </w:r>
      <w:hyperlink r:id="rId10" w:history="1">
        <w:r w:rsidRPr="00941AD3">
          <w:rPr>
            <w:rStyle w:val="Hyperlink"/>
            <w:sz w:val="20"/>
            <w:szCs w:val="20"/>
          </w:rPr>
          <w:t>40</w:t>
        </w:r>
        <w:r w:rsidR="004174AE" w:rsidRPr="00941AD3">
          <w:rPr>
            <w:rStyle w:val="Hyperlink"/>
            <w:sz w:val="20"/>
            <w:szCs w:val="20"/>
          </w:rPr>
          <w:t>283</w:t>
        </w:r>
      </w:hyperlink>
      <w:r w:rsidRPr="00941AD3">
        <w:rPr>
          <w:sz w:val="20"/>
        </w:rPr>
        <w:t>)</w:t>
      </w:r>
    </w:p>
    <w:p w:rsidR="009F3851" w:rsidRPr="00326CE3" w:rsidRDefault="009F3851" w:rsidP="009F3851">
      <w:pPr>
        <w:ind w:left="357" w:hanging="357"/>
        <w:rPr>
          <w:sz w:val="20"/>
        </w:rPr>
      </w:pPr>
      <w:bookmarkStart w:id="0" w:name="_GoBack"/>
      <w:bookmarkEnd w:id="0"/>
    </w:p>
    <w:p w:rsidR="009F3851" w:rsidRPr="00941AD3" w:rsidRDefault="009F3851" w:rsidP="009F3851">
      <w:pPr>
        <w:pStyle w:val="ListParagraph"/>
        <w:numPr>
          <w:ilvl w:val="0"/>
          <w:numId w:val="20"/>
        </w:numPr>
        <w:ind w:left="357" w:hanging="357"/>
        <w:rPr>
          <w:sz w:val="20"/>
        </w:rPr>
      </w:pPr>
      <w:r w:rsidRPr="00941AD3">
        <w:rPr>
          <w:i/>
          <w:sz w:val="20"/>
        </w:rPr>
        <w:t xml:space="preserve">J.F. v. K.F. </w:t>
      </w:r>
      <w:r w:rsidRPr="00941AD3">
        <w:rPr>
          <w:sz w:val="20"/>
        </w:rPr>
        <w:t>(N.L.) (Civil) (By Leave) (</w:t>
      </w:r>
      <w:hyperlink r:id="rId11" w:history="1">
        <w:r w:rsidRPr="00941AD3">
          <w:rPr>
            <w:rStyle w:val="Hyperlink"/>
            <w:sz w:val="20"/>
            <w:szCs w:val="20"/>
          </w:rPr>
          <w:t>40</w:t>
        </w:r>
        <w:r w:rsidR="004174AE" w:rsidRPr="00941AD3">
          <w:rPr>
            <w:rStyle w:val="Hyperlink"/>
            <w:sz w:val="20"/>
            <w:szCs w:val="20"/>
          </w:rPr>
          <w:t>32</w:t>
        </w:r>
        <w:r w:rsidRPr="00941AD3">
          <w:rPr>
            <w:rStyle w:val="Hyperlink"/>
            <w:sz w:val="20"/>
            <w:szCs w:val="20"/>
          </w:rPr>
          <w:t>1</w:t>
        </w:r>
      </w:hyperlink>
      <w:r w:rsidRPr="00941AD3">
        <w:rPr>
          <w:sz w:val="20"/>
        </w:rPr>
        <w:t>)</w:t>
      </w:r>
    </w:p>
    <w:p w:rsidR="0068648F" w:rsidRPr="00941AD3" w:rsidRDefault="0068648F" w:rsidP="009F3851">
      <w:pPr>
        <w:ind w:left="357" w:hanging="357"/>
        <w:rPr>
          <w:sz w:val="20"/>
        </w:rPr>
      </w:pPr>
    </w:p>
    <w:p w:rsidR="009F3851" w:rsidRPr="00941AD3" w:rsidRDefault="009F3851" w:rsidP="009F3851">
      <w:pPr>
        <w:pStyle w:val="ListParagraph"/>
        <w:numPr>
          <w:ilvl w:val="0"/>
          <w:numId w:val="20"/>
        </w:numPr>
        <w:ind w:left="357" w:hanging="357"/>
        <w:rPr>
          <w:sz w:val="20"/>
        </w:rPr>
      </w:pPr>
      <w:r w:rsidRPr="00941AD3">
        <w:rPr>
          <w:i/>
          <w:sz w:val="20"/>
        </w:rPr>
        <w:t>Max Edwin Tutiven v. His Majesty the King</w:t>
      </w:r>
      <w:r w:rsidRPr="00941AD3">
        <w:rPr>
          <w:sz w:val="20"/>
        </w:rPr>
        <w:t xml:space="preserve"> (Ont.) (Criminal) (By Leave) (</w:t>
      </w:r>
      <w:hyperlink r:id="rId12" w:history="1">
        <w:r w:rsidRPr="00941AD3">
          <w:rPr>
            <w:rStyle w:val="Hyperlink"/>
            <w:sz w:val="20"/>
            <w:szCs w:val="20"/>
          </w:rPr>
          <w:t>40</w:t>
        </w:r>
        <w:r w:rsidR="0063161C" w:rsidRPr="00941AD3">
          <w:rPr>
            <w:rStyle w:val="Hyperlink"/>
            <w:sz w:val="20"/>
            <w:szCs w:val="20"/>
          </w:rPr>
          <w:t>3</w:t>
        </w:r>
        <w:r w:rsidRPr="00941AD3">
          <w:rPr>
            <w:rStyle w:val="Hyperlink"/>
            <w:sz w:val="20"/>
            <w:szCs w:val="20"/>
          </w:rPr>
          <w:t>1</w:t>
        </w:r>
        <w:r w:rsidR="0063161C" w:rsidRPr="00941AD3">
          <w:rPr>
            <w:rStyle w:val="Hyperlink"/>
            <w:sz w:val="20"/>
            <w:szCs w:val="20"/>
          </w:rPr>
          <w:t>8</w:t>
        </w:r>
      </w:hyperlink>
      <w:r w:rsidRPr="00941AD3">
        <w:rPr>
          <w:sz w:val="20"/>
        </w:rPr>
        <w:t>)</w:t>
      </w:r>
    </w:p>
    <w:p w:rsidR="009F3851" w:rsidRPr="00941AD3" w:rsidRDefault="009F3851" w:rsidP="009F3851">
      <w:pPr>
        <w:widowControl w:val="0"/>
        <w:autoSpaceDE w:val="0"/>
        <w:autoSpaceDN w:val="0"/>
        <w:adjustRightInd w:val="0"/>
        <w:ind w:left="357" w:hanging="357"/>
        <w:contextualSpacing/>
        <w:rPr>
          <w:sz w:val="20"/>
        </w:rPr>
      </w:pPr>
    </w:p>
    <w:p w:rsidR="009F3851" w:rsidRPr="00941AD3" w:rsidRDefault="009F3851" w:rsidP="009F3851">
      <w:pPr>
        <w:pStyle w:val="ListParagraph"/>
        <w:numPr>
          <w:ilvl w:val="0"/>
          <w:numId w:val="20"/>
        </w:numPr>
        <w:ind w:left="357" w:hanging="357"/>
        <w:rPr>
          <w:sz w:val="20"/>
        </w:rPr>
      </w:pPr>
      <w:r w:rsidRPr="00941AD3">
        <w:rPr>
          <w:i/>
          <w:sz w:val="20"/>
          <w:lang w:val="fr-CA"/>
        </w:rPr>
        <w:t xml:space="preserve">OZ Optics Ltd., </w:t>
      </w:r>
      <w:r w:rsidR="0063161C" w:rsidRPr="00941AD3">
        <w:rPr>
          <w:i/>
          <w:sz w:val="20"/>
          <w:lang w:val="fr-CA"/>
        </w:rPr>
        <w:t>et al.</w:t>
      </w:r>
      <w:r w:rsidRPr="00941AD3">
        <w:rPr>
          <w:i/>
          <w:sz w:val="20"/>
          <w:lang w:val="fr-CA"/>
        </w:rPr>
        <w:t xml:space="preserve"> v. Victor Ages Vallance LLP</w:t>
      </w:r>
      <w:r w:rsidRPr="00941AD3">
        <w:rPr>
          <w:sz w:val="20"/>
          <w:lang w:val="fr-CA"/>
        </w:rPr>
        <w:t xml:space="preserve"> (Ont.) </w:t>
      </w:r>
      <w:r w:rsidRPr="00941AD3">
        <w:rPr>
          <w:sz w:val="20"/>
        </w:rPr>
        <w:t>(Civil) (By Leave) (</w:t>
      </w:r>
      <w:hyperlink r:id="rId13" w:history="1">
        <w:r w:rsidRPr="00941AD3">
          <w:rPr>
            <w:rStyle w:val="Hyperlink"/>
            <w:sz w:val="20"/>
            <w:szCs w:val="20"/>
          </w:rPr>
          <w:t>401</w:t>
        </w:r>
        <w:r w:rsidR="0063161C" w:rsidRPr="00941AD3">
          <w:rPr>
            <w:rStyle w:val="Hyperlink"/>
            <w:sz w:val="20"/>
            <w:szCs w:val="20"/>
          </w:rPr>
          <w:t>78</w:t>
        </w:r>
      </w:hyperlink>
      <w:r w:rsidRPr="00941AD3">
        <w:rPr>
          <w:sz w:val="20"/>
        </w:rPr>
        <w:t>)</w:t>
      </w:r>
    </w:p>
    <w:p w:rsidR="009F3851" w:rsidRPr="00941AD3" w:rsidRDefault="009F3851" w:rsidP="009F3851">
      <w:pPr>
        <w:widowControl w:val="0"/>
        <w:autoSpaceDE w:val="0"/>
        <w:autoSpaceDN w:val="0"/>
        <w:adjustRightInd w:val="0"/>
        <w:ind w:left="357" w:hanging="357"/>
        <w:contextualSpacing/>
        <w:rPr>
          <w:sz w:val="20"/>
        </w:rPr>
      </w:pPr>
    </w:p>
    <w:p w:rsidR="009F3851" w:rsidRPr="00941AD3" w:rsidRDefault="009F3851" w:rsidP="009F3851">
      <w:pPr>
        <w:pStyle w:val="ListParagraph"/>
        <w:numPr>
          <w:ilvl w:val="0"/>
          <w:numId w:val="20"/>
        </w:numPr>
        <w:ind w:left="357" w:hanging="357"/>
        <w:rPr>
          <w:sz w:val="20"/>
        </w:rPr>
      </w:pPr>
      <w:r w:rsidRPr="00941AD3">
        <w:rPr>
          <w:i/>
          <w:sz w:val="20"/>
        </w:rPr>
        <w:t xml:space="preserve">Edward C. Gokey, </w:t>
      </w:r>
      <w:r w:rsidR="0063161C" w:rsidRPr="00941AD3">
        <w:rPr>
          <w:i/>
          <w:sz w:val="20"/>
        </w:rPr>
        <w:t>et al.</w:t>
      </w:r>
      <w:r w:rsidRPr="00941AD3">
        <w:rPr>
          <w:i/>
          <w:sz w:val="20"/>
        </w:rPr>
        <w:t xml:space="preserve"> v. Gordon F. Usher and Patricia Ann Parsons, </w:t>
      </w:r>
      <w:r w:rsidR="0063161C" w:rsidRPr="00941AD3">
        <w:rPr>
          <w:i/>
          <w:sz w:val="20"/>
        </w:rPr>
        <w:t>et al.</w:t>
      </w:r>
      <w:r w:rsidRPr="00941AD3">
        <w:rPr>
          <w:sz w:val="20"/>
        </w:rPr>
        <w:t xml:space="preserve"> (B.C.) (Civil) (By Leave) (</w:t>
      </w:r>
      <w:hyperlink r:id="rId14" w:history="1">
        <w:r w:rsidRPr="00941AD3">
          <w:rPr>
            <w:rStyle w:val="Hyperlink"/>
            <w:sz w:val="20"/>
            <w:szCs w:val="20"/>
          </w:rPr>
          <w:t>40</w:t>
        </w:r>
        <w:r w:rsidR="0063161C" w:rsidRPr="00941AD3">
          <w:rPr>
            <w:rStyle w:val="Hyperlink"/>
            <w:sz w:val="20"/>
            <w:szCs w:val="20"/>
          </w:rPr>
          <w:t>21</w:t>
        </w:r>
        <w:r w:rsidRPr="00941AD3">
          <w:rPr>
            <w:rStyle w:val="Hyperlink"/>
            <w:sz w:val="20"/>
            <w:szCs w:val="20"/>
          </w:rPr>
          <w:t>1</w:t>
        </w:r>
      </w:hyperlink>
      <w:r w:rsidRPr="00941AD3">
        <w:rPr>
          <w:sz w:val="20"/>
        </w:rPr>
        <w:t>)</w:t>
      </w:r>
    </w:p>
    <w:p w:rsidR="00F649C7" w:rsidRPr="00941AD3" w:rsidRDefault="00F649C7" w:rsidP="001C65AF">
      <w:pPr>
        <w:widowControl w:val="0"/>
        <w:jc w:val="both"/>
        <w:rPr>
          <w:sz w:val="20"/>
        </w:rPr>
      </w:pPr>
    </w:p>
    <w:p w:rsidR="0057402C" w:rsidRPr="00941AD3" w:rsidRDefault="00326CE3" w:rsidP="001C65AF">
      <w:pPr>
        <w:widowControl w:val="0"/>
        <w:jc w:val="both"/>
        <w:rPr>
          <w:sz w:val="20"/>
        </w:rPr>
      </w:pPr>
      <w:r>
        <w:rPr>
          <w:sz w:val="20"/>
        </w:rPr>
        <w:pict>
          <v:rect id="_x0000_i1026" style="width:2in;height:1pt" o:hrpct="0" o:hralign="center" o:hrstd="t" o:hrnoshade="t" o:hr="t" fillcolor="black [3213]" stroked="f"/>
        </w:pict>
      </w:r>
    </w:p>
    <w:p w:rsidR="00946739" w:rsidRPr="00941AD3" w:rsidRDefault="00946739" w:rsidP="001C65A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5AF" w:rsidRPr="00941AD3" w:rsidTr="00E95A6A">
        <w:tc>
          <w:tcPr>
            <w:tcW w:w="543" w:type="pct"/>
          </w:tcPr>
          <w:p w:rsidR="001C65AF" w:rsidRPr="00941AD3" w:rsidRDefault="001C65AF" w:rsidP="001C65AF">
            <w:pPr>
              <w:jc w:val="both"/>
              <w:rPr>
                <w:sz w:val="20"/>
              </w:rPr>
            </w:pPr>
            <w:r w:rsidRPr="00941AD3">
              <w:rPr>
                <w:rStyle w:val="SCCFileNumberChar"/>
                <w:sz w:val="20"/>
                <w:szCs w:val="20"/>
              </w:rPr>
              <w:t>40084</w:t>
            </w:r>
          </w:p>
        </w:tc>
        <w:tc>
          <w:tcPr>
            <w:tcW w:w="4457" w:type="pct"/>
            <w:gridSpan w:val="3"/>
          </w:tcPr>
          <w:p w:rsidR="001C65AF" w:rsidRPr="00941AD3" w:rsidRDefault="001C65AF" w:rsidP="001C65AF">
            <w:pPr>
              <w:pStyle w:val="SCCLsocParty"/>
              <w:jc w:val="both"/>
              <w:rPr>
                <w:b/>
                <w:sz w:val="20"/>
                <w:szCs w:val="20"/>
                <w:lang w:val="en-US"/>
              </w:rPr>
            </w:pPr>
            <w:r w:rsidRPr="00941AD3">
              <w:rPr>
                <w:b/>
                <w:sz w:val="20"/>
                <w:szCs w:val="20"/>
                <w:lang w:val="en-US"/>
              </w:rPr>
              <w:t>His Majesty the King v. Maurio Salehi</w:t>
            </w:r>
          </w:p>
          <w:p w:rsidR="001C65AF" w:rsidRPr="00941AD3" w:rsidRDefault="001C65AF" w:rsidP="001C65AF">
            <w:pPr>
              <w:jc w:val="both"/>
              <w:rPr>
                <w:sz w:val="20"/>
              </w:rPr>
            </w:pPr>
            <w:r w:rsidRPr="00941AD3">
              <w:rPr>
                <w:sz w:val="20"/>
              </w:rPr>
              <w:t>(B.C.) (Criminal) (By Leave)</w:t>
            </w:r>
          </w:p>
        </w:tc>
      </w:tr>
      <w:tr w:rsidR="001C65AF" w:rsidRPr="00941AD3" w:rsidTr="00E95A6A">
        <w:tc>
          <w:tcPr>
            <w:tcW w:w="5000" w:type="pct"/>
            <w:gridSpan w:val="4"/>
          </w:tcPr>
          <w:p w:rsidR="001C65AF" w:rsidRPr="00941AD3" w:rsidRDefault="001C65AF" w:rsidP="001C65AF">
            <w:pPr>
              <w:jc w:val="both"/>
              <w:rPr>
                <w:sz w:val="20"/>
              </w:rPr>
            </w:pPr>
            <w:r w:rsidRPr="00941AD3">
              <w:rPr>
                <w:sz w:val="20"/>
              </w:rPr>
              <w:t>Criminal law — Sentencing — Parole eligibility — What are the appropriate factors for a sentencing judge to consider in determining whether a period of parole ineligibility of longer than 10 years should be awarded for an individual convicted of two counts of second degree murder? — In particular, what weight should be given to evidence of the offender’s health? — What is the appropriate standard of appellate review of such an order? — In particular, was the Court of Appeal’s intervention in this case justified?</w:t>
            </w:r>
          </w:p>
          <w:p w:rsidR="001C65AF" w:rsidRPr="00941AD3" w:rsidRDefault="001C65AF" w:rsidP="001C65AF">
            <w:pPr>
              <w:jc w:val="both"/>
              <w:rPr>
                <w:sz w:val="20"/>
              </w:rPr>
            </w:pPr>
          </w:p>
        </w:tc>
      </w:tr>
      <w:tr w:rsidR="001C65AF" w:rsidRPr="00941AD3" w:rsidTr="00E95A6A">
        <w:tc>
          <w:tcPr>
            <w:tcW w:w="5000" w:type="pct"/>
            <w:gridSpan w:val="4"/>
          </w:tcPr>
          <w:p w:rsidR="001C65AF" w:rsidRPr="00941AD3" w:rsidRDefault="001C65AF" w:rsidP="001C65AF">
            <w:pPr>
              <w:jc w:val="both"/>
              <w:rPr>
                <w:sz w:val="20"/>
              </w:rPr>
            </w:pPr>
            <w:r w:rsidRPr="00941AD3">
              <w:rPr>
                <w:iCs/>
                <w:color w:val="000000"/>
                <w:sz w:val="20"/>
              </w:rPr>
              <w:t xml:space="preserve">The respondent stabbed his former domestic partner, and her boyfriend. The victims both died. The respondent pled guilty to two counts of second degree murder. The respondent tendered evidence at his sentencing about his Parkinson’s disease. The respondent was sentenced to life imprisonment without eligibility for parole for 20 years. </w:t>
            </w:r>
            <w:r w:rsidRPr="00941AD3">
              <w:rPr>
                <w:iCs/>
                <w:color w:val="000000"/>
                <w:sz w:val="20"/>
              </w:rPr>
              <w:lastRenderedPageBreak/>
              <w:t xml:space="preserve">At the Court of Appeal, the respondent successfully applied to adduce fresh evidence of the progression of his Parkinson’s disease. </w:t>
            </w:r>
            <w:r w:rsidRPr="00941AD3">
              <w:rPr>
                <w:sz w:val="20"/>
              </w:rPr>
              <w:t xml:space="preserve">The Court of Appeal allowed the sentence appeal. The respondent was sentenced to life imprisonment without </w:t>
            </w:r>
            <w:r w:rsidRPr="00941AD3">
              <w:rPr>
                <w:iCs/>
                <w:color w:val="000000"/>
                <w:sz w:val="20"/>
              </w:rPr>
              <w:t>eligibility for parole for 15 years</w:t>
            </w:r>
            <w:r w:rsidRPr="00941AD3">
              <w:rPr>
                <w:sz w:val="20"/>
              </w:rPr>
              <w:t>.</w:t>
            </w:r>
          </w:p>
        </w:tc>
      </w:tr>
      <w:tr w:rsidR="001C65AF" w:rsidRPr="00941AD3" w:rsidTr="00E95A6A">
        <w:tc>
          <w:tcPr>
            <w:tcW w:w="5000" w:type="pct"/>
            <w:gridSpan w:val="4"/>
          </w:tcPr>
          <w:p w:rsidR="001C65AF" w:rsidRPr="00941AD3" w:rsidRDefault="001C65AF" w:rsidP="001C65AF">
            <w:pPr>
              <w:jc w:val="both"/>
              <w:rPr>
                <w:sz w:val="20"/>
              </w:rPr>
            </w:pPr>
          </w:p>
        </w:tc>
      </w:tr>
      <w:tr w:rsidR="001C65AF" w:rsidRPr="00941AD3" w:rsidTr="00E95A6A">
        <w:tc>
          <w:tcPr>
            <w:tcW w:w="2427" w:type="pct"/>
            <w:gridSpan w:val="2"/>
          </w:tcPr>
          <w:p w:rsidR="001C65AF" w:rsidRPr="00941AD3" w:rsidRDefault="001C65AF" w:rsidP="001C65AF">
            <w:pPr>
              <w:jc w:val="both"/>
              <w:rPr>
                <w:sz w:val="20"/>
              </w:rPr>
            </w:pPr>
            <w:r w:rsidRPr="00941AD3">
              <w:rPr>
                <w:sz w:val="20"/>
              </w:rPr>
              <w:t>May 3, 2019</w:t>
            </w:r>
          </w:p>
          <w:p w:rsidR="001C65AF" w:rsidRPr="00941AD3" w:rsidRDefault="001C65AF" w:rsidP="001C65AF">
            <w:pPr>
              <w:jc w:val="both"/>
              <w:rPr>
                <w:sz w:val="20"/>
              </w:rPr>
            </w:pPr>
            <w:r w:rsidRPr="00941AD3">
              <w:rPr>
                <w:sz w:val="20"/>
              </w:rPr>
              <w:t>Supreme Court of British Columbia</w:t>
            </w:r>
          </w:p>
          <w:p w:rsidR="001C65AF" w:rsidRPr="00941AD3" w:rsidRDefault="001C65AF" w:rsidP="001C65AF">
            <w:pPr>
              <w:jc w:val="both"/>
              <w:rPr>
                <w:sz w:val="20"/>
              </w:rPr>
            </w:pPr>
            <w:r w:rsidRPr="00941AD3">
              <w:rPr>
                <w:sz w:val="20"/>
              </w:rPr>
              <w:t>(Devlin J.)</w:t>
            </w:r>
          </w:p>
          <w:p w:rsidR="001C65AF" w:rsidRPr="00941AD3" w:rsidRDefault="00326CE3" w:rsidP="001C65AF">
            <w:pPr>
              <w:jc w:val="both"/>
              <w:rPr>
                <w:sz w:val="20"/>
              </w:rPr>
            </w:pPr>
            <w:hyperlink r:id="rId15" w:history="1">
              <w:r w:rsidR="001C65AF" w:rsidRPr="00941AD3">
                <w:rPr>
                  <w:rStyle w:val="Hyperlink"/>
                  <w:sz w:val="20"/>
                </w:rPr>
                <w:t>2019 BCSC 698</w:t>
              </w:r>
            </w:hyperlink>
          </w:p>
          <w:p w:rsidR="001C65AF" w:rsidRPr="00941AD3" w:rsidRDefault="001C65AF" w:rsidP="001C65AF">
            <w:pPr>
              <w:jc w:val="both"/>
              <w:rPr>
                <w:sz w:val="20"/>
              </w:rPr>
            </w:pPr>
          </w:p>
        </w:tc>
        <w:tc>
          <w:tcPr>
            <w:tcW w:w="243" w:type="pct"/>
          </w:tcPr>
          <w:p w:rsidR="001C65AF" w:rsidRPr="00941AD3" w:rsidRDefault="001C65AF" w:rsidP="001C65AF">
            <w:pPr>
              <w:jc w:val="both"/>
              <w:rPr>
                <w:sz w:val="20"/>
              </w:rPr>
            </w:pPr>
          </w:p>
        </w:tc>
        <w:tc>
          <w:tcPr>
            <w:tcW w:w="2330" w:type="pct"/>
          </w:tcPr>
          <w:p w:rsidR="001C65AF" w:rsidRPr="00941AD3" w:rsidRDefault="001C65AF" w:rsidP="001C65AF">
            <w:pPr>
              <w:jc w:val="both"/>
              <w:rPr>
                <w:sz w:val="20"/>
              </w:rPr>
            </w:pPr>
            <w:r w:rsidRPr="00941AD3">
              <w:rPr>
                <w:sz w:val="20"/>
              </w:rPr>
              <w:t>Sentence</w:t>
            </w:r>
            <w:r w:rsidRPr="00941AD3">
              <w:rPr>
                <w:iCs/>
                <w:color w:val="000000"/>
                <w:sz w:val="20"/>
              </w:rPr>
              <w:t xml:space="preserve"> imposed: life imprisonment without eligibility for parole for 20 years</w:t>
            </w:r>
          </w:p>
          <w:p w:rsidR="001C65AF" w:rsidRPr="00941AD3" w:rsidRDefault="001C65AF" w:rsidP="001C65AF">
            <w:pPr>
              <w:jc w:val="both"/>
              <w:rPr>
                <w:sz w:val="20"/>
              </w:rPr>
            </w:pPr>
          </w:p>
        </w:tc>
      </w:tr>
      <w:tr w:rsidR="001C65AF" w:rsidRPr="00941AD3" w:rsidTr="00E95A6A">
        <w:tc>
          <w:tcPr>
            <w:tcW w:w="2427" w:type="pct"/>
            <w:gridSpan w:val="2"/>
          </w:tcPr>
          <w:p w:rsidR="001C65AF" w:rsidRPr="00941AD3" w:rsidRDefault="001C65AF" w:rsidP="001C65AF">
            <w:pPr>
              <w:jc w:val="both"/>
              <w:rPr>
                <w:sz w:val="20"/>
              </w:rPr>
            </w:pPr>
            <w:r w:rsidRPr="00941AD3">
              <w:rPr>
                <w:sz w:val="20"/>
              </w:rPr>
              <w:t>January 4, 2022</w:t>
            </w:r>
          </w:p>
          <w:p w:rsidR="001C65AF" w:rsidRPr="00941AD3" w:rsidRDefault="001C65AF" w:rsidP="001C65AF">
            <w:pPr>
              <w:jc w:val="both"/>
              <w:rPr>
                <w:sz w:val="20"/>
              </w:rPr>
            </w:pPr>
            <w:r w:rsidRPr="00941AD3">
              <w:rPr>
                <w:sz w:val="20"/>
              </w:rPr>
              <w:t xml:space="preserve">Court of Appeal for British Columbia </w:t>
            </w:r>
          </w:p>
          <w:p w:rsidR="001C65AF" w:rsidRPr="00941AD3" w:rsidRDefault="001C65AF" w:rsidP="001C65AF">
            <w:pPr>
              <w:jc w:val="both"/>
              <w:rPr>
                <w:sz w:val="20"/>
              </w:rPr>
            </w:pPr>
            <w:r w:rsidRPr="00941AD3">
              <w:rPr>
                <w:sz w:val="20"/>
              </w:rPr>
              <w:t>(Vancouver)</w:t>
            </w:r>
          </w:p>
          <w:p w:rsidR="001C65AF" w:rsidRPr="00941AD3" w:rsidRDefault="001C65AF" w:rsidP="001C65AF">
            <w:pPr>
              <w:jc w:val="both"/>
              <w:rPr>
                <w:sz w:val="20"/>
              </w:rPr>
            </w:pPr>
            <w:r w:rsidRPr="00941AD3">
              <w:rPr>
                <w:sz w:val="20"/>
              </w:rPr>
              <w:t>(Willcock, Dickson, Fisher JJ.A.)</w:t>
            </w:r>
          </w:p>
          <w:p w:rsidR="001C65AF" w:rsidRPr="00941AD3" w:rsidRDefault="001C65AF" w:rsidP="001C65AF">
            <w:pPr>
              <w:jc w:val="both"/>
              <w:rPr>
                <w:sz w:val="20"/>
              </w:rPr>
            </w:pPr>
            <w:r w:rsidRPr="00941AD3">
              <w:rPr>
                <w:sz w:val="20"/>
              </w:rPr>
              <w:t xml:space="preserve">CA46319; </w:t>
            </w:r>
            <w:hyperlink r:id="rId16" w:history="1">
              <w:r w:rsidRPr="00941AD3">
                <w:rPr>
                  <w:rStyle w:val="Hyperlink"/>
                  <w:sz w:val="20"/>
                </w:rPr>
                <w:t>2022 BCCA 1</w:t>
              </w:r>
            </w:hyperlink>
          </w:p>
          <w:p w:rsidR="001C65AF" w:rsidRPr="00941AD3" w:rsidRDefault="001C65AF" w:rsidP="001C65AF">
            <w:pPr>
              <w:jc w:val="both"/>
              <w:rPr>
                <w:sz w:val="20"/>
              </w:rPr>
            </w:pPr>
          </w:p>
        </w:tc>
        <w:tc>
          <w:tcPr>
            <w:tcW w:w="243" w:type="pct"/>
          </w:tcPr>
          <w:p w:rsidR="001C65AF" w:rsidRPr="00941AD3" w:rsidRDefault="001C65AF" w:rsidP="001C65AF">
            <w:pPr>
              <w:jc w:val="both"/>
              <w:rPr>
                <w:sz w:val="20"/>
              </w:rPr>
            </w:pPr>
          </w:p>
        </w:tc>
        <w:tc>
          <w:tcPr>
            <w:tcW w:w="2330" w:type="pct"/>
          </w:tcPr>
          <w:p w:rsidR="001C65AF" w:rsidRPr="00941AD3" w:rsidRDefault="001C65AF" w:rsidP="001C65AF">
            <w:pPr>
              <w:jc w:val="both"/>
              <w:rPr>
                <w:sz w:val="20"/>
              </w:rPr>
            </w:pPr>
            <w:r w:rsidRPr="00941AD3">
              <w:rPr>
                <w:sz w:val="20"/>
              </w:rPr>
              <w:t xml:space="preserve">Sentence appeal allowed and parole eligibility varied: </w:t>
            </w:r>
            <w:r w:rsidRPr="00941AD3">
              <w:rPr>
                <w:iCs/>
                <w:color w:val="000000"/>
                <w:sz w:val="20"/>
              </w:rPr>
              <w:t xml:space="preserve">life imprisonment </w:t>
            </w:r>
            <w:r w:rsidRPr="00941AD3">
              <w:rPr>
                <w:sz w:val="20"/>
              </w:rPr>
              <w:t>without parole eligibility for 15 years</w:t>
            </w:r>
          </w:p>
          <w:p w:rsidR="001C65AF" w:rsidRPr="00941AD3" w:rsidRDefault="001C65AF" w:rsidP="001C65AF">
            <w:pPr>
              <w:jc w:val="both"/>
              <w:rPr>
                <w:sz w:val="20"/>
              </w:rPr>
            </w:pPr>
          </w:p>
        </w:tc>
      </w:tr>
      <w:tr w:rsidR="001C65AF" w:rsidRPr="00941AD3" w:rsidTr="00E95A6A">
        <w:tc>
          <w:tcPr>
            <w:tcW w:w="2427" w:type="pct"/>
            <w:gridSpan w:val="2"/>
          </w:tcPr>
          <w:p w:rsidR="001C65AF" w:rsidRPr="00941AD3" w:rsidRDefault="001C65AF" w:rsidP="001C65AF">
            <w:pPr>
              <w:jc w:val="both"/>
              <w:rPr>
                <w:sz w:val="20"/>
              </w:rPr>
            </w:pPr>
            <w:r w:rsidRPr="00941AD3">
              <w:rPr>
                <w:sz w:val="20"/>
              </w:rPr>
              <w:t>March 7, 2022</w:t>
            </w:r>
          </w:p>
          <w:p w:rsidR="001C65AF" w:rsidRPr="00941AD3" w:rsidRDefault="001C65AF" w:rsidP="001C65AF">
            <w:pPr>
              <w:jc w:val="both"/>
              <w:rPr>
                <w:sz w:val="20"/>
              </w:rPr>
            </w:pPr>
            <w:r w:rsidRPr="00941AD3">
              <w:rPr>
                <w:sz w:val="20"/>
              </w:rPr>
              <w:t>Supreme Court of Canada</w:t>
            </w:r>
          </w:p>
        </w:tc>
        <w:tc>
          <w:tcPr>
            <w:tcW w:w="243" w:type="pct"/>
          </w:tcPr>
          <w:p w:rsidR="001C65AF" w:rsidRPr="00941AD3" w:rsidRDefault="001C65AF" w:rsidP="001C65AF">
            <w:pPr>
              <w:jc w:val="both"/>
              <w:rPr>
                <w:sz w:val="20"/>
              </w:rPr>
            </w:pPr>
          </w:p>
        </w:tc>
        <w:tc>
          <w:tcPr>
            <w:tcW w:w="2330" w:type="pct"/>
          </w:tcPr>
          <w:p w:rsidR="001C65AF" w:rsidRPr="00941AD3" w:rsidRDefault="001C65AF" w:rsidP="001C65AF">
            <w:pPr>
              <w:jc w:val="both"/>
              <w:rPr>
                <w:sz w:val="20"/>
              </w:rPr>
            </w:pPr>
            <w:r w:rsidRPr="00941AD3">
              <w:rPr>
                <w:sz w:val="20"/>
              </w:rPr>
              <w:t>Application for leave to appeal filed</w:t>
            </w:r>
          </w:p>
          <w:p w:rsidR="001C65AF" w:rsidRPr="00941AD3" w:rsidRDefault="001C65AF" w:rsidP="001C65AF">
            <w:pPr>
              <w:jc w:val="both"/>
              <w:rPr>
                <w:sz w:val="20"/>
              </w:rPr>
            </w:pPr>
          </w:p>
        </w:tc>
      </w:tr>
    </w:tbl>
    <w:p w:rsidR="001C65AF" w:rsidRPr="00941AD3" w:rsidRDefault="001C65AF" w:rsidP="001C65AF">
      <w:pPr>
        <w:jc w:val="both"/>
        <w:rPr>
          <w:sz w:val="20"/>
        </w:rPr>
      </w:pPr>
    </w:p>
    <w:p w:rsidR="001C65AF" w:rsidRPr="00941AD3" w:rsidRDefault="00326CE3" w:rsidP="001C65AF">
      <w:pPr>
        <w:jc w:val="both"/>
        <w:rPr>
          <w:sz w:val="20"/>
        </w:rPr>
      </w:pPr>
      <w:r>
        <w:rPr>
          <w:sz w:val="20"/>
        </w:rPr>
        <w:pict>
          <v:rect id="_x0000_i1027" style="width:2in;height:1pt" o:hrpct="0" o:hralign="center" o:hrstd="t" o:hrnoshade="t" o:hr="t" fillcolor="black [3213]" stroked="f"/>
        </w:pict>
      </w:r>
    </w:p>
    <w:p w:rsidR="001C65AF" w:rsidRPr="00941AD3" w:rsidRDefault="001C65AF" w:rsidP="001C65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5AF" w:rsidRPr="00326CE3" w:rsidTr="00E95A6A">
        <w:tc>
          <w:tcPr>
            <w:tcW w:w="543" w:type="pct"/>
          </w:tcPr>
          <w:p w:rsidR="001C65AF" w:rsidRPr="00941AD3" w:rsidRDefault="001C65AF" w:rsidP="001C65AF">
            <w:pPr>
              <w:jc w:val="both"/>
              <w:rPr>
                <w:sz w:val="20"/>
                <w:lang w:val="fr-CA"/>
              </w:rPr>
            </w:pPr>
            <w:r w:rsidRPr="00941AD3">
              <w:rPr>
                <w:rStyle w:val="SCCFileNumberChar"/>
                <w:sz w:val="20"/>
                <w:szCs w:val="20"/>
                <w:lang w:val="fr-CA"/>
              </w:rPr>
              <w:t>40084</w:t>
            </w:r>
          </w:p>
        </w:tc>
        <w:tc>
          <w:tcPr>
            <w:tcW w:w="4457" w:type="pct"/>
            <w:gridSpan w:val="3"/>
          </w:tcPr>
          <w:p w:rsidR="001C65AF" w:rsidRPr="00941AD3" w:rsidRDefault="001C65AF" w:rsidP="001C65AF">
            <w:pPr>
              <w:pStyle w:val="SCCLsocParty"/>
              <w:jc w:val="both"/>
              <w:rPr>
                <w:b/>
                <w:sz w:val="20"/>
                <w:szCs w:val="20"/>
              </w:rPr>
            </w:pPr>
            <w:r w:rsidRPr="00941AD3">
              <w:rPr>
                <w:b/>
                <w:sz w:val="20"/>
                <w:szCs w:val="20"/>
              </w:rPr>
              <w:t>Sa Majesté le Roi c. Maurio Salehi</w:t>
            </w:r>
          </w:p>
          <w:p w:rsidR="001C65AF" w:rsidRPr="00941AD3" w:rsidRDefault="001C65AF" w:rsidP="001C65AF">
            <w:pPr>
              <w:jc w:val="both"/>
              <w:rPr>
                <w:sz w:val="20"/>
                <w:lang w:val="fr-CA"/>
              </w:rPr>
            </w:pPr>
            <w:r w:rsidRPr="00941AD3">
              <w:rPr>
                <w:sz w:val="20"/>
                <w:lang w:val="fr-CA"/>
              </w:rPr>
              <w:t>(C.-B.) (Criminelle) (Sur autorisation)</w:t>
            </w:r>
          </w:p>
        </w:tc>
      </w:tr>
      <w:tr w:rsidR="001C65AF" w:rsidRPr="00326CE3" w:rsidTr="00E95A6A">
        <w:tc>
          <w:tcPr>
            <w:tcW w:w="5000" w:type="pct"/>
            <w:gridSpan w:val="4"/>
          </w:tcPr>
          <w:p w:rsidR="001C65AF" w:rsidRPr="00941AD3" w:rsidRDefault="001C65AF" w:rsidP="001C65AF">
            <w:pPr>
              <w:jc w:val="both"/>
              <w:rPr>
                <w:sz w:val="20"/>
                <w:lang w:val="fr-CA"/>
              </w:rPr>
            </w:pPr>
            <w:r w:rsidRPr="00941AD3">
              <w:rPr>
                <w:sz w:val="20"/>
                <w:lang w:val="fr-CA"/>
              </w:rPr>
              <w:t>Droit criminel — Détermination de la peine — Admissibilité à la libération conditionnelle — Quels sont les facteurs dont le juge chargé de prononcer la peine doit tenir compte lorsqu’il détermine s’il y a lieu d’infliger une période d’inadmissibilité à la libération conditionnelle de plus de 10 ans à l’égard d’un individu déclaré coupable de deux chefs de meurtre au deuxième degré? — Plus particulièrement, quel poids doit être accordé aux éléments de preuve concernant la santé du délinquant? — Quelle norme de contrôle convient-il d’appliquer en appel quant à une telle ordonnance? — Plus particulièrement, l’intervention de la Cour d’appel en l’espèce était-elle justifiée?</w:t>
            </w:r>
          </w:p>
          <w:p w:rsidR="001C65AF" w:rsidRPr="00941AD3" w:rsidRDefault="001C65AF" w:rsidP="001C65AF">
            <w:pPr>
              <w:jc w:val="both"/>
              <w:rPr>
                <w:sz w:val="20"/>
                <w:lang w:val="fr-CA"/>
              </w:rPr>
            </w:pPr>
          </w:p>
        </w:tc>
      </w:tr>
      <w:tr w:rsidR="001C65AF" w:rsidRPr="00326CE3" w:rsidTr="00E95A6A">
        <w:tc>
          <w:tcPr>
            <w:tcW w:w="5000" w:type="pct"/>
            <w:gridSpan w:val="4"/>
          </w:tcPr>
          <w:p w:rsidR="001C65AF" w:rsidRPr="00941AD3" w:rsidRDefault="001C65AF" w:rsidP="001C65AF">
            <w:pPr>
              <w:jc w:val="both"/>
              <w:rPr>
                <w:sz w:val="20"/>
                <w:lang w:val="fr-CA"/>
              </w:rPr>
            </w:pPr>
            <w:r w:rsidRPr="00941AD3">
              <w:rPr>
                <w:iCs/>
                <w:color w:val="000000"/>
                <w:sz w:val="20"/>
                <w:lang w:val="fr-CA"/>
              </w:rPr>
              <w:t>L’intimé a poignardé son ancienne compagne et le petit ami de celle-ci. Les victimes sont toutes les deux décédées. L’intimé a plaidé coupable à deux chefs de meurtre au deuxième degré. Lors de l’audience de d</w:t>
            </w:r>
            <w:r w:rsidRPr="00941AD3">
              <w:rPr>
                <w:sz w:val="20"/>
                <w:lang w:val="fr-CA"/>
              </w:rPr>
              <w:t>étermination de la peine, l</w:t>
            </w:r>
            <w:r w:rsidRPr="00941AD3">
              <w:rPr>
                <w:iCs/>
                <w:color w:val="000000"/>
                <w:sz w:val="20"/>
                <w:lang w:val="fr-CA"/>
              </w:rPr>
              <w:t xml:space="preserve">’intimé a présenté des éléments de preuve concernant la maladie de Parkinson dont il est atteint. L’intimé a été condamné à une </w:t>
            </w:r>
            <w:r w:rsidRPr="00941AD3">
              <w:rPr>
                <w:sz w:val="20"/>
                <w:lang w:val="fr-CA"/>
              </w:rPr>
              <w:t>peine d’emprisonnement à perpétuité sans possibilité de libération conditionnelle avant 20 ans</w:t>
            </w:r>
            <w:r w:rsidRPr="00941AD3">
              <w:rPr>
                <w:iCs/>
                <w:color w:val="000000"/>
                <w:sz w:val="20"/>
                <w:lang w:val="fr-CA"/>
              </w:rPr>
              <w:t>. Devant la Cour d’appel, l’intimé a demandé avec succès de présenter de nouveaux éléments de preuve relativement à la progression de la maladie de Parkinson chez lui. La</w:t>
            </w:r>
            <w:r w:rsidRPr="00941AD3">
              <w:rPr>
                <w:sz w:val="20"/>
                <w:lang w:val="fr-CA"/>
              </w:rPr>
              <w:t xml:space="preserve"> Cour d’appel a accueilli l’appel formé contre la peine. L’intimé a été condamné à l’emprisonnement à perpétuité sans admissibilité à la libération conditionnelle avant 15 ans.</w:t>
            </w:r>
          </w:p>
        </w:tc>
      </w:tr>
      <w:tr w:rsidR="001C65AF" w:rsidRPr="00326CE3" w:rsidTr="00E95A6A">
        <w:tc>
          <w:tcPr>
            <w:tcW w:w="5000" w:type="pct"/>
            <w:gridSpan w:val="4"/>
          </w:tcPr>
          <w:p w:rsidR="001C65AF" w:rsidRPr="00941AD3" w:rsidRDefault="001C65AF" w:rsidP="001C65AF">
            <w:pPr>
              <w:jc w:val="both"/>
              <w:rPr>
                <w:sz w:val="20"/>
                <w:lang w:val="fr-CA"/>
              </w:rPr>
            </w:pPr>
          </w:p>
        </w:tc>
      </w:tr>
      <w:tr w:rsidR="001C65AF" w:rsidRPr="00326CE3" w:rsidTr="00E95A6A">
        <w:tc>
          <w:tcPr>
            <w:tcW w:w="2427" w:type="pct"/>
            <w:gridSpan w:val="2"/>
          </w:tcPr>
          <w:p w:rsidR="001C65AF" w:rsidRPr="00941AD3" w:rsidRDefault="001C65AF" w:rsidP="001C65AF">
            <w:pPr>
              <w:jc w:val="both"/>
              <w:rPr>
                <w:sz w:val="20"/>
                <w:lang w:val="fr-CA"/>
              </w:rPr>
            </w:pPr>
            <w:r w:rsidRPr="00941AD3">
              <w:rPr>
                <w:sz w:val="20"/>
                <w:lang w:val="fr-CA"/>
              </w:rPr>
              <w:t>3 mai 2019</w:t>
            </w:r>
          </w:p>
          <w:p w:rsidR="001C65AF" w:rsidRPr="00941AD3" w:rsidRDefault="001C65AF" w:rsidP="001C65AF">
            <w:pPr>
              <w:jc w:val="both"/>
              <w:rPr>
                <w:sz w:val="20"/>
                <w:lang w:val="fr-CA"/>
              </w:rPr>
            </w:pPr>
            <w:r w:rsidRPr="00941AD3">
              <w:rPr>
                <w:sz w:val="20"/>
                <w:lang w:val="fr-CA"/>
              </w:rPr>
              <w:t>Cour suprême de la Colombie-Britannique</w:t>
            </w:r>
          </w:p>
          <w:p w:rsidR="001C65AF" w:rsidRPr="00941AD3" w:rsidRDefault="001C65AF" w:rsidP="001C65AF">
            <w:pPr>
              <w:jc w:val="both"/>
              <w:rPr>
                <w:sz w:val="20"/>
                <w:lang w:val="fr-CA"/>
              </w:rPr>
            </w:pPr>
            <w:r w:rsidRPr="00941AD3">
              <w:rPr>
                <w:sz w:val="20"/>
                <w:lang w:val="fr-CA"/>
              </w:rPr>
              <w:t>(juge Devlin)</w:t>
            </w:r>
          </w:p>
          <w:p w:rsidR="001C65AF" w:rsidRPr="00941AD3" w:rsidRDefault="00326CE3" w:rsidP="001C65AF">
            <w:pPr>
              <w:jc w:val="both"/>
              <w:rPr>
                <w:sz w:val="20"/>
                <w:lang w:val="fr-CA"/>
              </w:rPr>
            </w:pPr>
            <w:hyperlink r:id="rId17" w:history="1">
              <w:r w:rsidR="001C65AF" w:rsidRPr="00941AD3">
                <w:rPr>
                  <w:rStyle w:val="Hyperlink"/>
                  <w:sz w:val="20"/>
                  <w:lang w:val="fr-CA"/>
                </w:rPr>
                <w:t>2019 BCSC 698</w:t>
              </w:r>
            </w:hyperlink>
          </w:p>
          <w:p w:rsidR="001C65AF" w:rsidRPr="00941AD3" w:rsidRDefault="001C65AF" w:rsidP="001C65AF">
            <w:pPr>
              <w:jc w:val="both"/>
              <w:rPr>
                <w:sz w:val="20"/>
                <w:lang w:val="fr-CA"/>
              </w:rPr>
            </w:pPr>
          </w:p>
        </w:tc>
        <w:tc>
          <w:tcPr>
            <w:tcW w:w="243" w:type="pct"/>
          </w:tcPr>
          <w:p w:rsidR="001C65AF" w:rsidRPr="00941AD3" w:rsidRDefault="001C65AF" w:rsidP="001C65AF">
            <w:pPr>
              <w:jc w:val="both"/>
              <w:rPr>
                <w:sz w:val="20"/>
                <w:lang w:val="fr-CA"/>
              </w:rPr>
            </w:pPr>
          </w:p>
        </w:tc>
        <w:tc>
          <w:tcPr>
            <w:tcW w:w="2330" w:type="pct"/>
          </w:tcPr>
          <w:p w:rsidR="001C65AF" w:rsidRPr="00941AD3" w:rsidRDefault="001C65AF" w:rsidP="001C65AF">
            <w:pPr>
              <w:jc w:val="both"/>
              <w:rPr>
                <w:sz w:val="20"/>
                <w:lang w:val="fr-CA"/>
              </w:rPr>
            </w:pPr>
            <w:r w:rsidRPr="00941AD3">
              <w:rPr>
                <w:sz w:val="20"/>
                <w:lang w:val="fr-CA"/>
              </w:rPr>
              <w:t>Une peine d’emprisonnement à perpétuité sans possibilité de libération conditionnelle avant 20 ans est prononcée.</w:t>
            </w:r>
          </w:p>
          <w:p w:rsidR="001C65AF" w:rsidRPr="00941AD3" w:rsidRDefault="001C65AF" w:rsidP="001C65AF">
            <w:pPr>
              <w:jc w:val="both"/>
              <w:rPr>
                <w:sz w:val="20"/>
                <w:lang w:val="fr-CA"/>
              </w:rPr>
            </w:pPr>
          </w:p>
        </w:tc>
      </w:tr>
      <w:tr w:rsidR="001C65AF" w:rsidRPr="00326CE3" w:rsidTr="00E95A6A">
        <w:tc>
          <w:tcPr>
            <w:tcW w:w="2427" w:type="pct"/>
            <w:gridSpan w:val="2"/>
          </w:tcPr>
          <w:p w:rsidR="001C65AF" w:rsidRPr="00941AD3" w:rsidRDefault="001C65AF" w:rsidP="001C65AF">
            <w:pPr>
              <w:jc w:val="both"/>
              <w:rPr>
                <w:sz w:val="20"/>
                <w:lang w:val="fr-CA"/>
              </w:rPr>
            </w:pPr>
            <w:r w:rsidRPr="00941AD3">
              <w:rPr>
                <w:sz w:val="20"/>
                <w:lang w:val="fr-CA"/>
              </w:rPr>
              <w:t>4 janvier 2022</w:t>
            </w:r>
          </w:p>
          <w:p w:rsidR="001C65AF" w:rsidRPr="00941AD3" w:rsidRDefault="001C65AF" w:rsidP="001C65AF">
            <w:pPr>
              <w:jc w:val="both"/>
              <w:rPr>
                <w:sz w:val="20"/>
                <w:lang w:val="fr-CA"/>
              </w:rPr>
            </w:pPr>
            <w:r w:rsidRPr="00941AD3">
              <w:rPr>
                <w:sz w:val="20"/>
                <w:lang w:val="fr-CA"/>
              </w:rPr>
              <w:t>Cour d’appel de la Colombie-Britannique</w:t>
            </w:r>
          </w:p>
          <w:p w:rsidR="001C65AF" w:rsidRPr="00941AD3" w:rsidRDefault="001C65AF" w:rsidP="001C65AF">
            <w:pPr>
              <w:jc w:val="both"/>
              <w:rPr>
                <w:sz w:val="20"/>
              </w:rPr>
            </w:pPr>
            <w:r w:rsidRPr="00941AD3">
              <w:rPr>
                <w:sz w:val="20"/>
              </w:rPr>
              <w:t>(Vancouver)</w:t>
            </w:r>
          </w:p>
          <w:p w:rsidR="001C65AF" w:rsidRPr="00941AD3" w:rsidRDefault="001C65AF" w:rsidP="001C65AF">
            <w:pPr>
              <w:jc w:val="both"/>
              <w:rPr>
                <w:sz w:val="20"/>
              </w:rPr>
            </w:pPr>
            <w:r w:rsidRPr="00941AD3">
              <w:rPr>
                <w:sz w:val="20"/>
              </w:rPr>
              <w:t>(juges Willcock, Dickson, Fisher)</w:t>
            </w:r>
          </w:p>
          <w:p w:rsidR="001C65AF" w:rsidRPr="00941AD3" w:rsidRDefault="001C65AF" w:rsidP="001C65AF">
            <w:pPr>
              <w:jc w:val="both"/>
              <w:rPr>
                <w:sz w:val="20"/>
                <w:lang w:val="fr-CA"/>
              </w:rPr>
            </w:pPr>
            <w:r w:rsidRPr="00941AD3">
              <w:rPr>
                <w:sz w:val="20"/>
                <w:lang w:val="fr-CA"/>
              </w:rPr>
              <w:t xml:space="preserve">CA46319; </w:t>
            </w:r>
            <w:hyperlink r:id="rId18" w:history="1">
              <w:r w:rsidRPr="00941AD3">
                <w:rPr>
                  <w:rStyle w:val="Hyperlink"/>
                  <w:sz w:val="20"/>
                  <w:lang w:val="fr-CA"/>
                </w:rPr>
                <w:t>2022 BCCA 1</w:t>
              </w:r>
            </w:hyperlink>
          </w:p>
          <w:p w:rsidR="001C65AF" w:rsidRPr="00941AD3" w:rsidRDefault="001C65AF" w:rsidP="001C65AF">
            <w:pPr>
              <w:jc w:val="both"/>
              <w:rPr>
                <w:sz w:val="20"/>
                <w:lang w:val="fr-CA"/>
              </w:rPr>
            </w:pPr>
          </w:p>
        </w:tc>
        <w:tc>
          <w:tcPr>
            <w:tcW w:w="243" w:type="pct"/>
          </w:tcPr>
          <w:p w:rsidR="001C65AF" w:rsidRPr="00941AD3" w:rsidRDefault="001C65AF" w:rsidP="001C65AF">
            <w:pPr>
              <w:jc w:val="both"/>
              <w:rPr>
                <w:sz w:val="20"/>
                <w:lang w:val="fr-CA"/>
              </w:rPr>
            </w:pPr>
          </w:p>
        </w:tc>
        <w:tc>
          <w:tcPr>
            <w:tcW w:w="2330" w:type="pct"/>
          </w:tcPr>
          <w:p w:rsidR="001C65AF" w:rsidRPr="00941AD3" w:rsidRDefault="001C65AF" w:rsidP="001C65AF">
            <w:pPr>
              <w:jc w:val="both"/>
              <w:rPr>
                <w:sz w:val="20"/>
                <w:lang w:val="fr-CA"/>
              </w:rPr>
            </w:pPr>
            <w:r w:rsidRPr="00941AD3">
              <w:rPr>
                <w:sz w:val="20"/>
                <w:lang w:val="fr-CA"/>
              </w:rPr>
              <w:t>L’appel formé contre la peine est accueilli et la période d’admissibilité à la libération conditionnelle est modifiée : une peine d’emprisonnement à perpétuité sans possibilité de libération conditionnelle avant 15 ans est prononcée.</w:t>
            </w:r>
          </w:p>
          <w:p w:rsidR="001C65AF" w:rsidRPr="00941AD3" w:rsidRDefault="001C65AF" w:rsidP="001C65AF">
            <w:pPr>
              <w:jc w:val="both"/>
              <w:rPr>
                <w:sz w:val="20"/>
                <w:lang w:val="fr-CA"/>
              </w:rPr>
            </w:pPr>
          </w:p>
        </w:tc>
      </w:tr>
      <w:tr w:rsidR="001C65AF" w:rsidRPr="00326CE3" w:rsidTr="00E95A6A">
        <w:tc>
          <w:tcPr>
            <w:tcW w:w="2427" w:type="pct"/>
            <w:gridSpan w:val="2"/>
          </w:tcPr>
          <w:p w:rsidR="001C65AF" w:rsidRPr="00941AD3" w:rsidRDefault="001C65AF" w:rsidP="001C65AF">
            <w:pPr>
              <w:jc w:val="both"/>
              <w:rPr>
                <w:sz w:val="20"/>
                <w:lang w:val="fr-CA"/>
              </w:rPr>
            </w:pPr>
            <w:r w:rsidRPr="00941AD3">
              <w:rPr>
                <w:sz w:val="20"/>
                <w:lang w:val="fr-CA"/>
              </w:rPr>
              <w:t>7 mars 2022</w:t>
            </w:r>
          </w:p>
          <w:p w:rsidR="001C65AF" w:rsidRPr="00941AD3" w:rsidRDefault="001C65AF" w:rsidP="001C65AF">
            <w:pPr>
              <w:jc w:val="both"/>
              <w:rPr>
                <w:sz w:val="20"/>
                <w:lang w:val="fr-CA"/>
              </w:rPr>
            </w:pPr>
            <w:r w:rsidRPr="00941AD3">
              <w:rPr>
                <w:sz w:val="20"/>
                <w:lang w:val="fr-CA"/>
              </w:rPr>
              <w:t>Cour suprême du Canada</w:t>
            </w:r>
          </w:p>
        </w:tc>
        <w:tc>
          <w:tcPr>
            <w:tcW w:w="243" w:type="pct"/>
          </w:tcPr>
          <w:p w:rsidR="001C65AF" w:rsidRPr="00941AD3" w:rsidRDefault="001C65AF" w:rsidP="001C65AF">
            <w:pPr>
              <w:jc w:val="both"/>
              <w:rPr>
                <w:sz w:val="20"/>
                <w:lang w:val="fr-CA"/>
              </w:rPr>
            </w:pPr>
          </w:p>
        </w:tc>
        <w:tc>
          <w:tcPr>
            <w:tcW w:w="2330" w:type="pct"/>
          </w:tcPr>
          <w:p w:rsidR="001C65AF" w:rsidRPr="00941AD3" w:rsidRDefault="001C65AF" w:rsidP="001C65AF">
            <w:pPr>
              <w:jc w:val="both"/>
              <w:rPr>
                <w:sz w:val="20"/>
                <w:lang w:val="fr-CA"/>
              </w:rPr>
            </w:pPr>
            <w:r w:rsidRPr="00941AD3">
              <w:rPr>
                <w:sz w:val="20"/>
                <w:lang w:val="fr-CA"/>
              </w:rPr>
              <w:t>La demande d’autorisation d’appel est présentée.</w:t>
            </w:r>
          </w:p>
          <w:p w:rsidR="001C65AF" w:rsidRPr="00941AD3" w:rsidRDefault="001C65AF" w:rsidP="001C65AF">
            <w:pPr>
              <w:jc w:val="both"/>
              <w:rPr>
                <w:sz w:val="20"/>
                <w:lang w:val="fr-CA"/>
              </w:rPr>
            </w:pPr>
          </w:p>
        </w:tc>
      </w:tr>
    </w:tbl>
    <w:p w:rsidR="001C65AF" w:rsidRPr="00941AD3" w:rsidRDefault="001C65AF" w:rsidP="001C65AF">
      <w:pPr>
        <w:jc w:val="both"/>
        <w:rPr>
          <w:sz w:val="20"/>
          <w:lang w:val="fr-CA"/>
        </w:rPr>
      </w:pPr>
    </w:p>
    <w:p w:rsidR="001C65AF" w:rsidRPr="00941AD3" w:rsidRDefault="00326CE3" w:rsidP="001C65AF">
      <w:pPr>
        <w:jc w:val="both"/>
        <w:rPr>
          <w:sz w:val="20"/>
          <w:lang w:val="fr-CA"/>
        </w:rPr>
      </w:pPr>
      <w:r>
        <w:rPr>
          <w:sz w:val="20"/>
        </w:rPr>
        <w:pict>
          <v:rect id="_x0000_i1028" style="width:2in;height:1pt" o:hrpct="0" o:hralign="center" o:hrstd="t" o:hrnoshade="t" o:hr="t" fillcolor="black [3213]" stroked="f"/>
        </w:pict>
      </w:r>
    </w:p>
    <w:p w:rsidR="0068648F" w:rsidRPr="00941AD3" w:rsidRDefault="0068648F" w:rsidP="001C65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5AF" w:rsidRPr="00941AD3" w:rsidTr="00E95A6A">
        <w:tc>
          <w:tcPr>
            <w:tcW w:w="543" w:type="pct"/>
          </w:tcPr>
          <w:p w:rsidR="001C65AF" w:rsidRPr="00941AD3" w:rsidRDefault="001C65AF" w:rsidP="001C65AF">
            <w:pPr>
              <w:jc w:val="both"/>
              <w:rPr>
                <w:sz w:val="20"/>
              </w:rPr>
            </w:pPr>
            <w:r w:rsidRPr="00941AD3">
              <w:rPr>
                <w:rStyle w:val="SCCFileNumberChar"/>
                <w:sz w:val="20"/>
                <w:szCs w:val="20"/>
              </w:rPr>
              <w:lastRenderedPageBreak/>
              <w:t>40323</w:t>
            </w:r>
          </w:p>
        </w:tc>
        <w:tc>
          <w:tcPr>
            <w:tcW w:w="4457" w:type="pct"/>
            <w:gridSpan w:val="3"/>
          </w:tcPr>
          <w:p w:rsidR="001C65AF" w:rsidRPr="00941AD3" w:rsidRDefault="001C65AF" w:rsidP="001C65AF">
            <w:pPr>
              <w:pStyle w:val="SCCLsocParty"/>
              <w:jc w:val="both"/>
              <w:rPr>
                <w:b/>
                <w:sz w:val="20"/>
                <w:szCs w:val="20"/>
                <w:lang w:val="en-US"/>
              </w:rPr>
            </w:pPr>
            <w:r w:rsidRPr="00941AD3">
              <w:rPr>
                <w:b/>
                <w:sz w:val="20"/>
                <w:szCs w:val="20"/>
                <w:lang w:val="en-US"/>
              </w:rPr>
              <w:t>William Kenneth Turner v. His Majesty the King</w:t>
            </w:r>
          </w:p>
          <w:p w:rsidR="001C65AF" w:rsidRPr="00941AD3" w:rsidRDefault="001C65AF" w:rsidP="001C65AF">
            <w:pPr>
              <w:jc w:val="both"/>
              <w:rPr>
                <w:sz w:val="20"/>
              </w:rPr>
            </w:pPr>
            <w:r w:rsidRPr="00941AD3">
              <w:rPr>
                <w:sz w:val="20"/>
              </w:rPr>
              <w:t>(Alta.) (Criminal) (By Leave)</w:t>
            </w:r>
          </w:p>
        </w:tc>
      </w:tr>
      <w:tr w:rsidR="001C65AF" w:rsidRPr="00941AD3" w:rsidTr="00E95A6A">
        <w:tc>
          <w:tcPr>
            <w:tcW w:w="5000" w:type="pct"/>
            <w:gridSpan w:val="4"/>
          </w:tcPr>
          <w:p w:rsidR="001C65AF" w:rsidRPr="00941AD3" w:rsidRDefault="001C65AF" w:rsidP="001C65AF">
            <w:pPr>
              <w:jc w:val="both"/>
              <w:rPr>
                <w:sz w:val="20"/>
              </w:rPr>
            </w:pPr>
            <w:r w:rsidRPr="00941AD3">
              <w:rPr>
                <w:sz w:val="20"/>
              </w:rPr>
              <w:t xml:space="preserve">Criminal law — Sentencing — Whether the Court of Appeal unreasonably narrowed the circumstances where a conditional discharge can be granted — How should a sentencing court account for forward-looking considerations in applying </w:t>
            </w:r>
            <w:r w:rsidRPr="00941AD3">
              <w:rPr>
                <w:i/>
                <w:sz w:val="20"/>
              </w:rPr>
              <w:t>Gladue</w:t>
            </w:r>
            <w:r w:rsidRPr="00941AD3">
              <w:rPr>
                <w:sz w:val="20"/>
              </w:rPr>
              <w:t xml:space="preserve"> and determine the appropriate sanctions for Indigenous persons?</w:t>
            </w:r>
          </w:p>
        </w:tc>
      </w:tr>
      <w:tr w:rsidR="001C65AF" w:rsidRPr="00941AD3" w:rsidTr="00E95A6A">
        <w:tc>
          <w:tcPr>
            <w:tcW w:w="5000" w:type="pct"/>
            <w:gridSpan w:val="4"/>
          </w:tcPr>
          <w:p w:rsidR="001C65AF" w:rsidRPr="00941AD3" w:rsidRDefault="001C65AF" w:rsidP="001C65AF">
            <w:pPr>
              <w:jc w:val="both"/>
              <w:rPr>
                <w:sz w:val="20"/>
              </w:rPr>
            </w:pPr>
          </w:p>
          <w:p w:rsidR="001C65AF" w:rsidRPr="00941AD3" w:rsidRDefault="001C65AF" w:rsidP="001C65AF">
            <w:pPr>
              <w:jc w:val="both"/>
              <w:rPr>
                <w:sz w:val="20"/>
              </w:rPr>
            </w:pPr>
            <w:r w:rsidRPr="00941AD3">
              <w:rPr>
                <w:color w:val="000000"/>
                <w:sz w:val="20"/>
              </w:rPr>
              <w:t>The applicant is a member of the Gwich’in First Nation. He was convicted of assault with a weapon and uttering death threats and was sentenced to six months imprisonment, concurrent on each count, followed by two years’ probation. Leave to appeal sentence was granted and the sentence appeal was dismissed.</w:t>
            </w:r>
          </w:p>
        </w:tc>
      </w:tr>
      <w:tr w:rsidR="001C65AF" w:rsidRPr="00941AD3" w:rsidTr="00E95A6A">
        <w:tc>
          <w:tcPr>
            <w:tcW w:w="5000" w:type="pct"/>
            <w:gridSpan w:val="4"/>
          </w:tcPr>
          <w:p w:rsidR="001C65AF" w:rsidRPr="00941AD3" w:rsidRDefault="001C65AF" w:rsidP="001C65AF">
            <w:pPr>
              <w:jc w:val="both"/>
              <w:rPr>
                <w:sz w:val="20"/>
              </w:rPr>
            </w:pPr>
          </w:p>
        </w:tc>
      </w:tr>
      <w:tr w:rsidR="001C65AF" w:rsidRPr="00941AD3" w:rsidTr="00E95A6A">
        <w:tc>
          <w:tcPr>
            <w:tcW w:w="2427" w:type="pct"/>
            <w:gridSpan w:val="2"/>
          </w:tcPr>
          <w:p w:rsidR="001C65AF" w:rsidRPr="00941AD3" w:rsidRDefault="001C65AF" w:rsidP="001C65AF">
            <w:pPr>
              <w:jc w:val="both"/>
              <w:rPr>
                <w:sz w:val="20"/>
              </w:rPr>
            </w:pPr>
            <w:r w:rsidRPr="00941AD3">
              <w:rPr>
                <w:sz w:val="20"/>
              </w:rPr>
              <w:t>February 3, 2021</w:t>
            </w:r>
          </w:p>
          <w:p w:rsidR="001C65AF" w:rsidRPr="00941AD3" w:rsidRDefault="001C65AF" w:rsidP="001C65AF">
            <w:pPr>
              <w:jc w:val="both"/>
              <w:rPr>
                <w:sz w:val="20"/>
              </w:rPr>
            </w:pPr>
            <w:r w:rsidRPr="00941AD3">
              <w:rPr>
                <w:sz w:val="20"/>
              </w:rPr>
              <w:t>Court of Queen’s Bench of Alberta</w:t>
            </w:r>
          </w:p>
          <w:p w:rsidR="001C65AF" w:rsidRPr="00941AD3" w:rsidRDefault="001C65AF" w:rsidP="001C65AF">
            <w:pPr>
              <w:jc w:val="both"/>
              <w:rPr>
                <w:sz w:val="20"/>
              </w:rPr>
            </w:pPr>
            <w:r w:rsidRPr="00941AD3">
              <w:rPr>
                <w:sz w:val="20"/>
              </w:rPr>
              <w:t>(Sanderman J.)</w:t>
            </w:r>
          </w:p>
          <w:p w:rsidR="001C65AF" w:rsidRPr="00941AD3" w:rsidRDefault="001C65AF" w:rsidP="001C65AF">
            <w:pPr>
              <w:jc w:val="both"/>
              <w:rPr>
                <w:sz w:val="20"/>
              </w:rPr>
            </w:pPr>
          </w:p>
        </w:tc>
        <w:tc>
          <w:tcPr>
            <w:tcW w:w="243" w:type="pct"/>
          </w:tcPr>
          <w:p w:rsidR="001C65AF" w:rsidRPr="00941AD3" w:rsidRDefault="001C65AF" w:rsidP="001C65AF">
            <w:pPr>
              <w:jc w:val="both"/>
              <w:rPr>
                <w:sz w:val="20"/>
              </w:rPr>
            </w:pPr>
          </w:p>
        </w:tc>
        <w:tc>
          <w:tcPr>
            <w:tcW w:w="2330" w:type="pct"/>
          </w:tcPr>
          <w:p w:rsidR="001C65AF" w:rsidRPr="00941AD3" w:rsidRDefault="001C65AF" w:rsidP="001C65AF">
            <w:pPr>
              <w:jc w:val="both"/>
              <w:rPr>
                <w:color w:val="000000"/>
                <w:sz w:val="20"/>
              </w:rPr>
            </w:pPr>
            <w:r w:rsidRPr="00941AD3">
              <w:rPr>
                <w:sz w:val="20"/>
              </w:rPr>
              <w:t>Sentence imposed:</w:t>
            </w:r>
            <w:r w:rsidRPr="00941AD3">
              <w:rPr>
                <w:color w:val="000000"/>
                <w:sz w:val="20"/>
              </w:rPr>
              <w:t xml:space="preserve"> concurrent six-month jail terms and a two-year probation order</w:t>
            </w:r>
          </w:p>
          <w:p w:rsidR="001C65AF" w:rsidRPr="00941AD3" w:rsidRDefault="001C65AF" w:rsidP="001C65AF">
            <w:pPr>
              <w:jc w:val="both"/>
              <w:rPr>
                <w:sz w:val="20"/>
              </w:rPr>
            </w:pPr>
          </w:p>
          <w:p w:rsidR="001C65AF" w:rsidRPr="00941AD3" w:rsidRDefault="001C65AF" w:rsidP="001C65AF">
            <w:pPr>
              <w:jc w:val="both"/>
              <w:rPr>
                <w:sz w:val="20"/>
              </w:rPr>
            </w:pPr>
          </w:p>
        </w:tc>
      </w:tr>
      <w:tr w:rsidR="001C65AF" w:rsidRPr="00941AD3" w:rsidTr="00E95A6A">
        <w:tc>
          <w:tcPr>
            <w:tcW w:w="2427" w:type="pct"/>
            <w:gridSpan w:val="2"/>
          </w:tcPr>
          <w:p w:rsidR="001C65AF" w:rsidRPr="00941AD3" w:rsidRDefault="001C65AF" w:rsidP="001C65AF">
            <w:pPr>
              <w:jc w:val="both"/>
              <w:rPr>
                <w:sz w:val="20"/>
              </w:rPr>
            </w:pPr>
            <w:r w:rsidRPr="00941AD3">
              <w:rPr>
                <w:sz w:val="20"/>
              </w:rPr>
              <w:t>January 14, 2022</w:t>
            </w:r>
          </w:p>
          <w:p w:rsidR="001C65AF" w:rsidRPr="00941AD3" w:rsidRDefault="001C65AF" w:rsidP="001C65AF">
            <w:pPr>
              <w:jc w:val="both"/>
              <w:rPr>
                <w:sz w:val="20"/>
              </w:rPr>
            </w:pPr>
            <w:r w:rsidRPr="00941AD3">
              <w:rPr>
                <w:sz w:val="20"/>
              </w:rPr>
              <w:t>Court of Appeal of Alberta (Edmonton)</w:t>
            </w:r>
          </w:p>
          <w:p w:rsidR="001C65AF" w:rsidRPr="00941AD3" w:rsidRDefault="001C65AF" w:rsidP="001C65AF">
            <w:pPr>
              <w:jc w:val="both"/>
              <w:rPr>
                <w:sz w:val="20"/>
              </w:rPr>
            </w:pPr>
            <w:r w:rsidRPr="00941AD3">
              <w:rPr>
                <w:sz w:val="20"/>
              </w:rPr>
              <w:t>(Wakeling, Schutz, Khullar JJ.A.)</w:t>
            </w:r>
          </w:p>
          <w:p w:rsidR="001C65AF" w:rsidRPr="00941AD3" w:rsidRDefault="001C65AF" w:rsidP="001C65AF">
            <w:pPr>
              <w:jc w:val="both"/>
              <w:rPr>
                <w:sz w:val="20"/>
              </w:rPr>
            </w:pPr>
            <w:r w:rsidRPr="00941AD3">
              <w:rPr>
                <w:sz w:val="20"/>
              </w:rPr>
              <w:t xml:space="preserve">2103-0028A; </w:t>
            </w:r>
            <w:hyperlink r:id="rId19" w:history="1">
              <w:r w:rsidRPr="00941AD3">
                <w:rPr>
                  <w:rStyle w:val="Hyperlink"/>
                  <w:sz w:val="20"/>
                </w:rPr>
                <w:t>2022 ABCA 11</w:t>
              </w:r>
            </w:hyperlink>
          </w:p>
          <w:p w:rsidR="001C65AF" w:rsidRPr="00941AD3" w:rsidRDefault="001C65AF" w:rsidP="001C65AF">
            <w:pPr>
              <w:jc w:val="both"/>
              <w:rPr>
                <w:sz w:val="20"/>
              </w:rPr>
            </w:pPr>
          </w:p>
        </w:tc>
        <w:tc>
          <w:tcPr>
            <w:tcW w:w="243" w:type="pct"/>
          </w:tcPr>
          <w:p w:rsidR="001C65AF" w:rsidRPr="00941AD3" w:rsidRDefault="001C65AF" w:rsidP="001C65AF">
            <w:pPr>
              <w:jc w:val="both"/>
              <w:rPr>
                <w:sz w:val="20"/>
              </w:rPr>
            </w:pPr>
          </w:p>
        </w:tc>
        <w:tc>
          <w:tcPr>
            <w:tcW w:w="2330" w:type="pct"/>
          </w:tcPr>
          <w:p w:rsidR="001C65AF" w:rsidRPr="00941AD3" w:rsidRDefault="001C65AF" w:rsidP="001C65AF">
            <w:pPr>
              <w:jc w:val="both"/>
              <w:rPr>
                <w:sz w:val="20"/>
              </w:rPr>
            </w:pPr>
            <w:r w:rsidRPr="00941AD3">
              <w:rPr>
                <w:sz w:val="20"/>
              </w:rPr>
              <w:t>Leave to appeal sentence granted; sentence appeal dismissed</w:t>
            </w:r>
          </w:p>
          <w:p w:rsidR="001C65AF" w:rsidRPr="00941AD3" w:rsidRDefault="001C65AF" w:rsidP="001C65AF">
            <w:pPr>
              <w:jc w:val="both"/>
              <w:rPr>
                <w:sz w:val="20"/>
              </w:rPr>
            </w:pPr>
          </w:p>
        </w:tc>
      </w:tr>
      <w:tr w:rsidR="001C65AF" w:rsidRPr="00941AD3" w:rsidTr="00E95A6A">
        <w:tc>
          <w:tcPr>
            <w:tcW w:w="2427" w:type="pct"/>
            <w:gridSpan w:val="2"/>
          </w:tcPr>
          <w:p w:rsidR="001C65AF" w:rsidRPr="00941AD3" w:rsidRDefault="001C65AF" w:rsidP="001C65AF">
            <w:pPr>
              <w:jc w:val="both"/>
              <w:rPr>
                <w:sz w:val="20"/>
              </w:rPr>
            </w:pPr>
            <w:r w:rsidRPr="00941AD3">
              <w:rPr>
                <w:sz w:val="20"/>
              </w:rPr>
              <w:t>August 16, 2022</w:t>
            </w:r>
          </w:p>
          <w:p w:rsidR="001C65AF" w:rsidRPr="00941AD3" w:rsidRDefault="001C65AF" w:rsidP="001C65AF">
            <w:pPr>
              <w:jc w:val="both"/>
              <w:rPr>
                <w:sz w:val="20"/>
              </w:rPr>
            </w:pPr>
            <w:r w:rsidRPr="00941AD3">
              <w:rPr>
                <w:sz w:val="20"/>
              </w:rPr>
              <w:t>Supreme Court of Canada</w:t>
            </w:r>
          </w:p>
          <w:p w:rsidR="001C65AF" w:rsidRPr="00941AD3" w:rsidRDefault="001C65AF" w:rsidP="001C65AF">
            <w:pPr>
              <w:jc w:val="both"/>
              <w:rPr>
                <w:sz w:val="20"/>
              </w:rPr>
            </w:pPr>
          </w:p>
        </w:tc>
        <w:tc>
          <w:tcPr>
            <w:tcW w:w="243" w:type="pct"/>
          </w:tcPr>
          <w:p w:rsidR="001C65AF" w:rsidRPr="00941AD3" w:rsidRDefault="001C65AF" w:rsidP="001C65AF">
            <w:pPr>
              <w:jc w:val="both"/>
              <w:rPr>
                <w:sz w:val="20"/>
              </w:rPr>
            </w:pPr>
          </w:p>
        </w:tc>
        <w:tc>
          <w:tcPr>
            <w:tcW w:w="2330" w:type="pct"/>
          </w:tcPr>
          <w:p w:rsidR="001C65AF" w:rsidRPr="00941AD3" w:rsidRDefault="001C65AF" w:rsidP="001C65AF">
            <w:pPr>
              <w:jc w:val="both"/>
              <w:rPr>
                <w:sz w:val="20"/>
              </w:rPr>
            </w:pPr>
            <w:r w:rsidRPr="00941AD3">
              <w:rPr>
                <w:sz w:val="20"/>
              </w:rPr>
              <w:t>Motion for an extension of time to serve and file the application for leave to appeal and application for leave to appeal filed</w:t>
            </w:r>
          </w:p>
        </w:tc>
      </w:tr>
    </w:tbl>
    <w:p w:rsidR="001C65AF" w:rsidRPr="00941AD3" w:rsidRDefault="001C65AF" w:rsidP="001C65AF">
      <w:pPr>
        <w:jc w:val="both"/>
        <w:rPr>
          <w:sz w:val="20"/>
        </w:rPr>
      </w:pPr>
    </w:p>
    <w:p w:rsidR="001C65AF" w:rsidRPr="00941AD3" w:rsidRDefault="00326CE3" w:rsidP="001C65AF">
      <w:pPr>
        <w:jc w:val="both"/>
        <w:rPr>
          <w:sz w:val="20"/>
        </w:rPr>
      </w:pPr>
      <w:r>
        <w:rPr>
          <w:sz w:val="20"/>
        </w:rPr>
        <w:pict>
          <v:rect id="_x0000_i1029" style="width:2in;height:1pt" o:hrpct="0" o:hralign="center" o:hrstd="t" o:hrnoshade="t" o:hr="t" fillcolor="black [3213]" stroked="f"/>
        </w:pict>
      </w:r>
    </w:p>
    <w:p w:rsidR="001C65AF" w:rsidRPr="00941AD3" w:rsidRDefault="001C65AF" w:rsidP="001C65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5AF" w:rsidRPr="00941AD3" w:rsidTr="00E95A6A">
        <w:tc>
          <w:tcPr>
            <w:tcW w:w="543" w:type="pct"/>
          </w:tcPr>
          <w:p w:rsidR="001C65AF" w:rsidRPr="00941AD3" w:rsidRDefault="001C65AF" w:rsidP="001C65AF">
            <w:pPr>
              <w:jc w:val="both"/>
              <w:rPr>
                <w:sz w:val="20"/>
                <w:lang w:val="fr-CA"/>
              </w:rPr>
            </w:pPr>
            <w:r w:rsidRPr="00941AD3">
              <w:rPr>
                <w:rStyle w:val="SCCFileNumberChar"/>
                <w:sz w:val="20"/>
                <w:szCs w:val="20"/>
                <w:lang w:val="fr-CA"/>
              </w:rPr>
              <w:t>40323</w:t>
            </w:r>
          </w:p>
        </w:tc>
        <w:tc>
          <w:tcPr>
            <w:tcW w:w="4457" w:type="pct"/>
            <w:gridSpan w:val="3"/>
          </w:tcPr>
          <w:p w:rsidR="001C65AF" w:rsidRPr="00941AD3" w:rsidRDefault="001C65AF" w:rsidP="001C65AF">
            <w:pPr>
              <w:pStyle w:val="SCCLsocParty"/>
              <w:jc w:val="both"/>
              <w:rPr>
                <w:sz w:val="20"/>
                <w:szCs w:val="20"/>
              </w:rPr>
            </w:pPr>
            <w:r w:rsidRPr="00941AD3">
              <w:rPr>
                <w:b/>
                <w:sz w:val="20"/>
                <w:szCs w:val="20"/>
              </w:rPr>
              <w:t>William Kenneth Turner c. Sa Majesté le Roi</w:t>
            </w:r>
          </w:p>
          <w:p w:rsidR="001C65AF" w:rsidRPr="00941AD3" w:rsidRDefault="001C65AF" w:rsidP="001C65AF">
            <w:pPr>
              <w:jc w:val="both"/>
              <w:rPr>
                <w:sz w:val="20"/>
                <w:lang w:val="fr-CA"/>
              </w:rPr>
            </w:pPr>
            <w:r w:rsidRPr="00941AD3">
              <w:rPr>
                <w:sz w:val="20"/>
                <w:lang w:val="fr-CA"/>
              </w:rPr>
              <w:t>(Alb.) (Criminelle) (Sur autorisation)</w:t>
            </w:r>
          </w:p>
        </w:tc>
      </w:tr>
      <w:tr w:rsidR="001C65AF" w:rsidRPr="00326CE3" w:rsidTr="00E95A6A">
        <w:tc>
          <w:tcPr>
            <w:tcW w:w="5000" w:type="pct"/>
            <w:gridSpan w:val="4"/>
          </w:tcPr>
          <w:p w:rsidR="001C65AF" w:rsidRPr="00941AD3" w:rsidRDefault="001C65AF" w:rsidP="001C65AF">
            <w:pPr>
              <w:jc w:val="both"/>
              <w:rPr>
                <w:sz w:val="20"/>
                <w:lang w:val="fr-CA"/>
              </w:rPr>
            </w:pPr>
            <w:r w:rsidRPr="00941AD3">
              <w:rPr>
                <w:sz w:val="20"/>
                <w:lang w:val="fr-CA"/>
              </w:rPr>
              <w:t xml:space="preserve">Droit criminel — Détermination de la peine — La Cour d’appel a-t-elle restreint de façon déraisonnable les situations dans lesquelles une libération conditionnelle peut être accordée? — Comment le tribunal chargé de déterminer la peine devrait-il tenir compte de facteurs prospectifs pour appliquer la méthode de l’arrêt </w:t>
            </w:r>
            <w:r w:rsidRPr="00941AD3">
              <w:rPr>
                <w:i/>
                <w:sz w:val="20"/>
                <w:lang w:val="fr-CA"/>
              </w:rPr>
              <w:t>Gladue</w:t>
            </w:r>
            <w:r w:rsidRPr="00941AD3">
              <w:rPr>
                <w:sz w:val="20"/>
                <w:lang w:val="fr-CA"/>
              </w:rPr>
              <w:t xml:space="preserve"> et pour déterminer la peine appropriée dans le cas d’un accusé autochtone?</w:t>
            </w:r>
          </w:p>
        </w:tc>
      </w:tr>
      <w:tr w:rsidR="001C65AF" w:rsidRPr="00326CE3" w:rsidTr="00E95A6A">
        <w:tc>
          <w:tcPr>
            <w:tcW w:w="5000" w:type="pct"/>
            <w:gridSpan w:val="4"/>
          </w:tcPr>
          <w:p w:rsidR="001C65AF" w:rsidRPr="00941AD3" w:rsidRDefault="001C65AF" w:rsidP="001C65AF">
            <w:pPr>
              <w:jc w:val="both"/>
              <w:rPr>
                <w:sz w:val="20"/>
                <w:lang w:val="fr-CA"/>
              </w:rPr>
            </w:pPr>
          </w:p>
          <w:p w:rsidR="001C65AF" w:rsidRPr="00941AD3" w:rsidRDefault="001C65AF" w:rsidP="001C65AF">
            <w:pPr>
              <w:jc w:val="both"/>
              <w:rPr>
                <w:sz w:val="20"/>
                <w:lang w:val="fr-CA"/>
              </w:rPr>
            </w:pPr>
            <w:r w:rsidRPr="00941AD3">
              <w:rPr>
                <w:color w:val="000000"/>
                <w:sz w:val="20"/>
                <w:lang w:val="fr-CA"/>
              </w:rPr>
              <w:t>Le demandeur est membre de la Première nation Gwich’in. Il a été reconnu coupable d’agression armée et de menaces de mort et a été condamné à six mois d’emprisonnement à purger concurremment pour chaque chef d’accusation, suivi par une période de probation de deux ans. L’autorisation d’interjeter appel de la sentence a été accordée et l’appel de la sentence a été rejeté.</w:t>
            </w:r>
          </w:p>
        </w:tc>
      </w:tr>
      <w:tr w:rsidR="001C65AF" w:rsidRPr="00326CE3" w:rsidTr="00E95A6A">
        <w:tc>
          <w:tcPr>
            <w:tcW w:w="5000" w:type="pct"/>
            <w:gridSpan w:val="4"/>
          </w:tcPr>
          <w:p w:rsidR="001C65AF" w:rsidRPr="00941AD3" w:rsidRDefault="001C65AF" w:rsidP="001C65AF">
            <w:pPr>
              <w:jc w:val="both"/>
              <w:rPr>
                <w:sz w:val="20"/>
                <w:lang w:val="fr-CA"/>
              </w:rPr>
            </w:pPr>
          </w:p>
        </w:tc>
      </w:tr>
      <w:tr w:rsidR="001C65AF" w:rsidRPr="00326CE3" w:rsidTr="00E95A6A">
        <w:tc>
          <w:tcPr>
            <w:tcW w:w="2427" w:type="pct"/>
            <w:gridSpan w:val="2"/>
          </w:tcPr>
          <w:p w:rsidR="001C65AF" w:rsidRPr="00941AD3" w:rsidRDefault="001C65AF" w:rsidP="001C65AF">
            <w:pPr>
              <w:jc w:val="both"/>
              <w:rPr>
                <w:sz w:val="20"/>
                <w:lang w:val="fr-CA"/>
              </w:rPr>
            </w:pPr>
            <w:r w:rsidRPr="00941AD3">
              <w:rPr>
                <w:sz w:val="20"/>
                <w:lang w:val="fr-CA"/>
              </w:rPr>
              <w:t>3 février 2021</w:t>
            </w:r>
          </w:p>
          <w:p w:rsidR="001C65AF" w:rsidRPr="00941AD3" w:rsidRDefault="001C65AF" w:rsidP="001C65AF">
            <w:pPr>
              <w:jc w:val="both"/>
              <w:rPr>
                <w:sz w:val="20"/>
                <w:lang w:val="fr-CA"/>
              </w:rPr>
            </w:pPr>
            <w:r w:rsidRPr="00941AD3">
              <w:rPr>
                <w:sz w:val="20"/>
                <w:lang w:val="fr-CA"/>
              </w:rPr>
              <w:t xml:space="preserve">Cour du Banc de la Reine de l’Alberta </w:t>
            </w:r>
          </w:p>
          <w:p w:rsidR="001C65AF" w:rsidRPr="00941AD3" w:rsidRDefault="001C65AF" w:rsidP="001C65AF">
            <w:pPr>
              <w:jc w:val="both"/>
              <w:rPr>
                <w:sz w:val="20"/>
                <w:lang w:val="fr-CA"/>
              </w:rPr>
            </w:pPr>
            <w:r w:rsidRPr="00941AD3">
              <w:rPr>
                <w:sz w:val="20"/>
                <w:lang w:val="fr-CA"/>
              </w:rPr>
              <w:t>(le juge Sanderman)</w:t>
            </w:r>
          </w:p>
          <w:p w:rsidR="001C65AF" w:rsidRPr="00941AD3" w:rsidRDefault="001C65AF" w:rsidP="001C65AF">
            <w:pPr>
              <w:jc w:val="both"/>
              <w:rPr>
                <w:sz w:val="20"/>
                <w:lang w:val="fr-CA"/>
              </w:rPr>
            </w:pPr>
          </w:p>
        </w:tc>
        <w:tc>
          <w:tcPr>
            <w:tcW w:w="243" w:type="pct"/>
          </w:tcPr>
          <w:p w:rsidR="001C65AF" w:rsidRPr="00941AD3" w:rsidRDefault="001C65AF" w:rsidP="001C65AF">
            <w:pPr>
              <w:jc w:val="both"/>
              <w:rPr>
                <w:sz w:val="20"/>
                <w:lang w:val="fr-CA"/>
              </w:rPr>
            </w:pPr>
          </w:p>
        </w:tc>
        <w:tc>
          <w:tcPr>
            <w:tcW w:w="2330" w:type="pct"/>
          </w:tcPr>
          <w:p w:rsidR="001C65AF" w:rsidRPr="00941AD3" w:rsidRDefault="001C65AF" w:rsidP="001C65AF">
            <w:pPr>
              <w:jc w:val="both"/>
              <w:rPr>
                <w:color w:val="000000"/>
                <w:sz w:val="20"/>
                <w:lang w:val="fr-CA"/>
              </w:rPr>
            </w:pPr>
            <w:r w:rsidRPr="00941AD3">
              <w:rPr>
                <w:sz w:val="20"/>
                <w:lang w:val="fr-CA"/>
              </w:rPr>
              <w:t xml:space="preserve">L’accusé est condamné à des peines d’emprisonnement concurrentes de six mois et à une période de probation de deux ans </w:t>
            </w:r>
          </w:p>
          <w:p w:rsidR="001C65AF" w:rsidRPr="00941AD3" w:rsidRDefault="001C65AF" w:rsidP="001C65AF">
            <w:pPr>
              <w:jc w:val="both"/>
              <w:rPr>
                <w:sz w:val="20"/>
                <w:lang w:val="fr-CA"/>
              </w:rPr>
            </w:pPr>
          </w:p>
        </w:tc>
      </w:tr>
      <w:tr w:rsidR="001C65AF" w:rsidRPr="00326CE3" w:rsidTr="00E95A6A">
        <w:tc>
          <w:tcPr>
            <w:tcW w:w="2427" w:type="pct"/>
            <w:gridSpan w:val="2"/>
          </w:tcPr>
          <w:p w:rsidR="001C65AF" w:rsidRPr="00941AD3" w:rsidRDefault="001C65AF" w:rsidP="001C65AF">
            <w:pPr>
              <w:jc w:val="both"/>
              <w:rPr>
                <w:sz w:val="20"/>
                <w:lang w:val="fr-CA"/>
              </w:rPr>
            </w:pPr>
            <w:r w:rsidRPr="00941AD3">
              <w:rPr>
                <w:sz w:val="20"/>
                <w:lang w:val="fr-CA"/>
              </w:rPr>
              <w:t>14 janvier 2022</w:t>
            </w:r>
          </w:p>
          <w:p w:rsidR="001C65AF" w:rsidRPr="00941AD3" w:rsidRDefault="001C65AF" w:rsidP="001C65AF">
            <w:pPr>
              <w:jc w:val="both"/>
              <w:rPr>
                <w:sz w:val="20"/>
                <w:lang w:val="fr-CA"/>
              </w:rPr>
            </w:pPr>
            <w:r w:rsidRPr="00941AD3">
              <w:rPr>
                <w:sz w:val="20"/>
                <w:lang w:val="fr-CA"/>
              </w:rPr>
              <w:t>Cour d’appel de l’Alberta (Edmonton)</w:t>
            </w:r>
          </w:p>
          <w:p w:rsidR="001C65AF" w:rsidRPr="00941AD3" w:rsidRDefault="001C65AF" w:rsidP="001C65AF">
            <w:pPr>
              <w:jc w:val="both"/>
              <w:rPr>
                <w:sz w:val="20"/>
                <w:lang w:val="fr-CA"/>
              </w:rPr>
            </w:pPr>
            <w:r w:rsidRPr="00941AD3">
              <w:rPr>
                <w:sz w:val="20"/>
                <w:lang w:val="fr-CA"/>
              </w:rPr>
              <w:t>(les juges Wakeling, Schutz et Khullar)</w:t>
            </w:r>
          </w:p>
          <w:p w:rsidR="001C65AF" w:rsidRPr="00941AD3" w:rsidRDefault="001C65AF" w:rsidP="001C65AF">
            <w:pPr>
              <w:jc w:val="both"/>
              <w:rPr>
                <w:sz w:val="20"/>
                <w:lang w:val="fr-CA"/>
              </w:rPr>
            </w:pPr>
            <w:r w:rsidRPr="00941AD3">
              <w:rPr>
                <w:sz w:val="20"/>
                <w:lang w:val="fr-CA"/>
              </w:rPr>
              <w:t xml:space="preserve">2103-0028A; </w:t>
            </w:r>
            <w:hyperlink r:id="rId20" w:history="1">
              <w:r w:rsidRPr="00941AD3">
                <w:rPr>
                  <w:rStyle w:val="Hyperlink"/>
                  <w:sz w:val="20"/>
                  <w:lang w:val="fr-CA"/>
                </w:rPr>
                <w:t>2022 ABCA 11</w:t>
              </w:r>
            </w:hyperlink>
          </w:p>
          <w:p w:rsidR="001C65AF" w:rsidRPr="00941AD3" w:rsidRDefault="001C65AF" w:rsidP="001C65AF">
            <w:pPr>
              <w:jc w:val="both"/>
              <w:rPr>
                <w:sz w:val="20"/>
                <w:lang w:val="fr-CA"/>
              </w:rPr>
            </w:pPr>
          </w:p>
        </w:tc>
        <w:tc>
          <w:tcPr>
            <w:tcW w:w="243" w:type="pct"/>
          </w:tcPr>
          <w:p w:rsidR="001C65AF" w:rsidRPr="00941AD3" w:rsidRDefault="001C65AF" w:rsidP="001C65AF">
            <w:pPr>
              <w:jc w:val="both"/>
              <w:rPr>
                <w:sz w:val="20"/>
                <w:lang w:val="fr-CA"/>
              </w:rPr>
            </w:pPr>
          </w:p>
        </w:tc>
        <w:tc>
          <w:tcPr>
            <w:tcW w:w="2330" w:type="pct"/>
          </w:tcPr>
          <w:p w:rsidR="001C65AF" w:rsidRPr="00941AD3" w:rsidRDefault="001C65AF" w:rsidP="001C65AF">
            <w:pPr>
              <w:jc w:val="both"/>
              <w:rPr>
                <w:sz w:val="20"/>
                <w:lang w:val="fr-CA"/>
              </w:rPr>
            </w:pPr>
            <w:r w:rsidRPr="00941AD3">
              <w:rPr>
                <w:sz w:val="20"/>
                <w:lang w:val="fr-CA"/>
              </w:rPr>
              <w:t>L’autorisation d’interjeter appel de la sentence est accordée; l’appel de la sentence est rejeté.</w:t>
            </w:r>
          </w:p>
          <w:p w:rsidR="001C65AF" w:rsidRPr="00941AD3" w:rsidRDefault="001C65AF" w:rsidP="001C65AF">
            <w:pPr>
              <w:jc w:val="both"/>
              <w:rPr>
                <w:sz w:val="20"/>
                <w:lang w:val="fr-CA"/>
              </w:rPr>
            </w:pPr>
          </w:p>
        </w:tc>
      </w:tr>
      <w:tr w:rsidR="001C65AF" w:rsidRPr="00326CE3" w:rsidTr="00E95A6A">
        <w:tc>
          <w:tcPr>
            <w:tcW w:w="2427" w:type="pct"/>
            <w:gridSpan w:val="2"/>
          </w:tcPr>
          <w:p w:rsidR="001C65AF" w:rsidRPr="00941AD3" w:rsidRDefault="001C65AF" w:rsidP="001C65AF">
            <w:pPr>
              <w:jc w:val="both"/>
              <w:rPr>
                <w:sz w:val="20"/>
                <w:lang w:val="fr-CA"/>
              </w:rPr>
            </w:pPr>
            <w:r w:rsidRPr="00941AD3">
              <w:rPr>
                <w:sz w:val="20"/>
                <w:lang w:val="fr-CA"/>
              </w:rPr>
              <w:t>16 août 2022</w:t>
            </w:r>
          </w:p>
          <w:p w:rsidR="001C65AF" w:rsidRPr="00941AD3" w:rsidRDefault="001C65AF" w:rsidP="001C65AF">
            <w:pPr>
              <w:jc w:val="both"/>
              <w:rPr>
                <w:sz w:val="20"/>
                <w:lang w:val="fr-CA"/>
              </w:rPr>
            </w:pPr>
            <w:r w:rsidRPr="00941AD3">
              <w:rPr>
                <w:sz w:val="20"/>
                <w:lang w:val="fr-CA"/>
              </w:rPr>
              <w:t xml:space="preserve">Cour suprême du Canada </w:t>
            </w:r>
          </w:p>
          <w:p w:rsidR="001C65AF" w:rsidRPr="00941AD3" w:rsidRDefault="001C65AF" w:rsidP="001C65AF">
            <w:pPr>
              <w:jc w:val="both"/>
              <w:rPr>
                <w:sz w:val="20"/>
                <w:lang w:val="fr-CA"/>
              </w:rPr>
            </w:pPr>
          </w:p>
        </w:tc>
        <w:tc>
          <w:tcPr>
            <w:tcW w:w="243" w:type="pct"/>
          </w:tcPr>
          <w:p w:rsidR="001C65AF" w:rsidRPr="00941AD3" w:rsidRDefault="001C65AF" w:rsidP="001C65AF">
            <w:pPr>
              <w:jc w:val="both"/>
              <w:rPr>
                <w:sz w:val="20"/>
                <w:lang w:val="fr-CA"/>
              </w:rPr>
            </w:pPr>
          </w:p>
        </w:tc>
        <w:tc>
          <w:tcPr>
            <w:tcW w:w="2330" w:type="pct"/>
          </w:tcPr>
          <w:p w:rsidR="001C65AF" w:rsidRPr="00941AD3" w:rsidRDefault="001C65AF" w:rsidP="001C65AF">
            <w:pPr>
              <w:jc w:val="both"/>
              <w:rPr>
                <w:sz w:val="20"/>
                <w:lang w:val="fr-CA"/>
              </w:rPr>
            </w:pPr>
            <w:r w:rsidRPr="00941AD3">
              <w:rPr>
                <w:sz w:val="20"/>
                <w:lang w:val="fr-CA"/>
              </w:rPr>
              <w:t xml:space="preserve">La requête en prorogation du délai de signification et de dépôt de la demande d’autorisation d’appel et la demande d’autorisation d’appel sont présentées. </w:t>
            </w:r>
          </w:p>
        </w:tc>
      </w:tr>
    </w:tbl>
    <w:p w:rsidR="001C65AF" w:rsidRPr="00941AD3" w:rsidRDefault="001C65AF" w:rsidP="001C65AF">
      <w:pPr>
        <w:jc w:val="both"/>
        <w:rPr>
          <w:sz w:val="20"/>
          <w:lang w:val="fr-CA"/>
        </w:rPr>
      </w:pPr>
    </w:p>
    <w:p w:rsidR="0068648F" w:rsidRPr="00941AD3" w:rsidRDefault="00326CE3" w:rsidP="001C65AF">
      <w:pPr>
        <w:widowControl w:val="0"/>
        <w:jc w:val="both"/>
        <w:rPr>
          <w:sz w:val="20"/>
          <w:lang w:val="fr-CA"/>
        </w:rPr>
      </w:pPr>
      <w:r>
        <w:rPr>
          <w:sz w:val="20"/>
        </w:rPr>
        <w:pict>
          <v:rect id="_x0000_i1030" style="width:2in;height:1pt" o:hrpct="0" o:hralign="center" o:hrstd="t" o:hrnoshade="t" o:hr="t" fillcolor="black [3213]" stroked="f"/>
        </w:pict>
      </w:r>
    </w:p>
    <w:p w:rsidR="00007A53" w:rsidRPr="00941AD3" w:rsidRDefault="00007A53" w:rsidP="001C65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5AF" w:rsidRPr="00941AD3" w:rsidTr="00E95A6A">
        <w:tc>
          <w:tcPr>
            <w:tcW w:w="543" w:type="pct"/>
          </w:tcPr>
          <w:p w:rsidR="001C65AF" w:rsidRPr="00941AD3" w:rsidRDefault="001C65AF" w:rsidP="001C65AF">
            <w:pPr>
              <w:jc w:val="both"/>
              <w:rPr>
                <w:sz w:val="20"/>
              </w:rPr>
            </w:pPr>
            <w:r w:rsidRPr="00941AD3">
              <w:rPr>
                <w:rStyle w:val="SCCFileNumberChar"/>
                <w:sz w:val="20"/>
                <w:szCs w:val="20"/>
              </w:rPr>
              <w:lastRenderedPageBreak/>
              <w:t>40283</w:t>
            </w:r>
          </w:p>
        </w:tc>
        <w:tc>
          <w:tcPr>
            <w:tcW w:w="4457" w:type="pct"/>
            <w:gridSpan w:val="3"/>
          </w:tcPr>
          <w:p w:rsidR="001C65AF" w:rsidRPr="00941AD3" w:rsidRDefault="001C65AF" w:rsidP="001C65AF">
            <w:pPr>
              <w:pStyle w:val="SCCLsocParty"/>
              <w:jc w:val="both"/>
              <w:rPr>
                <w:b/>
                <w:sz w:val="20"/>
                <w:szCs w:val="20"/>
                <w:lang w:val="en-US"/>
              </w:rPr>
            </w:pPr>
            <w:r w:rsidRPr="00941AD3">
              <w:rPr>
                <w:b/>
                <w:sz w:val="20"/>
                <w:szCs w:val="20"/>
                <w:lang w:val="en-US"/>
              </w:rPr>
              <w:t>Marc Misir, Randolph Misir v. His Majesty the King in Right of Ontario as represented by Ministry of Health and Long-Term Care</w:t>
            </w:r>
          </w:p>
          <w:p w:rsidR="001C65AF" w:rsidRPr="00941AD3" w:rsidRDefault="001C65AF" w:rsidP="001C65AF">
            <w:pPr>
              <w:jc w:val="both"/>
              <w:rPr>
                <w:sz w:val="20"/>
              </w:rPr>
            </w:pPr>
            <w:r w:rsidRPr="00941AD3">
              <w:rPr>
                <w:sz w:val="20"/>
              </w:rPr>
              <w:t>(Ont.) (Civil) (By Leave)</w:t>
            </w:r>
          </w:p>
        </w:tc>
      </w:tr>
      <w:tr w:rsidR="001C65AF" w:rsidRPr="00941AD3" w:rsidTr="00E95A6A">
        <w:tc>
          <w:tcPr>
            <w:tcW w:w="5000" w:type="pct"/>
            <w:gridSpan w:val="4"/>
          </w:tcPr>
          <w:p w:rsidR="001C65AF" w:rsidRPr="00941AD3" w:rsidRDefault="001C65AF" w:rsidP="001C65AF">
            <w:pPr>
              <w:jc w:val="both"/>
              <w:rPr>
                <w:sz w:val="20"/>
              </w:rPr>
            </w:pPr>
            <w:r w:rsidRPr="00941AD3">
              <w:rPr>
                <w:i/>
                <w:sz w:val="20"/>
              </w:rPr>
              <w:t>Charter of Rights</w:t>
            </w:r>
            <w:r w:rsidRPr="00941AD3">
              <w:rPr>
                <w:sz w:val="20"/>
              </w:rPr>
              <w:t xml:space="preserve"> — Right to life, liberty and security of person (s. 7) — Public Health —Insurance — Applicants’ Ontario Health Insurance Plan (OHIP) coverage canceled over failure to meet residency requirement, applicants unable to obtain private insurance — Section 14 of the </w:t>
            </w:r>
            <w:r w:rsidRPr="00941AD3">
              <w:rPr>
                <w:i/>
                <w:sz w:val="20"/>
              </w:rPr>
              <w:t>Health Insurance Act</w:t>
            </w:r>
            <w:r w:rsidRPr="00941AD3">
              <w:rPr>
                <w:sz w:val="20"/>
              </w:rPr>
              <w:t xml:space="preserve">, R.S.O. 1990, c. H-6 prohibits OHIP-eligible persons from purchasing private insurance for OHIP-insured services — Lower courts holding that s. 14 did not apply because applicants were not OHIP-eligible — Whether s. 14 of the </w:t>
            </w:r>
            <w:r w:rsidRPr="00941AD3">
              <w:rPr>
                <w:i/>
                <w:sz w:val="20"/>
              </w:rPr>
              <w:t xml:space="preserve">Health Insurance Act </w:t>
            </w:r>
            <w:r w:rsidRPr="00941AD3">
              <w:rPr>
                <w:sz w:val="20"/>
              </w:rPr>
              <w:t xml:space="preserve">violates s. 7 </w:t>
            </w:r>
            <w:r w:rsidRPr="00941AD3">
              <w:rPr>
                <w:i/>
                <w:sz w:val="20"/>
              </w:rPr>
              <w:t xml:space="preserve">Charter </w:t>
            </w:r>
            <w:r w:rsidRPr="00941AD3">
              <w:rPr>
                <w:sz w:val="20"/>
              </w:rPr>
              <w:t>right to life, liberty and security of person.</w:t>
            </w:r>
          </w:p>
        </w:tc>
      </w:tr>
      <w:tr w:rsidR="001C65AF" w:rsidRPr="00941AD3" w:rsidTr="00E95A6A">
        <w:tc>
          <w:tcPr>
            <w:tcW w:w="5000" w:type="pct"/>
            <w:gridSpan w:val="4"/>
          </w:tcPr>
          <w:p w:rsidR="001C65AF" w:rsidRPr="00941AD3" w:rsidRDefault="001C65AF" w:rsidP="001C65AF">
            <w:pPr>
              <w:jc w:val="both"/>
              <w:rPr>
                <w:sz w:val="20"/>
              </w:rPr>
            </w:pPr>
          </w:p>
        </w:tc>
      </w:tr>
      <w:tr w:rsidR="001C65AF" w:rsidRPr="00941AD3" w:rsidTr="00E95A6A">
        <w:tc>
          <w:tcPr>
            <w:tcW w:w="5000" w:type="pct"/>
            <w:gridSpan w:val="4"/>
          </w:tcPr>
          <w:p w:rsidR="001C65AF" w:rsidRPr="00941AD3" w:rsidRDefault="001C65AF" w:rsidP="001C65AF">
            <w:pPr>
              <w:jc w:val="both"/>
              <w:rPr>
                <w:sz w:val="20"/>
              </w:rPr>
            </w:pPr>
            <w:r w:rsidRPr="00941AD3">
              <w:rPr>
                <w:sz w:val="20"/>
              </w:rPr>
              <w:t>Applicants Marc and Randolph Misir (together, “the Misirs”) are Canadian citizens. The Misirs’ coverage under the Ontario Health Insurance Plan (OHIP) was cancelled in 2008, over concerns that they did not meet the Ontario residency requirement. In 2013 the Misirs requested a review of their OHIP eligibility; the respondent Ministry of Health and Long-Term Care again denied coverage.</w:t>
            </w:r>
          </w:p>
          <w:p w:rsidR="001C65AF" w:rsidRPr="00941AD3" w:rsidRDefault="001C65AF" w:rsidP="001C65AF">
            <w:pPr>
              <w:jc w:val="both"/>
              <w:rPr>
                <w:sz w:val="20"/>
              </w:rPr>
            </w:pPr>
          </w:p>
          <w:p w:rsidR="001C65AF" w:rsidRPr="00941AD3" w:rsidRDefault="001C65AF" w:rsidP="001C65AF">
            <w:pPr>
              <w:jc w:val="both"/>
              <w:rPr>
                <w:sz w:val="20"/>
              </w:rPr>
            </w:pPr>
            <w:r w:rsidRPr="00941AD3">
              <w:rPr>
                <w:sz w:val="20"/>
              </w:rPr>
              <w:t xml:space="preserve">The Misirs appealed to the Health Services Appeal and Review Board (the “Board”). The Board concluded that the Misirs had not demonstrated that they met the physical presence and residency requirements for OHIP coverage, and dismissed their appeal. The Misirs did not appeal the Board’s decision. </w:t>
            </w:r>
          </w:p>
          <w:p w:rsidR="001C65AF" w:rsidRPr="00941AD3" w:rsidRDefault="001C65AF" w:rsidP="001C65AF">
            <w:pPr>
              <w:jc w:val="both"/>
              <w:rPr>
                <w:sz w:val="20"/>
              </w:rPr>
            </w:pPr>
          </w:p>
          <w:p w:rsidR="001C65AF" w:rsidRPr="00941AD3" w:rsidRDefault="001C65AF" w:rsidP="001C65AF">
            <w:pPr>
              <w:jc w:val="both"/>
              <w:rPr>
                <w:sz w:val="20"/>
              </w:rPr>
            </w:pPr>
            <w:r w:rsidRPr="00941AD3">
              <w:rPr>
                <w:sz w:val="20"/>
              </w:rPr>
              <w:t xml:space="preserve">Instead, they applied to the Superior Court of Justice for a declaration that the </w:t>
            </w:r>
            <w:r w:rsidRPr="00941AD3">
              <w:rPr>
                <w:i/>
                <w:sz w:val="20"/>
              </w:rPr>
              <w:t>Health Insurance Act</w:t>
            </w:r>
            <w:r w:rsidRPr="00941AD3">
              <w:rPr>
                <w:sz w:val="20"/>
              </w:rPr>
              <w:t xml:space="preserve">, R.S.O. 1990, c. H-6, s. 14 — which prevents OHIP-eligible Ontario residents from buying private health insurance for OHIP-insured services — breached their rights under s. 7 of the </w:t>
            </w:r>
            <w:r w:rsidRPr="00941AD3">
              <w:rPr>
                <w:i/>
                <w:sz w:val="20"/>
              </w:rPr>
              <w:t>Canadian Charter of Rights and Freedoms</w:t>
            </w:r>
            <w:r w:rsidRPr="00941AD3">
              <w:rPr>
                <w:sz w:val="20"/>
              </w:rPr>
              <w:t>.</w:t>
            </w:r>
          </w:p>
          <w:p w:rsidR="001C65AF" w:rsidRPr="00941AD3" w:rsidRDefault="001C65AF" w:rsidP="001C65AF">
            <w:pPr>
              <w:jc w:val="both"/>
              <w:rPr>
                <w:sz w:val="20"/>
              </w:rPr>
            </w:pPr>
          </w:p>
          <w:p w:rsidR="001C65AF" w:rsidRPr="00941AD3" w:rsidRDefault="001C65AF" w:rsidP="001C65AF">
            <w:pPr>
              <w:jc w:val="both"/>
              <w:rPr>
                <w:sz w:val="20"/>
              </w:rPr>
            </w:pPr>
            <w:r w:rsidRPr="00941AD3">
              <w:rPr>
                <w:sz w:val="20"/>
              </w:rPr>
              <w:t xml:space="preserve">The application judge noted that s. 14 did not apply to the Misirs because they had been deemed ineligible for OHIP coverage. Further, the Misirs had not demonstrated that s. 14 of the Act infringed their rights to life, liberty and security of the person under s. 7 of the </w:t>
            </w:r>
            <w:r w:rsidRPr="00941AD3">
              <w:rPr>
                <w:i/>
                <w:sz w:val="20"/>
              </w:rPr>
              <w:t>Charter</w:t>
            </w:r>
            <w:r w:rsidRPr="00941AD3">
              <w:rPr>
                <w:sz w:val="20"/>
              </w:rPr>
              <w:t>. The application was dismissed. The Court of Appeal upheld the application judge’s decision.</w:t>
            </w:r>
          </w:p>
          <w:p w:rsidR="001C65AF" w:rsidRPr="00941AD3" w:rsidRDefault="001C65AF" w:rsidP="001C65AF">
            <w:pPr>
              <w:jc w:val="both"/>
              <w:rPr>
                <w:sz w:val="20"/>
              </w:rPr>
            </w:pPr>
          </w:p>
        </w:tc>
      </w:tr>
      <w:tr w:rsidR="001C65AF" w:rsidRPr="00941AD3" w:rsidTr="00E95A6A">
        <w:tc>
          <w:tcPr>
            <w:tcW w:w="2427" w:type="pct"/>
            <w:gridSpan w:val="2"/>
          </w:tcPr>
          <w:p w:rsidR="001C65AF" w:rsidRPr="00941AD3" w:rsidRDefault="001C65AF" w:rsidP="001C65AF">
            <w:pPr>
              <w:jc w:val="both"/>
              <w:rPr>
                <w:sz w:val="20"/>
              </w:rPr>
            </w:pPr>
            <w:r w:rsidRPr="00941AD3">
              <w:rPr>
                <w:sz w:val="20"/>
              </w:rPr>
              <w:t>April 9, 2018</w:t>
            </w:r>
          </w:p>
          <w:p w:rsidR="001C65AF" w:rsidRPr="00941AD3" w:rsidRDefault="001C65AF" w:rsidP="001C65AF">
            <w:pPr>
              <w:jc w:val="both"/>
              <w:rPr>
                <w:sz w:val="20"/>
              </w:rPr>
            </w:pPr>
            <w:r w:rsidRPr="00941AD3">
              <w:rPr>
                <w:sz w:val="20"/>
              </w:rPr>
              <w:t>Ontario Superior Court of Justice</w:t>
            </w:r>
          </w:p>
          <w:p w:rsidR="001C65AF" w:rsidRPr="00941AD3" w:rsidRDefault="001C65AF" w:rsidP="001C65AF">
            <w:pPr>
              <w:jc w:val="both"/>
              <w:rPr>
                <w:sz w:val="20"/>
              </w:rPr>
            </w:pPr>
            <w:r w:rsidRPr="00941AD3">
              <w:rPr>
                <w:sz w:val="20"/>
              </w:rPr>
              <w:t>(Chiapetta J.)</w:t>
            </w:r>
          </w:p>
          <w:p w:rsidR="001C65AF" w:rsidRPr="00941AD3" w:rsidRDefault="001C65AF" w:rsidP="001C65AF">
            <w:pPr>
              <w:jc w:val="both"/>
              <w:rPr>
                <w:sz w:val="20"/>
              </w:rPr>
            </w:pPr>
            <w:r w:rsidRPr="00941AD3">
              <w:rPr>
                <w:sz w:val="20"/>
              </w:rPr>
              <w:t>CV-17-578014</w:t>
            </w:r>
          </w:p>
          <w:p w:rsidR="001C65AF" w:rsidRPr="00941AD3" w:rsidRDefault="001C65AF" w:rsidP="001C65AF">
            <w:pPr>
              <w:jc w:val="both"/>
              <w:rPr>
                <w:sz w:val="20"/>
              </w:rPr>
            </w:pPr>
          </w:p>
        </w:tc>
        <w:tc>
          <w:tcPr>
            <w:tcW w:w="243" w:type="pct"/>
          </w:tcPr>
          <w:p w:rsidR="001C65AF" w:rsidRPr="00941AD3" w:rsidRDefault="001C65AF" w:rsidP="001C65AF">
            <w:pPr>
              <w:jc w:val="both"/>
              <w:rPr>
                <w:sz w:val="20"/>
              </w:rPr>
            </w:pPr>
          </w:p>
        </w:tc>
        <w:tc>
          <w:tcPr>
            <w:tcW w:w="2330" w:type="pct"/>
          </w:tcPr>
          <w:p w:rsidR="001C65AF" w:rsidRPr="00941AD3" w:rsidRDefault="001C65AF" w:rsidP="001C65AF">
            <w:pPr>
              <w:jc w:val="both"/>
              <w:rPr>
                <w:sz w:val="20"/>
              </w:rPr>
            </w:pPr>
            <w:r w:rsidRPr="00941AD3">
              <w:rPr>
                <w:sz w:val="20"/>
              </w:rPr>
              <w:t>Application dismissed.</w:t>
            </w:r>
          </w:p>
          <w:p w:rsidR="001C65AF" w:rsidRPr="00941AD3" w:rsidRDefault="001C65AF" w:rsidP="001C65AF">
            <w:pPr>
              <w:jc w:val="both"/>
              <w:rPr>
                <w:sz w:val="20"/>
              </w:rPr>
            </w:pPr>
          </w:p>
        </w:tc>
      </w:tr>
      <w:tr w:rsidR="001C65AF" w:rsidRPr="00941AD3" w:rsidTr="00E95A6A">
        <w:tc>
          <w:tcPr>
            <w:tcW w:w="2427" w:type="pct"/>
            <w:gridSpan w:val="2"/>
          </w:tcPr>
          <w:p w:rsidR="001C65AF" w:rsidRPr="00941AD3" w:rsidRDefault="001C65AF" w:rsidP="001C65AF">
            <w:pPr>
              <w:jc w:val="both"/>
              <w:rPr>
                <w:sz w:val="20"/>
              </w:rPr>
            </w:pPr>
            <w:r w:rsidRPr="00941AD3">
              <w:rPr>
                <w:sz w:val="20"/>
              </w:rPr>
              <w:t>January 23, 2019</w:t>
            </w:r>
          </w:p>
          <w:p w:rsidR="001C65AF" w:rsidRPr="00941AD3" w:rsidRDefault="001C65AF" w:rsidP="001C65AF">
            <w:pPr>
              <w:jc w:val="both"/>
              <w:rPr>
                <w:sz w:val="20"/>
              </w:rPr>
            </w:pPr>
            <w:r w:rsidRPr="00941AD3">
              <w:rPr>
                <w:sz w:val="20"/>
              </w:rPr>
              <w:t>Court of Appeal for Ontario</w:t>
            </w:r>
          </w:p>
          <w:p w:rsidR="001C65AF" w:rsidRPr="00941AD3" w:rsidRDefault="001C65AF" w:rsidP="001C65AF">
            <w:pPr>
              <w:jc w:val="both"/>
              <w:rPr>
                <w:sz w:val="20"/>
              </w:rPr>
            </w:pPr>
            <w:r w:rsidRPr="00941AD3">
              <w:rPr>
                <w:sz w:val="20"/>
              </w:rPr>
              <w:t>(Brown, Paciocco and Zarnett JJ.A.)</w:t>
            </w:r>
          </w:p>
          <w:p w:rsidR="001C65AF" w:rsidRPr="00941AD3" w:rsidRDefault="00326CE3" w:rsidP="001C65AF">
            <w:pPr>
              <w:jc w:val="both"/>
              <w:rPr>
                <w:sz w:val="20"/>
              </w:rPr>
            </w:pPr>
            <w:hyperlink r:id="rId21" w:history="1">
              <w:r w:rsidR="001C65AF" w:rsidRPr="00941AD3">
                <w:rPr>
                  <w:rStyle w:val="Hyperlink"/>
                  <w:sz w:val="20"/>
                </w:rPr>
                <w:t>2019 ONCA 36</w:t>
              </w:r>
            </w:hyperlink>
            <w:r w:rsidR="001C65AF" w:rsidRPr="00941AD3">
              <w:rPr>
                <w:sz w:val="20"/>
              </w:rPr>
              <w:t>; C65374</w:t>
            </w:r>
          </w:p>
          <w:p w:rsidR="001C65AF" w:rsidRPr="00941AD3" w:rsidRDefault="001C65AF" w:rsidP="001C65AF">
            <w:pPr>
              <w:jc w:val="both"/>
              <w:rPr>
                <w:sz w:val="20"/>
              </w:rPr>
            </w:pPr>
          </w:p>
        </w:tc>
        <w:tc>
          <w:tcPr>
            <w:tcW w:w="243" w:type="pct"/>
          </w:tcPr>
          <w:p w:rsidR="001C65AF" w:rsidRPr="00941AD3" w:rsidRDefault="001C65AF" w:rsidP="001C65AF">
            <w:pPr>
              <w:jc w:val="both"/>
              <w:rPr>
                <w:sz w:val="20"/>
              </w:rPr>
            </w:pPr>
          </w:p>
        </w:tc>
        <w:tc>
          <w:tcPr>
            <w:tcW w:w="2330" w:type="pct"/>
          </w:tcPr>
          <w:p w:rsidR="001C65AF" w:rsidRPr="00941AD3" w:rsidRDefault="001C65AF" w:rsidP="001C65AF">
            <w:pPr>
              <w:jc w:val="both"/>
              <w:rPr>
                <w:sz w:val="20"/>
              </w:rPr>
            </w:pPr>
            <w:r w:rsidRPr="00941AD3">
              <w:rPr>
                <w:sz w:val="20"/>
              </w:rPr>
              <w:t>Appeal dismissed.</w:t>
            </w:r>
          </w:p>
          <w:p w:rsidR="001C65AF" w:rsidRPr="00941AD3" w:rsidRDefault="001C65AF" w:rsidP="001C65AF">
            <w:pPr>
              <w:jc w:val="both"/>
              <w:rPr>
                <w:sz w:val="20"/>
              </w:rPr>
            </w:pPr>
          </w:p>
          <w:p w:rsidR="001C65AF" w:rsidRPr="00941AD3" w:rsidRDefault="001C65AF" w:rsidP="001C65AF">
            <w:pPr>
              <w:jc w:val="both"/>
              <w:rPr>
                <w:sz w:val="20"/>
              </w:rPr>
            </w:pPr>
          </w:p>
        </w:tc>
      </w:tr>
      <w:tr w:rsidR="001C65AF" w:rsidRPr="00941AD3" w:rsidTr="00E95A6A">
        <w:tc>
          <w:tcPr>
            <w:tcW w:w="2427" w:type="pct"/>
            <w:gridSpan w:val="2"/>
          </w:tcPr>
          <w:p w:rsidR="001C65AF" w:rsidRPr="00941AD3" w:rsidRDefault="001C65AF" w:rsidP="001C65AF">
            <w:pPr>
              <w:jc w:val="both"/>
              <w:rPr>
                <w:sz w:val="20"/>
              </w:rPr>
            </w:pPr>
            <w:r w:rsidRPr="00941AD3">
              <w:rPr>
                <w:sz w:val="20"/>
              </w:rPr>
              <w:t>April 5, 2019</w:t>
            </w:r>
          </w:p>
          <w:p w:rsidR="001C65AF" w:rsidRPr="00941AD3" w:rsidRDefault="001C65AF" w:rsidP="001C65AF">
            <w:pPr>
              <w:jc w:val="both"/>
              <w:rPr>
                <w:sz w:val="20"/>
              </w:rPr>
            </w:pPr>
            <w:r w:rsidRPr="00941AD3">
              <w:rPr>
                <w:sz w:val="20"/>
              </w:rPr>
              <w:t>Supreme Court of Canada</w:t>
            </w:r>
          </w:p>
        </w:tc>
        <w:tc>
          <w:tcPr>
            <w:tcW w:w="243" w:type="pct"/>
          </w:tcPr>
          <w:p w:rsidR="001C65AF" w:rsidRPr="00941AD3" w:rsidRDefault="001C65AF" w:rsidP="001C65AF">
            <w:pPr>
              <w:jc w:val="both"/>
              <w:rPr>
                <w:sz w:val="20"/>
              </w:rPr>
            </w:pPr>
          </w:p>
        </w:tc>
        <w:tc>
          <w:tcPr>
            <w:tcW w:w="2330" w:type="pct"/>
          </w:tcPr>
          <w:p w:rsidR="001C65AF" w:rsidRPr="00941AD3" w:rsidRDefault="001C65AF" w:rsidP="001C65AF">
            <w:pPr>
              <w:jc w:val="both"/>
              <w:rPr>
                <w:sz w:val="20"/>
              </w:rPr>
            </w:pPr>
            <w:r w:rsidRPr="00941AD3">
              <w:rPr>
                <w:sz w:val="20"/>
              </w:rPr>
              <w:t>Application for leave to appeal filed</w:t>
            </w:r>
          </w:p>
          <w:p w:rsidR="001C65AF" w:rsidRPr="00941AD3" w:rsidRDefault="001C65AF" w:rsidP="001C65AF">
            <w:pPr>
              <w:jc w:val="both"/>
              <w:rPr>
                <w:sz w:val="20"/>
              </w:rPr>
            </w:pPr>
          </w:p>
        </w:tc>
      </w:tr>
    </w:tbl>
    <w:p w:rsidR="001C65AF" w:rsidRPr="00941AD3" w:rsidRDefault="001C65AF" w:rsidP="001C65AF">
      <w:pPr>
        <w:jc w:val="both"/>
        <w:rPr>
          <w:sz w:val="20"/>
        </w:rPr>
      </w:pPr>
    </w:p>
    <w:p w:rsidR="00007A53" w:rsidRPr="00941AD3" w:rsidRDefault="00326CE3" w:rsidP="001C65AF">
      <w:pPr>
        <w:jc w:val="both"/>
        <w:rPr>
          <w:sz w:val="20"/>
        </w:rPr>
      </w:pPr>
      <w:r>
        <w:rPr>
          <w:sz w:val="20"/>
        </w:rPr>
        <w:pict>
          <v:rect id="_x0000_i1031" style="width:2in;height:1pt" o:hrpct="0" o:hralign="center" o:hrstd="t" o:hrnoshade="t" o:hr="t" fillcolor="black [3213]" stroked="f"/>
        </w:pict>
      </w:r>
    </w:p>
    <w:p w:rsidR="00007A53" w:rsidRPr="00941AD3" w:rsidRDefault="00007A53" w:rsidP="001C65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5AF" w:rsidRPr="00941AD3" w:rsidTr="00E95A6A">
        <w:tc>
          <w:tcPr>
            <w:tcW w:w="543" w:type="pct"/>
          </w:tcPr>
          <w:p w:rsidR="001C65AF" w:rsidRPr="00941AD3" w:rsidRDefault="001C65AF" w:rsidP="001C65AF">
            <w:pPr>
              <w:jc w:val="both"/>
              <w:rPr>
                <w:sz w:val="20"/>
                <w:lang w:val="fr-CA"/>
              </w:rPr>
            </w:pPr>
            <w:r w:rsidRPr="00941AD3">
              <w:rPr>
                <w:rStyle w:val="SCCFileNumberChar"/>
                <w:sz w:val="20"/>
                <w:szCs w:val="20"/>
                <w:lang w:val="fr-CA"/>
              </w:rPr>
              <w:t>40283</w:t>
            </w:r>
          </w:p>
        </w:tc>
        <w:tc>
          <w:tcPr>
            <w:tcW w:w="4457" w:type="pct"/>
            <w:gridSpan w:val="3"/>
          </w:tcPr>
          <w:p w:rsidR="001C65AF" w:rsidRPr="00941AD3" w:rsidRDefault="001C65AF" w:rsidP="001C65AF">
            <w:pPr>
              <w:pStyle w:val="SCCLsocParty"/>
              <w:jc w:val="both"/>
              <w:rPr>
                <w:b/>
                <w:sz w:val="20"/>
                <w:szCs w:val="20"/>
              </w:rPr>
            </w:pPr>
            <w:r w:rsidRPr="00941AD3">
              <w:rPr>
                <w:b/>
                <w:sz w:val="20"/>
                <w:szCs w:val="20"/>
              </w:rPr>
              <w:t xml:space="preserve">Marc Misir, Randolph Misir c. Sa Majesté le Roi du chef de l’Ontario, représentée par le ministère de la Santé et des Soins de longue durée </w:t>
            </w:r>
          </w:p>
          <w:p w:rsidR="001C65AF" w:rsidRPr="00941AD3" w:rsidRDefault="001C65AF" w:rsidP="00007A53">
            <w:pPr>
              <w:jc w:val="both"/>
              <w:rPr>
                <w:sz w:val="20"/>
                <w:lang w:val="fr-CA"/>
              </w:rPr>
            </w:pPr>
            <w:r w:rsidRPr="00941AD3">
              <w:rPr>
                <w:sz w:val="20"/>
                <w:lang w:val="fr-CA"/>
              </w:rPr>
              <w:t>(Ont.) (</w:t>
            </w:r>
            <w:r w:rsidR="00007A53" w:rsidRPr="00941AD3">
              <w:rPr>
                <w:sz w:val="20"/>
                <w:lang w:val="fr-CA"/>
              </w:rPr>
              <w:t>C</w:t>
            </w:r>
            <w:r w:rsidRPr="00941AD3">
              <w:rPr>
                <w:sz w:val="20"/>
                <w:lang w:val="fr-CA"/>
              </w:rPr>
              <w:t>ivile) (</w:t>
            </w:r>
            <w:r w:rsidR="00007A53" w:rsidRPr="00941AD3">
              <w:rPr>
                <w:sz w:val="20"/>
                <w:lang w:val="fr-CA"/>
              </w:rPr>
              <w:t>S</w:t>
            </w:r>
            <w:r w:rsidRPr="00941AD3">
              <w:rPr>
                <w:sz w:val="20"/>
                <w:lang w:val="fr-CA"/>
              </w:rPr>
              <w:t>ur autorisation)</w:t>
            </w:r>
          </w:p>
        </w:tc>
      </w:tr>
      <w:tr w:rsidR="001C65AF" w:rsidRPr="00326CE3" w:rsidTr="00E95A6A">
        <w:tc>
          <w:tcPr>
            <w:tcW w:w="5000" w:type="pct"/>
            <w:gridSpan w:val="4"/>
          </w:tcPr>
          <w:p w:rsidR="001C65AF" w:rsidRPr="00941AD3" w:rsidRDefault="001C65AF" w:rsidP="001C65AF">
            <w:pPr>
              <w:jc w:val="both"/>
              <w:rPr>
                <w:sz w:val="20"/>
                <w:lang w:val="fr-CA"/>
              </w:rPr>
            </w:pPr>
            <w:r w:rsidRPr="00941AD3">
              <w:rPr>
                <w:i/>
                <w:sz w:val="20"/>
                <w:lang w:val="fr-CA"/>
              </w:rPr>
              <w:t xml:space="preserve">Charte des droits </w:t>
            </w:r>
            <w:r w:rsidRPr="00941AD3">
              <w:rPr>
                <w:sz w:val="20"/>
                <w:lang w:val="fr-CA"/>
              </w:rPr>
              <w:t xml:space="preserve">— Droit à la vie, à la liberté et à la sécurité de la personne (art. 7) — Santé publique — Assurance — Incapacité des requérants de souscrire une assurance privée et annulation de leur couverture du Régime d’assurance-maladie de l’Ontario (RAMO) pour non-respect de l’exigence de résidence — L’article 14 de la </w:t>
            </w:r>
            <w:r w:rsidRPr="00941AD3">
              <w:rPr>
                <w:i/>
                <w:sz w:val="20"/>
                <w:lang w:val="fr-CA"/>
              </w:rPr>
              <w:t>Loi sur l’assurance-santé</w:t>
            </w:r>
            <w:r w:rsidRPr="00941AD3">
              <w:rPr>
                <w:sz w:val="20"/>
                <w:lang w:val="fr-CA"/>
              </w:rPr>
              <w:t xml:space="preserve">, L.R.O. 1990, c. H-6, interdit aux personnes admissibles au RAMO de souscrire une assurance privée pour des services assurés par le RAMO — Les juridictions inférieures ont jugé que l’art. 14 ne s’appliquait pas aux requérants parce qu’ils n’étaient pas admissibles au RAMO — L’article 14 de la </w:t>
            </w:r>
            <w:r w:rsidRPr="00941AD3">
              <w:rPr>
                <w:i/>
                <w:sz w:val="20"/>
                <w:lang w:val="fr-CA"/>
              </w:rPr>
              <w:t>Loi sur l’assurance-santé</w:t>
            </w:r>
            <w:r w:rsidRPr="00941AD3">
              <w:rPr>
                <w:sz w:val="20"/>
                <w:lang w:val="fr-CA"/>
              </w:rPr>
              <w:t xml:space="preserve"> porte-t-il atteinte au droit à la vie, à la liberté et à la sécurité de la personne garantis par l’art. 7 de la </w:t>
            </w:r>
            <w:r w:rsidRPr="00941AD3">
              <w:rPr>
                <w:i/>
                <w:sz w:val="20"/>
                <w:lang w:val="fr-CA"/>
              </w:rPr>
              <w:t>Charte</w:t>
            </w:r>
            <w:r w:rsidRPr="00941AD3">
              <w:rPr>
                <w:iCs/>
                <w:sz w:val="20"/>
                <w:lang w:val="fr-CA"/>
              </w:rPr>
              <w:t>?</w:t>
            </w:r>
          </w:p>
        </w:tc>
      </w:tr>
      <w:tr w:rsidR="001C65AF" w:rsidRPr="00326CE3" w:rsidTr="00E95A6A">
        <w:tc>
          <w:tcPr>
            <w:tcW w:w="5000" w:type="pct"/>
            <w:gridSpan w:val="4"/>
          </w:tcPr>
          <w:p w:rsidR="001C65AF" w:rsidRPr="00941AD3" w:rsidRDefault="001C65AF" w:rsidP="001C65AF">
            <w:pPr>
              <w:jc w:val="both"/>
              <w:rPr>
                <w:sz w:val="20"/>
                <w:lang w:val="fr-CA"/>
              </w:rPr>
            </w:pPr>
          </w:p>
        </w:tc>
      </w:tr>
      <w:tr w:rsidR="001C65AF" w:rsidRPr="00326CE3" w:rsidTr="00E95A6A">
        <w:tc>
          <w:tcPr>
            <w:tcW w:w="5000" w:type="pct"/>
            <w:gridSpan w:val="4"/>
          </w:tcPr>
          <w:p w:rsidR="001C65AF" w:rsidRPr="00941AD3" w:rsidRDefault="001C65AF" w:rsidP="001C65AF">
            <w:pPr>
              <w:jc w:val="both"/>
              <w:rPr>
                <w:sz w:val="20"/>
                <w:lang w:val="fr-CA"/>
              </w:rPr>
            </w:pPr>
            <w:r w:rsidRPr="00941AD3">
              <w:rPr>
                <w:sz w:val="20"/>
                <w:lang w:val="fr-CA"/>
              </w:rPr>
              <w:t>Les requérants Marc et Randolph Misir (les Misir) sont des citoyens canadiens. La couverture des Misir par le Régime d’assurance-maladie de l’Ontario (RAMO) a été annulée en 2008, car on craignait qu’ils ne satisfassent pas à l’exigence de résidence en Ontario. En 2013, les Misir ont demandé une révision de leur admissibilité à la RAMO; le ministre de la Santé et des Soins de longue durée intimé a de nouveau refusé la couverture.</w:t>
            </w:r>
          </w:p>
          <w:p w:rsidR="001C65AF" w:rsidRPr="00941AD3" w:rsidRDefault="001C65AF" w:rsidP="001C65AF">
            <w:pPr>
              <w:jc w:val="both"/>
              <w:rPr>
                <w:sz w:val="20"/>
                <w:lang w:val="fr-CA"/>
              </w:rPr>
            </w:pPr>
          </w:p>
          <w:p w:rsidR="001C65AF" w:rsidRPr="00941AD3" w:rsidRDefault="001C65AF" w:rsidP="001C65AF">
            <w:pPr>
              <w:jc w:val="both"/>
              <w:rPr>
                <w:sz w:val="20"/>
                <w:lang w:val="fr-CA"/>
              </w:rPr>
            </w:pPr>
            <w:r w:rsidRPr="00941AD3">
              <w:rPr>
                <w:sz w:val="20"/>
                <w:lang w:val="fr-CA"/>
              </w:rPr>
              <w:t xml:space="preserve">Les Misir ont fait appel à la Commission d’appel et de révision des services de santé (la Commission). La Commission a conclu que les Misir n’avaient pas démontré qu’ils remplissaient les conditions de présence physique et de résidence pour être admissibles à la RAMO, et elle a rejeté leur appel. Les Misir n’ont pas interjeté appel de la décision de la Commission. </w:t>
            </w:r>
          </w:p>
          <w:p w:rsidR="001C65AF" w:rsidRPr="00941AD3" w:rsidRDefault="001C65AF" w:rsidP="001C65AF">
            <w:pPr>
              <w:jc w:val="both"/>
              <w:rPr>
                <w:sz w:val="20"/>
                <w:lang w:val="fr-CA"/>
              </w:rPr>
            </w:pPr>
          </w:p>
          <w:p w:rsidR="001C65AF" w:rsidRPr="00941AD3" w:rsidRDefault="001C65AF" w:rsidP="001C65AF">
            <w:pPr>
              <w:jc w:val="both"/>
              <w:rPr>
                <w:sz w:val="20"/>
                <w:lang w:val="fr-CA"/>
              </w:rPr>
            </w:pPr>
            <w:r w:rsidRPr="00941AD3">
              <w:rPr>
                <w:sz w:val="20"/>
                <w:lang w:val="fr-CA"/>
              </w:rPr>
              <w:t xml:space="preserve">Ils ont plutôt demandé à la Cour supérieure de justice de rendre un jugement déclaratoire portant que l’art. 14 de la </w:t>
            </w:r>
            <w:r w:rsidRPr="00941AD3">
              <w:rPr>
                <w:i/>
                <w:sz w:val="20"/>
                <w:lang w:val="fr-CA"/>
              </w:rPr>
              <w:t>Loi sur l’assurance-santé</w:t>
            </w:r>
            <w:r w:rsidRPr="00941AD3">
              <w:rPr>
                <w:sz w:val="20"/>
                <w:lang w:val="fr-CA"/>
              </w:rPr>
              <w:t xml:space="preserve">, L.R.O. 1990, c. H-6 — qui interdit aux personnes admissibles au RAMO de souscrire une assurance privée pour des services assurés par le RAMO — violait les droits qui leur sont garantis par l’art. 7 de la </w:t>
            </w:r>
            <w:r w:rsidRPr="00941AD3">
              <w:rPr>
                <w:i/>
                <w:iCs/>
                <w:sz w:val="20"/>
                <w:lang w:val="fr-CA"/>
              </w:rPr>
              <w:t>Charte canadienne des droits et libertés</w:t>
            </w:r>
            <w:r w:rsidRPr="00941AD3">
              <w:rPr>
                <w:sz w:val="20"/>
                <w:lang w:val="fr-CA"/>
              </w:rPr>
              <w:t>.</w:t>
            </w:r>
          </w:p>
          <w:p w:rsidR="001C65AF" w:rsidRPr="00941AD3" w:rsidRDefault="001C65AF" w:rsidP="001C65AF">
            <w:pPr>
              <w:jc w:val="both"/>
              <w:rPr>
                <w:sz w:val="20"/>
                <w:lang w:val="fr-CA"/>
              </w:rPr>
            </w:pPr>
          </w:p>
          <w:p w:rsidR="001C65AF" w:rsidRPr="00941AD3" w:rsidRDefault="001C65AF" w:rsidP="001C65AF">
            <w:pPr>
              <w:jc w:val="both"/>
              <w:rPr>
                <w:sz w:val="20"/>
                <w:lang w:val="fr-CA"/>
              </w:rPr>
            </w:pPr>
            <w:r w:rsidRPr="00941AD3">
              <w:rPr>
                <w:sz w:val="20"/>
                <w:lang w:val="fr-CA"/>
              </w:rPr>
              <w:t xml:space="preserve">La juge saisie de la </w:t>
            </w:r>
            <w:proofErr w:type="gramStart"/>
            <w:r w:rsidRPr="00941AD3">
              <w:rPr>
                <w:sz w:val="20"/>
                <w:lang w:val="fr-CA"/>
              </w:rPr>
              <w:t>requête a</w:t>
            </w:r>
            <w:proofErr w:type="gramEnd"/>
            <w:r w:rsidRPr="00941AD3">
              <w:rPr>
                <w:sz w:val="20"/>
                <w:lang w:val="fr-CA"/>
              </w:rPr>
              <w:t xml:space="preserve"> souligné que l’art. 14 ne s’appliquait pas aux Misir parce qu’ils avaient été jugés inadmissibles à la couverture du RAMO. De plus, les Misir </w:t>
            </w:r>
            <w:proofErr w:type="gramStart"/>
            <w:r w:rsidRPr="00941AD3">
              <w:rPr>
                <w:sz w:val="20"/>
                <w:lang w:val="fr-CA"/>
              </w:rPr>
              <w:t>n’avait</w:t>
            </w:r>
            <w:proofErr w:type="gramEnd"/>
            <w:r w:rsidRPr="00941AD3">
              <w:rPr>
                <w:sz w:val="20"/>
                <w:lang w:val="fr-CA"/>
              </w:rPr>
              <w:t xml:space="preserve"> pas démontré que l’art. 14 portait atteinte au droit à la vie, à la liberté et à la sécurité de la personne qui leur était garanti par l’art. 7 de la </w:t>
            </w:r>
            <w:r w:rsidRPr="00941AD3">
              <w:rPr>
                <w:i/>
                <w:sz w:val="20"/>
                <w:lang w:val="fr-CA"/>
              </w:rPr>
              <w:t>Charte</w:t>
            </w:r>
            <w:r w:rsidRPr="00941AD3">
              <w:rPr>
                <w:sz w:val="20"/>
                <w:lang w:val="fr-CA"/>
              </w:rPr>
              <w:t>. La requête a été rejetée. La Cour d’appel a confirmé la décision de la juge saisie de la requête.</w:t>
            </w:r>
          </w:p>
          <w:p w:rsidR="001C65AF" w:rsidRPr="00941AD3" w:rsidRDefault="001C65AF" w:rsidP="001C65AF">
            <w:pPr>
              <w:jc w:val="both"/>
              <w:rPr>
                <w:sz w:val="20"/>
                <w:lang w:val="fr-CA"/>
              </w:rPr>
            </w:pPr>
          </w:p>
        </w:tc>
      </w:tr>
      <w:tr w:rsidR="001C65AF" w:rsidRPr="00941AD3" w:rsidTr="00E95A6A">
        <w:tc>
          <w:tcPr>
            <w:tcW w:w="2427" w:type="pct"/>
            <w:gridSpan w:val="2"/>
          </w:tcPr>
          <w:p w:rsidR="001C65AF" w:rsidRPr="00941AD3" w:rsidRDefault="001C65AF" w:rsidP="001C65AF">
            <w:pPr>
              <w:jc w:val="both"/>
              <w:rPr>
                <w:sz w:val="20"/>
                <w:lang w:val="fr-CA"/>
              </w:rPr>
            </w:pPr>
            <w:r w:rsidRPr="00941AD3">
              <w:rPr>
                <w:sz w:val="20"/>
                <w:lang w:val="fr-CA"/>
              </w:rPr>
              <w:t>9 avril 2018</w:t>
            </w:r>
          </w:p>
          <w:p w:rsidR="001C65AF" w:rsidRPr="00941AD3" w:rsidRDefault="001C65AF" w:rsidP="001C65AF">
            <w:pPr>
              <w:jc w:val="both"/>
              <w:rPr>
                <w:sz w:val="20"/>
                <w:lang w:val="fr-CA"/>
              </w:rPr>
            </w:pPr>
            <w:r w:rsidRPr="00941AD3">
              <w:rPr>
                <w:sz w:val="20"/>
                <w:lang w:val="fr-CA"/>
              </w:rPr>
              <w:t xml:space="preserve">Cour supérieure de justice de l’Ontario </w:t>
            </w:r>
          </w:p>
          <w:p w:rsidR="001C65AF" w:rsidRPr="00941AD3" w:rsidRDefault="001C65AF" w:rsidP="001C65AF">
            <w:pPr>
              <w:jc w:val="both"/>
              <w:rPr>
                <w:sz w:val="20"/>
                <w:lang w:val="fr-CA"/>
              </w:rPr>
            </w:pPr>
            <w:r w:rsidRPr="00941AD3">
              <w:rPr>
                <w:sz w:val="20"/>
                <w:lang w:val="fr-CA"/>
              </w:rPr>
              <w:t>(la juge Chiapetta)</w:t>
            </w:r>
          </w:p>
          <w:p w:rsidR="001C65AF" w:rsidRPr="00941AD3" w:rsidRDefault="001C65AF" w:rsidP="001C65AF">
            <w:pPr>
              <w:jc w:val="both"/>
              <w:rPr>
                <w:sz w:val="20"/>
                <w:lang w:val="fr-CA"/>
              </w:rPr>
            </w:pPr>
            <w:r w:rsidRPr="00941AD3">
              <w:rPr>
                <w:sz w:val="20"/>
                <w:lang w:val="fr-CA"/>
              </w:rPr>
              <w:t>CV-17-578014</w:t>
            </w:r>
          </w:p>
          <w:p w:rsidR="001C65AF" w:rsidRPr="00941AD3" w:rsidRDefault="001C65AF" w:rsidP="001C65AF">
            <w:pPr>
              <w:jc w:val="both"/>
              <w:rPr>
                <w:sz w:val="20"/>
                <w:lang w:val="fr-CA"/>
              </w:rPr>
            </w:pPr>
          </w:p>
        </w:tc>
        <w:tc>
          <w:tcPr>
            <w:tcW w:w="243" w:type="pct"/>
          </w:tcPr>
          <w:p w:rsidR="001C65AF" w:rsidRPr="00941AD3" w:rsidRDefault="001C65AF" w:rsidP="001C65AF">
            <w:pPr>
              <w:jc w:val="both"/>
              <w:rPr>
                <w:sz w:val="20"/>
                <w:lang w:val="fr-CA"/>
              </w:rPr>
            </w:pPr>
          </w:p>
        </w:tc>
        <w:tc>
          <w:tcPr>
            <w:tcW w:w="2330" w:type="pct"/>
          </w:tcPr>
          <w:p w:rsidR="001C65AF" w:rsidRPr="00941AD3" w:rsidRDefault="001C65AF" w:rsidP="001C65AF">
            <w:pPr>
              <w:jc w:val="both"/>
              <w:rPr>
                <w:sz w:val="20"/>
                <w:lang w:val="fr-CA"/>
              </w:rPr>
            </w:pPr>
            <w:r w:rsidRPr="00941AD3">
              <w:rPr>
                <w:sz w:val="20"/>
                <w:lang w:val="fr-CA"/>
              </w:rPr>
              <w:t>La requête est rejetée.</w:t>
            </w:r>
          </w:p>
          <w:p w:rsidR="001C65AF" w:rsidRPr="00941AD3" w:rsidRDefault="001C65AF" w:rsidP="001C65AF">
            <w:pPr>
              <w:jc w:val="both"/>
              <w:rPr>
                <w:sz w:val="20"/>
                <w:lang w:val="fr-CA"/>
              </w:rPr>
            </w:pPr>
          </w:p>
        </w:tc>
      </w:tr>
      <w:tr w:rsidR="001C65AF" w:rsidRPr="00941AD3" w:rsidTr="00E95A6A">
        <w:tc>
          <w:tcPr>
            <w:tcW w:w="2427" w:type="pct"/>
            <w:gridSpan w:val="2"/>
          </w:tcPr>
          <w:p w:rsidR="001C65AF" w:rsidRPr="00941AD3" w:rsidRDefault="001C65AF" w:rsidP="001C65AF">
            <w:pPr>
              <w:jc w:val="both"/>
              <w:rPr>
                <w:sz w:val="20"/>
                <w:lang w:val="fr-CA"/>
              </w:rPr>
            </w:pPr>
            <w:r w:rsidRPr="00941AD3">
              <w:rPr>
                <w:sz w:val="20"/>
                <w:lang w:val="fr-CA"/>
              </w:rPr>
              <w:t>23 janvier 2019</w:t>
            </w:r>
          </w:p>
          <w:p w:rsidR="001C65AF" w:rsidRPr="00941AD3" w:rsidRDefault="001C65AF" w:rsidP="001C65AF">
            <w:pPr>
              <w:jc w:val="both"/>
              <w:rPr>
                <w:sz w:val="20"/>
                <w:lang w:val="fr-CA"/>
              </w:rPr>
            </w:pPr>
            <w:r w:rsidRPr="00941AD3">
              <w:rPr>
                <w:sz w:val="20"/>
                <w:lang w:val="fr-CA"/>
              </w:rPr>
              <w:t>Cour d’appel de l’Ontario</w:t>
            </w:r>
          </w:p>
          <w:p w:rsidR="001C65AF" w:rsidRPr="00941AD3" w:rsidRDefault="001C65AF" w:rsidP="001C65AF">
            <w:pPr>
              <w:jc w:val="both"/>
              <w:rPr>
                <w:sz w:val="20"/>
                <w:lang w:val="fr-CA"/>
              </w:rPr>
            </w:pPr>
            <w:r w:rsidRPr="00941AD3">
              <w:rPr>
                <w:sz w:val="20"/>
                <w:lang w:val="fr-CA"/>
              </w:rPr>
              <w:t>(les juges Brown, Paciocco et Zarnett)</w:t>
            </w:r>
          </w:p>
          <w:p w:rsidR="001C65AF" w:rsidRPr="00941AD3" w:rsidRDefault="00326CE3" w:rsidP="001C65AF">
            <w:pPr>
              <w:jc w:val="both"/>
              <w:rPr>
                <w:sz w:val="20"/>
                <w:lang w:val="fr-CA"/>
              </w:rPr>
            </w:pPr>
            <w:hyperlink r:id="rId22" w:history="1">
              <w:r w:rsidR="001C65AF" w:rsidRPr="00941AD3">
                <w:rPr>
                  <w:rStyle w:val="Hyperlink"/>
                  <w:sz w:val="20"/>
                  <w:lang w:val="fr-CA"/>
                </w:rPr>
                <w:t>2019 ONCA 36</w:t>
              </w:r>
            </w:hyperlink>
            <w:r w:rsidR="001C65AF" w:rsidRPr="00941AD3">
              <w:rPr>
                <w:sz w:val="20"/>
                <w:lang w:val="fr-CA"/>
              </w:rPr>
              <w:t>; C65374</w:t>
            </w:r>
          </w:p>
          <w:p w:rsidR="001C65AF" w:rsidRPr="00941AD3" w:rsidRDefault="001C65AF" w:rsidP="001C65AF">
            <w:pPr>
              <w:jc w:val="both"/>
              <w:rPr>
                <w:sz w:val="20"/>
                <w:lang w:val="fr-CA"/>
              </w:rPr>
            </w:pPr>
          </w:p>
        </w:tc>
        <w:tc>
          <w:tcPr>
            <w:tcW w:w="243" w:type="pct"/>
          </w:tcPr>
          <w:p w:rsidR="001C65AF" w:rsidRPr="00941AD3" w:rsidRDefault="001C65AF" w:rsidP="001C65AF">
            <w:pPr>
              <w:jc w:val="both"/>
              <w:rPr>
                <w:sz w:val="20"/>
                <w:lang w:val="fr-CA"/>
              </w:rPr>
            </w:pPr>
          </w:p>
        </w:tc>
        <w:tc>
          <w:tcPr>
            <w:tcW w:w="2330" w:type="pct"/>
          </w:tcPr>
          <w:p w:rsidR="001C65AF" w:rsidRPr="00941AD3" w:rsidRDefault="001C65AF" w:rsidP="001C65AF">
            <w:pPr>
              <w:jc w:val="both"/>
              <w:rPr>
                <w:sz w:val="20"/>
                <w:lang w:val="fr-CA"/>
              </w:rPr>
            </w:pPr>
            <w:r w:rsidRPr="00941AD3">
              <w:rPr>
                <w:sz w:val="20"/>
                <w:lang w:val="fr-CA"/>
              </w:rPr>
              <w:t>L’appel est rejeté.</w:t>
            </w:r>
          </w:p>
          <w:p w:rsidR="001C65AF" w:rsidRPr="00941AD3" w:rsidRDefault="001C65AF" w:rsidP="001C65AF">
            <w:pPr>
              <w:jc w:val="both"/>
              <w:rPr>
                <w:sz w:val="20"/>
                <w:lang w:val="fr-CA"/>
              </w:rPr>
            </w:pPr>
          </w:p>
          <w:p w:rsidR="001C65AF" w:rsidRPr="00941AD3" w:rsidRDefault="001C65AF" w:rsidP="001C65AF">
            <w:pPr>
              <w:jc w:val="both"/>
              <w:rPr>
                <w:sz w:val="20"/>
                <w:lang w:val="fr-CA"/>
              </w:rPr>
            </w:pPr>
          </w:p>
        </w:tc>
      </w:tr>
      <w:tr w:rsidR="001C65AF" w:rsidRPr="00326CE3" w:rsidTr="00E95A6A">
        <w:tc>
          <w:tcPr>
            <w:tcW w:w="2427" w:type="pct"/>
            <w:gridSpan w:val="2"/>
          </w:tcPr>
          <w:p w:rsidR="001C65AF" w:rsidRPr="00941AD3" w:rsidRDefault="001C65AF" w:rsidP="001C65AF">
            <w:pPr>
              <w:jc w:val="both"/>
              <w:rPr>
                <w:sz w:val="20"/>
                <w:lang w:val="fr-CA"/>
              </w:rPr>
            </w:pPr>
            <w:r w:rsidRPr="00941AD3">
              <w:rPr>
                <w:sz w:val="20"/>
                <w:lang w:val="fr-CA"/>
              </w:rPr>
              <w:t>5 avril 2019</w:t>
            </w:r>
          </w:p>
          <w:p w:rsidR="001C65AF" w:rsidRPr="00941AD3" w:rsidRDefault="001C65AF" w:rsidP="001C65AF">
            <w:pPr>
              <w:jc w:val="both"/>
              <w:rPr>
                <w:sz w:val="20"/>
                <w:lang w:val="fr-CA"/>
              </w:rPr>
            </w:pPr>
            <w:r w:rsidRPr="00941AD3">
              <w:rPr>
                <w:sz w:val="20"/>
                <w:lang w:val="fr-CA"/>
              </w:rPr>
              <w:t>Cour suprême du Canada</w:t>
            </w:r>
          </w:p>
        </w:tc>
        <w:tc>
          <w:tcPr>
            <w:tcW w:w="243" w:type="pct"/>
          </w:tcPr>
          <w:p w:rsidR="001C65AF" w:rsidRPr="00941AD3" w:rsidRDefault="001C65AF" w:rsidP="001C65AF">
            <w:pPr>
              <w:jc w:val="both"/>
              <w:rPr>
                <w:sz w:val="20"/>
                <w:lang w:val="fr-CA"/>
              </w:rPr>
            </w:pPr>
          </w:p>
        </w:tc>
        <w:tc>
          <w:tcPr>
            <w:tcW w:w="2330" w:type="pct"/>
          </w:tcPr>
          <w:p w:rsidR="001C65AF" w:rsidRPr="00941AD3" w:rsidRDefault="001C65AF" w:rsidP="001C65AF">
            <w:pPr>
              <w:jc w:val="both"/>
              <w:rPr>
                <w:sz w:val="20"/>
                <w:lang w:val="fr-CA"/>
              </w:rPr>
            </w:pPr>
            <w:r w:rsidRPr="00941AD3">
              <w:rPr>
                <w:sz w:val="20"/>
                <w:lang w:val="fr-CA"/>
              </w:rPr>
              <w:t>La demande d’autorisation d’appel est déposée.</w:t>
            </w:r>
          </w:p>
          <w:p w:rsidR="001C65AF" w:rsidRPr="00941AD3" w:rsidRDefault="001C65AF" w:rsidP="001C65AF">
            <w:pPr>
              <w:jc w:val="both"/>
              <w:rPr>
                <w:sz w:val="20"/>
                <w:lang w:val="fr-CA"/>
              </w:rPr>
            </w:pPr>
          </w:p>
        </w:tc>
      </w:tr>
    </w:tbl>
    <w:p w:rsidR="001C65AF" w:rsidRPr="00941AD3" w:rsidRDefault="001C65AF" w:rsidP="001C65AF">
      <w:pPr>
        <w:jc w:val="both"/>
        <w:rPr>
          <w:sz w:val="20"/>
          <w:lang w:val="fr-CA"/>
        </w:rPr>
      </w:pPr>
    </w:p>
    <w:p w:rsidR="0068648F" w:rsidRPr="00941AD3" w:rsidRDefault="00326CE3" w:rsidP="001C65AF">
      <w:pPr>
        <w:widowControl w:val="0"/>
        <w:jc w:val="both"/>
        <w:rPr>
          <w:sz w:val="20"/>
          <w:lang w:val="fr-CA"/>
        </w:rPr>
      </w:pPr>
      <w:r>
        <w:rPr>
          <w:sz w:val="20"/>
        </w:rPr>
        <w:pict>
          <v:rect id="_x0000_i1032" style="width:2in;height:1pt" o:hrpct="0" o:hralign="center" o:hrstd="t" o:hrnoshade="t" o:hr="t" fillcolor="black [3213]" stroked="f"/>
        </w:pict>
      </w:r>
    </w:p>
    <w:p w:rsidR="00007A53" w:rsidRPr="00941AD3" w:rsidRDefault="00007A53" w:rsidP="001C65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5AF" w:rsidRPr="00941AD3" w:rsidTr="00E95A6A">
        <w:tc>
          <w:tcPr>
            <w:tcW w:w="543" w:type="pct"/>
          </w:tcPr>
          <w:p w:rsidR="001C65AF" w:rsidRPr="00941AD3" w:rsidRDefault="001C65AF" w:rsidP="001C65AF">
            <w:pPr>
              <w:jc w:val="both"/>
              <w:rPr>
                <w:sz w:val="20"/>
              </w:rPr>
            </w:pPr>
            <w:r w:rsidRPr="00941AD3">
              <w:rPr>
                <w:rStyle w:val="SCCFileNumberChar"/>
                <w:sz w:val="20"/>
                <w:szCs w:val="20"/>
              </w:rPr>
              <w:t>40321</w:t>
            </w:r>
          </w:p>
        </w:tc>
        <w:tc>
          <w:tcPr>
            <w:tcW w:w="4457" w:type="pct"/>
            <w:gridSpan w:val="3"/>
          </w:tcPr>
          <w:p w:rsidR="001C65AF" w:rsidRPr="00941AD3" w:rsidRDefault="001C65AF" w:rsidP="001C65AF">
            <w:pPr>
              <w:pStyle w:val="SCCLsocParty"/>
              <w:jc w:val="both"/>
              <w:rPr>
                <w:b/>
                <w:sz w:val="20"/>
                <w:szCs w:val="20"/>
                <w:lang w:val="en-US"/>
              </w:rPr>
            </w:pPr>
            <w:r w:rsidRPr="00941AD3">
              <w:rPr>
                <w:b/>
                <w:sz w:val="20"/>
                <w:szCs w:val="20"/>
                <w:lang w:val="en-US"/>
              </w:rPr>
              <w:t>J. F. v. K. F.</w:t>
            </w:r>
          </w:p>
          <w:p w:rsidR="001C65AF" w:rsidRPr="00941AD3" w:rsidRDefault="001C65AF" w:rsidP="001C65AF">
            <w:pPr>
              <w:jc w:val="both"/>
              <w:rPr>
                <w:sz w:val="20"/>
              </w:rPr>
            </w:pPr>
            <w:r w:rsidRPr="00941AD3">
              <w:rPr>
                <w:sz w:val="20"/>
              </w:rPr>
              <w:t>(N.L.) (Civil) (By Leave)</w:t>
            </w:r>
          </w:p>
        </w:tc>
      </w:tr>
      <w:tr w:rsidR="001C65AF" w:rsidRPr="00941AD3" w:rsidTr="00E95A6A">
        <w:tc>
          <w:tcPr>
            <w:tcW w:w="5000" w:type="pct"/>
            <w:gridSpan w:val="4"/>
          </w:tcPr>
          <w:p w:rsidR="001C65AF" w:rsidRPr="00941AD3" w:rsidRDefault="001C65AF" w:rsidP="001C65AF">
            <w:pPr>
              <w:jc w:val="both"/>
              <w:rPr>
                <w:sz w:val="20"/>
              </w:rPr>
            </w:pPr>
            <w:r w:rsidRPr="00941AD3">
              <w:rPr>
                <w:sz w:val="20"/>
              </w:rPr>
              <w:t xml:space="preserve">Family law — Custody — </w:t>
            </w:r>
            <w:r w:rsidRPr="00941AD3">
              <w:rPr>
                <w:i/>
                <w:sz w:val="20"/>
              </w:rPr>
              <w:t xml:space="preserve">Hague Convention </w:t>
            </w:r>
            <w:r w:rsidRPr="00941AD3">
              <w:rPr>
                <w:sz w:val="20"/>
              </w:rPr>
              <w:t xml:space="preserve">— Courts — Jurisdiction — Mother retaining child in Newfoundland without father’s consent following expiry of time-limited consensual stay — Did the majority decision err in its interpretation of the phrase “immediately before wrongful removal or retention”  in Article 3 of the </w:t>
            </w:r>
            <w:r w:rsidRPr="00941AD3">
              <w:rPr>
                <w:i/>
                <w:sz w:val="20"/>
              </w:rPr>
              <w:t>Convention</w:t>
            </w:r>
            <w:r w:rsidRPr="00941AD3">
              <w:rPr>
                <w:sz w:val="20"/>
              </w:rPr>
              <w:t xml:space="preserve">? – Did the majority decision err by incorporating the “best interests of the child” analysis in the determination of habitual residence, in violation of Article 1 and Article 16 of the </w:t>
            </w:r>
            <w:r w:rsidRPr="00941AD3">
              <w:rPr>
                <w:i/>
                <w:sz w:val="20"/>
              </w:rPr>
              <w:t>Convention</w:t>
            </w:r>
            <w:r w:rsidRPr="00941AD3">
              <w:rPr>
                <w:sz w:val="20"/>
              </w:rPr>
              <w:t>?</w:t>
            </w:r>
          </w:p>
        </w:tc>
      </w:tr>
      <w:tr w:rsidR="001C65AF" w:rsidRPr="00941AD3" w:rsidTr="00E95A6A">
        <w:tc>
          <w:tcPr>
            <w:tcW w:w="5000" w:type="pct"/>
            <w:gridSpan w:val="4"/>
          </w:tcPr>
          <w:p w:rsidR="001C65AF" w:rsidRPr="00941AD3" w:rsidRDefault="001C65AF" w:rsidP="001C65AF">
            <w:pPr>
              <w:jc w:val="both"/>
              <w:rPr>
                <w:sz w:val="20"/>
              </w:rPr>
            </w:pPr>
          </w:p>
        </w:tc>
      </w:tr>
      <w:tr w:rsidR="001C65AF" w:rsidRPr="00941AD3" w:rsidTr="00E95A6A">
        <w:tc>
          <w:tcPr>
            <w:tcW w:w="5000" w:type="pct"/>
            <w:gridSpan w:val="4"/>
          </w:tcPr>
          <w:p w:rsidR="001C65AF" w:rsidRPr="00941AD3" w:rsidRDefault="001C65AF" w:rsidP="001C65AF">
            <w:pPr>
              <w:jc w:val="both"/>
              <w:rPr>
                <w:sz w:val="20"/>
              </w:rPr>
            </w:pPr>
            <w:r w:rsidRPr="00941AD3">
              <w:rPr>
                <w:sz w:val="20"/>
              </w:rPr>
              <w:t>The mother, K.F., was born and raised in Newfoundland but moved to the Boston area where she became an occupational therapist, employed by the Boston school board. She met J.F., the father, in 2009 and they married in 2011. The father is self-employed as a sales agent. The parties have one child, a daughter, V, who was born in 2014 in Boston. The parties lived and worked in the Boston area throughout their marriage and V attended daycare, pre-school and kindergarten there. Each year, K.F. would travel back to St. John’s with V to visit with her parents and extended family there at Christmas time and again for a few weeks each summer.</w:t>
            </w:r>
          </w:p>
          <w:p w:rsidR="001C65AF" w:rsidRPr="00941AD3" w:rsidRDefault="001C65AF" w:rsidP="001C65AF">
            <w:pPr>
              <w:jc w:val="both"/>
              <w:rPr>
                <w:sz w:val="20"/>
              </w:rPr>
            </w:pPr>
          </w:p>
          <w:p w:rsidR="001C65AF" w:rsidRPr="00941AD3" w:rsidRDefault="001C65AF" w:rsidP="001C65AF">
            <w:pPr>
              <w:jc w:val="both"/>
              <w:rPr>
                <w:sz w:val="20"/>
              </w:rPr>
            </w:pPr>
            <w:r w:rsidRPr="00941AD3">
              <w:rPr>
                <w:sz w:val="20"/>
              </w:rPr>
              <w:t xml:space="preserve">In the spring of 2020, the parties were both working remotely from home and V was attending school remotely as well.  The mother obtained special permission for her and V to travel to Newfoundland and they arrived in St. John’s on July 25, 2020. As Boston schools were still closed in the fall of 2020, the parties agreed that K.F. and V should remain in St. John’s where V could attend Grade 1 in person. J.F. joined K.F. and V in St. John’s in November 2020 and stayed until March 2021in the home of the maternal grandparents. In April 2021, the Boston schools returned to in-person learning but the parties mutually decided that V should complete her school year in St. John’s. When the school year finished, the mother and V stayed in St. John’s for their usual summer visit. The father understood that they would return to Boston in mid-August. On July 30, 2021, the mother advised the father by telephone, that she would not be returning to Boston to live and that she had initiated divorce proceedings in Newfoundland. She was seeking joint parenting of V with V’s primary residence to be in St. John’s with the mother. The father brought a </w:t>
            </w:r>
            <w:r w:rsidRPr="00941AD3">
              <w:rPr>
                <w:i/>
                <w:sz w:val="20"/>
              </w:rPr>
              <w:t>Hague Convention</w:t>
            </w:r>
            <w:r w:rsidRPr="00941AD3">
              <w:rPr>
                <w:sz w:val="20"/>
              </w:rPr>
              <w:t xml:space="preserve"> application, alleging that V had been wrongfully retained in St. John’s. The mother’s position was that V’s habitual residence had changed from Boston to St. John’s. The applications judge concluded that Boston was the child’s habitual residence and ordered that V be returned to Boston.  This decision was overturned on appeal.</w:t>
            </w:r>
          </w:p>
          <w:p w:rsidR="001C65AF" w:rsidRPr="00941AD3" w:rsidRDefault="001C65AF" w:rsidP="001C65AF">
            <w:pPr>
              <w:jc w:val="both"/>
              <w:rPr>
                <w:sz w:val="20"/>
              </w:rPr>
            </w:pPr>
          </w:p>
        </w:tc>
      </w:tr>
      <w:tr w:rsidR="001C65AF" w:rsidRPr="00941AD3" w:rsidTr="00CF18FB">
        <w:tc>
          <w:tcPr>
            <w:tcW w:w="2427" w:type="pct"/>
            <w:gridSpan w:val="2"/>
          </w:tcPr>
          <w:p w:rsidR="001C65AF" w:rsidRPr="00941AD3" w:rsidRDefault="001C65AF" w:rsidP="001C65AF">
            <w:pPr>
              <w:jc w:val="both"/>
              <w:rPr>
                <w:sz w:val="20"/>
              </w:rPr>
            </w:pPr>
            <w:r w:rsidRPr="00941AD3">
              <w:rPr>
                <w:sz w:val="20"/>
              </w:rPr>
              <w:t>November 8, 2021</w:t>
            </w:r>
          </w:p>
          <w:p w:rsidR="001C65AF" w:rsidRPr="00941AD3" w:rsidRDefault="001C65AF" w:rsidP="001C65AF">
            <w:pPr>
              <w:jc w:val="both"/>
              <w:rPr>
                <w:sz w:val="20"/>
              </w:rPr>
            </w:pPr>
            <w:r w:rsidRPr="00941AD3">
              <w:rPr>
                <w:sz w:val="20"/>
              </w:rPr>
              <w:t xml:space="preserve">Supreme Court of Newfoundland and </w:t>
            </w:r>
          </w:p>
          <w:p w:rsidR="001C65AF" w:rsidRPr="00941AD3" w:rsidRDefault="001C65AF" w:rsidP="001C65AF">
            <w:pPr>
              <w:jc w:val="both"/>
              <w:rPr>
                <w:sz w:val="20"/>
              </w:rPr>
            </w:pPr>
            <w:r w:rsidRPr="00941AD3">
              <w:rPr>
                <w:sz w:val="20"/>
              </w:rPr>
              <w:t>Labrador, Family Division</w:t>
            </w:r>
          </w:p>
          <w:p w:rsidR="001C65AF" w:rsidRPr="00941AD3" w:rsidRDefault="001C65AF" w:rsidP="001C65AF">
            <w:pPr>
              <w:jc w:val="both"/>
              <w:rPr>
                <w:sz w:val="20"/>
              </w:rPr>
            </w:pPr>
            <w:r w:rsidRPr="00941AD3">
              <w:rPr>
                <w:sz w:val="20"/>
              </w:rPr>
              <w:t>(Muzychka J.)</w:t>
            </w:r>
          </w:p>
          <w:p w:rsidR="001C65AF" w:rsidRPr="00941AD3" w:rsidRDefault="00326CE3" w:rsidP="001C65AF">
            <w:pPr>
              <w:jc w:val="both"/>
              <w:rPr>
                <w:sz w:val="20"/>
              </w:rPr>
            </w:pPr>
            <w:hyperlink r:id="rId23" w:history="1">
              <w:r w:rsidR="001C65AF" w:rsidRPr="00941AD3">
                <w:rPr>
                  <w:rStyle w:val="Hyperlink"/>
                  <w:sz w:val="20"/>
                </w:rPr>
                <w:t>2021 NLSC 148</w:t>
              </w:r>
            </w:hyperlink>
          </w:p>
          <w:p w:rsidR="001C65AF" w:rsidRPr="00941AD3" w:rsidRDefault="001C65AF" w:rsidP="001C65AF">
            <w:pPr>
              <w:jc w:val="both"/>
              <w:rPr>
                <w:sz w:val="20"/>
              </w:rPr>
            </w:pPr>
          </w:p>
        </w:tc>
        <w:tc>
          <w:tcPr>
            <w:tcW w:w="243" w:type="pct"/>
          </w:tcPr>
          <w:p w:rsidR="001C65AF" w:rsidRPr="00941AD3" w:rsidRDefault="001C65AF" w:rsidP="001C65AF">
            <w:pPr>
              <w:jc w:val="both"/>
              <w:rPr>
                <w:sz w:val="20"/>
              </w:rPr>
            </w:pPr>
          </w:p>
        </w:tc>
        <w:tc>
          <w:tcPr>
            <w:tcW w:w="2330" w:type="pct"/>
          </w:tcPr>
          <w:p w:rsidR="001C65AF" w:rsidRPr="00941AD3" w:rsidRDefault="001C65AF" w:rsidP="001C65AF">
            <w:pPr>
              <w:jc w:val="both"/>
              <w:rPr>
                <w:sz w:val="20"/>
              </w:rPr>
            </w:pPr>
            <w:r w:rsidRPr="00941AD3">
              <w:rPr>
                <w:sz w:val="20"/>
              </w:rPr>
              <w:t xml:space="preserve">Father’s </w:t>
            </w:r>
            <w:r w:rsidRPr="00941AD3">
              <w:rPr>
                <w:i/>
                <w:sz w:val="20"/>
              </w:rPr>
              <w:t>Hague Convention</w:t>
            </w:r>
            <w:r w:rsidRPr="00941AD3">
              <w:rPr>
                <w:sz w:val="20"/>
              </w:rPr>
              <w:t xml:space="preserve"> application granted; Mother ordered to return child to Boston for determination of parenting issues.</w:t>
            </w:r>
          </w:p>
          <w:p w:rsidR="001C65AF" w:rsidRPr="00941AD3" w:rsidRDefault="001C65AF" w:rsidP="001C65AF">
            <w:pPr>
              <w:jc w:val="both"/>
              <w:rPr>
                <w:sz w:val="20"/>
              </w:rPr>
            </w:pPr>
          </w:p>
          <w:p w:rsidR="001C65AF" w:rsidRPr="00941AD3" w:rsidRDefault="001C65AF" w:rsidP="001C65AF">
            <w:pPr>
              <w:jc w:val="both"/>
              <w:rPr>
                <w:sz w:val="20"/>
              </w:rPr>
            </w:pPr>
          </w:p>
        </w:tc>
      </w:tr>
      <w:tr w:rsidR="001C65AF" w:rsidRPr="00941AD3" w:rsidTr="00CF18FB">
        <w:tc>
          <w:tcPr>
            <w:tcW w:w="2427" w:type="pct"/>
            <w:gridSpan w:val="2"/>
          </w:tcPr>
          <w:p w:rsidR="001C65AF" w:rsidRPr="00941AD3" w:rsidRDefault="001C65AF" w:rsidP="001C65AF">
            <w:pPr>
              <w:jc w:val="both"/>
              <w:rPr>
                <w:sz w:val="20"/>
              </w:rPr>
            </w:pPr>
            <w:r w:rsidRPr="00941AD3">
              <w:rPr>
                <w:sz w:val="20"/>
              </w:rPr>
              <w:t>May 26, 2022</w:t>
            </w:r>
          </w:p>
          <w:p w:rsidR="001C65AF" w:rsidRPr="00941AD3" w:rsidRDefault="001C65AF" w:rsidP="001C65AF">
            <w:pPr>
              <w:jc w:val="both"/>
              <w:rPr>
                <w:sz w:val="20"/>
              </w:rPr>
            </w:pPr>
            <w:r w:rsidRPr="00941AD3">
              <w:rPr>
                <w:sz w:val="20"/>
              </w:rPr>
              <w:t xml:space="preserve">Court of Appeal of Newfoundland and </w:t>
            </w:r>
          </w:p>
          <w:p w:rsidR="001C65AF" w:rsidRPr="00941AD3" w:rsidRDefault="001C65AF" w:rsidP="001C65AF">
            <w:pPr>
              <w:jc w:val="both"/>
              <w:rPr>
                <w:sz w:val="20"/>
              </w:rPr>
            </w:pPr>
            <w:r w:rsidRPr="00941AD3">
              <w:rPr>
                <w:sz w:val="20"/>
              </w:rPr>
              <w:t>Labrador</w:t>
            </w:r>
          </w:p>
          <w:p w:rsidR="001C65AF" w:rsidRPr="00941AD3" w:rsidRDefault="001C65AF" w:rsidP="001C65AF">
            <w:pPr>
              <w:jc w:val="both"/>
              <w:rPr>
                <w:sz w:val="20"/>
              </w:rPr>
            </w:pPr>
            <w:r w:rsidRPr="00941AD3">
              <w:rPr>
                <w:sz w:val="20"/>
              </w:rPr>
              <w:t>(Hoegg, Goodridge [dissenting] and Knickle JJ.A.)</w:t>
            </w:r>
          </w:p>
          <w:p w:rsidR="001C65AF" w:rsidRPr="00941AD3" w:rsidRDefault="00326CE3" w:rsidP="001C65AF">
            <w:pPr>
              <w:jc w:val="both"/>
              <w:rPr>
                <w:rStyle w:val="Hyperlink"/>
                <w:color w:val="auto"/>
                <w:sz w:val="20"/>
                <w:u w:val="none"/>
              </w:rPr>
            </w:pPr>
            <w:hyperlink r:id="rId24" w:history="1">
              <w:r w:rsidR="001C65AF" w:rsidRPr="00941AD3">
                <w:rPr>
                  <w:rStyle w:val="Hyperlink"/>
                  <w:sz w:val="20"/>
                </w:rPr>
                <w:t>2022 NLCA 33</w:t>
              </w:r>
            </w:hyperlink>
          </w:p>
          <w:p w:rsidR="001C65AF" w:rsidRPr="00941AD3" w:rsidRDefault="001C65AF" w:rsidP="001C65AF">
            <w:pPr>
              <w:jc w:val="both"/>
              <w:rPr>
                <w:sz w:val="20"/>
              </w:rPr>
            </w:pPr>
          </w:p>
        </w:tc>
        <w:tc>
          <w:tcPr>
            <w:tcW w:w="243" w:type="pct"/>
          </w:tcPr>
          <w:p w:rsidR="001C65AF" w:rsidRPr="00941AD3" w:rsidRDefault="001C65AF" w:rsidP="001C65AF">
            <w:pPr>
              <w:jc w:val="both"/>
              <w:rPr>
                <w:sz w:val="20"/>
              </w:rPr>
            </w:pPr>
          </w:p>
        </w:tc>
        <w:tc>
          <w:tcPr>
            <w:tcW w:w="2330" w:type="pct"/>
          </w:tcPr>
          <w:p w:rsidR="001C65AF" w:rsidRPr="00941AD3" w:rsidRDefault="001C65AF" w:rsidP="001C65AF">
            <w:pPr>
              <w:jc w:val="both"/>
              <w:rPr>
                <w:sz w:val="20"/>
              </w:rPr>
            </w:pPr>
            <w:r w:rsidRPr="00941AD3">
              <w:rPr>
                <w:sz w:val="20"/>
              </w:rPr>
              <w:t>Mother’s appeal allowed; Child’s habitual residence determined to be St. John’s</w:t>
            </w:r>
          </w:p>
          <w:p w:rsidR="001C65AF" w:rsidRPr="00941AD3" w:rsidRDefault="001C65AF" w:rsidP="001C65AF">
            <w:pPr>
              <w:jc w:val="both"/>
              <w:rPr>
                <w:sz w:val="20"/>
              </w:rPr>
            </w:pPr>
          </w:p>
          <w:p w:rsidR="001C65AF" w:rsidRPr="00941AD3" w:rsidRDefault="001C65AF" w:rsidP="001C65AF">
            <w:pPr>
              <w:jc w:val="both"/>
              <w:rPr>
                <w:sz w:val="20"/>
              </w:rPr>
            </w:pPr>
          </w:p>
        </w:tc>
      </w:tr>
      <w:tr w:rsidR="001C65AF" w:rsidRPr="00941AD3" w:rsidTr="00CF18FB">
        <w:tc>
          <w:tcPr>
            <w:tcW w:w="2427" w:type="pct"/>
            <w:gridSpan w:val="2"/>
          </w:tcPr>
          <w:p w:rsidR="001C65AF" w:rsidRPr="00941AD3" w:rsidRDefault="001C65AF" w:rsidP="001C65AF">
            <w:pPr>
              <w:jc w:val="both"/>
              <w:rPr>
                <w:sz w:val="20"/>
              </w:rPr>
            </w:pPr>
            <w:r w:rsidRPr="00941AD3">
              <w:rPr>
                <w:sz w:val="20"/>
              </w:rPr>
              <w:t>August 15, 2022</w:t>
            </w:r>
          </w:p>
          <w:p w:rsidR="001C65AF" w:rsidRPr="00941AD3" w:rsidRDefault="001C65AF" w:rsidP="001C65AF">
            <w:pPr>
              <w:jc w:val="both"/>
              <w:rPr>
                <w:sz w:val="20"/>
              </w:rPr>
            </w:pPr>
            <w:r w:rsidRPr="00941AD3">
              <w:rPr>
                <w:sz w:val="20"/>
              </w:rPr>
              <w:t>Supreme Court of Canada</w:t>
            </w:r>
          </w:p>
        </w:tc>
        <w:tc>
          <w:tcPr>
            <w:tcW w:w="243" w:type="pct"/>
          </w:tcPr>
          <w:p w:rsidR="001C65AF" w:rsidRPr="00941AD3" w:rsidRDefault="001C65AF" w:rsidP="001C65AF">
            <w:pPr>
              <w:jc w:val="both"/>
              <w:rPr>
                <w:sz w:val="20"/>
              </w:rPr>
            </w:pPr>
          </w:p>
        </w:tc>
        <w:tc>
          <w:tcPr>
            <w:tcW w:w="2330" w:type="pct"/>
          </w:tcPr>
          <w:p w:rsidR="001C65AF" w:rsidRPr="00941AD3" w:rsidRDefault="001C65AF" w:rsidP="001C65AF">
            <w:pPr>
              <w:jc w:val="both"/>
              <w:rPr>
                <w:sz w:val="20"/>
              </w:rPr>
            </w:pPr>
            <w:r w:rsidRPr="00941AD3">
              <w:rPr>
                <w:sz w:val="20"/>
              </w:rPr>
              <w:t>Application for leave to appeal filed</w:t>
            </w:r>
          </w:p>
          <w:p w:rsidR="001C65AF" w:rsidRPr="00941AD3" w:rsidRDefault="001C65AF" w:rsidP="001C65AF">
            <w:pPr>
              <w:jc w:val="both"/>
              <w:rPr>
                <w:sz w:val="20"/>
              </w:rPr>
            </w:pPr>
          </w:p>
        </w:tc>
      </w:tr>
    </w:tbl>
    <w:p w:rsidR="001C65AF" w:rsidRPr="00941AD3" w:rsidRDefault="001C65AF" w:rsidP="001C65AF">
      <w:pPr>
        <w:jc w:val="both"/>
        <w:rPr>
          <w:sz w:val="20"/>
        </w:rPr>
      </w:pPr>
    </w:p>
    <w:p w:rsidR="00007A53" w:rsidRPr="00941AD3" w:rsidRDefault="00326CE3" w:rsidP="001C65AF">
      <w:pPr>
        <w:jc w:val="both"/>
        <w:rPr>
          <w:sz w:val="20"/>
        </w:rPr>
      </w:pPr>
      <w:r>
        <w:rPr>
          <w:sz w:val="20"/>
        </w:rPr>
        <w:pict>
          <v:rect id="_x0000_i1033" style="width:2in;height:1pt" o:hrpct="0" o:hralign="center" o:hrstd="t" o:hrnoshade="t" o:hr="t" fillcolor="black [3213]" stroked="f"/>
        </w:pict>
      </w:r>
    </w:p>
    <w:p w:rsidR="00007A53" w:rsidRPr="00941AD3" w:rsidRDefault="00007A53" w:rsidP="001C65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5AF" w:rsidRPr="00326CE3" w:rsidTr="00E95A6A">
        <w:tc>
          <w:tcPr>
            <w:tcW w:w="543" w:type="pct"/>
          </w:tcPr>
          <w:p w:rsidR="001C65AF" w:rsidRPr="00941AD3" w:rsidRDefault="001C65AF" w:rsidP="001C65AF">
            <w:pPr>
              <w:jc w:val="both"/>
              <w:rPr>
                <w:sz w:val="20"/>
                <w:lang w:val="fr-CA"/>
              </w:rPr>
            </w:pPr>
            <w:r w:rsidRPr="00941AD3">
              <w:rPr>
                <w:rStyle w:val="SCCFileNumberChar"/>
                <w:sz w:val="20"/>
                <w:szCs w:val="20"/>
                <w:lang w:val="fr-CA"/>
              </w:rPr>
              <w:t>40321</w:t>
            </w:r>
          </w:p>
        </w:tc>
        <w:tc>
          <w:tcPr>
            <w:tcW w:w="4457" w:type="pct"/>
            <w:gridSpan w:val="3"/>
          </w:tcPr>
          <w:p w:rsidR="001C65AF" w:rsidRPr="00941AD3" w:rsidRDefault="001C65AF" w:rsidP="001C65AF">
            <w:pPr>
              <w:pStyle w:val="SCCLsocParty"/>
              <w:jc w:val="both"/>
              <w:rPr>
                <w:b/>
                <w:sz w:val="20"/>
                <w:szCs w:val="20"/>
              </w:rPr>
            </w:pPr>
            <w:r w:rsidRPr="00941AD3">
              <w:rPr>
                <w:b/>
                <w:sz w:val="20"/>
                <w:szCs w:val="20"/>
              </w:rPr>
              <w:t>J. F. c. K. F.</w:t>
            </w:r>
          </w:p>
          <w:p w:rsidR="001C65AF" w:rsidRPr="00941AD3" w:rsidRDefault="001C65AF" w:rsidP="00007A53">
            <w:pPr>
              <w:jc w:val="both"/>
              <w:rPr>
                <w:sz w:val="20"/>
                <w:lang w:val="fr-CA"/>
              </w:rPr>
            </w:pPr>
            <w:r w:rsidRPr="00941AD3">
              <w:rPr>
                <w:sz w:val="20"/>
                <w:lang w:val="fr-CA"/>
              </w:rPr>
              <w:t>(T.-N.</w:t>
            </w:r>
            <w:r w:rsidR="00007A53" w:rsidRPr="00941AD3">
              <w:rPr>
                <w:sz w:val="20"/>
                <w:lang w:val="fr-CA"/>
              </w:rPr>
              <w:t>-L.</w:t>
            </w:r>
            <w:r w:rsidRPr="00941AD3">
              <w:rPr>
                <w:sz w:val="20"/>
                <w:lang w:val="fr-CA"/>
              </w:rPr>
              <w:t>) (</w:t>
            </w:r>
            <w:r w:rsidR="00007A53" w:rsidRPr="00941AD3">
              <w:rPr>
                <w:sz w:val="20"/>
                <w:lang w:val="fr-CA"/>
              </w:rPr>
              <w:t>C</w:t>
            </w:r>
            <w:r w:rsidRPr="00941AD3">
              <w:rPr>
                <w:sz w:val="20"/>
                <w:lang w:val="fr-CA"/>
              </w:rPr>
              <w:t>ivile) (</w:t>
            </w:r>
            <w:r w:rsidR="00007A53" w:rsidRPr="00941AD3">
              <w:rPr>
                <w:sz w:val="20"/>
                <w:lang w:val="fr-CA"/>
              </w:rPr>
              <w:t>S</w:t>
            </w:r>
            <w:r w:rsidRPr="00941AD3">
              <w:rPr>
                <w:sz w:val="20"/>
                <w:lang w:val="fr-CA"/>
              </w:rPr>
              <w:t>ur autorisation)</w:t>
            </w:r>
          </w:p>
        </w:tc>
      </w:tr>
      <w:tr w:rsidR="001C65AF" w:rsidRPr="00326CE3" w:rsidTr="00E95A6A">
        <w:tc>
          <w:tcPr>
            <w:tcW w:w="5000" w:type="pct"/>
            <w:gridSpan w:val="4"/>
          </w:tcPr>
          <w:p w:rsidR="001C65AF" w:rsidRPr="00941AD3" w:rsidRDefault="001C65AF" w:rsidP="001C65AF">
            <w:pPr>
              <w:jc w:val="both"/>
              <w:rPr>
                <w:sz w:val="20"/>
                <w:lang w:val="fr-CA"/>
              </w:rPr>
            </w:pPr>
            <w:r w:rsidRPr="00941AD3">
              <w:rPr>
                <w:sz w:val="20"/>
                <w:lang w:val="fr-CA"/>
              </w:rPr>
              <w:t xml:space="preserve">Droit de la famille — Garde — </w:t>
            </w:r>
            <w:r w:rsidRPr="00941AD3">
              <w:rPr>
                <w:i/>
                <w:sz w:val="20"/>
                <w:lang w:val="fr-CA"/>
              </w:rPr>
              <w:t xml:space="preserve">Convention de La Haye </w:t>
            </w:r>
            <w:r w:rsidRPr="00941AD3">
              <w:rPr>
                <w:sz w:val="20"/>
                <w:lang w:val="fr-CA"/>
              </w:rPr>
              <w:t xml:space="preserve">— Tribunaux — Compétence — La mère garde l’enfant à Terre-Neuve sans le consentement du père au terme d’un séjour d’une durée limitée auquel il avait consenti — Dans leur décision, les juges majoritaires ont-ils fait erreur quant à leur interprétation de la phrase « immédiatement avant son déplacement ou son non-retour illicite » à l’article 3 de la </w:t>
            </w:r>
            <w:r w:rsidRPr="00941AD3">
              <w:rPr>
                <w:i/>
                <w:sz w:val="20"/>
                <w:lang w:val="fr-CA"/>
              </w:rPr>
              <w:t>Convention</w:t>
            </w:r>
            <w:r w:rsidRPr="00941AD3">
              <w:rPr>
                <w:sz w:val="20"/>
                <w:lang w:val="fr-CA"/>
              </w:rPr>
              <w:t xml:space="preserve">? — La décision des juges majoritaires était-elle erronée du fait qu’elle incorporait l’analyse de « l’intérêt supérieur de l’enfant » dans la détermination de la résidence habituelle, en violation de l’article premier et de l’article 16 de la </w:t>
            </w:r>
            <w:r w:rsidRPr="00941AD3">
              <w:rPr>
                <w:i/>
                <w:sz w:val="20"/>
                <w:lang w:val="fr-CA"/>
              </w:rPr>
              <w:t>Convention</w:t>
            </w:r>
            <w:r w:rsidRPr="00941AD3">
              <w:rPr>
                <w:sz w:val="20"/>
                <w:lang w:val="fr-CA"/>
              </w:rPr>
              <w:t>?</w:t>
            </w:r>
          </w:p>
        </w:tc>
      </w:tr>
      <w:tr w:rsidR="001C65AF" w:rsidRPr="00326CE3" w:rsidTr="00E95A6A">
        <w:tc>
          <w:tcPr>
            <w:tcW w:w="5000" w:type="pct"/>
            <w:gridSpan w:val="4"/>
          </w:tcPr>
          <w:p w:rsidR="001C65AF" w:rsidRPr="00941AD3" w:rsidRDefault="001C65AF" w:rsidP="001C65AF">
            <w:pPr>
              <w:jc w:val="both"/>
              <w:rPr>
                <w:sz w:val="20"/>
                <w:lang w:val="fr-CA"/>
              </w:rPr>
            </w:pPr>
          </w:p>
        </w:tc>
      </w:tr>
      <w:tr w:rsidR="001C65AF" w:rsidRPr="00941AD3" w:rsidTr="00E95A6A">
        <w:tc>
          <w:tcPr>
            <w:tcW w:w="5000" w:type="pct"/>
            <w:gridSpan w:val="4"/>
          </w:tcPr>
          <w:p w:rsidR="001C65AF" w:rsidRPr="00941AD3" w:rsidRDefault="001C65AF" w:rsidP="001C65AF">
            <w:pPr>
              <w:jc w:val="both"/>
              <w:rPr>
                <w:sz w:val="20"/>
                <w:lang w:val="fr-CA"/>
              </w:rPr>
            </w:pPr>
            <w:r w:rsidRPr="00941AD3">
              <w:rPr>
                <w:sz w:val="20"/>
                <w:lang w:val="fr-CA"/>
              </w:rPr>
              <w:t>La mère, K.F., est née à Terre-Neuve et y a été élevée, mais a déménagé dans la région de Boston, où elle est devenue ergothérapeute pour le compte du conseil scolaire de Boston. Elle a rencontré J.F., le père, en 2009 et ils se sont mariés en 2011. Le père travaille à son propre compte comme agent de vente. Les parties ont un enfant ensemble, soit une fille, V, née en 2014 à Boston. Les parties ont vécu et travaillé dans la région de Boston pendant toute la durée de leur mariage et V a fréquenté la garderie, ainsi que l’école prématernelle et maternelle à cet endroit. Tous les ans, K.F. faisait un voyage à St. John’s avec V pour rendre visite à ses parents et sa famille élargie dans le temps de Noël et y retournait aussi pendant quelques semaines tous les étés.</w:t>
            </w:r>
          </w:p>
          <w:p w:rsidR="001C65AF" w:rsidRPr="00941AD3" w:rsidRDefault="001C65AF" w:rsidP="001C65AF">
            <w:pPr>
              <w:jc w:val="both"/>
              <w:rPr>
                <w:sz w:val="20"/>
                <w:lang w:val="fr-CA"/>
              </w:rPr>
            </w:pPr>
          </w:p>
          <w:p w:rsidR="001C65AF" w:rsidRPr="00941AD3" w:rsidRDefault="001C65AF" w:rsidP="001C65AF">
            <w:pPr>
              <w:jc w:val="both"/>
              <w:rPr>
                <w:sz w:val="20"/>
                <w:lang w:val="fr-CA"/>
              </w:rPr>
            </w:pPr>
            <w:r w:rsidRPr="00941AD3">
              <w:rPr>
                <w:sz w:val="20"/>
                <w:lang w:val="fr-CA"/>
              </w:rPr>
              <w:t xml:space="preserve">Au printemps de 2020, les deux parties travaillaient à distance à partir de leur domicile et V faisait également l’école à distance. La mère a obtenu une permission spéciale pour qu’elle puisse se rendre avec V à Terre-Neuve; elles sont arrivées à St. John’s le 25 juillet 2020. Les écoles de Boston étant toujours fermées à l’automne de 2020, les parties ont convenu que K.F. et V resteraient à St. John’s où V pourrait faire sa première année à l’école en présentiel. J.F. a rejoint K.F. et V à St. John’s en novembre 2020 et y est resté jusqu’en mars 2021dans la maison des grands-parents maternels. En avril 2021, les écoles de Boston ont repris l’apprentissage en présentiel, mais les parties ont mutuellement décidé que V devrait finir son année scolaire à St. John’s. L’année scolaire terminée, la mère et V sont restées à St. John’s pour faire leur visite estivale habituelle. Le père avait compris qu’elles reviendraient à Boston à la mi-août. Le 30 juillet 2021, la mère a avisé le père par téléphone qu’elle ne retournerait pas habiter à Boston et qu’elle avait intenté une action en divorce à Terre-Neuve. Elle demandait une entente de garde partagée à l’égard de V, selon laquelle la résidence principale de cette dernière serait à St. John’s avec la mère. Le père a présenté une demande fondée sur la </w:t>
            </w:r>
            <w:r w:rsidRPr="00941AD3">
              <w:rPr>
                <w:i/>
                <w:sz w:val="20"/>
                <w:lang w:val="fr-CA"/>
              </w:rPr>
              <w:t>Convention de La Haye</w:t>
            </w:r>
            <w:r w:rsidRPr="00941AD3">
              <w:rPr>
                <w:sz w:val="20"/>
                <w:lang w:val="fr-CA"/>
              </w:rPr>
              <w:t>, alléguant que V avait illicitement été gardée à St. John’s. Selon la mère, la résidence habituelle de V avait changé de Boston à St. John’s. La juge saisie de la demande a conclu que la résidence habituelle de V était à Boston et a ordonné le retour de l’enfant dans cette ville. Cette décision a été infirmée en appel.</w:t>
            </w:r>
          </w:p>
          <w:p w:rsidR="001C65AF" w:rsidRPr="00941AD3" w:rsidRDefault="001C65AF" w:rsidP="001C65AF">
            <w:pPr>
              <w:jc w:val="both"/>
              <w:rPr>
                <w:sz w:val="20"/>
                <w:lang w:val="fr-CA"/>
              </w:rPr>
            </w:pPr>
          </w:p>
        </w:tc>
      </w:tr>
      <w:tr w:rsidR="001C65AF" w:rsidRPr="00326CE3" w:rsidTr="00CF18FB">
        <w:tc>
          <w:tcPr>
            <w:tcW w:w="2427" w:type="pct"/>
            <w:gridSpan w:val="2"/>
          </w:tcPr>
          <w:p w:rsidR="001C65AF" w:rsidRPr="00941AD3" w:rsidRDefault="001C65AF" w:rsidP="001C65AF">
            <w:pPr>
              <w:jc w:val="both"/>
              <w:rPr>
                <w:sz w:val="20"/>
                <w:lang w:val="fr-CA"/>
              </w:rPr>
            </w:pPr>
            <w:r w:rsidRPr="00941AD3">
              <w:rPr>
                <w:sz w:val="20"/>
                <w:lang w:val="fr-CA"/>
              </w:rPr>
              <w:t>8 novembre 2021</w:t>
            </w:r>
          </w:p>
          <w:p w:rsidR="001C65AF" w:rsidRPr="00941AD3" w:rsidRDefault="001C65AF" w:rsidP="001C65AF">
            <w:pPr>
              <w:jc w:val="both"/>
              <w:rPr>
                <w:sz w:val="20"/>
                <w:lang w:val="fr-CA"/>
              </w:rPr>
            </w:pPr>
            <w:r w:rsidRPr="00941AD3">
              <w:rPr>
                <w:sz w:val="20"/>
                <w:lang w:val="fr-CA"/>
              </w:rPr>
              <w:t>Cour suprême de Terre-Neuve-et-Labrador, Division de la famille</w:t>
            </w:r>
          </w:p>
          <w:p w:rsidR="001C65AF" w:rsidRPr="00941AD3" w:rsidRDefault="001C65AF" w:rsidP="001C65AF">
            <w:pPr>
              <w:jc w:val="both"/>
              <w:rPr>
                <w:sz w:val="20"/>
                <w:lang w:val="fr-CA"/>
              </w:rPr>
            </w:pPr>
            <w:r w:rsidRPr="00941AD3">
              <w:rPr>
                <w:sz w:val="20"/>
                <w:lang w:val="fr-CA"/>
              </w:rPr>
              <w:t>(juge Muzychka)</w:t>
            </w:r>
          </w:p>
          <w:p w:rsidR="001C65AF" w:rsidRPr="00941AD3" w:rsidRDefault="001C65AF" w:rsidP="001C65AF">
            <w:pPr>
              <w:jc w:val="both"/>
              <w:rPr>
                <w:rStyle w:val="Hyperlink"/>
                <w:color w:val="auto"/>
                <w:sz w:val="20"/>
                <w:u w:val="none"/>
                <w:lang w:val="fr-CA"/>
              </w:rPr>
            </w:pPr>
            <w:r w:rsidRPr="00941AD3">
              <w:rPr>
                <w:rStyle w:val="Hyperlink"/>
                <w:sz w:val="20"/>
                <w:lang w:val="fr-CA"/>
              </w:rPr>
              <w:fldChar w:fldCharType="begin"/>
            </w:r>
            <w:r w:rsidRPr="00941AD3">
              <w:rPr>
                <w:rStyle w:val="Hyperlink"/>
                <w:sz w:val="20"/>
                <w:lang w:val="fr-CA"/>
              </w:rPr>
              <w:instrText>HYPERLINK "https://www.canlii.org/en/nl/nlsc/doc/2021/2021nlsc148/2021nlsc148.html?resultIndex=1"</w:instrText>
            </w:r>
            <w:r w:rsidRPr="00941AD3">
              <w:rPr>
                <w:rStyle w:val="Hyperlink"/>
                <w:sz w:val="20"/>
                <w:lang w:val="fr-CA"/>
              </w:rPr>
              <w:fldChar w:fldCharType="separate"/>
            </w:r>
            <w:r w:rsidRPr="00941AD3">
              <w:rPr>
                <w:rStyle w:val="Hyperlink"/>
                <w:sz w:val="20"/>
                <w:lang w:val="fr-CA"/>
              </w:rPr>
              <w:t>2021 NLSC 148</w:t>
            </w:r>
          </w:p>
          <w:p w:rsidR="001C65AF" w:rsidRPr="00941AD3" w:rsidRDefault="001C65AF" w:rsidP="001C65AF">
            <w:pPr>
              <w:jc w:val="both"/>
              <w:rPr>
                <w:sz w:val="20"/>
                <w:lang w:val="fr-CA"/>
              </w:rPr>
            </w:pPr>
            <w:r w:rsidRPr="00941AD3">
              <w:rPr>
                <w:rStyle w:val="Hyperlink"/>
                <w:sz w:val="20"/>
                <w:lang w:val="fr-CA"/>
              </w:rPr>
              <w:fldChar w:fldCharType="end"/>
            </w:r>
          </w:p>
        </w:tc>
        <w:tc>
          <w:tcPr>
            <w:tcW w:w="243" w:type="pct"/>
          </w:tcPr>
          <w:p w:rsidR="001C65AF" w:rsidRPr="00941AD3" w:rsidRDefault="001C65AF" w:rsidP="001C65AF">
            <w:pPr>
              <w:jc w:val="both"/>
              <w:rPr>
                <w:sz w:val="20"/>
                <w:lang w:val="fr-CA"/>
              </w:rPr>
            </w:pPr>
          </w:p>
        </w:tc>
        <w:tc>
          <w:tcPr>
            <w:tcW w:w="2330" w:type="pct"/>
          </w:tcPr>
          <w:p w:rsidR="001C65AF" w:rsidRPr="00941AD3" w:rsidRDefault="001C65AF" w:rsidP="001C65AF">
            <w:pPr>
              <w:jc w:val="both"/>
              <w:rPr>
                <w:sz w:val="20"/>
                <w:lang w:val="fr-CA"/>
              </w:rPr>
            </w:pPr>
            <w:r w:rsidRPr="00941AD3">
              <w:rPr>
                <w:sz w:val="20"/>
                <w:lang w:val="fr-CA"/>
              </w:rPr>
              <w:t xml:space="preserve">La demande fondée sur la </w:t>
            </w:r>
            <w:r w:rsidRPr="00941AD3">
              <w:rPr>
                <w:i/>
                <w:sz w:val="20"/>
                <w:lang w:val="fr-CA"/>
              </w:rPr>
              <w:t xml:space="preserve">Convention de La Haye </w:t>
            </w:r>
            <w:r w:rsidRPr="00941AD3">
              <w:rPr>
                <w:sz w:val="20"/>
                <w:lang w:val="fr-CA"/>
              </w:rPr>
              <w:t xml:space="preserve">présentée par le père est accueillie; il est ordonné à la mère de retourner l’enfant à Boston pour que les questions relatives à la garde soient tranchées. </w:t>
            </w:r>
          </w:p>
          <w:p w:rsidR="001C65AF" w:rsidRPr="00941AD3" w:rsidRDefault="001C65AF" w:rsidP="001C65AF">
            <w:pPr>
              <w:jc w:val="both"/>
              <w:rPr>
                <w:sz w:val="20"/>
                <w:lang w:val="fr-CA"/>
              </w:rPr>
            </w:pPr>
          </w:p>
          <w:p w:rsidR="001C65AF" w:rsidRPr="00941AD3" w:rsidRDefault="001C65AF" w:rsidP="001C65AF">
            <w:pPr>
              <w:jc w:val="both"/>
              <w:rPr>
                <w:sz w:val="20"/>
                <w:lang w:val="fr-CA"/>
              </w:rPr>
            </w:pPr>
          </w:p>
        </w:tc>
      </w:tr>
      <w:tr w:rsidR="001C65AF" w:rsidRPr="00326CE3" w:rsidTr="00CF18FB">
        <w:tc>
          <w:tcPr>
            <w:tcW w:w="2427" w:type="pct"/>
            <w:gridSpan w:val="2"/>
          </w:tcPr>
          <w:p w:rsidR="001C65AF" w:rsidRPr="00941AD3" w:rsidRDefault="001C65AF" w:rsidP="001C65AF">
            <w:pPr>
              <w:jc w:val="both"/>
              <w:rPr>
                <w:sz w:val="20"/>
                <w:lang w:val="fr-CA"/>
              </w:rPr>
            </w:pPr>
            <w:r w:rsidRPr="00941AD3">
              <w:rPr>
                <w:sz w:val="20"/>
                <w:lang w:val="fr-CA"/>
              </w:rPr>
              <w:t>26 mai 2022</w:t>
            </w:r>
          </w:p>
          <w:p w:rsidR="001C65AF" w:rsidRPr="00941AD3" w:rsidRDefault="001C65AF" w:rsidP="001C65AF">
            <w:pPr>
              <w:jc w:val="both"/>
              <w:rPr>
                <w:sz w:val="20"/>
                <w:lang w:val="fr-CA"/>
              </w:rPr>
            </w:pPr>
            <w:r w:rsidRPr="00941AD3">
              <w:rPr>
                <w:sz w:val="20"/>
                <w:lang w:val="fr-CA"/>
              </w:rPr>
              <w:t xml:space="preserve">Cour d’appel de Terre-Neuve-et-Labrador </w:t>
            </w:r>
          </w:p>
          <w:p w:rsidR="001C65AF" w:rsidRPr="00941AD3" w:rsidRDefault="001C65AF" w:rsidP="001C65AF">
            <w:pPr>
              <w:jc w:val="both"/>
              <w:rPr>
                <w:sz w:val="20"/>
                <w:lang w:val="fr-CA"/>
              </w:rPr>
            </w:pPr>
            <w:r w:rsidRPr="00941AD3">
              <w:rPr>
                <w:sz w:val="20"/>
                <w:lang w:val="fr-CA"/>
              </w:rPr>
              <w:t>(les juges Hoegg, Goodridge [dissident] et Knickle)</w:t>
            </w:r>
          </w:p>
          <w:p w:rsidR="001C65AF" w:rsidRPr="00941AD3" w:rsidRDefault="001C65AF" w:rsidP="001C65AF">
            <w:pPr>
              <w:jc w:val="both"/>
              <w:rPr>
                <w:rStyle w:val="Hyperlink"/>
                <w:color w:val="auto"/>
                <w:sz w:val="20"/>
                <w:u w:val="none"/>
                <w:lang w:val="fr-CA"/>
              </w:rPr>
            </w:pPr>
            <w:r w:rsidRPr="00941AD3">
              <w:rPr>
                <w:rStyle w:val="Hyperlink"/>
                <w:sz w:val="20"/>
                <w:lang w:val="fr-CA"/>
              </w:rPr>
              <w:fldChar w:fldCharType="begin"/>
            </w:r>
            <w:r w:rsidRPr="00941AD3">
              <w:rPr>
                <w:rStyle w:val="Hyperlink"/>
                <w:sz w:val="20"/>
                <w:lang w:val="fr-CA"/>
              </w:rPr>
              <w:instrText xml:space="preserve"> HYPERLINK "https://www.canlii.org/en/nl/nlca/doc/2022/2022nlca33/2022nlca33.html?resultIndex=1" </w:instrText>
            </w:r>
            <w:r w:rsidRPr="00941AD3">
              <w:rPr>
                <w:rStyle w:val="Hyperlink"/>
                <w:sz w:val="20"/>
                <w:lang w:val="fr-CA"/>
              </w:rPr>
              <w:fldChar w:fldCharType="separate"/>
            </w:r>
            <w:r w:rsidRPr="00941AD3">
              <w:rPr>
                <w:rStyle w:val="Hyperlink"/>
                <w:sz w:val="20"/>
                <w:lang w:val="fr-CA"/>
              </w:rPr>
              <w:t>2022 NLCA 33</w:t>
            </w:r>
          </w:p>
          <w:p w:rsidR="001C65AF" w:rsidRPr="00941AD3" w:rsidRDefault="001C65AF" w:rsidP="001C65AF">
            <w:pPr>
              <w:jc w:val="both"/>
              <w:rPr>
                <w:sz w:val="20"/>
                <w:lang w:val="fr-CA"/>
              </w:rPr>
            </w:pPr>
            <w:r w:rsidRPr="00941AD3">
              <w:rPr>
                <w:rStyle w:val="Hyperlink"/>
                <w:sz w:val="20"/>
                <w:lang w:val="fr-CA"/>
              </w:rPr>
              <w:fldChar w:fldCharType="end"/>
            </w:r>
          </w:p>
        </w:tc>
        <w:tc>
          <w:tcPr>
            <w:tcW w:w="243" w:type="pct"/>
          </w:tcPr>
          <w:p w:rsidR="001C65AF" w:rsidRPr="00941AD3" w:rsidRDefault="001C65AF" w:rsidP="001C65AF">
            <w:pPr>
              <w:jc w:val="both"/>
              <w:rPr>
                <w:sz w:val="20"/>
                <w:lang w:val="fr-CA"/>
              </w:rPr>
            </w:pPr>
          </w:p>
        </w:tc>
        <w:tc>
          <w:tcPr>
            <w:tcW w:w="2330" w:type="pct"/>
          </w:tcPr>
          <w:p w:rsidR="001C65AF" w:rsidRPr="00941AD3" w:rsidRDefault="001C65AF" w:rsidP="001C65AF">
            <w:pPr>
              <w:jc w:val="both"/>
              <w:rPr>
                <w:sz w:val="20"/>
                <w:lang w:val="fr-CA"/>
              </w:rPr>
            </w:pPr>
            <w:r w:rsidRPr="00941AD3">
              <w:rPr>
                <w:sz w:val="20"/>
                <w:lang w:val="fr-CA"/>
              </w:rPr>
              <w:t>L’appel de la mère est accueilli; la résidence habituelle de l’enfant est jugée être à St. John’s.</w:t>
            </w:r>
          </w:p>
          <w:p w:rsidR="001C65AF" w:rsidRPr="00941AD3" w:rsidRDefault="001C65AF" w:rsidP="001C65AF">
            <w:pPr>
              <w:jc w:val="both"/>
              <w:rPr>
                <w:sz w:val="20"/>
                <w:lang w:val="fr-CA"/>
              </w:rPr>
            </w:pPr>
          </w:p>
          <w:p w:rsidR="001C65AF" w:rsidRPr="00941AD3" w:rsidRDefault="001C65AF" w:rsidP="001C65AF">
            <w:pPr>
              <w:jc w:val="both"/>
              <w:rPr>
                <w:sz w:val="20"/>
                <w:lang w:val="fr-CA"/>
              </w:rPr>
            </w:pPr>
          </w:p>
        </w:tc>
      </w:tr>
      <w:tr w:rsidR="001C65AF" w:rsidRPr="00326CE3" w:rsidTr="00CF18FB">
        <w:tc>
          <w:tcPr>
            <w:tcW w:w="2427" w:type="pct"/>
            <w:gridSpan w:val="2"/>
          </w:tcPr>
          <w:p w:rsidR="001C65AF" w:rsidRPr="00941AD3" w:rsidRDefault="001C65AF" w:rsidP="001C65AF">
            <w:pPr>
              <w:jc w:val="both"/>
              <w:rPr>
                <w:sz w:val="20"/>
                <w:lang w:val="fr-CA"/>
              </w:rPr>
            </w:pPr>
            <w:r w:rsidRPr="00941AD3">
              <w:rPr>
                <w:sz w:val="20"/>
                <w:lang w:val="fr-CA"/>
              </w:rPr>
              <w:t>15 août 2022</w:t>
            </w:r>
          </w:p>
          <w:p w:rsidR="001C65AF" w:rsidRPr="00941AD3" w:rsidRDefault="001C65AF" w:rsidP="001C65AF">
            <w:pPr>
              <w:jc w:val="both"/>
              <w:rPr>
                <w:sz w:val="20"/>
                <w:lang w:val="fr-CA"/>
              </w:rPr>
            </w:pPr>
            <w:r w:rsidRPr="00941AD3">
              <w:rPr>
                <w:sz w:val="20"/>
                <w:lang w:val="fr-CA"/>
              </w:rPr>
              <w:t>Cour suprême du Canada</w:t>
            </w:r>
          </w:p>
        </w:tc>
        <w:tc>
          <w:tcPr>
            <w:tcW w:w="243" w:type="pct"/>
          </w:tcPr>
          <w:p w:rsidR="001C65AF" w:rsidRPr="00941AD3" w:rsidRDefault="001C65AF" w:rsidP="001C65AF">
            <w:pPr>
              <w:jc w:val="both"/>
              <w:rPr>
                <w:sz w:val="20"/>
                <w:lang w:val="fr-CA"/>
              </w:rPr>
            </w:pPr>
          </w:p>
        </w:tc>
        <w:tc>
          <w:tcPr>
            <w:tcW w:w="2330" w:type="pct"/>
          </w:tcPr>
          <w:p w:rsidR="001C65AF" w:rsidRPr="00941AD3" w:rsidRDefault="001C65AF" w:rsidP="001C65AF">
            <w:pPr>
              <w:jc w:val="both"/>
              <w:rPr>
                <w:sz w:val="20"/>
                <w:lang w:val="fr-CA"/>
              </w:rPr>
            </w:pPr>
            <w:r w:rsidRPr="00941AD3">
              <w:rPr>
                <w:sz w:val="20"/>
                <w:lang w:val="fr-CA"/>
              </w:rPr>
              <w:t>La demande d’autorisation d’appel est présentée.</w:t>
            </w:r>
          </w:p>
          <w:p w:rsidR="001C65AF" w:rsidRPr="00941AD3" w:rsidRDefault="001C65AF" w:rsidP="001C65AF">
            <w:pPr>
              <w:jc w:val="both"/>
              <w:rPr>
                <w:sz w:val="20"/>
                <w:lang w:val="fr-CA"/>
              </w:rPr>
            </w:pPr>
          </w:p>
        </w:tc>
      </w:tr>
    </w:tbl>
    <w:p w:rsidR="001C65AF" w:rsidRPr="00941AD3" w:rsidRDefault="001C65AF" w:rsidP="001C65AF">
      <w:pPr>
        <w:jc w:val="both"/>
        <w:rPr>
          <w:sz w:val="20"/>
          <w:lang w:val="fr-CA"/>
        </w:rPr>
      </w:pPr>
    </w:p>
    <w:p w:rsidR="0068648F" w:rsidRPr="00941AD3" w:rsidRDefault="00326CE3" w:rsidP="00007A53">
      <w:pPr>
        <w:widowControl w:val="0"/>
        <w:jc w:val="both"/>
        <w:rPr>
          <w:sz w:val="20"/>
          <w:lang w:val="fr-CA"/>
        </w:rPr>
      </w:pPr>
      <w:r>
        <w:rPr>
          <w:sz w:val="20"/>
        </w:rPr>
        <w:pict>
          <v:rect id="_x0000_i1034" style="width:2in;height:1pt" o:hrpct="0" o:hralign="center" o:hrstd="t" o:hrnoshade="t" o:hr="t" fillcolor="black [3213]" stroked="f"/>
        </w:pict>
      </w:r>
    </w:p>
    <w:p w:rsidR="0068648F" w:rsidRPr="00941AD3" w:rsidRDefault="0068648F" w:rsidP="00007A5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07A53" w:rsidRPr="00941AD3" w:rsidTr="00E95A6A">
        <w:tc>
          <w:tcPr>
            <w:tcW w:w="543" w:type="pct"/>
          </w:tcPr>
          <w:p w:rsidR="00007A53" w:rsidRPr="00941AD3" w:rsidRDefault="00007A53" w:rsidP="00007A53">
            <w:pPr>
              <w:jc w:val="both"/>
              <w:rPr>
                <w:sz w:val="20"/>
              </w:rPr>
            </w:pPr>
            <w:r w:rsidRPr="00941AD3">
              <w:rPr>
                <w:rStyle w:val="SCCFileNumberChar"/>
                <w:sz w:val="20"/>
                <w:szCs w:val="20"/>
              </w:rPr>
              <w:t>40318</w:t>
            </w:r>
          </w:p>
        </w:tc>
        <w:tc>
          <w:tcPr>
            <w:tcW w:w="4457" w:type="pct"/>
            <w:gridSpan w:val="3"/>
          </w:tcPr>
          <w:p w:rsidR="00007A53" w:rsidRPr="00941AD3" w:rsidRDefault="00007A53" w:rsidP="00007A53">
            <w:pPr>
              <w:pStyle w:val="SCCLsocParty"/>
              <w:jc w:val="both"/>
              <w:rPr>
                <w:b/>
                <w:sz w:val="20"/>
                <w:szCs w:val="20"/>
                <w:lang w:val="en-US"/>
              </w:rPr>
            </w:pPr>
            <w:r w:rsidRPr="00941AD3">
              <w:rPr>
                <w:b/>
                <w:sz w:val="20"/>
                <w:szCs w:val="20"/>
                <w:lang w:val="en-US"/>
              </w:rPr>
              <w:t>Max Edwin Tutiven v. His Majesty the King</w:t>
            </w:r>
          </w:p>
          <w:p w:rsidR="00007A53" w:rsidRPr="00941AD3" w:rsidRDefault="00007A53" w:rsidP="00007A53">
            <w:pPr>
              <w:jc w:val="both"/>
              <w:rPr>
                <w:sz w:val="20"/>
              </w:rPr>
            </w:pPr>
            <w:r w:rsidRPr="00941AD3">
              <w:rPr>
                <w:sz w:val="20"/>
              </w:rPr>
              <w:t>(Ont.) (Criminal) (By Leave)</w:t>
            </w:r>
          </w:p>
        </w:tc>
      </w:tr>
      <w:tr w:rsidR="00007A53" w:rsidRPr="00941AD3" w:rsidTr="00E95A6A">
        <w:tc>
          <w:tcPr>
            <w:tcW w:w="5000" w:type="pct"/>
            <w:gridSpan w:val="4"/>
          </w:tcPr>
          <w:p w:rsidR="00007A53" w:rsidRPr="00941AD3" w:rsidRDefault="00007A53" w:rsidP="00007A53">
            <w:pPr>
              <w:jc w:val="both"/>
              <w:rPr>
                <w:sz w:val="20"/>
              </w:rPr>
            </w:pPr>
            <w:r w:rsidRPr="00941AD3">
              <w:rPr>
                <w:sz w:val="20"/>
              </w:rPr>
              <w:t>Criminal law — Charge to jury — Whether the trier of fact in a criminal trial should be instructed that rejection of the accused’s statements cannot be used as evidence of guilt.</w:t>
            </w:r>
          </w:p>
        </w:tc>
      </w:tr>
      <w:tr w:rsidR="00007A53" w:rsidRPr="00941AD3" w:rsidTr="00E95A6A">
        <w:tc>
          <w:tcPr>
            <w:tcW w:w="5000" w:type="pct"/>
            <w:gridSpan w:val="4"/>
          </w:tcPr>
          <w:p w:rsidR="00007A53" w:rsidRPr="00941AD3" w:rsidRDefault="00007A53" w:rsidP="00007A53">
            <w:pPr>
              <w:jc w:val="both"/>
              <w:rPr>
                <w:sz w:val="20"/>
              </w:rPr>
            </w:pPr>
          </w:p>
          <w:p w:rsidR="00007A53" w:rsidRPr="00941AD3" w:rsidRDefault="00007A53" w:rsidP="00007A53">
            <w:pPr>
              <w:jc w:val="both"/>
              <w:rPr>
                <w:sz w:val="20"/>
              </w:rPr>
            </w:pPr>
            <w:r w:rsidRPr="00941AD3">
              <w:rPr>
                <w:sz w:val="20"/>
              </w:rPr>
              <w:t>Mr. Prajapati, who was working as a gas station attendant, noticed that Mr. Tutiven was driving away without paying. The video footage from the gas station showed that Mr. Prajapati ran outside and ran towards Mr. Tutiven’s vehicle with his hands raised in a manner that suggested he was trying to attract his attention. Mr. Tutiven’s vehicle struck Mr. Prajapati and he was dragged under the vehicle. Mr. Prajapati died as a result of multiple blunt force injuries. Mr. Tutiven fled from the scene. After a trial by judge and jury, Mr. Tutiven was found guilty of second degree murder. The conviction appeal was dismissed.</w:t>
            </w:r>
          </w:p>
        </w:tc>
      </w:tr>
      <w:tr w:rsidR="00007A53" w:rsidRPr="00941AD3" w:rsidTr="00E95A6A">
        <w:tc>
          <w:tcPr>
            <w:tcW w:w="5000" w:type="pct"/>
            <w:gridSpan w:val="4"/>
          </w:tcPr>
          <w:p w:rsidR="00007A53" w:rsidRPr="00941AD3" w:rsidRDefault="00007A53" w:rsidP="00007A53">
            <w:pPr>
              <w:jc w:val="both"/>
              <w:rPr>
                <w:sz w:val="20"/>
              </w:rPr>
            </w:pPr>
          </w:p>
        </w:tc>
      </w:tr>
      <w:tr w:rsidR="00007A53" w:rsidRPr="00941AD3" w:rsidTr="00E95A6A">
        <w:tc>
          <w:tcPr>
            <w:tcW w:w="2427" w:type="pct"/>
            <w:gridSpan w:val="2"/>
          </w:tcPr>
          <w:p w:rsidR="00007A53" w:rsidRPr="00941AD3" w:rsidRDefault="00007A53" w:rsidP="00007A53">
            <w:pPr>
              <w:jc w:val="both"/>
              <w:rPr>
                <w:sz w:val="20"/>
              </w:rPr>
            </w:pPr>
            <w:r w:rsidRPr="00941AD3">
              <w:rPr>
                <w:sz w:val="20"/>
              </w:rPr>
              <w:t>October 6, 2017</w:t>
            </w:r>
          </w:p>
          <w:p w:rsidR="00007A53" w:rsidRPr="00941AD3" w:rsidRDefault="00007A53" w:rsidP="00007A53">
            <w:pPr>
              <w:jc w:val="both"/>
              <w:rPr>
                <w:sz w:val="20"/>
              </w:rPr>
            </w:pPr>
            <w:r w:rsidRPr="00941AD3">
              <w:rPr>
                <w:sz w:val="20"/>
              </w:rPr>
              <w:t>Ontario Superior Court of Justice</w:t>
            </w:r>
          </w:p>
          <w:p w:rsidR="00007A53" w:rsidRPr="00941AD3" w:rsidRDefault="00007A53" w:rsidP="00007A53">
            <w:pPr>
              <w:jc w:val="both"/>
              <w:rPr>
                <w:sz w:val="20"/>
              </w:rPr>
            </w:pPr>
            <w:r w:rsidRPr="00941AD3">
              <w:rPr>
                <w:sz w:val="20"/>
              </w:rPr>
              <w:t>(Forestell J.)</w:t>
            </w:r>
          </w:p>
          <w:p w:rsidR="00007A53" w:rsidRPr="00941AD3" w:rsidRDefault="00007A53" w:rsidP="00007A53">
            <w:pPr>
              <w:jc w:val="both"/>
              <w:rPr>
                <w:sz w:val="20"/>
              </w:rPr>
            </w:pP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Conviction entered: second degree murder</w:t>
            </w:r>
          </w:p>
          <w:p w:rsidR="00007A53" w:rsidRPr="00941AD3" w:rsidRDefault="00007A53" w:rsidP="00007A53">
            <w:pPr>
              <w:jc w:val="both"/>
              <w:rPr>
                <w:sz w:val="20"/>
              </w:rPr>
            </w:pPr>
          </w:p>
        </w:tc>
      </w:tr>
      <w:tr w:rsidR="00007A53" w:rsidRPr="00941AD3" w:rsidTr="00E95A6A">
        <w:tc>
          <w:tcPr>
            <w:tcW w:w="2427" w:type="pct"/>
            <w:gridSpan w:val="2"/>
          </w:tcPr>
          <w:p w:rsidR="00007A53" w:rsidRPr="00941AD3" w:rsidRDefault="00007A53" w:rsidP="00007A53">
            <w:pPr>
              <w:jc w:val="both"/>
              <w:rPr>
                <w:sz w:val="20"/>
              </w:rPr>
            </w:pPr>
            <w:r w:rsidRPr="00941AD3">
              <w:rPr>
                <w:sz w:val="20"/>
              </w:rPr>
              <w:t>February 3, 2022</w:t>
            </w:r>
          </w:p>
          <w:p w:rsidR="00007A53" w:rsidRPr="00941AD3" w:rsidRDefault="00007A53" w:rsidP="00007A53">
            <w:pPr>
              <w:jc w:val="both"/>
              <w:rPr>
                <w:sz w:val="20"/>
              </w:rPr>
            </w:pPr>
            <w:r w:rsidRPr="00941AD3">
              <w:rPr>
                <w:sz w:val="20"/>
              </w:rPr>
              <w:t>Court of Appeal for Ontario</w:t>
            </w:r>
          </w:p>
          <w:p w:rsidR="00007A53" w:rsidRPr="00941AD3" w:rsidRDefault="00007A53" w:rsidP="00007A53">
            <w:pPr>
              <w:jc w:val="both"/>
              <w:rPr>
                <w:sz w:val="20"/>
              </w:rPr>
            </w:pPr>
            <w:r w:rsidRPr="00941AD3">
              <w:rPr>
                <w:sz w:val="20"/>
              </w:rPr>
              <w:t>(Feldman, MacPherson, Thorburn JJ.A.)</w:t>
            </w:r>
          </w:p>
          <w:p w:rsidR="00007A53" w:rsidRPr="00941AD3" w:rsidRDefault="00007A53" w:rsidP="00007A53">
            <w:pPr>
              <w:jc w:val="both"/>
              <w:rPr>
                <w:sz w:val="20"/>
              </w:rPr>
            </w:pPr>
            <w:r w:rsidRPr="00941AD3">
              <w:rPr>
                <w:sz w:val="20"/>
              </w:rPr>
              <w:t xml:space="preserve">C68453; </w:t>
            </w:r>
            <w:hyperlink r:id="rId25" w:history="1">
              <w:r w:rsidRPr="00941AD3">
                <w:rPr>
                  <w:rStyle w:val="Hyperlink"/>
                  <w:sz w:val="20"/>
                </w:rPr>
                <w:t>2022 ONCA 97</w:t>
              </w:r>
            </w:hyperlink>
          </w:p>
          <w:p w:rsidR="00007A53" w:rsidRPr="00941AD3" w:rsidRDefault="00007A53" w:rsidP="00007A53">
            <w:pPr>
              <w:jc w:val="both"/>
              <w:rPr>
                <w:sz w:val="20"/>
              </w:rPr>
            </w:pP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Conviction  appeal dismissed</w:t>
            </w:r>
          </w:p>
          <w:p w:rsidR="00007A53" w:rsidRPr="00941AD3" w:rsidRDefault="00007A53" w:rsidP="00007A53">
            <w:pPr>
              <w:jc w:val="both"/>
              <w:rPr>
                <w:sz w:val="20"/>
              </w:rPr>
            </w:pPr>
          </w:p>
        </w:tc>
      </w:tr>
      <w:tr w:rsidR="00007A53" w:rsidRPr="00941AD3" w:rsidTr="00E95A6A">
        <w:tc>
          <w:tcPr>
            <w:tcW w:w="2427" w:type="pct"/>
            <w:gridSpan w:val="2"/>
          </w:tcPr>
          <w:p w:rsidR="00007A53" w:rsidRPr="00941AD3" w:rsidRDefault="00007A53" w:rsidP="00007A53">
            <w:pPr>
              <w:jc w:val="both"/>
              <w:rPr>
                <w:sz w:val="20"/>
              </w:rPr>
            </w:pPr>
            <w:r w:rsidRPr="00941AD3">
              <w:rPr>
                <w:sz w:val="20"/>
              </w:rPr>
              <w:t>August 12, 2022</w:t>
            </w:r>
          </w:p>
          <w:p w:rsidR="00007A53" w:rsidRPr="00941AD3" w:rsidRDefault="00007A53" w:rsidP="00007A53">
            <w:pPr>
              <w:jc w:val="both"/>
              <w:rPr>
                <w:sz w:val="20"/>
              </w:rPr>
            </w:pPr>
            <w:r w:rsidRPr="00941AD3">
              <w:rPr>
                <w:sz w:val="20"/>
              </w:rPr>
              <w:t>Supreme Court of Canada</w:t>
            </w:r>
          </w:p>
          <w:p w:rsidR="00007A53" w:rsidRPr="00941AD3" w:rsidRDefault="00007A53" w:rsidP="00007A53">
            <w:pPr>
              <w:jc w:val="both"/>
              <w:rPr>
                <w:sz w:val="20"/>
              </w:rPr>
            </w:pP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Motion for an extension of time to serve and file the application for leave to appeal and application for leave to appeal filed</w:t>
            </w:r>
          </w:p>
        </w:tc>
      </w:tr>
    </w:tbl>
    <w:p w:rsidR="00007A53" w:rsidRPr="00941AD3" w:rsidRDefault="00007A53" w:rsidP="00007A53">
      <w:pPr>
        <w:jc w:val="both"/>
        <w:rPr>
          <w:sz w:val="20"/>
        </w:rPr>
      </w:pPr>
    </w:p>
    <w:p w:rsidR="00007A53" w:rsidRPr="00941AD3" w:rsidRDefault="00326CE3" w:rsidP="00007A53">
      <w:pPr>
        <w:jc w:val="both"/>
        <w:rPr>
          <w:sz w:val="20"/>
        </w:rPr>
      </w:pPr>
      <w:r>
        <w:rPr>
          <w:sz w:val="20"/>
        </w:rPr>
        <w:pict>
          <v:rect id="_x0000_i1035" style="width:2in;height:1pt" o:hrpct="0" o:hralign="center" o:hrstd="t" o:hrnoshade="t" o:hr="t" fillcolor="black [3213]" stroked="f"/>
        </w:pict>
      </w:r>
    </w:p>
    <w:p w:rsidR="00007A53" w:rsidRPr="00941AD3" w:rsidRDefault="00007A53" w:rsidP="00007A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07A53" w:rsidRPr="00941AD3" w:rsidTr="00E95A6A">
        <w:tc>
          <w:tcPr>
            <w:tcW w:w="543" w:type="pct"/>
          </w:tcPr>
          <w:p w:rsidR="00007A53" w:rsidRPr="00941AD3" w:rsidRDefault="00007A53" w:rsidP="00007A53">
            <w:pPr>
              <w:jc w:val="both"/>
              <w:rPr>
                <w:sz w:val="20"/>
                <w:lang w:val="fr-CA"/>
              </w:rPr>
            </w:pPr>
            <w:r w:rsidRPr="00941AD3">
              <w:rPr>
                <w:rStyle w:val="SCCFileNumberChar"/>
                <w:sz w:val="20"/>
                <w:szCs w:val="20"/>
                <w:lang w:val="fr-CA"/>
              </w:rPr>
              <w:t>40318</w:t>
            </w:r>
          </w:p>
        </w:tc>
        <w:tc>
          <w:tcPr>
            <w:tcW w:w="4457" w:type="pct"/>
            <w:gridSpan w:val="3"/>
          </w:tcPr>
          <w:p w:rsidR="00007A53" w:rsidRPr="00941AD3" w:rsidRDefault="00007A53" w:rsidP="00007A53">
            <w:pPr>
              <w:pStyle w:val="SCCLsocParty"/>
              <w:jc w:val="both"/>
              <w:rPr>
                <w:b/>
                <w:sz w:val="20"/>
                <w:szCs w:val="20"/>
              </w:rPr>
            </w:pPr>
            <w:r w:rsidRPr="00941AD3">
              <w:rPr>
                <w:b/>
                <w:sz w:val="20"/>
                <w:szCs w:val="20"/>
              </w:rPr>
              <w:t xml:space="preserve">Max Edwin Tutiven c. Sa Majesté le Roi </w:t>
            </w:r>
          </w:p>
          <w:p w:rsidR="00007A53" w:rsidRPr="00941AD3" w:rsidRDefault="00007A53" w:rsidP="00007A53">
            <w:pPr>
              <w:jc w:val="both"/>
              <w:rPr>
                <w:sz w:val="20"/>
                <w:lang w:val="fr-CA"/>
              </w:rPr>
            </w:pPr>
            <w:r w:rsidRPr="00941AD3">
              <w:rPr>
                <w:sz w:val="20"/>
                <w:lang w:val="fr-CA"/>
              </w:rPr>
              <w:t>(Ont.) (Criminelle) (Sur autorisation)</w:t>
            </w:r>
          </w:p>
        </w:tc>
      </w:tr>
      <w:tr w:rsidR="00007A53" w:rsidRPr="00326CE3" w:rsidTr="00E95A6A">
        <w:tc>
          <w:tcPr>
            <w:tcW w:w="5000" w:type="pct"/>
            <w:gridSpan w:val="4"/>
          </w:tcPr>
          <w:p w:rsidR="00007A53" w:rsidRPr="00941AD3" w:rsidRDefault="00007A53" w:rsidP="00007A53">
            <w:pPr>
              <w:jc w:val="both"/>
              <w:rPr>
                <w:sz w:val="20"/>
                <w:lang w:val="fr-CA"/>
              </w:rPr>
            </w:pPr>
            <w:r w:rsidRPr="00941AD3">
              <w:rPr>
                <w:sz w:val="20"/>
                <w:lang w:val="fr-CA"/>
              </w:rPr>
              <w:t>Droit criminel — Exposé au jury — Le juge des faits dans un procès criminel devrait-il recevoir pour directive que le rejet des déclarations de l’accusé ne peut être utilisé comme preuve de sa culpabilité?</w:t>
            </w:r>
          </w:p>
        </w:tc>
      </w:tr>
      <w:tr w:rsidR="00007A53" w:rsidRPr="00326CE3" w:rsidTr="00E95A6A">
        <w:tc>
          <w:tcPr>
            <w:tcW w:w="5000" w:type="pct"/>
            <w:gridSpan w:val="4"/>
          </w:tcPr>
          <w:p w:rsidR="00007A53" w:rsidRPr="00941AD3" w:rsidRDefault="00007A53" w:rsidP="00007A53">
            <w:pPr>
              <w:jc w:val="both"/>
              <w:rPr>
                <w:sz w:val="20"/>
                <w:lang w:val="fr-CA"/>
              </w:rPr>
            </w:pPr>
          </w:p>
          <w:p w:rsidR="00007A53" w:rsidRPr="00941AD3" w:rsidRDefault="00007A53" w:rsidP="00007A53">
            <w:pPr>
              <w:jc w:val="both"/>
              <w:rPr>
                <w:sz w:val="20"/>
                <w:lang w:val="fr-CA"/>
              </w:rPr>
            </w:pPr>
            <w:r w:rsidRPr="00941AD3">
              <w:rPr>
                <w:sz w:val="20"/>
                <w:lang w:val="fr-CA"/>
              </w:rPr>
              <w:t>M. Prajapati, qui travaillait comme préposé dans une station-service, a vu M. Tutiven en train de partir sans payer. La vidéo de la station-service montrait M. Prajapati en train de se précipiter à l’extérieur en direction du véhicule de M. Tutiven avec les mains levées de manière à lui signifier qu’il essayait d’attirer son attention. Le véhicule de M. Tutiven a heurté M. Prajapati, qui a été traîné sous le véhicule. M. Prajapati est décédé à la suite des blessures produites par des coups violents et soudains. M. Tutiven s’est enfui. Au terme d’un procès devant juge et jury, M. Tutiven a été reconnu coupable de meurtre au deuxième degré. L’appel interjeté de sa déclaration de culpabilité a été rejeté.</w:t>
            </w:r>
          </w:p>
        </w:tc>
      </w:tr>
      <w:tr w:rsidR="00007A53" w:rsidRPr="00326CE3" w:rsidTr="00E95A6A">
        <w:tc>
          <w:tcPr>
            <w:tcW w:w="5000" w:type="pct"/>
            <w:gridSpan w:val="4"/>
          </w:tcPr>
          <w:p w:rsidR="00007A53" w:rsidRPr="00941AD3" w:rsidRDefault="00007A53" w:rsidP="00007A53">
            <w:pPr>
              <w:jc w:val="both"/>
              <w:rPr>
                <w:sz w:val="20"/>
                <w:lang w:val="fr-CA"/>
              </w:rPr>
            </w:pPr>
          </w:p>
        </w:tc>
      </w:tr>
      <w:tr w:rsidR="00007A53" w:rsidRPr="00326CE3" w:rsidTr="00E95A6A">
        <w:tc>
          <w:tcPr>
            <w:tcW w:w="2427" w:type="pct"/>
            <w:gridSpan w:val="2"/>
          </w:tcPr>
          <w:p w:rsidR="00007A53" w:rsidRPr="00941AD3" w:rsidRDefault="00007A53" w:rsidP="00007A53">
            <w:pPr>
              <w:jc w:val="both"/>
              <w:rPr>
                <w:sz w:val="20"/>
                <w:lang w:val="fr-CA"/>
              </w:rPr>
            </w:pPr>
            <w:r w:rsidRPr="00941AD3">
              <w:rPr>
                <w:sz w:val="20"/>
                <w:lang w:val="fr-CA"/>
              </w:rPr>
              <w:t>6 octobre 2017</w:t>
            </w:r>
          </w:p>
          <w:p w:rsidR="00007A53" w:rsidRPr="00941AD3" w:rsidRDefault="00007A53" w:rsidP="00007A53">
            <w:pPr>
              <w:jc w:val="both"/>
              <w:rPr>
                <w:sz w:val="20"/>
                <w:lang w:val="fr-CA"/>
              </w:rPr>
            </w:pPr>
            <w:r w:rsidRPr="00941AD3">
              <w:rPr>
                <w:sz w:val="20"/>
                <w:lang w:val="fr-CA"/>
              </w:rPr>
              <w:t xml:space="preserve">Cour supérieure de justice de l’Ontario </w:t>
            </w:r>
          </w:p>
          <w:p w:rsidR="00007A53" w:rsidRPr="00941AD3" w:rsidRDefault="00007A53" w:rsidP="00007A53">
            <w:pPr>
              <w:jc w:val="both"/>
              <w:rPr>
                <w:sz w:val="20"/>
                <w:lang w:val="fr-CA"/>
              </w:rPr>
            </w:pPr>
            <w:r w:rsidRPr="00941AD3">
              <w:rPr>
                <w:sz w:val="20"/>
                <w:lang w:val="fr-CA"/>
              </w:rPr>
              <w:t>(la juge Forestell)</w:t>
            </w:r>
          </w:p>
          <w:p w:rsidR="00007A53" w:rsidRPr="00941AD3" w:rsidRDefault="00007A53" w:rsidP="00007A53">
            <w:pPr>
              <w:jc w:val="both"/>
              <w:rPr>
                <w:sz w:val="20"/>
                <w:lang w:val="fr-CA"/>
              </w:rPr>
            </w:pP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La déclaration de culpabilité pour meurtre au deuxième degré est prononcée.</w:t>
            </w:r>
          </w:p>
          <w:p w:rsidR="00007A53" w:rsidRPr="00941AD3" w:rsidRDefault="00007A53" w:rsidP="00007A53">
            <w:pPr>
              <w:jc w:val="both"/>
              <w:rPr>
                <w:sz w:val="20"/>
                <w:lang w:val="fr-CA"/>
              </w:rPr>
            </w:pPr>
          </w:p>
        </w:tc>
      </w:tr>
      <w:tr w:rsidR="00007A53" w:rsidRPr="00326CE3" w:rsidTr="00E95A6A">
        <w:tc>
          <w:tcPr>
            <w:tcW w:w="2427" w:type="pct"/>
            <w:gridSpan w:val="2"/>
          </w:tcPr>
          <w:p w:rsidR="00007A53" w:rsidRPr="00941AD3" w:rsidRDefault="00007A53" w:rsidP="00007A53">
            <w:pPr>
              <w:jc w:val="both"/>
              <w:rPr>
                <w:sz w:val="20"/>
                <w:lang w:val="fr-CA"/>
              </w:rPr>
            </w:pPr>
            <w:r w:rsidRPr="00941AD3">
              <w:rPr>
                <w:sz w:val="20"/>
                <w:lang w:val="fr-CA"/>
              </w:rPr>
              <w:t>3 février 2022</w:t>
            </w:r>
          </w:p>
          <w:p w:rsidR="00007A53" w:rsidRPr="00941AD3" w:rsidRDefault="00007A53" w:rsidP="00007A53">
            <w:pPr>
              <w:jc w:val="both"/>
              <w:rPr>
                <w:sz w:val="20"/>
                <w:lang w:val="fr-CA"/>
              </w:rPr>
            </w:pPr>
            <w:r w:rsidRPr="00941AD3">
              <w:rPr>
                <w:sz w:val="20"/>
                <w:lang w:val="fr-CA"/>
              </w:rPr>
              <w:t xml:space="preserve">Cour d’appel de l’Ontario </w:t>
            </w:r>
          </w:p>
          <w:p w:rsidR="00007A53" w:rsidRPr="00941AD3" w:rsidRDefault="00007A53" w:rsidP="00007A53">
            <w:pPr>
              <w:jc w:val="both"/>
              <w:rPr>
                <w:sz w:val="20"/>
                <w:lang w:val="fr-CA"/>
              </w:rPr>
            </w:pPr>
            <w:r w:rsidRPr="00941AD3">
              <w:rPr>
                <w:sz w:val="20"/>
                <w:lang w:val="fr-CA"/>
              </w:rPr>
              <w:t>(les juges Feldman, MacPherson et Thorburn)</w:t>
            </w:r>
          </w:p>
          <w:p w:rsidR="00007A53" w:rsidRPr="00941AD3" w:rsidRDefault="00007A53" w:rsidP="00007A53">
            <w:pPr>
              <w:jc w:val="both"/>
              <w:rPr>
                <w:sz w:val="20"/>
                <w:lang w:val="fr-CA"/>
              </w:rPr>
            </w:pPr>
            <w:r w:rsidRPr="00941AD3">
              <w:rPr>
                <w:sz w:val="20"/>
                <w:lang w:val="fr-CA"/>
              </w:rPr>
              <w:t xml:space="preserve">C68453; </w:t>
            </w:r>
            <w:hyperlink r:id="rId26" w:history="1">
              <w:r w:rsidRPr="00941AD3">
                <w:rPr>
                  <w:rStyle w:val="Hyperlink"/>
                  <w:sz w:val="20"/>
                  <w:lang w:val="fr-CA"/>
                </w:rPr>
                <w:t>2022 ONCA 97</w:t>
              </w:r>
            </w:hyperlink>
          </w:p>
          <w:p w:rsidR="00007A53" w:rsidRPr="00941AD3" w:rsidRDefault="00007A53" w:rsidP="00007A53">
            <w:pPr>
              <w:jc w:val="both"/>
              <w:rPr>
                <w:sz w:val="20"/>
                <w:lang w:val="fr-CA"/>
              </w:rPr>
            </w:pP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 xml:space="preserve">L’appel de la déclaration de culpabilité est rejeté. </w:t>
            </w:r>
          </w:p>
          <w:p w:rsidR="00007A53" w:rsidRPr="00941AD3" w:rsidRDefault="00007A53" w:rsidP="00007A53">
            <w:pPr>
              <w:jc w:val="both"/>
              <w:rPr>
                <w:sz w:val="20"/>
                <w:lang w:val="fr-CA"/>
              </w:rPr>
            </w:pPr>
          </w:p>
        </w:tc>
      </w:tr>
      <w:tr w:rsidR="00007A53" w:rsidRPr="00326CE3" w:rsidTr="00E95A6A">
        <w:tc>
          <w:tcPr>
            <w:tcW w:w="2427" w:type="pct"/>
            <w:gridSpan w:val="2"/>
          </w:tcPr>
          <w:p w:rsidR="00007A53" w:rsidRPr="00941AD3" w:rsidRDefault="00007A53" w:rsidP="00007A53">
            <w:pPr>
              <w:jc w:val="both"/>
              <w:rPr>
                <w:sz w:val="20"/>
                <w:lang w:val="fr-CA"/>
              </w:rPr>
            </w:pPr>
            <w:r w:rsidRPr="00941AD3">
              <w:rPr>
                <w:sz w:val="20"/>
                <w:lang w:val="fr-CA"/>
              </w:rPr>
              <w:t>12 août 2022</w:t>
            </w:r>
          </w:p>
          <w:p w:rsidR="00007A53" w:rsidRPr="00941AD3" w:rsidRDefault="00007A53" w:rsidP="00007A53">
            <w:pPr>
              <w:jc w:val="both"/>
              <w:rPr>
                <w:sz w:val="20"/>
                <w:lang w:val="fr-CA"/>
              </w:rPr>
            </w:pPr>
            <w:r w:rsidRPr="00941AD3">
              <w:rPr>
                <w:sz w:val="20"/>
                <w:lang w:val="fr-CA"/>
              </w:rPr>
              <w:t>Cour suprême du Canada</w:t>
            </w:r>
          </w:p>
          <w:p w:rsidR="00007A53" w:rsidRPr="00941AD3" w:rsidRDefault="00007A53" w:rsidP="00007A53">
            <w:pPr>
              <w:jc w:val="both"/>
              <w:rPr>
                <w:sz w:val="20"/>
                <w:lang w:val="fr-CA"/>
              </w:rPr>
            </w:pP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La requête en prorogation du délai de signification et de dépôt de la demande d’autorisation d’appel et la demande d’autorisation d’appel sont présentées.</w:t>
            </w:r>
          </w:p>
        </w:tc>
      </w:tr>
    </w:tbl>
    <w:p w:rsidR="00007A53" w:rsidRPr="00941AD3" w:rsidRDefault="00007A53" w:rsidP="00007A53">
      <w:pPr>
        <w:jc w:val="both"/>
        <w:rPr>
          <w:sz w:val="20"/>
          <w:lang w:val="fr-CA"/>
        </w:rPr>
      </w:pPr>
    </w:p>
    <w:p w:rsidR="00007A53" w:rsidRPr="00941AD3" w:rsidRDefault="00326CE3" w:rsidP="00007A53">
      <w:pPr>
        <w:jc w:val="both"/>
        <w:rPr>
          <w:sz w:val="20"/>
          <w:lang w:val="fr-CA"/>
        </w:rPr>
      </w:pPr>
      <w:r>
        <w:rPr>
          <w:sz w:val="20"/>
        </w:rPr>
        <w:pict>
          <v:rect id="_x0000_i1036" style="width:2in;height:1pt" o:hrpct="0" o:hralign="center" o:hrstd="t" o:hrnoshade="t" o:hr="t" fillcolor="black [3213]" stroked="f"/>
        </w:pict>
      </w:r>
    </w:p>
    <w:p w:rsidR="0068648F" w:rsidRPr="00941AD3" w:rsidRDefault="0068648F" w:rsidP="00007A5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07A53" w:rsidRPr="00941AD3" w:rsidTr="00E95A6A">
        <w:tc>
          <w:tcPr>
            <w:tcW w:w="543" w:type="pct"/>
          </w:tcPr>
          <w:p w:rsidR="00007A53" w:rsidRPr="00941AD3" w:rsidRDefault="00007A53" w:rsidP="00007A53">
            <w:pPr>
              <w:jc w:val="both"/>
              <w:rPr>
                <w:sz w:val="20"/>
              </w:rPr>
            </w:pPr>
            <w:r w:rsidRPr="00941AD3">
              <w:rPr>
                <w:rStyle w:val="SCCFileNumberChar"/>
                <w:sz w:val="20"/>
                <w:szCs w:val="20"/>
              </w:rPr>
              <w:t>40178</w:t>
            </w:r>
          </w:p>
        </w:tc>
        <w:tc>
          <w:tcPr>
            <w:tcW w:w="4457" w:type="pct"/>
            <w:gridSpan w:val="3"/>
          </w:tcPr>
          <w:p w:rsidR="00007A53" w:rsidRPr="00941AD3" w:rsidRDefault="00007A53" w:rsidP="00007A53">
            <w:pPr>
              <w:pStyle w:val="SCCLsocParty"/>
              <w:jc w:val="both"/>
              <w:rPr>
                <w:b/>
                <w:sz w:val="20"/>
                <w:szCs w:val="20"/>
                <w:lang w:val="en-US"/>
              </w:rPr>
            </w:pPr>
            <w:r w:rsidRPr="00941AD3">
              <w:rPr>
                <w:b/>
                <w:sz w:val="20"/>
                <w:szCs w:val="20"/>
                <w:lang w:val="en-US"/>
              </w:rPr>
              <w:t>OZ Optics Ltd., OZ Merchandising Inc., Ottawa Wizards, OZ Dome Soccer Club and Omur Sezerman v. Victor Ages Vallance LLP</w:t>
            </w:r>
          </w:p>
          <w:p w:rsidR="00007A53" w:rsidRPr="00941AD3" w:rsidRDefault="00007A53" w:rsidP="00007A53">
            <w:pPr>
              <w:jc w:val="both"/>
              <w:rPr>
                <w:sz w:val="20"/>
              </w:rPr>
            </w:pPr>
            <w:r w:rsidRPr="00941AD3">
              <w:rPr>
                <w:sz w:val="20"/>
              </w:rPr>
              <w:t>(Ont.) (Civil) (By Leave)</w:t>
            </w:r>
          </w:p>
        </w:tc>
      </w:tr>
      <w:tr w:rsidR="00007A53" w:rsidRPr="00941AD3" w:rsidTr="00E95A6A">
        <w:tc>
          <w:tcPr>
            <w:tcW w:w="5000" w:type="pct"/>
            <w:gridSpan w:val="4"/>
          </w:tcPr>
          <w:p w:rsidR="00007A53" w:rsidRPr="00941AD3" w:rsidRDefault="00007A53" w:rsidP="00007A53">
            <w:pPr>
              <w:jc w:val="both"/>
              <w:rPr>
                <w:sz w:val="20"/>
              </w:rPr>
            </w:pPr>
            <w:r w:rsidRPr="00941AD3">
              <w:rPr>
                <w:sz w:val="20"/>
              </w:rPr>
              <w:t xml:space="preserve">Law of professions — Barristers and solicitors — Solicitors’ costs — Assessment of bills — Appeals — Lower courts confirming assessment by assessment officer of four accounts of former solicitors — Whether s. 3 of the Ontario </w:t>
            </w:r>
            <w:r w:rsidRPr="00941AD3">
              <w:rPr>
                <w:i/>
                <w:sz w:val="20"/>
              </w:rPr>
              <w:t>Solicitors Act</w:t>
            </w:r>
            <w:r w:rsidRPr="00941AD3">
              <w:rPr>
                <w:sz w:val="20"/>
              </w:rPr>
              <w:t>,  R.S.O. 1990, c. S.15, should be interpreted as permitting assessment officer to determine issues as to scope of solicitor’s retainer.</w:t>
            </w:r>
          </w:p>
        </w:tc>
      </w:tr>
      <w:tr w:rsidR="00007A53" w:rsidRPr="00941AD3" w:rsidTr="00E95A6A">
        <w:tc>
          <w:tcPr>
            <w:tcW w:w="5000" w:type="pct"/>
            <w:gridSpan w:val="4"/>
          </w:tcPr>
          <w:p w:rsidR="00007A53" w:rsidRPr="00941AD3" w:rsidRDefault="00007A53" w:rsidP="00007A53">
            <w:pPr>
              <w:jc w:val="both"/>
              <w:rPr>
                <w:sz w:val="20"/>
              </w:rPr>
            </w:pPr>
          </w:p>
          <w:p w:rsidR="00007A53" w:rsidRPr="00941AD3" w:rsidRDefault="00007A53" w:rsidP="00007A53">
            <w:pPr>
              <w:jc w:val="both"/>
              <w:rPr>
                <w:sz w:val="20"/>
              </w:rPr>
            </w:pPr>
            <w:r w:rsidRPr="00941AD3">
              <w:rPr>
                <w:sz w:val="20"/>
              </w:rPr>
              <w:t>An application was brought by the solicitor respondents against the four applicant OZ entities and its principal, Omur Sezerman for an assessment of accounts owing. An assessment order was issued under s. 3 of the Ontario</w:t>
            </w:r>
            <w:r w:rsidRPr="00941AD3">
              <w:rPr>
                <w:i/>
                <w:sz w:val="20"/>
              </w:rPr>
              <w:t xml:space="preserve"> Solicitors Act</w:t>
            </w:r>
            <w:r w:rsidRPr="00941AD3">
              <w:rPr>
                <w:sz w:val="20"/>
              </w:rPr>
              <w:t>, R.S.O. 1990, c. S.15. A motion to set aside the assessment order was dismissed. The assessment officer assessed each of the accounts and confirmed the requested total of $148, 120.95. The OZ entities appealed the assessment to the Superior Court where the certificate of assessment was confirmed. The appeal to the Court of Appeal was dismissed.</w:t>
            </w:r>
          </w:p>
        </w:tc>
      </w:tr>
      <w:tr w:rsidR="00007A53" w:rsidRPr="00941AD3" w:rsidTr="00E95A6A">
        <w:tc>
          <w:tcPr>
            <w:tcW w:w="5000" w:type="pct"/>
            <w:gridSpan w:val="4"/>
          </w:tcPr>
          <w:p w:rsidR="00007A53" w:rsidRPr="00941AD3" w:rsidRDefault="00007A53" w:rsidP="00007A53">
            <w:pPr>
              <w:jc w:val="both"/>
              <w:rPr>
                <w:sz w:val="20"/>
              </w:rPr>
            </w:pPr>
          </w:p>
        </w:tc>
      </w:tr>
      <w:tr w:rsidR="00007A53" w:rsidRPr="00941AD3" w:rsidTr="00E95A6A">
        <w:tc>
          <w:tcPr>
            <w:tcW w:w="2427" w:type="pct"/>
            <w:gridSpan w:val="2"/>
          </w:tcPr>
          <w:p w:rsidR="00007A53" w:rsidRPr="00941AD3" w:rsidRDefault="00007A53" w:rsidP="00007A53">
            <w:pPr>
              <w:jc w:val="both"/>
              <w:rPr>
                <w:sz w:val="20"/>
              </w:rPr>
            </w:pPr>
            <w:r w:rsidRPr="00941AD3">
              <w:rPr>
                <w:sz w:val="20"/>
              </w:rPr>
              <w:t>August 13, 2015</w:t>
            </w:r>
          </w:p>
          <w:p w:rsidR="00007A53" w:rsidRPr="00941AD3" w:rsidRDefault="00007A53" w:rsidP="00007A53">
            <w:pPr>
              <w:jc w:val="both"/>
              <w:rPr>
                <w:sz w:val="20"/>
              </w:rPr>
            </w:pPr>
            <w:r w:rsidRPr="00941AD3">
              <w:rPr>
                <w:sz w:val="20"/>
              </w:rPr>
              <w:t>Ontario Superior Court</w:t>
            </w:r>
          </w:p>
          <w:p w:rsidR="00007A53" w:rsidRPr="00941AD3" w:rsidRDefault="00007A53" w:rsidP="00007A53">
            <w:pPr>
              <w:jc w:val="both"/>
              <w:rPr>
                <w:sz w:val="20"/>
              </w:rPr>
            </w:pPr>
            <w:r w:rsidRPr="00941AD3">
              <w:rPr>
                <w:sz w:val="20"/>
              </w:rPr>
              <w:t>(Beaudoin J.)</w:t>
            </w:r>
          </w:p>
          <w:p w:rsidR="00007A53" w:rsidRPr="00941AD3" w:rsidRDefault="00007A53" w:rsidP="00007A53">
            <w:pPr>
              <w:jc w:val="both"/>
              <w:rPr>
                <w:sz w:val="20"/>
              </w:rPr>
            </w:pP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Motion to set aside order for assessment of costs dismissed.</w:t>
            </w:r>
          </w:p>
        </w:tc>
      </w:tr>
      <w:tr w:rsidR="00007A53" w:rsidRPr="00941AD3" w:rsidTr="00E95A6A">
        <w:tc>
          <w:tcPr>
            <w:tcW w:w="2427" w:type="pct"/>
            <w:gridSpan w:val="2"/>
          </w:tcPr>
          <w:p w:rsidR="00007A53" w:rsidRPr="00941AD3" w:rsidRDefault="00007A53" w:rsidP="00007A53">
            <w:pPr>
              <w:jc w:val="both"/>
              <w:rPr>
                <w:sz w:val="20"/>
              </w:rPr>
            </w:pPr>
            <w:r w:rsidRPr="00941AD3">
              <w:rPr>
                <w:sz w:val="20"/>
              </w:rPr>
              <w:t>November 27, 2015</w:t>
            </w:r>
          </w:p>
          <w:p w:rsidR="00007A53" w:rsidRPr="00941AD3" w:rsidRDefault="00007A53" w:rsidP="00007A53">
            <w:pPr>
              <w:jc w:val="both"/>
              <w:rPr>
                <w:sz w:val="20"/>
              </w:rPr>
            </w:pPr>
            <w:r w:rsidRPr="00941AD3">
              <w:rPr>
                <w:sz w:val="20"/>
              </w:rPr>
              <w:t>Ontario Superior Court</w:t>
            </w:r>
          </w:p>
          <w:p w:rsidR="00007A53" w:rsidRPr="00941AD3" w:rsidRDefault="00007A53" w:rsidP="00007A53">
            <w:pPr>
              <w:jc w:val="both"/>
              <w:rPr>
                <w:sz w:val="20"/>
              </w:rPr>
            </w:pPr>
            <w:r w:rsidRPr="00941AD3">
              <w:rPr>
                <w:sz w:val="20"/>
              </w:rPr>
              <w:t>(McLean J.)</w:t>
            </w:r>
          </w:p>
          <w:p w:rsidR="00007A53" w:rsidRPr="00941AD3" w:rsidRDefault="00007A53" w:rsidP="00007A53">
            <w:pPr>
              <w:jc w:val="both"/>
              <w:rPr>
                <w:sz w:val="20"/>
              </w:rPr>
            </w:pP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Leave to appeal decision of Beaudoin J. dismissed.</w:t>
            </w:r>
          </w:p>
        </w:tc>
      </w:tr>
      <w:tr w:rsidR="00007A53" w:rsidRPr="00941AD3" w:rsidTr="00E95A6A">
        <w:tc>
          <w:tcPr>
            <w:tcW w:w="2427" w:type="pct"/>
            <w:gridSpan w:val="2"/>
          </w:tcPr>
          <w:p w:rsidR="00007A53" w:rsidRPr="00941AD3" w:rsidRDefault="00007A53" w:rsidP="00007A53">
            <w:pPr>
              <w:jc w:val="both"/>
              <w:rPr>
                <w:sz w:val="20"/>
              </w:rPr>
            </w:pPr>
            <w:r w:rsidRPr="00941AD3">
              <w:rPr>
                <w:sz w:val="20"/>
              </w:rPr>
              <w:t>June 8, 2020</w:t>
            </w:r>
          </w:p>
          <w:p w:rsidR="00007A53" w:rsidRPr="00941AD3" w:rsidRDefault="00007A53" w:rsidP="00007A53">
            <w:pPr>
              <w:jc w:val="both"/>
              <w:rPr>
                <w:sz w:val="20"/>
              </w:rPr>
            </w:pPr>
            <w:r w:rsidRPr="00941AD3">
              <w:rPr>
                <w:sz w:val="20"/>
              </w:rPr>
              <w:t>Decision of Assessment Officer</w:t>
            </w:r>
          </w:p>
          <w:p w:rsidR="00007A53" w:rsidRPr="00941AD3" w:rsidRDefault="00007A53" w:rsidP="00007A53">
            <w:pPr>
              <w:jc w:val="both"/>
              <w:rPr>
                <w:sz w:val="20"/>
              </w:rPr>
            </w:pPr>
            <w:r w:rsidRPr="00941AD3">
              <w:rPr>
                <w:sz w:val="20"/>
              </w:rPr>
              <w:t>(L. Bender)</w:t>
            </w: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Assessment officer confirming four accounts submitted by solicitors for requested total of $148, 120.95.</w:t>
            </w:r>
          </w:p>
          <w:p w:rsidR="00007A53" w:rsidRPr="00941AD3" w:rsidRDefault="00007A53" w:rsidP="00007A53">
            <w:pPr>
              <w:jc w:val="both"/>
              <w:rPr>
                <w:sz w:val="20"/>
              </w:rPr>
            </w:pPr>
          </w:p>
        </w:tc>
      </w:tr>
      <w:tr w:rsidR="00007A53" w:rsidRPr="00941AD3" w:rsidTr="00E95A6A">
        <w:tc>
          <w:tcPr>
            <w:tcW w:w="2427" w:type="pct"/>
            <w:gridSpan w:val="2"/>
          </w:tcPr>
          <w:p w:rsidR="00007A53" w:rsidRPr="00941AD3" w:rsidRDefault="00007A53" w:rsidP="00007A53">
            <w:pPr>
              <w:jc w:val="both"/>
              <w:rPr>
                <w:sz w:val="20"/>
              </w:rPr>
            </w:pPr>
            <w:r w:rsidRPr="00941AD3">
              <w:rPr>
                <w:sz w:val="20"/>
              </w:rPr>
              <w:t>April 1, 2021</w:t>
            </w:r>
          </w:p>
          <w:p w:rsidR="00007A53" w:rsidRPr="00941AD3" w:rsidRDefault="00007A53" w:rsidP="00007A53">
            <w:pPr>
              <w:jc w:val="both"/>
              <w:rPr>
                <w:sz w:val="20"/>
              </w:rPr>
            </w:pPr>
            <w:r w:rsidRPr="00941AD3">
              <w:rPr>
                <w:sz w:val="20"/>
              </w:rPr>
              <w:t>Ontario Superior Court of Justice</w:t>
            </w:r>
          </w:p>
          <w:p w:rsidR="00007A53" w:rsidRPr="00941AD3" w:rsidRDefault="00007A53" w:rsidP="00007A53">
            <w:pPr>
              <w:jc w:val="both"/>
              <w:rPr>
                <w:sz w:val="20"/>
              </w:rPr>
            </w:pPr>
            <w:r w:rsidRPr="00941AD3">
              <w:rPr>
                <w:sz w:val="20"/>
              </w:rPr>
              <w:t>(Phillips J.)</w:t>
            </w:r>
          </w:p>
          <w:p w:rsidR="00007A53" w:rsidRPr="00941AD3" w:rsidRDefault="00007A53" w:rsidP="00007A53">
            <w:pPr>
              <w:jc w:val="both"/>
              <w:rPr>
                <w:sz w:val="20"/>
              </w:rPr>
            </w:pP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Motion to review decision of assessment officer dismissed. Certificate of assessment confirmed.</w:t>
            </w:r>
          </w:p>
          <w:p w:rsidR="00007A53" w:rsidRPr="00941AD3" w:rsidRDefault="00007A53" w:rsidP="00007A53">
            <w:pPr>
              <w:jc w:val="both"/>
              <w:rPr>
                <w:sz w:val="20"/>
              </w:rPr>
            </w:pPr>
          </w:p>
        </w:tc>
      </w:tr>
      <w:tr w:rsidR="00007A53" w:rsidRPr="00941AD3" w:rsidTr="00E95A6A">
        <w:tc>
          <w:tcPr>
            <w:tcW w:w="2427" w:type="pct"/>
            <w:gridSpan w:val="2"/>
          </w:tcPr>
          <w:p w:rsidR="00007A53" w:rsidRPr="00941AD3" w:rsidRDefault="00007A53" w:rsidP="00007A53">
            <w:pPr>
              <w:jc w:val="both"/>
              <w:rPr>
                <w:sz w:val="20"/>
              </w:rPr>
            </w:pPr>
            <w:r w:rsidRPr="00941AD3">
              <w:rPr>
                <w:sz w:val="20"/>
              </w:rPr>
              <w:t>March 1, 2022</w:t>
            </w:r>
          </w:p>
          <w:p w:rsidR="00007A53" w:rsidRPr="00941AD3" w:rsidRDefault="00007A53" w:rsidP="00007A53">
            <w:pPr>
              <w:jc w:val="both"/>
              <w:rPr>
                <w:sz w:val="20"/>
              </w:rPr>
            </w:pPr>
            <w:r w:rsidRPr="00941AD3">
              <w:rPr>
                <w:sz w:val="20"/>
              </w:rPr>
              <w:t>Court of Appeal for Ontario</w:t>
            </w:r>
          </w:p>
          <w:p w:rsidR="00007A53" w:rsidRPr="00941AD3" w:rsidRDefault="00007A53" w:rsidP="00007A53">
            <w:pPr>
              <w:jc w:val="both"/>
              <w:rPr>
                <w:sz w:val="20"/>
              </w:rPr>
            </w:pPr>
            <w:r w:rsidRPr="00941AD3">
              <w:rPr>
                <w:sz w:val="20"/>
              </w:rPr>
              <w:t>(Feldman, MacPherson and Lauwers JJ.A.)</w:t>
            </w:r>
          </w:p>
          <w:p w:rsidR="00007A53" w:rsidRPr="00941AD3" w:rsidRDefault="00326CE3" w:rsidP="00007A53">
            <w:pPr>
              <w:jc w:val="both"/>
              <w:rPr>
                <w:sz w:val="20"/>
              </w:rPr>
            </w:pPr>
            <w:hyperlink r:id="rId27" w:history="1">
              <w:r w:rsidR="00007A53" w:rsidRPr="00941AD3">
                <w:rPr>
                  <w:rStyle w:val="Hyperlink"/>
                  <w:sz w:val="20"/>
                </w:rPr>
                <w:t>2022 ONCA 169</w:t>
              </w:r>
            </w:hyperlink>
          </w:p>
          <w:p w:rsidR="00007A53" w:rsidRPr="00941AD3" w:rsidRDefault="00007A53" w:rsidP="00007A53">
            <w:pPr>
              <w:jc w:val="both"/>
              <w:rPr>
                <w:sz w:val="20"/>
              </w:rPr>
            </w:pPr>
            <w:r w:rsidRPr="00941AD3">
              <w:rPr>
                <w:sz w:val="20"/>
              </w:rPr>
              <w:t>File No.: C69386</w:t>
            </w:r>
          </w:p>
          <w:p w:rsidR="00007A53" w:rsidRPr="00941AD3" w:rsidRDefault="00007A53" w:rsidP="00007A53">
            <w:pPr>
              <w:jc w:val="both"/>
              <w:rPr>
                <w:sz w:val="20"/>
              </w:rPr>
            </w:pP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Appeal dismissed.</w:t>
            </w:r>
          </w:p>
          <w:p w:rsidR="00007A53" w:rsidRPr="00941AD3" w:rsidRDefault="00007A53" w:rsidP="00007A53">
            <w:pPr>
              <w:jc w:val="both"/>
              <w:rPr>
                <w:sz w:val="20"/>
              </w:rPr>
            </w:pPr>
          </w:p>
        </w:tc>
      </w:tr>
      <w:tr w:rsidR="00007A53" w:rsidRPr="00941AD3" w:rsidTr="00E95A6A">
        <w:tc>
          <w:tcPr>
            <w:tcW w:w="2427" w:type="pct"/>
            <w:gridSpan w:val="2"/>
          </w:tcPr>
          <w:p w:rsidR="00007A53" w:rsidRPr="00941AD3" w:rsidRDefault="00007A53" w:rsidP="00007A53">
            <w:pPr>
              <w:jc w:val="both"/>
              <w:rPr>
                <w:sz w:val="20"/>
              </w:rPr>
            </w:pPr>
            <w:r w:rsidRPr="00941AD3">
              <w:rPr>
                <w:sz w:val="20"/>
              </w:rPr>
              <w:t>April 27, 2022</w:t>
            </w:r>
          </w:p>
          <w:p w:rsidR="00007A53" w:rsidRPr="00941AD3" w:rsidRDefault="00007A53" w:rsidP="00007A53">
            <w:pPr>
              <w:jc w:val="both"/>
              <w:rPr>
                <w:sz w:val="20"/>
              </w:rPr>
            </w:pPr>
            <w:r w:rsidRPr="00941AD3">
              <w:rPr>
                <w:sz w:val="20"/>
              </w:rPr>
              <w:t>Supreme Court of Canada</w:t>
            </w: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Application for leave to appeal filed.</w:t>
            </w:r>
          </w:p>
          <w:p w:rsidR="00007A53" w:rsidRPr="00941AD3" w:rsidRDefault="00007A53" w:rsidP="00007A53">
            <w:pPr>
              <w:jc w:val="both"/>
              <w:rPr>
                <w:sz w:val="20"/>
              </w:rPr>
            </w:pPr>
          </w:p>
        </w:tc>
      </w:tr>
    </w:tbl>
    <w:p w:rsidR="00007A53" w:rsidRPr="00941AD3" w:rsidRDefault="00007A53" w:rsidP="00007A53">
      <w:pPr>
        <w:jc w:val="both"/>
        <w:rPr>
          <w:sz w:val="20"/>
        </w:rPr>
      </w:pPr>
    </w:p>
    <w:p w:rsidR="00007A53" w:rsidRPr="00941AD3" w:rsidRDefault="00326CE3" w:rsidP="00007A53">
      <w:pPr>
        <w:jc w:val="both"/>
        <w:rPr>
          <w:sz w:val="20"/>
        </w:rPr>
      </w:pPr>
      <w:r>
        <w:rPr>
          <w:sz w:val="20"/>
        </w:rPr>
        <w:pict>
          <v:rect id="_x0000_i1037" style="width:2in;height:1pt" o:hrpct="0" o:hralign="center" o:hrstd="t" o:hrnoshade="t" o:hr="t" fillcolor="black [3213]" stroked="f"/>
        </w:pict>
      </w:r>
    </w:p>
    <w:p w:rsidR="00007A53" w:rsidRPr="00941AD3" w:rsidRDefault="00007A53" w:rsidP="00007A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07A53" w:rsidRPr="00326CE3" w:rsidTr="00E95A6A">
        <w:tc>
          <w:tcPr>
            <w:tcW w:w="543" w:type="pct"/>
          </w:tcPr>
          <w:p w:rsidR="00007A53" w:rsidRPr="00941AD3" w:rsidRDefault="00007A53" w:rsidP="00007A53">
            <w:pPr>
              <w:jc w:val="both"/>
              <w:rPr>
                <w:sz w:val="20"/>
                <w:lang w:val="fr-CA"/>
              </w:rPr>
            </w:pPr>
            <w:r w:rsidRPr="00941AD3">
              <w:rPr>
                <w:rStyle w:val="SCCFileNumberChar"/>
                <w:sz w:val="20"/>
                <w:szCs w:val="20"/>
                <w:lang w:val="fr-CA"/>
              </w:rPr>
              <w:t>40 178</w:t>
            </w:r>
          </w:p>
        </w:tc>
        <w:tc>
          <w:tcPr>
            <w:tcW w:w="4457" w:type="pct"/>
            <w:gridSpan w:val="3"/>
          </w:tcPr>
          <w:p w:rsidR="00007A53" w:rsidRPr="00941AD3" w:rsidRDefault="00007A53" w:rsidP="00007A53">
            <w:pPr>
              <w:pStyle w:val="SCCLsocParty"/>
              <w:jc w:val="both"/>
              <w:rPr>
                <w:b/>
                <w:sz w:val="20"/>
                <w:szCs w:val="20"/>
              </w:rPr>
            </w:pPr>
            <w:r w:rsidRPr="00941AD3">
              <w:rPr>
                <w:b/>
                <w:sz w:val="20"/>
                <w:szCs w:val="20"/>
              </w:rPr>
              <w:t>OZ Optics Ltd., OZ Merchandising Inc., Ottawa Wizards, OZ Dome Soccer Club et Omur Sezerman c. Victor Ages Vallance LLP</w:t>
            </w:r>
          </w:p>
          <w:p w:rsidR="00007A53" w:rsidRPr="00941AD3" w:rsidRDefault="00007A53" w:rsidP="00007A53">
            <w:pPr>
              <w:jc w:val="both"/>
              <w:rPr>
                <w:sz w:val="20"/>
                <w:lang w:val="fr-CA"/>
              </w:rPr>
            </w:pPr>
            <w:r w:rsidRPr="00941AD3">
              <w:rPr>
                <w:sz w:val="20"/>
                <w:lang w:val="fr-CA"/>
              </w:rPr>
              <w:t>(Ont.) (Civile) (Sur autorisation)</w:t>
            </w:r>
          </w:p>
        </w:tc>
      </w:tr>
      <w:tr w:rsidR="00007A53" w:rsidRPr="00326CE3" w:rsidTr="00E95A6A">
        <w:tc>
          <w:tcPr>
            <w:tcW w:w="5000" w:type="pct"/>
            <w:gridSpan w:val="4"/>
          </w:tcPr>
          <w:p w:rsidR="00007A53" w:rsidRPr="00941AD3" w:rsidRDefault="00007A53" w:rsidP="00007A53">
            <w:pPr>
              <w:jc w:val="both"/>
              <w:rPr>
                <w:sz w:val="20"/>
                <w:lang w:val="fr-CA"/>
              </w:rPr>
            </w:pPr>
            <w:r w:rsidRPr="00941AD3">
              <w:rPr>
                <w:sz w:val="20"/>
                <w:lang w:val="fr-CA"/>
              </w:rPr>
              <w:t xml:space="preserve">Droit des professions — Avocats et procureurs — Frais des procureurs — Liquidation du mémoire — Appels — Juridictions inférieures confirmant la liquidation, par le liquidateur des dépens, de quatre comptes soumis par d’anciens procureurs — Faut-il interpréter l’art. 3 de la </w:t>
            </w:r>
            <w:r w:rsidRPr="00941AD3">
              <w:rPr>
                <w:i/>
                <w:sz w:val="20"/>
                <w:lang w:val="fr-CA"/>
              </w:rPr>
              <w:t xml:space="preserve">Loi sur les procureurs </w:t>
            </w:r>
            <w:r w:rsidRPr="00941AD3">
              <w:rPr>
                <w:iCs/>
                <w:sz w:val="20"/>
                <w:lang w:val="fr-CA"/>
              </w:rPr>
              <w:t>de l’Ontario, L.R.O.</w:t>
            </w:r>
            <w:r w:rsidRPr="00941AD3">
              <w:rPr>
                <w:sz w:val="20"/>
                <w:lang w:val="fr-CA"/>
              </w:rPr>
              <w:t xml:space="preserve"> 1990, c. S.15, comme permettant au liquidateur des dépens de trancher les questions concernant l’étendue du mandat du procureur?</w:t>
            </w:r>
          </w:p>
        </w:tc>
      </w:tr>
      <w:tr w:rsidR="00007A53" w:rsidRPr="00941AD3" w:rsidTr="00E95A6A">
        <w:tc>
          <w:tcPr>
            <w:tcW w:w="5000" w:type="pct"/>
            <w:gridSpan w:val="4"/>
          </w:tcPr>
          <w:p w:rsidR="00007A53" w:rsidRPr="00941AD3" w:rsidRDefault="00007A53" w:rsidP="00007A53">
            <w:pPr>
              <w:jc w:val="both"/>
              <w:rPr>
                <w:sz w:val="20"/>
                <w:lang w:val="fr-CA"/>
              </w:rPr>
            </w:pPr>
          </w:p>
          <w:p w:rsidR="00007A53" w:rsidRPr="00941AD3" w:rsidRDefault="00007A53" w:rsidP="00007A53">
            <w:pPr>
              <w:jc w:val="both"/>
              <w:rPr>
                <w:sz w:val="20"/>
                <w:lang w:val="fr-CA"/>
              </w:rPr>
            </w:pPr>
            <w:r w:rsidRPr="00941AD3">
              <w:rPr>
                <w:sz w:val="20"/>
                <w:lang w:val="fr-CA"/>
              </w:rPr>
              <w:t xml:space="preserve">Une requête a été présentée par les procureurs défendeurs contre les quatre entités OZ demanderesse et leur mandant, Omur Sezerman, en vue d’obtenir la liquidation de compte dus. Une ordonnance de liquidation des dépens a été rendue en vertu de l’art. 3 de la </w:t>
            </w:r>
            <w:r w:rsidRPr="00941AD3">
              <w:rPr>
                <w:i/>
                <w:sz w:val="20"/>
                <w:lang w:val="fr-CA"/>
              </w:rPr>
              <w:t xml:space="preserve">Loi sur les procureurs </w:t>
            </w:r>
            <w:r w:rsidRPr="00941AD3">
              <w:rPr>
                <w:iCs/>
                <w:sz w:val="20"/>
                <w:lang w:val="fr-CA"/>
              </w:rPr>
              <w:t>de l’Ontario, L.R.O.</w:t>
            </w:r>
            <w:r w:rsidRPr="00941AD3">
              <w:rPr>
                <w:sz w:val="20"/>
                <w:lang w:val="fr-CA"/>
              </w:rPr>
              <w:t xml:space="preserve"> 1990, c. S.15. La motion visant à faire annuler l’ordonnance de liquidation a été rejetée. Le liquidateur des dépens a liquidé chacun des comptes et confirmé le total réclamé de 148 120,95 $. Les entités OZ ont fait appel de l’ordonnance de liquidation à la Cour supérieure, qui a confirmé le certificat de liquidation. L’appel interjeté à la Cour d’appel a été rejeté.</w:t>
            </w:r>
          </w:p>
        </w:tc>
      </w:tr>
      <w:tr w:rsidR="00007A53" w:rsidRPr="00941AD3" w:rsidTr="00E95A6A">
        <w:tc>
          <w:tcPr>
            <w:tcW w:w="5000" w:type="pct"/>
            <w:gridSpan w:val="4"/>
          </w:tcPr>
          <w:p w:rsidR="00007A53" w:rsidRPr="00941AD3" w:rsidRDefault="00007A53" w:rsidP="00007A53">
            <w:pPr>
              <w:jc w:val="both"/>
              <w:rPr>
                <w:sz w:val="20"/>
                <w:lang w:val="fr-CA"/>
              </w:rPr>
            </w:pPr>
          </w:p>
        </w:tc>
      </w:tr>
      <w:tr w:rsidR="00007A53" w:rsidRPr="00326CE3" w:rsidTr="00E95A6A">
        <w:tc>
          <w:tcPr>
            <w:tcW w:w="2427" w:type="pct"/>
            <w:gridSpan w:val="2"/>
          </w:tcPr>
          <w:p w:rsidR="00007A53" w:rsidRPr="00941AD3" w:rsidRDefault="00007A53" w:rsidP="00007A53">
            <w:pPr>
              <w:jc w:val="both"/>
              <w:rPr>
                <w:sz w:val="20"/>
                <w:lang w:val="fr-CA"/>
              </w:rPr>
            </w:pPr>
            <w:r w:rsidRPr="00941AD3">
              <w:rPr>
                <w:sz w:val="20"/>
                <w:lang w:val="fr-CA"/>
              </w:rPr>
              <w:t>13 août 2015</w:t>
            </w:r>
          </w:p>
          <w:p w:rsidR="00007A53" w:rsidRPr="00941AD3" w:rsidRDefault="00007A53" w:rsidP="00007A53">
            <w:pPr>
              <w:jc w:val="both"/>
              <w:rPr>
                <w:sz w:val="20"/>
                <w:lang w:val="fr-CA"/>
              </w:rPr>
            </w:pPr>
            <w:r w:rsidRPr="00941AD3">
              <w:rPr>
                <w:sz w:val="20"/>
                <w:lang w:val="fr-CA"/>
              </w:rPr>
              <w:t xml:space="preserve">Cour supérieure de l’Ontario </w:t>
            </w:r>
          </w:p>
          <w:p w:rsidR="00007A53" w:rsidRPr="00941AD3" w:rsidRDefault="00007A53" w:rsidP="00007A53">
            <w:pPr>
              <w:jc w:val="both"/>
              <w:rPr>
                <w:sz w:val="20"/>
                <w:lang w:val="fr-CA"/>
              </w:rPr>
            </w:pPr>
            <w:r w:rsidRPr="00941AD3">
              <w:rPr>
                <w:sz w:val="20"/>
                <w:lang w:val="fr-CA"/>
              </w:rPr>
              <w:t>(le juge Beaudoin)</w:t>
            </w:r>
          </w:p>
          <w:p w:rsidR="00007A53" w:rsidRPr="00941AD3" w:rsidRDefault="00007A53" w:rsidP="00007A53">
            <w:pPr>
              <w:jc w:val="both"/>
              <w:rPr>
                <w:sz w:val="20"/>
                <w:lang w:val="fr-CA"/>
              </w:rPr>
            </w:pP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La motion visant à faire annuler l’ordonnance de liquidation est rejetée.</w:t>
            </w:r>
          </w:p>
        </w:tc>
      </w:tr>
      <w:tr w:rsidR="00007A53" w:rsidRPr="00326CE3" w:rsidTr="00E95A6A">
        <w:tc>
          <w:tcPr>
            <w:tcW w:w="2427" w:type="pct"/>
            <w:gridSpan w:val="2"/>
          </w:tcPr>
          <w:p w:rsidR="00007A53" w:rsidRPr="00941AD3" w:rsidRDefault="00007A53" w:rsidP="00007A53">
            <w:pPr>
              <w:jc w:val="both"/>
              <w:rPr>
                <w:sz w:val="20"/>
                <w:lang w:val="fr-CA"/>
              </w:rPr>
            </w:pPr>
            <w:r w:rsidRPr="00941AD3">
              <w:rPr>
                <w:sz w:val="20"/>
                <w:lang w:val="fr-CA"/>
              </w:rPr>
              <w:t>27 novembre 2015</w:t>
            </w:r>
          </w:p>
          <w:p w:rsidR="00007A53" w:rsidRPr="00941AD3" w:rsidRDefault="00007A53" w:rsidP="00007A53">
            <w:pPr>
              <w:jc w:val="both"/>
              <w:rPr>
                <w:sz w:val="20"/>
                <w:lang w:val="fr-CA"/>
              </w:rPr>
            </w:pPr>
            <w:r w:rsidRPr="00941AD3">
              <w:rPr>
                <w:sz w:val="20"/>
                <w:lang w:val="fr-CA"/>
              </w:rPr>
              <w:t xml:space="preserve">Cour supérieure de l’Ontario </w:t>
            </w:r>
          </w:p>
          <w:p w:rsidR="00007A53" w:rsidRPr="00941AD3" w:rsidRDefault="00007A53" w:rsidP="00007A53">
            <w:pPr>
              <w:jc w:val="both"/>
              <w:rPr>
                <w:sz w:val="20"/>
                <w:lang w:val="fr-CA"/>
              </w:rPr>
            </w:pPr>
            <w:r w:rsidRPr="00941AD3">
              <w:rPr>
                <w:sz w:val="20"/>
                <w:lang w:val="fr-CA"/>
              </w:rPr>
              <w:t>(le juge McLean)</w:t>
            </w:r>
          </w:p>
          <w:p w:rsidR="00007A53" w:rsidRPr="00941AD3" w:rsidRDefault="00007A53" w:rsidP="00007A53">
            <w:pPr>
              <w:jc w:val="both"/>
              <w:rPr>
                <w:sz w:val="20"/>
                <w:lang w:val="fr-CA"/>
              </w:rPr>
            </w:pP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L’autorisation d’interjeter appel de la décision du juge Beaudoin est rejetée.</w:t>
            </w:r>
          </w:p>
        </w:tc>
      </w:tr>
      <w:tr w:rsidR="00007A53" w:rsidRPr="00326CE3" w:rsidTr="00E95A6A">
        <w:tc>
          <w:tcPr>
            <w:tcW w:w="2427" w:type="pct"/>
            <w:gridSpan w:val="2"/>
          </w:tcPr>
          <w:p w:rsidR="00007A53" w:rsidRPr="00941AD3" w:rsidRDefault="00007A53" w:rsidP="00007A53">
            <w:pPr>
              <w:jc w:val="both"/>
              <w:rPr>
                <w:sz w:val="20"/>
                <w:lang w:val="fr-CA"/>
              </w:rPr>
            </w:pPr>
            <w:r w:rsidRPr="00941AD3">
              <w:rPr>
                <w:sz w:val="20"/>
                <w:lang w:val="fr-CA"/>
              </w:rPr>
              <w:t>8 juin 2020</w:t>
            </w:r>
          </w:p>
          <w:p w:rsidR="00007A53" w:rsidRPr="00941AD3" w:rsidRDefault="00007A53" w:rsidP="00007A53">
            <w:pPr>
              <w:jc w:val="both"/>
              <w:rPr>
                <w:sz w:val="20"/>
                <w:lang w:val="fr-CA"/>
              </w:rPr>
            </w:pPr>
            <w:r w:rsidRPr="00941AD3">
              <w:rPr>
                <w:sz w:val="20"/>
                <w:lang w:val="fr-CA"/>
              </w:rPr>
              <w:t xml:space="preserve">Décision du liquidateur </w:t>
            </w:r>
          </w:p>
          <w:p w:rsidR="00007A53" w:rsidRPr="00941AD3" w:rsidRDefault="00007A53" w:rsidP="00007A53">
            <w:pPr>
              <w:jc w:val="both"/>
              <w:rPr>
                <w:sz w:val="20"/>
                <w:lang w:val="fr-CA"/>
              </w:rPr>
            </w:pPr>
            <w:r w:rsidRPr="00941AD3">
              <w:rPr>
                <w:sz w:val="20"/>
                <w:lang w:val="fr-CA"/>
              </w:rPr>
              <w:t>(L. Bender)</w:t>
            </w: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Le liquidateur des dépens confirme les quatre comptes soumis par les procureurs pour le total réclamé de 148 120,95 $.</w:t>
            </w:r>
          </w:p>
          <w:p w:rsidR="00007A53" w:rsidRPr="00941AD3" w:rsidRDefault="00007A53" w:rsidP="00007A53">
            <w:pPr>
              <w:jc w:val="both"/>
              <w:rPr>
                <w:sz w:val="20"/>
                <w:lang w:val="fr-CA"/>
              </w:rPr>
            </w:pPr>
          </w:p>
        </w:tc>
      </w:tr>
      <w:tr w:rsidR="00007A53" w:rsidRPr="00941AD3" w:rsidTr="00E95A6A">
        <w:tc>
          <w:tcPr>
            <w:tcW w:w="2427" w:type="pct"/>
            <w:gridSpan w:val="2"/>
          </w:tcPr>
          <w:p w:rsidR="00007A53" w:rsidRPr="00941AD3" w:rsidRDefault="00007A53" w:rsidP="00007A53">
            <w:pPr>
              <w:jc w:val="both"/>
              <w:rPr>
                <w:sz w:val="20"/>
                <w:lang w:val="fr-CA"/>
              </w:rPr>
            </w:pPr>
            <w:r w:rsidRPr="00941AD3">
              <w:rPr>
                <w:sz w:val="20"/>
                <w:lang w:val="fr-CA"/>
              </w:rPr>
              <w:t>1</w:t>
            </w:r>
            <w:r w:rsidRPr="00941AD3">
              <w:rPr>
                <w:sz w:val="20"/>
                <w:vertAlign w:val="superscript"/>
                <w:lang w:val="fr-CA"/>
              </w:rPr>
              <w:t>er</w:t>
            </w:r>
            <w:r w:rsidRPr="00941AD3">
              <w:rPr>
                <w:sz w:val="20"/>
                <w:lang w:val="fr-CA"/>
              </w:rPr>
              <w:t xml:space="preserve"> avril 2021</w:t>
            </w:r>
          </w:p>
          <w:p w:rsidR="00007A53" w:rsidRPr="00941AD3" w:rsidRDefault="00007A53" w:rsidP="00007A53">
            <w:pPr>
              <w:jc w:val="both"/>
              <w:rPr>
                <w:sz w:val="20"/>
                <w:lang w:val="fr-CA"/>
              </w:rPr>
            </w:pPr>
            <w:r w:rsidRPr="00941AD3">
              <w:rPr>
                <w:sz w:val="20"/>
                <w:lang w:val="fr-CA"/>
              </w:rPr>
              <w:t xml:space="preserve">Cour supérieure de justice de l’Ontario </w:t>
            </w:r>
          </w:p>
          <w:p w:rsidR="00007A53" w:rsidRPr="00941AD3" w:rsidRDefault="00007A53" w:rsidP="00007A53">
            <w:pPr>
              <w:jc w:val="both"/>
              <w:rPr>
                <w:sz w:val="20"/>
                <w:lang w:val="fr-CA"/>
              </w:rPr>
            </w:pPr>
            <w:r w:rsidRPr="00941AD3">
              <w:rPr>
                <w:sz w:val="20"/>
                <w:lang w:val="fr-CA"/>
              </w:rPr>
              <w:t>(le juge Phillips)</w:t>
            </w:r>
          </w:p>
          <w:p w:rsidR="00007A53" w:rsidRPr="00941AD3" w:rsidRDefault="00007A53" w:rsidP="00007A53">
            <w:pPr>
              <w:jc w:val="both"/>
              <w:rPr>
                <w:sz w:val="20"/>
                <w:lang w:val="fr-CA"/>
              </w:rPr>
            </w:pP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La motion en révision de la décision du liquidateur est rejetée. Le certificat de liquidation est confirmé.</w:t>
            </w:r>
          </w:p>
          <w:p w:rsidR="00007A53" w:rsidRPr="00941AD3" w:rsidRDefault="00007A53" w:rsidP="00007A53">
            <w:pPr>
              <w:jc w:val="both"/>
              <w:rPr>
                <w:sz w:val="20"/>
                <w:lang w:val="fr-CA"/>
              </w:rPr>
            </w:pPr>
          </w:p>
        </w:tc>
      </w:tr>
      <w:tr w:rsidR="00007A53" w:rsidRPr="00941AD3" w:rsidTr="00E95A6A">
        <w:tc>
          <w:tcPr>
            <w:tcW w:w="2427" w:type="pct"/>
            <w:gridSpan w:val="2"/>
          </w:tcPr>
          <w:p w:rsidR="00007A53" w:rsidRPr="00941AD3" w:rsidRDefault="00007A53" w:rsidP="00007A53">
            <w:pPr>
              <w:jc w:val="both"/>
              <w:rPr>
                <w:sz w:val="20"/>
                <w:lang w:val="fr-CA"/>
              </w:rPr>
            </w:pPr>
            <w:r w:rsidRPr="00941AD3">
              <w:rPr>
                <w:sz w:val="20"/>
                <w:lang w:val="fr-CA"/>
              </w:rPr>
              <w:t>1</w:t>
            </w:r>
            <w:r w:rsidRPr="00941AD3">
              <w:rPr>
                <w:sz w:val="20"/>
                <w:vertAlign w:val="superscript"/>
                <w:lang w:val="fr-CA"/>
              </w:rPr>
              <w:t>er</w:t>
            </w:r>
            <w:r w:rsidRPr="00941AD3">
              <w:rPr>
                <w:sz w:val="20"/>
                <w:lang w:val="fr-CA"/>
              </w:rPr>
              <w:t xml:space="preserve"> mars 2022</w:t>
            </w:r>
          </w:p>
          <w:p w:rsidR="00007A53" w:rsidRPr="00941AD3" w:rsidRDefault="00007A53" w:rsidP="00007A53">
            <w:pPr>
              <w:jc w:val="both"/>
              <w:rPr>
                <w:sz w:val="20"/>
                <w:lang w:val="fr-CA"/>
              </w:rPr>
            </w:pPr>
            <w:r w:rsidRPr="00941AD3">
              <w:rPr>
                <w:sz w:val="20"/>
                <w:lang w:val="fr-CA"/>
              </w:rPr>
              <w:t>Cour d’appel de l’Ontario</w:t>
            </w:r>
          </w:p>
          <w:p w:rsidR="00007A53" w:rsidRPr="00941AD3" w:rsidRDefault="00007A53" w:rsidP="00007A53">
            <w:pPr>
              <w:jc w:val="both"/>
              <w:rPr>
                <w:sz w:val="20"/>
                <w:lang w:val="fr-CA"/>
              </w:rPr>
            </w:pPr>
            <w:r w:rsidRPr="00941AD3">
              <w:rPr>
                <w:sz w:val="20"/>
                <w:lang w:val="fr-CA"/>
              </w:rPr>
              <w:t>(les juges Feldman, MacPherson et Lauwers)</w:t>
            </w:r>
          </w:p>
          <w:p w:rsidR="00007A53" w:rsidRPr="00941AD3" w:rsidRDefault="00326CE3" w:rsidP="00007A53">
            <w:pPr>
              <w:jc w:val="both"/>
              <w:rPr>
                <w:sz w:val="20"/>
                <w:lang w:val="fr-CA"/>
              </w:rPr>
            </w:pPr>
            <w:hyperlink r:id="rId28" w:history="1">
              <w:r w:rsidR="00007A53" w:rsidRPr="00941AD3">
                <w:rPr>
                  <w:rStyle w:val="Hyperlink"/>
                  <w:sz w:val="20"/>
                  <w:lang w:val="fr-CA"/>
                </w:rPr>
                <w:t>2022 ONCA 169</w:t>
              </w:r>
            </w:hyperlink>
          </w:p>
          <w:p w:rsidR="00007A53" w:rsidRPr="00941AD3" w:rsidRDefault="00007A53" w:rsidP="00007A53">
            <w:pPr>
              <w:jc w:val="both"/>
              <w:rPr>
                <w:sz w:val="20"/>
                <w:lang w:val="fr-CA"/>
              </w:rPr>
            </w:pPr>
            <w:r w:rsidRPr="00941AD3">
              <w:rPr>
                <w:sz w:val="20"/>
                <w:lang w:val="fr-CA"/>
              </w:rPr>
              <w:t>Dossier n</w:t>
            </w:r>
            <w:r w:rsidRPr="00941AD3">
              <w:rPr>
                <w:sz w:val="20"/>
                <w:vertAlign w:val="superscript"/>
                <w:lang w:val="fr-CA"/>
              </w:rPr>
              <w:t>o</w:t>
            </w:r>
            <w:r w:rsidRPr="00941AD3">
              <w:rPr>
                <w:sz w:val="20"/>
                <w:lang w:val="fr-CA"/>
              </w:rPr>
              <w:t xml:space="preserve"> C69386</w:t>
            </w:r>
          </w:p>
          <w:p w:rsidR="00007A53" w:rsidRPr="00941AD3" w:rsidRDefault="00007A53" w:rsidP="00007A53">
            <w:pPr>
              <w:jc w:val="both"/>
              <w:rPr>
                <w:sz w:val="20"/>
                <w:lang w:val="fr-CA"/>
              </w:rPr>
            </w:pP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L’appel est rejeté.</w:t>
            </w:r>
          </w:p>
          <w:p w:rsidR="00007A53" w:rsidRPr="00941AD3" w:rsidRDefault="00007A53" w:rsidP="00007A53">
            <w:pPr>
              <w:jc w:val="both"/>
              <w:rPr>
                <w:sz w:val="20"/>
                <w:lang w:val="fr-CA"/>
              </w:rPr>
            </w:pPr>
          </w:p>
        </w:tc>
      </w:tr>
      <w:tr w:rsidR="00007A53" w:rsidRPr="00326CE3" w:rsidTr="00E95A6A">
        <w:tc>
          <w:tcPr>
            <w:tcW w:w="2427" w:type="pct"/>
            <w:gridSpan w:val="2"/>
          </w:tcPr>
          <w:p w:rsidR="00007A53" w:rsidRPr="00941AD3" w:rsidRDefault="00007A53" w:rsidP="00007A53">
            <w:pPr>
              <w:jc w:val="both"/>
              <w:rPr>
                <w:sz w:val="20"/>
                <w:lang w:val="fr-CA"/>
              </w:rPr>
            </w:pPr>
            <w:r w:rsidRPr="00941AD3">
              <w:rPr>
                <w:sz w:val="20"/>
                <w:lang w:val="fr-CA"/>
              </w:rPr>
              <w:t>27 avril 2022</w:t>
            </w:r>
          </w:p>
          <w:p w:rsidR="00007A53" w:rsidRPr="00941AD3" w:rsidRDefault="00007A53" w:rsidP="00007A53">
            <w:pPr>
              <w:jc w:val="both"/>
              <w:rPr>
                <w:sz w:val="20"/>
                <w:lang w:val="fr-CA"/>
              </w:rPr>
            </w:pPr>
            <w:r w:rsidRPr="00941AD3">
              <w:rPr>
                <w:sz w:val="20"/>
                <w:lang w:val="fr-CA"/>
              </w:rPr>
              <w:t>Cour suprême du Canada</w:t>
            </w: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La demande d’autorisation d’appel est présentée.</w:t>
            </w:r>
          </w:p>
        </w:tc>
      </w:tr>
    </w:tbl>
    <w:p w:rsidR="00007A53" w:rsidRPr="00941AD3" w:rsidRDefault="00007A53" w:rsidP="00007A53">
      <w:pPr>
        <w:jc w:val="both"/>
        <w:rPr>
          <w:sz w:val="20"/>
          <w:lang w:val="fr-CA"/>
        </w:rPr>
      </w:pPr>
    </w:p>
    <w:p w:rsidR="00007A53" w:rsidRPr="00941AD3" w:rsidRDefault="00326CE3" w:rsidP="00007A53">
      <w:pPr>
        <w:jc w:val="both"/>
        <w:rPr>
          <w:sz w:val="20"/>
          <w:lang w:val="fr-CA"/>
        </w:rPr>
      </w:pPr>
      <w:r>
        <w:rPr>
          <w:sz w:val="20"/>
        </w:rPr>
        <w:pict>
          <v:rect id="_x0000_i1038" style="width:2in;height:1pt" o:hrpct="0" o:hralign="center" o:hrstd="t" o:hrnoshade="t" o:hr="t" fillcolor="black [3213]" stroked="f"/>
        </w:pict>
      </w:r>
    </w:p>
    <w:p w:rsidR="0068648F" w:rsidRPr="00941AD3" w:rsidRDefault="0068648F" w:rsidP="00007A5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07A53" w:rsidRPr="00941AD3" w:rsidTr="00E95A6A">
        <w:tc>
          <w:tcPr>
            <w:tcW w:w="543" w:type="pct"/>
          </w:tcPr>
          <w:p w:rsidR="00007A53" w:rsidRPr="00941AD3" w:rsidRDefault="00007A53" w:rsidP="00007A53">
            <w:pPr>
              <w:jc w:val="both"/>
              <w:rPr>
                <w:sz w:val="20"/>
              </w:rPr>
            </w:pPr>
            <w:r w:rsidRPr="00941AD3">
              <w:rPr>
                <w:rStyle w:val="SCCFileNumberChar"/>
                <w:sz w:val="20"/>
                <w:szCs w:val="20"/>
              </w:rPr>
              <w:t>40211</w:t>
            </w:r>
          </w:p>
        </w:tc>
        <w:tc>
          <w:tcPr>
            <w:tcW w:w="4457" w:type="pct"/>
            <w:gridSpan w:val="3"/>
          </w:tcPr>
          <w:p w:rsidR="00007A53" w:rsidRPr="00941AD3" w:rsidRDefault="00007A53" w:rsidP="00007A53">
            <w:pPr>
              <w:pStyle w:val="SCCLsocParty"/>
              <w:jc w:val="both"/>
              <w:rPr>
                <w:b/>
                <w:sz w:val="20"/>
                <w:szCs w:val="20"/>
                <w:lang w:val="en-US"/>
              </w:rPr>
            </w:pPr>
            <w:r w:rsidRPr="00941AD3">
              <w:rPr>
                <w:b/>
                <w:sz w:val="20"/>
                <w:szCs w:val="20"/>
                <w:lang w:val="en-US"/>
              </w:rPr>
              <w:t>Edward C. Gokey, Diane B. Gokey v. Gordon F. Usher and Patricia Ann Parsons, Attorney General of British Columbia</w:t>
            </w:r>
          </w:p>
          <w:p w:rsidR="00007A53" w:rsidRPr="00941AD3" w:rsidRDefault="00007A53" w:rsidP="00007A53">
            <w:pPr>
              <w:jc w:val="both"/>
              <w:rPr>
                <w:sz w:val="20"/>
              </w:rPr>
            </w:pPr>
            <w:r w:rsidRPr="00941AD3">
              <w:rPr>
                <w:sz w:val="20"/>
              </w:rPr>
              <w:t>(B.C.) (Civil) (By Leave)</w:t>
            </w:r>
          </w:p>
        </w:tc>
      </w:tr>
      <w:tr w:rsidR="00007A53" w:rsidRPr="00941AD3" w:rsidTr="00E95A6A">
        <w:tc>
          <w:tcPr>
            <w:tcW w:w="5000" w:type="pct"/>
            <w:gridSpan w:val="4"/>
          </w:tcPr>
          <w:p w:rsidR="00007A53" w:rsidRPr="00941AD3" w:rsidRDefault="00007A53" w:rsidP="00007A53">
            <w:pPr>
              <w:jc w:val="both"/>
              <w:rPr>
                <w:sz w:val="20"/>
              </w:rPr>
            </w:pPr>
            <w:r w:rsidRPr="00941AD3">
              <w:rPr>
                <w:i/>
                <w:sz w:val="20"/>
              </w:rPr>
              <w:t>Charter of Rights and Freedoms</w:t>
            </w:r>
            <w:r w:rsidRPr="00941AD3">
              <w:rPr>
                <w:sz w:val="20"/>
              </w:rPr>
              <w:t xml:space="preserve"> — Right to equality — Courts — Jurisdiction — Appeals — Whether s. 6(2) of the </w:t>
            </w:r>
            <w:r w:rsidRPr="00941AD3">
              <w:rPr>
                <w:i/>
                <w:sz w:val="20"/>
              </w:rPr>
              <w:t>Court of Appeal Act</w:t>
            </w:r>
            <w:r w:rsidRPr="00941AD3">
              <w:rPr>
                <w:sz w:val="20"/>
              </w:rPr>
              <w:t xml:space="preserve">, R.S.B.C. 1996, c. 77 and s. 13(2) of the </w:t>
            </w:r>
            <w:r w:rsidRPr="00941AD3">
              <w:rPr>
                <w:i/>
                <w:sz w:val="20"/>
              </w:rPr>
              <w:t>Small Claims Act</w:t>
            </w:r>
            <w:r w:rsidRPr="00941AD3">
              <w:rPr>
                <w:sz w:val="20"/>
              </w:rPr>
              <w:t xml:space="preserve">, R.S.B.C. 1996, c. 430, which provide in combined effect that the Court of Appeal has no jurisdiction to hear appeals for small claims actions, breach s. 15 of the </w:t>
            </w:r>
            <w:r w:rsidRPr="00941AD3">
              <w:rPr>
                <w:i/>
                <w:sz w:val="20"/>
              </w:rPr>
              <w:t>Charter</w:t>
            </w:r>
            <w:r w:rsidRPr="00941AD3">
              <w:rPr>
                <w:sz w:val="20"/>
              </w:rPr>
              <w:t>.</w:t>
            </w:r>
          </w:p>
        </w:tc>
      </w:tr>
      <w:tr w:rsidR="00007A53" w:rsidRPr="00941AD3" w:rsidTr="00E95A6A">
        <w:tc>
          <w:tcPr>
            <w:tcW w:w="5000" w:type="pct"/>
            <w:gridSpan w:val="4"/>
          </w:tcPr>
          <w:p w:rsidR="00007A53" w:rsidRPr="00941AD3" w:rsidRDefault="00007A53" w:rsidP="00007A53">
            <w:pPr>
              <w:jc w:val="both"/>
              <w:rPr>
                <w:sz w:val="20"/>
              </w:rPr>
            </w:pPr>
          </w:p>
          <w:p w:rsidR="00007A53" w:rsidRPr="00941AD3" w:rsidRDefault="00007A53" w:rsidP="00007A53">
            <w:pPr>
              <w:jc w:val="both"/>
              <w:rPr>
                <w:sz w:val="20"/>
              </w:rPr>
            </w:pPr>
            <w:r w:rsidRPr="00941AD3">
              <w:rPr>
                <w:sz w:val="20"/>
              </w:rPr>
              <w:t xml:space="preserve">The Gokeys and their neighbours, Mr. Usher and Ms. Parsons, had competing claims over the use of a water well on their shared property line. In 2016, the Small Claims Division of the Provincial Court of British Columbia ordered the Gokeys pay for an easement around the well and for half of the costs of preparing the easement. In 2018, the Supreme Court of British Columbia dismissed the Gokeys’ appeal and their application to reconsider that decision, and rejected a further application for clarification. The Court of Appeal quashed the appeals for want of jurisdiction, confirming the legislature had constitutional authority to limit the court’s jurisdiction to hear appeals and the fact that other provinces may provide greater appeal rights cannot form the sole basis of </w:t>
            </w:r>
            <w:proofErr w:type="gramStart"/>
            <w:r w:rsidRPr="00941AD3">
              <w:rPr>
                <w:sz w:val="20"/>
              </w:rPr>
              <w:t>a</w:t>
            </w:r>
            <w:proofErr w:type="gramEnd"/>
            <w:r w:rsidRPr="00941AD3">
              <w:rPr>
                <w:sz w:val="20"/>
              </w:rPr>
              <w:t xml:space="preserve"> s. 15 </w:t>
            </w:r>
            <w:r w:rsidRPr="00941AD3">
              <w:rPr>
                <w:i/>
                <w:sz w:val="20"/>
              </w:rPr>
              <w:t>Charter</w:t>
            </w:r>
            <w:r w:rsidRPr="00941AD3">
              <w:rPr>
                <w:sz w:val="20"/>
              </w:rPr>
              <w:t xml:space="preserve"> challenge.</w:t>
            </w:r>
          </w:p>
        </w:tc>
      </w:tr>
      <w:tr w:rsidR="00007A53" w:rsidRPr="00941AD3" w:rsidTr="00E95A6A">
        <w:tc>
          <w:tcPr>
            <w:tcW w:w="5000" w:type="pct"/>
            <w:gridSpan w:val="4"/>
          </w:tcPr>
          <w:p w:rsidR="00007A53" w:rsidRPr="00941AD3" w:rsidRDefault="00007A53" w:rsidP="00007A53">
            <w:pPr>
              <w:jc w:val="both"/>
              <w:rPr>
                <w:sz w:val="20"/>
              </w:rPr>
            </w:pPr>
          </w:p>
        </w:tc>
      </w:tr>
      <w:tr w:rsidR="00007A53" w:rsidRPr="00941AD3" w:rsidTr="00E95A6A">
        <w:tc>
          <w:tcPr>
            <w:tcW w:w="2427" w:type="pct"/>
            <w:gridSpan w:val="2"/>
          </w:tcPr>
          <w:p w:rsidR="00007A53" w:rsidRPr="00941AD3" w:rsidRDefault="00007A53" w:rsidP="00007A53">
            <w:pPr>
              <w:jc w:val="both"/>
              <w:rPr>
                <w:sz w:val="20"/>
              </w:rPr>
            </w:pPr>
            <w:r w:rsidRPr="00941AD3">
              <w:rPr>
                <w:sz w:val="20"/>
              </w:rPr>
              <w:t>June 9, 2017</w:t>
            </w:r>
          </w:p>
          <w:p w:rsidR="00007A53" w:rsidRPr="00941AD3" w:rsidRDefault="00007A53" w:rsidP="00007A53">
            <w:pPr>
              <w:jc w:val="both"/>
              <w:rPr>
                <w:sz w:val="20"/>
              </w:rPr>
            </w:pPr>
            <w:r w:rsidRPr="00941AD3">
              <w:rPr>
                <w:sz w:val="20"/>
              </w:rPr>
              <w:t>Provincial Court of British Columbia</w:t>
            </w:r>
          </w:p>
          <w:p w:rsidR="00007A53" w:rsidRPr="00941AD3" w:rsidRDefault="00007A53" w:rsidP="00007A53">
            <w:pPr>
              <w:jc w:val="both"/>
              <w:rPr>
                <w:sz w:val="20"/>
              </w:rPr>
            </w:pPr>
            <w:r w:rsidRPr="00941AD3">
              <w:rPr>
                <w:sz w:val="20"/>
              </w:rPr>
              <w:t xml:space="preserve">Small Claims Division </w:t>
            </w:r>
          </w:p>
          <w:p w:rsidR="00007A53" w:rsidRPr="00941AD3" w:rsidRDefault="00007A53" w:rsidP="00007A53">
            <w:pPr>
              <w:jc w:val="both"/>
              <w:rPr>
                <w:sz w:val="20"/>
              </w:rPr>
            </w:pPr>
            <w:r w:rsidRPr="00941AD3">
              <w:rPr>
                <w:sz w:val="20"/>
              </w:rPr>
              <w:t>(Seidemann J.)(Unreported); File No. 1841</w:t>
            </w:r>
          </w:p>
          <w:p w:rsidR="00007A53" w:rsidRPr="00941AD3" w:rsidRDefault="00007A53" w:rsidP="00007A53">
            <w:pPr>
              <w:jc w:val="both"/>
              <w:rPr>
                <w:sz w:val="20"/>
              </w:rPr>
            </w:pP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Award of $5,621.62 granted to Mr. Usher and Ms. Parsons</w:t>
            </w:r>
          </w:p>
        </w:tc>
      </w:tr>
      <w:tr w:rsidR="00007A53" w:rsidRPr="00941AD3" w:rsidTr="00E95A6A">
        <w:tc>
          <w:tcPr>
            <w:tcW w:w="2427" w:type="pct"/>
            <w:gridSpan w:val="2"/>
          </w:tcPr>
          <w:p w:rsidR="00007A53" w:rsidRPr="00941AD3" w:rsidRDefault="00007A53" w:rsidP="00007A53">
            <w:pPr>
              <w:jc w:val="both"/>
              <w:rPr>
                <w:sz w:val="20"/>
              </w:rPr>
            </w:pPr>
            <w:r w:rsidRPr="00941AD3">
              <w:rPr>
                <w:sz w:val="20"/>
              </w:rPr>
              <w:t>January 17, 2018</w:t>
            </w:r>
          </w:p>
          <w:p w:rsidR="00007A53" w:rsidRPr="00941AD3" w:rsidRDefault="00007A53" w:rsidP="00007A53">
            <w:pPr>
              <w:jc w:val="both"/>
              <w:rPr>
                <w:sz w:val="20"/>
              </w:rPr>
            </w:pPr>
            <w:r w:rsidRPr="00941AD3">
              <w:rPr>
                <w:sz w:val="20"/>
              </w:rPr>
              <w:t>Supreme Court of British Columbia</w:t>
            </w:r>
          </w:p>
          <w:p w:rsidR="00007A53" w:rsidRPr="00941AD3" w:rsidRDefault="00007A53" w:rsidP="00007A53">
            <w:pPr>
              <w:jc w:val="both"/>
              <w:rPr>
                <w:sz w:val="20"/>
              </w:rPr>
            </w:pPr>
            <w:r w:rsidRPr="00941AD3">
              <w:rPr>
                <w:sz w:val="20"/>
              </w:rPr>
              <w:t>(Punnett J.)</w:t>
            </w:r>
          </w:p>
          <w:p w:rsidR="00007A53" w:rsidRPr="00941AD3" w:rsidRDefault="00326CE3" w:rsidP="00007A53">
            <w:pPr>
              <w:jc w:val="both"/>
              <w:rPr>
                <w:sz w:val="20"/>
              </w:rPr>
            </w:pPr>
            <w:hyperlink r:id="rId29" w:history="1">
              <w:r w:rsidR="00007A53" w:rsidRPr="00941AD3">
                <w:rPr>
                  <w:rStyle w:val="Hyperlink"/>
                  <w:sz w:val="20"/>
                </w:rPr>
                <w:t>2018 BCSC 60</w:t>
              </w:r>
            </w:hyperlink>
            <w:r w:rsidR="00007A53" w:rsidRPr="00941AD3">
              <w:rPr>
                <w:sz w:val="20"/>
              </w:rPr>
              <w:t>; File No. 10479</w:t>
            </w:r>
          </w:p>
          <w:p w:rsidR="00007A53" w:rsidRPr="00941AD3" w:rsidRDefault="00007A53" w:rsidP="00007A53">
            <w:pPr>
              <w:jc w:val="both"/>
              <w:rPr>
                <w:sz w:val="20"/>
              </w:rPr>
            </w:pP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Appeal dismissed</w:t>
            </w:r>
          </w:p>
        </w:tc>
      </w:tr>
      <w:tr w:rsidR="00007A53" w:rsidRPr="00941AD3" w:rsidTr="00E95A6A">
        <w:tc>
          <w:tcPr>
            <w:tcW w:w="2427" w:type="pct"/>
            <w:gridSpan w:val="2"/>
          </w:tcPr>
          <w:p w:rsidR="00007A53" w:rsidRPr="00941AD3" w:rsidRDefault="00007A53" w:rsidP="00007A53">
            <w:pPr>
              <w:jc w:val="both"/>
              <w:rPr>
                <w:sz w:val="20"/>
              </w:rPr>
            </w:pPr>
            <w:r w:rsidRPr="00941AD3">
              <w:rPr>
                <w:sz w:val="20"/>
              </w:rPr>
              <w:t>February 20, 2018</w:t>
            </w:r>
          </w:p>
          <w:p w:rsidR="00007A53" w:rsidRPr="00941AD3" w:rsidRDefault="00007A53" w:rsidP="00007A53">
            <w:pPr>
              <w:jc w:val="both"/>
              <w:rPr>
                <w:sz w:val="20"/>
              </w:rPr>
            </w:pPr>
            <w:r w:rsidRPr="00941AD3">
              <w:rPr>
                <w:sz w:val="20"/>
              </w:rPr>
              <w:t>Supreme Court of British Columbia</w:t>
            </w:r>
          </w:p>
          <w:p w:rsidR="00007A53" w:rsidRPr="00941AD3" w:rsidRDefault="00007A53" w:rsidP="00007A53">
            <w:pPr>
              <w:jc w:val="both"/>
              <w:rPr>
                <w:sz w:val="20"/>
              </w:rPr>
            </w:pPr>
            <w:r w:rsidRPr="00941AD3">
              <w:rPr>
                <w:sz w:val="20"/>
              </w:rPr>
              <w:t>(Punnett J.)</w:t>
            </w:r>
          </w:p>
          <w:p w:rsidR="00007A53" w:rsidRPr="00941AD3" w:rsidRDefault="00007A53" w:rsidP="00007A53">
            <w:pPr>
              <w:jc w:val="both"/>
              <w:rPr>
                <w:sz w:val="20"/>
              </w:rPr>
            </w:pPr>
            <w:r w:rsidRPr="00941AD3">
              <w:rPr>
                <w:sz w:val="20"/>
              </w:rPr>
              <w:t>(Unreported); File No. 10479</w:t>
            </w:r>
          </w:p>
          <w:p w:rsidR="00007A53" w:rsidRPr="00941AD3" w:rsidRDefault="00007A53" w:rsidP="00007A53">
            <w:pPr>
              <w:jc w:val="both"/>
              <w:rPr>
                <w:sz w:val="20"/>
              </w:rPr>
            </w:pP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Application to reconsider dismissed</w:t>
            </w:r>
          </w:p>
        </w:tc>
      </w:tr>
      <w:tr w:rsidR="00007A53" w:rsidRPr="00941AD3" w:rsidTr="00E95A6A">
        <w:tc>
          <w:tcPr>
            <w:tcW w:w="2427" w:type="pct"/>
            <w:gridSpan w:val="2"/>
          </w:tcPr>
          <w:p w:rsidR="00007A53" w:rsidRPr="00941AD3" w:rsidRDefault="00007A53" w:rsidP="00007A53">
            <w:pPr>
              <w:jc w:val="both"/>
              <w:rPr>
                <w:sz w:val="20"/>
              </w:rPr>
            </w:pPr>
            <w:r w:rsidRPr="00941AD3">
              <w:rPr>
                <w:sz w:val="20"/>
              </w:rPr>
              <w:t>December 10, 2019</w:t>
            </w:r>
          </w:p>
          <w:p w:rsidR="00007A53" w:rsidRPr="00941AD3" w:rsidRDefault="00007A53" w:rsidP="00007A53">
            <w:pPr>
              <w:jc w:val="both"/>
              <w:rPr>
                <w:sz w:val="20"/>
              </w:rPr>
            </w:pPr>
            <w:r w:rsidRPr="00941AD3">
              <w:rPr>
                <w:sz w:val="20"/>
              </w:rPr>
              <w:t xml:space="preserve">Court of Appeal for British Columbia </w:t>
            </w:r>
          </w:p>
          <w:p w:rsidR="00007A53" w:rsidRPr="00941AD3" w:rsidRDefault="00007A53" w:rsidP="00007A53">
            <w:pPr>
              <w:jc w:val="both"/>
              <w:rPr>
                <w:sz w:val="20"/>
                <w:lang w:val="fr-CA"/>
              </w:rPr>
            </w:pPr>
            <w:r w:rsidRPr="00941AD3">
              <w:rPr>
                <w:sz w:val="20"/>
                <w:lang w:val="fr-CA"/>
              </w:rPr>
              <w:t>(Vancouver)</w:t>
            </w:r>
          </w:p>
          <w:p w:rsidR="00007A53" w:rsidRPr="00941AD3" w:rsidRDefault="00007A53" w:rsidP="00007A53">
            <w:pPr>
              <w:jc w:val="both"/>
              <w:rPr>
                <w:sz w:val="20"/>
                <w:lang w:val="fr-CA"/>
              </w:rPr>
            </w:pPr>
            <w:r w:rsidRPr="00941AD3">
              <w:rPr>
                <w:sz w:val="20"/>
                <w:lang w:val="fr-CA"/>
              </w:rPr>
              <w:t>(Dickson, Griffin, Abrioux JJ.A.)</w:t>
            </w:r>
          </w:p>
          <w:p w:rsidR="00007A53" w:rsidRPr="00941AD3" w:rsidRDefault="00326CE3" w:rsidP="00007A53">
            <w:pPr>
              <w:jc w:val="both"/>
              <w:rPr>
                <w:sz w:val="20"/>
              </w:rPr>
            </w:pPr>
            <w:hyperlink r:id="rId30" w:history="1">
              <w:r w:rsidR="00007A53" w:rsidRPr="00941AD3">
                <w:rPr>
                  <w:rStyle w:val="Hyperlink"/>
                  <w:sz w:val="20"/>
                </w:rPr>
                <w:t>BCCA CA45069</w:t>
              </w:r>
            </w:hyperlink>
            <w:r w:rsidR="00007A53" w:rsidRPr="00941AD3">
              <w:rPr>
                <w:sz w:val="20"/>
              </w:rPr>
              <w:t xml:space="preserve">; </w:t>
            </w:r>
          </w:p>
          <w:p w:rsidR="00007A53" w:rsidRPr="00941AD3" w:rsidRDefault="00007A53" w:rsidP="00007A53">
            <w:pPr>
              <w:jc w:val="both"/>
              <w:rPr>
                <w:sz w:val="20"/>
              </w:rPr>
            </w:pPr>
            <w:r w:rsidRPr="00941AD3">
              <w:rPr>
                <w:sz w:val="20"/>
              </w:rPr>
              <w:t>File No. CA45069 &amp; CA45197</w:t>
            </w:r>
          </w:p>
          <w:p w:rsidR="00007A53" w:rsidRPr="00941AD3" w:rsidRDefault="00007A53" w:rsidP="00007A53">
            <w:pPr>
              <w:jc w:val="both"/>
              <w:rPr>
                <w:sz w:val="20"/>
              </w:rPr>
            </w:pP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Appeals quashed</w:t>
            </w:r>
          </w:p>
        </w:tc>
      </w:tr>
      <w:tr w:rsidR="00007A53" w:rsidRPr="00941AD3" w:rsidTr="00E95A6A">
        <w:tc>
          <w:tcPr>
            <w:tcW w:w="2427" w:type="pct"/>
            <w:gridSpan w:val="2"/>
          </w:tcPr>
          <w:p w:rsidR="00007A53" w:rsidRPr="00941AD3" w:rsidRDefault="00007A53" w:rsidP="00007A53">
            <w:pPr>
              <w:jc w:val="both"/>
              <w:rPr>
                <w:sz w:val="20"/>
              </w:rPr>
            </w:pPr>
            <w:r w:rsidRPr="00941AD3">
              <w:rPr>
                <w:sz w:val="20"/>
              </w:rPr>
              <w:t>February 3, 2020</w:t>
            </w:r>
          </w:p>
          <w:p w:rsidR="00007A53" w:rsidRPr="00941AD3" w:rsidRDefault="00007A53" w:rsidP="00007A53">
            <w:pPr>
              <w:jc w:val="both"/>
              <w:rPr>
                <w:sz w:val="20"/>
              </w:rPr>
            </w:pPr>
            <w:r w:rsidRPr="00941AD3">
              <w:rPr>
                <w:sz w:val="20"/>
              </w:rPr>
              <w:t>Supreme Court of Canada</w:t>
            </w:r>
          </w:p>
        </w:tc>
        <w:tc>
          <w:tcPr>
            <w:tcW w:w="243" w:type="pct"/>
          </w:tcPr>
          <w:p w:rsidR="00007A53" w:rsidRPr="00941AD3" w:rsidRDefault="00007A53" w:rsidP="00007A53">
            <w:pPr>
              <w:jc w:val="both"/>
              <w:rPr>
                <w:sz w:val="20"/>
              </w:rPr>
            </w:pPr>
          </w:p>
        </w:tc>
        <w:tc>
          <w:tcPr>
            <w:tcW w:w="2330" w:type="pct"/>
          </w:tcPr>
          <w:p w:rsidR="00007A53" w:rsidRPr="00941AD3" w:rsidRDefault="00007A53" w:rsidP="00007A53">
            <w:pPr>
              <w:jc w:val="both"/>
              <w:rPr>
                <w:sz w:val="20"/>
              </w:rPr>
            </w:pPr>
            <w:r w:rsidRPr="00941AD3">
              <w:rPr>
                <w:sz w:val="20"/>
              </w:rPr>
              <w:t>Application for leave to appeal filed</w:t>
            </w:r>
          </w:p>
        </w:tc>
      </w:tr>
    </w:tbl>
    <w:p w:rsidR="00007A53" w:rsidRPr="00941AD3" w:rsidRDefault="00007A53" w:rsidP="00007A53">
      <w:pPr>
        <w:jc w:val="both"/>
        <w:rPr>
          <w:sz w:val="20"/>
        </w:rPr>
      </w:pPr>
    </w:p>
    <w:p w:rsidR="00007A53" w:rsidRPr="00941AD3" w:rsidRDefault="00326CE3" w:rsidP="00007A53">
      <w:pPr>
        <w:jc w:val="both"/>
        <w:rPr>
          <w:sz w:val="20"/>
        </w:rPr>
      </w:pPr>
      <w:r>
        <w:rPr>
          <w:sz w:val="20"/>
        </w:rPr>
        <w:pict>
          <v:rect id="_x0000_i1039" style="width:2in;height:1pt" o:hrpct="0" o:hralign="center" o:hrstd="t" o:hrnoshade="t" o:hr="t" fillcolor="black [3213]" stroked="f"/>
        </w:pict>
      </w:r>
    </w:p>
    <w:p w:rsidR="00007A53" w:rsidRPr="00941AD3" w:rsidRDefault="00007A53" w:rsidP="00007A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07A53" w:rsidRPr="00326CE3" w:rsidTr="00E95A6A">
        <w:tc>
          <w:tcPr>
            <w:tcW w:w="543" w:type="pct"/>
          </w:tcPr>
          <w:p w:rsidR="00007A53" w:rsidRPr="00941AD3" w:rsidRDefault="00007A53" w:rsidP="00007A53">
            <w:pPr>
              <w:jc w:val="both"/>
              <w:rPr>
                <w:sz w:val="20"/>
                <w:lang w:val="fr-CA"/>
              </w:rPr>
            </w:pPr>
            <w:r w:rsidRPr="00941AD3">
              <w:rPr>
                <w:rStyle w:val="SCCFileNumberChar"/>
                <w:sz w:val="20"/>
                <w:szCs w:val="20"/>
                <w:lang w:val="fr-CA"/>
              </w:rPr>
              <w:t>40211</w:t>
            </w:r>
          </w:p>
        </w:tc>
        <w:tc>
          <w:tcPr>
            <w:tcW w:w="4457" w:type="pct"/>
            <w:gridSpan w:val="3"/>
          </w:tcPr>
          <w:p w:rsidR="00007A53" w:rsidRPr="00941AD3" w:rsidRDefault="00007A53" w:rsidP="00007A53">
            <w:pPr>
              <w:pStyle w:val="SCCLsocParty"/>
              <w:jc w:val="both"/>
              <w:rPr>
                <w:b/>
                <w:sz w:val="20"/>
                <w:szCs w:val="20"/>
              </w:rPr>
            </w:pPr>
            <w:r w:rsidRPr="00941AD3">
              <w:rPr>
                <w:b/>
                <w:sz w:val="20"/>
                <w:szCs w:val="20"/>
              </w:rPr>
              <w:t xml:space="preserve">Edward C. Gokey, Diane B. Gokey c. Gordon F. Usher and Patricia Ann Parsons, Procureur général de la Colombie-Britannique </w:t>
            </w:r>
          </w:p>
          <w:p w:rsidR="00007A53" w:rsidRPr="00941AD3" w:rsidRDefault="00007A53" w:rsidP="00007A53">
            <w:pPr>
              <w:jc w:val="both"/>
              <w:rPr>
                <w:sz w:val="20"/>
                <w:lang w:val="fr-CA"/>
              </w:rPr>
            </w:pPr>
            <w:r w:rsidRPr="00941AD3">
              <w:rPr>
                <w:sz w:val="20"/>
                <w:lang w:val="fr-CA"/>
              </w:rPr>
              <w:t>(C.-B.) (Civile) (Sur autorisation)</w:t>
            </w:r>
          </w:p>
        </w:tc>
      </w:tr>
      <w:tr w:rsidR="00007A53" w:rsidRPr="00326CE3" w:rsidTr="00E95A6A">
        <w:tc>
          <w:tcPr>
            <w:tcW w:w="5000" w:type="pct"/>
            <w:gridSpan w:val="4"/>
          </w:tcPr>
          <w:p w:rsidR="00007A53" w:rsidRPr="00941AD3" w:rsidRDefault="00007A53" w:rsidP="00007A53">
            <w:pPr>
              <w:jc w:val="both"/>
              <w:rPr>
                <w:sz w:val="20"/>
                <w:lang w:val="fr-CA"/>
              </w:rPr>
            </w:pPr>
            <w:r w:rsidRPr="00941AD3">
              <w:rPr>
                <w:i/>
                <w:sz w:val="20"/>
                <w:lang w:val="fr-CA"/>
              </w:rPr>
              <w:t xml:space="preserve">Charte des droits et libertés </w:t>
            </w:r>
            <w:r w:rsidRPr="00941AD3">
              <w:rPr>
                <w:sz w:val="20"/>
                <w:lang w:val="fr-CA"/>
              </w:rPr>
              <w:t xml:space="preserve">— Droit à l’égalité — Tribunaux — Compétence — Appels — Le par. 6(2) de la </w:t>
            </w:r>
            <w:r w:rsidRPr="00941AD3">
              <w:rPr>
                <w:i/>
                <w:sz w:val="20"/>
                <w:lang w:val="fr-CA"/>
              </w:rPr>
              <w:t>Court of Appeal Act</w:t>
            </w:r>
            <w:r w:rsidRPr="00941AD3">
              <w:rPr>
                <w:sz w:val="20"/>
                <w:lang w:val="fr-CA"/>
              </w:rPr>
              <w:t xml:space="preserve">, R.S.B.C. 1996, c. 77, et le par. 13(2) de la </w:t>
            </w:r>
            <w:r w:rsidRPr="00941AD3">
              <w:rPr>
                <w:i/>
                <w:sz w:val="20"/>
                <w:lang w:val="fr-CA"/>
              </w:rPr>
              <w:t>Small Claims Act</w:t>
            </w:r>
            <w:r w:rsidRPr="00941AD3">
              <w:rPr>
                <w:sz w:val="20"/>
                <w:lang w:val="fr-CA"/>
              </w:rPr>
              <w:t xml:space="preserve">, R.S.B.C. 1996, c. 430, qui, combinés, prévoient que la Cour d’appel n’a pas compétence pour trancher les appels en matière d’action en petites créances, portent-ils atteinte à l’art. 15 de la </w:t>
            </w:r>
            <w:r w:rsidRPr="00941AD3">
              <w:rPr>
                <w:i/>
                <w:sz w:val="20"/>
                <w:lang w:val="fr-CA"/>
              </w:rPr>
              <w:t>Charte</w:t>
            </w:r>
            <w:r w:rsidRPr="00941AD3">
              <w:rPr>
                <w:iCs/>
                <w:sz w:val="20"/>
                <w:lang w:val="fr-CA"/>
              </w:rPr>
              <w:t>?</w:t>
            </w:r>
          </w:p>
        </w:tc>
      </w:tr>
      <w:tr w:rsidR="00007A53" w:rsidRPr="00326CE3" w:rsidTr="00E95A6A">
        <w:tc>
          <w:tcPr>
            <w:tcW w:w="5000" w:type="pct"/>
            <w:gridSpan w:val="4"/>
          </w:tcPr>
          <w:p w:rsidR="00007A53" w:rsidRPr="00941AD3" w:rsidRDefault="00007A53" w:rsidP="00007A53">
            <w:pPr>
              <w:jc w:val="both"/>
              <w:rPr>
                <w:sz w:val="20"/>
                <w:lang w:val="fr-CA"/>
              </w:rPr>
            </w:pPr>
          </w:p>
          <w:p w:rsidR="00007A53" w:rsidRPr="00941AD3" w:rsidRDefault="00007A53" w:rsidP="00007A53">
            <w:pPr>
              <w:jc w:val="both"/>
              <w:rPr>
                <w:sz w:val="20"/>
                <w:lang w:val="fr-CA"/>
              </w:rPr>
            </w:pPr>
            <w:r w:rsidRPr="00941AD3">
              <w:rPr>
                <w:sz w:val="20"/>
                <w:lang w:val="fr-CA"/>
              </w:rPr>
              <w:t>Les Gokeys et leurs voisins, M. Usher et M</w:t>
            </w:r>
            <w:r w:rsidRPr="00941AD3">
              <w:rPr>
                <w:sz w:val="20"/>
                <w:vertAlign w:val="superscript"/>
                <w:lang w:val="fr-CA"/>
              </w:rPr>
              <w:t>me</w:t>
            </w:r>
            <w:r w:rsidRPr="00941AD3">
              <w:rPr>
                <w:sz w:val="20"/>
                <w:lang w:val="fr-CA"/>
              </w:rPr>
              <w:t xml:space="preserve"> Parsons, avaient des revendications concurrentes concernant l’utilisation d’un puits d’eau situé sur les limites de leur propriété. En 2016, la Division des petites créances de la Cour provinciale de la Colombie-Britannique a condamné les Gokeys à payer pour une servitude autour du puits, ainsi que la moitié des frais de préparation de la servitude. En 2018, la Cour suprême de la Colombie-Britannique a rejeté l’appel des Gokeys et leur demande de réexamen de cette décision, et a rejeté une autre demande de clarification. La Cour d’appel a annulé les appels pour défaut de compétence, confirmant que le législateur avait le pouvoir constitutionnel de limiter la compétence de la Cour pour statuer sur des appels et que le fait que d’autres provinces pouvaient accorder des droits d’appel plus étendus ne pouvait à lui seul donner ouverture à une contestation fondée sur l’art. 15 de la </w:t>
            </w:r>
            <w:r w:rsidRPr="00941AD3">
              <w:rPr>
                <w:i/>
                <w:sz w:val="20"/>
                <w:lang w:val="fr-CA"/>
              </w:rPr>
              <w:t>Charte</w:t>
            </w:r>
            <w:r w:rsidRPr="00941AD3">
              <w:rPr>
                <w:sz w:val="20"/>
                <w:lang w:val="fr-CA"/>
              </w:rPr>
              <w:t>.</w:t>
            </w:r>
          </w:p>
        </w:tc>
      </w:tr>
      <w:tr w:rsidR="00007A53" w:rsidRPr="00326CE3" w:rsidTr="00E95A6A">
        <w:tc>
          <w:tcPr>
            <w:tcW w:w="5000" w:type="pct"/>
            <w:gridSpan w:val="4"/>
          </w:tcPr>
          <w:p w:rsidR="00007A53" w:rsidRPr="00941AD3" w:rsidRDefault="00007A53" w:rsidP="00007A53">
            <w:pPr>
              <w:jc w:val="both"/>
              <w:rPr>
                <w:sz w:val="20"/>
                <w:lang w:val="fr-CA"/>
              </w:rPr>
            </w:pPr>
          </w:p>
        </w:tc>
      </w:tr>
      <w:tr w:rsidR="00007A53" w:rsidRPr="00326CE3" w:rsidTr="00E95A6A">
        <w:tc>
          <w:tcPr>
            <w:tcW w:w="2427" w:type="pct"/>
            <w:gridSpan w:val="2"/>
          </w:tcPr>
          <w:p w:rsidR="00007A53" w:rsidRPr="00941AD3" w:rsidRDefault="00007A53" w:rsidP="00007A53">
            <w:pPr>
              <w:jc w:val="both"/>
              <w:rPr>
                <w:sz w:val="20"/>
                <w:lang w:val="fr-CA"/>
              </w:rPr>
            </w:pPr>
            <w:r w:rsidRPr="00941AD3">
              <w:rPr>
                <w:sz w:val="20"/>
                <w:lang w:val="fr-CA"/>
              </w:rPr>
              <w:t>9 juin 2017</w:t>
            </w:r>
          </w:p>
          <w:p w:rsidR="00007A53" w:rsidRPr="00941AD3" w:rsidRDefault="00007A53" w:rsidP="00007A53">
            <w:pPr>
              <w:jc w:val="both"/>
              <w:rPr>
                <w:sz w:val="20"/>
                <w:lang w:val="fr-CA"/>
              </w:rPr>
            </w:pPr>
            <w:r w:rsidRPr="00941AD3">
              <w:rPr>
                <w:sz w:val="20"/>
                <w:lang w:val="fr-CA"/>
              </w:rPr>
              <w:t xml:space="preserve">Cour provinciale de la Colombie-Britannique </w:t>
            </w:r>
          </w:p>
          <w:p w:rsidR="00007A53" w:rsidRPr="00941AD3" w:rsidRDefault="00007A53" w:rsidP="00007A53">
            <w:pPr>
              <w:jc w:val="both"/>
              <w:rPr>
                <w:sz w:val="20"/>
                <w:lang w:val="fr-CA"/>
              </w:rPr>
            </w:pPr>
            <w:r w:rsidRPr="00941AD3">
              <w:rPr>
                <w:sz w:val="20"/>
                <w:lang w:val="fr-CA"/>
              </w:rPr>
              <w:t>Division des petites créances</w:t>
            </w:r>
          </w:p>
          <w:p w:rsidR="00007A53" w:rsidRPr="00941AD3" w:rsidRDefault="00007A53" w:rsidP="00007A53">
            <w:pPr>
              <w:jc w:val="both"/>
              <w:rPr>
                <w:sz w:val="20"/>
                <w:lang w:val="fr-CA"/>
              </w:rPr>
            </w:pPr>
            <w:r w:rsidRPr="00941AD3">
              <w:rPr>
                <w:sz w:val="20"/>
                <w:lang w:val="fr-CA"/>
              </w:rPr>
              <w:t>(le juge Seidemann) (décision non publiée dans le dossier n</w:t>
            </w:r>
            <w:r w:rsidRPr="00941AD3">
              <w:rPr>
                <w:sz w:val="20"/>
                <w:vertAlign w:val="superscript"/>
                <w:lang w:val="fr-CA"/>
              </w:rPr>
              <w:t>o</w:t>
            </w:r>
            <w:r w:rsidRPr="00941AD3">
              <w:rPr>
                <w:sz w:val="20"/>
                <w:lang w:val="fr-CA"/>
              </w:rPr>
              <w:t> 1841</w:t>
            </w:r>
          </w:p>
          <w:p w:rsidR="00007A53" w:rsidRPr="00941AD3" w:rsidRDefault="00007A53" w:rsidP="00007A53">
            <w:pPr>
              <w:jc w:val="both"/>
              <w:rPr>
                <w:sz w:val="20"/>
                <w:lang w:val="fr-CA"/>
              </w:rPr>
            </w:pP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Les Gokeys sont condamnés à payer 5 621,62 $ à M. Usher et à M</w:t>
            </w:r>
            <w:r w:rsidRPr="00941AD3">
              <w:rPr>
                <w:sz w:val="20"/>
                <w:vertAlign w:val="superscript"/>
                <w:lang w:val="fr-CA"/>
              </w:rPr>
              <w:t>me</w:t>
            </w:r>
            <w:r w:rsidRPr="00941AD3">
              <w:rPr>
                <w:sz w:val="20"/>
                <w:lang w:val="fr-CA"/>
              </w:rPr>
              <w:t> Parsons</w:t>
            </w:r>
          </w:p>
        </w:tc>
      </w:tr>
      <w:tr w:rsidR="00007A53" w:rsidRPr="00941AD3" w:rsidTr="00E95A6A">
        <w:tc>
          <w:tcPr>
            <w:tcW w:w="2427" w:type="pct"/>
            <w:gridSpan w:val="2"/>
          </w:tcPr>
          <w:p w:rsidR="00007A53" w:rsidRPr="00941AD3" w:rsidRDefault="00007A53" w:rsidP="00007A53">
            <w:pPr>
              <w:jc w:val="both"/>
              <w:rPr>
                <w:sz w:val="20"/>
                <w:lang w:val="fr-CA"/>
              </w:rPr>
            </w:pPr>
            <w:r w:rsidRPr="00941AD3">
              <w:rPr>
                <w:sz w:val="20"/>
                <w:lang w:val="fr-CA"/>
              </w:rPr>
              <w:t>17 janvier 2018</w:t>
            </w:r>
          </w:p>
          <w:p w:rsidR="00007A53" w:rsidRPr="00941AD3" w:rsidRDefault="00007A53" w:rsidP="00007A53">
            <w:pPr>
              <w:jc w:val="both"/>
              <w:rPr>
                <w:sz w:val="20"/>
                <w:lang w:val="fr-CA"/>
              </w:rPr>
            </w:pPr>
            <w:r w:rsidRPr="00941AD3">
              <w:rPr>
                <w:sz w:val="20"/>
                <w:lang w:val="fr-CA"/>
              </w:rPr>
              <w:t xml:space="preserve">Cour suprême de la Colombie-Britannique </w:t>
            </w:r>
          </w:p>
          <w:p w:rsidR="00007A53" w:rsidRPr="00941AD3" w:rsidRDefault="00007A53" w:rsidP="00007A53">
            <w:pPr>
              <w:jc w:val="both"/>
              <w:rPr>
                <w:sz w:val="20"/>
                <w:lang w:val="fr-CA"/>
              </w:rPr>
            </w:pPr>
            <w:r w:rsidRPr="00941AD3">
              <w:rPr>
                <w:sz w:val="20"/>
                <w:lang w:val="fr-CA"/>
              </w:rPr>
              <w:t>(le juge Punnett)</w:t>
            </w:r>
          </w:p>
          <w:p w:rsidR="00007A53" w:rsidRPr="00941AD3" w:rsidRDefault="00326CE3" w:rsidP="00007A53">
            <w:pPr>
              <w:jc w:val="both"/>
              <w:rPr>
                <w:sz w:val="20"/>
                <w:lang w:val="fr-CA"/>
              </w:rPr>
            </w:pPr>
            <w:hyperlink r:id="rId31" w:history="1">
              <w:r w:rsidR="00007A53" w:rsidRPr="00941AD3">
                <w:rPr>
                  <w:rStyle w:val="Hyperlink"/>
                  <w:sz w:val="20"/>
                  <w:lang w:val="fr-CA"/>
                </w:rPr>
                <w:t>2018 BCSC 60</w:t>
              </w:r>
            </w:hyperlink>
            <w:r w:rsidR="00007A53" w:rsidRPr="00941AD3">
              <w:rPr>
                <w:sz w:val="20"/>
                <w:lang w:val="fr-CA"/>
              </w:rPr>
              <w:t>; dossier n</w:t>
            </w:r>
            <w:r w:rsidR="00007A53" w:rsidRPr="00941AD3">
              <w:rPr>
                <w:sz w:val="20"/>
                <w:vertAlign w:val="superscript"/>
                <w:lang w:val="fr-CA"/>
              </w:rPr>
              <w:t>o </w:t>
            </w:r>
            <w:r w:rsidR="00007A53" w:rsidRPr="00941AD3">
              <w:rPr>
                <w:sz w:val="20"/>
                <w:lang w:val="fr-CA"/>
              </w:rPr>
              <w:t>10479</w:t>
            </w:r>
          </w:p>
          <w:p w:rsidR="00007A53" w:rsidRPr="00941AD3" w:rsidRDefault="00007A53" w:rsidP="00007A53">
            <w:pPr>
              <w:jc w:val="both"/>
              <w:rPr>
                <w:sz w:val="20"/>
                <w:lang w:val="fr-CA"/>
              </w:rPr>
            </w:pP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L’appel est rejeté.</w:t>
            </w:r>
          </w:p>
        </w:tc>
      </w:tr>
      <w:tr w:rsidR="00007A53" w:rsidRPr="00326CE3" w:rsidTr="00E95A6A">
        <w:tc>
          <w:tcPr>
            <w:tcW w:w="2427" w:type="pct"/>
            <w:gridSpan w:val="2"/>
          </w:tcPr>
          <w:p w:rsidR="00007A53" w:rsidRPr="00941AD3" w:rsidRDefault="00007A53" w:rsidP="00007A53">
            <w:pPr>
              <w:jc w:val="both"/>
              <w:rPr>
                <w:sz w:val="20"/>
                <w:lang w:val="fr-CA"/>
              </w:rPr>
            </w:pPr>
            <w:r w:rsidRPr="00941AD3">
              <w:rPr>
                <w:sz w:val="20"/>
                <w:lang w:val="fr-CA"/>
              </w:rPr>
              <w:t>February 20, 2018</w:t>
            </w:r>
          </w:p>
          <w:p w:rsidR="00007A53" w:rsidRPr="00941AD3" w:rsidRDefault="00007A53" w:rsidP="00007A53">
            <w:pPr>
              <w:jc w:val="both"/>
              <w:rPr>
                <w:sz w:val="20"/>
                <w:lang w:val="fr-CA"/>
              </w:rPr>
            </w:pPr>
            <w:r w:rsidRPr="00941AD3">
              <w:rPr>
                <w:sz w:val="20"/>
                <w:lang w:val="fr-CA"/>
              </w:rPr>
              <w:t xml:space="preserve">Cour suprême de la Colombie-Britannique </w:t>
            </w:r>
          </w:p>
          <w:p w:rsidR="00007A53" w:rsidRPr="00941AD3" w:rsidRDefault="00007A53" w:rsidP="00007A53">
            <w:pPr>
              <w:jc w:val="both"/>
              <w:rPr>
                <w:sz w:val="20"/>
                <w:lang w:val="fr-CA"/>
              </w:rPr>
            </w:pPr>
            <w:r w:rsidRPr="00941AD3">
              <w:rPr>
                <w:sz w:val="20"/>
                <w:lang w:val="fr-CA"/>
              </w:rPr>
              <w:t>(le juge Punnett)</w:t>
            </w:r>
          </w:p>
          <w:p w:rsidR="00007A53" w:rsidRPr="00941AD3" w:rsidRDefault="00007A53" w:rsidP="00007A53">
            <w:pPr>
              <w:jc w:val="both"/>
              <w:rPr>
                <w:sz w:val="20"/>
                <w:lang w:val="fr-CA"/>
              </w:rPr>
            </w:pPr>
            <w:r w:rsidRPr="00941AD3">
              <w:rPr>
                <w:sz w:val="20"/>
                <w:lang w:val="fr-CA"/>
              </w:rPr>
              <w:t>(décision non publiée dans le dossier n</w:t>
            </w:r>
            <w:r w:rsidRPr="00941AD3">
              <w:rPr>
                <w:sz w:val="20"/>
                <w:vertAlign w:val="superscript"/>
                <w:lang w:val="fr-CA"/>
              </w:rPr>
              <w:t>o </w:t>
            </w:r>
            <w:r w:rsidRPr="00941AD3">
              <w:rPr>
                <w:sz w:val="20"/>
                <w:lang w:val="fr-CA"/>
              </w:rPr>
              <w:t>10479</w:t>
            </w:r>
          </w:p>
          <w:p w:rsidR="00007A53" w:rsidRPr="00941AD3" w:rsidRDefault="00007A53" w:rsidP="00007A53">
            <w:pPr>
              <w:jc w:val="both"/>
              <w:rPr>
                <w:sz w:val="20"/>
                <w:lang w:val="fr-CA"/>
              </w:rPr>
            </w:pP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 xml:space="preserve">La demande de réexamen est rejetée. </w:t>
            </w:r>
          </w:p>
        </w:tc>
      </w:tr>
      <w:tr w:rsidR="00007A53" w:rsidRPr="00941AD3" w:rsidTr="00E95A6A">
        <w:tc>
          <w:tcPr>
            <w:tcW w:w="2427" w:type="pct"/>
            <w:gridSpan w:val="2"/>
          </w:tcPr>
          <w:p w:rsidR="00007A53" w:rsidRPr="00941AD3" w:rsidRDefault="00007A53" w:rsidP="00007A53">
            <w:pPr>
              <w:jc w:val="both"/>
              <w:rPr>
                <w:sz w:val="20"/>
                <w:lang w:val="fr-CA"/>
              </w:rPr>
            </w:pPr>
            <w:r w:rsidRPr="00941AD3">
              <w:rPr>
                <w:sz w:val="20"/>
                <w:lang w:val="fr-CA"/>
              </w:rPr>
              <w:t>10 décembre 2019</w:t>
            </w:r>
          </w:p>
          <w:p w:rsidR="00007A53" w:rsidRPr="00941AD3" w:rsidRDefault="00007A53" w:rsidP="00007A53">
            <w:pPr>
              <w:jc w:val="both"/>
              <w:rPr>
                <w:sz w:val="20"/>
                <w:lang w:val="fr-CA"/>
              </w:rPr>
            </w:pPr>
            <w:r w:rsidRPr="00941AD3">
              <w:rPr>
                <w:sz w:val="20"/>
                <w:lang w:val="fr-CA"/>
              </w:rPr>
              <w:t xml:space="preserve">Cour d’appel de la Colombie-Britannique </w:t>
            </w:r>
          </w:p>
          <w:p w:rsidR="00007A53" w:rsidRPr="00941AD3" w:rsidRDefault="00007A53" w:rsidP="00007A53">
            <w:pPr>
              <w:jc w:val="both"/>
              <w:rPr>
                <w:sz w:val="20"/>
                <w:lang w:val="fr-CA"/>
              </w:rPr>
            </w:pPr>
            <w:r w:rsidRPr="00941AD3">
              <w:rPr>
                <w:sz w:val="20"/>
                <w:lang w:val="fr-CA"/>
              </w:rPr>
              <w:t>(Vancouver)</w:t>
            </w:r>
          </w:p>
          <w:p w:rsidR="00007A53" w:rsidRPr="00941AD3" w:rsidRDefault="00007A53" w:rsidP="00007A53">
            <w:pPr>
              <w:jc w:val="both"/>
              <w:rPr>
                <w:sz w:val="20"/>
                <w:lang w:val="fr-CA"/>
              </w:rPr>
            </w:pPr>
            <w:r w:rsidRPr="00941AD3">
              <w:rPr>
                <w:sz w:val="20"/>
                <w:lang w:val="fr-CA"/>
              </w:rPr>
              <w:t>(les juges Dickson, Griffin et Abrioux)</w:t>
            </w:r>
          </w:p>
          <w:p w:rsidR="00007A53" w:rsidRPr="00941AD3" w:rsidRDefault="00326CE3" w:rsidP="00007A53">
            <w:pPr>
              <w:jc w:val="both"/>
              <w:rPr>
                <w:sz w:val="20"/>
                <w:lang w:val="fr-CA"/>
              </w:rPr>
            </w:pPr>
            <w:hyperlink r:id="rId32" w:history="1">
              <w:r w:rsidR="00007A53" w:rsidRPr="00941AD3">
                <w:rPr>
                  <w:rStyle w:val="Hyperlink"/>
                  <w:sz w:val="20"/>
                  <w:lang w:val="fr-CA"/>
                </w:rPr>
                <w:t>BCCA CA45069</w:t>
              </w:r>
            </w:hyperlink>
            <w:r w:rsidR="00007A53" w:rsidRPr="00941AD3">
              <w:rPr>
                <w:sz w:val="20"/>
                <w:lang w:val="fr-CA"/>
              </w:rPr>
              <w:t xml:space="preserve">; </w:t>
            </w:r>
          </w:p>
          <w:p w:rsidR="00007A53" w:rsidRPr="00941AD3" w:rsidRDefault="00007A53" w:rsidP="00007A53">
            <w:pPr>
              <w:jc w:val="both"/>
              <w:rPr>
                <w:sz w:val="20"/>
                <w:lang w:val="fr-CA"/>
              </w:rPr>
            </w:pPr>
            <w:r w:rsidRPr="00941AD3">
              <w:rPr>
                <w:sz w:val="20"/>
                <w:lang w:val="fr-CA"/>
              </w:rPr>
              <w:t>Dossiers n</w:t>
            </w:r>
            <w:r w:rsidRPr="00941AD3">
              <w:rPr>
                <w:sz w:val="20"/>
                <w:vertAlign w:val="superscript"/>
                <w:lang w:val="fr-CA"/>
              </w:rPr>
              <w:t>os</w:t>
            </w:r>
            <w:r w:rsidRPr="00941AD3">
              <w:rPr>
                <w:sz w:val="20"/>
                <w:lang w:val="fr-CA"/>
              </w:rPr>
              <w:t xml:space="preserve"> CA45069 et CA45197</w:t>
            </w:r>
          </w:p>
          <w:p w:rsidR="00007A53" w:rsidRPr="00941AD3" w:rsidRDefault="00007A53" w:rsidP="00007A53">
            <w:pPr>
              <w:jc w:val="both"/>
              <w:rPr>
                <w:sz w:val="20"/>
                <w:lang w:val="fr-CA"/>
              </w:rPr>
            </w:pP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Les appels sont annulés.</w:t>
            </w:r>
          </w:p>
        </w:tc>
      </w:tr>
      <w:tr w:rsidR="00007A53" w:rsidRPr="00326CE3" w:rsidTr="00E95A6A">
        <w:tc>
          <w:tcPr>
            <w:tcW w:w="2427" w:type="pct"/>
            <w:gridSpan w:val="2"/>
          </w:tcPr>
          <w:p w:rsidR="00007A53" w:rsidRPr="00941AD3" w:rsidRDefault="00007A53" w:rsidP="00007A53">
            <w:pPr>
              <w:jc w:val="both"/>
              <w:rPr>
                <w:sz w:val="20"/>
                <w:lang w:val="fr-CA"/>
              </w:rPr>
            </w:pPr>
            <w:r w:rsidRPr="00941AD3">
              <w:rPr>
                <w:sz w:val="20"/>
                <w:lang w:val="fr-CA"/>
              </w:rPr>
              <w:t>3 février 2020</w:t>
            </w:r>
          </w:p>
          <w:p w:rsidR="00007A53" w:rsidRPr="00941AD3" w:rsidRDefault="00007A53" w:rsidP="00007A53">
            <w:pPr>
              <w:jc w:val="both"/>
              <w:rPr>
                <w:sz w:val="20"/>
                <w:lang w:val="fr-CA"/>
              </w:rPr>
            </w:pPr>
            <w:r w:rsidRPr="00941AD3">
              <w:rPr>
                <w:sz w:val="20"/>
                <w:lang w:val="fr-CA"/>
              </w:rPr>
              <w:t>Cour suprême du Canada</w:t>
            </w:r>
          </w:p>
        </w:tc>
        <w:tc>
          <w:tcPr>
            <w:tcW w:w="243" w:type="pct"/>
          </w:tcPr>
          <w:p w:rsidR="00007A53" w:rsidRPr="00941AD3" w:rsidRDefault="00007A53" w:rsidP="00007A53">
            <w:pPr>
              <w:jc w:val="both"/>
              <w:rPr>
                <w:sz w:val="20"/>
                <w:lang w:val="fr-CA"/>
              </w:rPr>
            </w:pPr>
          </w:p>
        </w:tc>
        <w:tc>
          <w:tcPr>
            <w:tcW w:w="2330" w:type="pct"/>
          </w:tcPr>
          <w:p w:rsidR="00007A53" w:rsidRPr="00941AD3" w:rsidRDefault="00007A53" w:rsidP="00007A53">
            <w:pPr>
              <w:jc w:val="both"/>
              <w:rPr>
                <w:sz w:val="20"/>
                <w:lang w:val="fr-CA"/>
              </w:rPr>
            </w:pPr>
            <w:r w:rsidRPr="00941AD3">
              <w:rPr>
                <w:sz w:val="20"/>
                <w:lang w:val="fr-CA"/>
              </w:rPr>
              <w:t>La demande d’autorisation d’appel est déposée.</w:t>
            </w:r>
          </w:p>
        </w:tc>
      </w:tr>
    </w:tbl>
    <w:p w:rsidR="00007A53" w:rsidRPr="00941AD3" w:rsidRDefault="00007A53" w:rsidP="00E32880">
      <w:pPr>
        <w:rPr>
          <w:lang w:val="fr-CA"/>
        </w:rPr>
      </w:pPr>
    </w:p>
    <w:p w:rsidR="0068648F" w:rsidRPr="00941AD3" w:rsidRDefault="00326CE3" w:rsidP="005B2C50">
      <w:pPr>
        <w:widowControl w:val="0"/>
        <w:jc w:val="both"/>
        <w:rPr>
          <w:sz w:val="20"/>
          <w:lang w:val="fr-CA"/>
        </w:rPr>
      </w:pPr>
      <w:r>
        <w:rPr>
          <w:sz w:val="20"/>
        </w:rPr>
        <w:pict>
          <v:rect id="_x0000_i1040" style="width:2in;height:1pt" o:hrpct="0" o:hralign="center" o:hrstd="t" o:hrnoshade="t" o:hr="t" fillcolor="black [3213]" stroked="f"/>
        </w:pict>
      </w:r>
    </w:p>
    <w:p w:rsidR="00311655" w:rsidRPr="00941AD3" w:rsidRDefault="00311655" w:rsidP="00350651">
      <w:pPr>
        <w:ind w:left="142" w:hanging="142"/>
        <w:jc w:val="both"/>
        <w:rPr>
          <w:sz w:val="20"/>
        </w:rPr>
      </w:pPr>
    </w:p>
    <w:p w:rsidR="008F2F11" w:rsidRPr="00941AD3" w:rsidRDefault="008F2F11" w:rsidP="00350651">
      <w:pPr>
        <w:ind w:left="142" w:hanging="142"/>
        <w:jc w:val="both"/>
        <w:rPr>
          <w:sz w:val="20"/>
        </w:rPr>
      </w:pPr>
    </w:p>
    <w:p w:rsidR="008F2F11" w:rsidRPr="00941AD3" w:rsidRDefault="008F2F11" w:rsidP="00350651">
      <w:pPr>
        <w:ind w:left="142" w:hanging="142"/>
        <w:jc w:val="both"/>
        <w:rPr>
          <w:sz w:val="20"/>
        </w:rPr>
      </w:pPr>
    </w:p>
    <w:p w:rsidR="00D3344A" w:rsidRPr="00941AD3" w:rsidRDefault="00D3344A" w:rsidP="00D3344A">
      <w:pPr>
        <w:widowControl w:val="0"/>
        <w:outlineLvl w:val="0"/>
        <w:rPr>
          <w:sz w:val="20"/>
        </w:rPr>
      </w:pPr>
      <w:r w:rsidRPr="00941AD3">
        <w:rPr>
          <w:sz w:val="20"/>
        </w:rPr>
        <w:t xml:space="preserve">Supreme Court of Canada / Cour suprême du </w:t>
      </w:r>
      <w:proofErr w:type="gramStart"/>
      <w:r w:rsidRPr="00941AD3">
        <w:rPr>
          <w:sz w:val="20"/>
        </w:rPr>
        <w:t>Canad</w:t>
      </w:r>
      <w:r w:rsidR="00EE289F" w:rsidRPr="00941AD3">
        <w:rPr>
          <w:sz w:val="20"/>
        </w:rPr>
        <w:t>a</w:t>
      </w:r>
      <w:r w:rsidRPr="00941AD3">
        <w:rPr>
          <w:sz w:val="20"/>
        </w:rPr>
        <w:t xml:space="preserve"> :</w:t>
      </w:r>
      <w:proofErr w:type="gramEnd"/>
    </w:p>
    <w:p w:rsidR="00D3344A" w:rsidRPr="00941AD3" w:rsidRDefault="00326CE3" w:rsidP="00D3344A">
      <w:pPr>
        <w:widowControl w:val="0"/>
        <w:outlineLvl w:val="0"/>
        <w:rPr>
          <w:sz w:val="20"/>
          <w:u w:val="single"/>
        </w:rPr>
      </w:pPr>
      <w:hyperlink r:id="rId33" w:history="1">
        <w:r w:rsidR="009B7391" w:rsidRPr="00941AD3">
          <w:rPr>
            <w:rStyle w:val="Hyperlink"/>
            <w:sz w:val="20"/>
          </w:rPr>
          <w:t>comments-commentaires@scc-csc.ca</w:t>
        </w:r>
      </w:hyperlink>
    </w:p>
    <w:p w:rsidR="00D3344A" w:rsidRPr="00941AD3" w:rsidRDefault="0065588C" w:rsidP="00D3344A">
      <w:pPr>
        <w:widowControl w:val="0"/>
        <w:outlineLvl w:val="0"/>
        <w:rPr>
          <w:sz w:val="20"/>
        </w:rPr>
      </w:pPr>
      <w:r w:rsidRPr="00941AD3">
        <w:rPr>
          <w:sz w:val="20"/>
        </w:rPr>
        <w:t>613-</w:t>
      </w:r>
      <w:r w:rsidR="00D3344A" w:rsidRPr="00941AD3">
        <w:rPr>
          <w:sz w:val="20"/>
        </w:rPr>
        <w:t>995-4330</w:t>
      </w:r>
    </w:p>
    <w:p w:rsidR="00497B5E" w:rsidRPr="00941AD3" w:rsidRDefault="00497B5E" w:rsidP="00497B5E">
      <w:pPr>
        <w:widowControl w:val="0"/>
        <w:rPr>
          <w:sz w:val="20"/>
        </w:rPr>
      </w:pPr>
    </w:p>
    <w:p w:rsidR="00F6251B" w:rsidRPr="007607A2" w:rsidRDefault="003F43E6" w:rsidP="00F6251B">
      <w:pPr>
        <w:pStyle w:val="Footer"/>
        <w:jc w:val="center"/>
        <w:rPr>
          <w:sz w:val="20"/>
        </w:rPr>
      </w:pPr>
      <w:r w:rsidRPr="00941AD3">
        <w:rPr>
          <w:sz w:val="20"/>
        </w:rPr>
        <w:t>- 30 -</w:t>
      </w:r>
    </w:p>
    <w:sectPr w:rsidR="00F6251B" w:rsidRPr="007607A2" w:rsidSect="00E62F93">
      <w:headerReference w:type="even" r:id="rId34"/>
      <w:headerReference w:type="default" r:id="rId35"/>
      <w:footerReference w:type="even" r:id="rId36"/>
      <w:footerReference w:type="default" r:id="rId37"/>
      <w:headerReference w:type="first" r:id="rId38"/>
      <w:footerReference w:type="first" r:id="rId3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50" w:rsidRDefault="005B2C50" w:rsidP="0034178A">
      <w:r>
        <w:separator/>
      </w:r>
    </w:p>
  </w:endnote>
  <w:endnote w:type="continuationSeparator" w:id="0">
    <w:p w:rsidR="005B2C50" w:rsidRDefault="005B2C5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Pr="009F77F0" w:rsidRDefault="005B2C5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50" w:rsidRDefault="005B2C50" w:rsidP="0034178A">
      <w:r>
        <w:separator/>
      </w:r>
    </w:p>
  </w:footnote>
  <w:footnote w:type="continuationSeparator" w:id="0">
    <w:p w:rsidR="005B2C50" w:rsidRDefault="005B2C5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19"/>
  </w:num>
  <w:num w:numId="4">
    <w:abstractNumId w:val="10"/>
  </w:num>
  <w:num w:numId="5">
    <w:abstractNumId w:val="7"/>
  </w:num>
  <w:num w:numId="6">
    <w:abstractNumId w:val="16"/>
  </w:num>
  <w:num w:numId="7">
    <w:abstractNumId w:val="14"/>
  </w:num>
  <w:num w:numId="8">
    <w:abstractNumId w:val="17"/>
  </w:num>
  <w:num w:numId="9">
    <w:abstractNumId w:val="2"/>
  </w:num>
  <w:num w:numId="10">
    <w:abstractNumId w:val="4"/>
  </w:num>
  <w:num w:numId="11">
    <w:abstractNumId w:val="0"/>
  </w:num>
  <w:num w:numId="12">
    <w:abstractNumId w:val="15"/>
  </w:num>
  <w:num w:numId="13">
    <w:abstractNumId w:val="1"/>
  </w:num>
  <w:num w:numId="14">
    <w:abstractNumId w:val="9"/>
  </w:num>
  <w:num w:numId="15">
    <w:abstractNumId w:val="3"/>
  </w:num>
  <w:num w:numId="16">
    <w:abstractNumId w:val="5"/>
  </w:num>
  <w:num w:numId="17">
    <w:abstractNumId w:val="18"/>
  </w:num>
  <w:num w:numId="18">
    <w:abstractNumId w:val="11"/>
  </w:num>
  <w:num w:numId="19">
    <w:abstractNumId w:val="8"/>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95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07A53"/>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6D5"/>
    <w:rsid w:val="001C2BA0"/>
    <w:rsid w:val="001C2F21"/>
    <w:rsid w:val="001C321B"/>
    <w:rsid w:val="001C3C19"/>
    <w:rsid w:val="001C3E96"/>
    <w:rsid w:val="001C3ED4"/>
    <w:rsid w:val="001C4E12"/>
    <w:rsid w:val="001C567B"/>
    <w:rsid w:val="001C5E6C"/>
    <w:rsid w:val="001C6066"/>
    <w:rsid w:val="001C65AF"/>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6CE3"/>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6414"/>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174AE"/>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161C"/>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1AD3"/>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51"/>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5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84" TargetMode="External"/><Relationship Id="rId13" Type="http://schemas.openxmlformats.org/officeDocument/2006/relationships/hyperlink" Target="https://www.scc-csc.ca/case-dossier/info/sum-som-eng.aspx?cas=40178" TargetMode="External"/><Relationship Id="rId18" Type="http://schemas.openxmlformats.org/officeDocument/2006/relationships/hyperlink" Target="https://canlii.ca/t/jljsd" TargetMode="External"/><Relationship Id="rId26" Type="http://schemas.openxmlformats.org/officeDocument/2006/relationships/hyperlink" Target="https://canlii.ca/t/jm440"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canlii.org/en/on/onca/doc/2019/2019onca36/2019onca36.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40318" TargetMode="External"/><Relationship Id="rId17" Type="http://schemas.openxmlformats.org/officeDocument/2006/relationships/hyperlink" Target="https://canlii.ca/t/j043d" TargetMode="External"/><Relationship Id="rId25" Type="http://schemas.openxmlformats.org/officeDocument/2006/relationships/hyperlink" Target="https://canlii.ca/t/jm440"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nlii.ca/t/jljsd" TargetMode="External"/><Relationship Id="rId20" Type="http://schemas.openxmlformats.org/officeDocument/2006/relationships/hyperlink" Target="https://canlii.ca/t/jlqd1" TargetMode="External"/><Relationship Id="rId29" Type="http://schemas.openxmlformats.org/officeDocument/2006/relationships/hyperlink" Target="https://canlii.ca/t/hpsx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321" TargetMode="External"/><Relationship Id="rId24" Type="http://schemas.openxmlformats.org/officeDocument/2006/relationships/hyperlink" Target="2022%20NLCA%2033" TargetMode="External"/><Relationship Id="rId32" Type="http://schemas.openxmlformats.org/officeDocument/2006/relationships/hyperlink" Target="https://canlii.ca/t/j46x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lii.ca/t/j043d" TargetMode="External"/><Relationship Id="rId23" Type="http://schemas.openxmlformats.org/officeDocument/2006/relationships/hyperlink" Target="2021%20NLSC%20148" TargetMode="External"/><Relationship Id="rId28" Type="http://schemas.openxmlformats.org/officeDocument/2006/relationships/hyperlink" Target="https://www.canlii.org/en/on/onca/doc/2022/2022onca169/2022onca169.html?autocompleteStr=2022%20onca%20169&amp;autocompletePos=1" TargetMode="External"/><Relationship Id="rId36" Type="http://schemas.openxmlformats.org/officeDocument/2006/relationships/footer" Target="footer1.xml"/><Relationship Id="rId10" Type="http://schemas.openxmlformats.org/officeDocument/2006/relationships/hyperlink" Target="https://www.scc-csc.ca/case-dossier/info/sum-som-eng.aspx?cas=40283" TargetMode="External"/><Relationship Id="rId19" Type="http://schemas.openxmlformats.org/officeDocument/2006/relationships/hyperlink" Target="https://canlii.ca/t/jlqd1" TargetMode="External"/><Relationship Id="rId31" Type="http://schemas.openxmlformats.org/officeDocument/2006/relationships/hyperlink" Target="https://canlii.ca/t/hpsx0" TargetMode="External"/><Relationship Id="rId4" Type="http://schemas.openxmlformats.org/officeDocument/2006/relationships/settings" Target="settings.xml"/><Relationship Id="rId9" Type="http://schemas.openxmlformats.org/officeDocument/2006/relationships/hyperlink" Target="https://www.scc-csc.ca/case-dossier/info/sum-som-eng.aspx?cas=40323" TargetMode="External"/><Relationship Id="rId14" Type="http://schemas.openxmlformats.org/officeDocument/2006/relationships/hyperlink" Target="https://www.scc-csc.ca/case-dossier/info/sum-som-eng.aspx?cas=40211" TargetMode="External"/><Relationship Id="rId22" Type="http://schemas.openxmlformats.org/officeDocument/2006/relationships/hyperlink" Target="https://www.canlii.org/en/on/onca/doc/2019/2019onca36/2019onca36.html" TargetMode="External"/><Relationship Id="rId27" Type="http://schemas.openxmlformats.org/officeDocument/2006/relationships/hyperlink" Target="https://www.canlii.org/en/on/onca/doc/2022/2022onca169/2022onca169.html?autocompleteStr=2022%20onca%20169&amp;autocompletePos=1" TargetMode="External"/><Relationship Id="rId30" Type="http://schemas.openxmlformats.org/officeDocument/2006/relationships/hyperlink" Target="https://canlii.ca/t/j46xx"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DD71A-5653-4F01-AC02-4C237DB9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5007</Words>
  <Characters>28541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33482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2022-11-28T12:52:00Z</dcterms:modified>
</cp:coreProperties>
</file>