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6757EB" w:rsidRDefault="000E391F" w:rsidP="000E391F">
      <w:pPr>
        <w:pStyle w:val="Header"/>
        <w:jc w:val="center"/>
        <w:rPr>
          <w:b/>
          <w:sz w:val="32"/>
          <w:szCs w:val="32"/>
        </w:rPr>
      </w:pPr>
      <w:r w:rsidRPr="006757EB">
        <w:rPr>
          <w:b/>
          <w:sz w:val="32"/>
          <w:szCs w:val="32"/>
        </w:rPr>
        <w:t>Supreme Court of Canada / Cour suprême du Canada</w:t>
      </w:r>
    </w:p>
    <w:p w:rsidR="000E391F" w:rsidRPr="006757EB" w:rsidRDefault="000E391F" w:rsidP="000E391F">
      <w:pPr>
        <w:widowControl w:val="0"/>
        <w:rPr>
          <w:sz w:val="20"/>
        </w:rPr>
      </w:pPr>
    </w:p>
    <w:p w:rsidR="000E391F" w:rsidRPr="006757EB" w:rsidRDefault="000E391F" w:rsidP="000E391F">
      <w:pPr>
        <w:widowControl w:val="0"/>
        <w:rPr>
          <w:i/>
          <w:sz w:val="20"/>
        </w:rPr>
      </w:pPr>
    </w:p>
    <w:p w:rsidR="006F2579" w:rsidRPr="006757EB" w:rsidRDefault="006F2579" w:rsidP="006F2579">
      <w:pPr>
        <w:widowControl w:val="0"/>
        <w:rPr>
          <w:i/>
          <w:sz w:val="20"/>
        </w:rPr>
      </w:pPr>
      <w:r w:rsidRPr="006757EB">
        <w:rPr>
          <w:i/>
          <w:sz w:val="20"/>
        </w:rPr>
        <w:t>(</w:t>
      </w:r>
      <w:r w:rsidR="003240B6" w:rsidRPr="006757EB">
        <w:rPr>
          <w:i/>
          <w:sz w:val="20"/>
        </w:rPr>
        <w:t>L</w:t>
      </w:r>
      <w:r w:rsidRPr="006757EB">
        <w:rPr>
          <w:i/>
          <w:sz w:val="20"/>
        </w:rPr>
        <w:t>e français suit)</w:t>
      </w:r>
    </w:p>
    <w:p w:rsidR="006F2579" w:rsidRPr="006757EB" w:rsidRDefault="006F2579" w:rsidP="006F2579">
      <w:pPr>
        <w:widowControl w:val="0"/>
        <w:rPr>
          <w:sz w:val="20"/>
        </w:rPr>
      </w:pPr>
    </w:p>
    <w:p w:rsidR="006F2579" w:rsidRPr="006757EB" w:rsidRDefault="00B07908" w:rsidP="006F2579">
      <w:pPr>
        <w:widowControl w:val="0"/>
        <w:jc w:val="center"/>
        <w:rPr>
          <w:b/>
          <w:szCs w:val="24"/>
        </w:rPr>
      </w:pPr>
      <w:r w:rsidRPr="006757EB">
        <w:rPr>
          <w:szCs w:val="24"/>
        </w:rPr>
        <w:fldChar w:fldCharType="begin"/>
      </w:r>
      <w:r w:rsidR="006F2579" w:rsidRPr="006757EB">
        <w:rPr>
          <w:szCs w:val="24"/>
        </w:rPr>
        <w:instrText xml:space="preserve"> SEQ CHAPTER \h \r 1</w:instrText>
      </w:r>
      <w:r w:rsidRPr="006757EB">
        <w:rPr>
          <w:szCs w:val="24"/>
        </w:rPr>
        <w:fldChar w:fldCharType="end"/>
      </w:r>
      <w:r w:rsidR="006F2579" w:rsidRPr="006757EB">
        <w:rPr>
          <w:b/>
          <w:szCs w:val="24"/>
        </w:rPr>
        <w:t>JUDGMENT</w:t>
      </w:r>
      <w:r w:rsidR="004F5491" w:rsidRPr="006757EB">
        <w:rPr>
          <w:b/>
          <w:szCs w:val="24"/>
        </w:rPr>
        <w:t>S</w:t>
      </w:r>
      <w:r w:rsidR="006F2579" w:rsidRPr="006757EB">
        <w:rPr>
          <w:b/>
          <w:szCs w:val="24"/>
        </w:rPr>
        <w:t xml:space="preserve"> TO B</w:t>
      </w:r>
      <w:r w:rsidR="00001846" w:rsidRPr="006757EB">
        <w:rPr>
          <w:b/>
          <w:szCs w:val="24"/>
        </w:rPr>
        <w:t>E RENDERED IN LE</w:t>
      </w:r>
      <w:r w:rsidR="00A0288A" w:rsidRPr="006757EB">
        <w:rPr>
          <w:b/>
          <w:szCs w:val="24"/>
        </w:rPr>
        <w:t>A</w:t>
      </w:r>
      <w:r w:rsidR="00001846" w:rsidRPr="006757EB">
        <w:rPr>
          <w:b/>
          <w:szCs w:val="24"/>
        </w:rPr>
        <w:t>VE APPLICATION</w:t>
      </w:r>
      <w:r w:rsidR="004F5491" w:rsidRPr="006757EB">
        <w:rPr>
          <w:b/>
          <w:szCs w:val="24"/>
        </w:rPr>
        <w:t>S</w:t>
      </w:r>
    </w:p>
    <w:p w:rsidR="006F2579" w:rsidRPr="006757EB" w:rsidRDefault="006F2579" w:rsidP="006F2579">
      <w:pPr>
        <w:widowControl w:val="0"/>
        <w:rPr>
          <w:szCs w:val="24"/>
        </w:rPr>
      </w:pPr>
    </w:p>
    <w:p w:rsidR="006F2579" w:rsidRPr="006757EB" w:rsidRDefault="00524C26" w:rsidP="006F2579">
      <w:pPr>
        <w:widowControl w:val="0"/>
        <w:rPr>
          <w:szCs w:val="24"/>
        </w:rPr>
      </w:pPr>
      <w:r w:rsidRPr="006757EB">
        <w:rPr>
          <w:b/>
          <w:szCs w:val="24"/>
        </w:rPr>
        <w:t>Dec</w:t>
      </w:r>
      <w:r w:rsidR="00EB4A94" w:rsidRPr="006757EB">
        <w:rPr>
          <w:b/>
          <w:szCs w:val="24"/>
        </w:rPr>
        <w:t>ember</w:t>
      </w:r>
      <w:r w:rsidR="00A15B66" w:rsidRPr="006757EB">
        <w:rPr>
          <w:b/>
          <w:szCs w:val="24"/>
        </w:rPr>
        <w:t xml:space="preserve"> </w:t>
      </w:r>
      <w:r w:rsidR="003D1070" w:rsidRPr="006757EB">
        <w:rPr>
          <w:b/>
          <w:szCs w:val="24"/>
        </w:rPr>
        <w:t>12</w:t>
      </w:r>
      <w:r w:rsidR="004441C7" w:rsidRPr="006757EB">
        <w:rPr>
          <w:b/>
          <w:szCs w:val="24"/>
        </w:rPr>
        <w:t>,</w:t>
      </w:r>
      <w:r w:rsidR="006F2579" w:rsidRPr="006757EB">
        <w:rPr>
          <w:b/>
          <w:szCs w:val="24"/>
        </w:rPr>
        <w:t xml:space="preserve"> </w:t>
      </w:r>
      <w:r w:rsidR="0054689F" w:rsidRPr="006757EB">
        <w:rPr>
          <w:b/>
          <w:szCs w:val="24"/>
        </w:rPr>
        <w:t>20</w:t>
      </w:r>
      <w:r w:rsidR="00526754" w:rsidRPr="006757EB">
        <w:rPr>
          <w:b/>
          <w:szCs w:val="24"/>
        </w:rPr>
        <w:t>2</w:t>
      </w:r>
      <w:r w:rsidR="00644008" w:rsidRPr="006757EB">
        <w:rPr>
          <w:b/>
          <w:szCs w:val="24"/>
        </w:rPr>
        <w:t>2</w:t>
      </w:r>
    </w:p>
    <w:p w:rsidR="006F2579" w:rsidRPr="006757EB" w:rsidRDefault="00674F39" w:rsidP="006F2579">
      <w:pPr>
        <w:widowControl w:val="0"/>
        <w:rPr>
          <w:b/>
          <w:szCs w:val="24"/>
        </w:rPr>
      </w:pPr>
      <w:r w:rsidRPr="006757EB">
        <w:rPr>
          <w:b/>
          <w:szCs w:val="24"/>
        </w:rPr>
        <w:t>For immediate release</w:t>
      </w:r>
    </w:p>
    <w:p w:rsidR="006F2579" w:rsidRPr="006757EB" w:rsidRDefault="006F2579" w:rsidP="006F2579">
      <w:pPr>
        <w:widowControl w:val="0"/>
        <w:rPr>
          <w:szCs w:val="24"/>
        </w:rPr>
      </w:pPr>
    </w:p>
    <w:p w:rsidR="006F2579" w:rsidRPr="006757EB" w:rsidRDefault="006F2579" w:rsidP="006F2579">
      <w:pPr>
        <w:widowControl w:val="0"/>
        <w:rPr>
          <w:szCs w:val="24"/>
          <w:lang w:val="fr-CA"/>
        </w:rPr>
      </w:pPr>
      <w:r w:rsidRPr="006757EB">
        <w:rPr>
          <w:b/>
          <w:szCs w:val="24"/>
        </w:rPr>
        <w:t>OTTAWA</w:t>
      </w:r>
      <w:r w:rsidRPr="006757EB">
        <w:rPr>
          <w:szCs w:val="24"/>
        </w:rPr>
        <w:t xml:space="preserve"> – The Supreme Court of Canad</w:t>
      </w:r>
      <w:r w:rsidR="006246E4" w:rsidRPr="006757EB">
        <w:rPr>
          <w:szCs w:val="24"/>
        </w:rPr>
        <w:t>a</w:t>
      </w:r>
      <w:r w:rsidRPr="006757EB">
        <w:rPr>
          <w:szCs w:val="24"/>
        </w:rPr>
        <w:t xml:space="preserve"> announced today that judgment in the following </w:t>
      </w:r>
      <w:r w:rsidR="00DB6199" w:rsidRPr="006757EB">
        <w:rPr>
          <w:szCs w:val="24"/>
        </w:rPr>
        <w:t>leave application</w:t>
      </w:r>
      <w:r w:rsidR="004F5491" w:rsidRPr="006757EB">
        <w:rPr>
          <w:szCs w:val="24"/>
        </w:rPr>
        <w:t>s</w:t>
      </w:r>
      <w:r w:rsidR="00DB6199" w:rsidRPr="006757EB">
        <w:rPr>
          <w:szCs w:val="24"/>
        </w:rPr>
        <w:t xml:space="preserve"> </w:t>
      </w:r>
      <w:r w:rsidRPr="006757EB">
        <w:rPr>
          <w:szCs w:val="24"/>
        </w:rPr>
        <w:t>will be delivere</w:t>
      </w:r>
      <w:r w:rsidR="00CE2C5F" w:rsidRPr="006757EB">
        <w:rPr>
          <w:szCs w:val="24"/>
        </w:rPr>
        <w:t>d</w:t>
      </w:r>
      <w:r w:rsidRPr="006757EB">
        <w:rPr>
          <w:szCs w:val="24"/>
        </w:rPr>
        <w:t xml:space="preserve"> at 9:45 a.m. </w:t>
      </w:r>
      <w:r w:rsidR="00E05816" w:rsidRPr="006757EB">
        <w:rPr>
          <w:szCs w:val="24"/>
        </w:rPr>
        <w:t>E</w:t>
      </w:r>
      <w:r w:rsidR="00EB4A94" w:rsidRPr="006757EB">
        <w:rPr>
          <w:szCs w:val="24"/>
        </w:rPr>
        <w:t>S</w:t>
      </w:r>
      <w:r w:rsidR="00E05816" w:rsidRPr="006757EB">
        <w:rPr>
          <w:szCs w:val="24"/>
        </w:rPr>
        <w:t>T</w:t>
      </w:r>
      <w:r w:rsidRPr="006757EB">
        <w:rPr>
          <w:szCs w:val="24"/>
        </w:rPr>
        <w:t xml:space="preserve"> on </w:t>
      </w:r>
      <w:r w:rsidR="00322A9C" w:rsidRPr="006757EB">
        <w:rPr>
          <w:szCs w:val="24"/>
        </w:rPr>
        <w:t>Thurs</w:t>
      </w:r>
      <w:r w:rsidR="00680A85" w:rsidRPr="006757EB">
        <w:rPr>
          <w:szCs w:val="24"/>
        </w:rPr>
        <w:t>day</w:t>
      </w:r>
      <w:r w:rsidRPr="006757EB">
        <w:rPr>
          <w:szCs w:val="24"/>
        </w:rPr>
        <w:t xml:space="preserve">, </w:t>
      </w:r>
      <w:r w:rsidR="0068648F" w:rsidRPr="006757EB">
        <w:rPr>
          <w:szCs w:val="24"/>
        </w:rPr>
        <w:t>Decem</w:t>
      </w:r>
      <w:r w:rsidR="00EB4A94" w:rsidRPr="006757EB">
        <w:rPr>
          <w:szCs w:val="24"/>
        </w:rPr>
        <w:t>ber</w:t>
      </w:r>
      <w:r w:rsidR="00455912" w:rsidRPr="006757EB">
        <w:rPr>
          <w:szCs w:val="24"/>
        </w:rPr>
        <w:t xml:space="preserve"> </w:t>
      </w:r>
      <w:r w:rsidR="003D1070" w:rsidRPr="006757EB">
        <w:rPr>
          <w:szCs w:val="24"/>
        </w:rPr>
        <w:t>15</w:t>
      </w:r>
      <w:r w:rsidR="007E112F" w:rsidRPr="006757EB">
        <w:rPr>
          <w:szCs w:val="24"/>
        </w:rPr>
        <w:t>,</w:t>
      </w:r>
      <w:r w:rsidR="002F38D7" w:rsidRPr="006757EB">
        <w:rPr>
          <w:szCs w:val="24"/>
        </w:rPr>
        <w:t xml:space="preserve"> </w:t>
      </w:r>
      <w:r w:rsidR="006648D1" w:rsidRPr="006757EB">
        <w:rPr>
          <w:szCs w:val="24"/>
        </w:rPr>
        <w:t>20</w:t>
      </w:r>
      <w:r w:rsidR="00526754" w:rsidRPr="006757EB">
        <w:rPr>
          <w:szCs w:val="24"/>
        </w:rPr>
        <w:t>2</w:t>
      </w:r>
      <w:r w:rsidR="00644008" w:rsidRPr="006757EB">
        <w:rPr>
          <w:szCs w:val="24"/>
        </w:rPr>
        <w:t>2</w:t>
      </w:r>
      <w:r w:rsidRPr="006757EB">
        <w:rPr>
          <w:szCs w:val="24"/>
        </w:rPr>
        <w:t xml:space="preserve">. </w:t>
      </w:r>
      <w:r w:rsidRPr="006757EB">
        <w:rPr>
          <w:szCs w:val="24"/>
          <w:lang w:val="fr-CA"/>
        </w:rPr>
        <w:t>This list is subject to chang</w:t>
      </w:r>
      <w:r w:rsidR="00192F7F" w:rsidRPr="006757EB">
        <w:rPr>
          <w:szCs w:val="24"/>
          <w:lang w:val="fr-CA"/>
        </w:rPr>
        <w:t>e</w:t>
      </w:r>
      <w:r w:rsidRPr="006757EB">
        <w:rPr>
          <w:szCs w:val="24"/>
          <w:lang w:val="fr-CA"/>
        </w:rPr>
        <w:t>.</w:t>
      </w:r>
    </w:p>
    <w:p w:rsidR="00FF5AA4" w:rsidRPr="006757EB" w:rsidRDefault="00FF5AA4" w:rsidP="006F2579">
      <w:pPr>
        <w:widowControl w:val="0"/>
        <w:rPr>
          <w:szCs w:val="24"/>
          <w:lang w:val="fr-CA"/>
        </w:rPr>
      </w:pPr>
    </w:p>
    <w:p w:rsidR="00B43418" w:rsidRPr="006757EB" w:rsidRDefault="00B43418" w:rsidP="006F2579">
      <w:pPr>
        <w:widowControl w:val="0"/>
        <w:rPr>
          <w:szCs w:val="24"/>
          <w:lang w:val="fr-CA"/>
        </w:rPr>
      </w:pPr>
    </w:p>
    <w:p w:rsidR="006F2579" w:rsidRPr="006757EB" w:rsidRDefault="006F2579" w:rsidP="006F2579">
      <w:pPr>
        <w:widowControl w:val="0"/>
        <w:jc w:val="center"/>
        <w:rPr>
          <w:szCs w:val="24"/>
          <w:lang w:val="fr-CA"/>
        </w:rPr>
      </w:pPr>
      <w:r w:rsidRPr="006757EB">
        <w:rPr>
          <w:b/>
          <w:szCs w:val="24"/>
          <w:lang w:val="fr-CA"/>
        </w:rPr>
        <w:t>PROCHAIN</w:t>
      </w:r>
      <w:r w:rsidR="004F5491" w:rsidRPr="006757EB">
        <w:rPr>
          <w:b/>
          <w:szCs w:val="24"/>
          <w:lang w:val="fr-CA"/>
        </w:rPr>
        <w:t>S</w:t>
      </w:r>
      <w:r w:rsidRPr="006757EB">
        <w:rPr>
          <w:b/>
          <w:szCs w:val="24"/>
          <w:lang w:val="fr-CA"/>
        </w:rPr>
        <w:t xml:space="preserve"> JUGEMENT</w:t>
      </w:r>
      <w:r w:rsidR="004F5491" w:rsidRPr="006757EB">
        <w:rPr>
          <w:b/>
          <w:szCs w:val="24"/>
          <w:lang w:val="fr-CA"/>
        </w:rPr>
        <w:t>S</w:t>
      </w:r>
      <w:r w:rsidR="00001846" w:rsidRPr="006757EB">
        <w:rPr>
          <w:b/>
          <w:szCs w:val="24"/>
          <w:lang w:val="fr-CA"/>
        </w:rPr>
        <w:t xml:space="preserve"> SUR DEMANDE</w:t>
      </w:r>
      <w:r w:rsidR="004F5491" w:rsidRPr="006757EB">
        <w:rPr>
          <w:b/>
          <w:szCs w:val="24"/>
          <w:lang w:val="fr-CA"/>
        </w:rPr>
        <w:t>S</w:t>
      </w:r>
      <w:r w:rsidRPr="006757EB">
        <w:rPr>
          <w:b/>
          <w:szCs w:val="24"/>
          <w:lang w:val="fr-CA"/>
        </w:rPr>
        <w:t xml:space="preserve"> D’AUTORISATION</w:t>
      </w:r>
    </w:p>
    <w:p w:rsidR="006F2579" w:rsidRPr="006757EB" w:rsidRDefault="006F2579" w:rsidP="006F2579">
      <w:pPr>
        <w:widowControl w:val="0"/>
        <w:rPr>
          <w:szCs w:val="24"/>
          <w:lang w:val="fr-CA"/>
        </w:rPr>
      </w:pPr>
    </w:p>
    <w:p w:rsidR="006F2579" w:rsidRPr="006757EB" w:rsidRDefault="006F2579" w:rsidP="006F2579">
      <w:pPr>
        <w:widowControl w:val="0"/>
        <w:rPr>
          <w:szCs w:val="24"/>
          <w:lang w:val="fr-CA"/>
        </w:rPr>
      </w:pPr>
      <w:r w:rsidRPr="006757EB">
        <w:rPr>
          <w:b/>
          <w:szCs w:val="24"/>
          <w:lang w:val="fr-CA"/>
        </w:rPr>
        <w:t>Le</w:t>
      </w:r>
      <w:r w:rsidR="00957A76" w:rsidRPr="006757EB">
        <w:rPr>
          <w:b/>
          <w:szCs w:val="24"/>
          <w:lang w:val="fr-CA"/>
        </w:rPr>
        <w:t xml:space="preserve"> </w:t>
      </w:r>
      <w:r w:rsidR="003D1070" w:rsidRPr="006757EB">
        <w:rPr>
          <w:b/>
          <w:szCs w:val="24"/>
          <w:lang w:val="fr-CA"/>
        </w:rPr>
        <w:t>12</w:t>
      </w:r>
      <w:r w:rsidR="00FA6BAB" w:rsidRPr="006757EB">
        <w:rPr>
          <w:b/>
          <w:szCs w:val="24"/>
          <w:lang w:val="fr-CA"/>
        </w:rPr>
        <w:t xml:space="preserve"> </w:t>
      </w:r>
      <w:r w:rsidR="00524C26" w:rsidRPr="006757EB">
        <w:rPr>
          <w:b/>
          <w:szCs w:val="24"/>
          <w:lang w:val="fr-CA"/>
        </w:rPr>
        <w:t>déc</w:t>
      </w:r>
      <w:r w:rsidR="00EB4A94" w:rsidRPr="006757EB">
        <w:rPr>
          <w:b/>
          <w:szCs w:val="24"/>
          <w:lang w:val="fr-CA"/>
        </w:rPr>
        <w:t>embre</w:t>
      </w:r>
      <w:r w:rsidR="00A151D1" w:rsidRPr="006757EB">
        <w:rPr>
          <w:b/>
          <w:szCs w:val="24"/>
          <w:lang w:val="fr-CA"/>
        </w:rPr>
        <w:t xml:space="preserve"> 20</w:t>
      </w:r>
      <w:r w:rsidR="00526754" w:rsidRPr="006757EB">
        <w:rPr>
          <w:b/>
          <w:szCs w:val="24"/>
          <w:lang w:val="fr-CA"/>
        </w:rPr>
        <w:t>2</w:t>
      </w:r>
      <w:r w:rsidR="00644008" w:rsidRPr="006757EB">
        <w:rPr>
          <w:b/>
          <w:szCs w:val="24"/>
          <w:lang w:val="fr-CA"/>
        </w:rPr>
        <w:t>2</w:t>
      </w:r>
    </w:p>
    <w:p w:rsidR="006F2579" w:rsidRPr="006757EB" w:rsidRDefault="006F2579" w:rsidP="006F2579">
      <w:pPr>
        <w:widowControl w:val="0"/>
        <w:rPr>
          <w:b/>
          <w:szCs w:val="24"/>
          <w:lang w:val="fr-CA"/>
        </w:rPr>
      </w:pPr>
      <w:r w:rsidRPr="006757EB">
        <w:rPr>
          <w:b/>
          <w:szCs w:val="24"/>
          <w:lang w:val="fr-CA"/>
        </w:rPr>
        <w:t>Pour diffusion immédiate</w:t>
      </w:r>
    </w:p>
    <w:p w:rsidR="006F2579" w:rsidRPr="006757EB" w:rsidRDefault="006F2579" w:rsidP="006F2579">
      <w:pPr>
        <w:widowControl w:val="0"/>
        <w:rPr>
          <w:szCs w:val="24"/>
          <w:lang w:val="fr-CA"/>
        </w:rPr>
      </w:pPr>
    </w:p>
    <w:p w:rsidR="006F2579" w:rsidRPr="006757EB" w:rsidRDefault="006F2579" w:rsidP="006F2579">
      <w:pPr>
        <w:widowControl w:val="0"/>
        <w:rPr>
          <w:szCs w:val="24"/>
          <w:lang w:val="fr-CA"/>
        </w:rPr>
      </w:pPr>
      <w:r w:rsidRPr="006757EB">
        <w:rPr>
          <w:b/>
          <w:szCs w:val="24"/>
          <w:lang w:val="fr-CA"/>
        </w:rPr>
        <w:t>OTTAWA</w:t>
      </w:r>
      <w:r w:rsidRPr="006757EB">
        <w:rPr>
          <w:szCs w:val="24"/>
          <w:lang w:val="fr-CA"/>
        </w:rPr>
        <w:t xml:space="preserve"> – La Cour suprême du Canada annonce que jugement ser</w:t>
      </w:r>
      <w:r w:rsidR="004259F9" w:rsidRPr="006757EB">
        <w:rPr>
          <w:szCs w:val="24"/>
          <w:lang w:val="fr-CA"/>
        </w:rPr>
        <w:t>a</w:t>
      </w:r>
      <w:r w:rsidRPr="006757EB">
        <w:rPr>
          <w:szCs w:val="24"/>
          <w:lang w:val="fr-CA"/>
        </w:rPr>
        <w:t xml:space="preserve"> rendu dans l</w:t>
      </w:r>
      <w:r w:rsidR="004F5491" w:rsidRPr="006757EB">
        <w:rPr>
          <w:szCs w:val="24"/>
          <w:lang w:val="fr-CA"/>
        </w:rPr>
        <w:t>es</w:t>
      </w:r>
      <w:r w:rsidRPr="006757EB">
        <w:rPr>
          <w:szCs w:val="24"/>
          <w:lang w:val="fr-CA"/>
        </w:rPr>
        <w:t xml:space="preserve"> demande</w:t>
      </w:r>
      <w:r w:rsidR="004F5491" w:rsidRPr="006757EB">
        <w:rPr>
          <w:szCs w:val="24"/>
          <w:lang w:val="fr-CA"/>
        </w:rPr>
        <w:t>s</w:t>
      </w:r>
      <w:r w:rsidRPr="006757EB">
        <w:rPr>
          <w:szCs w:val="24"/>
          <w:lang w:val="fr-CA"/>
        </w:rPr>
        <w:t xml:space="preserve"> d</w:t>
      </w:r>
      <w:r w:rsidR="00001846" w:rsidRPr="006757EB">
        <w:rPr>
          <w:szCs w:val="24"/>
          <w:lang w:val="fr-CA"/>
        </w:rPr>
        <w:t>’autorisation suivante</w:t>
      </w:r>
      <w:r w:rsidR="004F5491" w:rsidRPr="006757EB">
        <w:rPr>
          <w:szCs w:val="24"/>
          <w:lang w:val="fr-CA"/>
        </w:rPr>
        <w:t>s</w:t>
      </w:r>
      <w:r w:rsidRPr="006757EB">
        <w:rPr>
          <w:szCs w:val="24"/>
          <w:lang w:val="fr-CA"/>
        </w:rPr>
        <w:t xml:space="preserve"> le </w:t>
      </w:r>
      <w:r w:rsidR="00322A9C" w:rsidRPr="006757EB">
        <w:rPr>
          <w:szCs w:val="24"/>
          <w:lang w:val="fr-CA"/>
        </w:rPr>
        <w:t>jeu</w:t>
      </w:r>
      <w:r w:rsidR="00680A85" w:rsidRPr="006757EB">
        <w:rPr>
          <w:szCs w:val="24"/>
          <w:lang w:val="fr-CA"/>
        </w:rPr>
        <w:t>di</w:t>
      </w:r>
      <w:r w:rsidRPr="006757EB">
        <w:rPr>
          <w:szCs w:val="24"/>
          <w:lang w:val="fr-CA"/>
        </w:rPr>
        <w:t xml:space="preserve"> </w:t>
      </w:r>
      <w:r w:rsidR="003D1070" w:rsidRPr="006757EB">
        <w:rPr>
          <w:szCs w:val="24"/>
          <w:lang w:val="fr-CA"/>
        </w:rPr>
        <w:t>15</w:t>
      </w:r>
      <w:r w:rsidR="009E0BD3" w:rsidRPr="006757EB">
        <w:rPr>
          <w:szCs w:val="24"/>
          <w:lang w:val="fr-CA"/>
        </w:rPr>
        <w:t xml:space="preserve"> </w:t>
      </w:r>
      <w:r w:rsidR="0068648F" w:rsidRPr="006757EB">
        <w:rPr>
          <w:szCs w:val="24"/>
          <w:lang w:val="fr-CA"/>
        </w:rPr>
        <w:t>déc</w:t>
      </w:r>
      <w:r w:rsidR="00EB4A94" w:rsidRPr="006757EB">
        <w:rPr>
          <w:szCs w:val="24"/>
          <w:lang w:val="fr-CA"/>
        </w:rPr>
        <w:t>em</w:t>
      </w:r>
      <w:r w:rsidR="00DC4AAB" w:rsidRPr="006757EB">
        <w:rPr>
          <w:szCs w:val="24"/>
          <w:lang w:val="fr-CA"/>
        </w:rPr>
        <w:t>bre</w:t>
      </w:r>
      <w:r w:rsidR="00694391" w:rsidRPr="006757EB">
        <w:rPr>
          <w:szCs w:val="24"/>
          <w:lang w:val="fr-CA"/>
        </w:rPr>
        <w:t xml:space="preserve"> 2</w:t>
      </w:r>
      <w:r w:rsidR="006648D1" w:rsidRPr="006757EB">
        <w:rPr>
          <w:szCs w:val="24"/>
          <w:lang w:val="fr-CA"/>
        </w:rPr>
        <w:t>0</w:t>
      </w:r>
      <w:r w:rsidR="00526754" w:rsidRPr="006757EB">
        <w:rPr>
          <w:szCs w:val="24"/>
          <w:lang w:val="fr-CA"/>
        </w:rPr>
        <w:t>2</w:t>
      </w:r>
      <w:r w:rsidR="00644008" w:rsidRPr="006757EB">
        <w:rPr>
          <w:szCs w:val="24"/>
          <w:lang w:val="fr-CA"/>
        </w:rPr>
        <w:t>2</w:t>
      </w:r>
      <w:r w:rsidRPr="006757EB">
        <w:rPr>
          <w:szCs w:val="24"/>
          <w:lang w:val="fr-CA"/>
        </w:rPr>
        <w:t xml:space="preserve">, à 9 h 45 </w:t>
      </w:r>
      <w:r w:rsidR="000627A2" w:rsidRPr="006757EB">
        <w:rPr>
          <w:szCs w:val="24"/>
          <w:lang w:val="fr-CA"/>
        </w:rPr>
        <w:t>H</w:t>
      </w:r>
      <w:r w:rsidR="00EB4A94" w:rsidRPr="006757EB">
        <w:rPr>
          <w:szCs w:val="24"/>
          <w:lang w:val="fr-CA"/>
        </w:rPr>
        <w:t>N</w:t>
      </w:r>
      <w:r w:rsidRPr="006757EB">
        <w:rPr>
          <w:szCs w:val="24"/>
          <w:lang w:val="fr-CA"/>
        </w:rPr>
        <w:t>E. Cette liste est sujette à modification</w:t>
      </w:r>
      <w:r w:rsidR="00130ADB" w:rsidRPr="006757EB">
        <w:rPr>
          <w:szCs w:val="24"/>
          <w:lang w:val="fr-CA"/>
        </w:rPr>
        <w:t>s</w:t>
      </w:r>
      <w:r w:rsidRPr="006757EB">
        <w:rPr>
          <w:szCs w:val="24"/>
          <w:lang w:val="fr-CA"/>
        </w:rPr>
        <w:t>.</w:t>
      </w:r>
    </w:p>
    <w:p w:rsidR="0080556B" w:rsidRPr="006757EB" w:rsidRDefault="0080556B" w:rsidP="005F2A78">
      <w:pPr>
        <w:widowControl w:val="0"/>
        <w:tabs>
          <w:tab w:val="left" w:pos="3840"/>
        </w:tabs>
        <w:jc w:val="both"/>
        <w:rPr>
          <w:sz w:val="20"/>
          <w:lang w:val="fr-CA"/>
        </w:rPr>
      </w:pPr>
    </w:p>
    <w:p w:rsidR="00867C61" w:rsidRPr="006757EB" w:rsidRDefault="007336A5" w:rsidP="009B14F4">
      <w:pPr>
        <w:widowControl w:val="0"/>
        <w:jc w:val="both"/>
        <w:rPr>
          <w:sz w:val="20"/>
        </w:rPr>
      </w:pPr>
      <w:r>
        <w:rPr>
          <w:sz w:val="20"/>
        </w:rPr>
        <w:pict>
          <v:rect id="_x0000_i1025" style="width:2in;height:1pt" o:hrpct="0" o:hralign="center" o:hrstd="t" o:hrnoshade="t" o:hr="t" fillcolor="black [3213]" stroked="f"/>
        </w:pict>
      </w:r>
    </w:p>
    <w:p w:rsidR="004A6E51" w:rsidRPr="006757EB" w:rsidRDefault="004A6E51" w:rsidP="0053032E">
      <w:pPr>
        <w:rPr>
          <w:sz w:val="20"/>
          <w:lang w:val="fr-CA"/>
        </w:rPr>
      </w:pPr>
    </w:p>
    <w:p w:rsidR="005A1EC1" w:rsidRPr="006757EB" w:rsidRDefault="005A1EC1" w:rsidP="00193B05">
      <w:pPr>
        <w:pStyle w:val="ListParagraph"/>
        <w:numPr>
          <w:ilvl w:val="0"/>
          <w:numId w:val="21"/>
        </w:numPr>
        <w:ind w:left="357" w:hanging="357"/>
        <w:rPr>
          <w:sz w:val="20"/>
        </w:rPr>
      </w:pPr>
      <w:r w:rsidRPr="006757EB">
        <w:rPr>
          <w:i/>
          <w:sz w:val="20"/>
        </w:rPr>
        <w:t xml:space="preserve">Jimmy Boisvert v. His Majesty the King </w:t>
      </w:r>
      <w:r w:rsidRPr="006757EB">
        <w:rPr>
          <w:sz w:val="20"/>
        </w:rPr>
        <w:t>(Que.) (Criminal) (By Leave) (</w:t>
      </w:r>
      <w:hyperlink r:id="rId8" w:history="1">
        <w:r w:rsidRPr="006757EB">
          <w:rPr>
            <w:rStyle w:val="Hyperlink"/>
            <w:sz w:val="20"/>
            <w:szCs w:val="20"/>
          </w:rPr>
          <w:t>402</w:t>
        </w:r>
        <w:r w:rsidR="00D01CC7" w:rsidRPr="006757EB">
          <w:rPr>
            <w:rStyle w:val="Hyperlink"/>
            <w:sz w:val="20"/>
            <w:szCs w:val="20"/>
          </w:rPr>
          <w:t>27</w:t>
        </w:r>
      </w:hyperlink>
      <w:r w:rsidRPr="006757EB">
        <w:rPr>
          <w:sz w:val="20"/>
        </w:rPr>
        <w:t>)</w:t>
      </w:r>
    </w:p>
    <w:p w:rsidR="005A1EC1" w:rsidRPr="006757EB" w:rsidRDefault="005A1EC1" w:rsidP="00193B05">
      <w:pPr>
        <w:ind w:left="357" w:hanging="357"/>
        <w:rPr>
          <w:sz w:val="20"/>
        </w:rPr>
      </w:pPr>
    </w:p>
    <w:p w:rsidR="005A1EC1" w:rsidRPr="006757EB" w:rsidRDefault="005A1EC1" w:rsidP="00193B05">
      <w:pPr>
        <w:pStyle w:val="ListParagraph"/>
        <w:numPr>
          <w:ilvl w:val="0"/>
          <w:numId w:val="21"/>
        </w:numPr>
        <w:ind w:left="357" w:hanging="357"/>
        <w:rPr>
          <w:sz w:val="20"/>
        </w:rPr>
      </w:pPr>
      <w:r w:rsidRPr="006757EB">
        <w:rPr>
          <w:i/>
          <w:sz w:val="20"/>
          <w:lang w:val="fr-CA"/>
        </w:rPr>
        <w:t xml:space="preserve">Iryna Antonyuk v. Mykhaylo Antonyuk </w:t>
      </w:r>
      <w:r w:rsidRPr="006757EB">
        <w:rPr>
          <w:sz w:val="20"/>
          <w:lang w:val="fr-CA"/>
        </w:rPr>
        <w:t xml:space="preserve">(Ont.) </w:t>
      </w:r>
      <w:r w:rsidRPr="006757EB">
        <w:rPr>
          <w:sz w:val="20"/>
        </w:rPr>
        <w:t>(Civil) (By Leave) (</w:t>
      </w:r>
      <w:hyperlink r:id="rId9" w:history="1">
        <w:r w:rsidRPr="006757EB">
          <w:rPr>
            <w:rStyle w:val="Hyperlink"/>
            <w:sz w:val="20"/>
            <w:szCs w:val="20"/>
          </w:rPr>
          <w:t>40</w:t>
        </w:r>
        <w:r w:rsidR="00D01CC7" w:rsidRPr="006757EB">
          <w:rPr>
            <w:rStyle w:val="Hyperlink"/>
            <w:sz w:val="20"/>
            <w:szCs w:val="20"/>
          </w:rPr>
          <w:t>134</w:t>
        </w:r>
      </w:hyperlink>
      <w:r w:rsidRPr="006757EB">
        <w:rPr>
          <w:sz w:val="20"/>
        </w:rPr>
        <w:t>)</w:t>
      </w:r>
    </w:p>
    <w:p w:rsidR="005A1EC1" w:rsidRPr="006757EB" w:rsidRDefault="005A1EC1" w:rsidP="00193B05">
      <w:pPr>
        <w:ind w:left="357" w:hanging="357"/>
        <w:rPr>
          <w:sz w:val="20"/>
        </w:rPr>
      </w:pPr>
    </w:p>
    <w:p w:rsidR="005A1EC1" w:rsidRPr="006757EB" w:rsidRDefault="005A1EC1" w:rsidP="00193B05">
      <w:pPr>
        <w:pStyle w:val="ListParagraph"/>
        <w:numPr>
          <w:ilvl w:val="0"/>
          <w:numId w:val="21"/>
        </w:numPr>
        <w:ind w:left="357" w:hanging="357"/>
        <w:rPr>
          <w:sz w:val="20"/>
        </w:rPr>
      </w:pPr>
      <w:r w:rsidRPr="006757EB">
        <w:rPr>
          <w:i/>
          <w:sz w:val="20"/>
        </w:rPr>
        <w:t>Paul Abi-Mansour</w:t>
      </w:r>
      <w:r w:rsidR="00D01CC7" w:rsidRPr="006757EB">
        <w:rPr>
          <w:i/>
          <w:sz w:val="20"/>
        </w:rPr>
        <w:t>, et al.</w:t>
      </w:r>
      <w:r w:rsidRPr="006757EB">
        <w:rPr>
          <w:i/>
          <w:sz w:val="20"/>
        </w:rPr>
        <w:t xml:space="preserve"> v. Attorney General of Canada (Deputy Head of Fisheries and Ocean, DFO), et al. </w:t>
      </w:r>
      <w:r w:rsidRPr="006757EB">
        <w:rPr>
          <w:sz w:val="20"/>
        </w:rPr>
        <w:t>(F.C.) (Civil) (By Leave) (</w:t>
      </w:r>
      <w:hyperlink r:id="rId10" w:history="1">
        <w:r w:rsidRPr="006757EB">
          <w:rPr>
            <w:rStyle w:val="Hyperlink"/>
            <w:sz w:val="20"/>
            <w:szCs w:val="20"/>
          </w:rPr>
          <w:t>40</w:t>
        </w:r>
        <w:r w:rsidR="00D01CC7" w:rsidRPr="006757EB">
          <w:rPr>
            <w:rStyle w:val="Hyperlink"/>
            <w:sz w:val="20"/>
            <w:szCs w:val="20"/>
          </w:rPr>
          <w:t>0</w:t>
        </w:r>
        <w:r w:rsidRPr="006757EB">
          <w:rPr>
            <w:rStyle w:val="Hyperlink"/>
            <w:sz w:val="20"/>
            <w:szCs w:val="20"/>
          </w:rPr>
          <w:t>2</w:t>
        </w:r>
        <w:r w:rsidR="00D01CC7" w:rsidRPr="006757EB">
          <w:rPr>
            <w:rStyle w:val="Hyperlink"/>
            <w:sz w:val="20"/>
            <w:szCs w:val="20"/>
          </w:rPr>
          <w:t>1</w:t>
        </w:r>
      </w:hyperlink>
      <w:r w:rsidRPr="006757EB">
        <w:rPr>
          <w:sz w:val="20"/>
        </w:rPr>
        <w:t>)</w:t>
      </w:r>
    </w:p>
    <w:p w:rsidR="005A1EC1" w:rsidRPr="006757EB" w:rsidRDefault="005A1EC1" w:rsidP="00193B05">
      <w:pPr>
        <w:ind w:left="357" w:hanging="357"/>
        <w:rPr>
          <w:sz w:val="20"/>
        </w:rPr>
      </w:pPr>
    </w:p>
    <w:p w:rsidR="005A1EC1" w:rsidRPr="006757EB" w:rsidRDefault="005A1EC1" w:rsidP="00193B05">
      <w:pPr>
        <w:pStyle w:val="ListParagraph"/>
        <w:numPr>
          <w:ilvl w:val="0"/>
          <w:numId w:val="21"/>
        </w:numPr>
        <w:ind w:left="357" w:hanging="357"/>
        <w:rPr>
          <w:sz w:val="20"/>
          <w:lang w:val="en-CA"/>
        </w:rPr>
      </w:pPr>
      <w:r w:rsidRPr="006757EB">
        <w:rPr>
          <w:i/>
          <w:sz w:val="20"/>
          <w:lang w:val="en-CA"/>
        </w:rPr>
        <w:t xml:space="preserve">UD Trading Group Holding Pte. Limited, et al. v. TransAsia Private Capital Limited, et al. </w:t>
      </w:r>
      <w:r w:rsidRPr="006757EB">
        <w:rPr>
          <w:sz w:val="20"/>
          <w:lang w:val="en-CA"/>
        </w:rPr>
        <w:t xml:space="preserve">(Ont.) (Civil) (By Leave) </w:t>
      </w:r>
      <w:r w:rsidRPr="006757EB">
        <w:rPr>
          <w:sz w:val="20"/>
        </w:rPr>
        <w:t>(</w:t>
      </w:r>
      <w:hyperlink r:id="rId11" w:history="1">
        <w:r w:rsidRPr="006757EB">
          <w:rPr>
            <w:rStyle w:val="Hyperlink"/>
            <w:sz w:val="20"/>
            <w:szCs w:val="20"/>
          </w:rPr>
          <w:t>40</w:t>
        </w:r>
        <w:r w:rsidR="00D01CC7" w:rsidRPr="006757EB">
          <w:rPr>
            <w:rStyle w:val="Hyperlink"/>
            <w:sz w:val="20"/>
            <w:szCs w:val="20"/>
          </w:rPr>
          <w:t>13</w:t>
        </w:r>
        <w:r w:rsidRPr="006757EB">
          <w:rPr>
            <w:rStyle w:val="Hyperlink"/>
            <w:sz w:val="20"/>
            <w:szCs w:val="20"/>
          </w:rPr>
          <w:t>8</w:t>
        </w:r>
      </w:hyperlink>
      <w:r w:rsidRPr="006757EB">
        <w:rPr>
          <w:sz w:val="20"/>
        </w:rPr>
        <w:t>)</w:t>
      </w:r>
    </w:p>
    <w:p w:rsidR="005A1EC1" w:rsidRPr="006757EB" w:rsidRDefault="005A1EC1" w:rsidP="00193B05">
      <w:pPr>
        <w:ind w:left="357" w:hanging="357"/>
        <w:rPr>
          <w:sz w:val="20"/>
          <w:lang w:val="en-CA"/>
        </w:rPr>
      </w:pPr>
    </w:p>
    <w:p w:rsidR="005A1EC1" w:rsidRPr="006757EB" w:rsidRDefault="005A1EC1" w:rsidP="00193B05">
      <w:pPr>
        <w:pStyle w:val="ListParagraph"/>
        <w:numPr>
          <w:ilvl w:val="0"/>
          <w:numId w:val="21"/>
        </w:numPr>
        <w:ind w:left="357" w:hanging="357"/>
        <w:rPr>
          <w:sz w:val="20"/>
          <w:lang w:val="en-CA"/>
        </w:rPr>
      </w:pPr>
      <w:r w:rsidRPr="006757EB">
        <w:rPr>
          <w:i/>
          <w:sz w:val="20"/>
          <w:lang w:val="en-CA"/>
        </w:rPr>
        <w:t>Jay Link v. John E. Link, et al.</w:t>
      </w:r>
      <w:r w:rsidRPr="006757EB">
        <w:rPr>
          <w:sz w:val="20"/>
          <w:lang w:val="en-CA"/>
        </w:rPr>
        <w:t xml:space="preserve"> (N.S.) (Civil) (By Leave) </w:t>
      </w:r>
      <w:r w:rsidRPr="006757EB">
        <w:rPr>
          <w:sz w:val="20"/>
        </w:rPr>
        <w:t>(</w:t>
      </w:r>
      <w:hyperlink r:id="rId12" w:history="1">
        <w:r w:rsidRPr="006757EB">
          <w:rPr>
            <w:rStyle w:val="Hyperlink"/>
            <w:sz w:val="20"/>
            <w:szCs w:val="20"/>
          </w:rPr>
          <w:t>40</w:t>
        </w:r>
        <w:r w:rsidR="00D01CC7" w:rsidRPr="006757EB">
          <w:rPr>
            <w:rStyle w:val="Hyperlink"/>
            <w:sz w:val="20"/>
            <w:szCs w:val="20"/>
          </w:rPr>
          <w:t>1</w:t>
        </w:r>
        <w:r w:rsidRPr="006757EB">
          <w:rPr>
            <w:rStyle w:val="Hyperlink"/>
            <w:sz w:val="20"/>
            <w:szCs w:val="20"/>
          </w:rPr>
          <w:t>5</w:t>
        </w:r>
        <w:r w:rsidR="00D01CC7" w:rsidRPr="006757EB">
          <w:rPr>
            <w:rStyle w:val="Hyperlink"/>
            <w:sz w:val="20"/>
            <w:szCs w:val="20"/>
          </w:rPr>
          <w:t>0</w:t>
        </w:r>
      </w:hyperlink>
      <w:r w:rsidRPr="006757EB">
        <w:rPr>
          <w:sz w:val="20"/>
        </w:rPr>
        <w:t>)</w:t>
      </w:r>
    </w:p>
    <w:p w:rsidR="005A1EC1" w:rsidRPr="006757EB" w:rsidRDefault="005A1EC1" w:rsidP="00193B05">
      <w:pPr>
        <w:ind w:left="357" w:hanging="357"/>
        <w:rPr>
          <w:sz w:val="20"/>
          <w:lang w:val="en-CA"/>
        </w:rPr>
      </w:pPr>
    </w:p>
    <w:p w:rsidR="005A1EC1" w:rsidRPr="006757EB" w:rsidRDefault="005A1EC1" w:rsidP="00193B05">
      <w:pPr>
        <w:pStyle w:val="ListParagraph"/>
        <w:numPr>
          <w:ilvl w:val="0"/>
          <w:numId w:val="21"/>
        </w:numPr>
        <w:ind w:left="357" w:hanging="357"/>
        <w:rPr>
          <w:sz w:val="20"/>
        </w:rPr>
      </w:pPr>
      <w:r w:rsidRPr="006757EB">
        <w:rPr>
          <w:i/>
          <w:sz w:val="20"/>
          <w:lang w:val="en-CA"/>
        </w:rPr>
        <w:t>Brian Doyle v. Attorney General of Canada</w:t>
      </w:r>
      <w:r w:rsidRPr="006757EB">
        <w:rPr>
          <w:sz w:val="20"/>
          <w:lang w:val="en-CA"/>
        </w:rPr>
        <w:t xml:space="preserve"> (F.C.) </w:t>
      </w:r>
      <w:r w:rsidRPr="006757EB">
        <w:rPr>
          <w:sz w:val="20"/>
        </w:rPr>
        <w:t>(Civil) (By Leave) (</w:t>
      </w:r>
      <w:hyperlink r:id="rId13" w:history="1">
        <w:r w:rsidRPr="006757EB">
          <w:rPr>
            <w:rStyle w:val="Hyperlink"/>
            <w:sz w:val="20"/>
            <w:szCs w:val="20"/>
          </w:rPr>
          <w:t>402</w:t>
        </w:r>
        <w:r w:rsidR="00D01CC7" w:rsidRPr="006757EB">
          <w:rPr>
            <w:rStyle w:val="Hyperlink"/>
            <w:sz w:val="20"/>
            <w:szCs w:val="20"/>
          </w:rPr>
          <w:t>63</w:t>
        </w:r>
      </w:hyperlink>
      <w:r w:rsidRPr="006757EB">
        <w:rPr>
          <w:sz w:val="20"/>
        </w:rPr>
        <w:t>)</w:t>
      </w:r>
    </w:p>
    <w:p w:rsidR="005A1EC1" w:rsidRPr="006757EB" w:rsidRDefault="005A1EC1" w:rsidP="00193B05">
      <w:pPr>
        <w:ind w:left="357" w:hanging="357"/>
        <w:rPr>
          <w:sz w:val="20"/>
        </w:rPr>
      </w:pPr>
    </w:p>
    <w:p w:rsidR="005A1EC1" w:rsidRPr="006757EB" w:rsidRDefault="005A1EC1" w:rsidP="00193B05">
      <w:pPr>
        <w:pStyle w:val="ListParagraph"/>
        <w:numPr>
          <w:ilvl w:val="0"/>
          <w:numId w:val="21"/>
        </w:numPr>
        <w:ind w:left="357" w:hanging="357"/>
        <w:rPr>
          <w:sz w:val="20"/>
          <w:lang w:val="fr-CA"/>
        </w:rPr>
      </w:pPr>
      <w:r w:rsidRPr="006757EB">
        <w:rPr>
          <w:i/>
          <w:sz w:val="20"/>
          <w:lang w:val="fr-CA"/>
        </w:rPr>
        <w:t>S.B. v. Centre intégré de santé et de services sociaux des Laurentides (CISSSLAU), et al.</w:t>
      </w:r>
      <w:r w:rsidRPr="006757EB">
        <w:rPr>
          <w:sz w:val="20"/>
          <w:lang w:val="fr-CA"/>
        </w:rPr>
        <w:t xml:space="preserve"> (Que.) (Civil) (By Leave) (</w:t>
      </w:r>
      <w:hyperlink r:id="rId14" w:history="1">
        <w:r w:rsidRPr="006757EB">
          <w:rPr>
            <w:rStyle w:val="Hyperlink"/>
            <w:sz w:val="20"/>
            <w:szCs w:val="20"/>
            <w:lang w:val="fr-CA"/>
          </w:rPr>
          <w:t>40</w:t>
        </w:r>
        <w:r w:rsidR="00780EC4" w:rsidRPr="006757EB">
          <w:rPr>
            <w:rStyle w:val="Hyperlink"/>
            <w:sz w:val="20"/>
            <w:szCs w:val="20"/>
            <w:lang w:val="fr-CA"/>
          </w:rPr>
          <w:t>304</w:t>
        </w:r>
      </w:hyperlink>
      <w:r w:rsidRPr="006757EB">
        <w:rPr>
          <w:sz w:val="20"/>
          <w:lang w:val="fr-CA"/>
        </w:rPr>
        <w:t>)</w:t>
      </w:r>
    </w:p>
    <w:p w:rsidR="003D1070" w:rsidRPr="006757EB" w:rsidRDefault="003D1070" w:rsidP="00193B05">
      <w:pPr>
        <w:ind w:left="357" w:hanging="357"/>
        <w:rPr>
          <w:sz w:val="20"/>
          <w:lang w:val="fr-CA"/>
        </w:rPr>
      </w:pPr>
    </w:p>
    <w:p w:rsidR="005A1EC1" w:rsidRPr="006757EB" w:rsidRDefault="005A1EC1" w:rsidP="00193B05">
      <w:pPr>
        <w:pStyle w:val="ListParagraph"/>
        <w:numPr>
          <w:ilvl w:val="0"/>
          <w:numId w:val="21"/>
        </w:numPr>
        <w:ind w:left="357" w:hanging="357"/>
        <w:rPr>
          <w:sz w:val="20"/>
          <w:lang w:val="fr-CA"/>
        </w:rPr>
      </w:pPr>
      <w:r w:rsidRPr="006757EB">
        <w:rPr>
          <w:i/>
          <w:sz w:val="20"/>
          <w:lang w:val="fr-CA"/>
        </w:rPr>
        <w:t>Tahar Amrane c. Ministère de l’Enseignement supérieur et de la Formation professionnelle</w:t>
      </w:r>
      <w:r w:rsidRPr="006757EB">
        <w:rPr>
          <w:sz w:val="20"/>
          <w:lang w:val="fr-CA"/>
        </w:rPr>
        <w:t xml:space="preserve"> (Ont.) (Civile) (Autorisation) </w:t>
      </w:r>
      <w:r w:rsidR="00193B05" w:rsidRPr="006757EB">
        <w:rPr>
          <w:sz w:val="20"/>
          <w:lang w:val="fr-CA"/>
        </w:rPr>
        <w:t>(</w:t>
      </w:r>
      <w:hyperlink r:id="rId15" w:history="1">
        <w:r w:rsidR="00193B05" w:rsidRPr="006757EB">
          <w:rPr>
            <w:rStyle w:val="Hyperlink"/>
            <w:sz w:val="20"/>
            <w:szCs w:val="20"/>
            <w:lang w:val="fr-CA"/>
          </w:rPr>
          <w:t>40</w:t>
        </w:r>
        <w:r w:rsidR="00C0108B" w:rsidRPr="006757EB">
          <w:rPr>
            <w:rStyle w:val="Hyperlink"/>
            <w:sz w:val="20"/>
            <w:szCs w:val="20"/>
            <w:lang w:val="fr-CA"/>
          </w:rPr>
          <w:t>1</w:t>
        </w:r>
        <w:r w:rsidR="00193B05" w:rsidRPr="006757EB">
          <w:rPr>
            <w:rStyle w:val="Hyperlink"/>
            <w:sz w:val="20"/>
            <w:szCs w:val="20"/>
            <w:lang w:val="fr-CA"/>
          </w:rPr>
          <w:t>28</w:t>
        </w:r>
      </w:hyperlink>
      <w:r w:rsidR="00193B05" w:rsidRPr="006757EB">
        <w:rPr>
          <w:sz w:val="20"/>
          <w:lang w:val="fr-CA"/>
        </w:rPr>
        <w:t>)</w:t>
      </w:r>
    </w:p>
    <w:p w:rsidR="005A1EC1" w:rsidRPr="006757EB" w:rsidRDefault="005A1EC1" w:rsidP="00193B05">
      <w:pPr>
        <w:ind w:left="357" w:hanging="357"/>
        <w:rPr>
          <w:sz w:val="20"/>
          <w:lang w:val="fr-CA"/>
        </w:rPr>
      </w:pPr>
    </w:p>
    <w:p w:rsidR="005A1EC1" w:rsidRPr="006757EB" w:rsidRDefault="005A1EC1" w:rsidP="00193B05">
      <w:pPr>
        <w:pStyle w:val="ListParagraph"/>
        <w:numPr>
          <w:ilvl w:val="0"/>
          <w:numId w:val="21"/>
        </w:numPr>
        <w:ind w:left="357" w:hanging="357"/>
        <w:rPr>
          <w:sz w:val="20"/>
        </w:rPr>
      </w:pPr>
      <w:r w:rsidRPr="006757EB">
        <w:rPr>
          <w:i/>
          <w:sz w:val="20"/>
        </w:rPr>
        <w:t xml:space="preserve">Sajjad Asghar v. </w:t>
      </w:r>
      <w:r w:rsidRPr="006757EB">
        <w:rPr>
          <w:rStyle w:val="SCCSsocChar"/>
          <w:sz w:val="20"/>
          <w:szCs w:val="20"/>
        </w:rPr>
        <w:t xml:space="preserve">His Majesty the King in Right of Ontario </w:t>
      </w:r>
      <w:r w:rsidRPr="006757EB">
        <w:rPr>
          <w:sz w:val="20"/>
        </w:rPr>
        <w:t xml:space="preserve">(Ont.) (Civil) (By Leave) </w:t>
      </w:r>
      <w:r w:rsidR="00193B05" w:rsidRPr="006757EB">
        <w:rPr>
          <w:sz w:val="20"/>
          <w:lang w:val="fr-CA"/>
        </w:rPr>
        <w:t>(</w:t>
      </w:r>
      <w:hyperlink r:id="rId16" w:history="1">
        <w:r w:rsidR="00193B05" w:rsidRPr="006757EB">
          <w:rPr>
            <w:rStyle w:val="Hyperlink"/>
            <w:sz w:val="20"/>
            <w:szCs w:val="20"/>
            <w:lang w:val="fr-CA"/>
          </w:rPr>
          <w:t>402</w:t>
        </w:r>
        <w:r w:rsidR="00C0108B" w:rsidRPr="006757EB">
          <w:rPr>
            <w:rStyle w:val="Hyperlink"/>
            <w:sz w:val="20"/>
            <w:szCs w:val="20"/>
            <w:lang w:val="fr-CA"/>
          </w:rPr>
          <w:t>17</w:t>
        </w:r>
      </w:hyperlink>
      <w:r w:rsidR="00193B05" w:rsidRPr="006757EB">
        <w:rPr>
          <w:sz w:val="20"/>
          <w:lang w:val="fr-CA"/>
        </w:rPr>
        <w:t>)</w:t>
      </w:r>
    </w:p>
    <w:p w:rsidR="005A1EC1" w:rsidRPr="006757EB" w:rsidRDefault="005A1EC1" w:rsidP="00193B05">
      <w:pPr>
        <w:ind w:left="357" w:hanging="357"/>
        <w:rPr>
          <w:sz w:val="20"/>
        </w:rPr>
      </w:pPr>
    </w:p>
    <w:p w:rsidR="005A1EC1" w:rsidRPr="006757EB" w:rsidRDefault="005A1EC1" w:rsidP="00193B05">
      <w:pPr>
        <w:pStyle w:val="SCCLsocParty"/>
        <w:numPr>
          <w:ilvl w:val="0"/>
          <w:numId w:val="21"/>
        </w:numPr>
        <w:ind w:left="357" w:hanging="357"/>
        <w:jc w:val="left"/>
        <w:rPr>
          <w:i/>
          <w:sz w:val="20"/>
          <w:szCs w:val="20"/>
          <w:lang w:val="en-US"/>
        </w:rPr>
      </w:pPr>
      <w:r w:rsidRPr="006757EB">
        <w:rPr>
          <w:i/>
          <w:sz w:val="20"/>
          <w:szCs w:val="20"/>
          <w:lang w:val="en-US"/>
        </w:rPr>
        <w:t>Sajjad Asghar</w:t>
      </w:r>
      <w:r w:rsidR="00C0108B" w:rsidRPr="006757EB">
        <w:rPr>
          <w:i/>
          <w:sz w:val="20"/>
          <w:szCs w:val="20"/>
          <w:lang w:val="en-US"/>
        </w:rPr>
        <w:t>, et al.</w:t>
      </w:r>
      <w:r w:rsidRPr="006757EB">
        <w:rPr>
          <w:i/>
          <w:sz w:val="20"/>
          <w:szCs w:val="20"/>
          <w:lang w:val="en-US"/>
        </w:rPr>
        <w:t xml:space="preserve"> v. City of Toronto, et al. </w:t>
      </w:r>
      <w:r w:rsidRPr="006757EB">
        <w:rPr>
          <w:sz w:val="20"/>
          <w:szCs w:val="20"/>
          <w:lang w:val="en-US"/>
        </w:rPr>
        <w:t xml:space="preserve">(Ont.) (Civil) (By Leave) </w:t>
      </w:r>
      <w:r w:rsidR="00193B05" w:rsidRPr="006757EB">
        <w:rPr>
          <w:sz w:val="20"/>
          <w:lang w:val="en-US"/>
        </w:rPr>
        <w:t>(</w:t>
      </w:r>
      <w:hyperlink r:id="rId17" w:history="1">
        <w:r w:rsidR="00193B05" w:rsidRPr="006757EB">
          <w:rPr>
            <w:rStyle w:val="Hyperlink"/>
            <w:sz w:val="20"/>
            <w:szCs w:val="20"/>
            <w:lang w:val="en-US"/>
          </w:rPr>
          <w:t>402</w:t>
        </w:r>
        <w:r w:rsidR="00C0108B" w:rsidRPr="006757EB">
          <w:rPr>
            <w:rStyle w:val="Hyperlink"/>
            <w:sz w:val="20"/>
            <w:szCs w:val="20"/>
            <w:lang w:val="en-US"/>
          </w:rPr>
          <w:t>18</w:t>
        </w:r>
      </w:hyperlink>
      <w:r w:rsidR="00193B05" w:rsidRPr="006757EB">
        <w:rPr>
          <w:sz w:val="20"/>
          <w:lang w:val="en-US"/>
        </w:rPr>
        <w:t>)</w:t>
      </w:r>
    </w:p>
    <w:p w:rsidR="005A1EC1" w:rsidRPr="006757EB" w:rsidRDefault="005A1EC1" w:rsidP="00193B05">
      <w:pPr>
        <w:ind w:left="357" w:hanging="357"/>
        <w:rPr>
          <w:sz w:val="20"/>
        </w:rPr>
      </w:pPr>
    </w:p>
    <w:p w:rsidR="005A1EC1" w:rsidRPr="006757EB" w:rsidRDefault="005A1EC1" w:rsidP="00193B05">
      <w:pPr>
        <w:pStyle w:val="ListParagraph"/>
        <w:numPr>
          <w:ilvl w:val="0"/>
          <w:numId w:val="21"/>
        </w:numPr>
        <w:ind w:left="357" w:hanging="357"/>
        <w:rPr>
          <w:sz w:val="20"/>
        </w:rPr>
      </w:pPr>
      <w:r w:rsidRPr="006757EB">
        <w:rPr>
          <w:i/>
          <w:sz w:val="20"/>
        </w:rPr>
        <w:t>Eng Ly v. City of Regina</w:t>
      </w:r>
      <w:r w:rsidRPr="006757EB">
        <w:rPr>
          <w:sz w:val="20"/>
        </w:rPr>
        <w:t xml:space="preserve"> (Sask.) (Civil) (By Leave) </w:t>
      </w:r>
      <w:r w:rsidR="00193B05" w:rsidRPr="006757EB">
        <w:rPr>
          <w:sz w:val="20"/>
        </w:rPr>
        <w:t>(</w:t>
      </w:r>
      <w:hyperlink r:id="rId18" w:history="1">
        <w:r w:rsidR="00193B05" w:rsidRPr="006757EB">
          <w:rPr>
            <w:rStyle w:val="Hyperlink"/>
            <w:sz w:val="20"/>
            <w:szCs w:val="20"/>
            <w:lang w:val="fr-CA"/>
          </w:rPr>
          <w:t>402</w:t>
        </w:r>
        <w:r w:rsidR="00C0108B" w:rsidRPr="006757EB">
          <w:rPr>
            <w:rStyle w:val="Hyperlink"/>
            <w:sz w:val="20"/>
            <w:szCs w:val="20"/>
            <w:lang w:val="fr-CA"/>
          </w:rPr>
          <w:t>82</w:t>
        </w:r>
      </w:hyperlink>
      <w:r w:rsidR="00193B05" w:rsidRPr="006757EB">
        <w:rPr>
          <w:sz w:val="20"/>
          <w:lang w:val="fr-CA"/>
        </w:rPr>
        <w:t>)</w:t>
      </w:r>
    </w:p>
    <w:p w:rsidR="00F649C7" w:rsidRPr="006757EB" w:rsidRDefault="00F649C7" w:rsidP="0053032E">
      <w:pPr>
        <w:widowControl w:val="0"/>
        <w:jc w:val="both"/>
        <w:rPr>
          <w:sz w:val="20"/>
        </w:rPr>
      </w:pPr>
    </w:p>
    <w:p w:rsidR="0057402C" w:rsidRPr="006757EB" w:rsidRDefault="007336A5" w:rsidP="0053032E">
      <w:pPr>
        <w:widowControl w:val="0"/>
        <w:jc w:val="both"/>
        <w:rPr>
          <w:sz w:val="20"/>
        </w:rPr>
      </w:pPr>
      <w:r>
        <w:rPr>
          <w:sz w:val="20"/>
        </w:rPr>
        <w:pict>
          <v:rect id="_x0000_i1026" style="width:2in;height:1pt" o:hrpct="0" o:hralign="center" o:hrstd="t" o:hrnoshade="t" o:hr="t" fillcolor="black [3213]" stroked="f"/>
        </w:pict>
      </w:r>
    </w:p>
    <w:p w:rsidR="003D1070" w:rsidRPr="006757EB" w:rsidRDefault="003D1070" w:rsidP="005B2C50">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6757EB" w:rsidTr="009774E3">
        <w:tc>
          <w:tcPr>
            <w:tcW w:w="543" w:type="pct"/>
          </w:tcPr>
          <w:p w:rsidR="009774E3" w:rsidRPr="006757EB" w:rsidRDefault="009774E3" w:rsidP="009774E3">
            <w:pPr>
              <w:jc w:val="both"/>
              <w:rPr>
                <w:sz w:val="20"/>
              </w:rPr>
            </w:pPr>
            <w:r w:rsidRPr="006757EB">
              <w:rPr>
                <w:rStyle w:val="SCCFileNumberChar"/>
                <w:sz w:val="20"/>
                <w:szCs w:val="20"/>
              </w:rPr>
              <w:t>40227</w:t>
            </w:r>
          </w:p>
        </w:tc>
        <w:tc>
          <w:tcPr>
            <w:tcW w:w="4457" w:type="pct"/>
            <w:gridSpan w:val="3"/>
          </w:tcPr>
          <w:p w:rsidR="009774E3" w:rsidRPr="006757EB" w:rsidRDefault="009774E3" w:rsidP="009774E3">
            <w:pPr>
              <w:pStyle w:val="SCCLsocParty"/>
              <w:jc w:val="both"/>
              <w:rPr>
                <w:b/>
                <w:sz w:val="20"/>
                <w:szCs w:val="20"/>
                <w:lang w:val="en-US"/>
              </w:rPr>
            </w:pPr>
            <w:r w:rsidRPr="006757EB">
              <w:rPr>
                <w:b/>
                <w:sz w:val="20"/>
                <w:szCs w:val="20"/>
                <w:lang w:val="en-US"/>
              </w:rPr>
              <w:t>Jimmy Boisvert v. His Majesty the King</w:t>
            </w:r>
          </w:p>
          <w:p w:rsidR="009774E3" w:rsidRPr="006757EB" w:rsidRDefault="009774E3" w:rsidP="009774E3">
            <w:pPr>
              <w:jc w:val="both"/>
              <w:rPr>
                <w:sz w:val="20"/>
              </w:rPr>
            </w:pPr>
            <w:r w:rsidRPr="006757EB">
              <w:rPr>
                <w:sz w:val="20"/>
              </w:rPr>
              <w:lastRenderedPageBreak/>
              <w:t>(Que.) (Criminal) (By Leave)</w:t>
            </w:r>
          </w:p>
        </w:tc>
      </w:tr>
      <w:tr w:rsidR="009774E3" w:rsidRPr="006757EB" w:rsidTr="009774E3">
        <w:tc>
          <w:tcPr>
            <w:tcW w:w="5000" w:type="pct"/>
            <w:gridSpan w:val="4"/>
          </w:tcPr>
          <w:p w:rsidR="009774E3" w:rsidRPr="006757EB" w:rsidRDefault="009774E3" w:rsidP="009774E3">
            <w:pPr>
              <w:pStyle w:val="SCCBanSummary"/>
              <w:rPr>
                <w:sz w:val="20"/>
                <w:szCs w:val="20"/>
              </w:rPr>
            </w:pPr>
            <w:r w:rsidRPr="006757EB">
              <w:rPr>
                <w:sz w:val="20"/>
                <w:szCs w:val="20"/>
              </w:rPr>
              <w:lastRenderedPageBreak/>
              <w:t>(Publication ban in case)</w:t>
            </w:r>
          </w:p>
          <w:p w:rsidR="009774E3" w:rsidRPr="006757EB" w:rsidRDefault="009774E3" w:rsidP="009774E3">
            <w:pPr>
              <w:jc w:val="both"/>
              <w:rPr>
                <w:sz w:val="20"/>
              </w:rPr>
            </w:pPr>
          </w:p>
          <w:p w:rsidR="009774E3" w:rsidRPr="006757EB" w:rsidRDefault="009774E3" w:rsidP="009774E3">
            <w:pPr>
              <w:jc w:val="both"/>
              <w:rPr>
                <w:sz w:val="20"/>
              </w:rPr>
            </w:pPr>
            <w:r w:rsidRPr="006757EB">
              <w:rPr>
                <w:sz w:val="20"/>
              </w:rPr>
              <w:t xml:space="preserve">Criminal law — Defences — Is the defence of </w:t>
            </w:r>
            <w:r w:rsidRPr="006757EB">
              <w:rPr>
                <w:i/>
                <w:sz w:val="20"/>
              </w:rPr>
              <w:t>de minimis non curat lex</w:t>
            </w:r>
            <w:r w:rsidRPr="006757EB">
              <w:rPr>
                <w:sz w:val="20"/>
              </w:rPr>
              <w:t xml:space="preserve"> available in sexual assault matters? — Can an accused’s evidence be relevant to a court’s inquiry into the </w:t>
            </w:r>
            <w:r w:rsidRPr="006757EB">
              <w:rPr>
                <w:i/>
                <w:sz w:val="20"/>
              </w:rPr>
              <w:t>actus reus</w:t>
            </w:r>
            <w:r w:rsidRPr="006757EB">
              <w:rPr>
                <w:sz w:val="20"/>
              </w:rPr>
              <w:t xml:space="preserve"> of sexual assault? — What makes out the defence of honest but mistaken belief in consent? — After an initial rejection, what steps must an accused take to ascertain consent to sexual activity?</w:t>
            </w:r>
          </w:p>
          <w:p w:rsidR="009774E3" w:rsidRPr="006757EB" w:rsidRDefault="009774E3" w:rsidP="009774E3">
            <w:pPr>
              <w:jc w:val="both"/>
              <w:rPr>
                <w:sz w:val="20"/>
              </w:rPr>
            </w:pPr>
          </w:p>
        </w:tc>
      </w:tr>
      <w:tr w:rsidR="009774E3" w:rsidRPr="006757EB" w:rsidTr="009774E3">
        <w:tc>
          <w:tcPr>
            <w:tcW w:w="5000" w:type="pct"/>
            <w:gridSpan w:val="4"/>
          </w:tcPr>
          <w:p w:rsidR="009774E3" w:rsidRPr="006757EB" w:rsidRDefault="009774E3" w:rsidP="009774E3">
            <w:pPr>
              <w:jc w:val="both"/>
              <w:rPr>
                <w:sz w:val="20"/>
              </w:rPr>
            </w:pPr>
            <w:r w:rsidRPr="006757EB">
              <w:rPr>
                <w:sz w:val="20"/>
              </w:rPr>
              <w:t>The applicant told the complainant that he wanted to have sex with her. The complainant told him she would not have sex with him because it was against her principles. The applicant thought he was in a game of seduction with the complainant. He touched her back while trying to kiss her. He then put his hands inside her pants on her buttocks and near her genitals. The Court of Quebec convicted the applicant of sexual assault. The Court of Appeal dismissed the appeal.</w:t>
            </w:r>
          </w:p>
        </w:tc>
      </w:tr>
      <w:tr w:rsidR="009774E3" w:rsidRPr="006757EB" w:rsidTr="009774E3">
        <w:tc>
          <w:tcPr>
            <w:tcW w:w="5000" w:type="pct"/>
            <w:gridSpan w:val="4"/>
          </w:tcPr>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September 24, 2020</w:t>
            </w:r>
          </w:p>
          <w:p w:rsidR="009774E3" w:rsidRPr="006757EB" w:rsidRDefault="009774E3" w:rsidP="009774E3">
            <w:pPr>
              <w:jc w:val="both"/>
              <w:rPr>
                <w:sz w:val="20"/>
              </w:rPr>
            </w:pPr>
            <w:r w:rsidRPr="006757EB">
              <w:rPr>
                <w:sz w:val="20"/>
              </w:rPr>
              <w:t>Court of Quebec</w:t>
            </w:r>
          </w:p>
          <w:p w:rsidR="009774E3" w:rsidRPr="006757EB" w:rsidRDefault="009774E3" w:rsidP="009774E3">
            <w:pPr>
              <w:jc w:val="both"/>
              <w:rPr>
                <w:sz w:val="20"/>
              </w:rPr>
            </w:pPr>
            <w:r w:rsidRPr="006757EB">
              <w:rPr>
                <w:sz w:val="20"/>
              </w:rPr>
              <w:t>(Trudel J.)</w:t>
            </w:r>
          </w:p>
          <w:p w:rsidR="009774E3" w:rsidRPr="006757EB" w:rsidRDefault="007336A5" w:rsidP="009774E3">
            <w:pPr>
              <w:jc w:val="both"/>
              <w:rPr>
                <w:sz w:val="20"/>
              </w:rPr>
            </w:pPr>
            <w:hyperlink r:id="rId19" w:history="1">
              <w:r w:rsidR="009774E3" w:rsidRPr="006757EB">
                <w:rPr>
                  <w:rStyle w:val="Hyperlink"/>
                  <w:sz w:val="20"/>
                </w:rPr>
                <w:t>2020 QCCQ 3878</w:t>
              </w:r>
            </w:hyperlink>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Convicted of sexual assault</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April 5, 2022</w:t>
            </w:r>
          </w:p>
          <w:p w:rsidR="009774E3" w:rsidRPr="006757EB" w:rsidRDefault="009774E3" w:rsidP="009774E3">
            <w:pPr>
              <w:jc w:val="both"/>
              <w:rPr>
                <w:sz w:val="20"/>
              </w:rPr>
            </w:pPr>
            <w:r w:rsidRPr="006757EB">
              <w:rPr>
                <w:sz w:val="20"/>
              </w:rPr>
              <w:t>Court of Appeal of Quebec (Québec)</w:t>
            </w:r>
          </w:p>
          <w:p w:rsidR="009774E3" w:rsidRPr="006757EB" w:rsidRDefault="009774E3" w:rsidP="009774E3">
            <w:pPr>
              <w:jc w:val="both"/>
              <w:rPr>
                <w:sz w:val="20"/>
                <w:lang w:val="fr-CA"/>
              </w:rPr>
            </w:pPr>
            <w:r w:rsidRPr="006757EB">
              <w:rPr>
                <w:sz w:val="20"/>
                <w:lang w:val="fr-CA"/>
              </w:rPr>
              <w:t>(Savard C.J.Q., Gagnon, Simon JJ.A.)</w:t>
            </w:r>
          </w:p>
          <w:p w:rsidR="009774E3" w:rsidRPr="006757EB" w:rsidRDefault="007336A5" w:rsidP="009774E3">
            <w:pPr>
              <w:jc w:val="both"/>
              <w:rPr>
                <w:sz w:val="20"/>
              </w:rPr>
            </w:pPr>
            <w:hyperlink r:id="rId20" w:history="1">
              <w:r w:rsidR="009774E3" w:rsidRPr="006757EB">
                <w:rPr>
                  <w:rStyle w:val="Hyperlink"/>
                  <w:sz w:val="20"/>
                </w:rPr>
                <w:t>2022 QCCA 469</w:t>
              </w:r>
            </w:hyperlink>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rPr>
            </w:pPr>
            <w:r w:rsidRPr="006757EB">
              <w:rPr>
                <w:sz w:val="20"/>
              </w:rPr>
              <w:t>Appeal dismissed</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June 6, 2022</w:t>
            </w:r>
          </w:p>
          <w:p w:rsidR="009774E3" w:rsidRPr="006757EB" w:rsidRDefault="009774E3" w:rsidP="009774E3">
            <w:pPr>
              <w:jc w:val="both"/>
              <w:rPr>
                <w:sz w:val="20"/>
              </w:rPr>
            </w:pPr>
            <w:r w:rsidRPr="006757EB">
              <w:rPr>
                <w:sz w:val="20"/>
              </w:rPr>
              <w:t>Supreme Court of Canada</w:t>
            </w: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Application for leave to appeal filed</w:t>
            </w:r>
          </w:p>
          <w:p w:rsidR="009774E3" w:rsidRPr="006757EB" w:rsidRDefault="009774E3" w:rsidP="009774E3">
            <w:pPr>
              <w:jc w:val="both"/>
              <w:rPr>
                <w:sz w:val="20"/>
              </w:rPr>
            </w:pPr>
          </w:p>
        </w:tc>
      </w:tr>
    </w:tbl>
    <w:p w:rsidR="009774E3" w:rsidRPr="006757EB" w:rsidRDefault="009774E3" w:rsidP="009774E3">
      <w:pPr>
        <w:jc w:val="both"/>
        <w:rPr>
          <w:sz w:val="20"/>
        </w:rPr>
      </w:pPr>
    </w:p>
    <w:p w:rsidR="009774E3" w:rsidRPr="006757EB" w:rsidRDefault="007336A5" w:rsidP="009774E3">
      <w:pPr>
        <w:jc w:val="both"/>
        <w:rPr>
          <w:sz w:val="20"/>
        </w:rPr>
      </w:pPr>
      <w:r>
        <w:rPr>
          <w:sz w:val="20"/>
        </w:rPr>
        <w:pict>
          <v:rect id="_x0000_i1027" style="width:2in;height:1pt" o:hrpct="0" o:hralign="center" o:hrstd="t" o:hrnoshade="t" o:hr="t" fillcolor="black [3213]" stroked="f"/>
        </w:pict>
      </w:r>
    </w:p>
    <w:p w:rsidR="009774E3" w:rsidRPr="006757EB" w:rsidRDefault="009774E3" w:rsidP="009774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6757EB" w:rsidTr="009774E3">
        <w:tc>
          <w:tcPr>
            <w:tcW w:w="543" w:type="pct"/>
          </w:tcPr>
          <w:p w:rsidR="009774E3" w:rsidRPr="006757EB" w:rsidRDefault="009774E3" w:rsidP="009774E3">
            <w:pPr>
              <w:jc w:val="both"/>
              <w:rPr>
                <w:sz w:val="20"/>
                <w:lang w:val="fr-CA"/>
              </w:rPr>
            </w:pPr>
            <w:r w:rsidRPr="006757EB">
              <w:rPr>
                <w:rStyle w:val="SCCFileNumberChar"/>
                <w:sz w:val="20"/>
                <w:szCs w:val="20"/>
                <w:lang w:val="fr-CA"/>
              </w:rPr>
              <w:t>40227</w:t>
            </w:r>
          </w:p>
        </w:tc>
        <w:tc>
          <w:tcPr>
            <w:tcW w:w="4457" w:type="pct"/>
            <w:gridSpan w:val="3"/>
          </w:tcPr>
          <w:p w:rsidR="009774E3" w:rsidRPr="006757EB" w:rsidRDefault="009774E3" w:rsidP="009774E3">
            <w:pPr>
              <w:pStyle w:val="SCCLsocParty"/>
              <w:jc w:val="both"/>
              <w:rPr>
                <w:b/>
                <w:sz w:val="20"/>
                <w:szCs w:val="20"/>
              </w:rPr>
            </w:pPr>
            <w:r w:rsidRPr="006757EB">
              <w:rPr>
                <w:b/>
                <w:sz w:val="20"/>
                <w:szCs w:val="20"/>
              </w:rPr>
              <w:t>Jimmy Boisvert c. Sa Majesté le Roi</w:t>
            </w:r>
          </w:p>
          <w:p w:rsidR="009774E3" w:rsidRPr="006757EB" w:rsidRDefault="009774E3" w:rsidP="009774E3">
            <w:pPr>
              <w:jc w:val="both"/>
              <w:rPr>
                <w:sz w:val="20"/>
                <w:lang w:val="fr-CA"/>
              </w:rPr>
            </w:pPr>
            <w:r w:rsidRPr="006757EB">
              <w:rPr>
                <w:sz w:val="20"/>
                <w:lang w:val="fr-CA"/>
              </w:rPr>
              <w:t>(Qc) (Criminelle) (Sur autorisation)</w:t>
            </w:r>
          </w:p>
        </w:tc>
      </w:tr>
      <w:tr w:rsidR="009774E3" w:rsidRPr="007336A5" w:rsidTr="009774E3">
        <w:tc>
          <w:tcPr>
            <w:tcW w:w="5000" w:type="pct"/>
            <w:gridSpan w:val="4"/>
          </w:tcPr>
          <w:p w:rsidR="009774E3" w:rsidRPr="006757EB" w:rsidRDefault="009774E3" w:rsidP="009774E3">
            <w:pPr>
              <w:pStyle w:val="SCCBanSummary"/>
              <w:rPr>
                <w:sz w:val="20"/>
                <w:szCs w:val="20"/>
                <w:lang w:val="fr-CA"/>
              </w:rPr>
            </w:pPr>
            <w:r w:rsidRPr="006757EB">
              <w:rPr>
                <w:sz w:val="20"/>
                <w:szCs w:val="20"/>
                <w:lang w:val="fr-CA"/>
              </w:rPr>
              <w:t>(Ordonnance de non-publication dans le dossier)</w:t>
            </w:r>
          </w:p>
          <w:p w:rsidR="009774E3" w:rsidRPr="006757EB" w:rsidRDefault="009774E3" w:rsidP="009774E3">
            <w:pPr>
              <w:jc w:val="both"/>
              <w:rPr>
                <w:sz w:val="20"/>
                <w:lang w:val="fr-CA"/>
              </w:rPr>
            </w:pPr>
          </w:p>
          <w:p w:rsidR="009774E3" w:rsidRPr="006757EB" w:rsidRDefault="009774E3" w:rsidP="009774E3">
            <w:pPr>
              <w:jc w:val="both"/>
              <w:rPr>
                <w:sz w:val="20"/>
                <w:lang w:val="fr-CA"/>
              </w:rPr>
            </w:pPr>
            <w:r w:rsidRPr="006757EB">
              <w:rPr>
                <w:sz w:val="20"/>
                <w:lang w:val="fr-CA"/>
              </w:rPr>
              <w:t xml:space="preserve">Droit criminel — Moyens de défense — La défense </w:t>
            </w:r>
            <w:r w:rsidRPr="006757EB">
              <w:rPr>
                <w:i/>
                <w:sz w:val="20"/>
                <w:lang w:val="fr-CA"/>
              </w:rPr>
              <w:t>de minimis non curat lex</w:t>
            </w:r>
            <w:r w:rsidRPr="006757EB">
              <w:rPr>
                <w:sz w:val="20"/>
                <w:lang w:val="fr-CA"/>
              </w:rPr>
              <w:t xml:space="preserve"> peut-elle être invoquée en matière d’agression sexuelle? — Le tribunal peut-il tenir compte du témoignage de l’accusé au stade de l’appréciation de </w:t>
            </w:r>
            <w:proofErr w:type="gramStart"/>
            <w:r w:rsidRPr="006757EB">
              <w:rPr>
                <w:sz w:val="20"/>
                <w:lang w:val="fr-CA"/>
              </w:rPr>
              <w:t>l’</w:t>
            </w:r>
            <w:r w:rsidRPr="006757EB">
              <w:rPr>
                <w:i/>
                <w:sz w:val="20"/>
                <w:lang w:val="fr-CA"/>
              </w:rPr>
              <w:t>actus</w:t>
            </w:r>
            <w:proofErr w:type="gramEnd"/>
            <w:r w:rsidRPr="006757EB">
              <w:rPr>
                <w:i/>
                <w:sz w:val="20"/>
                <w:lang w:val="fr-CA"/>
              </w:rPr>
              <w:t xml:space="preserve"> reus</w:t>
            </w:r>
            <w:r w:rsidRPr="006757EB">
              <w:rPr>
                <w:sz w:val="20"/>
                <w:lang w:val="fr-CA"/>
              </w:rPr>
              <w:t xml:space="preserve"> de l’infraction d’agression sexuelle? — En quoi consiste la croyance sincère, mais erronée au consentement de la plaignante? — À la suite d’un refus initial, quelle mesure doit prendre l’accusé pour s’assurer du consentement à l’activité sexuelle?</w:t>
            </w:r>
          </w:p>
          <w:p w:rsidR="009774E3" w:rsidRPr="006757EB" w:rsidRDefault="009774E3" w:rsidP="009774E3">
            <w:pPr>
              <w:jc w:val="both"/>
              <w:rPr>
                <w:sz w:val="20"/>
                <w:lang w:val="fr-CA"/>
              </w:rPr>
            </w:pPr>
          </w:p>
        </w:tc>
      </w:tr>
      <w:tr w:rsidR="009774E3" w:rsidRPr="006757EB" w:rsidTr="009774E3">
        <w:tc>
          <w:tcPr>
            <w:tcW w:w="5000" w:type="pct"/>
            <w:gridSpan w:val="4"/>
          </w:tcPr>
          <w:p w:rsidR="009774E3" w:rsidRPr="006757EB" w:rsidRDefault="009774E3" w:rsidP="009774E3">
            <w:pPr>
              <w:jc w:val="both"/>
              <w:rPr>
                <w:sz w:val="20"/>
                <w:lang w:val="fr-CA"/>
              </w:rPr>
            </w:pPr>
            <w:r w:rsidRPr="006757EB">
              <w:rPr>
                <w:sz w:val="20"/>
                <w:lang w:val="fr-CA"/>
              </w:rPr>
              <w:t>Le demandeur a dit à la plaignante qu’il voulait avoir des rapports sexuels avec elle. La plaignante lui a répondu qu’elle ne coucherait pas avec lui parce que c’était contraire à ses principes. Le demandeur pensait que la plaignante et lui se livraient à un jeu de séduction. Il lui a mis la main dans le dos et a tenté de l’embrasser, puis a glissé sa main dans les pantalons de la plaignante et lui a touché les fesses et la région des parties génitales. La Cour du Québec a reconnu le demandeur coupable d’agression sexuelle. La Cour d’appel a rejeté l’appel.</w:t>
            </w:r>
          </w:p>
        </w:tc>
      </w:tr>
      <w:tr w:rsidR="009774E3" w:rsidRPr="006757EB" w:rsidTr="009774E3">
        <w:tc>
          <w:tcPr>
            <w:tcW w:w="5000" w:type="pct"/>
            <w:gridSpan w:val="4"/>
          </w:tcPr>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24 septembre 2020</w:t>
            </w:r>
          </w:p>
          <w:p w:rsidR="009774E3" w:rsidRPr="006757EB" w:rsidRDefault="009774E3" w:rsidP="009774E3">
            <w:pPr>
              <w:jc w:val="both"/>
              <w:rPr>
                <w:sz w:val="20"/>
                <w:lang w:val="fr-CA"/>
              </w:rPr>
            </w:pPr>
            <w:r w:rsidRPr="006757EB">
              <w:rPr>
                <w:sz w:val="20"/>
                <w:lang w:val="fr-CA"/>
              </w:rPr>
              <w:t xml:space="preserve">Cour du Québec </w:t>
            </w:r>
          </w:p>
          <w:p w:rsidR="009774E3" w:rsidRPr="006757EB" w:rsidRDefault="009774E3" w:rsidP="009774E3">
            <w:pPr>
              <w:jc w:val="both"/>
              <w:rPr>
                <w:sz w:val="20"/>
                <w:lang w:val="fr-CA"/>
              </w:rPr>
            </w:pPr>
            <w:r w:rsidRPr="006757EB">
              <w:rPr>
                <w:sz w:val="20"/>
                <w:lang w:val="fr-CA"/>
              </w:rPr>
              <w:t>(juge Trudel)</w:t>
            </w:r>
          </w:p>
          <w:p w:rsidR="009774E3" w:rsidRPr="006757EB" w:rsidRDefault="007336A5" w:rsidP="009774E3">
            <w:pPr>
              <w:jc w:val="both"/>
              <w:rPr>
                <w:sz w:val="20"/>
                <w:lang w:val="fr-CA"/>
              </w:rPr>
            </w:pPr>
            <w:hyperlink r:id="rId21" w:history="1">
              <w:r w:rsidR="009774E3" w:rsidRPr="006757EB">
                <w:rPr>
                  <w:rStyle w:val="Hyperlink"/>
                  <w:sz w:val="20"/>
                  <w:lang w:val="fr-CA"/>
                </w:rPr>
                <w:t>2020 QCCQ 3878</w:t>
              </w:r>
            </w:hyperlink>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L’accusé est déclaré coupable d’agression sexuelle</w:t>
            </w:r>
          </w:p>
          <w:p w:rsidR="009774E3" w:rsidRPr="006757EB" w:rsidRDefault="009774E3" w:rsidP="009774E3">
            <w:pPr>
              <w:jc w:val="both"/>
              <w:rPr>
                <w:sz w:val="20"/>
                <w:lang w:val="fr-CA"/>
              </w:rPr>
            </w:pPr>
          </w:p>
        </w:tc>
      </w:tr>
      <w:tr w:rsidR="009774E3" w:rsidRPr="006757EB" w:rsidTr="009774E3">
        <w:tc>
          <w:tcPr>
            <w:tcW w:w="2427" w:type="pct"/>
            <w:gridSpan w:val="2"/>
          </w:tcPr>
          <w:p w:rsidR="009774E3" w:rsidRPr="006757EB" w:rsidRDefault="009774E3" w:rsidP="009774E3">
            <w:pPr>
              <w:jc w:val="both"/>
              <w:rPr>
                <w:sz w:val="20"/>
                <w:lang w:val="fr-CA"/>
              </w:rPr>
            </w:pPr>
            <w:r w:rsidRPr="006757EB">
              <w:rPr>
                <w:sz w:val="20"/>
                <w:lang w:val="fr-CA"/>
              </w:rPr>
              <w:t>5 avril 2022</w:t>
            </w:r>
          </w:p>
          <w:p w:rsidR="009774E3" w:rsidRPr="006757EB" w:rsidRDefault="009774E3" w:rsidP="009774E3">
            <w:pPr>
              <w:jc w:val="both"/>
              <w:rPr>
                <w:sz w:val="20"/>
                <w:lang w:val="fr-CA"/>
              </w:rPr>
            </w:pPr>
            <w:r w:rsidRPr="006757EB">
              <w:rPr>
                <w:sz w:val="20"/>
                <w:lang w:val="fr-CA"/>
              </w:rPr>
              <w:t>Cour d’appel du Québec (Québec)</w:t>
            </w:r>
          </w:p>
          <w:p w:rsidR="009774E3" w:rsidRPr="006757EB" w:rsidRDefault="009774E3" w:rsidP="009774E3">
            <w:pPr>
              <w:jc w:val="both"/>
              <w:rPr>
                <w:sz w:val="20"/>
                <w:lang w:val="fr-CA"/>
              </w:rPr>
            </w:pPr>
            <w:r w:rsidRPr="006757EB">
              <w:rPr>
                <w:sz w:val="20"/>
                <w:lang w:val="fr-CA"/>
              </w:rPr>
              <w:t>(la juge en chef Savard et les juges Gagnon et Simon)</w:t>
            </w:r>
          </w:p>
          <w:p w:rsidR="009774E3" w:rsidRPr="006757EB" w:rsidRDefault="007336A5" w:rsidP="009774E3">
            <w:pPr>
              <w:jc w:val="both"/>
              <w:rPr>
                <w:sz w:val="20"/>
                <w:lang w:val="fr-CA"/>
              </w:rPr>
            </w:pPr>
            <w:hyperlink r:id="rId22" w:history="1">
              <w:r w:rsidR="009774E3" w:rsidRPr="006757EB">
                <w:rPr>
                  <w:rStyle w:val="Hyperlink"/>
                  <w:sz w:val="20"/>
                  <w:lang w:val="fr-CA"/>
                </w:rPr>
                <w:t>2022 QCCA 469</w:t>
              </w:r>
            </w:hyperlink>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L’appel est rejeté</w:t>
            </w:r>
          </w:p>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6 juin 2022</w:t>
            </w:r>
          </w:p>
          <w:p w:rsidR="009774E3" w:rsidRPr="006757EB" w:rsidRDefault="009774E3" w:rsidP="009774E3">
            <w:pPr>
              <w:jc w:val="both"/>
              <w:rPr>
                <w:sz w:val="20"/>
                <w:lang w:val="fr-CA"/>
              </w:rPr>
            </w:pPr>
            <w:r w:rsidRPr="006757EB">
              <w:rPr>
                <w:sz w:val="20"/>
                <w:lang w:val="fr-CA"/>
              </w:rPr>
              <w:t>Cour suprême du Canada</w:t>
            </w: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La demande d’autorisation d’appel est déposée</w:t>
            </w:r>
          </w:p>
          <w:p w:rsidR="009774E3" w:rsidRPr="006757EB" w:rsidRDefault="009774E3" w:rsidP="009774E3">
            <w:pPr>
              <w:jc w:val="both"/>
              <w:rPr>
                <w:sz w:val="20"/>
                <w:lang w:val="fr-CA"/>
              </w:rPr>
            </w:pPr>
          </w:p>
        </w:tc>
      </w:tr>
    </w:tbl>
    <w:p w:rsidR="009774E3" w:rsidRPr="006757EB" w:rsidRDefault="009774E3" w:rsidP="009774E3">
      <w:pPr>
        <w:jc w:val="both"/>
        <w:rPr>
          <w:sz w:val="20"/>
          <w:lang w:val="fr-CA"/>
        </w:rPr>
      </w:pPr>
    </w:p>
    <w:p w:rsidR="009774E3" w:rsidRPr="006757EB" w:rsidRDefault="007336A5" w:rsidP="009774E3">
      <w:pPr>
        <w:jc w:val="both"/>
        <w:rPr>
          <w:sz w:val="20"/>
          <w:lang w:val="fr-CA"/>
        </w:rPr>
      </w:pPr>
      <w:r>
        <w:rPr>
          <w:sz w:val="20"/>
        </w:rPr>
        <w:pict>
          <v:rect id="_x0000_i1028" style="width:2in;height:1pt" o:hrpct="0" o:hralign="center" o:hrstd="t" o:hrnoshade="t" o:hr="t" fillcolor="black [3213]" stroked="f"/>
        </w:pict>
      </w:r>
    </w:p>
    <w:p w:rsidR="009774E3" w:rsidRPr="006757EB" w:rsidRDefault="009774E3" w:rsidP="009774E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6757EB" w:rsidTr="009774E3">
        <w:tc>
          <w:tcPr>
            <w:tcW w:w="543" w:type="pct"/>
          </w:tcPr>
          <w:p w:rsidR="009774E3" w:rsidRPr="006757EB" w:rsidRDefault="009774E3" w:rsidP="009774E3">
            <w:pPr>
              <w:jc w:val="both"/>
              <w:rPr>
                <w:sz w:val="20"/>
              </w:rPr>
            </w:pPr>
            <w:r w:rsidRPr="006757EB">
              <w:rPr>
                <w:rStyle w:val="SCCFileNumberChar"/>
                <w:sz w:val="20"/>
                <w:szCs w:val="20"/>
              </w:rPr>
              <w:t>40134</w:t>
            </w:r>
          </w:p>
        </w:tc>
        <w:tc>
          <w:tcPr>
            <w:tcW w:w="4457" w:type="pct"/>
            <w:gridSpan w:val="3"/>
          </w:tcPr>
          <w:p w:rsidR="009774E3" w:rsidRPr="006757EB" w:rsidRDefault="009774E3" w:rsidP="009774E3">
            <w:pPr>
              <w:pStyle w:val="SCCLsocParty"/>
              <w:jc w:val="both"/>
              <w:rPr>
                <w:b/>
                <w:sz w:val="20"/>
                <w:szCs w:val="20"/>
                <w:lang w:val="en-US"/>
              </w:rPr>
            </w:pPr>
            <w:r w:rsidRPr="006757EB">
              <w:rPr>
                <w:b/>
                <w:sz w:val="20"/>
                <w:szCs w:val="20"/>
                <w:lang w:val="en-US"/>
              </w:rPr>
              <w:t>Iryna Antonyuk v. Mykhaylo Antonyuk</w:t>
            </w:r>
          </w:p>
          <w:p w:rsidR="009774E3" w:rsidRPr="006757EB" w:rsidRDefault="009774E3" w:rsidP="009774E3">
            <w:pPr>
              <w:jc w:val="both"/>
              <w:rPr>
                <w:sz w:val="20"/>
              </w:rPr>
            </w:pPr>
            <w:r w:rsidRPr="006757EB">
              <w:rPr>
                <w:sz w:val="20"/>
              </w:rPr>
              <w:t>(Ont.) (Civil) (By Leave)</w:t>
            </w:r>
          </w:p>
        </w:tc>
      </w:tr>
      <w:tr w:rsidR="009774E3" w:rsidRPr="006757EB" w:rsidTr="009774E3">
        <w:trPr>
          <w:trHeight w:val="886"/>
        </w:trPr>
        <w:tc>
          <w:tcPr>
            <w:tcW w:w="5000" w:type="pct"/>
            <w:gridSpan w:val="4"/>
          </w:tcPr>
          <w:p w:rsidR="009774E3" w:rsidRPr="006757EB" w:rsidRDefault="009774E3" w:rsidP="009774E3">
            <w:pPr>
              <w:jc w:val="both"/>
              <w:rPr>
                <w:sz w:val="20"/>
              </w:rPr>
            </w:pPr>
            <w:r w:rsidRPr="006757EB">
              <w:rPr>
                <w:sz w:val="20"/>
              </w:rPr>
              <w:t xml:space="preserve">Family Law — Divorce — Recognition of foreign divorce — Applicant arguing that Ukrainian divorce was invalidly obtained — Respondent remarried in Canada — Whether lower courts erred in recognizing validity of Ukrainian divorce — </w:t>
            </w:r>
            <w:r w:rsidRPr="006757EB">
              <w:rPr>
                <w:i/>
                <w:sz w:val="20"/>
              </w:rPr>
              <w:t>Divorce Act</w:t>
            </w:r>
            <w:r w:rsidRPr="006757EB">
              <w:rPr>
                <w:sz w:val="20"/>
              </w:rPr>
              <w:t xml:space="preserve">, R.S.C., 1985, c. 3 (2nd Supp.), s. 22 — </w:t>
            </w:r>
            <w:r w:rsidRPr="006757EB">
              <w:rPr>
                <w:i/>
                <w:sz w:val="20"/>
              </w:rPr>
              <w:t>Rules of Civil Procedure</w:t>
            </w:r>
            <w:r w:rsidRPr="006757EB">
              <w:rPr>
                <w:sz w:val="20"/>
              </w:rPr>
              <w:t>, R.R.O. 1990, Reg. 194, R. 59.06.</w:t>
            </w:r>
          </w:p>
        </w:tc>
      </w:tr>
      <w:tr w:rsidR="009774E3" w:rsidRPr="006757EB" w:rsidTr="009774E3">
        <w:tc>
          <w:tcPr>
            <w:tcW w:w="5000" w:type="pct"/>
            <w:gridSpan w:val="4"/>
          </w:tcPr>
          <w:p w:rsidR="009774E3" w:rsidRPr="006757EB" w:rsidRDefault="009774E3" w:rsidP="009774E3">
            <w:pPr>
              <w:jc w:val="both"/>
              <w:rPr>
                <w:sz w:val="20"/>
              </w:rPr>
            </w:pPr>
          </w:p>
          <w:p w:rsidR="009774E3" w:rsidRPr="006757EB" w:rsidRDefault="009774E3" w:rsidP="009774E3">
            <w:pPr>
              <w:jc w:val="both"/>
              <w:rPr>
                <w:sz w:val="20"/>
              </w:rPr>
            </w:pPr>
            <w:r w:rsidRPr="006757EB">
              <w:rPr>
                <w:sz w:val="20"/>
              </w:rPr>
              <w:t xml:space="preserve">In July 1983, the applicant, Ms. Iryna Antonyuk, and the respondent, Mr. Mykhaylo Antonyuk, both citizens of Ukraine, were married in Kyiv. In June 1998, the couple moved to Canada, intending to immigrate. In July 1998, Mr. Antonyuk returned to Ukraine for work, and commenced divorce proceedings. A certificate of divorce was issued by a court in Kyiv in October 1998. Upon Mr. Antonyuk’s return to Canada in January 1999, he went to the couple’s apartment, gave Ms. Antonyuk a duplicate of the certificate, retrieved his belongings, and left. Ms. Antonyuk did not contest the Ukrainian divorce until 2016. By that time, Mr. Antonyuk had remarried. Ms. Antonyuk challenged the validity of the Ukrainian divorce, arguing that someone could object to it, which would prevent her from remarrying. She then commenced an action, arguing that the Ukrainian divorce was invalid and that the Kyiv court did not have jurisdiction to grant a divorce. </w:t>
            </w:r>
          </w:p>
          <w:p w:rsidR="009774E3" w:rsidRPr="006757EB" w:rsidRDefault="009774E3" w:rsidP="009774E3">
            <w:pPr>
              <w:jc w:val="both"/>
              <w:rPr>
                <w:sz w:val="20"/>
              </w:rPr>
            </w:pPr>
          </w:p>
          <w:p w:rsidR="009774E3" w:rsidRPr="006757EB" w:rsidRDefault="009774E3" w:rsidP="009774E3">
            <w:pPr>
              <w:jc w:val="both"/>
              <w:rPr>
                <w:sz w:val="20"/>
              </w:rPr>
            </w:pPr>
            <w:r w:rsidRPr="006757EB">
              <w:rPr>
                <w:sz w:val="20"/>
              </w:rPr>
              <w:t xml:space="preserve">The trial judge held that Ms. Antonyuk did not meet her onus of proving that the certificate of divorce, issued in October 1998 in Kyiv, was improperly obtained and should not be recognized. The trial judge recognized the validity of the Ukrainian divorce, pursuant to s. 22 of the federal </w:t>
            </w:r>
            <w:r w:rsidRPr="006757EB">
              <w:rPr>
                <w:i/>
                <w:sz w:val="20"/>
              </w:rPr>
              <w:t>Divorce Act</w:t>
            </w:r>
            <w:r w:rsidRPr="006757EB">
              <w:rPr>
                <w:sz w:val="20"/>
              </w:rPr>
              <w:t xml:space="preserve">. The Court of Appeal unanimously dismissed Ms. Antonyuk’s appeal, thus upholding the validity of the Ukrainian divorce. Later, it also unanimously dismissed a post-judgment motion filed by Ms. Antonyuk, who sought to set aside the Court of Appeal’s first judgment and to recognize an earlier Canadian divorce order obtained under the </w:t>
            </w:r>
            <w:r w:rsidRPr="006757EB">
              <w:rPr>
                <w:i/>
                <w:sz w:val="20"/>
              </w:rPr>
              <w:t xml:space="preserve">Divorce Act </w:t>
            </w:r>
            <w:r w:rsidRPr="006757EB">
              <w:rPr>
                <w:sz w:val="20"/>
              </w:rPr>
              <w:t>(which had been granted in February 2019 but set aside in March 2019, upon proof of the Ukrainian divorce).</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January 29, 2020</w:t>
            </w:r>
          </w:p>
          <w:p w:rsidR="009774E3" w:rsidRPr="006757EB" w:rsidRDefault="009774E3" w:rsidP="009774E3">
            <w:pPr>
              <w:jc w:val="both"/>
              <w:rPr>
                <w:sz w:val="20"/>
              </w:rPr>
            </w:pPr>
            <w:r w:rsidRPr="006757EB">
              <w:rPr>
                <w:sz w:val="20"/>
              </w:rPr>
              <w:t>Ontario Superior Court of Justice</w:t>
            </w:r>
          </w:p>
          <w:p w:rsidR="009774E3" w:rsidRPr="006757EB" w:rsidRDefault="009774E3" w:rsidP="009774E3">
            <w:pPr>
              <w:jc w:val="both"/>
              <w:rPr>
                <w:sz w:val="20"/>
              </w:rPr>
            </w:pPr>
            <w:r w:rsidRPr="006757EB">
              <w:rPr>
                <w:sz w:val="20"/>
              </w:rPr>
              <w:t>(Nakonechny J.)</w:t>
            </w:r>
          </w:p>
          <w:p w:rsidR="009774E3" w:rsidRPr="006757EB" w:rsidRDefault="007336A5" w:rsidP="009774E3">
            <w:pPr>
              <w:jc w:val="both"/>
              <w:rPr>
                <w:sz w:val="20"/>
              </w:rPr>
            </w:pPr>
            <w:hyperlink r:id="rId23" w:history="1">
              <w:r w:rsidR="009774E3" w:rsidRPr="006757EB">
                <w:rPr>
                  <w:rStyle w:val="Hyperlink"/>
                  <w:sz w:val="20"/>
                </w:rPr>
                <w:t>2020 ONSC 644</w:t>
              </w:r>
            </w:hyperlink>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Ms. Antonyuk’s application dismissed; validity of Ukrainian divorce recognized</w:t>
            </w:r>
          </w:p>
        </w:tc>
      </w:tr>
      <w:tr w:rsidR="009774E3" w:rsidRPr="006757EB" w:rsidTr="009774E3">
        <w:tc>
          <w:tcPr>
            <w:tcW w:w="2427" w:type="pct"/>
            <w:gridSpan w:val="2"/>
          </w:tcPr>
          <w:p w:rsidR="009774E3" w:rsidRPr="006757EB" w:rsidRDefault="009774E3" w:rsidP="009774E3">
            <w:pPr>
              <w:jc w:val="both"/>
              <w:rPr>
                <w:sz w:val="20"/>
              </w:rPr>
            </w:pPr>
            <w:r w:rsidRPr="006757EB">
              <w:rPr>
                <w:sz w:val="20"/>
              </w:rPr>
              <w:t>October 25, 2021</w:t>
            </w:r>
          </w:p>
          <w:p w:rsidR="009774E3" w:rsidRPr="006757EB" w:rsidRDefault="009774E3" w:rsidP="009774E3">
            <w:pPr>
              <w:jc w:val="both"/>
              <w:rPr>
                <w:sz w:val="20"/>
              </w:rPr>
            </w:pPr>
            <w:r w:rsidRPr="006757EB">
              <w:rPr>
                <w:sz w:val="20"/>
              </w:rPr>
              <w:t>Court of Appeal for Ontario</w:t>
            </w:r>
          </w:p>
          <w:p w:rsidR="009774E3" w:rsidRPr="006757EB" w:rsidRDefault="009774E3" w:rsidP="009774E3">
            <w:pPr>
              <w:jc w:val="both"/>
              <w:rPr>
                <w:sz w:val="20"/>
              </w:rPr>
            </w:pPr>
            <w:r w:rsidRPr="006757EB">
              <w:rPr>
                <w:sz w:val="20"/>
              </w:rPr>
              <w:t>(Feldman, Pepall and Tulloch JJ.A.)</w:t>
            </w:r>
          </w:p>
          <w:p w:rsidR="009774E3" w:rsidRPr="006757EB" w:rsidRDefault="007336A5" w:rsidP="009774E3">
            <w:pPr>
              <w:jc w:val="both"/>
              <w:rPr>
                <w:sz w:val="20"/>
              </w:rPr>
            </w:pPr>
            <w:hyperlink r:id="rId24" w:history="1">
              <w:r w:rsidR="009774E3" w:rsidRPr="006757EB">
                <w:rPr>
                  <w:rStyle w:val="Hyperlink"/>
                  <w:sz w:val="20"/>
                </w:rPr>
                <w:t>2021 ONCA 748</w:t>
              </w:r>
            </w:hyperlink>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Appeal dismissed; validity of Ukrainian divorce confirmed</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February 14, 2022</w:t>
            </w:r>
          </w:p>
          <w:p w:rsidR="009774E3" w:rsidRPr="006757EB" w:rsidRDefault="009774E3" w:rsidP="009774E3">
            <w:pPr>
              <w:jc w:val="both"/>
              <w:rPr>
                <w:sz w:val="20"/>
              </w:rPr>
            </w:pPr>
            <w:r w:rsidRPr="006757EB">
              <w:rPr>
                <w:sz w:val="20"/>
              </w:rPr>
              <w:t>Court of Appeal for Ontario</w:t>
            </w:r>
          </w:p>
          <w:p w:rsidR="009774E3" w:rsidRPr="006757EB" w:rsidRDefault="009774E3" w:rsidP="009774E3">
            <w:pPr>
              <w:jc w:val="both"/>
              <w:rPr>
                <w:sz w:val="20"/>
              </w:rPr>
            </w:pPr>
            <w:r w:rsidRPr="006757EB">
              <w:rPr>
                <w:sz w:val="20"/>
              </w:rPr>
              <w:t>(Feldman, Pepall and Tulloch JJ.A.)</w:t>
            </w:r>
          </w:p>
          <w:p w:rsidR="009774E3" w:rsidRPr="006757EB" w:rsidRDefault="007336A5" w:rsidP="009774E3">
            <w:pPr>
              <w:jc w:val="both"/>
              <w:rPr>
                <w:sz w:val="20"/>
              </w:rPr>
            </w:pPr>
            <w:hyperlink r:id="rId25" w:history="1">
              <w:r w:rsidR="009774E3" w:rsidRPr="006757EB">
                <w:rPr>
                  <w:rStyle w:val="Hyperlink"/>
                  <w:sz w:val="20"/>
                </w:rPr>
                <w:t>2022 ONCA 145</w:t>
              </w:r>
            </w:hyperlink>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 xml:space="preserve">Post-judgment motion to set aside Court of Appeal order — dismissed </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March 31, 2022</w:t>
            </w:r>
          </w:p>
          <w:p w:rsidR="009774E3" w:rsidRPr="006757EB" w:rsidRDefault="009774E3" w:rsidP="009774E3">
            <w:pPr>
              <w:jc w:val="both"/>
              <w:rPr>
                <w:sz w:val="20"/>
              </w:rPr>
            </w:pPr>
            <w:r w:rsidRPr="006757EB">
              <w:rPr>
                <w:sz w:val="20"/>
              </w:rPr>
              <w:t>Supreme Court of Canada</w:t>
            </w: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Application for leave to appeal filed by Ms. Antonyuk</w:t>
            </w:r>
          </w:p>
        </w:tc>
      </w:tr>
    </w:tbl>
    <w:p w:rsidR="009774E3" w:rsidRPr="006757EB" w:rsidRDefault="009774E3" w:rsidP="009774E3">
      <w:pPr>
        <w:jc w:val="both"/>
        <w:rPr>
          <w:sz w:val="20"/>
        </w:rPr>
      </w:pPr>
    </w:p>
    <w:p w:rsidR="009774E3" w:rsidRPr="006757EB" w:rsidRDefault="007336A5" w:rsidP="009774E3">
      <w:pPr>
        <w:jc w:val="both"/>
        <w:rPr>
          <w:sz w:val="20"/>
        </w:rPr>
      </w:pPr>
      <w:r>
        <w:rPr>
          <w:sz w:val="20"/>
        </w:rPr>
        <w:pict>
          <v:rect id="_x0000_i1029" style="width:2in;height:1pt" o:hrpct="0" o:hralign="center" o:hrstd="t" o:hrnoshade="t" o:hr="t" fillcolor="black [3213]" stroked="f"/>
        </w:pict>
      </w:r>
    </w:p>
    <w:p w:rsidR="009774E3" w:rsidRPr="006757EB" w:rsidRDefault="009774E3" w:rsidP="009774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7336A5" w:rsidTr="009774E3">
        <w:tc>
          <w:tcPr>
            <w:tcW w:w="543" w:type="pct"/>
          </w:tcPr>
          <w:p w:rsidR="009774E3" w:rsidRPr="006757EB" w:rsidRDefault="009774E3" w:rsidP="009774E3">
            <w:pPr>
              <w:jc w:val="both"/>
              <w:rPr>
                <w:sz w:val="20"/>
                <w:lang w:val="fr-CA"/>
              </w:rPr>
            </w:pPr>
            <w:r w:rsidRPr="006757EB">
              <w:rPr>
                <w:rStyle w:val="SCCFileNumberChar"/>
                <w:sz w:val="20"/>
                <w:szCs w:val="20"/>
                <w:lang w:val="fr-CA"/>
              </w:rPr>
              <w:t>40134</w:t>
            </w:r>
          </w:p>
        </w:tc>
        <w:tc>
          <w:tcPr>
            <w:tcW w:w="4457" w:type="pct"/>
            <w:gridSpan w:val="3"/>
          </w:tcPr>
          <w:p w:rsidR="009774E3" w:rsidRPr="006757EB" w:rsidRDefault="009774E3" w:rsidP="009774E3">
            <w:pPr>
              <w:pStyle w:val="SCCLsocParty"/>
              <w:jc w:val="both"/>
              <w:rPr>
                <w:b/>
                <w:sz w:val="20"/>
                <w:szCs w:val="20"/>
              </w:rPr>
            </w:pPr>
            <w:r w:rsidRPr="006757EB">
              <w:rPr>
                <w:b/>
                <w:sz w:val="20"/>
                <w:szCs w:val="20"/>
              </w:rPr>
              <w:t>Iryna Antonyuk c. Mykhaylo Antonyuk</w:t>
            </w:r>
          </w:p>
          <w:p w:rsidR="009774E3" w:rsidRPr="006757EB" w:rsidRDefault="009774E3" w:rsidP="009774E3">
            <w:pPr>
              <w:jc w:val="both"/>
              <w:rPr>
                <w:sz w:val="20"/>
                <w:lang w:val="fr-CA"/>
              </w:rPr>
            </w:pPr>
            <w:r w:rsidRPr="006757EB">
              <w:rPr>
                <w:sz w:val="20"/>
                <w:lang w:val="fr-CA"/>
              </w:rPr>
              <w:t>(Ont.) (Civile) (Sur autorisation)</w:t>
            </w:r>
          </w:p>
        </w:tc>
      </w:tr>
      <w:tr w:rsidR="009774E3" w:rsidRPr="007336A5" w:rsidTr="009774E3">
        <w:trPr>
          <w:trHeight w:val="995"/>
        </w:trPr>
        <w:tc>
          <w:tcPr>
            <w:tcW w:w="5000" w:type="pct"/>
            <w:gridSpan w:val="4"/>
          </w:tcPr>
          <w:p w:rsidR="009774E3" w:rsidRPr="006757EB" w:rsidRDefault="009774E3" w:rsidP="009774E3">
            <w:pPr>
              <w:jc w:val="both"/>
              <w:rPr>
                <w:sz w:val="20"/>
                <w:lang w:val="fr-CA"/>
              </w:rPr>
            </w:pPr>
            <w:r w:rsidRPr="006757EB">
              <w:rPr>
                <w:sz w:val="20"/>
                <w:lang w:val="fr-CA"/>
              </w:rPr>
              <w:lastRenderedPageBreak/>
              <w:t xml:space="preserve">Droit de la famille — Divorce — Reconnaissance d’un divorce prononcé à l’étranger — La requérante alléguait l’invalidité d’un divorce ukrainien — L’intimé s’est remarié au Canada — Les juridictions inférieures ont-elles commis une erreur en reconnaissant la validité du divorce ukrainien? — </w:t>
            </w:r>
            <w:r w:rsidRPr="006757EB">
              <w:rPr>
                <w:i/>
                <w:iCs/>
                <w:sz w:val="20"/>
                <w:lang w:val="fr-CA"/>
              </w:rPr>
              <w:t>Loi sur le divorce</w:t>
            </w:r>
            <w:r w:rsidRPr="006757EB">
              <w:rPr>
                <w:sz w:val="20"/>
                <w:lang w:val="fr-CA"/>
              </w:rPr>
              <w:t>, L.R.C., 1985, c. 3 (2</w:t>
            </w:r>
            <w:r w:rsidRPr="006757EB">
              <w:rPr>
                <w:sz w:val="20"/>
                <w:vertAlign w:val="superscript"/>
                <w:lang w:val="fr-CA"/>
              </w:rPr>
              <w:t>e</w:t>
            </w:r>
            <w:r w:rsidRPr="006757EB">
              <w:rPr>
                <w:sz w:val="20"/>
                <w:lang w:val="fr-CA"/>
              </w:rPr>
              <w:t xml:space="preserve"> suppl..), art. 22 — </w:t>
            </w:r>
            <w:r w:rsidRPr="006757EB">
              <w:rPr>
                <w:i/>
                <w:sz w:val="20"/>
                <w:lang w:val="fr-CA"/>
              </w:rPr>
              <w:t>Règles de procédure civile</w:t>
            </w:r>
            <w:r w:rsidRPr="006757EB">
              <w:rPr>
                <w:sz w:val="20"/>
                <w:lang w:val="fr-CA"/>
              </w:rPr>
              <w:t>, R.R.O. 1990, Règl. 194, art. 59.06.</w:t>
            </w:r>
          </w:p>
        </w:tc>
      </w:tr>
      <w:tr w:rsidR="009774E3" w:rsidRPr="007336A5" w:rsidTr="009774E3">
        <w:tc>
          <w:tcPr>
            <w:tcW w:w="5000" w:type="pct"/>
            <w:gridSpan w:val="4"/>
          </w:tcPr>
          <w:p w:rsidR="009774E3" w:rsidRPr="006757EB" w:rsidRDefault="009774E3" w:rsidP="009774E3">
            <w:pPr>
              <w:jc w:val="both"/>
              <w:rPr>
                <w:sz w:val="20"/>
                <w:lang w:val="fr-CA"/>
              </w:rPr>
            </w:pPr>
          </w:p>
          <w:p w:rsidR="009774E3" w:rsidRPr="006757EB" w:rsidRDefault="009774E3" w:rsidP="009774E3">
            <w:pPr>
              <w:jc w:val="both"/>
              <w:rPr>
                <w:sz w:val="20"/>
                <w:lang w:val="fr-CA"/>
              </w:rPr>
            </w:pPr>
            <w:r w:rsidRPr="006757EB">
              <w:rPr>
                <w:sz w:val="20"/>
                <w:lang w:val="fr-CA"/>
              </w:rPr>
              <w:t>En juillet 1983, la requérante, M</w:t>
            </w:r>
            <w:r w:rsidRPr="006757EB">
              <w:rPr>
                <w:sz w:val="20"/>
                <w:vertAlign w:val="superscript"/>
                <w:lang w:val="fr-CA"/>
              </w:rPr>
              <w:t>me</w:t>
            </w:r>
            <w:r w:rsidRPr="006757EB">
              <w:rPr>
                <w:sz w:val="20"/>
                <w:lang w:val="fr-CA"/>
              </w:rPr>
              <w:t> Iryna Antonyuk, et l’intimé, M. Mykhaylo Antonyuk, tous deux citoyens ukrainiens, se sont mariés à Kiev. En juin 1998, ils ont déménagé au Canada avec l’intention d’y immigrer. En juillet 1998, M. Antonyuk est retourné travailler en Ukraine et a entamé une procédure de divorce. Un certificat de divorce été délivré par un tribunal de Kiev en octobre 1998. À son retour au Canada en janvier 1999, M. Antonyuk s’est rendu à l’appartement du couple, a remis à M</w:t>
            </w:r>
            <w:r w:rsidRPr="006757EB">
              <w:rPr>
                <w:sz w:val="20"/>
                <w:vertAlign w:val="superscript"/>
                <w:lang w:val="fr-CA"/>
              </w:rPr>
              <w:t>me</w:t>
            </w:r>
            <w:r w:rsidRPr="006757EB">
              <w:rPr>
                <w:sz w:val="20"/>
                <w:lang w:val="fr-CA"/>
              </w:rPr>
              <w:t> Antonyuk une copie du certificat, a récupéré ses effets personnels et est parti. M</w:t>
            </w:r>
            <w:r w:rsidRPr="006757EB">
              <w:rPr>
                <w:sz w:val="20"/>
                <w:vertAlign w:val="superscript"/>
                <w:lang w:val="fr-CA"/>
              </w:rPr>
              <w:t>me</w:t>
            </w:r>
            <w:r w:rsidRPr="006757EB">
              <w:rPr>
                <w:sz w:val="20"/>
                <w:lang w:val="fr-CA"/>
              </w:rPr>
              <w:t> Antonyuk n’a contesté le divorce ukrainien qu’en 2016. À ce moment-là, M. Antonyuk s’était remarié. M</w:t>
            </w:r>
            <w:r w:rsidRPr="006757EB">
              <w:rPr>
                <w:sz w:val="20"/>
                <w:vertAlign w:val="superscript"/>
                <w:lang w:val="fr-CA"/>
              </w:rPr>
              <w:t>me</w:t>
            </w:r>
            <w:r w:rsidRPr="006757EB">
              <w:rPr>
                <w:sz w:val="20"/>
                <w:lang w:val="fr-CA"/>
              </w:rPr>
              <w:t> Antonyuk a contesté la validité du divorce ukrainien, soutenant que quelqu’un pourrait s’y opposer, ce qui l’empêcherait de se remarier. Elle a ensuite intenté une action en faisant valoir que le divorce ukrainien était invalide et que le tribunal de Kiev n’avait pas compétence pour prononcer le divorce.</w:t>
            </w:r>
          </w:p>
          <w:p w:rsidR="009774E3" w:rsidRPr="006757EB" w:rsidRDefault="009774E3" w:rsidP="009774E3">
            <w:pPr>
              <w:jc w:val="both"/>
              <w:rPr>
                <w:sz w:val="20"/>
                <w:lang w:val="fr-CA"/>
              </w:rPr>
            </w:pPr>
          </w:p>
          <w:p w:rsidR="009774E3" w:rsidRPr="006757EB" w:rsidRDefault="009774E3" w:rsidP="009774E3">
            <w:pPr>
              <w:jc w:val="both"/>
              <w:rPr>
                <w:sz w:val="20"/>
                <w:lang w:val="fr-CA"/>
              </w:rPr>
            </w:pPr>
            <w:r w:rsidRPr="006757EB">
              <w:rPr>
                <w:sz w:val="20"/>
                <w:lang w:val="fr-CA"/>
              </w:rPr>
              <w:t>La juge de première instance a conclu que M</w:t>
            </w:r>
            <w:r w:rsidRPr="006757EB">
              <w:rPr>
                <w:sz w:val="20"/>
                <w:vertAlign w:val="superscript"/>
                <w:lang w:val="fr-CA"/>
              </w:rPr>
              <w:t>me</w:t>
            </w:r>
            <w:r w:rsidRPr="006757EB">
              <w:rPr>
                <w:sz w:val="20"/>
                <w:lang w:val="fr-CA"/>
              </w:rPr>
              <w:t xml:space="preserve"> Antonyuk ne s’était pas déchargée du fardeau qui lui incombait de prouver que le certificat de divorce délivré en octobre 1998 à Kiev avait été irrégulièrement obtenu et ne devait pas être reconnu. La juge de première instance a reconnu la validité du divorce ukrainien en vertu de l’art. 22 de la </w:t>
            </w:r>
            <w:r w:rsidRPr="006757EB">
              <w:rPr>
                <w:i/>
                <w:iCs/>
                <w:sz w:val="20"/>
                <w:lang w:val="fr-CA"/>
              </w:rPr>
              <w:t>Loi sur le divorce</w:t>
            </w:r>
            <w:r w:rsidRPr="006757EB">
              <w:rPr>
                <w:sz w:val="20"/>
                <w:lang w:val="fr-CA"/>
              </w:rPr>
              <w:t xml:space="preserve"> fédérale. La Cour d’appel a rejeté à l’unanimité l’appel de M</w:t>
            </w:r>
            <w:r w:rsidRPr="006757EB">
              <w:rPr>
                <w:sz w:val="20"/>
                <w:vertAlign w:val="superscript"/>
                <w:lang w:val="fr-CA"/>
              </w:rPr>
              <w:t>me</w:t>
            </w:r>
            <w:r w:rsidRPr="006757EB">
              <w:rPr>
                <w:sz w:val="20"/>
                <w:lang w:val="fr-CA"/>
              </w:rPr>
              <w:t> Antonyuk, confirmant ainsi la validité du divorce ukrainien. Plus tard, elle a également rejeté à l’unanimité une motion postérieure au jugement par laquelle M</w:t>
            </w:r>
            <w:r w:rsidRPr="006757EB">
              <w:rPr>
                <w:sz w:val="20"/>
                <w:vertAlign w:val="superscript"/>
                <w:lang w:val="fr-CA"/>
              </w:rPr>
              <w:t>me</w:t>
            </w:r>
            <w:r w:rsidRPr="006757EB">
              <w:rPr>
                <w:sz w:val="20"/>
                <w:lang w:val="fr-CA"/>
              </w:rPr>
              <w:t xml:space="preserve"> Antonyuk réclamait l’annulation du premier jugement de la Cour d’appel et demandait la reconnaissance d’une ordonnance de divorce canadienne antérieure obtenue en vertu de la </w:t>
            </w:r>
            <w:r w:rsidRPr="006757EB">
              <w:rPr>
                <w:i/>
                <w:iCs/>
                <w:sz w:val="20"/>
                <w:lang w:val="fr-CA"/>
              </w:rPr>
              <w:t>Loi sur le divorce</w:t>
            </w:r>
            <w:r w:rsidRPr="006757EB">
              <w:rPr>
                <w:sz w:val="20"/>
                <w:lang w:val="fr-CA"/>
              </w:rPr>
              <w:t xml:space="preserve"> (qui avait été rendue en février 2019, mais qui avait été annulée en mars 2019, sur preuve du divorce ukrainien).</w:t>
            </w:r>
          </w:p>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29 janvier 2020</w:t>
            </w:r>
          </w:p>
          <w:p w:rsidR="009774E3" w:rsidRPr="006757EB" w:rsidRDefault="009774E3" w:rsidP="009774E3">
            <w:pPr>
              <w:jc w:val="both"/>
              <w:rPr>
                <w:sz w:val="20"/>
                <w:lang w:val="fr-CA"/>
              </w:rPr>
            </w:pPr>
            <w:r w:rsidRPr="006757EB">
              <w:rPr>
                <w:sz w:val="20"/>
                <w:lang w:val="fr-CA"/>
              </w:rPr>
              <w:t xml:space="preserve">Cour supérieure de justice de l’Ontario </w:t>
            </w:r>
          </w:p>
          <w:p w:rsidR="009774E3" w:rsidRPr="006757EB" w:rsidRDefault="009774E3" w:rsidP="009774E3">
            <w:pPr>
              <w:jc w:val="both"/>
              <w:rPr>
                <w:sz w:val="20"/>
                <w:lang w:val="fr-CA"/>
              </w:rPr>
            </w:pPr>
            <w:r w:rsidRPr="006757EB">
              <w:rPr>
                <w:sz w:val="20"/>
                <w:lang w:val="fr-CA"/>
              </w:rPr>
              <w:t>(juge Nakonechny)</w:t>
            </w:r>
          </w:p>
          <w:p w:rsidR="009774E3" w:rsidRPr="006757EB" w:rsidRDefault="007336A5" w:rsidP="009774E3">
            <w:pPr>
              <w:jc w:val="both"/>
              <w:rPr>
                <w:sz w:val="20"/>
                <w:lang w:val="fr-CA"/>
              </w:rPr>
            </w:pPr>
            <w:hyperlink r:id="rId26" w:history="1">
              <w:r w:rsidR="009774E3" w:rsidRPr="006757EB">
                <w:rPr>
                  <w:rStyle w:val="Hyperlink"/>
                  <w:sz w:val="20"/>
                  <w:lang w:val="fr-CA"/>
                </w:rPr>
                <w:t>2020 ONSC 644</w:t>
              </w:r>
            </w:hyperlink>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La requête de M</w:t>
            </w:r>
            <w:r w:rsidRPr="006757EB">
              <w:rPr>
                <w:sz w:val="20"/>
                <w:vertAlign w:val="superscript"/>
                <w:lang w:val="fr-CA"/>
              </w:rPr>
              <w:t>me</w:t>
            </w:r>
            <w:r w:rsidRPr="006757EB">
              <w:rPr>
                <w:sz w:val="20"/>
                <w:lang w:val="fr-CA"/>
              </w:rPr>
              <w:t> Antonyuk est annulée et la validité du divorce ukrainien est reconnue</w:t>
            </w: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25 octobre 2021</w:t>
            </w:r>
          </w:p>
          <w:p w:rsidR="009774E3" w:rsidRPr="006757EB" w:rsidRDefault="009774E3" w:rsidP="009774E3">
            <w:pPr>
              <w:jc w:val="both"/>
              <w:rPr>
                <w:sz w:val="20"/>
                <w:lang w:val="fr-CA"/>
              </w:rPr>
            </w:pPr>
            <w:r w:rsidRPr="006757EB">
              <w:rPr>
                <w:sz w:val="20"/>
                <w:lang w:val="fr-CA"/>
              </w:rPr>
              <w:t>Cour d’appel de l’Ontario</w:t>
            </w:r>
          </w:p>
          <w:p w:rsidR="009774E3" w:rsidRPr="006757EB" w:rsidRDefault="009774E3" w:rsidP="009774E3">
            <w:pPr>
              <w:jc w:val="both"/>
              <w:rPr>
                <w:sz w:val="20"/>
                <w:lang w:val="fr-CA"/>
              </w:rPr>
            </w:pPr>
            <w:r w:rsidRPr="006757EB">
              <w:rPr>
                <w:sz w:val="20"/>
                <w:lang w:val="fr-CA"/>
              </w:rPr>
              <w:t>(juges Feldman, Pepall et Tulloch)</w:t>
            </w:r>
          </w:p>
          <w:p w:rsidR="009774E3" w:rsidRPr="006757EB" w:rsidRDefault="007336A5" w:rsidP="009774E3">
            <w:pPr>
              <w:jc w:val="both"/>
              <w:rPr>
                <w:sz w:val="20"/>
                <w:lang w:val="fr-CA"/>
              </w:rPr>
            </w:pPr>
            <w:hyperlink r:id="rId27" w:history="1">
              <w:r w:rsidR="009774E3" w:rsidRPr="006757EB">
                <w:rPr>
                  <w:rStyle w:val="Hyperlink"/>
                  <w:sz w:val="20"/>
                  <w:lang w:val="fr-CA"/>
                </w:rPr>
                <w:t>2021 ONCA 748</w:t>
              </w:r>
            </w:hyperlink>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L’appel est rejeté et la validité du divorce ukrainien est confirmée</w:t>
            </w:r>
          </w:p>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14 février 2022</w:t>
            </w:r>
          </w:p>
          <w:p w:rsidR="009774E3" w:rsidRPr="006757EB" w:rsidRDefault="009774E3" w:rsidP="009774E3">
            <w:pPr>
              <w:jc w:val="both"/>
              <w:rPr>
                <w:sz w:val="20"/>
                <w:lang w:val="fr-CA"/>
              </w:rPr>
            </w:pPr>
            <w:r w:rsidRPr="006757EB">
              <w:rPr>
                <w:sz w:val="20"/>
                <w:lang w:val="fr-CA"/>
              </w:rPr>
              <w:t>Cour d’appel de l’Ontario</w:t>
            </w:r>
          </w:p>
          <w:p w:rsidR="009774E3" w:rsidRPr="006757EB" w:rsidRDefault="009774E3" w:rsidP="009774E3">
            <w:pPr>
              <w:jc w:val="both"/>
              <w:rPr>
                <w:sz w:val="20"/>
                <w:lang w:val="fr-CA"/>
              </w:rPr>
            </w:pPr>
            <w:r w:rsidRPr="006757EB">
              <w:rPr>
                <w:sz w:val="20"/>
                <w:lang w:val="fr-CA"/>
              </w:rPr>
              <w:t>(juges Feldman, Pepall et Tulloch)</w:t>
            </w:r>
          </w:p>
          <w:p w:rsidR="009774E3" w:rsidRPr="006757EB" w:rsidRDefault="007336A5" w:rsidP="009774E3">
            <w:pPr>
              <w:jc w:val="both"/>
              <w:rPr>
                <w:sz w:val="20"/>
                <w:lang w:val="fr-CA"/>
              </w:rPr>
            </w:pPr>
            <w:hyperlink r:id="rId28" w:history="1">
              <w:r w:rsidR="009774E3" w:rsidRPr="006757EB">
                <w:rPr>
                  <w:rStyle w:val="Hyperlink"/>
                  <w:sz w:val="20"/>
                  <w:lang w:val="fr-CA"/>
                </w:rPr>
                <w:t>2022 ONCA 145</w:t>
              </w:r>
            </w:hyperlink>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La motion postérieure jugement en annulation de l’ordonnance de la Cour d’appel est rejetée</w:t>
            </w:r>
          </w:p>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31 mars 2022</w:t>
            </w:r>
          </w:p>
          <w:p w:rsidR="009774E3" w:rsidRPr="006757EB" w:rsidRDefault="009774E3" w:rsidP="009774E3">
            <w:pPr>
              <w:jc w:val="both"/>
              <w:rPr>
                <w:sz w:val="20"/>
                <w:lang w:val="fr-CA"/>
              </w:rPr>
            </w:pPr>
            <w:r w:rsidRPr="006757EB">
              <w:rPr>
                <w:sz w:val="20"/>
                <w:lang w:val="fr-CA"/>
              </w:rPr>
              <w:t>Cour suprême du Canada</w:t>
            </w: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La demande d’autorisation d’appel est déposée par M</w:t>
            </w:r>
            <w:r w:rsidRPr="006757EB">
              <w:rPr>
                <w:sz w:val="20"/>
                <w:vertAlign w:val="superscript"/>
                <w:lang w:val="fr-CA"/>
              </w:rPr>
              <w:t>me</w:t>
            </w:r>
            <w:r w:rsidRPr="006757EB">
              <w:rPr>
                <w:sz w:val="20"/>
                <w:lang w:val="fr-CA"/>
              </w:rPr>
              <w:t> Antonyuk</w:t>
            </w:r>
          </w:p>
        </w:tc>
      </w:tr>
    </w:tbl>
    <w:p w:rsidR="009774E3" w:rsidRPr="006757EB" w:rsidRDefault="009774E3" w:rsidP="009774E3">
      <w:pPr>
        <w:jc w:val="both"/>
        <w:rPr>
          <w:sz w:val="20"/>
          <w:lang w:val="fr-CA"/>
        </w:rPr>
      </w:pPr>
    </w:p>
    <w:p w:rsidR="009774E3" w:rsidRPr="006757EB" w:rsidRDefault="007336A5" w:rsidP="009774E3">
      <w:pPr>
        <w:jc w:val="both"/>
        <w:rPr>
          <w:sz w:val="20"/>
          <w:lang w:val="fr-CA"/>
        </w:rPr>
      </w:pPr>
      <w:r>
        <w:rPr>
          <w:sz w:val="20"/>
        </w:rPr>
        <w:pict>
          <v:rect id="_x0000_i1030" style="width:2in;height:1pt" o:hrpct="0" o:hralign="center" o:hrstd="t" o:hrnoshade="t" o:hr="t" fillcolor="black [3213]" stroked="f"/>
        </w:pict>
      </w:r>
    </w:p>
    <w:p w:rsidR="009774E3" w:rsidRPr="006757EB" w:rsidRDefault="009774E3" w:rsidP="009774E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271"/>
        <w:gridCol w:w="4500"/>
      </w:tblGrid>
      <w:tr w:rsidR="009774E3" w:rsidRPr="006757EB" w:rsidTr="009774E3">
        <w:tc>
          <w:tcPr>
            <w:tcW w:w="543" w:type="pct"/>
          </w:tcPr>
          <w:p w:rsidR="009774E3" w:rsidRPr="006757EB" w:rsidRDefault="009774E3" w:rsidP="009774E3">
            <w:pPr>
              <w:jc w:val="both"/>
              <w:rPr>
                <w:sz w:val="20"/>
              </w:rPr>
            </w:pPr>
            <w:r w:rsidRPr="006757EB">
              <w:rPr>
                <w:rStyle w:val="SCCFileNumberChar"/>
                <w:sz w:val="20"/>
                <w:szCs w:val="20"/>
              </w:rPr>
              <w:t>40021</w:t>
            </w:r>
          </w:p>
        </w:tc>
        <w:tc>
          <w:tcPr>
            <w:tcW w:w="4457" w:type="pct"/>
            <w:gridSpan w:val="3"/>
          </w:tcPr>
          <w:p w:rsidR="009774E3" w:rsidRPr="006757EB" w:rsidRDefault="009774E3" w:rsidP="009774E3">
            <w:pPr>
              <w:pStyle w:val="SCCLsocParty"/>
              <w:jc w:val="both"/>
              <w:rPr>
                <w:b/>
                <w:sz w:val="20"/>
                <w:szCs w:val="20"/>
                <w:lang w:val="en-US"/>
              </w:rPr>
            </w:pPr>
            <w:r w:rsidRPr="006757EB">
              <w:rPr>
                <w:b/>
                <w:sz w:val="20"/>
                <w:szCs w:val="20"/>
                <w:lang w:val="en-US"/>
              </w:rPr>
              <w:t>Paul Abi-Mansour v. Attorney General of Canada (Deputy Head of Fisheries and Ocean, DFO)</w:t>
            </w:r>
          </w:p>
          <w:p w:rsidR="009774E3" w:rsidRPr="006757EB" w:rsidRDefault="009774E3" w:rsidP="009774E3">
            <w:pPr>
              <w:pStyle w:val="SCCLsocSubfileSeparator"/>
              <w:rPr>
                <w:sz w:val="20"/>
                <w:szCs w:val="20"/>
              </w:rPr>
            </w:pPr>
            <w:r w:rsidRPr="006757EB">
              <w:rPr>
                <w:sz w:val="20"/>
                <w:szCs w:val="20"/>
              </w:rPr>
              <w:t>- and between -</w:t>
            </w:r>
          </w:p>
          <w:p w:rsidR="009774E3" w:rsidRPr="006757EB" w:rsidRDefault="009774E3" w:rsidP="009774E3">
            <w:pPr>
              <w:pStyle w:val="SCCLsocParty"/>
              <w:jc w:val="both"/>
              <w:rPr>
                <w:b/>
                <w:sz w:val="20"/>
                <w:szCs w:val="20"/>
                <w:lang w:val="en-US"/>
              </w:rPr>
            </w:pPr>
            <w:r w:rsidRPr="006757EB">
              <w:rPr>
                <w:b/>
                <w:sz w:val="20"/>
                <w:szCs w:val="20"/>
                <w:lang w:val="en-US"/>
              </w:rPr>
              <w:t>Paul Abi-Mansour v. Attorney General of Canada (Deputy Head of Justice)</w:t>
            </w:r>
          </w:p>
          <w:p w:rsidR="009774E3" w:rsidRPr="006757EB" w:rsidRDefault="009774E3" w:rsidP="009774E3">
            <w:pPr>
              <w:jc w:val="both"/>
              <w:rPr>
                <w:sz w:val="20"/>
              </w:rPr>
            </w:pPr>
            <w:r w:rsidRPr="006757EB">
              <w:rPr>
                <w:sz w:val="20"/>
              </w:rPr>
              <w:t>(F.C.) (Civil) (By Leave)</w:t>
            </w:r>
          </w:p>
        </w:tc>
      </w:tr>
      <w:tr w:rsidR="009774E3" w:rsidRPr="006757EB" w:rsidTr="009774E3">
        <w:tc>
          <w:tcPr>
            <w:tcW w:w="5000" w:type="pct"/>
            <w:gridSpan w:val="4"/>
          </w:tcPr>
          <w:p w:rsidR="009774E3" w:rsidRPr="006757EB" w:rsidRDefault="009774E3" w:rsidP="009774E3">
            <w:pPr>
              <w:jc w:val="both"/>
              <w:rPr>
                <w:sz w:val="20"/>
              </w:rPr>
            </w:pPr>
            <w:r w:rsidRPr="006757EB">
              <w:rPr>
                <w:sz w:val="20"/>
              </w:rPr>
              <w:t>Civil procedure — Costs — Appeals — Failure to pay security for costs — Whether the lower courts erred in ordering the applicant to post security for costs and in subsequently dismissing his applications for judicial review upon his failure to post costs.</w:t>
            </w:r>
          </w:p>
        </w:tc>
      </w:tr>
      <w:tr w:rsidR="009774E3" w:rsidRPr="006757EB" w:rsidTr="009774E3">
        <w:tc>
          <w:tcPr>
            <w:tcW w:w="5000" w:type="pct"/>
            <w:gridSpan w:val="4"/>
          </w:tcPr>
          <w:p w:rsidR="009774E3" w:rsidRPr="006757EB" w:rsidRDefault="009774E3" w:rsidP="009774E3">
            <w:pPr>
              <w:jc w:val="both"/>
              <w:rPr>
                <w:sz w:val="20"/>
              </w:rPr>
            </w:pPr>
          </w:p>
          <w:p w:rsidR="009774E3" w:rsidRPr="006757EB" w:rsidRDefault="009774E3" w:rsidP="009774E3">
            <w:pPr>
              <w:jc w:val="both"/>
              <w:rPr>
                <w:sz w:val="20"/>
              </w:rPr>
            </w:pPr>
            <w:r w:rsidRPr="006757EB">
              <w:rPr>
                <w:sz w:val="20"/>
              </w:rPr>
              <w:t xml:space="preserve">This leave application seeks leave to appeal two decisions by a Federal Court of Appeal judge granting an order for the applicant to post security for costs in two applications for judicial review from two staffing decisions by the Federal Public Service Labour Relations and Employment Board: </w:t>
            </w:r>
            <w:r w:rsidRPr="006757EB">
              <w:rPr>
                <w:i/>
                <w:sz w:val="20"/>
              </w:rPr>
              <w:t>Abi-Mansour v. Deputy Minister of Fisheries and Oceans</w:t>
            </w:r>
            <w:r w:rsidRPr="006757EB">
              <w:rPr>
                <w:sz w:val="20"/>
              </w:rPr>
              <w:t xml:space="preserve">, 2021 FPSLREB 3; and </w:t>
            </w:r>
            <w:r w:rsidRPr="006757EB">
              <w:rPr>
                <w:i/>
                <w:sz w:val="20"/>
              </w:rPr>
              <w:t>Abi-Mansour v. Deputy Minister of Justice</w:t>
            </w:r>
            <w:r w:rsidRPr="006757EB">
              <w:rPr>
                <w:sz w:val="20"/>
              </w:rPr>
              <w:t xml:space="preserve">, 2021 FPSLREB 16. The Court ordered the applicant to post $2,500 for each file within 30 days from the date of the Order, failing which the underlying application for judicial review could be dismissed without further notice. The applicant did not post costs but offered to deliver two smaller amounts, and sought leave to appeal to the Federal Court of Appeal. A panel of that court confirmed, </w:t>
            </w:r>
            <w:r w:rsidRPr="006757EB">
              <w:rPr>
                <w:i/>
                <w:sz w:val="20"/>
              </w:rPr>
              <w:t>inter alia</w:t>
            </w:r>
            <w:r w:rsidRPr="006757EB">
              <w:rPr>
                <w:sz w:val="20"/>
              </w:rPr>
              <w:t>, that an appeal from a decision of a single judge on a motion for security for costs must be brought to the Supreme Court of Canada. The Court also issued Orders dismissing the underlying applications for judicial review.</w:t>
            </w:r>
          </w:p>
          <w:p w:rsidR="009774E3" w:rsidRPr="006757EB" w:rsidRDefault="009774E3" w:rsidP="009774E3">
            <w:pPr>
              <w:jc w:val="both"/>
              <w:rPr>
                <w:sz w:val="20"/>
              </w:rPr>
            </w:pPr>
          </w:p>
          <w:p w:rsidR="009774E3" w:rsidRPr="006757EB" w:rsidRDefault="009774E3" w:rsidP="009774E3">
            <w:pPr>
              <w:jc w:val="both"/>
              <w:rPr>
                <w:sz w:val="20"/>
              </w:rPr>
            </w:pPr>
            <w:r w:rsidRPr="006757EB">
              <w:rPr>
                <w:sz w:val="20"/>
              </w:rPr>
              <w:t xml:space="preserve">The applicant seeks leave to appeal the July 20, 2021 and October 13, 2021 decisions, and also brings motions for an extension of time in which to serve and file his leave application, for an oral hearing, to join the file numbers, to semi-anonymize the style of cause, and to delay submission of the leave application pending the filing of another leave application. </w:t>
            </w:r>
          </w:p>
        </w:tc>
      </w:tr>
      <w:tr w:rsidR="009774E3" w:rsidRPr="006757EB" w:rsidTr="009774E3">
        <w:tc>
          <w:tcPr>
            <w:tcW w:w="5000" w:type="pct"/>
            <w:gridSpan w:val="4"/>
          </w:tcPr>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July 20, 2021</w:t>
            </w:r>
          </w:p>
          <w:p w:rsidR="009774E3" w:rsidRPr="006757EB" w:rsidRDefault="009774E3" w:rsidP="009774E3">
            <w:pPr>
              <w:jc w:val="both"/>
              <w:rPr>
                <w:sz w:val="20"/>
              </w:rPr>
            </w:pPr>
            <w:r w:rsidRPr="006757EB">
              <w:rPr>
                <w:sz w:val="20"/>
              </w:rPr>
              <w:t>Federal Court of Appeal</w:t>
            </w:r>
          </w:p>
          <w:p w:rsidR="009774E3" w:rsidRPr="006757EB" w:rsidRDefault="009774E3" w:rsidP="009774E3">
            <w:pPr>
              <w:jc w:val="both"/>
              <w:rPr>
                <w:sz w:val="20"/>
              </w:rPr>
            </w:pPr>
            <w:r w:rsidRPr="006757EB">
              <w:rPr>
                <w:sz w:val="20"/>
              </w:rPr>
              <w:t>(Near J.A.)</w:t>
            </w:r>
          </w:p>
          <w:p w:rsidR="009774E3" w:rsidRPr="006757EB" w:rsidRDefault="009774E3" w:rsidP="009774E3">
            <w:pPr>
              <w:jc w:val="both"/>
              <w:rPr>
                <w:sz w:val="20"/>
              </w:rPr>
            </w:pPr>
            <w:r w:rsidRPr="006757EB">
              <w:rPr>
                <w:sz w:val="20"/>
              </w:rPr>
              <w:t>A-56-21; A-79-21</w:t>
            </w:r>
          </w:p>
          <w:p w:rsidR="009774E3" w:rsidRPr="006757EB" w:rsidRDefault="009774E3" w:rsidP="009774E3">
            <w:pPr>
              <w:jc w:val="both"/>
              <w:rPr>
                <w:sz w:val="20"/>
              </w:rPr>
            </w:pPr>
          </w:p>
        </w:tc>
        <w:tc>
          <w:tcPr>
            <w:tcW w:w="146" w:type="pct"/>
          </w:tcPr>
          <w:p w:rsidR="009774E3" w:rsidRPr="006757EB" w:rsidRDefault="009774E3" w:rsidP="009774E3">
            <w:pPr>
              <w:jc w:val="both"/>
              <w:rPr>
                <w:sz w:val="20"/>
              </w:rPr>
            </w:pPr>
          </w:p>
        </w:tc>
        <w:tc>
          <w:tcPr>
            <w:tcW w:w="2427" w:type="pct"/>
          </w:tcPr>
          <w:p w:rsidR="009774E3" w:rsidRPr="006757EB" w:rsidRDefault="009774E3" w:rsidP="009774E3">
            <w:pPr>
              <w:jc w:val="both"/>
              <w:rPr>
                <w:sz w:val="20"/>
              </w:rPr>
            </w:pPr>
            <w:r w:rsidRPr="006757EB">
              <w:rPr>
                <w:sz w:val="20"/>
              </w:rPr>
              <w:t>Orders granting respondent’s motions requiring applicant to post security for costs; applicant ordered to pay amounts into court within 30 days, failing which his applications for judicial review would be dismissed.</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October 13, 2021</w:t>
            </w:r>
          </w:p>
          <w:p w:rsidR="009774E3" w:rsidRPr="006757EB" w:rsidRDefault="009774E3" w:rsidP="009774E3">
            <w:pPr>
              <w:jc w:val="both"/>
              <w:rPr>
                <w:sz w:val="20"/>
              </w:rPr>
            </w:pPr>
            <w:r w:rsidRPr="006757EB">
              <w:rPr>
                <w:sz w:val="20"/>
              </w:rPr>
              <w:t>Federal Court of Appeal</w:t>
            </w:r>
          </w:p>
          <w:p w:rsidR="009774E3" w:rsidRPr="006757EB" w:rsidRDefault="009774E3" w:rsidP="009774E3">
            <w:pPr>
              <w:jc w:val="both"/>
              <w:rPr>
                <w:sz w:val="20"/>
              </w:rPr>
            </w:pPr>
            <w:r w:rsidRPr="006757EB">
              <w:rPr>
                <w:sz w:val="20"/>
              </w:rPr>
              <w:t>(Stratas, Locke and Monaghan JJ.A.)</w:t>
            </w:r>
          </w:p>
          <w:p w:rsidR="009774E3" w:rsidRPr="006757EB" w:rsidRDefault="009774E3" w:rsidP="009774E3">
            <w:pPr>
              <w:jc w:val="both"/>
              <w:rPr>
                <w:sz w:val="20"/>
              </w:rPr>
            </w:pPr>
            <w:r w:rsidRPr="006757EB">
              <w:rPr>
                <w:sz w:val="20"/>
              </w:rPr>
              <w:t xml:space="preserve">A-56-21; A-79-21 </w:t>
            </w:r>
          </w:p>
          <w:p w:rsidR="009774E3" w:rsidRPr="006757EB" w:rsidRDefault="009774E3" w:rsidP="009774E3">
            <w:pPr>
              <w:jc w:val="both"/>
              <w:rPr>
                <w:sz w:val="20"/>
              </w:rPr>
            </w:pPr>
          </w:p>
        </w:tc>
        <w:tc>
          <w:tcPr>
            <w:tcW w:w="146" w:type="pct"/>
          </w:tcPr>
          <w:p w:rsidR="009774E3" w:rsidRPr="006757EB" w:rsidRDefault="009774E3" w:rsidP="009774E3">
            <w:pPr>
              <w:jc w:val="both"/>
              <w:rPr>
                <w:sz w:val="20"/>
              </w:rPr>
            </w:pPr>
          </w:p>
        </w:tc>
        <w:tc>
          <w:tcPr>
            <w:tcW w:w="2427" w:type="pct"/>
          </w:tcPr>
          <w:p w:rsidR="009774E3" w:rsidRPr="006757EB" w:rsidRDefault="009774E3" w:rsidP="009774E3">
            <w:pPr>
              <w:jc w:val="both"/>
              <w:rPr>
                <w:sz w:val="20"/>
              </w:rPr>
            </w:pPr>
            <w:r w:rsidRPr="006757EB">
              <w:rPr>
                <w:sz w:val="20"/>
              </w:rPr>
              <w:t>Orders granted dismissing applicant’s applications for judicial review.</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December 24, 2021</w:t>
            </w:r>
          </w:p>
          <w:p w:rsidR="009774E3" w:rsidRPr="006757EB" w:rsidRDefault="009774E3" w:rsidP="009774E3">
            <w:pPr>
              <w:jc w:val="both"/>
              <w:rPr>
                <w:sz w:val="20"/>
              </w:rPr>
            </w:pPr>
            <w:r w:rsidRPr="006757EB">
              <w:rPr>
                <w:sz w:val="20"/>
              </w:rPr>
              <w:t>Supreme Court of Canada</w:t>
            </w:r>
          </w:p>
          <w:p w:rsidR="009774E3" w:rsidRPr="006757EB" w:rsidRDefault="009774E3" w:rsidP="009774E3">
            <w:pPr>
              <w:jc w:val="both"/>
              <w:rPr>
                <w:sz w:val="20"/>
              </w:rPr>
            </w:pPr>
          </w:p>
        </w:tc>
        <w:tc>
          <w:tcPr>
            <w:tcW w:w="146" w:type="pct"/>
          </w:tcPr>
          <w:p w:rsidR="009774E3" w:rsidRPr="006757EB" w:rsidRDefault="009774E3" w:rsidP="009774E3">
            <w:pPr>
              <w:jc w:val="both"/>
              <w:rPr>
                <w:sz w:val="20"/>
              </w:rPr>
            </w:pPr>
          </w:p>
        </w:tc>
        <w:tc>
          <w:tcPr>
            <w:tcW w:w="2427" w:type="pct"/>
          </w:tcPr>
          <w:p w:rsidR="009774E3" w:rsidRPr="006757EB" w:rsidRDefault="009774E3" w:rsidP="009774E3">
            <w:pPr>
              <w:jc w:val="both"/>
              <w:rPr>
                <w:sz w:val="20"/>
              </w:rPr>
            </w:pPr>
            <w:r w:rsidRPr="006757EB">
              <w:rPr>
                <w:sz w:val="20"/>
              </w:rPr>
              <w:t>Motions, including motion for an extension of time and application for leave to appeal filed.</w:t>
            </w:r>
          </w:p>
        </w:tc>
      </w:tr>
      <w:tr w:rsidR="009774E3" w:rsidRPr="006757EB" w:rsidTr="009774E3">
        <w:tc>
          <w:tcPr>
            <w:tcW w:w="2427" w:type="pct"/>
            <w:gridSpan w:val="2"/>
          </w:tcPr>
          <w:p w:rsidR="009774E3" w:rsidRPr="006757EB" w:rsidRDefault="009774E3" w:rsidP="009774E3">
            <w:pPr>
              <w:jc w:val="both"/>
              <w:rPr>
                <w:sz w:val="20"/>
              </w:rPr>
            </w:pPr>
            <w:r w:rsidRPr="006757EB">
              <w:rPr>
                <w:sz w:val="20"/>
              </w:rPr>
              <w:t>April 26, 2022</w:t>
            </w:r>
          </w:p>
          <w:p w:rsidR="009774E3" w:rsidRPr="006757EB" w:rsidRDefault="009774E3" w:rsidP="009774E3">
            <w:pPr>
              <w:jc w:val="both"/>
              <w:rPr>
                <w:sz w:val="20"/>
              </w:rPr>
            </w:pPr>
            <w:r w:rsidRPr="006757EB">
              <w:rPr>
                <w:sz w:val="20"/>
              </w:rPr>
              <w:t>Supreme Court of Canada</w:t>
            </w:r>
          </w:p>
        </w:tc>
        <w:tc>
          <w:tcPr>
            <w:tcW w:w="146" w:type="pct"/>
          </w:tcPr>
          <w:p w:rsidR="009774E3" w:rsidRPr="006757EB" w:rsidRDefault="009774E3" w:rsidP="009774E3">
            <w:pPr>
              <w:jc w:val="both"/>
              <w:rPr>
                <w:sz w:val="20"/>
              </w:rPr>
            </w:pPr>
          </w:p>
        </w:tc>
        <w:tc>
          <w:tcPr>
            <w:tcW w:w="2427" w:type="pct"/>
          </w:tcPr>
          <w:p w:rsidR="009774E3" w:rsidRPr="006757EB" w:rsidRDefault="009774E3" w:rsidP="009774E3">
            <w:pPr>
              <w:jc w:val="both"/>
              <w:rPr>
                <w:sz w:val="20"/>
              </w:rPr>
            </w:pPr>
            <w:r w:rsidRPr="006757EB">
              <w:rPr>
                <w:sz w:val="20"/>
              </w:rPr>
              <w:t>Motion to hold file 40021 in abeyance pending filing of another application for leave to appeal.</w:t>
            </w:r>
          </w:p>
        </w:tc>
      </w:tr>
    </w:tbl>
    <w:p w:rsidR="009774E3" w:rsidRPr="006757EB" w:rsidRDefault="009774E3" w:rsidP="009774E3">
      <w:pPr>
        <w:jc w:val="both"/>
        <w:rPr>
          <w:sz w:val="20"/>
        </w:rPr>
      </w:pPr>
    </w:p>
    <w:p w:rsidR="009774E3" w:rsidRPr="006757EB" w:rsidRDefault="007336A5" w:rsidP="009774E3">
      <w:pPr>
        <w:jc w:val="both"/>
        <w:rPr>
          <w:sz w:val="20"/>
        </w:rPr>
      </w:pPr>
      <w:r>
        <w:rPr>
          <w:sz w:val="20"/>
        </w:rPr>
        <w:pict>
          <v:rect id="_x0000_i1031" style="width:2in;height:1pt" o:hrpct="0" o:hralign="center" o:hrstd="t" o:hrnoshade="t" o:hr="t" fillcolor="black [3213]" stroked="f"/>
        </w:pict>
      </w:r>
    </w:p>
    <w:p w:rsidR="009774E3" w:rsidRPr="006757EB" w:rsidRDefault="009774E3" w:rsidP="009774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271"/>
        <w:gridCol w:w="4500"/>
      </w:tblGrid>
      <w:tr w:rsidR="009774E3" w:rsidRPr="007336A5" w:rsidTr="009774E3">
        <w:tc>
          <w:tcPr>
            <w:tcW w:w="543" w:type="pct"/>
          </w:tcPr>
          <w:p w:rsidR="009774E3" w:rsidRPr="006757EB" w:rsidRDefault="009774E3" w:rsidP="009774E3">
            <w:pPr>
              <w:jc w:val="both"/>
              <w:rPr>
                <w:sz w:val="20"/>
                <w:lang w:val="fr-CA"/>
              </w:rPr>
            </w:pPr>
            <w:r w:rsidRPr="006757EB">
              <w:rPr>
                <w:rStyle w:val="SCCFileNumberChar"/>
                <w:sz w:val="20"/>
                <w:szCs w:val="20"/>
                <w:lang w:val="fr-CA"/>
              </w:rPr>
              <w:t>40021</w:t>
            </w:r>
          </w:p>
        </w:tc>
        <w:tc>
          <w:tcPr>
            <w:tcW w:w="4457" w:type="pct"/>
            <w:gridSpan w:val="3"/>
          </w:tcPr>
          <w:p w:rsidR="009774E3" w:rsidRPr="006757EB" w:rsidRDefault="009774E3" w:rsidP="009774E3">
            <w:pPr>
              <w:pStyle w:val="SCCLsocParty"/>
              <w:jc w:val="both"/>
              <w:rPr>
                <w:b/>
                <w:sz w:val="20"/>
                <w:szCs w:val="20"/>
              </w:rPr>
            </w:pPr>
            <w:r w:rsidRPr="006757EB">
              <w:rPr>
                <w:b/>
                <w:sz w:val="20"/>
                <w:szCs w:val="20"/>
              </w:rPr>
              <w:t>Paul Abi-Mansour c. Procureur général du Canada (administrateur général du ministère des Pêches et des Océans)</w:t>
            </w:r>
          </w:p>
          <w:p w:rsidR="009774E3" w:rsidRPr="006757EB" w:rsidRDefault="009774E3" w:rsidP="009774E3">
            <w:pPr>
              <w:pStyle w:val="SCCLsocSubfileSeparator"/>
              <w:rPr>
                <w:sz w:val="20"/>
                <w:szCs w:val="20"/>
                <w:lang w:val="fr-CA"/>
              </w:rPr>
            </w:pPr>
            <w:r w:rsidRPr="006757EB">
              <w:rPr>
                <w:sz w:val="20"/>
                <w:szCs w:val="20"/>
                <w:lang w:val="fr-CA"/>
              </w:rPr>
              <w:t>- et entre -</w:t>
            </w:r>
          </w:p>
          <w:p w:rsidR="009774E3" w:rsidRPr="006757EB" w:rsidRDefault="009774E3" w:rsidP="009774E3">
            <w:pPr>
              <w:pStyle w:val="SCCLsocParty"/>
              <w:jc w:val="both"/>
              <w:rPr>
                <w:b/>
                <w:sz w:val="20"/>
                <w:szCs w:val="20"/>
              </w:rPr>
            </w:pPr>
            <w:r w:rsidRPr="006757EB">
              <w:rPr>
                <w:b/>
                <w:sz w:val="20"/>
                <w:szCs w:val="20"/>
              </w:rPr>
              <w:t>Paul Abi-Mansour c. Procureur général du Canada (administrateur général du ministère de la Justice)</w:t>
            </w:r>
          </w:p>
          <w:p w:rsidR="009774E3" w:rsidRPr="006757EB" w:rsidRDefault="009774E3" w:rsidP="009774E3">
            <w:pPr>
              <w:jc w:val="both"/>
              <w:rPr>
                <w:sz w:val="20"/>
                <w:lang w:val="fr-CA"/>
              </w:rPr>
            </w:pPr>
            <w:r w:rsidRPr="006757EB">
              <w:rPr>
                <w:sz w:val="20"/>
                <w:lang w:val="fr-CA"/>
              </w:rPr>
              <w:t>(C.F.) (Civile) (Sur autorisation)</w:t>
            </w:r>
          </w:p>
        </w:tc>
      </w:tr>
      <w:tr w:rsidR="009774E3" w:rsidRPr="007336A5" w:rsidTr="009774E3">
        <w:tc>
          <w:tcPr>
            <w:tcW w:w="5000" w:type="pct"/>
            <w:gridSpan w:val="4"/>
          </w:tcPr>
          <w:p w:rsidR="009774E3" w:rsidRPr="006757EB" w:rsidRDefault="009774E3" w:rsidP="009774E3">
            <w:pPr>
              <w:jc w:val="both"/>
              <w:rPr>
                <w:sz w:val="20"/>
                <w:lang w:val="fr-CA"/>
              </w:rPr>
            </w:pPr>
            <w:r w:rsidRPr="006757EB">
              <w:rPr>
                <w:sz w:val="20"/>
                <w:lang w:val="fr-CA"/>
              </w:rPr>
              <w:t>Procédure civile — Dépens — Appels — Défaut de verser le cautionnement pour dépens — Les juridictions inférieures ont</w:t>
            </w:r>
            <w:r w:rsidRPr="006757EB">
              <w:rPr>
                <w:sz w:val="20"/>
                <w:lang w:val="fr-CA"/>
              </w:rPr>
              <w:noBreakHyphen/>
              <w:t>elles eu tort d’ordonner au demandeur de verser un cautionnement pour dépens et de rejeter subséquemment ses demandes de contrôle judiciaire par suite de son défaut de verser les dépens?</w:t>
            </w:r>
          </w:p>
        </w:tc>
      </w:tr>
      <w:tr w:rsidR="009774E3" w:rsidRPr="007336A5" w:rsidTr="009774E3">
        <w:tc>
          <w:tcPr>
            <w:tcW w:w="5000" w:type="pct"/>
            <w:gridSpan w:val="4"/>
          </w:tcPr>
          <w:p w:rsidR="009774E3" w:rsidRPr="006757EB" w:rsidRDefault="009774E3" w:rsidP="009774E3">
            <w:pPr>
              <w:jc w:val="both"/>
              <w:rPr>
                <w:sz w:val="20"/>
                <w:lang w:val="fr-CA"/>
              </w:rPr>
            </w:pPr>
          </w:p>
          <w:p w:rsidR="009774E3" w:rsidRPr="006757EB" w:rsidRDefault="009774E3" w:rsidP="009774E3">
            <w:pPr>
              <w:jc w:val="both"/>
              <w:rPr>
                <w:sz w:val="20"/>
                <w:lang w:val="fr-CA"/>
              </w:rPr>
            </w:pPr>
            <w:r w:rsidRPr="006757EB">
              <w:rPr>
                <w:sz w:val="20"/>
                <w:lang w:val="fr-CA"/>
              </w:rPr>
              <w:t xml:space="preserve">La présente demande vise à obtenir l’autorisation d’interjeter appel de deux décisions par lesquelles un juge de la Cour d’appel fédérale a ordonné au demandeur de verser un cautionnement pour les dépens dans deux demandes de contrôle judiciaire relatives à deux décisions de dotation rendues par la Commission des relations de travail et de l’emploi dans le secteur public fédéral : </w:t>
            </w:r>
            <w:r w:rsidRPr="006757EB">
              <w:rPr>
                <w:i/>
                <w:sz w:val="20"/>
                <w:lang w:val="fr-CA"/>
              </w:rPr>
              <w:t>Abi</w:t>
            </w:r>
            <w:r w:rsidRPr="006757EB">
              <w:rPr>
                <w:i/>
                <w:sz w:val="20"/>
                <w:lang w:val="fr-CA"/>
              </w:rPr>
              <w:noBreakHyphen/>
              <w:t>Mansour c. Sous</w:t>
            </w:r>
            <w:r w:rsidRPr="006757EB">
              <w:rPr>
                <w:i/>
                <w:sz w:val="20"/>
                <w:lang w:val="fr-CA"/>
              </w:rPr>
              <w:noBreakHyphen/>
              <w:t>ministre des Pêches et des Océans</w:t>
            </w:r>
            <w:r w:rsidRPr="006757EB">
              <w:rPr>
                <w:sz w:val="20"/>
                <w:lang w:val="fr-CA"/>
              </w:rPr>
              <w:t xml:space="preserve">, 2021 CRTESPF 3, et </w:t>
            </w:r>
            <w:r w:rsidRPr="006757EB">
              <w:rPr>
                <w:i/>
                <w:sz w:val="20"/>
                <w:lang w:val="fr-CA"/>
              </w:rPr>
              <w:t>Abi</w:t>
            </w:r>
            <w:r w:rsidRPr="006757EB">
              <w:rPr>
                <w:i/>
                <w:sz w:val="20"/>
                <w:lang w:val="fr-CA"/>
              </w:rPr>
              <w:noBreakHyphen/>
              <w:t>Mansour c. Sous</w:t>
            </w:r>
            <w:r w:rsidRPr="006757EB">
              <w:rPr>
                <w:i/>
                <w:sz w:val="20"/>
                <w:lang w:val="fr-CA"/>
              </w:rPr>
              <w:noBreakHyphen/>
              <w:t>ministre de la Justice</w:t>
            </w:r>
            <w:r w:rsidRPr="006757EB">
              <w:rPr>
                <w:sz w:val="20"/>
                <w:lang w:val="fr-CA"/>
              </w:rPr>
              <w:t xml:space="preserve">, 2021 CRTESPF 16. La Cour a ordonné au demandeur de verser un cautionnement pour les dépens de 2 500 $ pour chaque dossier dans les 30 jours suivant la date de l’ordonnance, faute de quoi la demande de contrôle judiciaire principale pouvait être rejetée sans autre avis. Le demandeur n’a pas versé les dépens, mais a offert de payer deux sommes inférieures et a sollicité l’autorisation d’interjeter appel devant la Cour d’appel fédérale. Une formation de la Cour d’appel fédérale a confirmé, notamment, que l’appel d’une décision rendue par un juge seul à l’égard d’une requête en cautionnement pour dépens doit être porté devant la Cour suprême du Canada. La Cour a également rendu des ordonnances rejetant les demandes de contrôle judiciaire principales. </w:t>
            </w:r>
          </w:p>
          <w:p w:rsidR="009774E3" w:rsidRPr="006757EB" w:rsidRDefault="009774E3" w:rsidP="009774E3">
            <w:pPr>
              <w:jc w:val="both"/>
              <w:rPr>
                <w:sz w:val="20"/>
                <w:lang w:val="fr-CA"/>
              </w:rPr>
            </w:pPr>
          </w:p>
          <w:p w:rsidR="009774E3" w:rsidRPr="006757EB" w:rsidRDefault="009774E3" w:rsidP="009774E3">
            <w:pPr>
              <w:jc w:val="both"/>
              <w:rPr>
                <w:sz w:val="20"/>
                <w:lang w:val="fr-CA"/>
              </w:rPr>
            </w:pPr>
            <w:r w:rsidRPr="006757EB">
              <w:rPr>
                <w:sz w:val="20"/>
                <w:lang w:val="fr-CA"/>
              </w:rPr>
              <w:t xml:space="preserve">Le demandeur sollicite l’autorisation d’interjeter appel des décisions du 20 juillet 2021 et du 13 octobre 2021 et présente également des requêtes en vue d’obtenir une prorogation du délai de signification et de dépôt de sa demande d’autorisation, la tenue d’une audience, la jonction des dossiers, l’anonymisation partielle de l’intitulé de la cause et le report de la présentation de la demande d’autorisation jusqu’au dépôt d’une autre demande d’autorisation. </w:t>
            </w:r>
          </w:p>
        </w:tc>
      </w:tr>
      <w:tr w:rsidR="009774E3" w:rsidRPr="007336A5" w:rsidTr="009774E3">
        <w:tc>
          <w:tcPr>
            <w:tcW w:w="5000" w:type="pct"/>
            <w:gridSpan w:val="4"/>
          </w:tcPr>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20 juillet 2021</w:t>
            </w:r>
          </w:p>
          <w:p w:rsidR="009774E3" w:rsidRPr="006757EB" w:rsidRDefault="009774E3" w:rsidP="009774E3">
            <w:pPr>
              <w:jc w:val="both"/>
              <w:rPr>
                <w:sz w:val="20"/>
                <w:lang w:val="fr-CA"/>
              </w:rPr>
            </w:pPr>
            <w:r w:rsidRPr="006757EB">
              <w:rPr>
                <w:sz w:val="20"/>
                <w:lang w:val="fr-CA"/>
              </w:rPr>
              <w:t>Cour d’appel fédérale</w:t>
            </w:r>
          </w:p>
          <w:p w:rsidR="009774E3" w:rsidRPr="006757EB" w:rsidRDefault="009774E3" w:rsidP="009774E3">
            <w:pPr>
              <w:jc w:val="both"/>
              <w:rPr>
                <w:sz w:val="20"/>
                <w:lang w:val="fr-CA"/>
              </w:rPr>
            </w:pPr>
            <w:r w:rsidRPr="006757EB">
              <w:rPr>
                <w:sz w:val="20"/>
                <w:lang w:val="fr-CA"/>
              </w:rPr>
              <w:t>(juge Near)</w:t>
            </w:r>
          </w:p>
          <w:p w:rsidR="009774E3" w:rsidRPr="006757EB" w:rsidRDefault="009774E3" w:rsidP="009774E3">
            <w:pPr>
              <w:jc w:val="both"/>
              <w:rPr>
                <w:sz w:val="20"/>
                <w:lang w:val="fr-CA"/>
              </w:rPr>
            </w:pPr>
            <w:r w:rsidRPr="006757EB">
              <w:rPr>
                <w:sz w:val="20"/>
                <w:lang w:val="fr-CA"/>
              </w:rPr>
              <w:t>A-56-21; A-79-21</w:t>
            </w:r>
          </w:p>
          <w:p w:rsidR="009774E3" w:rsidRPr="006757EB" w:rsidRDefault="009774E3" w:rsidP="009774E3">
            <w:pPr>
              <w:jc w:val="both"/>
              <w:rPr>
                <w:sz w:val="20"/>
                <w:lang w:val="fr-CA"/>
              </w:rPr>
            </w:pPr>
          </w:p>
        </w:tc>
        <w:tc>
          <w:tcPr>
            <w:tcW w:w="146" w:type="pct"/>
          </w:tcPr>
          <w:p w:rsidR="009774E3" w:rsidRPr="006757EB" w:rsidRDefault="009774E3" w:rsidP="009774E3">
            <w:pPr>
              <w:jc w:val="both"/>
              <w:rPr>
                <w:sz w:val="20"/>
                <w:lang w:val="fr-CA"/>
              </w:rPr>
            </w:pPr>
          </w:p>
        </w:tc>
        <w:tc>
          <w:tcPr>
            <w:tcW w:w="2427" w:type="pct"/>
          </w:tcPr>
          <w:p w:rsidR="009774E3" w:rsidRPr="006757EB" w:rsidRDefault="009774E3" w:rsidP="009774E3">
            <w:pPr>
              <w:jc w:val="both"/>
              <w:rPr>
                <w:sz w:val="20"/>
                <w:lang w:val="fr-CA"/>
              </w:rPr>
            </w:pPr>
            <w:r w:rsidRPr="006757EB">
              <w:rPr>
                <w:sz w:val="20"/>
                <w:lang w:val="fr-CA"/>
              </w:rPr>
              <w:t>Ordonnances accueillant les requêtes de l’intimé et enjoignant au demandeur de verser un cautionnement pour les dépens; le demandeur a été sommé de déposer les sommes d’argent auprès du tribunal dans un délai de 30 jours, faute de quoi ses demandes de contrôle judiciaire seraient rejetées.</w:t>
            </w:r>
          </w:p>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13 octobre 2021</w:t>
            </w:r>
          </w:p>
          <w:p w:rsidR="009774E3" w:rsidRPr="006757EB" w:rsidRDefault="009774E3" w:rsidP="009774E3">
            <w:pPr>
              <w:jc w:val="both"/>
              <w:rPr>
                <w:sz w:val="20"/>
                <w:lang w:val="fr-CA"/>
              </w:rPr>
            </w:pPr>
            <w:r w:rsidRPr="006757EB">
              <w:rPr>
                <w:sz w:val="20"/>
                <w:lang w:val="fr-CA"/>
              </w:rPr>
              <w:t>Cour d’appel fédérale</w:t>
            </w:r>
          </w:p>
          <w:p w:rsidR="009774E3" w:rsidRPr="006757EB" w:rsidRDefault="009774E3" w:rsidP="009774E3">
            <w:pPr>
              <w:jc w:val="both"/>
              <w:rPr>
                <w:sz w:val="20"/>
                <w:lang w:val="fr-CA"/>
              </w:rPr>
            </w:pPr>
            <w:r w:rsidRPr="006757EB">
              <w:rPr>
                <w:sz w:val="20"/>
                <w:lang w:val="fr-CA"/>
              </w:rPr>
              <w:t>(juges Stratas, Locke et Monaghan)</w:t>
            </w:r>
          </w:p>
          <w:p w:rsidR="009774E3" w:rsidRPr="006757EB" w:rsidRDefault="009774E3" w:rsidP="009774E3">
            <w:pPr>
              <w:jc w:val="both"/>
              <w:rPr>
                <w:sz w:val="20"/>
                <w:lang w:val="fr-CA"/>
              </w:rPr>
            </w:pPr>
            <w:r w:rsidRPr="006757EB">
              <w:rPr>
                <w:sz w:val="20"/>
                <w:lang w:val="fr-CA"/>
              </w:rPr>
              <w:t xml:space="preserve">A-56-21; A-79-21 </w:t>
            </w:r>
          </w:p>
          <w:p w:rsidR="009774E3" w:rsidRPr="006757EB" w:rsidRDefault="009774E3" w:rsidP="009774E3">
            <w:pPr>
              <w:jc w:val="both"/>
              <w:rPr>
                <w:sz w:val="20"/>
                <w:lang w:val="fr-CA"/>
              </w:rPr>
            </w:pPr>
          </w:p>
        </w:tc>
        <w:tc>
          <w:tcPr>
            <w:tcW w:w="146" w:type="pct"/>
          </w:tcPr>
          <w:p w:rsidR="009774E3" w:rsidRPr="006757EB" w:rsidRDefault="009774E3" w:rsidP="009774E3">
            <w:pPr>
              <w:jc w:val="both"/>
              <w:rPr>
                <w:sz w:val="20"/>
                <w:lang w:val="fr-CA"/>
              </w:rPr>
            </w:pPr>
          </w:p>
        </w:tc>
        <w:tc>
          <w:tcPr>
            <w:tcW w:w="2427" w:type="pct"/>
          </w:tcPr>
          <w:p w:rsidR="009774E3" w:rsidRPr="006757EB" w:rsidRDefault="009774E3" w:rsidP="009774E3">
            <w:pPr>
              <w:jc w:val="both"/>
              <w:rPr>
                <w:sz w:val="20"/>
                <w:lang w:val="fr-CA"/>
              </w:rPr>
            </w:pPr>
            <w:r w:rsidRPr="006757EB">
              <w:rPr>
                <w:sz w:val="20"/>
                <w:lang w:val="fr-CA"/>
              </w:rPr>
              <w:t>Ordonnances rejetant les demandes de contrôle judiciaire du demandeur.</w:t>
            </w:r>
          </w:p>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24 décembre 2021</w:t>
            </w:r>
          </w:p>
          <w:p w:rsidR="009774E3" w:rsidRPr="006757EB" w:rsidRDefault="009774E3" w:rsidP="009774E3">
            <w:pPr>
              <w:jc w:val="both"/>
              <w:rPr>
                <w:sz w:val="20"/>
                <w:lang w:val="fr-CA"/>
              </w:rPr>
            </w:pPr>
            <w:r w:rsidRPr="006757EB">
              <w:rPr>
                <w:sz w:val="20"/>
                <w:lang w:val="fr-CA"/>
              </w:rPr>
              <w:t>Cour suprême du Canada</w:t>
            </w:r>
          </w:p>
          <w:p w:rsidR="009774E3" w:rsidRPr="006757EB" w:rsidRDefault="009774E3" w:rsidP="009774E3">
            <w:pPr>
              <w:jc w:val="both"/>
              <w:rPr>
                <w:sz w:val="20"/>
                <w:lang w:val="fr-CA"/>
              </w:rPr>
            </w:pPr>
          </w:p>
        </w:tc>
        <w:tc>
          <w:tcPr>
            <w:tcW w:w="146" w:type="pct"/>
          </w:tcPr>
          <w:p w:rsidR="009774E3" w:rsidRPr="006757EB" w:rsidRDefault="009774E3" w:rsidP="009774E3">
            <w:pPr>
              <w:jc w:val="both"/>
              <w:rPr>
                <w:sz w:val="20"/>
                <w:lang w:val="fr-CA"/>
              </w:rPr>
            </w:pPr>
          </w:p>
        </w:tc>
        <w:tc>
          <w:tcPr>
            <w:tcW w:w="2427" w:type="pct"/>
          </w:tcPr>
          <w:p w:rsidR="009774E3" w:rsidRPr="006757EB" w:rsidRDefault="009774E3" w:rsidP="009774E3">
            <w:pPr>
              <w:jc w:val="both"/>
              <w:rPr>
                <w:sz w:val="20"/>
                <w:lang w:val="fr-CA"/>
              </w:rPr>
            </w:pPr>
            <w:r w:rsidRPr="006757EB">
              <w:rPr>
                <w:sz w:val="20"/>
                <w:lang w:val="fr-CA"/>
              </w:rPr>
              <w:t>Dépôt des requêtes, y compris une requête en prorogation de délai et une demande d’autorisation d’appel.</w:t>
            </w: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26 avril 2022</w:t>
            </w:r>
          </w:p>
          <w:p w:rsidR="009774E3" w:rsidRPr="006757EB" w:rsidRDefault="009774E3" w:rsidP="009774E3">
            <w:pPr>
              <w:jc w:val="both"/>
              <w:rPr>
                <w:sz w:val="20"/>
                <w:lang w:val="fr-CA"/>
              </w:rPr>
            </w:pPr>
            <w:r w:rsidRPr="006757EB">
              <w:rPr>
                <w:sz w:val="20"/>
                <w:lang w:val="fr-CA"/>
              </w:rPr>
              <w:t>Cour suprême du Canada</w:t>
            </w:r>
          </w:p>
        </w:tc>
        <w:tc>
          <w:tcPr>
            <w:tcW w:w="146" w:type="pct"/>
          </w:tcPr>
          <w:p w:rsidR="009774E3" w:rsidRPr="006757EB" w:rsidRDefault="009774E3" w:rsidP="009774E3">
            <w:pPr>
              <w:jc w:val="both"/>
              <w:rPr>
                <w:sz w:val="20"/>
                <w:lang w:val="fr-CA"/>
              </w:rPr>
            </w:pPr>
          </w:p>
        </w:tc>
        <w:tc>
          <w:tcPr>
            <w:tcW w:w="2427" w:type="pct"/>
          </w:tcPr>
          <w:p w:rsidR="009774E3" w:rsidRPr="006757EB" w:rsidRDefault="009774E3" w:rsidP="009774E3">
            <w:pPr>
              <w:jc w:val="both"/>
              <w:rPr>
                <w:sz w:val="20"/>
                <w:lang w:val="fr-CA"/>
              </w:rPr>
            </w:pPr>
            <w:r w:rsidRPr="006757EB">
              <w:rPr>
                <w:sz w:val="20"/>
                <w:lang w:val="fr-CA"/>
              </w:rPr>
              <w:t>Requête en suspension du dossier 40021 jusqu’au dépôt d’une autre demande d’autorisation d’appel.</w:t>
            </w:r>
          </w:p>
        </w:tc>
      </w:tr>
    </w:tbl>
    <w:p w:rsidR="009774E3" w:rsidRPr="006757EB" w:rsidRDefault="009774E3" w:rsidP="009774E3">
      <w:pPr>
        <w:jc w:val="both"/>
        <w:rPr>
          <w:sz w:val="20"/>
          <w:lang w:val="fr-CA"/>
        </w:rPr>
      </w:pPr>
    </w:p>
    <w:p w:rsidR="009774E3" w:rsidRPr="006757EB" w:rsidRDefault="007336A5" w:rsidP="009774E3">
      <w:pPr>
        <w:jc w:val="both"/>
        <w:rPr>
          <w:sz w:val="20"/>
          <w:lang w:val="fr-CA"/>
        </w:rPr>
      </w:pPr>
      <w:r>
        <w:rPr>
          <w:sz w:val="20"/>
        </w:rPr>
        <w:pict>
          <v:rect id="_x0000_i1032" style="width:2in;height:1pt" o:hrpct="0" o:hralign="center" o:hrstd="t" o:hrnoshade="t" o:hr="t" fillcolor="black [3213]" stroked="f"/>
        </w:pict>
      </w:r>
    </w:p>
    <w:p w:rsidR="009774E3" w:rsidRPr="006757EB" w:rsidRDefault="009774E3" w:rsidP="009774E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6757EB" w:rsidTr="009774E3">
        <w:tc>
          <w:tcPr>
            <w:tcW w:w="543" w:type="pct"/>
          </w:tcPr>
          <w:p w:rsidR="009774E3" w:rsidRPr="006757EB" w:rsidRDefault="009774E3" w:rsidP="009774E3">
            <w:pPr>
              <w:jc w:val="both"/>
              <w:rPr>
                <w:sz w:val="20"/>
              </w:rPr>
            </w:pPr>
            <w:r w:rsidRPr="006757EB">
              <w:rPr>
                <w:rStyle w:val="SCCFileNumberChar"/>
                <w:sz w:val="20"/>
                <w:szCs w:val="20"/>
              </w:rPr>
              <w:t>40138</w:t>
            </w:r>
          </w:p>
        </w:tc>
        <w:tc>
          <w:tcPr>
            <w:tcW w:w="4457" w:type="pct"/>
            <w:gridSpan w:val="3"/>
          </w:tcPr>
          <w:p w:rsidR="009774E3" w:rsidRPr="006757EB" w:rsidRDefault="009774E3" w:rsidP="009774E3">
            <w:pPr>
              <w:pStyle w:val="SCCLsocParty"/>
              <w:jc w:val="both"/>
              <w:rPr>
                <w:b/>
                <w:sz w:val="20"/>
                <w:szCs w:val="20"/>
                <w:lang w:val="en-US"/>
              </w:rPr>
            </w:pPr>
            <w:r w:rsidRPr="006757EB">
              <w:rPr>
                <w:b/>
                <w:sz w:val="20"/>
                <w:szCs w:val="20"/>
                <w:lang w:val="en-US"/>
              </w:rPr>
              <w:t>UD Trading Group Holding Pte. Limited, UIL Singapore Pte. Limited, UIL Malaysia Limited, UIL Commodities DMCC, Vadox Corp., Prateek Gupta v. TransAsia Private Capital Limited, TA Private Capital Security Agent Ltd., Rutmet Inc., Export Development Canada</w:t>
            </w:r>
          </w:p>
          <w:p w:rsidR="009774E3" w:rsidRPr="006757EB" w:rsidRDefault="009774E3" w:rsidP="009774E3">
            <w:pPr>
              <w:jc w:val="both"/>
              <w:rPr>
                <w:sz w:val="20"/>
              </w:rPr>
            </w:pPr>
            <w:r w:rsidRPr="006757EB">
              <w:rPr>
                <w:sz w:val="20"/>
              </w:rPr>
              <w:t>(Ont.) (Civil) (By Leave)</w:t>
            </w:r>
          </w:p>
        </w:tc>
      </w:tr>
      <w:tr w:rsidR="009774E3" w:rsidRPr="006757EB" w:rsidTr="009774E3">
        <w:tc>
          <w:tcPr>
            <w:tcW w:w="5000" w:type="pct"/>
            <w:gridSpan w:val="4"/>
          </w:tcPr>
          <w:p w:rsidR="009774E3" w:rsidRPr="006757EB" w:rsidRDefault="009774E3" w:rsidP="009774E3">
            <w:pPr>
              <w:jc w:val="both"/>
              <w:rPr>
                <w:sz w:val="20"/>
              </w:rPr>
            </w:pPr>
            <w:r w:rsidRPr="006757EB">
              <w:rPr>
                <w:sz w:val="20"/>
              </w:rPr>
              <w:t xml:space="preserve">Private International Law — Courts — Jurisdiction — </w:t>
            </w:r>
            <w:r w:rsidRPr="006757EB">
              <w:rPr>
                <w:i/>
                <w:sz w:val="20"/>
              </w:rPr>
              <w:t>Forum non conveniens</w:t>
            </w:r>
            <w:r w:rsidRPr="006757EB">
              <w:rPr>
                <w:sz w:val="20"/>
              </w:rPr>
              <w:t xml:space="preserve"> — Respondents alleging applicants in default on loans, commencing proceedings in Singapore and Dubai for recovery — Applicants commencing action in Ontario, seeking anti-suit injunction to enjoin respondents from pursuing foreign proceedings — Motion judge denying anti-suit injunction, granting permanent stay of Ontario proceeding — Whether the current framework for assessing jurisdiction, set out in </w:t>
            </w:r>
            <w:r w:rsidRPr="006757EB">
              <w:rPr>
                <w:i/>
                <w:sz w:val="20"/>
              </w:rPr>
              <w:t>Club Resorts Ltd. v. Van Breda</w:t>
            </w:r>
            <w:r w:rsidRPr="006757EB">
              <w:rPr>
                <w:sz w:val="20"/>
              </w:rPr>
              <w:t>, 2012 SCC 17, should be modified to provide litigants with greater certainty — Whether a failed anti-suit injunction should automatically result in a stay of the domestic  proceeding — Whether evidentiary review and fact-finding by motion judges should be restrained</w:t>
            </w:r>
          </w:p>
          <w:p w:rsidR="009774E3" w:rsidRPr="006757EB" w:rsidRDefault="009774E3" w:rsidP="009774E3">
            <w:pPr>
              <w:jc w:val="both"/>
              <w:rPr>
                <w:sz w:val="20"/>
              </w:rPr>
            </w:pPr>
          </w:p>
        </w:tc>
      </w:tr>
      <w:tr w:rsidR="009774E3" w:rsidRPr="006757EB" w:rsidTr="009774E3">
        <w:tc>
          <w:tcPr>
            <w:tcW w:w="5000" w:type="pct"/>
            <w:gridSpan w:val="4"/>
          </w:tcPr>
          <w:p w:rsidR="009774E3" w:rsidRPr="006757EB" w:rsidRDefault="009774E3" w:rsidP="009774E3">
            <w:pPr>
              <w:jc w:val="both"/>
              <w:rPr>
                <w:sz w:val="20"/>
              </w:rPr>
            </w:pPr>
            <w:r w:rsidRPr="006757EB">
              <w:rPr>
                <w:sz w:val="20"/>
              </w:rPr>
              <w:t xml:space="preserve">The applicants (together, “UDG”) are metal traders operating in Asia and the Middle East. The various corporate applicants were incorporated in Singapore, Malaysia, Dubai, and the British Virgin Islands. The individual applicant, Prateek Gupta, is a Dubai resident. </w:t>
            </w:r>
          </w:p>
          <w:p w:rsidR="009774E3" w:rsidRPr="006757EB" w:rsidRDefault="009774E3" w:rsidP="009774E3">
            <w:pPr>
              <w:jc w:val="both"/>
              <w:rPr>
                <w:sz w:val="20"/>
              </w:rPr>
            </w:pPr>
          </w:p>
          <w:p w:rsidR="009774E3" w:rsidRPr="006757EB" w:rsidRDefault="009774E3" w:rsidP="009774E3">
            <w:pPr>
              <w:jc w:val="both"/>
              <w:rPr>
                <w:sz w:val="20"/>
              </w:rPr>
            </w:pPr>
            <w:r w:rsidRPr="006757EB">
              <w:rPr>
                <w:sz w:val="20"/>
              </w:rPr>
              <w:t>Respondents TransAsia Private Capital Limited and TA Private Capital Security Agent Ltd. (together, “TAP”), operating out of Singapore, Hong Kong, and the British Virgin Islands, provide financing to metal traders. TAP provided financing to both UDG and the respondent Rutmet Inc. (“Rutmet”) over the years.</w:t>
            </w:r>
          </w:p>
          <w:p w:rsidR="009774E3" w:rsidRPr="006757EB" w:rsidRDefault="009774E3" w:rsidP="009774E3">
            <w:pPr>
              <w:jc w:val="both"/>
              <w:rPr>
                <w:sz w:val="20"/>
              </w:rPr>
            </w:pPr>
          </w:p>
          <w:p w:rsidR="009774E3" w:rsidRPr="006757EB" w:rsidRDefault="009774E3" w:rsidP="009774E3">
            <w:pPr>
              <w:jc w:val="both"/>
              <w:rPr>
                <w:sz w:val="20"/>
              </w:rPr>
            </w:pPr>
            <w:r w:rsidRPr="006757EB">
              <w:rPr>
                <w:sz w:val="20"/>
              </w:rPr>
              <w:t>Rutmet, which purchases metal and metal products for sale to third-party buyers, was incorporated in Ontario. As part of a loan arrangement, Rutmet provided TAP with a power of attorney, which authorized TAP to take certain actions in relation to Rutmet’s unpaid receivables.</w:t>
            </w:r>
          </w:p>
          <w:p w:rsidR="009774E3" w:rsidRPr="006757EB" w:rsidRDefault="009774E3" w:rsidP="009774E3">
            <w:pPr>
              <w:jc w:val="both"/>
              <w:rPr>
                <w:sz w:val="20"/>
              </w:rPr>
            </w:pPr>
          </w:p>
          <w:p w:rsidR="009774E3" w:rsidRPr="006757EB" w:rsidRDefault="009774E3" w:rsidP="009774E3">
            <w:pPr>
              <w:jc w:val="both"/>
              <w:rPr>
                <w:sz w:val="20"/>
              </w:rPr>
            </w:pPr>
            <w:r w:rsidRPr="006757EB">
              <w:rPr>
                <w:sz w:val="20"/>
              </w:rPr>
              <w:t>Respondent Export Development Canada (EDC) is a Canadian Crown corporation that provided Rutmet with trade credit insurance. Rutmet has supplied metal to certain UDG subsidiaries under trade contracts that were insured by EDC.</w:t>
            </w:r>
          </w:p>
          <w:p w:rsidR="009774E3" w:rsidRPr="006757EB" w:rsidRDefault="009774E3" w:rsidP="009774E3">
            <w:pPr>
              <w:jc w:val="both"/>
              <w:rPr>
                <w:sz w:val="20"/>
              </w:rPr>
            </w:pPr>
          </w:p>
          <w:p w:rsidR="009774E3" w:rsidRPr="006757EB" w:rsidRDefault="009774E3" w:rsidP="009774E3">
            <w:pPr>
              <w:jc w:val="both"/>
              <w:rPr>
                <w:sz w:val="20"/>
              </w:rPr>
            </w:pPr>
            <w:r w:rsidRPr="006757EB">
              <w:rPr>
                <w:sz w:val="20"/>
              </w:rPr>
              <w:t>Following difficulties in the international commodities market, TAP claimed UDG was in default on tens of millions of dollars in loans. TAP commenced proceedings in Singapore and Dubai, both on its own behalf and by using the power of attorney granted by Rutmet, to recover debts allegedly owed by UDG.</w:t>
            </w:r>
          </w:p>
          <w:p w:rsidR="009774E3" w:rsidRPr="006757EB" w:rsidRDefault="009774E3" w:rsidP="009774E3">
            <w:pPr>
              <w:jc w:val="both"/>
              <w:rPr>
                <w:sz w:val="20"/>
              </w:rPr>
            </w:pPr>
          </w:p>
          <w:p w:rsidR="009774E3" w:rsidRPr="006757EB" w:rsidRDefault="009774E3" w:rsidP="009774E3">
            <w:pPr>
              <w:jc w:val="both"/>
              <w:rPr>
                <w:sz w:val="20"/>
              </w:rPr>
            </w:pPr>
            <w:r w:rsidRPr="006757EB">
              <w:rPr>
                <w:sz w:val="20"/>
              </w:rPr>
              <w:t xml:space="preserve">Shortly afterwards, UDG commenced an action in Ontario seeking damages and declaratory relief. UDG then moved for an anti-suit injunction to enjoin TAP from pursuing its litigation in Dubai and Singapore, in favour of the Ontario proceedings. TAP brought a cross-motion for a permanent stay of the Ontario action on the basis that the foreign jurisdictions in which litigation was already underway were more appropriate jurisdictions than Ontario. </w:t>
            </w:r>
          </w:p>
        </w:tc>
      </w:tr>
      <w:tr w:rsidR="009774E3" w:rsidRPr="006757EB" w:rsidTr="009774E3">
        <w:tc>
          <w:tcPr>
            <w:tcW w:w="5000" w:type="pct"/>
            <w:gridSpan w:val="4"/>
          </w:tcPr>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March 17, 2021</w:t>
            </w:r>
          </w:p>
          <w:p w:rsidR="009774E3" w:rsidRPr="006757EB" w:rsidRDefault="009774E3" w:rsidP="009774E3">
            <w:pPr>
              <w:jc w:val="both"/>
              <w:rPr>
                <w:sz w:val="20"/>
              </w:rPr>
            </w:pPr>
            <w:r w:rsidRPr="006757EB">
              <w:rPr>
                <w:sz w:val="20"/>
              </w:rPr>
              <w:t>Ontario Superior Court of Justice</w:t>
            </w:r>
          </w:p>
          <w:p w:rsidR="009774E3" w:rsidRPr="006757EB" w:rsidRDefault="009774E3" w:rsidP="009774E3">
            <w:pPr>
              <w:jc w:val="both"/>
              <w:rPr>
                <w:sz w:val="20"/>
              </w:rPr>
            </w:pPr>
            <w:r w:rsidRPr="006757EB">
              <w:rPr>
                <w:sz w:val="20"/>
              </w:rPr>
              <w:t>(Gilmore J.)</w:t>
            </w:r>
          </w:p>
          <w:p w:rsidR="009774E3" w:rsidRPr="006757EB" w:rsidRDefault="007336A5" w:rsidP="009774E3">
            <w:pPr>
              <w:jc w:val="both"/>
              <w:rPr>
                <w:sz w:val="20"/>
              </w:rPr>
            </w:pPr>
            <w:hyperlink r:id="rId29" w:history="1">
              <w:r w:rsidR="009774E3" w:rsidRPr="006757EB">
                <w:rPr>
                  <w:rStyle w:val="Hyperlink"/>
                  <w:sz w:val="20"/>
                </w:rPr>
                <w:t>2021 ONSC 1957</w:t>
              </w:r>
            </w:hyperlink>
            <w:r w:rsidR="009774E3" w:rsidRPr="006757EB">
              <w:rPr>
                <w:sz w:val="20"/>
              </w:rPr>
              <w:t>; CV-20-00645507-00CL</w:t>
            </w:r>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Motion for an anti-suit injunction dismissed; cross-motion for a permanent stay of the action granted</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April 20, 2021</w:t>
            </w:r>
          </w:p>
          <w:p w:rsidR="009774E3" w:rsidRPr="006757EB" w:rsidRDefault="009774E3" w:rsidP="009774E3">
            <w:pPr>
              <w:jc w:val="both"/>
              <w:rPr>
                <w:sz w:val="20"/>
              </w:rPr>
            </w:pPr>
            <w:r w:rsidRPr="006757EB">
              <w:rPr>
                <w:sz w:val="20"/>
              </w:rPr>
              <w:t>Court of Appeal for Ontario</w:t>
            </w:r>
          </w:p>
          <w:p w:rsidR="009774E3" w:rsidRPr="006757EB" w:rsidRDefault="009774E3" w:rsidP="009774E3">
            <w:pPr>
              <w:jc w:val="both"/>
              <w:rPr>
                <w:sz w:val="20"/>
              </w:rPr>
            </w:pPr>
            <w:r w:rsidRPr="006757EB">
              <w:rPr>
                <w:sz w:val="20"/>
              </w:rPr>
              <w:t>(Paciocco J.A.)</w:t>
            </w:r>
          </w:p>
          <w:p w:rsidR="009774E3" w:rsidRPr="006757EB" w:rsidRDefault="007336A5" w:rsidP="009774E3">
            <w:pPr>
              <w:jc w:val="both"/>
              <w:rPr>
                <w:sz w:val="20"/>
              </w:rPr>
            </w:pPr>
            <w:hyperlink r:id="rId30" w:history="1">
              <w:r w:rsidR="009774E3" w:rsidRPr="006757EB">
                <w:rPr>
                  <w:rStyle w:val="Hyperlink"/>
                  <w:sz w:val="20"/>
                </w:rPr>
                <w:t>2021 ONCA 279</w:t>
              </w:r>
            </w:hyperlink>
            <w:r w:rsidR="009774E3" w:rsidRPr="006757EB">
              <w:rPr>
                <w:sz w:val="20"/>
              </w:rPr>
              <w:t xml:space="preserve">; M52370 (C69265) </w:t>
            </w:r>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Motion for a stay of the March 17, 2021 order of Gilmore J. pending appeal dismissed; motion for an order expediting the appeal dismissed</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April 3, 2022</w:t>
            </w:r>
          </w:p>
          <w:p w:rsidR="009774E3" w:rsidRPr="006757EB" w:rsidRDefault="009774E3" w:rsidP="009774E3">
            <w:pPr>
              <w:jc w:val="both"/>
              <w:rPr>
                <w:sz w:val="20"/>
              </w:rPr>
            </w:pPr>
            <w:r w:rsidRPr="006757EB">
              <w:rPr>
                <w:sz w:val="20"/>
              </w:rPr>
              <w:t>Court of Appeal for Ontario</w:t>
            </w:r>
          </w:p>
          <w:p w:rsidR="009774E3" w:rsidRPr="006757EB" w:rsidRDefault="009774E3" w:rsidP="009774E3">
            <w:pPr>
              <w:jc w:val="both"/>
              <w:rPr>
                <w:sz w:val="20"/>
              </w:rPr>
            </w:pPr>
            <w:r w:rsidRPr="006757EB">
              <w:rPr>
                <w:sz w:val="20"/>
              </w:rPr>
              <w:t>(Doherty, Benotto and Huscroft JJ.A.)</w:t>
            </w:r>
          </w:p>
          <w:p w:rsidR="009774E3" w:rsidRPr="006757EB" w:rsidRDefault="007336A5" w:rsidP="009774E3">
            <w:pPr>
              <w:jc w:val="both"/>
              <w:rPr>
                <w:sz w:val="20"/>
              </w:rPr>
            </w:pPr>
            <w:hyperlink r:id="rId31" w:history="1">
              <w:r w:rsidR="009774E3" w:rsidRPr="006757EB">
                <w:rPr>
                  <w:rStyle w:val="Hyperlink"/>
                  <w:sz w:val="20"/>
                </w:rPr>
                <w:t>2022 ONCA 100</w:t>
              </w:r>
            </w:hyperlink>
            <w:r w:rsidR="009774E3" w:rsidRPr="006757EB">
              <w:rPr>
                <w:sz w:val="20"/>
              </w:rPr>
              <w:t xml:space="preserve">; C69265 </w:t>
            </w:r>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Appeal dismissed</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April 1, 2022</w:t>
            </w:r>
          </w:p>
          <w:p w:rsidR="009774E3" w:rsidRPr="006757EB" w:rsidRDefault="009774E3" w:rsidP="009774E3">
            <w:pPr>
              <w:jc w:val="both"/>
              <w:rPr>
                <w:sz w:val="20"/>
              </w:rPr>
            </w:pPr>
            <w:r w:rsidRPr="006757EB">
              <w:rPr>
                <w:sz w:val="20"/>
              </w:rPr>
              <w:t>Supreme Court of Canada</w:t>
            </w: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Application for leave to appeal filed</w:t>
            </w:r>
          </w:p>
          <w:p w:rsidR="009774E3" w:rsidRPr="006757EB" w:rsidRDefault="009774E3" w:rsidP="009774E3">
            <w:pPr>
              <w:jc w:val="both"/>
              <w:rPr>
                <w:sz w:val="20"/>
              </w:rPr>
            </w:pPr>
          </w:p>
        </w:tc>
      </w:tr>
    </w:tbl>
    <w:p w:rsidR="009774E3" w:rsidRPr="006757EB" w:rsidRDefault="009774E3" w:rsidP="009774E3">
      <w:pPr>
        <w:jc w:val="both"/>
        <w:rPr>
          <w:sz w:val="20"/>
        </w:rPr>
      </w:pPr>
    </w:p>
    <w:p w:rsidR="009774E3" w:rsidRPr="006757EB" w:rsidRDefault="007336A5" w:rsidP="009774E3">
      <w:pPr>
        <w:jc w:val="both"/>
        <w:rPr>
          <w:sz w:val="20"/>
        </w:rPr>
      </w:pPr>
      <w:r>
        <w:rPr>
          <w:sz w:val="20"/>
        </w:rPr>
        <w:pict>
          <v:rect id="_x0000_i1033" style="width:2in;height:1pt" o:hrpct="0" o:hralign="center" o:hrstd="t" o:hrnoshade="t" o:hr="t" fillcolor="black [3213]" stroked="f"/>
        </w:pict>
      </w:r>
    </w:p>
    <w:p w:rsidR="009774E3" w:rsidRPr="006757EB" w:rsidRDefault="009774E3" w:rsidP="009774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6757EB" w:rsidTr="009774E3">
        <w:tc>
          <w:tcPr>
            <w:tcW w:w="543" w:type="pct"/>
          </w:tcPr>
          <w:p w:rsidR="009774E3" w:rsidRPr="006757EB" w:rsidRDefault="009774E3" w:rsidP="009774E3">
            <w:pPr>
              <w:jc w:val="both"/>
              <w:rPr>
                <w:sz w:val="20"/>
                <w:lang w:val="fr-CA"/>
              </w:rPr>
            </w:pPr>
            <w:r w:rsidRPr="006757EB">
              <w:rPr>
                <w:rStyle w:val="SCCFileNumberChar"/>
                <w:sz w:val="20"/>
                <w:szCs w:val="20"/>
                <w:lang w:val="fr-CA"/>
              </w:rPr>
              <w:t>40138</w:t>
            </w:r>
          </w:p>
        </w:tc>
        <w:tc>
          <w:tcPr>
            <w:tcW w:w="4457" w:type="pct"/>
            <w:gridSpan w:val="3"/>
          </w:tcPr>
          <w:p w:rsidR="009774E3" w:rsidRPr="006757EB" w:rsidRDefault="009774E3" w:rsidP="009774E3">
            <w:pPr>
              <w:pStyle w:val="SCCLsocParty"/>
              <w:jc w:val="both"/>
              <w:rPr>
                <w:b/>
                <w:sz w:val="20"/>
                <w:szCs w:val="20"/>
                <w:lang w:val="en-US"/>
              </w:rPr>
            </w:pPr>
            <w:r w:rsidRPr="006757EB">
              <w:rPr>
                <w:b/>
                <w:sz w:val="20"/>
                <w:szCs w:val="20"/>
                <w:lang w:val="en-US"/>
              </w:rPr>
              <w:t>UD Trading Group Holding Pte. Limited, UIL Singapore Pte. Limited, UIL Malaysia Limited, UIL Commodities DMCC, Vadox Corp., Prateek Gupta c. TransAsia Private Capital Limited, TA Private Capital Security Agent Ltd., Rutmet Inc., Exportation et développement Canada</w:t>
            </w:r>
          </w:p>
          <w:p w:rsidR="009774E3" w:rsidRPr="006757EB" w:rsidRDefault="009774E3" w:rsidP="009774E3">
            <w:pPr>
              <w:jc w:val="both"/>
              <w:rPr>
                <w:sz w:val="20"/>
                <w:lang w:val="fr-CA"/>
              </w:rPr>
            </w:pPr>
            <w:r w:rsidRPr="006757EB">
              <w:rPr>
                <w:sz w:val="20"/>
                <w:lang w:val="fr-CA"/>
              </w:rPr>
              <w:t>(Ontario) (Civile) (Sur autorisation)</w:t>
            </w:r>
          </w:p>
        </w:tc>
      </w:tr>
      <w:tr w:rsidR="009774E3" w:rsidRPr="007336A5" w:rsidTr="009774E3">
        <w:tc>
          <w:tcPr>
            <w:tcW w:w="5000" w:type="pct"/>
            <w:gridSpan w:val="4"/>
          </w:tcPr>
          <w:p w:rsidR="009774E3" w:rsidRPr="006757EB" w:rsidRDefault="009774E3" w:rsidP="009774E3">
            <w:pPr>
              <w:jc w:val="both"/>
              <w:rPr>
                <w:sz w:val="20"/>
                <w:lang w:val="fr-CA"/>
              </w:rPr>
            </w:pPr>
            <w:r w:rsidRPr="006757EB">
              <w:rPr>
                <w:sz w:val="20"/>
                <w:lang w:val="fr-CA"/>
              </w:rPr>
              <w:t xml:space="preserve">Droit international privé — Tribunaux — Compétence — </w:t>
            </w:r>
            <w:r w:rsidRPr="006757EB">
              <w:rPr>
                <w:i/>
                <w:sz w:val="20"/>
                <w:lang w:val="fr-CA"/>
              </w:rPr>
              <w:t>Forum non conveniens</w:t>
            </w:r>
            <w:r w:rsidRPr="006757EB">
              <w:rPr>
                <w:sz w:val="20"/>
                <w:lang w:val="fr-CA"/>
              </w:rPr>
              <w:t xml:space="preserve"> — Soutenant que les requérants étaient en défaut à l’égard de certains prêts, les intimées ont engagé des procédures en recouvrement à Singapour et à Dubaï — Les requérants ont intenté une action en Ontario et ont sollicité une injonction anti</w:t>
            </w:r>
            <w:r w:rsidRPr="006757EB">
              <w:rPr>
                <w:sz w:val="20"/>
                <w:lang w:val="fr-CA"/>
              </w:rPr>
              <w:noBreakHyphen/>
              <w:t>poursuites afin d’empêcher les intimées de poursuivre les procédures engagées à l’étranger — La juge saisie de la motion en injonction anti</w:t>
            </w:r>
            <w:r w:rsidRPr="006757EB">
              <w:rPr>
                <w:sz w:val="20"/>
                <w:lang w:val="fr-CA"/>
              </w:rPr>
              <w:noBreakHyphen/>
              <w:t>poursuites a rejeté la motion et suspendu en permanence l’instance introduite en Ontario — Y a</w:t>
            </w:r>
            <w:r w:rsidRPr="006757EB">
              <w:rPr>
                <w:sz w:val="20"/>
                <w:lang w:val="fr-CA"/>
              </w:rPr>
              <w:noBreakHyphen/>
              <w:t>t</w:t>
            </w:r>
            <w:r w:rsidRPr="006757EB">
              <w:rPr>
                <w:sz w:val="20"/>
                <w:lang w:val="fr-CA"/>
              </w:rPr>
              <w:noBreakHyphen/>
              <w:t xml:space="preserve">il lieu de modifier le cadre actuel servant à évaluer la compétence, qui est énoncé dans l’arrêt </w:t>
            </w:r>
            <w:r w:rsidRPr="006757EB">
              <w:rPr>
                <w:i/>
                <w:sz w:val="20"/>
                <w:lang w:val="fr-CA"/>
              </w:rPr>
              <w:t>Club Resorts Ltd. c. Van Breda</w:t>
            </w:r>
            <w:r w:rsidRPr="006757EB">
              <w:rPr>
                <w:sz w:val="20"/>
                <w:lang w:val="fr-CA"/>
              </w:rPr>
              <w:t>, 2012 CSC 17, afin d’offrir aux parties une plus grande certitude? — Le rejet d’une motion en injonction anti</w:t>
            </w:r>
            <w:r w:rsidRPr="006757EB">
              <w:rPr>
                <w:sz w:val="20"/>
                <w:lang w:val="fr-CA"/>
              </w:rPr>
              <w:noBreakHyphen/>
              <w:t>poursuites devrait</w:t>
            </w:r>
            <w:r w:rsidRPr="006757EB">
              <w:rPr>
                <w:sz w:val="20"/>
                <w:lang w:val="fr-CA"/>
              </w:rPr>
              <w:noBreakHyphen/>
              <w:t xml:space="preserve">il automatiquement </w:t>
            </w:r>
            <w:proofErr w:type="gramStart"/>
            <w:r w:rsidRPr="006757EB">
              <w:rPr>
                <w:sz w:val="20"/>
                <w:lang w:val="fr-CA"/>
              </w:rPr>
              <w:t>donner</w:t>
            </w:r>
            <w:proofErr w:type="gramEnd"/>
            <w:r w:rsidRPr="006757EB">
              <w:rPr>
                <w:sz w:val="20"/>
                <w:lang w:val="fr-CA"/>
              </w:rPr>
              <w:t xml:space="preserve"> lieu à une suspension de l’instance canadienne? — Y a</w:t>
            </w:r>
            <w:r w:rsidRPr="006757EB">
              <w:rPr>
                <w:sz w:val="20"/>
                <w:lang w:val="fr-CA"/>
              </w:rPr>
              <w:noBreakHyphen/>
              <w:t>t</w:t>
            </w:r>
            <w:r w:rsidRPr="006757EB">
              <w:rPr>
                <w:sz w:val="20"/>
                <w:lang w:val="fr-CA"/>
              </w:rPr>
              <w:noBreakHyphen/>
              <w:t>il lieu de restreindre les pouvoirs des juges des motions en matière d’examen de la preuve et de détermination des faits?</w:t>
            </w:r>
          </w:p>
          <w:p w:rsidR="009774E3" w:rsidRPr="006757EB" w:rsidRDefault="009774E3" w:rsidP="009774E3">
            <w:pPr>
              <w:jc w:val="both"/>
              <w:rPr>
                <w:sz w:val="20"/>
                <w:lang w:val="fr-CA"/>
              </w:rPr>
            </w:pPr>
          </w:p>
        </w:tc>
      </w:tr>
      <w:tr w:rsidR="009774E3" w:rsidRPr="007336A5" w:rsidTr="009774E3">
        <w:tc>
          <w:tcPr>
            <w:tcW w:w="5000" w:type="pct"/>
            <w:gridSpan w:val="4"/>
          </w:tcPr>
          <w:p w:rsidR="009774E3" w:rsidRPr="006757EB" w:rsidRDefault="009774E3" w:rsidP="009774E3">
            <w:pPr>
              <w:jc w:val="both"/>
              <w:rPr>
                <w:sz w:val="20"/>
                <w:lang w:val="fr-CA"/>
              </w:rPr>
            </w:pPr>
            <w:r w:rsidRPr="006757EB">
              <w:rPr>
                <w:sz w:val="20"/>
                <w:lang w:val="fr-CA"/>
              </w:rPr>
              <w:t>Les requérants (collectivement UDG) sont des négociants en métaux qui exercent leurs activités en Asie et au Moyen</w:t>
            </w:r>
            <w:r w:rsidRPr="006757EB">
              <w:rPr>
                <w:sz w:val="20"/>
                <w:lang w:val="fr-CA"/>
              </w:rPr>
              <w:noBreakHyphen/>
              <w:t xml:space="preserve">Orient. Les différentes sociétés requérantes ont été constituées à Singapour, en Malaisie, à Dubaï et dans les îles Vierges britanniques. La personne physique requérante, Prateek Gupta, est un résident de Dubaï. </w:t>
            </w:r>
          </w:p>
          <w:p w:rsidR="009774E3" w:rsidRPr="006757EB" w:rsidRDefault="009774E3" w:rsidP="009774E3">
            <w:pPr>
              <w:jc w:val="both"/>
              <w:rPr>
                <w:sz w:val="20"/>
                <w:lang w:val="fr-CA"/>
              </w:rPr>
            </w:pPr>
          </w:p>
          <w:p w:rsidR="009774E3" w:rsidRPr="006757EB" w:rsidRDefault="009774E3" w:rsidP="009774E3">
            <w:pPr>
              <w:jc w:val="both"/>
              <w:rPr>
                <w:sz w:val="20"/>
                <w:lang w:val="fr-CA"/>
              </w:rPr>
            </w:pPr>
            <w:r w:rsidRPr="006757EB">
              <w:rPr>
                <w:sz w:val="20"/>
                <w:lang w:val="fr-CA"/>
              </w:rPr>
              <w:t>Les intimées TransAsia Private Capital Limited et TA Private Capital Security Agent Ltd. (collectivement TAP), qui exercent leurs activités à partir de Singapour, de Hong Kong et des îles Vierges britanniques, fournissent du financement aux négociants en métaux. TAP a fourni du financement tant à UDG qu’à l’intimée Rutmet Inc. (« Rutmet ») au fil des années.</w:t>
            </w:r>
          </w:p>
          <w:p w:rsidR="009774E3" w:rsidRPr="006757EB" w:rsidRDefault="009774E3" w:rsidP="009774E3">
            <w:pPr>
              <w:jc w:val="both"/>
              <w:rPr>
                <w:sz w:val="20"/>
                <w:lang w:val="fr-CA"/>
              </w:rPr>
            </w:pPr>
          </w:p>
          <w:p w:rsidR="009774E3" w:rsidRPr="006757EB" w:rsidRDefault="009774E3" w:rsidP="009774E3">
            <w:pPr>
              <w:jc w:val="both"/>
              <w:rPr>
                <w:sz w:val="20"/>
                <w:lang w:val="fr-CA"/>
              </w:rPr>
            </w:pPr>
            <w:r w:rsidRPr="006757EB">
              <w:rPr>
                <w:sz w:val="20"/>
                <w:lang w:val="fr-CA"/>
              </w:rPr>
              <w:t>Rutmet, qui achète du métal et des produits en métal pour les vendre à des tiers acquéreurs, a été constituée en Ontario. Dans le cadre d’une entente de prêt, Rutmet a fourni à TAP une procuration qui autorisait celle</w:t>
            </w:r>
            <w:r w:rsidRPr="006757EB">
              <w:rPr>
                <w:sz w:val="20"/>
                <w:lang w:val="fr-CA"/>
              </w:rPr>
              <w:noBreakHyphen/>
              <w:t>ci à prendre certaines mesures à l’égard des créances impayées de Rutmet.</w:t>
            </w:r>
          </w:p>
          <w:p w:rsidR="009774E3" w:rsidRPr="006757EB" w:rsidRDefault="009774E3" w:rsidP="009774E3">
            <w:pPr>
              <w:jc w:val="both"/>
              <w:rPr>
                <w:sz w:val="20"/>
                <w:lang w:val="fr-CA"/>
              </w:rPr>
            </w:pPr>
          </w:p>
          <w:p w:rsidR="009774E3" w:rsidRPr="006757EB" w:rsidRDefault="009774E3" w:rsidP="009774E3">
            <w:pPr>
              <w:jc w:val="both"/>
              <w:rPr>
                <w:sz w:val="20"/>
                <w:lang w:val="fr-CA"/>
              </w:rPr>
            </w:pPr>
            <w:r w:rsidRPr="006757EB">
              <w:rPr>
                <w:sz w:val="20"/>
                <w:lang w:val="fr-CA"/>
              </w:rPr>
              <w:t>L’intimée Exportation et développement Canada (EDC) est une société d’État canadienne qui a fourni à Rutmet une assurance</w:t>
            </w:r>
            <w:r w:rsidRPr="006757EB">
              <w:rPr>
                <w:sz w:val="20"/>
                <w:lang w:val="fr-CA"/>
              </w:rPr>
              <w:noBreakHyphen/>
              <w:t xml:space="preserve">crédit. Rutmet a fourni du métal à certaines filiales </w:t>
            </w:r>
            <w:proofErr w:type="gramStart"/>
            <w:r w:rsidRPr="006757EB">
              <w:rPr>
                <w:sz w:val="20"/>
                <w:lang w:val="fr-CA"/>
              </w:rPr>
              <w:t>de UDG</w:t>
            </w:r>
            <w:proofErr w:type="gramEnd"/>
            <w:r w:rsidRPr="006757EB">
              <w:rPr>
                <w:sz w:val="20"/>
                <w:lang w:val="fr-CA"/>
              </w:rPr>
              <w:t xml:space="preserve"> aux termes de contrats commerciaux qui étaient assurés par EDC.</w:t>
            </w:r>
          </w:p>
          <w:p w:rsidR="009774E3" w:rsidRPr="006757EB" w:rsidRDefault="009774E3" w:rsidP="009774E3">
            <w:pPr>
              <w:jc w:val="both"/>
              <w:rPr>
                <w:sz w:val="20"/>
                <w:lang w:val="fr-CA"/>
              </w:rPr>
            </w:pPr>
          </w:p>
          <w:p w:rsidR="009774E3" w:rsidRPr="006757EB" w:rsidRDefault="009774E3" w:rsidP="009774E3">
            <w:pPr>
              <w:jc w:val="both"/>
              <w:rPr>
                <w:sz w:val="20"/>
                <w:lang w:val="fr-CA"/>
              </w:rPr>
            </w:pPr>
            <w:r w:rsidRPr="006757EB">
              <w:rPr>
                <w:sz w:val="20"/>
                <w:lang w:val="fr-CA"/>
              </w:rPr>
              <w:t xml:space="preserve">Par suite de difficultés sur le marché international des marchandises, TAP a soutenu </w:t>
            </w:r>
            <w:proofErr w:type="gramStart"/>
            <w:r w:rsidRPr="006757EB">
              <w:rPr>
                <w:sz w:val="20"/>
                <w:lang w:val="fr-CA"/>
              </w:rPr>
              <w:t>que UDG</w:t>
            </w:r>
            <w:proofErr w:type="gramEnd"/>
            <w:r w:rsidRPr="006757EB">
              <w:rPr>
                <w:sz w:val="20"/>
                <w:lang w:val="fr-CA"/>
              </w:rPr>
              <w:t xml:space="preserve"> était en défaut relativement à des prêts s’élevant à des dizaines de millions de dollars. TAP a engagé des poursuites à Singapour et à Dubaï, tant pour son compte qu’au moyen de la procuration obtenue de Rutmet, afin de recouvrer les dettes que devait apparemment UDG.</w:t>
            </w:r>
          </w:p>
          <w:p w:rsidR="009774E3" w:rsidRPr="006757EB" w:rsidRDefault="009774E3" w:rsidP="009774E3">
            <w:pPr>
              <w:jc w:val="both"/>
              <w:rPr>
                <w:sz w:val="20"/>
                <w:lang w:val="fr-CA"/>
              </w:rPr>
            </w:pPr>
          </w:p>
          <w:p w:rsidR="009774E3" w:rsidRPr="006757EB" w:rsidRDefault="009774E3" w:rsidP="009774E3">
            <w:pPr>
              <w:jc w:val="both"/>
              <w:rPr>
                <w:sz w:val="20"/>
                <w:lang w:val="fr-CA"/>
              </w:rPr>
            </w:pPr>
            <w:r w:rsidRPr="006757EB">
              <w:rPr>
                <w:sz w:val="20"/>
                <w:lang w:val="fr-CA"/>
              </w:rPr>
              <w:t>Peu après, UDG a introduit une action en Ontario afin d’obtenir des dommages</w:t>
            </w:r>
            <w:r w:rsidRPr="006757EB">
              <w:rPr>
                <w:sz w:val="20"/>
                <w:lang w:val="fr-CA"/>
              </w:rPr>
              <w:noBreakHyphen/>
              <w:t>intérêts et un jugement déclaratoire. UDG a ensuite sollicité une injonction anti</w:t>
            </w:r>
            <w:r w:rsidRPr="006757EB">
              <w:rPr>
                <w:sz w:val="20"/>
                <w:lang w:val="fr-CA"/>
              </w:rPr>
              <w:noBreakHyphen/>
              <w:t xml:space="preserve">poursuites afin d’empêcher TAP de poursuivre son litige à Dubaï et à Singapour et de permettre plutôt la poursuite de l’instance introduite en Ontario. TAP a présenté une motion incidente en vue d’obtenir une suspension permanente de l’action ontarienne au motif que les tribunaux étrangers devant lesquels le litige était déjà en cours étaient des ressorts plus appropriés que ceux de l’Ontario. </w:t>
            </w:r>
          </w:p>
        </w:tc>
      </w:tr>
      <w:tr w:rsidR="009774E3" w:rsidRPr="007336A5" w:rsidTr="009774E3">
        <w:tc>
          <w:tcPr>
            <w:tcW w:w="5000" w:type="pct"/>
            <w:gridSpan w:val="4"/>
          </w:tcPr>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17 mars 2021</w:t>
            </w:r>
          </w:p>
          <w:p w:rsidR="009774E3" w:rsidRPr="006757EB" w:rsidRDefault="009774E3" w:rsidP="009774E3">
            <w:pPr>
              <w:jc w:val="both"/>
              <w:rPr>
                <w:sz w:val="20"/>
                <w:lang w:val="fr-CA"/>
              </w:rPr>
            </w:pPr>
            <w:r w:rsidRPr="006757EB">
              <w:rPr>
                <w:sz w:val="20"/>
                <w:lang w:val="fr-CA"/>
              </w:rPr>
              <w:t xml:space="preserve">Cour supérieure de justice de l’Ontario </w:t>
            </w:r>
          </w:p>
          <w:p w:rsidR="009774E3" w:rsidRPr="006757EB" w:rsidRDefault="009774E3" w:rsidP="009774E3">
            <w:pPr>
              <w:jc w:val="both"/>
              <w:rPr>
                <w:sz w:val="20"/>
                <w:lang w:val="fr-CA"/>
              </w:rPr>
            </w:pPr>
            <w:r w:rsidRPr="006757EB">
              <w:rPr>
                <w:sz w:val="20"/>
                <w:lang w:val="fr-CA"/>
              </w:rPr>
              <w:t>(juge Gilmore)</w:t>
            </w:r>
          </w:p>
          <w:p w:rsidR="009774E3" w:rsidRPr="006757EB" w:rsidRDefault="007336A5" w:rsidP="009774E3">
            <w:pPr>
              <w:jc w:val="both"/>
              <w:rPr>
                <w:sz w:val="20"/>
                <w:lang w:val="fr-CA"/>
              </w:rPr>
            </w:pPr>
            <w:hyperlink r:id="rId32" w:history="1">
              <w:r w:rsidR="009774E3" w:rsidRPr="006757EB">
                <w:rPr>
                  <w:rStyle w:val="Hyperlink"/>
                  <w:sz w:val="20"/>
                  <w:lang w:val="fr-CA"/>
                </w:rPr>
                <w:t>2021 ONSC 1957</w:t>
              </w:r>
            </w:hyperlink>
            <w:r w:rsidR="009774E3" w:rsidRPr="006757EB">
              <w:rPr>
                <w:sz w:val="20"/>
                <w:lang w:val="fr-CA"/>
              </w:rPr>
              <w:t>; CV-20-00645507-00CL</w:t>
            </w:r>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Rejet de la motion en injonction anti</w:t>
            </w:r>
            <w:r w:rsidRPr="006757EB">
              <w:rPr>
                <w:sz w:val="20"/>
                <w:lang w:val="fr-CA"/>
              </w:rPr>
              <w:noBreakHyphen/>
              <w:t>poursuites; octroi de la motion incidente en vue d’obtenir une suspension permanente de l’action</w:t>
            </w:r>
          </w:p>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20 avril 2021</w:t>
            </w:r>
          </w:p>
          <w:p w:rsidR="009774E3" w:rsidRPr="006757EB" w:rsidRDefault="009774E3" w:rsidP="009774E3">
            <w:pPr>
              <w:jc w:val="both"/>
              <w:rPr>
                <w:sz w:val="20"/>
                <w:lang w:val="fr-CA"/>
              </w:rPr>
            </w:pPr>
            <w:r w:rsidRPr="006757EB">
              <w:rPr>
                <w:sz w:val="20"/>
                <w:lang w:val="fr-CA"/>
              </w:rPr>
              <w:t>Cour d’appel de l’Ontario</w:t>
            </w:r>
          </w:p>
          <w:p w:rsidR="009774E3" w:rsidRPr="006757EB" w:rsidRDefault="009774E3" w:rsidP="009774E3">
            <w:pPr>
              <w:jc w:val="both"/>
              <w:rPr>
                <w:sz w:val="20"/>
                <w:lang w:val="fr-CA"/>
              </w:rPr>
            </w:pPr>
            <w:r w:rsidRPr="006757EB">
              <w:rPr>
                <w:sz w:val="20"/>
                <w:lang w:val="fr-CA"/>
              </w:rPr>
              <w:t>(juge Paciocco)</w:t>
            </w:r>
          </w:p>
          <w:p w:rsidR="009774E3" w:rsidRPr="006757EB" w:rsidRDefault="007336A5" w:rsidP="009774E3">
            <w:pPr>
              <w:jc w:val="both"/>
              <w:rPr>
                <w:sz w:val="20"/>
                <w:lang w:val="fr-CA"/>
              </w:rPr>
            </w:pPr>
            <w:hyperlink r:id="rId33" w:history="1">
              <w:r w:rsidR="009774E3" w:rsidRPr="006757EB">
                <w:rPr>
                  <w:rStyle w:val="Hyperlink"/>
                  <w:sz w:val="20"/>
                  <w:lang w:val="fr-CA"/>
                </w:rPr>
                <w:t>2021 ONCA 279</w:t>
              </w:r>
            </w:hyperlink>
            <w:r w:rsidR="009774E3" w:rsidRPr="006757EB">
              <w:rPr>
                <w:sz w:val="20"/>
                <w:lang w:val="fr-CA"/>
              </w:rPr>
              <w:t xml:space="preserve">; M52370 (C69265) </w:t>
            </w: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Rejet de la motion visant à suspendre jusqu’à l’appel l’ordonnance de la juge Gilmore rendue le 17 mars 2021; rejet de la motion en vue d’obtenir une ordonnance prévoyant l’instruction accélérée de l’appel</w:t>
            </w:r>
          </w:p>
          <w:p w:rsidR="009774E3" w:rsidRPr="006757EB" w:rsidRDefault="009774E3" w:rsidP="009774E3">
            <w:pPr>
              <w:jc w:val="both"/>
              <w:rPr>
                <w:sz w:val="20"/>
                <w:lang w:val="fr-CA"/>
              </w:rPr>
            </w:pPr>
          </w:p>
        </w:tc>
      </w:tr>
      <w:tr w:rsidR="009774E3" w:rsidRPr="006757EB" w:rsidTr="009774E3">
        <w:tc>
          <w:tcPr>
            <w:tcW w:w="2427" w:type="pct"/>
            <w:gridSpan w:val="2"/>
          </w:tcPr>
          <w:p w:rsidR="009774E3" w:rsidRPr="006757EB" w:rsidRDefault="009774E3" w:rsidP="009774E3">
            <w:pPr>
              <w:jc w:val="both"/>
              <w:rPr>
                <w:sz w:val="20"/>
                <w:lang w:val="fr-CA"/>
              </w:rPr>
            </w:pPr>
            <w:r w:rsidRPr="006757EB">
              <w:rPr>
                <w:sz w:val="20"/>
                <w:lang w:val="fr-CA"/>
              </w:rPr>
              <w:t>20 avril 2022</w:t>
            </w:r>
          </w:p>
          <w:p w:rsidR="009774E3" w:rsidRPr="006757EB" w:rsidRDefault="009774E3" w:rsidP="009774E3">
            <w:pPr>
              <w:jc w:val="both"/>
              <w:rPr>
                <w:sz w:val="20"/>
                <w:lang w:val="fr-CA"/>
              </w:rPr>
            </w:pPr>
            <w:r w:rsidRPr="006757EB">
              <w:rPr>
                <w:sz w:val="20"/>
                <w:lang w:val="fr-CA"/>
              </w:rPr>
              <w:t>Cour d’appel de l’Ontario</w:t>
            </w:r>
          </w:p>
          <w:p w:rsidR="009774E3" w:rsidRPr="006757EB" w:rsidRDefault="009774E3" w:rsidP="009774E3">
            <w:pPr>
              <w:jc w:val="both"/>
              <w:rPr>
                <w:sz w:val="20"/>
                <w:lang w:val="fr-CA"/>
              </w:rPr>
            </w:pPr>
            <w:r w:rsidRPr="006757EB">
              <w:rPr>
                <w:sz w:val="20"/>
                <w:lang w:val="fr-CA"/>
              </w:rPr>
              <w:t>(juges Doherty, Benotto et Huscroft)</w:t>
            </w:r>
          </w:p>
          <w:p w:rsidR="009774E3" w:rsidRPr="006757EB" w:rsidRDefault="007336A5" w:rsidP="009774E3">
            <w:pPr>
              <w:jc w:val="both"/>
              <w:rPr>
                <w:sz w:val="20"/>
                <w:lang w:val="fr-CA"/>
              </w:rPr>
            </w:pPr>
            <w:hyperlink r:id="rId34" w:history="1">
              <w:r w:rsidR="009774E3" w:rsidRPr="006757EB">
                <w:rPr>
                  <w:rStyle w:val="Hyperlink"/>
                  <w:sz w:val="20"/>
                  <w:lang w:val="fr-CA"/>
                </w:rPr>
                <w:t>2022 ONCA 100</w:t>
              </w:r>
            </w:hyperlink>
            <w:r w:rsidR="009774E3" w:rsidRPr="006757EB">
              <w:rPr>
                <w:sz w:val="20"/>
                <w:lang w:val="fr-CA"/>
              </w:rPr>
              <w:t xml:space="preserve">; C69265 </w:t>
            </w:r>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Rejet de l’appel</w:t>
            </w:r>
          </w:p>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1</w:t>
            </w:r>
            <w:r w:rsidRPr="006757EB">
              <w:rPr>
                <w:sz w:val="20"/>
                <w:vertAlign w:val="superscript"/>
                <w:lang w:val="fr-CA"/>
              </w:rPr>
              <w:t>er</w:t>
            </w:r>
            <w:r w:rsidRPr="006757EB">
              <w:rPr>
                <w:sz w:val="20"/>
                <w:lang w:val="fr-CA"/>
              </w:rPr>
              <w:t xml:space="preserve"> avril 2022</w:t>
            </w:r>
          </w:p>
          <w:p w:rsidR="009774E3" w:rsidRPr="006757EB" w:rsidRDefault="009774E3" w:rsidP="009774E3">
            <w:pPr>
              <w:jc w:val="both"/>
              <w:rPr>
                <w:sz w:val="20"/>
                <w:lang w:val="fr-CA"/>
              </w:rPr>
            </w:pPr>
            <w:r w:rsidRPr="006757EB">
              <w:rPr>
                <w:sz w:val="20"/>
                <w:lang w:val="fr-CA"/>
              </w:rPr>
              <w:t>Cour suprême du Canada</w:t>
            </w: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Dépôt de la demande d’autorisation d’appel</w:t>
            </w:r>
          </w:p>
          <w:p w:rsidR="009774E3" w:rsidRPr="006757EB" w:rsidRDefault="009774E3" w:rsidP="009774E3">
            <w:pPr>
              <w:jc w:val="both"/>
              <w:rPr>
                <w:sz w:val="20"/>
                <w:lang w:val="fr-CA"/>
              </w:rPr>
            </w:pPr>
          </w:p>
        </w:tc>
      </w:tr>
    </w:tbl>
    <w:p w:rsidR="009774E3" w:rsidRDefault="009774E3" w:rsidP="009774E3">
      <w:pPr>
        <w:jc w:val="both"/>
        <w:rPr>
          <w:sz w:val="20"/>
          <w:lang w:val="fr-CA"/>
        </w:rPr>
      </w:pPr>
    </w:p>
    <w:p w:rsidR="007336A5" w:rsidRDefault="007336A5" w:rsidP="009774E3">
      <w:pPr>
        <w:jc w:val="both"/>
        <w:rPr>
          <w:sz w:val="20"/>
          <w:lang w:val="fr-CA"/>
        </w:rPr>
      </w:pPr>
      <w:bookmarkStart w:id="0" w:name="_GoBack"/>
      <w:bookmarkEnd w:id="0"/>
      <w:r>
        <w:rPr>
          <w:sz w:val="20"/>
        </w:rPr>
        <w:pict>
          <v:rect id="_x0000_i1048" style="width:2in;height:1pt" o:hrpct="0" o:hralign="center" o:hrstd="t" o:hrnoshade="t" o:hr="t" fillcolor="black [3213]" stroked="f"/>
        </w:pict>
      </w:r>
    </w:p>
    <w:p w:rsidR="007336A5" w:rsidRPr="006757EB" w:rsidRDefault="007336A5" w:rsidP="009774E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6757EB" w:rsidTr="009774E3">
        <w:tc>
          <w:tcPr>
            <w:tcW w:w="543" w:type="pct"/>
          </w:tcPr>
          <w:p w:rsidR="009774E3" w:rsidRPr="006757EB" w:rsidRDefault="009774E3" w:rsidP="009774E3">
            <w:pPr>
              <w:jc w:val="both"/>
              <w:rPr>
                <w:sz w:val="20"/>
              </w:rPr>
            </w:pPr>
            <w:r w:rsidRPr="006757EB">
              <w:rPr>
                <w:rStyle w:val="SCCFileNumberChar"/>
                <w:sz w:val="20"/>
                <w:szCs w:val="20"/>
              </w:rPr>
              <w:t>40150</w:t>
            </w:r>
          </w:p>
        </w:tc>
        <w:tc>
          <w:tcPr>
            <w:tcW w:w="4457" w:type="pct"/>
            <w:gridSpan w:val="3"/>
          </w:tcPr>
          <w:p w:rsidR="009774E3" w:rsidRPr="006757EB" w:rsidRDefault="009774E3" w:rsidP="009774E3">
            <w:pPr>
              <w:pStyle w:val="SCCLsocParty"/>
              <w:jc w:val="both"/>
              <w:rPr>
                <w:b/>
                <w:sz w:val="20"/>
                <w:szCs w:val="20"/>
                <w:lang w:val="en-US"/>
              </w:rPr>
            </w:pPr>
            <w:r w:rsidRPr="006757EB">
              <w:rPr>
                <w:b/>
                <w:sz w:val="20"/>
                <w:szCs w:val="20"/>
                <w:lang w:val="en-US"/>
              </w:rPr>
              <w:t>Jay Link v. John E. Link, Troy Link, John Hermeier and Links Snacks, Inc.</w:t>
            </w:r>
          </w:p>
          <w:p w:rsidR="009774E3" w:rsidRPr="006757EB" w:rsidRDefault="009774E3" w:rsidP="009774E3">
            <w:pPr>
              <w:jc w:val="both"/>
              <w:rPr>
                <w:sz w:val="20"/>
              </w:rPr>
            </w:pPr>
            <w:r w:rsidRPr="006757EB">
              <w:rPr>
                <w:sz w:val="20"/>
              </w:rPr>
              <w:t>(N.S.) (Civil) (By Leave)</w:t>
            </w:r>
          </w:p>
        </w:tc>
      </w:tr>
      <w:tr w:rsidR="009774E3" w:rsidRPr="006757EB" w:rsidTr="009774E3">
        <w:tc>
          <w:tcPr>
            <w:tcW w:w="5000" w:type="pct"/>
            <w:gridSpan w:val="4"/>
          </w:tcPr>
          <w:p w:rsidR="009774E3" w:rsidRPr="006757EB" w:rsidRDefault="009774E3" w:rsidP="009774E3">
            <w:pPr>
              <w:jc w:val="both"/>
              <w:rPr>
                <w:sz w:val="20"/>
              </w:rPr>
            </w:pPr>
            <w:r w:rsidRPr="006757EB">
              <w:rPr>
                <w:sz w:val="20"/>
              </w:rPr>
              <w:t xml:space="preserve">Commercial law — Corporations — Shareholder’s rights — Derivative actions — Whether, in applying the statutory test for leave to bring a derivative action, courts can make findings of credibility when assessing the good faith criterion of the test — Whether courts can determine the merits of a limitations defence at the leave stage for a derivative action — </w:t>
            </w:r>
            <w:r w:rsidRPr="006757EB">
              <w:rPr>
                <w:i/>
                <w:sz w:val="20"/>
              </w:rPr>
              <w:t>Companies Act</w:t>
            </w:r>
            <w:r w:rsidRPr="006757EB">
              <w:rPr>
                <w:sz w:val="20"/>
              </w:rPr>
              <w:t>, R.S.N.S. 1989, c. 81, Third Schedule, s. 4.</w:t>
            </w:r>
          </w:p>
        </w:tc>
      </w:tr>
      <w:tr w:rsidR="009774E3" w:rsidRPr="006757EB" w:rsidTr="009774E3">
        <w:tc>
          <w:tcPr>
            <w:tcW w:w="5000" w:type="pct"/>
            <w:gridSpan w:val="4"/>
          </w:tcPr>
          <w:p w:rsidR="009774E3" w:rsidRPr="006757EB" w:rsidRDefault="009774E3" w:rsidP="009774E3">
            <w:pPr>
              <w:jc w:val="both"/>
              <w:rPr>
                <w:sz w:val="20"/>
              </w:rPr>
            </w:pPr>
          </w:p>
        </w:tc>
      </w:tr>
      <w:tr w:rsidR="009774E3" w:rsidRPr="006757EB" w:rsidTr="009774E3">
        <w:tc>
          <w:tcPr>
            <w:tcW w:w="5000" w:type="pct"/>
            <w:gridSpan w:val="4"/>
          </w:tcPr>
          <w:p w:rsidR="009774E3" w:rsidRPr="006757EB" w:rsidRDefault="009774E3" w:rsidP="009774E3">
            <w:pPr>
              <w:jc w:val="both"/>
              <w:rPr>
                <w:sz w:val="20"/>
              </w:rPr>
            </w:pPr>
            <w:r w:rsidRPr="006757EB">
              <w:rPr>
                <w:sz w:val="20"/>
              </w:rPr>
              <w:t>The applicant brought an application seeking leave to bring an action in the name of Jack Link’s Canada Company (“Link Canada”), a Nova Scotia corporation. He wished to pursue an action against Link Snacks, Inc., a Wisconsin company that the applicant has previously been a shareholder of, and against its individual directors and officers. The application judge applied the three-part test set out in the statute. He concluded that the applicant failed to establish two of the criteria required: he did not demonstrate he was acting in good faith, nor that the proposed action appeared to be in the interests of Link Canada. The application judge therefore dismissed the application. The Court of Appeal concluded that the application judge did not err in the application of the principles in his determination that the applicant failed to establish that he was acting in good faith. It dismissed the appeal.</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December 15, 2020</w:t>
            </w:r>
          </w:p>
          <w:p w:rsidR="009774E3" w:rsidRPr="006757EB" w:rsidRDefault="009774E3" w:rsidP="009774E3">
            <w:pPr>
              <w:jc w:val="both"/>
              <w:rPr>
                <w:sz w:val="20"/>
              </w:rPr>
            </w:pPr>
            <w:r w:rsidRPr="006757EB">
              <w:rPr>
                <w:sz w:val="20"/>
              </w:rPr>
              <w:t>Supreme Court of Nova Scotia, Trial Division</w:t>
            </w:r>
          </w:p>
          <w:p w:rsidR="009774E3" w:rsidRPr="006757EB" w:rsidRDefault="009774E3" w:rsidP="009774E3">
            <w:pPr>
              <w:jc w:val="both"/>
              <w:rPr>
                <w:sz w:val="20"/>
              </w:rPr>
            </w:pPr>
            <w:r w:rsidRPr="006757EB">
              <w:rPr>
                <w:sz w:val="20"/>
              </w:rPr>
              <w:t>(Justice Rosinski)</w:t>
            </w:r>
          </w:p>
          <w:p w:rsidR="009774E3" w:rsidRPr="006757EB" w:rsidRDefault="007336A5" w:rsidP="009774E3">
            <w:pPr>
              <w:jc w:val="both"/>
              <w:rPr>
                <w:sz w:val="20"/>
              </w:rPr>
            </w:pPr>
            <w:hyperlink r:id="rId35" w:history="1">
              <w:r w:rsidR="009774E3" w:rsidRPr="006757EB">
                <w:rPr>
                  <w:rStyle w:val="Hyperlink"/>
                  <w:sz w:val="20"/>
                </w:rPr>
                <w:t>2020 NSSC 293</w:t>
              </w:r>
            </w:hyperlink>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Application for leave to bring a derivative action dismissed</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February 10, 2022</w:t>
            </w:r>
          </w:p>
          <w:p w:rsidR="009774E3" w:rsidRPr="006757EB" w:rsidRDefault="009774E3" w:rsidP="009774E3">
            <w:pPr>
              <w:jc w:val="both"/>
              <w:rPr>
                <w:sz w:val="20"/>
              </w:rPr>
            </w:pPr>
            <w:r w:rsidRPr="006757EB">
              <w:rPr>
                <w:sz w:val="20"/>
              </w:rPr>
              <w:t>Nova Scotia Court of Appeal</w:t>
            </w:r>
          </w:p>
          <w:p w:rsidR="009774E3" w:rsidRPr="006757EB" w:rsidRDefault="009774E3" w:rsidP="009774E3">
            <w:pPr>
              <w:jc w:val="both"/>
              <w:rPr>
                <w:sz w:val="20"/>
              </w:rPr>
            </w:pPr>
            <w:r w:rsidRPr="006757EB">
              <w:rPr>
                <w:sz w:val="20"/>
              </w:rPr>
              <w:t xml:space="preserve">(Beveridge, Bourgeois and Van den Eynden </w:t>
            </w:r>
          </w:p>
          <w:p w:rsidR="009774E3" w:rsidRPr="006757EB" w:rsidRDefault="009774E3" w:rsidP="009774E3">
            <w:pPr>
              <w:jc w:val="both"/>
              <w:rPr>
                <w:sz w:val="20"/>
              </w:rPr>
            </w:pPr>
            <w:r w:rsidRPr="006757EB">
              <w:rPr>
                <w:sz w:val="20"/>
              </w:rPr>
              <w:t>JJ.A.)</w:t>
            </w:r>
          </w:p>
          <w:p w:rsidR="009774E3" w:rsidRPr="006757EB" w:rsidRDefault="007336A5" w:rsidP="009774E3">
            <w:pPr>
              <w:jc w:val="both"/>
              <w:rPr>
                <w:sz w:val="20"/>
              </w:rPr>
            </w:pPr>
            <w:hyperlink r:id="rId36" w:history="1">
              <w:r w:rsidR="009774E3" w:rsidRPr="006757EB">
                <w:rPr>
                  <w:rStyle w:val="Hyperlink"/>
                  <w:sz w:val="20"/>
                </w:rPr>
                <w:t>2022 NSCA 14</w:t>
              </w:r>
            </w:hyperlink>
            <w:r w:rsidR="009774E3" w:rsidRPr="006757EB">
              <w:rPr>
                <w:rStyle w:val="Hyperlink"/>
                <w:sz w:val="20"/>
              </w:rPr>
              <w:t xml:space="preserve"> (</w:t>
            </w:r>
            <w:r w:rsidR="009774E3" w:rsidRPr="006757EB">
              <w:rPr>
                <w:sz w:val="20"/>
              </w:rPr>
              <w:t>Docket: CA 503359)</w:t>
            </w:r>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Appeal dismissed</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April 8, 2022</w:t>
            </w:r>
          </w:p>
          <w:p w:rsidR="009774E3" w:rsidRPr="006757EB" w:rsidRDefault="009774E3" w:rsidP="009774E3">
            <w:pPr>
              <w:jc w:val="both"/>
              <w:rPr>
                <w:sz w:val="20"/>
              </w:rPr>
            </w:pPr>
            <w:r w:rsidRPr="006757EB">
              <w:rPr>
                <w:sz w:val="20"/>
              </w:rPr>
              <w:t>Supreme Court of Canada</w:t>
            </w: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Application for leave to appeal filed</w:t>
            </w:r>
          </w:p>
          <w:p w:rsidR="009774E3" w:rsidRPr="006757EB" w:rsidRDefault="009774E3" w:rsidP="009774E3">
            <w:pPr>
              <w:jc w:val="both"/>
              <w:rPr>
                <w:sz w:val="20"/>
              </w:rPr>
            </w:pPr>
          </w:p>
        </w:tc>
      </w:tr>
    </w:tbl>
    <w:p w:rsidR="009774E3" w:rsidRPr="006757EB" w:rsidRDefault="009774E3" w:rsidP="009774E3">
      <w:pPr>
        <w:jc w:val="both"/>
        <w:rPr>
          <w:sz w:val="20"/>
        </w:rPr>
      </w:pPr>
    </w:p>
    <w:p w:rsidR="009774E3" w:rsidRPr="006757EB" w:rsidRDefault="007336A5" w:rsidP="009774E3">
      <w:pPr>
        <w:jc w:val="both"/>
        <w:rPr>
          <w:sz w:val="20"/>
        </w:rPr>
      </w:pPr>
      <w:r>
        <w:rPr>
          <w:sz w:val="20"/>
        </w:rPr>
        <w:pict>
          <v:rect id="_x0000_i1034" style="width:2in;height:1pt" o:hrpct="0" o:hralign="center" o:hrstd="t" o:hrnoshade="t" o:hr="t" fillcolor="black [3213]" stroked="f"/>
        </w:pict>
      </w:r>
    </w:p>
    <w:p w:rsidR="009774E3" w:rsidRPr="006757EB" w:rsidRDefault="009774E3" w:rsidP="009774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7336A5" w:rsidTr="009774E3">
        <w:tc>
          <w:tcPr>
            <w:tcW w:w="543" w:type="pct"/>
          </w:tcPr>
          <w:p w:rsidR="009774E3" w:rsidRPr="006757EB" w:rsidRDefault="009774E3" w:rsidP="009774E3">
            <w:pPr>
              <w:jc w:val="both"/>
              <w:rPr>
                <w:sz w:val="20"/>
                <w:lang w:val="fr-CA"/>
              </w:rPr>
            </w:pPr>
            <w:r w:rsidRPr="006757EB">
              <w:rPr>
                <w:rStyle w:val="SCCFileNumberChar"/>
                <w:sz w:val="20"/>
                <w:szCs w:val="20"/>
                <w:lang w:val="fr-CA"/>
              </w:rPr>
              <w:t>40150</w:t>
            </w:r>
          </w:p>
        </w:tc>
        <w:tc>
          <w:tcPr>
            <w:tcW w:w="4457" w:type="pct"/>
            <w:gridSpan w:val="3"/>
          </w:tcPr>
          <w:p w:rsidR="009774E3" w:rsidRPr="006757EB" w:rsidRDefault="009774E3" w:rsidP="009774E3">
            <w:pPr>
              <w:pStyle w:val="SCCLsocParty"/>
              <w:jc w:val="both"/>
              <w:rPr>
                <w:b/>
                <w:sz w:val="20"/>
                <w:szCs w:val="20"/>
                <w:lang w:val="en-US"/>
              </w:rPr>
            </w:pPr>
            <w:r w:rsidRPr="006757EB">
              <w:rPr>
                <w:b/>
                <w:sz w:val="20"/>
                <w:szCs w:val="20"/>
                <w:lang w:val="en-US"/>
              </w:rPr>
              <w:t>Jay Link c. John E. Link, Troy Link, John Hermeier et Links Snacks, Inc.</w:t>
            </w:r>
          </w:p>
          <w:p w:rsidR="009774E3" w:rsidRPr="006757EB" w:rsidRDefault="009774E3" w:rsidP="009774E3">
            <w:pPr>
              <w:jc w:val="both"/>
              <w:rPr>
                <w:sz w:val="20"/>
                <w:lang w:val="fr-CA"/>
              </w:rPr>
            </w:pPr>
            <w:r w:rsidRPr="006757EB">
              <w:rPr>
                <w:sz w:val="20"/>
                <w:lang w:val="fr-CA"/>
              </w:rPr>
              <w:t>(N.-É.) (Civile) (Sur autorisation)</w:t>
            </w:r>
          </w:p>
        </w:tc>
      </w:tr>
      <w:tr w:rsidR="009774E3" w:rsidRPr="007336A5" w:rsidTr="009774E3">
        <w:tc>
          <w:tcPr>
            <w:tcW w:w="5000" w:type="pct"/>
            <w:gridSpan w:val="4"/>
          </w:tcPr>
          <w:p w:rsidR="009774E3" w:rsidRPr="006757EB" w:rsidRDefault="009774E3" w:rsidP="009774E3">
            <w:pPr>
              <w:jc w:val="both"/>
              <w:rPr>
                <w:sz w:val="20"/>
                <w:lang w:val="fr-CA"/>
              </w:rPr>
            </w:pPr>
            <w:r w:rsidRPr="006757EB">
              <w:rPr>
                <w:sz w:val="20"/>
                <w:lang w:val="fr-CA"/>
              </w:rPr>
              <w:t>Droit commercial — Sociétés par actions — Droits de l’actionnaire — Actions obliques — Pour appliquer le critère légal relatif aux demandes d’autorisation d’intenter une action oblique, les tribunaux peuvent</w:t>
            </w:r>
            <w:r w:rsidRPr="006757EB">
              <w:rPr>
                <w:sz w:val="20"/>
                <w:lang w:val="fr-CA"/>
              </w:rPr>
              <w:noBreakHyphen/>
              <w:t>ils tirer des conclusions sur la crédibilité dans le cadre de l’évaluation de l’élément de bonne foi du critère? — Les tribunaux peuvent</w:t>
            </w:r>
            <w:r w:rsidRPr="006757EB">
              <w:rPr>
                <w:sz w:val="20"/>
                <w:lang w:val="fr-CA"/>
              </w:rPr>
              <w:noBreakHyphen/>
              <w:t>ils se prononcer sur le bien</w:t>
            </w:r>
            <w:r w:rsidRPr="006757EB">
              <w:rPr>
                <w:sz w:val="20"/>
                <w:lang w:val="fr-CA"/>
              </w:rPr>
              <w:noBreakHyphen/>
              <w:t xml:space="preserve">fondé d’un moyen de défense tiré de la prescription à l’étape de la demande d’autorisation d’intenter une action oblique? — </w:t>
            </w:r>
            <w:r w:rsidRPr="006757EB">
              <w:rPr>
                <w:i/>
                <w:sz w:val="20"/>
                <w:lang w:val="fr-CA"/>
              </w:rPr>
              <w:t>Companies Act</w:t>
            </w:r>
            <w:r w:rsidRPr="006757EB">
              <w:rPr>
                <w:sz w:val="20"/>
                <w:lang w:val="fr-CA"/>
              </w:rPr>
              <w:t>, R.S.N.S. 1989, c. 81, Third Schedule, art. 4.</w:t>
            </w:r>
          </w:p>
        </w:tc>
      </w:tr>
      <w:tr w:rsidR="009774E3" w:rsidRPr="007336A5" w:rsidTr="009774E3">
        <w:tc>
          <w:tcPr>
            <w:tcW w:w="5000" w:type="pct"/>
            <w:gridSpan w:val="4"/>
          </w:tcPr>
          <w:p w:rsidR="009774E3" w:rsidRPr="006757EB" w:rsidRDefault="009774E3" w:rsidP="009774E3">
            <w:pPr>
              <w:jc w:val="both"/>
              <w:rPr>
                <w:sz w:val="20"/>
                <w:lang w:val="fr-CA"/>
              </w:rPr>
            </w:pPr>
          </w:p>
        </w:tc>
      </w:tr>
      <w:tr w:rsidR="009774E3" w:rsidRPr="006757EB" w:rsidTr="009774E3">
        <w:tc>
          <w:tcPr>
            <w:tcW w:w="5000" w:type="pct"/>
            <w:gridSpan w:val="4"/>
          </w:tcPr>
          <w:p w:rsidR="009774E3" w:rsidRPr="006757EB" w:rsidRDefault="009774E3" w:rsidP="009774E3">
            <w:pPr>
              <w:jc w:val="both"/>
              <w:rPr>
                <w:sz w:val="20"/>
                <w:lang w:val="fr-CA"/>
              </w:rPr>
            </w:pPr>
            <w:r w:rsidRPr="006757EB">
              <w:rPr>
                <w:sz w:val="20"/>
                <w:lang w:val="fr-CA"/>
              </w:rPr>
              <w:t>Le demandeur a présenté une demande d’autorisation d’intenter une action au nom de Jack Link’s Canada Company (Link Canada), une société de la Nouvelle</w:t>
            </w:r>
            <w:r w:rsidRPr="006757EB">
              <w:rPr>
                <w:sz w:val="20"/>
                <w:lang w:val="fr-CA"/>
              </w:rPr>
              <w:noBreakHyphen/>
              <w:t>Écosse. Il souhaitait poursuivre Link Snacks, Inc., une société du Wisconsin dont il avait déjà été actionnaire, ainsi que les administrateurs et dirigeants de celle</w:t>
            </w:r>
            <w:r w:rsidRPr="006757EB">
              <w:rPr>
                <w:sz w:val="20"/>
                <w:lang w:val="fr-CA"/>
              </w:rPr>
              <w:noBreakHyphen/>
              <w:t>ci. Le juge saisi de la demande a appliqué le critère à trois volets énoncé dans la loi. Il a conclu que le demandeur n’avait pas réussi à établir deux des trois éléments du critère : il n’avait pas démontré qu’il agissait de bonne foi ou qu’il semblait être dans l’intérêt de Link Canada que l’action soit intentée. En conséquence, le juge saisi de la demande a rejeté celle</w:t>
            </w:r>
            <w:r w:rsidRPr="006757EB">
              <w:rPr>
                <w:sz w:val="20"/>
                <w:lang w:val="fr-CA"/>
              </w:rPr>
              <w:noBreakHyphen/>
              <w:t xml:space="preserve">ci. La Cour d’appel a conclu que le juge saisi de la demande n’avait pas mal appliqué les principes en concluant que le demandeur n’avait pas prouvé qu’il </w:t>
            </w:r>
            <w:proofErr w:type="gramStart"/>
            <w:r w:rsidRPr="006757EB">
              <w:rPr>
                <w:sz w:val="20"/>
                <w:lang w:val="fr-CA"/>
              </w:rPr>
              <w:t>agissait</w:t>
            </w:r>
            <w:proofErr w:type="gramEnd"/>
            <w:r w:rsidRPr="006757EB">
              <w:rPr>
                <w:sz w:val="20"/>
                <w:lang w:val="fr-CA"/>
              </w:rPr>
              <w:t xml:space="preserve"> de bonne foi. Elle a rejeté l’appel.</w:t>
            </w:r>
          </w:p>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15 décembre 2020</w:t>
            </w:r>
          </w:p>
          <w:p w:rsidR="009774E3" w:rsidRPr="006757EB" w:rsidRDefault="009774E3" w:rsidP="009774E3">
            <w:pPr>
              <w:jc w:val="both"/>
              <w:rPr>
                <w:sz w:val="20"/>
                <w:lang w:val="fr-CA"/>
              </w:rPr>
            </w:pPr>
            <w:r w:rsidRPr="006757EB">
              <w:rPr>
                <w:sz w:val="20"/>
                <w:lang w:val="fr-CA"/>
              </w:rPr>
              <w:t>Cour suprême de la Nouvelle</w:t>
            </w:r>
            <w:r w:rsidRPr="006757EB">
              <w:rPr>
                <w:sz w:val="20"/>
                <w:lang w:val="fr-CA"/>
              </w:rPr>
              <w:noBreakHyphen/>
              <w:t>Écosse, Section de première instance</w:t>
            </w:r>
          </w:p>
          <w:p w:rsidR="009774E3" w:rsidRPr="006757EB" w:rsidRDefault="009774E3" w:rsidP="009774E3">
            <w:pPr>
              <w:jc w:val="both"/>
              <w:rPr>
                <w:sz w:val="20"/>
                <w:lang w:val="fr-CA"/>
              </w:rPr>
            </w:pPr>
            <w:r w:rsidRPr="006757EB">
              <w:rPr>
                <w:sz w:val="20"/>
                <w:lang w:val="fr-CA"/>
              </w:rPr>
              <w:t>(juge Rosinski)</w:t>
            </w:r>
          </w:p>
          <w:p w:rsidR="009774E3" w:rsidRPr="006757EB" w:rsidRDefault="007336A5" w:rsidP="009774E3">
            <w:pPr>
              <w:jc w:val="both"/>
              <w:rPr>
                <w:sz w:val="20"/>
                <w:lang w:val="fr-CA"/>
              </w:rPr>
            </w:pPr>
            <w:hyperlink r:id="rId37" w:history="1">
              <w:r w:rsidR="009774E3" w:rsidRPr="006757EB">
                <w:rPr>
                  <w:rStyle w:val="Hyperlink"/>
                  <w:sz w:val="20"/>
                  <w:lang w:val="fr-CA"/>
                </w:rPr>
                <w:t>2020 NSSC 293</w:t>
              </w:r>
            </w:hyperlink>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Rejet de la demande d’autorisation d’intenter une action oblique</w:t>
            </w:r>
          </w:p>
          <w:p w:rsidR="009774E3" w:rsidRPr="006757EB" w:rsidRDefault="009774E3" w:rsidP="009774E3">
            <w:pPr>
              <w:jc w:val="both"/>
              <w:rPr>
                <w:sz w:val="20"/>
                <w:lang w:val="fr-CA"/>
              </w:rPr>
            </w:pPr>
          </w:p>
        </w:tc>
      </w:tr>
      <w:tr w:rsidR="009774E3" w:rsidRPr="006757EB" w:rsidTr="009774E3">
        <w:tc>
          <w:tcPr>
            <w:tcW w:w="2427" w:type="pct"/>
            <w:gridSpan w:val="2"/>
          </w:tcPr>
          <w:p w:rsidR="009774E3" w:rsidRPr="006757EB" w:rsidRDefault="009774E3" w:rsidP="009774E3">
            <w:pPr>
              <w:jc w:val="both"/>
              <w:rPr>
                <w:sz w:val="20"/>
                <w:lang w:val="fr-CA"/>
              </w:rPr>
            </w:pPr>
            <w:r w:rsidRPr="006757EB">
              <w:rPr>
                <w:sz w:val="20"/>
                <w:lang w:val="fr-CA"/>
              </w:rPr>
              <w:t>10 février 2022</w:t>
            </w:r>
          </w:p>
          <w:p w:rsidR="009774E3" w:rsidRPr="006757EB" w:rsidRDefault="009774E3" w:rsidP="009774E3">
            <w:pPr>
              <w:jc w:val="both"/>
              <w:rPr>
                <w:sz w:val="20"/>
                <w:lang w:val="fr-CA"/>
              </w:rPr>
            </w:pPr>
            <w:r w:rsidRPr="006757EB">
              <w:rPr>
                <w:sz w:val="20"/>
                <w:lang w:val="fr-CA"/>
              </w:rPr>
              <w:t>Cour d’appel de la Nouvelle-Écosse</w:t>
            </w:r>
          </w:p>
          <w:p w:rsidR="009774E3" w:rsidRPr="006757EB" w:rsidRDefault="009774E3" w:rsidP="009774E3">
            <w:pPr>
              <w:jc w:val="both"/>
              <w:rPr>
                <w:sz w:val="20"/>
                <w:lang w:val="fr-CA"/>
              </w:rPr>
            </w:pPr>
            <w:r w:rsidRPr="006757EB">
              <w:rPr>
                <w:sz w:val="20"/>
                <w:lang w:val="fr-CA"/>
              </w:rPr>
              <w:t>(juges Beveridge, Bourgeois et Van den Eynden)</w:t>
            </w:r>
          </w:p>
          <w:p w:rsidR="009774E3" w:rsidRPr="006757EB" w:rsidRDefault="007336A5" w:rsidP="009774E3">
            <w:pPr>
              <w:jc w:val="both"/>
              <w:rPr>
                <w:sz w:val="20"/>
                <w:lang w:val="fr-CA"/>
              </w:rPr>
            </w:pPr>
            <w:hyperlink r:id="rId38" w:history="1">
              <w:r w:rsidR="009774E3" w:rsidRPr="006757EB">
                <w:rPr>
                  <w:rStyle w:val="Hyperlink"/>
                  <w:sz w:val="20"/>
                  <w:lang w:val="fr-CA"/>
                </w:rPr>
                <w:t>2022 NSCA 14</w:t>
              </w:r>
            </w:hyperlink>
            <w:r w:rsidR="009774E3" w:rsidRPr="006757EB">
              <w:rPr>
                <w:rStyle w:val="Hyperlink"/>
                <w:sz w:val="20"/>
                <w:lang w:val="fr-CA"/>
              </w:rPr>
              <w:t xml:space="preserve"> (d</w:t>
            </w:r>
            <w:r w:rsidR="009774E3" w:rsidRPr="006757EB">
              <w:rPr>
                <w:sz w:val="20"/>
                <w:lang w:val="fr-CA"/>
              </w:rPr>
              <w:t>ossier : CA 503359)</w:t>
            </w:r>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Rejet de l’appel</w:t>
            </w:r>
          </w:p>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8 avril 2022</w:t>
            </w:r>
          </w:p>
          <w:p w:rsidR="009774E3" w:rsidRPr="006757EB" w:rsidRDefault="009774E3" w:rsidP="009774E3">
            <w:pPr>
              <w:jc w:val="both"/>
              <w:rPr>
                <w:sz w:val="20"/>
                <w:lang w:val="fr-CA"/>
              </w:rPr>
            </w:pPr>
            <w:r w:rsidRPr="006757EB">
              <w:rPr>
                <w:sz w:val="20"/>
                <w:lang w:val="fr-CA"/>
              </w:rPr>
              <w:t>Cour suprême du Canada</w:t>
            </w: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Dépôt de la demande d’autorisation d’appel</w:t>
            </w:r>
          </w:p>
          <w:p w:rsidR="009774E3" w:rsidRPr="006757EB" w:rsidRDefault="009774E3" w:rsidP="009774E3">
            <w:pPr>
              <w:jc w:val="both"/>
              <w:rPr>
                <w:sz w:val="20"/>
                <w:lang w:val="fr-CA"/>
              </w:rPr>
            </w:pPr>
          </w:p>
        </w:tc>
      </w:tr>
    </w:tbl>
    <w:p w:rsidR="009774E3" w:rsidRPr="006757EB" w:rsidRDefault="009774E3" w:rsidP="009774E3">
      <w:pPr>
        <w:jc w:val="both"/>
        <w:rPr>
          <w:sz w:val="20"/>
          <w:lang w:val="fr-CA"/>
        </w:rPr>
      </w:pPr>
    </w:p>
    <w:p w:rsidR="009774E3" w:rsidRPr="006757EB" w:rsidRDefault="007336A5" w:rsidP="009774E3">
      <w:pPr>
        <w:jc w:val="both"/>
        <w:rPr>
          <w:sz w:val="20"/>
          <w:lang w:val="fr-CA"/>
        </w:rPr>
      </w:pPr>
      <w:r>
        <w:rPr>
          <w:sz w:val="20"/>
        </w:rPr>
        <w:pict>
          <v:rect id="_x0000_i1035" style="width:2in;height:1pt" o:hrpct="0" o:hralign="center" o:hrstd="t" o:hrnoshade="t" o:hr="t" fillcolor="black [3213]" stroked="f"/>
        </w:pict>
      </w:r>
    </w:p>
    <w:p w:rsidR="009774E3" w:rsidRPr="006757EB" w:rsidRDefault="009774E3" w:rsidP="009774E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6757EB" w:rsidTr="009774E3">
        <w:tc>
          <w:tcPr>
            <w:tcW w:w="543" w:type="pct"/>
          </w:tcPr>
          <w:p w:rsidR="009774E3" w:rsidRPr="006757EB" w:rsidRDefault="009774E3" w:rsidP="009774E3">
            <w:pPr>
              <w:jc w:val="both"/>
              <w:rPr>
                <w:sz w:val="20"/>
              </w:rPr>
            </w:pPr>
            <w:r w:rsidRPr="006757EB">
              <w:rPr>
                <w:rStyle w:val="SCCFileNumberChar"/>
                <w:sz w:val="20"/>
                <w:szCs w:val="20"/>
              </w:rPr>
              <w:t>40263</w:t>
            </w:r>
          </w:p>
        </w:tc>
        <w:tc>
          <w:tcPr>
            <w:tcW w:w="4457" w:type="pct"/>
            <w:gridSpan w:val="3"/>
          </w:tcPr>
          <w:p w:rsidR="009774E3" w:rsidRPr="006757EB" w:rsidRDefault="009774E3" w:rsidP="009774E3">
            <w:pPr>
              <w:pStyle w:val="SCCLsocParty"/>
              <w:jc w:val="both"/>
              <w:rPr>
                <w:b/>
                <w:sz w:val="20"/>
                <w:szCs w:val="20"/>
                <w:lang w:val="en-US"/>
              </w:rPr>
            </w:pPr>
            <w:r w:rsidRPr="006757EB">
              <w:rPr>
                <w:b/>
                <w:sz w:val="20"/>
                <w:szCs w:val="20"/>
                <w:lang w:val="en-US"/>
              </w:rPr>
              <w:t>Brian Doyle v. Attorney General of Canada</w:t>
            </w:r>
          </w:p>
          <w:p w:rsidR="009774E3" w:rsidRPr="006757EB" w:rsidRDefault="009774E3" w:rsidP="009774E3">
            <w:pPr>
              <w:jc w:val="both"/>
              <w:rPr>
                <w:sz w:val="20"/>
              </w:rPr>
            </w:pPr>
            <w:r w:rsidRPr="006757EB">
              <w:rPr>
                <w:sz w:val="20"/>
              </w:rPr>
              <w:t>(F.C.) (Civil) (By Leave)</w:t>
            </w:r>
          </w:p>
        </w:tc>
      </w:tr>
      <w:tr w:rsidR="009774E3" w:rsidRPr="006757EB" w:rsidTr="009774E3">
        <w:tc>
          <w:tcPr>
            <w:tcW w:w="5000" w:type="pct"/>
            <w:gridSpan w:val="4"/>
          </w:tcPr>
          <w:p w:rsidR="009774E3" w:rsidRPr="006757EB" w:rsidRDefault="009774E3" w:rsidP="009774E3">
            <w:pPr>
              <w:jc w:val="both"/>
              <w:rPr>
                <w:sz w:val="20"/>
              </w:rPr>
            </w:pPr>
            <w:r w:rsidRPr="006757EB">
              <w:rPr>
                <w:sz w:val="20"/>
              </w:rPr>
              <w:t>Administrative law — Appeals — Whether the Federal Court of Appeal erred — Whether this Court can grant the relief sought by the applicant.</w:t>
            </w:r>
          </w:p>
        </w:tc>
      </w:tr>
      <w:tr w:rsidR="009774E3" w:rsidRPr="006757EB" w:rsidTr="009774E3">
        <w:tc>
          <w:tcPr>
            <w:tcW w:w="5000" w:type="pct"/>
            <w:gridSpan w:val="4"/>
          </w:tcPr>
          <w:p w:rsidR="009774E3" w:rsidRPr="006757EB" w:rsidRDefault="009774E3" w:rsidP="009774E3">
            <w:pPr>
              <w:jc w:val="both"/>
              <w:rPr>
                <w:sz w:val="20"/>
              </w:rPr>
            </w:pPr>
          </w:p>
          <w:p w:rsidR="009774E3" w:rsidRPr="006757EB" w:rsidRDefault="009774E3" w:rsidP="009774E3">
            <w:pPr>
              <w:jc w:val="both"/>
              <w:rPr>
                <w:sz w:val="20"/>
              </w:rPr>
            </w:pPr>
            <w:r w:rsidRPr="006757EB">
              <w:rPr>
                <w:sz w:val="20"/>
              </w:rPr>
              <w:t>This application for leave to appeal concerns a decision of the Federal Court of Appeal dismissing the applicant’s appeal of a Federal Court Order referring his workplace violence complaint back to a new investigator and amending the proceeding’s style of cause to remove the National Energy Board.</w:t>
            </w:r>
          </w:p>
        </w:tc>
      </w:tr>
      <w:tr w:rsidR="009774E3" w:rsidRPr="006757EB" w:rsidTr="009774E3">
        <w:tc>
          <w:tcPr>
            <w:tcW w:w="5000" w:type="pct"/>
            <w:gridSpan w:val="4"/>
          </w:tcPr>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February 17, 2020</w:t>
            </w:r>
          </w:p>
          <w:p w:rsidR="009774E3" w:rsidRPr="006757EB" w:rsidRDefault="009774E3" w:rsidP="009774E3">
            <w:pPr>
              <w:jc w:val="both"/>
              <w:rPr>
                <w:sz w:val="20"/>
              </w:rPr>
            </w:pPr>
            <w:r w:rsidRPr="006757EB">
              <w:rPr>
                <w:sz w:val="20"/>
              </w:rPr>
              <w:t>Federal Court</w:t>
            </w:r>
          </w:p>
          <w:p w:rsidR="009774E3" w:rsidRPr="006757EB" w:rsidRDefault="009774E3" w:rsidP="009774E3">
            <w:pPr>
              <w:jc w:val="both"/>
              <w:rPr>
                <w:sz w:val="20"/>
              </w:rPr>
            </w:pPr>
            <w:r w:rsidRPr="006757EB">
              <w:rPr>
                <w:sz w:val="20"/>
              </w:rPr>
              <w:t>(Elliott J.)</w:t>
            </w:r>
          </w:p>
          <w:p w:rsidR="009774E3" w:rsidRPr="006757EB" w:rsidRDefault="007336A5" w:rsidP="009774E3">
            <w:pPr>
              <w:jc w:val="both"/>
              <w:rPr>
                <w:sz w:val="20"/>
              </w:rPr>
            </w:pPr>
            <w:hyperlink r:id="rId39" w:history="1">
              <w:r w:rsidR="009774E3" w:rsidRPr="006757EB">
                <w:rPr>
                  <w:rStyle w:val="Hyperlink"/>
                  <w:sz w:val="20"/>
                </w:rPr>
                <w:t>2020 FC 259</w:t>
              </w:r>
            </w:hyperlink>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Application dismissed</w:t>
            </w:r>
          </w:p>
          <w:p w:rsidR="009774E3" w:rsidRPr="006757EB" w:rsidRDefault="009774E3" w:rsidP="009774E3">
            <w:pPr>
              <w:jc w:val="both"/>
              <w:rPr>
                <w:sz w:val="20"/>
              </w:rPr>
            </w:pP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March 30, 2022</w:t>
            </w:r>
          </w:p>
          <w:p w:rsidR="009774E3" w:rsidRPr="006757EB" w:rsidRDefault="009774E3" w:rsidP="009774E3">
            <w:pPr>
              <w:jc w:val="both"/>
              <w:rPr>
                <w:sz w:val="20"/>
              </w:rPr>
            </w:pPr>
            <w:r w:rsidRPr="006757EB">
              <w:rPr>
                <w:sz w:val="20"/>
              </w:rPr>
              <w:t>Federal Court of Appeal</w:t>
            </w:r>
          </w:p>
          <w:p w:rsidR="009774E3" w:rsidRPr="006757EB" w:rsidRDefault="009774E3" w:rsidP="009774E3">
            <w:pPr>
              <w:jc w:val="both"/>
              <w:rPr>
                <w:sz w:val="20"/>
              </w:rPr>
            </w:pPr>
            <w:r w:rsidRPr="006757EB">
              <w:rPr>
                <w:sz w:val="20"/>
              </w:rPr>
              <w:t>(Stratas, De Montigny, Locke JJ.A)</w:t>
            </w:r>
          </w:p>
          <w:p w:rsidR="009774E3" w:rsidRPr="006757EB" w:rsidRDefault="009774E3" w:rsidP="009774E3">
            <w:pPr>
              <w:jc w:val="both"/>
              <w:rPr>
                <w:sz w:val="20"/>
              </w:rPr>
            </w:pPr>
            <w:r w:rsidRPr="006757EB">
              <w:rPr>
                <w:sz w:val="20"/>
              </w:rPr>
              <w:t xml:space="preserve">A-76-20; </w:t>
            </w:r>
            <w:hyperlink r:id="rId40" w:history="1">
              <w:r w:rsidRPr="006757EB">
                <w:rPr>
                  <w:rStyle w:val="Hyperlink"/>
                  <w:sz w:val="20"/>
                </w:rPr>
                <w:t>2022 FCA 56</w:t>
              </w:r>
            </w:hyperlink>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Appeal dismissed with costs</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May 30, 2022</w:t>
            </w:r>
          </w:p>
          <w:p w:rsidR="009774E3" w:rsidRPr="006757EB" w:rsidRDefault="009774E3" w:rsidP="009774E3">
            <w:pPr>
              <w:jc w:val="both"/>
              <w:rPr>
                <w:sz w:val="20"/>
              </w:rPr>
            </w:pPr>
            <w:r w:rsidRPr="006757EB">
              <w:rPr>
                <w:sz w:val="20"/>
              </w:rPr>
              <w:t>Supreme Court of Canada</w:t>
            </w:r>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Application for leave to appeal filed</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July 17, 2022</w:t>
            </w:r>
          </w:p>
          <w:p w:rsidR="009774E3" w:rsidRPr="006757EB" w:rsidRDefault="009774E3" w:rsidP="009774E3">
            <w:pPr>
              <w:jc w:val="both"/>
              <w:rPr>
                <w:sz w:val="20"/>
              </w:rPr>
            </w:pPr>
            <w:r w:rsidRPr="006757EB">
              <w:rPr>
                <w:sz w:val="20"/>
              </w:rPr>
              <w:t>Supreme Court of Canada</w:t>
            </w: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Motion for an extension of time to serve and file the application for leave to appeal filed</w:t>
            </w:r>
          </w:p>
        </w:tc>
      </w:tr>
    </w:tbl>
    <w:p w:rsidR="009774E3" w:rsidRPr="006757EB" w:rsidRDefault="009774E3" w:rsidP="009774E3">
      <w:pPr>
        <w:jc w:val="both"/>
        <w:rPr>
          <w:sz w:val="20"/>
        </w:rPr>
      </w:pPr>
    </w:p>
    <w:p w:rsidR="009774E3" w:rsidRPr="006757EB" w:rsidRDefault="007336A5" w:rsidP="009774E3">
      <w:pPr>
        <w:jc w:val="both"/>
        <w:rPr>
          <w:sz w:val="20"/>
        </w:rPr>
      </w:pPr>
      <w:r>
        <w:rPr>
          <w:sz w:val="20"/>
        </w:rPr>
        <w:pict>
          <v:rect id="_x0000_i1036" style="width:2in;height:1pt" o:hrpct="0" o:hralign="center" o:hrstd="t" o:hrnoshade="t" o:hr="t" fillcolor="black [3213]" stroked="f"/>
        </w:pict>
      </w:r>
    </w:p>
    <w:p w:rsidR="009774E3" w:rsidRPr="006757EB" w:rsidRDefault="009774E3" w:rsidP="009774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6757EB" w:rsidTr="009774E3">
        <w:tc>
          <w:tcPr>
            <w:tcW w:w="543" w:type="pct"/>
          </w:tcPr>
          <w:p w:rsidR="009774E3" w:rsidRPr="006757EB" w:rsidRDefault="009774E3" w:rsidP="009774E3">
            <w:pPr>
              <w:jc w:val="both"/>
              <w:rPr>
                <w:sz w:val="20"/>
                <w:lang w:val="fr-CA"/>
              </w:rPr>
            </w:pPr>
            <w:r w:rsidRPr="006757EB">
              <w:rPr>
                <w:rStyle w:val="SCCFileNumberChar"/>
                <w:sz w:val="20"/>
                <w:szCs w:val="20"/>
                <w:lang w:val="fr-CA"/>
              </w:rPr>
              <w:t>40263</w:t>
            </w:r>
          </w:p>
        </w:tc>
        <w:tc>
          <w:tcPr>
            <w:tcW w:w="4457" w:type="pct"/>
            <w:gridSpan w:val="3"/>
          </w:tcPr>
          <w:p w:rsidR="009774E3" w:rsidRPr="006757EB" w:rsidRDefault="009774E3" w:rsidP="009774E3">
            <w:pPr>
              <w:pStyle w:val="SCCLsocParty"/>
              <w:jc w:val="both"/>
              <w:rPr>
                <w:b/>
                <w:sz w:val="20"/>
                <w:szCs w:val="20"/>
              </w:rPr>
            </w:pPr>
            <w:r w:rsidRPr="006757EB">
              <w:rPr>
                <w:b/>
                <w:sz w:val="20"/>
                <w:szCs w:val="20"/>
              </w:rPr>
              <w:t>Brian Doyle c. Procureur général du Canada</w:t>
            </w:r>
          </w:p>
          <w:p w:rsidR="009774E3" w:rsidRPr="006757EB" w:rsidRDefault="009774E3" w:rsidP="009774E3">
            <w:pPr>
              <w:jc w:val="both"/>
              <w:rPr>
                <w:sz w:val="20"/>
                <w:lang w:val="fr-CA"/>
              </w:rPr>
            </w:pPr>
            <w:r w:rsidRPr="006757EB">
              <w:rPr>
                <w:sz w:val="20"/>
                <w:lang w:val="fr-CA"/>
              </w:rPr>
              <w:t>(C.F.) (Civile) (Autorisation)</w:t>
            </w:r>
          </w:p>
        </w:tc>
      </w:tr>
      <w:tr w:rsidR="009774E3" w:rsidRPr="007336A5" w:rsidTr="009774E3">
        <w:tc>
          <w:tcPr>
            <w:tcW w:w="5000" w:type="pct"/>
            <w:gridSpan w:val="4"/>
          </w:tcPr>
          <w:p w:rsidR="009774E3" w:rsidRPr="006757EB" w:rsidRDefault="009774E3" w:rsidP="009774E3">
            <w:pPr>
              <w:jc w:val="both"/>
              <w:rPr>
                <w:sz w:val="20"/>
                <w:lang w:val="fr-CA"/>
              </w:rPr>
            </w:pPr>
            <w:r w:rsidRPr="006757EB">
              <w:rPr>
                <w:sz w:val="20"/>
                <w:lang w:val="fr-CA"/>
              </w:rPr>
              <w:t xml:space="preserve">Droit administratif — Appels — La Cour d’appel </w:t>
            </w:r>
            <w:proofErr w:type="gramStart"/>
            <w:r w:rsidRPr="006757EB">
              <w:rPr>
                <w:sz w:val="20"/>
                <w:lang w:val="fr-CA"/>
              </w:rPr>
              <w:t>fédérale</w:t>
            </w:r>
            <w:proofErr w:type="gramEnd"/>
            <w:r w:rsidRPr="006757EB">
              <w:rPr>
                <w:sz w:val="20"/>
                <w:lang w:val="fr-CA"/>
              </w:rPr>
              <w:t xml:space="preserve"> a-t-elle commis une erreur? — Est-il possible d’accorder au demandeur la réparation qu’il sollicite?</w:t>
            </w:r>
          </w:p>
        </w:tc>
      </w:tr>
      <w:tr w:rsidR="009774E3" w:rsidRPr="007336A5" w:rsidTr="009774E3">
        <w:tc>
          <w:tcPr>
            <w:tcW w:w="5000" w:type="pct"/>
            <w:gridSpan w:val="4"/>
          </w:tcPr>
          <w:p w:rsidR="009774E3" w:rsidRPr="006757EB" w:rsidRDefault="009774E3" w:rsidP="009774E3">
            <w:pPr>
              <w:jc w:val="both"/>
              <w:rPr>
                <w:sz w:val="20"/>
                <w:lang w:val="fr-CA"/>
              </w:rPr>
            </w:pPr>
          </w:p>
          <w:p w:rsidR="009774E3" w:rsidRPr="006757EB" w:rsidRDefault="009774E3" w:rsidP="009774E3">
            <w:pPr>
              <w:jc w:val="both"/>
              <w:rPr>
                <w:sz w:val="20"/>
                <w:lang w:val="fr-CA"/>
              </w:rPr>
            </w:pPr>
            <w:r w:rsidRPr="006757EB">
              <w:rPr>
                <w:sz w:val="20"/>
                <w:lang w:val="fr-CA"/>
              </w:rPr>
              <w:t>La demande d’autorisation d’appel en l’espèce porte sur le rejet par la Cour d’appel fédérale de l’appel formé par le demandeur contre la décision de la Cour fédérale qui, d’une part, a renvoyé sa plainte pour violence en milieu de travail afin qu’elle fasse l’objet d’une enquête par une personne différente et, d’autre part, a modifié l’intitulé de l’affaire pour y retirer l’Office national de l’énergie.</w:t>
            </w:r>
          </w:p>
        </w:tc>
      </w:tr>
      <w:tr w:rsidR="009774E3" w:rsidRPr="007336A5" w:rsidTr="009774E3">
        <w:tc>
          <w:tcPr>
            <w:tcW w:w="5000" w:type="pct"/>
            <w:gridSpan w:val="4"/>
          </w:tcPr>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17 février 2020</w:t>
            </w:r>
          </w:p>
          <w:p w:rsidR="009774E3" w:rsidRPr="006757EB" w:rsidRDefault="009774E3" w:rsidP="009774E3">
            <w:pPr>
              <w:jc w:val="both"/>
              <w:rPr>
                <w:sz w:val="20"/>
                <w:lang w:val="fr-CA"/>
              </w:rPr>
            </w:pPr>
            <w:r w:rsidRPr="006757EB">
              <w:rPr>
                <w:sz w:val="20"/>
                <w:lang w:val="fr-CA"/>
              </w:rPr>
              <w:t>Cour fédérale</w:t>
            </w:r>
          </w:p>
          <w:p w:rsidR="009774E3" w:rsidRPr="006757EB" w:rsidRDefault="009774E3" w:rsidP="009774E3">
            <w:pPr>
              <w:jc w:val="both"/>
              <w:rPr>
                <w:sz w:val="20"/>
                <w:lang w:val="fr-CA"/>
              </w:rPr>
            </w:pPr>
            <w:r w:rsidRPr="006757EB">
              <w:rPr>
                <w:sz w:val="20"/>
                <w:lang w:val="fr-CA"/>
              </w:rPr>
              <w:t>(Juge Elliott)</w:t>
            </w:r>
          </w:p>
          <w:p w:rsidR="009774E3" w:rsidRPr="006757EB" w:rsidRDefault="007336A5" w:rsidP="009774E3">
            <w:pPr>
              <w:jc w:val="both"/>
              <w:rPr>
                <w:sz w:val="20"/>
                <w:lang w:val="fr-CA"/>
              </w:rPr>
            </w:pPr>
            <w:hyperlink r:id="rId41" w:history="1">
              <w:r w:rsidR="009774E3" w:rsidRPr="006757EB">
                <w:rPr>
                  <w:rStyle w:val="Hyperlink"/>
                  <w:sz w:val="20"/>
                  <w:lang w:val="fr-CA"/>
                </w:rPr>
                <w:t>2020 CF 259</w:t>
              </w:r>
            </w:hyperlink>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Demande de contrôle judiciaire rejetée.</w:t>
            </w:r>
          </w:p>
          <w:p w:rsidR="009774E3" w:rsidRPr="006757EB" w:rsidRDefault="009774E3" w:rsidP="009774E3">
            <w:pPr>
              <w:jc w:val="both"/>
              <w:rPr>
                <w:sz w:val="20"/>
                <w:lang w:val="fr-CA"/>
              </w:rPr>
            </w:pPr>
          </w:p>
          <w:p w:rsidR="009774E3" w:rsidRPr="006757EB" w:rsidRDefault="009774E3" w:rsidP="009774E3">
            <w:pPr>
              <w:jc w:val="both"/>
              <w:rPr>
                <w:sz w:val="20"/>
                <w:lang w:val="fr-CA"/>
              </w:rPr>
            </w:pPr>
          </w:p>
        </w:tc>
      </w:tr>
      <w:tr w:rsidR="009774E3" w:rsidRPr="006757EB" w:rsidTr="009774E3">
        <w:tc>
          <w:tcPr>
            <w:tcW w:w="2427" w:type="pct"/>
            <w:gridSpan w:val="2"/>
          </w:tcPr>
          <w:p w:rsidR="009774E3" w:rsidRPr="006757EB" w:rsidRDefault="009774E3" w:rsidP="009774E3">
            <w:pPr>
              <w:jc w:val="both"/>
              <w:rPr>
                <w:sz w:val="20"/>
                <w:lang w:val="fr-CA"/>
              </w:rPr>
            </w:pPr>
            <w:r w:rsidRPr="006757EB">
              <w:rPr>
                <w:sz w:val="20"/>
                <w:lang w:val="fr-CA"/>
              </w:rPr>
              <w:t>30 mars 2022</w:t>
            </w:r>
          </w:p>
          <w:p w:rsidR="009774E3" w:rsidRPr="006757EB" w:rsidRDefault="009774E3" w:rsidP="009774E3">
            <w:pPr>
              <w:jc w:val="both"/>
              <w:rPr>
                <w:sz w:val="20"/>
                <w:lang w:val="fr-CA"/>
              </w:rPr>
            </w:pPr>
            <w:r w:rsidRPr="006757EB">
              <w:rPr>
                <w:sz w:val="20"/>
                <w:lang w:val="fr-CA"/>
              </w:rPr>
              <w:t>Cour d’appel fédérale</w:t>
            </w:r>
          </w:p>
          <w:p w:rsidR="009774E3" w:rsidRPr="006757EB" w:rsidRDefault="009774E3" w:rsidP="009774E3">
            <w:pPr>
              <w:jc w:val="both"/>
              <w:rPr>
                <w:sz w:val="20"/>
                <w:lang w:val="fr-CA"/>
              </w:rPr>
            </w:pPr>
            <w:r w:rsidRPr="006757EB">
              <w:rPr>
                <w:sz w:val="20"/>
                <w:lang w:val="fr-CA"/>
              </w:rPr>
              <w:t>(Juges Stratas, de Montigny et Locke)</w:t>
            </w:r>
          </w:p>
          <w:p w:rsidR="009774E3" w:rsidRPr="006757EB" w:rsidRDefault="009774E3" w:rsidP="009774E3">
            <w:pPr>
              <w:jc w:val="both"/>
              <w:rPr>
                <w:sz w:val="20"/>
                <w:lang w:val="fr-CA"/>
              </w:rPr>
            </w:pPr>
            <w:r w:rsidRPr="006757EB">
              <w:rPr>
                <w:sz w:val="20"/>
                <w:lang w:val="fr-CA"/>
              </w:rPr>
              <w:t xml:space="preserve">A-76-20; </w:t>
            </w:r>
            <w:hyperlink r:id="rId42" w:history="1">
              <w:r w:rsidRPr="006757EB">
                <w:rPr>
                  <w:rStyle w:val="Hyperlink"/>
                  <w:sz w:val="20"/>
                  <w:lang w:val="fr-CA"/>
                </w:rPr>
                <w:t>2022 FCA 56</w:t>
              </w:r>
            </w:hyperlink>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 xml:space="preserve">Appel rejeté avec dépens. </w:t>
            </w:r>
          </w:p>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30 mai 2022</w:t>
            </w:r>
          </w:p>
          <w:p w:rsidR="009774E3" w:rsidRPr="006757EB" w:rsidRDefault="009774E3" w:rsidP="009774E3">
            <w:pPr>
              <w:jc w:val="both"/>
              <w:rPr>
                <w:sz w:val="20"/>
                <w:lang w:val="fr-CA"/>
              </w:rPr>
            </w:pPr>
            <w:r w:rsidRPr="006757EB">
              <w:rPr>
                <w:sz w:val="20"/>
                <w:lang w:val="fr-CA"/>
              </w:rPr>
              <w:t>Cour suprême du Canada</w:t>
            </w:r>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 xml:space="preserve">Dépôt de la demande d’autorisation d’appel. </w:t>
            </w:r>
          </w:p>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17 juillet 2022</w:t>
            </w:r>
          </w:p>
          <w:p w:rsidR="009774E3" w:rsidRPr="006757EB" w:rsidRDefault="009774E3" w:rsidP="009774E3">
            <w:pPr>
              <w:jc w:val="both"/>
              <w:rPr>
                <w:sz w:val="20"/>
                <w:lang w:val="fr-CA"/>
              </w:rPr>
            </w:pPr>
            <w:r w:rsidRPr="006757EB">
              <w:rPr>
                <w:sz w:val="20"/>
                <w:lang w:val="fr-CA"/>
              </w:rPr>
              <w:t>Cour suprême du Canada</w:t>
            </w:r>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Dépôt de la requête en prorogation du délai de signification et de dépôt de la demande d’autorisation d’appel.</w:t>
            </w:r>
          </w:p>
        </w:tc>
      </w:tr>
    </w:tbl>
    <w:p w:rsidR="009774E3" w:rsidRPr="006757EB" w:rsidRDefault="009774E3" w:rsidP="009774E3">
      <w:pPr>
        <w:jc w:val="both"/>
        <w:rPr>
          <w:sz w:val="20"/>
          <w:lang w:val="fr-CA"/>
        </w:rPr>
      </w:pPr>
    </w:p>
    <w:p w:rsidR="009774E3" w:rsidRPr="006757EB" w:rsidRDefault="007336A5" w:rsidP="009774E3">
      <w:pPr>
        <w:jc w:val="both"/>
        <w:rPr>
          <w:sz w:val="20"/>
          <w:lang w:val="fr-CA"/>
        </w:rPr>
      </w:pPr>
      <w:r>
        <w:rPr>
          <w:sz w:val="20"/>
        </w:rPr>
        <w:pict>
          <v:rect id="_x0000_i1037" style="width:2in;height:1pt" o:hrpct="0" o:hralign="center" o:hrstd="t" o:hrnoshade="t" o:hr="t" fillcolor="black [3213]" stroked="f"/>
        </w:pict>
      </w:r>
    </w:p>
    <w:p w:rsidR="009774E3" w:rsidRPr="006757EB" w:rsidRDefault="009774E3" w:rsidP="009774E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6757EB" w:rsidTr="009774E3">
        <w:tc>
          <w:tcPr>
            <w:tcW w:w="543" w:type="pct"/>
          </w:tcPr>
          <w:p w:rsidR="009774E3" w:rsidRPr="006757EB" w:rsidRDefault="009774E3" w:rsidP="009774E3">
            <w:pPr>
              <w:jc w:val="both"/>
              <w:rPr>
                <w:sz w:val="20"/>
              </w:rPr>
            </w:pPr>
            <w:r w:rsidRPr="006757EB">
              <w:rPr>
                <w:rStyle w:val="SCCFileNumberChar"/>
                <w:sz w:val="20"/>
                <w:szCs w:val="20"/>
              </w:rPr>
              <w:t>40304</w:t>
            </w:r>
          </w:p>
        </w:tc>
        <w:tc>
          <w:tcPr>
            <w:tcW w:w="4457" w:type="pct"/>
            <w:gridSpan w:val="3"/>
          </w:tcPr>
          <w:p w:rsidR="009774E3" w:rsidRPr="006757EB" w:rsidRDefault="009774E3" w:rsidP="009774E3">
            <w:pPr>
              <w:pStyle w:val="SCCLsocParty"/>
              <w:jc w:val="both"/>
              <w:rPr>
                <w:b/>
                <w:sz w:val="20"/>
                <w:szCs w:val="20"/>
              </w:rPr>
            </w:pPr>
            <w:r w:rsidRPr="006757EB">
              <w:rPr>
                <w:b/>
                <w:sz w:val="20"/>
                <w:szCs w:val="20"/>
              </w:rPr>
              <w:t>S.B. v. Centre intégré de santé et de services sociaux des Laurentides (CISSSLAU), Michèle Pouliot</w:t>
            </w:r>
          </w:p>
          <w:p w:rsidR="009774E3" w:rsidRPr="006757EB" w:rsidRDefault="009774E3" w:rsidP="009774E3">
            <w:pPr>
              <w:jc w:val="both"/>
              <w:rPr>
                <w:sz w:val="20"/>
              </w:rPr>
            </w:pPr>
            <w:r w:rsidRPr="006757EB">
              <w:rPr>
                <w:sz w:val="20"/>
              </w:rPr>
              <w:t>(Que.) (Civil) (By Leave)</w:t>
            </w:r>
          </w:p>
        </w:tc>
      </w:tr>
      <w:tr w:rsidR="009774E3" w:rsidRPr="006757EB" w:rsidTr="009774E3">
        <w:tc>
          <w:tcPr>
            <w:tcW w:w="5000" w:type="pct"/>
            <w:gridSpan w:val="4"/>
          </w:tcPr>
          <w:p w:rsidR="009774E3" w:rsidRPr="006757EB" w:rsidRDefault="009774E3" w:rsidP="009774E3">
            <w:pPr>
              <w:pStyle w:val="SCCBanSummary"/>
              <w:rPr>
                <w:sz w:val="20"/>
                <w:szCs w:val="20"/>
              </w:rPr>
            </w:pPr>
            <w:r w:rsidRPr="006757EB">
              <w:rPr>
                <w:sz w:val="20"/>
                <w:szCs w:val="20"/>
              </w:rPr>
              <w:t>(Publication ban in case) (Publication ban on party)(Certain information not available to the public)</w:t>
            </w:r>
          </w:p>
          <w:p w:rsidR="009774E3" w:rsidRPr="006757EB" w:rsidRDefault="009774E3" w:rsidP="009774E3">
            <w:pPr>
              <w:jc w:val="both"/>
              <w:rPr>
                <w:sz w:val="20"/>
              </w:rPr>
            </w:pPr>
          </w:p>
        </w:tc>
      </w:tr>
      <w:tr w:rsidR="009774E3" w:rsidRPr="006757EB" w:rsidTr="009774E3">
        <w:tc>
          <w:tcPr>
            <w:tcW w:w="5000" w:type="pct"/>
            <w:gridSpan w:val="4"/>
          </w:tcPr>
          <w:p w:rsidR="009774E3" w:rsidRPr="006757EB" w:rsidRDefault="009774E3" w:rsidP="009774E3">
            <w:pPr>
              <w:jc w:val="both"/>
              <w:rPr>
                <w:sz w:val="20"/>
              </w:rPr>
            </w:pPr>
            <w:r w:rsidRPr="006757EB">
              <w:rPr>
                <w:sz w:val="20"/>
              </w:rPr>
              <w:t>Health law — Consent to care — Order authorizing the provision of care — Superior Court issuing order authorizing the provision of care to applicant — Court of Appeal dismissing appeal — Whether the application for leave to appeal raises an issue of public importance.</w:t>
            </w:r>
          </w:p>
          <w:p w:rsidR="009774E3" w:rsidRPr="006757EB" w:rsidRDefault="009774E3" w:rsidP="009774E3">
            <w:pPr>
              <w:jc w:val="both"/>
              <w:rPr>
                <w:sz w:val="20"/>
              </w:rPr>
            </w:pPr>
          </w:p>
        </w:tc>
      </w:tr>
      <w:tr w:rsidR="009774E3" w:rsidRPr="006757EB" w:rsidTr="009774E3">
        <w:tc>
          <w:tcPr>
            <w:tcW w:w="5000" w:type="pct"/>
            <w:gridSpan w:val="4"/>
          </w:tcPr>
          <w:p w:rsidR="009774E3" w:rsidRPr="006757EB" w:rsidRDefault="009774E3" w:rsidP="009774E3">
            <w:pPr>
              <w:jc w:val="both"/>
              <w:rPr>
                <w:sz w:val="20"/>
              </w:rPr>
            </w:pPr>
            <w:r w:rsidRPr="006757EB">
              <w:rPr>
                <w:sz w:val="20"/>
              </w:rPr>
              <w:t xml:space="preserve">In March 2022, the respondents applied to the Superior Court of Quebec for an order authorizing the provision of care in respect of the applicant, S.B., under s. 395 of the </w:t>
            </w:r>
            <w:r w:rsidRPr="006757EB">
              <w:rPr>
                <w:i/>
                <w:sz w:val="20"/>
              </w:rPr>
              <w:t>Code of Civil Procedure</w:t>
            </w:r>
            <w:r w:rsidRPr="006757EB">
              <w:rPr>
                <w:sz w:val="20"/>
              </w:rPr>
              <w:t>. The Superior Court granted the application and issued an order authorizing the provision of care to S.B. for a period of three years. The Court of Appeal of Quebec dismissed S.B.’s appeal.</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March 10, 2022</w:t>
            </w:r>
          </w:p>
          <w:p w:rsidR="009774E3" w:rsidRPr="006757EB" w:rsidRDefault="009774E3" w:rsidP="009774E3">
            <w:pPr>
              <w:jc w:val="both"/>
              <w:rPr>
                <w:sz w:val="20"/>
              </w:rPr>
            </w:pPr>
            <w:r w:rsidRPr="006757EB">
              <w:rPr>
                <w:sz w:val="20"/>
              </w:rPr>
              <w:t>Superior Court of Quebec</w:t>
            </w:r>
          </w:p>
          <w:p w:rsidR="009774E3" w:rsidRPr="006757EB" w:rsidRDefault="009774E3" w:rsidP="009774E3">
            <w:pPr>
              <w:jc w:val="both"/>
              <w:rPr>
                <w:sz w:val="20"/>
              </w:rPr>
            </w:pPr>
            <w:r w:rsidRPr="006757EB">
              <w:rPr>
                <w:sz w:val="20"/>
              </w:rPr>
              <w:t>(Di Donato J.C.Q.)</w:t>
            </w:r>
          </w:p>
          <w:p w:rsidR="009774E3" w:rsidRPr="006757EB" w:rsidRDefault="009774E3" w:rsidP="009774E3">
            <w:pPr>
              <w:jc w:val="both"/>
              <w:rPr>
                <w:sz w:val="20"/>
              </w:rPr>
            </w:pPr>
            <w:r w:rsidRPr="006757EB">
              <w:rPr>
                <w:sz w:val="20"/>
              </w:rPr>
              <w:t>(Unreported)</w:t>
            </w:r>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 xml:space="preserve">Order authorizing the provision of care to the applicant for a period of three years (s. 395 </w:t>
            </w:r>
            <w:r w:rsidRPr="006757EB">
              <w:rPr>
                <w:i/>
                <w:sz w:val="20"/>
              </w:rPr>
              <w:t>C.C.P.</w:t>
            </w:r>
            <w:r w:rsidRPr="006757EB">
              <w:rPr>
                <w:sz w:val="20"/>
              </w:rPr>
              <w:t>).</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May 12, 2022</w:t>
            </w:r>
          </w:p>
          <w:p w:rsidR="009774E3" w:rsidRPr="006757EB" w:rsidRDefault="009774E3" w:rsidP="009774E3">
            <w:pPr>
              <w:jc w:val="both"/>
              <w:rPr>
                <w:sz w:val="20"/>
              </w:rPr>
            </w:pPr>
            <w:r w:rsidRPr="006757EB">
              <w:rPr>
                <w:sz w:val="20"/>
              </w:rPr>
              <w:t>Court of Appeal of Quebec (Montréal)</w:t>
            </w:r>
          </w:p>
          <w:p w:rsidR="009774E3" w:rsidRPr="006757EB" w:rsidRDefault="009774E3" w:rsidP="009774E3">
            <w:pPr>
              <w:jc w:val="both"/>
              <w:rPr>
                <w:sz w:val="20"/>
              </w:rPr>
            </w:pPr>
            <w:r w:rsidRPr="006757EB">
              <w:rPr>
                <w:sz w:val="20"/>
              </w:rPr>
              <w:t>(Lévesque, Schrager and Hogue JJ.A.)</w:t>
            </w:r>
          </w:p>
          <w:p w:rsidR="009774E3" w:rsidRPr="006757EB" w:rsidRDefault="007336A5" w:rsidP="009774E3">
            <w:pPr>
              <w:jc w:val="both"/>
              <w:rPr>
                <w:sz w:val="20"/>
              </w:rPr>
            </w:pPr>
            <w:hyperlink r:id="rId43" w:history="1">
              <w:r w:rsidR="009774E3" w:rsidRPr="006757EB">
                <w:rPr>
                  <w:rStyle w:val="Hyperlink"/>
                  <w:sz w:val="20"/>
                </w:rPr>
                <w:t>2022 QCCA 724</w:t>
              </w:r>
            </w:hyperlink>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rPr>
            </w:pPr>
            <w:r w:rsidRPr="006757EB">
              <w:rPr>
                <w:sz w:val="20"/>
              </w:rPr>
              <w:t>Appeal dismissed.</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August 3, 2022</w:t>
            </w:r>
          </w:p>
          <w:p w:rsidR="009774E3" w:rsidRPr="006757EB" w:rsidRDefault="009774E3" w:rsidP="009774E3">
            <w:pPr>
              <w:jc w:val="both"/>
              <w:rPr>
                <w:sz w:val="20"/>
              </w:rPr>
            </w:pPr>
            <w:r w:rsidRPr="006757EB">
              <w:rPr>
                <w:sz w:val="20"/>
              </w:rPr>
              <w:t>Supreme Court of Canada</w:t>
            </w: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Application for leave to appeal filed</w:t>
            </w:r>
          </w:p>
          <w:p w:rsidR="009774E3" w:rsidRPr="006757EB" w:rsidRDefault="009774E3" w:rsidP="009774E3">
            <w:pPr>
              <w:jc w:val="both"/>
              <w:rPr>
                <w:sz w:val="20"/>
              </w:rPr>
            </w:pPr>
          </w:p>
        </w:tc>
      </w:tr>
    </w:tbl>
    <w:p w:rsidR="009774E3" w:rsidRPr="006757EB" w:rsidRDefault="009774E3" w:rsidP="009774E3">
      <w:pPr>
        <w:jc w:val="both"/>
        <w:rPr>
          <w:sz w:val="20"/>
        </w:rPr>
      </w:pPr>
    </w:p>
    <w:p w:rsidR="009774E3" w:rsidRPr="006757EB" w:rsidRDefault="007336A5" w:rsidP="009774E3">
      <w:pPr>
        <w:jc w:val="both"/>
        <w:rPr>
          <w:sz w:val="20"/>
        </w:rPr>
      </w:pPr>
      <w:r>
        <w:rPr>
          <w:sz w:val="20"/>
        </w:rPr>
        <w:pict>
          <v:rect id="_x0000_i1038" style="width:2in;height:1pt" o:hrpct="0" o:hralign="center" o:hrstd="t" o:hrnoshade="t" o:hr="t" fillcolor="black [3213]" stroked="f"/>
        </w:pict>
      </w:r>
    </w:p>
    <w:p w:rsidR="009774E3" w:rsidRPr="006757EB" w:rsidRDefault="009774E3" w:rsidP="009774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6757EB" w:rsidTr="009774E3">
        <w:tc>
          <w:tcPr>
            <w:tcW w:w="543" w:type="pct"/>
          </w:tcPr>
          <w:p w:rsidR="009774E3" w:rsidRPr="006757EB" w:rsidRDefault="009774E3" w:rsidP="009774E3">
            <w:pPr>
              <w:jc w:val="both"/>
              <w:rPr>
                <w:sz w:val="20"/>
                <w:lang w:val="fr-CA"/>
              </w:rPr>
            </w:pPr>
            <w:r w:rsidRPr="006757EB">
              <w:rPr>
                <w:rStyle w:val="SCCFileNumberChar"/>
                <w:sz w:val="20"/>
                <w:szCs w:val="20"/>
                <w:lang w:val="fr-CA"/>
              </w:rPr>
              <w:t>40304</w:t>
            </w:r>
          </w:p>
        </w:tc>
        <w:tc>
          <w:tcPr>
            <w:tcW w:w="4457" w:type="pct"/>
            <w:gridSpan w:val="3"/>
          </w:tcPr>
          <w:p w:rsidR="009774E3" w:rsidRPr="006757EB" w:rsidRDefault="009774E3" w:rsidP="009774E3">
            <w:pPr>
              <w:pStyle w:val="SCCLsocParty"/>
              <w:jc w:val="both"/>
              <w:rPr>
                <w:b/>
                <w:sz w:val="20"/>
                <w:szCs w:val="20"/>
              </w:rPr>
            </w:pPr>
            <w:r w:rsidRPr="006757EB">
              <w:rPr>
                <w:b/>
                <w:sz w:val="20"/>
                <w:szCs w:val="20"/>
              </w:rPr>
              <w:t>S.B. c. Centre intégré de santé et de services sociaux des Laurentides (CISSSLAU), Michèle Pouliot</w:t>
            </w:r>
          </w:p>
          <w:p w:rsidR="009774E3" w:rsidRPr="006757EB" w:rsidRDefault="009774E3" w:rsidP="009774E3">
            <w:pPr>
              <w:jc w:val="both"/>
              <w:rPr>
                <w:sz w:val="20"/>
                <w:lang w:val="fr-CA"/>
              </w:rPr>
            </w:pPr>
            <w:r w:rsidRPr="006757EB">
              <w:rPr>
                <w:sz w:val="20"/>
                <w:lang w:val="fr-CA"/>
              </w:rPr>
              <w:t>(Qc) (Civile) (Sur autorisation)</w:t>
            </w:r>
          </w:p>
        </w:tc>
      </w:tr>
      <w:tr w:rsidR="009774E3" w:rsidRPr="007336A5" w:rsidTr="009774E3">
        <w:tc>
          <w:tcPr>
            <w:tcW w:w="5000" w:type="pct"/>
            <w:gridSpan w:val="4"/>
          </w:tcPr>
          <w:p w:rsidR="009774E3" w:rsidRPr="006757EB" w:rsidRDefault="009774E3" w:rsidP="009774E3">
            <w:pPr>
              <w:pStyle w:val="SCCBanSummary"/>
              <w:rPr>
                <w:sz w:val="20"/>
                <w:szCs w:val="20"/>
                <w:lang w:val="fr-CA"/>
              </w:rPr>
            </w:pPr>
            <w:r w:rsidRPr="006757EB">
              <w:rPr>
                <w:sz w:val="20"/>
                <w:szCs w:val="20"/>
                <w:lang w:val="fr-CA"/>
              </w:rPr>
              <w:t>(Ordonnance de non-publication dans le dossier) (Ordonnance de non-publication visant une partie) (Certaines informations non disponibles pour le public)</w:t>
            </w:r>
          </w:p>
          <w:p w:rsidR="009774E3" w:rsidRPr="006757EB" w:rsidRDefault="009774E3" w:rsidP="009774E3">
            <w:pPr>
              <w:jc w:val="both"/>
              <w:rPr>
                <w:sz w:val="20"/>
                <w:lang w:val="fr-CA"/>
              </w:rPr>
            </w:pPr>
          </w:p>
        </w:tc>
      </w:tr>
      <w:tr w:rsidR="009774E3" w:rsidRPr="007336A5" w:rsidTr="009774E3">
        <w:tc>
          <w:tcPr>
            <w:tcW w:w="5000" w:type="pct"/>
            <w:gridSpan w:val="4"/>
          </w:tcPr>
          <w:p w:rsidR="009774E3" w:rsidRPr="006757EB" w:rsidRDefault="009774E3" w:rsidP="009774E3">
            <w:pPr>
              <w:jc w:val="both"/>
              <w:rPr>
                <w:sz w:val="20"/>
                <w:lang w:val="fr-CA"/>
              </w:rPr>
            </w:pPr>
            <w:r w:rsidRPr="006757EB">
              <w:rPr>
                <w:sz w:val="20"/>
                <w:lang w:val="fr-CA"/>
              </w:rPr>
              <w:t>Droit de la santé — Consentement à des soins — Ordonnance autorisant des soins — Délivrance par la Cour supérieure d’une ordonnance autorisant les soins à la demanderesse — Rejet de l’appel par la Cour d’appel — La demande d’autorisation d’appel soulève-t-elle une question d’importance pour le public?</w:t>
            </w:r>
          </w:p>
          <w:p w:rsidR="009774E3" w:rsidRPr="006757EB" w:rsidRDefault="009774E3" w:rsidP="009774E3">
            <w:pPr>
              <w:jc w:val="both"/>
              <w:rPr>
                <w:sz w:val="20"/>
                <w:lang w:val="fr-CA"/>
              </w:rPr>
            </w:pPr>
          </w:p>
        </w:tc>
      </w:tr>
      <w:tr w:rsidR="009774E3" w:rsidRPr="007336A5" w:rsidTr="009774E3">
        <w:tc>
          <w:tcPr>
            <w:tcW w:w="5000" w:type="pct"/>
            <w:gridSpan w:val="4"/>
          </w:tcPr>
          <w:p w:rsidR="009774E3" w:rsidRPr="006757EB" w:rsidRDefault="009774E3" w:rsidP="009774E3">
            <w:pPr>
              <w:jc w:val="both"/>
              <w:rPr>
                <w:sz w:val="20"/>
                <w:lang w:val="fr-CA"/>
              </w:rPr>
            </w:pPr>
            <w:r w:rsidRPr="006757EB">
              <w:rPr>
                <w:sz w:val="20"/>
                <w:lang w:val="fr-CA"/>
              </w:rPr>
              <w:t xml:space="preserve">En mars 2022, les intimés ont présenté une demande à la Cour supérieure du Québec en vue d’obtenir une ordonnance autorisant des soins à être prodigués à la demanderesse, S.B., en vertu de l’art. 395 du </w:t>
            </w:r>
            <w:r w:rsidRPr="006757EB">
              <w:rPr>
                <w:i/>
                <w:sz w:val="20"/>
                <w:lang w:val="fr-CA"/>
              </w:rPr>
              <w:t>Code de procédure civile</w:t>
            </w:r>
            <w:r w:rsidRPr="006757EB">
              <w:rPr>
                <w:sz w:val="20"/>
                <w:lang w:val="fr-CA"/>
              </w:rPr>
              <w:t>. La Cour supérieure a accueilli la demande et a rendu une ordonnance autorisant les soins à être prodigués à S.B. pour une période de trois ans. La Cour d’appel du Québec a rejeté l’appel de S.B.</w:t>
            </w:r>
          </w:p>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10 mars 2022</w:t>
            </w:r>
          </w:p>
          <w:p w:rsidR="009774E3" w:rsidRPr="006757EB" w:rsidRDefault="009774E3" w:rsidP="009774E3">
            <w:pPr>
              <w:jc w:val="both"/>
              <w:rPr>
                <w:sz w:val="20"/>
                <w:lang w:val="fr-CA"/>
              </w:rPr>
            </w:pPr>
            <w:r w:rsidRPr="006757EB">
              <w:rPr>
                <w:sz w:val="20"/>
                <w:lang w:val="fr-CA"/>
              </w:rPr>
              <w:t>Cour supérieure de justice du Québec</w:t>
            </w:r>
          </w:p>
          <w:p w:rsidR="009774E3" w:rsidRPr="006757EB" w:rsidRDefault="009774E3" w:rsidP="009774E3">
            <w:pPr>
              <w:jc w:val="both"/>
              <w:rPr>
                <w:sz w:val="20"/>
                <w:lang w:val="fr-CA"/>
              </w:rPr>
            </w:pPr>
            <w:r w:rsidRPr="006757EB">
              <w:rPr>
                <w:sz w:val="20"/>
                <w:lang w:val="fr-CA"/>
              </w:rPr>
              <w:t>(Juge Di Donato)</w:t>
            </w:r>
          </w:p>
          <w:p w:rsidR="009774E3" w:rsidRPr="006757EB" w:rsidRDefault="009774E3" w:rsidP="009774E3">
            <w:pPr>
              <w:jc w:val="both"/>
              <w:rPr>
                <w:sz w:val="20"/>
                <w:lang w:val="fr-CA"/>
              </w:rPr>
            </w:pPr>
            <w:r w:rsidRPr="006757EB">
              <w:rPr>
                <w:sz w:val="20"/>
                <w:lang w:val="fr-CA"/>
              </w:rPr>
              <w:t>(Décision non publiée)</w:t>
            </w:r>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 xml:space="preserve">Ordonnance autorisant les soins à être prodigués à la demanderesse pour une période de trois ans (art. 395 du </w:t>
            </w:r>
            <w:r w:rsidRPr="006757EB">
              <w:rPr>
                <w:i/>
                <w:sz w:val="20"/>
                <w:lang w:val="fr-CA"/>
              </w:rPr>
              <w:t>C.p.c.</w:t>
            </w:r>
            <w:r w:rsidRPr="006757EB">
              <w:rPr>
                <w:sz w:val="20"/>
                <w:lang w:val="fr-CA"/>
              </w:rPr>
              <w:t>)</w:t>
            </w:r>
          </w:p>
          <w:p w:rsidR="009774E3" w:rsidRPr="006757EB" w:rsidRDefault="009774E3" w:rsidP="009774E3">
            <w:pPr>
              <w:jc w:val="both"/>
              <w:rPr>
                <w:sz w:val="20"/>
                <w:lang w:val="fr-CA"/>
              </w:rPr>
            </w:pPr>
          </w:p>
          <w:p w:rsidR="009774E3" w:rsidRPr="006757EB" w:rsidRDefault="009774E3" w:rsidP="009774E3">
            <w:pPr>
              <w:jc w:val="both"/>
              <w:rPr>
                <w:sz w:val="20"/>
                <w:lang w:val="fr-CA"/>
              </w:rPr>
            </w:pPr>
          </w:p>
        </w:tc>
      </w:tr>
      <w:tr w:rsidR="009774E3" w:rsidRPr="006757EB" w:rsidTr="009774E3">
        <w:tc>
          <w:tcPr>
            <w:tcW w:w="2427" w:type="pct"/>
            <w:gridSpan w:val="2"/>
          </w:tcPr>
          <w:p w:rsidR="009774E3" w:rsidRPr="006757EB" w:rsidRDefault="009774E3" w:rsidP="009774E3">
            <w:pPr>
              <w:jc w:val="both"/>
              <w:rPr>
                <w:sz w:val="20"/>
                <w:lang w:val="fr-CA"/>
              </w:rPr>
            </w:pPr>
            <w:r w:rsidRPr="006757EB">
              <w:rPr>
                <w:sz w:val="20"/>
                <w:lang w:val="fr-CA"/>
              </w:rPr>
              <w:t>12 mai 2022</w:t>
            </w:r>
          </w:p>
          <w:p w:rsidR="009774E3" w:rsidRPr="006757EB" w:rsidRDefault="009774E3" w:rsidP="009774E3">
            <w:pPr>
              <w:jc w:val="both"/>
              <w:rPr>
                <w:sz w:val="20"/>
                <w:lang w:val="fr-CA"/>
              </w:rPr>
            </w:pPr>
            <w:r w:rsidRPr="006757EB">
              <w:rPr>
                <w:sz w:val="20"/>
                <w:lang w:val="fr-CA"/>
              </w:rPr>
              <w:t>Cour d’appel du Québec (Montréal)</w:t>
            </w:r>
          </w:p>
          <w:p w:rsidR="009774E3" w:rsidRPr="006757EB" w:rsidRDefault="009774E3" w:rsidP="009774E3">
            <w:pPr>
              <w:jc w:val="both"/>
              <w:rPr>
                <w:sz w:val="20"/>
                <w:lang w:val="fr-CA"/>
              </w:rPr>
            </w:pPr>
            <w:r w:rsidRPr="006757EB">
              <w:rPr>
                <w:sz w:val="20"/>
                <w:lang w:val="fr-CA"/>
              </w:rPr>
              <w:t>(Juges Lévesque, Schrager et Hogue)</w:t>
            </w:r>
          </w:p>
          <w:p w:rsidR="009774E3" w:rsidRPr="006757EB" w:rsidRDefault="007336A5" w:rsidP="009774E3">
            <w:pPr>
              <w:jc w:val="both"/>
              <w:rPr>
                <w:sz w:val="20"/>
                <w:lang w:val="fr-CA"/>
              </w:rPr>
            </w:pPr>
            <w:hyperlink r:id="rId44" w:history="1">
              <w:r w:rsidR="009774E3" w:rsidRPr="006757EB">
                <w:rPr>
                  <w:rStyle w:val="Hyperlink"/>
                  <w:sz w:val="20"/>
                  <w:lang w:val="fr-CA"/>
                </w:rPr>
                <w:t>2022 QCCA 724</w:t>
              </w:r>
            </w:hyperlink>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Appel rejeté</w:t>
            </w:r>
          </w:p>
          <w:p w:rsidR="009774E3" w:rsidRPr="006757EB" w:rsidRDefault="009774E3" w:rsidP="009774E3">
            <w:pPr>
              <w:jc w:val="both"/>
              <w:rPr>
                <w:sz w:val="20"/>
                <w:lang w:val="fr-CA"/>
              </w:rPr>
            </w:pPr>
          </w:p>
        </w:tc>
      </w:tr>
      <w:tr w:rsidR="009774E3" w:rsidRPr="006757EB" w:rsidTr="009774E3">
        <w:tc>
          <w:tcPr>
            <w:tcW w:w="2427" w:type="pct"/>
            <w:gridSpan w:val="2"/>
          </w:tcPr>
          <w:p w:rsidR="009774E3" w:rsidRPr="006757EB" w:rsidRDefault="009774E3" w:rsidP="009774E3">
            <w:pPr>
              <w:jc w:val="both"/>
              <w:rPr>
                <w:sz w:val="20"/>
                <w:lang w:val="fr-CA"/>
              </w:rPr>
            </w:pPr>
            <w:r w:rsidRPr="006757EB">
              <w:rPr>
                <w:sz w:val="20"/>
                <w:lang w:val="fr-CA"/>
              </w:rPr>
              <w:t>3 août 2022</w:t>
            </w:r>
          </w:p>
          <w:p w:rsidR="009774E3" w:rsidRPr="006757EB" w:rsidRDefault="009774E3" w:rsidP="009774E3">
            <w:pPr>
              <w:jc w:val="both"/>
              <w:rPr>
                <w:sz w:val="20"/>
                <w:lang w:val="fr-CA"/>
              </w:rPr>
            </w:pPr>
            <w:r w:rsidRPr="006757EB">
              <w:rPr>
                <w:sz w:val="20"/>
                <w:lang w:val="fr-CA"/>
              </w:rPr>
              <w:t>Cour suprême du Canada</w:t>
            </w: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 xml:space="preserve">Demande d’autorisation d’appel déposée </w:t>
            </w:r>
          </w:p>
          <w:p w:rsidR="009774E3" w:rsidRPr="006757EB" w:rsidRDefault="009774E3" w:rsidP="009774E3">
            <w:pPr>
              <w:jc w:val="both"/>
              <w:rPr>
                <w:sz w:val="20"/>
                <w:lang w:val="fr-CA"/>
              </w:rPr>
            </w:pPr>
          </w:p>
        </w:tc>
      </w:tr>
    </w:tbl>
    <w:p w:rsidR="009774E3" w:rsidRPr="006757EB" w:rsidRDefault="009774E3" w:rsidP="009774E3">
      <w:pPr>
        <w:jc w:val="both"/>
        <w:rPr>
          <w:sz w:val="20"/>
          <w:lang w:val="fr-CA"/>
        </w:rPr>
      </w:pPr>
    </w:p>
    <w:p w:rsidR="009774E3" w:rsidRPr="006757EB" w:rsidRDefault="007336A5" w:rsidP="009774E3">
      <w:pPr>
        <w:jc w:val="both"/>
        <w:rPr>
          <w:sz w:val="20"/>
          <w:lang w:val="fr-CA"/>
        </w:rPr>
      </w:pPr>
      <w:r>
        <w:rPr>
          <w:sz w:val="20"/>
        </w:rPr>
        <w:pict>
          <v:rect id="_x0000_i1039" style="width:2in;height:1pt" o:hrpct="0" o:hralign="center" o:hrstd="t" o:hrnoshade="t" o:hr="t" fillcolor="black [3213]" stroked="f"/>
        </w:pict>
      </w:r>
    </w:p>
    <w:p w:rsidR="009774E3" w:rsidRPr="006757EB" w:rsidRDefault="009774E3" w:rsidP="009774E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6757EB" w:rsidTr="009774E3">
        <w:tc>
          <w:tcPr>
            <w:tcW w:w="543" w:type="pct"/>
          </w:tcPr>
          <w:p w:rsidR="009774E3" w:rsidRPr="006757EB" w:rsidRDefault="009774E3" w:rsidP="009774E3">
            <w:pPr>
              <w:jc w:val="both"/>
              <w:rPr>
                <w:sz w:val="20"/>
                <w:lang w:val="en-CA"/>
              </w:rPr>
            </w:pPr>
            <w:r w:rsidRPr="006757EB">
              <w:rPr>
                <w:rStyle w:val="SCCFileNumberChar"/>
                <w:sz w:val="20"/>
                <w:szCs w:val="20"/>
              </w:rPr>
              <w:t>40128</w:t>
            </w:r>
          </w:p>
        </w:tc>
        <w:tc>
          <w:tcPr>
            <w:tcW w:w="4457" w:type="pct"/>
            <w:gridSpan w:val="3"/>
          </w:tcPr>
          <w:p w:rsidR="009774E3" w:rsidRPr="006757EB" w:rsidRDefault="009774E3" w:rsidP="009774E3">
            <w:pPr>
              <w:pStyle w:val="SCCLsocParty"/>
              <w:jc w:val="both"/>
              <w:rPr>
                <w:b/>
                <w:sz w:val="20"/>
                <w:szCs w:val="20"/>
                <w:lang w:val="en-CA"/>
              </w:rPr>
            </w:pPr>
            <w:r w:rsidRPr="006757EB">
              <w:rPr>
                <w:b/>
                <w:sz w:val="20"/>
                <w:szCs w:val="20"/>
                <w:lang w:val="en-CA"/>
              </w:rPr>
              <w:t>Tahar Amrane v. Ministry of Advanced Education and Skills Development</w:t>
            </w:r>
          </w:p>
          <w:p w:rsidR="009774E3" w:rsidRPr="006757EB" w:rsidRDefault="009774E3" w:rsidP="009774E3">
            <w:pPr>
              <w:jc w:val="both"/>
              <w:rPr>
                <w:sz w:val="20"/>
                <w:lang w:val="en-CA"/>
              </w:rPr>
            </w:pPr>
            <w:r w:rsidRPr="006757EB">
              <w:rPr>
                <w:sz w:val="20"/>
                <w:lang w:val="en-CA"/>
              </w:rPr>
              <w:t>(Ont.) (Civil) (By Leave)</w:t>
            </w:r>
          </w:p>
        </w:tc>
      </w:tr>
      <w:tr w:rsidR="009774E3" w:rsidRPr="006757EB" w:rsidTr="009774E3">
        <w:tc>
          <w:tcPr>
            <w:tcW w:w="5000" w:type="pct"/>
            <w:gridSpan w:val="4"/>
          </w:tcPr>
          <w:p w:rsidR="009774E3" w:rsidRPr="006757EB" w:rsidRDefault="009774E3" w:rsidP="009774E3">
            <w:pPr>
              <w:jc w:val="both"/>
              <w:rPr>
                <w:sz w:val="20"/>
                <w:lang w:val="en-CA"/>
              </w:rPr>
            </w:pPr>
            <w:proofErr w:type="gramStart"/>
            <w:r w:rsidRPr="006757EB">
              <w:rPr>
                <w:sz w:val="20"/>
                <w:lang w:val="en-CA"/>
              </w:rPr>
              <w:t>Charter of Rights</w:t>
            </w:r>
            <w:r w:rsidRPr="006757EB">
              <w:rPr>
                <w:i/>
                <w:sz w:val="20"/>
                <w:lang w:val="en-CA"/>
              </w:rPr>
              <w:t xml:space="preserve"> </w:t>
            </w:r>
            <w:r w:rsidRPr="006757EB">
              <w:rPr>
                <w:sz w:val="20"/>
                <w:lang w:val="en-CA"/>
              </w:rPr>
              <w:t xml:space="preserve">— Minority language educational rights — Judgments and orders — Summary judgments — Applicant alleging that he and other students had been mistreated by university — Claim against Ministry — Striking out of applicant’s action — Whether original source of s. 23 of </w:t>
            </w:r>
            <w:r w:rsidRPr="006757EB">
              <w:rPr>
                <w:i/>
                <w:sz w:val="20"/>
                <w:lang w:val="en-CA"/>
              </w:rPr>
              <w:t>Charter</w:t>
            </w:r>
            <w:r w:rsidRPr="006757EB">
              <w:rPr>
                <w:sz w:val="20"/>
                <w:lang w:val="en-CA"/>
              </w:rPr>
              <w:t xml:space="preserve">, which guarantees minority language educational rights, is substantive equivalence or proportionality — In inquiry based on s. 1 of </w:t>
            </w:r>
            <w:r w:rsidRPr="006757EB">
              <w:rPr>
                <w:i/>
                <w:sz w:val="20"/>
                <w:lang w:val="en-CA"/>
              </w:rPr>
              <w:t>Charter</w:t>
            </w:r>
            <w:r w:rsidRPr="006757EB">
              <w:rPr>
                <w:sz w:val="20"/>
                <w:lang w:val="en-CA"/>
              </w:rPr>
              <w:t xml:space="preserve">, whether it is fair and equitable to challenge very foundation of guaranteed right in order to minimize harm caused by infringement — Whether government policies and violations of privacy are immune with respect to damages under </w:t>
            </w:r>
            <w:r w:rsidRPr="006757EB">
              <w:rPr>
                <w:i/>
                <w:sz w:val="20"/>
                <w:lang w:val="en-CA"/>
              </w:rPr>
              <w:t>Charter</w:t>
            </w:r>
            <w:r w:rsidRPr="006757EB">
              <w:rPr>
                <w:sz w:val="20"/>
                <w:lang w:val="en-CA"/>
              </w:rPr>
              <w:t xml:space="preserve"> — </w:t>
            </w:r>
            <w:r w:rsidRPr="006757EB">
              <w:rPr>
                <w:i/>
                <w:sz w:val="20"/>
                <w:lang w:val="en-CA"/>
              </w:rPr>
              <w:t>Canadian Charter of Rights and Freedoms</w:t>
            </w:r>
            <w:r w:rsidRPr="006757EB">
              <w:rPr>
                <w:sz w:val="20"/>
                <w:lang w:val="en-CA"/>
              </w:rPr>
              <w:t xml:space="preserve">, s. 23 — </w:t>
            </w:r>
            <w:r w:rsidRPr="006757EB">
              <w:rPr>
                <w:i/>
                <w:sz w:val="20"/>
                <w:lang w:val="en-CA"/>
              </w:rPr>
              <w:t>Rules of Civil Procedure</w:t>
            </w:r>
            <w:r w:rsidRPr="006757EB">
              <w:rPr>
                <w:sz w:val="20"/>
                <w:lang w:val="en-CA"/>
              </w:rPr>
              <w:t>, R.R.O. 1990, Reg. 194, Rules 21.01 and 25.</w:t>
            </w:r>
            <w:proofErr w:type="gramEnd"/>
          </w:p>
        </w:tc>
      </w:tr>
      <w:tr w:rsidR="009774E3" w:rsidRPr="006757EB" w:rsidTr="009774E3">
        <w:tc>
          <w:tcPr>
            <w:tcW w:w="5000" w:type="pct"/>
            <w:gridSpan w:val="4"/>
          </w:tcPr>
          <w:p w:rsidR="009774E3" w:rsidRPr="006757EB" w:rsidRDefault="009774E3" w:rsidP="009774E3">
            <w:pPr>
              <w:jc w:val="both"/>
              <w:rPr>
                <w:sz w:val="20"/>
                <w:lang w:val="en-CA"/>
              </w:rPr>
            </w:pPr>
          </w:p>
        </w:tc>
      </w:tr>
      <w:tr w:rsidR="009774E3" w:rsidRPr="006757EB" w:rsidTr="009774E3">
        <w:tc>
          <w:tcPr>
            <w:tcW w:w="5000" w:type="pct"/>
            <w:gridSpan w:val="4"/>
          </w:tcPr>
          <w:p w:rsidR="009774E3" w:rsidRPr="006757EB" w:rsidRDefault="009774E3" w:rsidP="009774E3">
            <w:pPr>
              <w:jc w:val="both"/>
              <w:rPr>
                <w:sz w:val="20"/>
                <w:lang w:val="en-CA"/>
              </w:rPr>
            </w:pPr>
            <w:r w:rsidRPr="006757EB">
              <w:rPr>
                <w:sz w:val="20"/>
                <w:lang w:val="en-CA"/>
              </w:rPr>
              <w:t xml:space="preserve">In a statement of claim against the respondent Ministry, the applicant, Mr. Amrane, alleged that he and other students </w:t>
            </w:r>
            <w:proofErr w:type="gramStart"/>
            <w:r w:rsidRPr="006757EB">
              <w:rPr>
                <w:sz w:val="20"/>
                <w:lang w:val="en-CA"/>
              </w:rPr>
              <w:t>had been mistreated</w:t>
            </w:r>
            <w:proofErr w:type="gramEnd"/>
            <w:r w:rsidRPr="006757EB">
              <w:rPr>
                <w:sz w:val="20"/>
                <w:lang w:val="en-CA"/>
              </w:rPr>
              <w:t xml:space="preserve"> by York University, where he had studied. The claim also alleged that York’s Glendon College had never offered the global geography course in French and had therefore violated s. 23 of the </w:t>
            </w:r>
            <w:r w:rsidRPr="006757EB">
              <w:rPr>
                <w:i/>
                <w:sz w:val="20"/>
                <w:lang w:val="en-CA"/>
              </w:rPr>
              <w:t>Charter</w:t>
            </w:r>
            <w:r w:rsidRPr="006757EB">
              <w:rPr>
                <w:sz w:val="20"/>
                <w:lang w:val="en-CA"/>
              </w:rPr>
              <w:t xml:space="preserve">. The Ministry moved to strike out the statement of claim and dismiss Mr. Amrane’s action. The judge found that it was plain and obvious that the statement of claim disclosed no reasonable claim. She explained that the claims regarding the lack of a degree of supervision of universities by the Ontario government could not form the basis of a valid cause of action. With regard to the arguments concerning language rights, she held that s. 23 of the </w:t>
            </w:r>
            <w:r w:rsidRPr="006757EB">
              <w:rPr>
                <w:i/>
                <w:sz w:val="20"/>
                <w:lang w:val="en-CA"/>
              </w:rPr>
              <w:t>Charter</w:t>
            </w:r>
            <w:r w:rsidRPr="006757EB">
              <w:rPr>
                <w:sz w:val="20"/>
                <w:lang w:val="en-CA"/>
              </w:rPr>
              <w:t xml:space="preserve"> does not apply to post-secondary educational institutions. She therefore granted the motion and dismissed Mr. Amrane’s action. The Court of Appeal dismissed the appeal.</w:t>
            </w:r>
          </w:p>
          <w:p w:rsidR="009774E3" w:rsidRPr="006757EB" w:rsidRDefault="009774E3" w:rsidP="009774E3">
            <w:pPr>
              <w:jc w:val="both"/>
              <w:rPr>
                <w:sz w:val="20"/>
                <w:lang w:val="en-CA"/>
              </w:rPr>
            </w:pPr>
          </w:p>
        </w:tc>
      </w:tr>
      <w:tr w:rsidR="009774E3" w:rsidRPr="006757EB" w:rsidTr="009774E3">
        <w:tc>
          <w:tcPr>
            <w:tcW w:w="2427" w:type="pct"/>
            <w:gridSpan w:val="2"/>
          </w:tcPr>
          <w:p w:rsidR="009774E3" w:rsidRPr="006757EB" w:rsidRDefault="009774E3" w:rsidP="009774E3">
            <w:pPr>
              <w:jc w:val="both"/>
              <w:rPr>
                <w:sz w:val="20"/>
                <w:lang w:val="en-CA"/>
              </w:rPr>
            </w:pPr>
            <w:r w:rsidRPr="006757EB">
              <w:rPr>
                <w:sz w:val="20"/>
                <w:lang w:val="en-CA"/>
              </w:rPr>
              <w:t>May 11, 2020</w:t>
            </w:r>
          </w:p>
          <w:p w:rsidR="009774E3" w:rsidRPr="006757EB" w:rsidRDefault="009774E3" w:rsidP="009774E3">
            <w:pPr>
              <w:jc w:val="both"/>
              <w:rPr>
                <w:sz w:val="20"/>
                <w:lang w:val="en-CA"/>
              </w:rPr>
            </w:pPr>
            <w:r w:rsidRPr="006757EB">
              <w:rPr>
                <w:sz w:val="20"/>
                <w:lang w:val="en-CA"/>
              </w:rPr>
              <w:t>Ontario Superior Court of Justice</w:t>
            </w:r>
          </w:p>
          <w:p w:rsidR="009774E3" w:rsidRPr="006757EB" w:rsidRDefault="009774E3" w:rsidP="009774E3">
            <w:pPr>
              <w:jc w:val="both"/>
              <w:rPr>
                <w:sz w:val="20"/>
                <w:lang w:val="en-CA"/>
              </w:rPr>
            </w:pPr>
            <w:r w:rsidRPr="006757EB">
              <w:rPr>
                <w:sz w:val="20"/>
                <w:lang w:val="en-CA"/>
              </w:rPr>
              <w:t>(</w:t>
            </w:r>
            <w:proofErr w:type="spellStart"/>
            <w:r w:rsidRPr="006757EB">
              <w:rPr>
                <w:sz w:val="20"/>
                <w:lang w:val="en-CA"/>
              </w:rPr>
              <w:t>Pollak</w:t>
            </w:r>
            <w:proofErr w:type="spellEnd"/>
            <w:r w:rsidRPr="006757EB">
              <w:rPr>
                <w:sz w:val="20"/>
                <w:lang w:val="en-CA"/>
              </w:rPr>
              <w:t xml:space="preserve"> J.)</w:t>
            </w:r>
          </w:p>
          <w:p w:rsidR="009774E3" w:rsidRPr="006757EB" w:rsidRDefault="007336A5" w:rsidP="009774E3">
            <w:pPr>
              <w:jc w:val="both"/>
              <w:rPr>
                <w:sz w:val="20"/>
                <w:lang w:val="en-CA"/>
              </w:rPr>
            </w:pPr>
            <w:hyperlink r:id="rId45" w:history="1">
              <w:r w:rsidR="009774E3" w:rsidRPr="006757EB">
                <w:rPr>
                  <w:rStyle w:val="Hyperlink"/>
                  <w:sz w:val="20"/>
                  <w:lang w:val="en-CA"/>
                </w:rPr>
                <w:t>2020 ONSC 2200</w:t>
              </w:r>
            </w:hyperlink>
          </w:p>
          <w:p w:rsidR="009774E3" w:rsidRPr="006757EB" w:rsidRDefault="009774E3" w:rsidP="009774E3">
            <w:pPr>
              <w:jc w:val="both"/>
              <w:rPr>
                <w:sz w:val="20"/>
                <w:lang w:val="en-CA"/>
              </w:rPr>
            </w:pPr>
          </w:p>
        </w:tc>
        <w:tc>
          <w:tcPr>
            <w:tcW w:w="243" w:type="pct"/>
          </w:tcPr>
          <w:p w:rsidR="009774E3" w:rsidRPr="006757EB" w:rsidRDefault="009774E3" w:rsidP="009774E3">
            <w:pPr>
              <w:jc w:val="both"/>
              <w:rPr>
                <w:sz w:val="20"/>
                <w:lang w:val="en-CA"/>
              </w:rPr>
            </w:pPr>
          </w:p>
        </w:tc>
        <w:tc>
          <w:tcPr>
            <w:tcW w:w="2330" w:type="pct"/>
          </w:tcPr>
          <w:p w:rsidR="009774E3" w:rsidRPr="006757EB" w:rsidRDefault="009774E3" w:rsidP="009774E3">
            <w:pPr>
              <w:jc w:val="both"/>
              <w:rPr>
                <w:sz w:val="20"/>
                <w:lang w:val="en-CA"/>
              </w:rPr>
            </w:pPr>
            <w:r w:rsidRPr="006757EB">
              <w:rPr>
                <w:sz w:val="20"/>
                <w:lang w:val="en-CA"/>
              </w:rPr>
              <w:t xml:space="preserve">Motion to strike out applicant’s statement of claim without leave to amend granted; applicant’s action dismissed </w:t>
            </w:r>
          </w:p>
          <w:p w:rsidR="009774E3" w:rsidRPr="006757EB" w:rsidRDefault="009774E3" w:rsidP="009774E3">
            <w:pPr>
              <w:jc w:val="both"/>
              <w:rPr>
                <w:sz w:val="20"/>
                <w:lang w:val="en-CA"/>
              </w:rPr>
            </w:pPr>
          </w:p>
        </w:tc>
      </w:tr>
      <w:tr w:rsidR="009774E3" w:rsidRPr="006757EB" w:rsidTr="009774E3">
        <w:tc>
          <w:tcPr>
            <w:tcW w:w="2427" w:type="pct"/>
            <w:gridSpan w:val="2"/>
          </w:tcPr>
          <w:p w:rsidR="009774E3" w:rsidRPr="006757EB" w:rsidRDefault="009774E3" w:rsidP="009774E3">
            <w:pPr>
              <w:jc w:val="both"/>
              <w:rPr>
                <w:sz w:val="20"/>
                <w:lang w:val="en-CA"/>
              </w:rPr>
            </w:pPr>
            <w:r w:rsidRPr="006757EB">
              <w:rPr>
                <w:sz w:val="20"/>
                <w:lang w:val="en-CA"/>
              </w:rPr>
              <w:t>January 24, 2022</w:t>
            </w:r>
          </w:p>
          <w:p w:rsidR="009774E3" w:rsidRPr="006757EB" w:rsidRDefault="009774E3" w:rsidP="009774E3">
            <w:pPr>
              <w:jc w:val="both"/>
              <w:rPr>
                <w:sz w:val="20"/>
                <w:lang w:val="en-CA"/>
              </w:rPr>
            </w:pPr>
            <w:r w:rsidRPr="006757EB">
              <w:rPr>
                <w:sz w:val="20"/>
                <w:lang w:val="en-CA"/>
              </w:rPr>
              <w:t>Ontario Court of Appeal</w:t>
            </w:r>
          </w:p>
          <w:p w:rsidR="009774E3" w:rsidRPr="006757EB" w:rsidRDefault="009774E3" w:rsidP="009774E3">
            <w:pPr>
              <w:jc w:val="both"/>
              <w:rPr>
                <w:sz w:val="20"/>
                <w:lang w:val="en-CA"/>
              </w:rPr>
            </w:pPr>
            <w:r w:rsidRPr="006757EB">
              <w:rPr>
                <w:sz w:val="20"/>
                <w:lang w:val="en-CA"/>
              </w:rPr>
              <w:t>(Roberts and Harvison Young JJ.A. and Tzimas J. (</w:t>
            </w:r>
            <w:r w:rsidRPr="006757EB">
              <w:rPr>
                <w:i/>
                <w:sz w:val="20"/>
                <w:lang w:val="en-CA"/>
              </w:rPr>
              <w:t>ad hoc</w:t>
            </w:r>
            <w:r w:rsidRPr="006757EB">
              <w:rPr>
                <w:sz w:val="20"/>
                <w:lang w:val="en-CA"/>
              </w:rPr>
              <w:t>))</w:t>
            </w:r>
          </w:p>
          <w:p w:rsidR="009774E3" w:rsidRPr="006757EB" w:rsidRDefault="007336A5" w:rsidP="009774E3">
            <w:pPr>
              <w:jc w:val="both"/>
              <w:rPr>
                <w:sz w:val="20"/>
                <w:lang w:val="en-CA"/>
              </w:rPr>
            </w:pPr>
            <w:hyperlink r:id="rId46" w:history="1">
              <w:r w:rsidR="009774E3" w:rsidRPr="006757EB">
                <w:rPr>
                  <w:rStyle w:val="Hyperlink"/>
                  <w:sz w:val="20"/>
                  <w:lang w:val="en-CA"/>
                </w:rPr>
                <w:t>2022 ONCA 52</w:t>
              </w:r>
            </w:hyperlink>
            <w:r w:rsidR="009774E3" w:rsidRPr="006757EB">
              <w:rPr>
                <w:rStyle w:val="Hyperlink"/>
                <w:sz w:val="20"/>
                <w:lang w:val="en-CA"/>
              </w:rPr>
              <w:t xml:space="preserve"> </w:t>
            </w:r>
            <w:r w:rsidR="009774E3" w:rsidRPr="006757EB">
              <w:rPr>
                <w:sz w:val="20"/>
                <w:lang w:val="en-CA"/>
              </w:rPr>
              <w:t>(file: C68452)</w:t>
            </w:r>
          </w:p>
          <w:p w:rsidR="009774E3" w:rsidRPr="006757EB" w:rsidRDefault="009774E3" w:rsidP="009774E3">
            <w:pPr>
              <w:jc w:val="both"/>
              <w:rPr>
                <w:sz w:val="20"/>
                <w:lang w:val="en-CA"/>
              </w:rPr>
            </w:pPr>
          </w:p>
        </w:tc>
        <w:tc>
          <w:tcPr>
            <w:tcW w:w="243" w:type="pct"/>
          </w:tcPr>
          <w:p w:rsidR="009774E3" w:rsidRPr="006757EB" w:rsidRDefault="009774E3" w:rsidP="009774E3">
            <w:pPr>
              <w:jc w:val="both"/>
              <w:rPr>
                <w:sz w:val="20"/>
                <w:lang w:val="en-CA"/>
              </w:rPr>
            </w:pPr>
          </w:p>
        </w:tc>
        <w:tc>
          <w:tcPr>
            <w:tcW w:w="2330" w:type="pct"/>
          </w:tcPr>
          <w:p w:rsidR="009774E3" w:rsidRPr="006757EB" w:rsidRDefault="009774E3" w:rsidP="009774E3">
            <w:pPr>
              <w:jc w:val="both"/>
              <w:rPr>
                <w:sz w:val="20"/>
                <w:lang w:val="en-CA"/>
              </w:rPr>
            </w:pPr>
            <w:r w:rsidRPr="006757EB">
              <w:rPr>
                <w:sz w:val="20"/>
                <w:lang w:val="en-CA"/>
              </w:rPr>
              <w:t xml:space="preserve">Applicant’s appeal dismissed </w:t>
            </w:r>
          </w:p>
          <w:p w:rsidR="009774E3" w:rsidRPr="006757EB" w:rsidRDefault="009774E3" w:rsidP="009774E3">
            <w:pPr>
              <w:jc w:val="both"/>
              <w:rPr>
                <w:sz w:val="20"/>
                <w:lang w:val="en-CA"/>
              </w:rPr>
            </w:pPr>
          </w:p>
        </w:tc>
      </w:tr>
      <w:tr w:rsidR="009774E3" w:rsidRPr="006757EB" w:rsidTr="009774E3">
        <w:tc>
          <w:tcPr>
            <w:tcW w:w="2427" w:type="pct"/>
            <w:gridSpan w:val="2"/>
          </w:tcPr>
          <w:p w:rsidR="009774E3" w:rsidRPr="006757EB" w:rsidRDefault="009774E3" w:rsidP="009774E3">
            <w:pPr>
              <w:jc w:val="both"/>
              <w:rPr>
                <w:sz w:val="20"/>
                <w:lang w:val="en-CA"/>
              </w:rPr>
            </w:pPr>
            <w:r w:rsidRPr="006757EB">
              <w:rPr>
                <w:sz w:val="20"/>
                <w:lang w:val="en-CA"/>
              </w:rPr>
              <w:t>March 23, 2022</w:t>
            </w:r>
          </w:p>
          <w:p w:rsidR="009774E3" w:rsidRPr="006757EB" w:rsidRDefault="009774E3" w:rsidP="009774E3">
            <w:pPr>
              <w:jc w:val="both"/>
              <w:rPr>
                <w:sz w:val="20"/>
                <w:lang w:val="en-CA"/>
              </w:rPr>
            </w:pPr>
            <w:r w:rsidRPr="006757EB">
              <w:rPr>
                <w:sz w:val="20"/>
                <w:lang w:val="en-CA"/>
              </w:rPr>
              <w:t>Supreme Court of Canada</w:t>
            </w:r>
          </w:p>
        </w:tc>
        <w:tc>
          <w:tcPr>
            <w:tcW w:w="243" w:type="pct"/>
          </w:tcPr>
          <w:p w:rsidR="009774E3" w:rsidRPr="006757EB" w:rsidRDefault="009774E3" w:rsidP="009774E3">
            <w:pPr>
              <w:jc w:val="both"/>
              <w:rPr>
                <w:sz w:val="20"/>
                <w:lang w:val="en-CA"/>
              </w:rPr>
            </w:pPr>
          </w:p>
        </w:tc>
        <w:tc>
          <w:tcPr>
            <w:tcW w:w="2330" w:type="pct"/>
          </w:tcPr>
          <w:p w:rsidR="009774E3" w:rsidRPr="006757EB" w:rsidRDefault="009774E3" w:rsidP="009774E3">
            <w:pPr>
              <w:jc w:val="both"/>
              <w:rPr>
                <w:sz w:val="20"/>
                <w:lang w:val="en-CA"/>
              </w:rPr>
            </w:pPr>
            <w:r w:rsidRPr="006757EB">
              <w:rPr>
                <w:sz w:val="20"/>
                <w:lang w:val="en-CA"/>
              </w:rPr>
              <w:t>Application for leave to appeal filed</w:t>
            </w:r>
          </w:p>
          <w:p w:rsidR="009774E3" w:rsidRPr="006757EB" w:rsidRDefault="009774E3" w:rsidP="009774E3">
            <w:pPr>
              <w:jc w:val="both"/>
              <w:rPr>
                <w:sz w:val="20"/>
                <w:lang w:val="en-CA"/>
              </w:rPr>
            </w:pPr>
          </w:p>
        </w:tc>
      </w:tr>
    </w:tbl>
    <w:p w:rsidR="009774E3" w:rsidRPr="006757EB" w:rsidRDefault="009774E3" w:rsidP="009774E3">
      <w:pPr>
        <w:jc w:val="both"/>
        <w:rPr>
          <w:sz w:val="20"/>
          <w:lang w:val="en-CA"/>
        </w:rPr>
      </w:pPr>
    </w:p>
    <w:p w:rsidR="00464221" w:rsidRPr="006757EB" w:rsidRDefault="007336A5" w:rsidP="009774E3">
      <w:pPr>
        <w:jc w:val="both"/>
        <w:rPr>
          <w:sz w:val="20"/>
          <w:lang w:val="en-CA"/>
        </w:rPr>
      </w:pPr>
      <w:r>
        <w:rPr>
          <w:sz w:val="20"/>
        </w:rPr>
        <w:pict>
          <v:rect id="_x0000_i1040" style="width:2in;height:1pt" o:hrpct="0" o:hralign="center" o:hrstd="t" o:hrnoshade="t" o:hr="t" fillcolor="black [3213]" stroked="f"/>
        </w:pict>
      </w:r>
    </w:p>
    <w:p w:rsidR="00464221" w:rsidRPr="006757EB" w:rsidRDefault="00464221" w:rsidP="009774E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6757EB" w:rsidTr="009774E3">
        <w:tc>
          <w:tcPr>
            <w:tcW w:w="543" w:type="pct"/>
          </w:tcPr>
          <w:p w:rsidR="009774E3" w:rsidRPr="006757EB" w:rsidRDefault="009774E3" w:rsidP="009774E3">
            <w:pPr>
              <w:jc w:val="both"/>
              <w:rPr>
                <w:sz w:val="20"/>
              </w:rPr>
            </w:pPr>
            <w:r w:rsidRPr="006757EB">
              <w:rPr>
                <w:rStyle w:val="SCCFileNumberChar"/>
                <w:sz w:val="20"/>
                <w:szCs w:val="20"/>
              </w:rPr>
              <w:t>40128</w:t>
            </w:r>
          </w:p>
        </w:tc>
        <w:tc>
          <w:tcPr>
            <w:tcW w:w="4457" w:type="pct"/>
            <w:gridSpan w:val="3"/>
          </w:tcPr>
          <w:p w:rsidR="009774E3" w:rsidRPr="006757EB" w:rsidRDefault="009774E3" w:rsidP="009774E3">
            <w:pPr>
              <w:pStyle w:val="SCCLsocParty"/>
              <w:jc w:val="both"/>
              <w:rPr>
                <w:b/>
                <w:sz w:val="20"/>
                <w:szCs w:val="20"/>
              </w:rPr>
            </w:pPr>
            <w:r w:rsidRPr="006757EB">
              <w:rPr>
                <w:b/>
                <w:sz w:val="20"/>
                <w:szCs w:val="20"/>
              </w:rPr>
              <w:t>Tahar Amrane c. Ministère de l’Enseignement supérieur et de la Formation professionnelle</w:t>
            </w:r>
          </w:p>
          <w:p w:rsidR="009774E3" w:rsidRPr="006757EB" w:rsidRDefault="009774E3" w:rsidP="009774E3">
            <w:pPr>
              <w:jc w:val="both"/>
              <w:rPr>
                <w:sz w:val="20"/>
              </w:rPr>
            </w:pPr>
            <w:r w:rsidRPr="006757EB">
              <w:rPr>
                <w:sz w:val="20"/>
              </w:rPr>
              <w:t>(Ont.) (Civile) (Autorisation)</w:t>
            </w:r>
          </w:p>
        </w:tc>
      </w:tr>
      <w:tr w:rsidR="009774E3" w:rsidRPr="007336A5" w:rsidTr="009774E3">
        <w:tc>
          <w:tcPr>
            <w:tcW w:w="5000" w:type="pct"/>
            <w:gridSpan w:val="4"/>
          </w:tcPr>
          <w:p w:rsidR="009774E3" w:rsidRPr="006757EB" w:rsidRDefault="009774E3" w:rsidP="009774E3">
            <w:pPr>
              <w:jc w:val="both"/>
              <w:rPr>
                <w:sz w:val="20"/>
                <w:lang w:val="fr-CA"/>
              </w:rPr>
            </w:pPr>
            <w:r w:rsidRPr="006757EB">
              <w:rPr>
                <w:i/>
                <w:sz w:val="20"/>
                <w:lang w:val="fr-CA"/>
              </w:rPr>
              <w:t xml:space="preserve">Charte des droits </w:t>
            </w:r>
            <w:r w:rsidRPr="006757EB">
              <w:rPr>
                <w:sz w:val="20"/>
                <w:lang w:val="fr-CA"/>
              </w:rPr>
              <w:t xml:space="preserve">— Droit à l’instruction dans la langue de la minorité — Jugements et ordonnances — Jugements sommaires — Demandeur soulevant des allégations de mauvais traitements infligés contre lui et d’autres étudiants par une université — Demande à l’encontre d’un ministère — Radiation de l’action du demandeur — La source originale de l’art. 23 de la </w:t>
            </w:r>
            <w:r w:rsidRPr="006757EB">
              <w:rPr>
                <w:i/>
                <w:sz w:val="20"/>
                <w:lang w:val="fr-CA"/>
              </w:rPr>
              <w:t xml:space="preserve">Charte </w:t>
            </w:r>
            <w:r w:rsidRPr="006757EB">
              <w:rPr>
                <w:sz w:val="20"/>
                <w:lang w:val="fr-CA"/>
              </w:rPr>
              <w:t xml:space="preserve">qui garantit le droit à l’instruction dans la langue de la minorité est-elle l’équivalence réelle ou la proportionnalité? — Dans l’examen à base de l’article premier de la </w:t>
            </w:r>
            <w:r w:rsidRPr="006757EB">
              <w:rPr>
                <w:i/>
                <w:sz w:val="20"/>
                <w:lang w:val="fr-CA"/>
              </w:rPr>
              <w:t>Charte</w:t>
            </w:r>
            <w:r w:rsidRPr="006757EB">
              <w:rPr>
                <w:sz w:val="20"/>
                <w:lang w:val="fr-CA"/>
              </w:rPr>
              <w:t xml:space="preserve">, est-il juste et équitable de contester le socle même d’un droit garanti afin de minimiser le préjudice engendré par l’atteinte? — Les politiques gouvernementales et les violations des vies privées sont-elles immunes vis-à-vis des dommages-intérêts conformément à la </w:t>
            </w:r>
            <w:r w:rsidRPr="006757EB">
              <w:rPr>
                <w:i/>
                <w:sz w:val="20"/>
                <w:lang w:val="fr-CA"/>
              </w:rPr>
              <w:t>Charte</w:t>
            </w:r>
            <w:r w:rsidRPr="006757EB">
              <w:rPr>
                <w:sz w:val="20"/>
                <w:lang w:val="fr-CA"/>
              </w:rPr>
              <w:t xml:space="preserve">? — </w:t>
            </w:r>
            <w:r w:rsidRPr="006757EB">
              <w:rPr>
                <w:i/>
                <w:sz w:val="20"/>
                <w:lang w:val="fr-CA"/>
              </w:rPr>
              <w:t>Charte canadienne des droits et libertés</w:t>
            </w:r>
            <w:r w:rsidRPr="006757EB">
              <w:rPr>
                <w:sz w:val="20"/>
                <w:lang w:val="fr-CA"/>
              </w:rPr>
              <w:t xml:space="preserve">, art. 23 — </w:t>
            </w:r>
            <w:r w:rsidRPr="006757EB">
              <w:rPr>
                <w:i/>
                <w:sz w:val="20"/>
                <w:lang w:val="fr-CA"/>
              </w:rPr>
              <w:t>Règles de procédures civiles</w:t>
            </w:r>
            <w:r w:rsidRPr="006757EB">
              <w:rPr>
                <w:sz w:val="20"/>
                <w:lang w:val="fr-CA"/>
              </w:rPr>
              <w:t>, R.R.O. 1990, Règl. 194, règles 21.01 et 25.</w:t>
            </w:r>
          </w:p>
        </w:tc>
      </w:tr>
      <w:tr w:rsidR="009774E3" w:rsidRPr="007336A5" w:rsidTr="009774E3">
        <w:tc>
          <w:tcPr>
            <w:tcW w:w="5000" w:type="pct"/>
            <w:gridSpan w:val="4"/>
          </w:tcPr>
          <w:p w:rsidR="009774E3" w:rsidRPr="006757EB" w:rsidRDefault="009774E3" w:rsidP="009774E3">
            <w:pPr>
              <w:jc w:val="both"/>
              <w:rPr>
                <w:sz w:val="20"/>
                <w:lang w:val="fr-CA"/>
              </w:rPr>
            </w:pPr>
          </w:p>
        </w:tc>
      </w:tr>
      <w:tr w:rsidR="009774E3" w:rsidRPr="006757EB" w:rsidTr="009774E3">
        <w:tc>
          <w:tcPr>
            <w:tcW w:w="5000" w:type="pct"/>
            <w:gridSpan w:val="4"/>
          </w:tcPr>
          <w:p w:rsidR="009774E3" w:rsidRPr="006757EB" w:rsidRDefault="009774E3" w:rsidP="009774E3">
            <w:pPr>
              <w:jc w:val="both"/>
              <w:rPr>
                <w:sz w:val="20"/>
              </w:rPr>
            </w:pPr>
            <w:r w:rsidRPr="006757EB">
              <w:rPr>
                <w:sz w:val="20"/>
                <w:lang w:val="fr-CA"/>
              </w:rPr>
              <w:t xml:space="preserve">Dans une déclaration à l’encontre du ministère intimé, le demandeur, M. Amrane, présente des allégations de mauvais traitements infligés contre lui et d’autres étudiants l’Université York, où il poursuivait ses études. En outre, la demande allègue que le Collège Glendon de l’université n’a jamais donné le cours de géographie mondiale en français et a donc violé l’art. 23 de la </w:t>
            </w:r>
            <w:r w:rsidRPr="006757EB">
              <w:rPr>
                <w:i/>
                <w:sz w:val="20"/>
                <w:lang w:val="fr-CA"/>
              </w:rPr>
              <w:t>Charte</w:t>
            </w:r>
            <w:r w:rsidRPr="006757EB">
              <w:rPr>
                <w:sz w:val="20"/>
                <w:lang w:val="fr-CA"/>
              </w:rPr>
              <w:t xml:space="preserve">. Le ministère demande la radiation de la déclaration et le rejet de son action. La juge conclut qu’il est évident et manifeste que la déclaration de M. Amrane ne révèle aucune demande raisonnable. Elle explique que les revendications concernant l’absence d’un certain degré de supervision des universités par le gouvernement de l’Ontario ne peuvent pas constituer le fondement d’une cause d’action valable. Pour ce qui est des prétentions portant sur les droits linguistiques, </w:t>
            </w:r>
            <w:proofErr w:type="gramStart"/>
            <w:r w:rsidRPr="006757EB">
              <w:rPr>
                <w:sz w:val="20"/>
                <w:lang w:val="fr-CA"/>
              </w:rPr>
              <w:t>elle conclut</w:t>
            </w:r>
            <w:proofErr w:type="gramEnd"/>
            <w:r w:rsidRPr="006757EB">
              <w:rPr>
                <w:sz w:val="20"/>
                <w:lang w:val="fr-CA"/>
              </w:rPr>
              <w:t xml:space="preserve"> que l’art. 23 de la </w:t>
            </w:r>
            <w:r w:rsidRPr="006757EB">
              <w:rPr>
                <w:i/>
                <w:sz w:val="20"/>
                <w:lang w:val="fr-CA"/>
              </w:rPr>
              <w:t xml:space="preserve">Charte </w:t>
            </w:r>
            <w:r w:rsidRPr="006757EB">
              <w:rPr>
                <w:sz w:val="20"/>
                <w:lang w:val="fr-CA"/>
              </w:rPr>
              <w:t xml:space="preserve">ne s’applique pas aux établissements d’enseignement postsecondaire. Elle accueille donc la motion et rejette l’action de M. Amrane. </w:t>
            </w:r>
            <w:r w:rsidRPr="006757EB">
              <w:rPr>
                <w:sz w:val="20"/>
              </w:rPr>
              <w:t>La Cour d’appel rejette l’appel.</w:t>
            </w:r>
          </w:p>
          <w:p w:rsidR="009774E3" w:rsidRPr="006757EB" w:rsidRDefault="009774E3" w:rsidP="009774E3">
            <w:pPr>
              <w:jc w:val="both"/>
              <w:rPr>
                <w:sz w:val="20"/>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Le 11 mai 2020</w:t>
            </w:r>
          </w:p>
          <w:p w:rsidR="009774E3" w:rsidRPr="006757EB" w:rsidRDefault="009774E3" w:rsidP="009774E3">
            <w:pPr>
              <w:jc w:val="both"/>
              <w:rPr>
                <w:sz w:val="20"/>
                <w:lang w:val="fr-CA"/>
              </w:rPr>
            </w:pPr>
            <w:r w:rsidRPr="006757EB">
              <w:rPr>
                <w:sz w:val="20"/>
                <w:lang w:val="fr-CA"/>
              </w:rPr>
              <w:t>Cour supérieure de justice de l’Ontario</w:t>
            </w:r>
          </w:p>
          <w:p w:rsidR="009774E3" w:rsidRPr="006757EB" w:rsidRDefault="009774E3" w:rsidP="009774E3">
            <w:pPr>
              <w:jc w:val="both"/>
              <w:rPr>
                <w:sz w:val="20"/>
                <w:lang w:val="fr-CA"/>
              </w:rPr>
            </w:pPr>
            <w:r w:rsidRPr="006757EB">
              <w:rPr>
                <w:sz w:val="20"/>
                <w:lang w:val="fr-CA"/>
              </w:rPr>
              <w:t>(la juge Pollak)</w:t>
            </w:r>
          </w:p>
          <w:p w:rsidR="009774E3" w:rsidRPr="006757EB" w:rsidRDefault="009774E3" w:rsidP="009774E3">
            <w:pPr>
              <w:jc w:val="both"/>
              <w:rPr>
                <w:sz w:val="20"/>
                <w:lang w:val="fr-CA"/>
              </w:rPr>
            </w:pPr>
            <w:r w:rsidRPr="006757EB">
              <w:rPr>
                <w:sz w:val="20"/>
                <w:lang w:val="fr-CA"/>
              </w:rPr>
              <w:t>2020 ONSC 2200</w:t>
            </w:r>
          </w:p>
          <w:p w:rsidR="009774E3" w:rsidRPr="006757EB" w:rsidRDefault="009774E3" w:rsidP="009774E3">
            <w:pPr>
              <w:jc w:val="both"/>
              <w:rPr>
                <w:sz w:val="20"/>
                <w:lang w:val="fr-CA"/>
              </w:rPr>
            </w:pPr>
            <w:r w:rsidRPr="006757EB">
              <w:rPr>
                <w:sz w:val="20"/>
                <w:lang w:val="fr-CA"/>
              </w:rPr>
              <w:t xml:space="preserve">(version en anglais disponible sur CanLII : </w:t>
            </w:r>
            <w:hyperlink r:id="rId47" w:history="1">
              <w:r w:rsidRPr="006757EB">
                <w:rPr>
                  <w:rStyle w:val="Hyperlink"/>
                  <w:sz w:val="20"/>
                  <w:lang w:val="fr-CA"/>
                </w:rPr>
                <w:t>2020 ONSC 2200</w:t>
              </w:r>
            </w:hyperlink>
            <w:r w:rsidRPr="006757EB">
              <w:rPr>
                <w:sz w:val="20"/>
                <w:lang w:val="fr-CA"/>
              </w:rPr>
              <w:t>)</w:t>
            </w:r>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 xml:space="preserve">Demande en radiation de la déclaration du demandeur sans autorisation de modification accueillie; action du demandeur rejetée </w:t>
            </w:r>
          </w:p>
          <w:p w:rsidR="009774E3" w:rsidRPr="006757EB" w:rsidRDefault="009774E3" w:rsidP="009774E3">
            <w:pPr>
              <w:jc w:val="both"/>
              <w:rPr>
                <w:sz w:val="20"/>
                <w:lang w:val="fr-CA"/>
              </w:rPr>
            </w:pPr>
          </w:p>
        </w:tc>
      </w:tr>
      <w:tr w:rsidR="009774E3" w:rsidRPr="006757EB" w:rsidTr="009774E3">
        <w:tc>
          <w:tcPr>
            <w:tcW w:w="2427" w:type="pct"/>
            <w:gridSpan w:val="2"/>
          </w:tcPr>
          <w:p w:rsidR="009774E3" w:rsidRPr="006757EB" w:rsidRDefault="009774E3" w:rsidP="009774E3">
            <w:pPr>
              <w:jc w:val="both"/>
              <w:rPr>
                <w:sz w:val="20"/>
                <w:lang w:val="fr-CA"/>
              </w:rPr>
            </w:pPr>
            <w:r w:rsidRPr="006757EB">
              <w:rPr>
                <w:sz w:val="20"/>
                <w:lang w:val="fr-CA"/>
              </w:rPr>
              <w:t>Le 24 janvier 2022</w:t>
            </w:r>
          </w:p>
          <w:p w:rsidR="009774E3" w:rsidRPr="006757EB" w:rsidRDefault="009774E3" w:rsidP="009774E3">
            <w:pPr>
              <w:jc w:val="both"/>
              <w:rPr>
                <w:sz w:val="20"/>
                <w:lang w:val="fr-CA"/>
              </w:rPr>
            </w:pPr>
            <w:r w:rsidRPr="006757EB">
              <w:rPr>
                <w:sz w:val="20"/>
                <w:lang w:val="fr-CA"/>
              </w:rPr>
              <w:t>Cour d’appel de l’Ontario</w:t>
            </w:r>
          </w:p>
          <w:p w:rsidR="009774E3" w:rsidRPr="006757EB" w:rsidRDefault="009774E3" w:rsidP="009774E3">
            <w:pPr>
              <w:jc w:val="both"/>
              <w:rPr>
                <w:sz w:val="20"/>
              </w:rPr>
            </w:pPr>
            <w:r w:rsidRPr="006757EB">
              <w:rPr>
                <w:sz w:val="20"/>
              </w:rPr>
              <w:t>(Les juges Roberts, Harvison Young et Tzimas (</w:t>
            </w:r>
            <w:r w:rsidRPr="006757EB">
              <w:rPr>
                <w:i/>
                <w:sz w:val="20"/>
              </w:rPr>
              <w:t>ad hoc</w:t>
            </w:r>
            <w:r w:rsidRPr="006757EB">
              <w:rPr>
                <w:sz w:val="20"/>
              </w:rPr>
              <w:t>))</w:t>
            </w:r>
          </w:p>
          <w:p w:rsidR="009774E3" w:rsidRPr="006757EB" w:rsidRDefault="007336A5" w:rsidP="009774E3">
            <w:pPr>
              <w:jc w:val="both"/>
              <w:rPr>
                <w:sz w:val="20"/>
              </w:rPr>
            </w:pPr>
            <w:hyperlink r:id="rId48" w:history="1">
              <w:r w:rsidR="009774E3" w:rsidRPr="006757EB">
                <w:rPr>
                  <w:rStyle w:val="Hyperlink"/>
                  <w:sz w:val="20"/>
                </w:rPr>
                <w:t>2022 ONCA 52</w:t>
              </w:r>
            </w:hyperlink>
            <w:r w:rsidR="009774E3" w:rsidRPr="006757EB">
              <w:rPr>
                <w:rStyle w:val="Hyperlink"/>
                <w:sz w:val="20"/>
              </w:rPr>
              <w:t xml:space="preserve"> </w:t>
            </w:r>
            <w:r w:rsidR="009774E3" w:rsidRPr="006757EB">
              <w:rPr>
                <w:sz w:val="20"/>
              </w:rPr>
              <w:t>(dossier : C68452)</w:t>
            </w:r>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 xml:space="preserve">Appel du demandeur rejeté </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lang w:val="fr-CA"/>
              </w:rPr>
            </w:pPr>
            <w:r w:rsidRPr="006757EB">
              <w:rPr>
                <w:sz w:val="20"/>
                <w:lang w:val="fr-CA"/>
              </w:rPr>
              <w:t>Le 23 mars 2022</w:t>
            </w:r>
          </w:p>
          <w:p w:rsidR="009774E3" w:rsidRPr="006757EB" w:rsidRDefault="009774E3" w:rsidP="009774E3">
            <w:pPr>
              <w:jc w:val="both"/>
              <w:rPr>
                <w:sz w:val="20"/>
                <w:lang w:val="fr-CA"/>
              </w:rPr>
            </w:pPr>
            <w:r w:rsidRPr="006757EB">
              <w:rPr>
                <w:sz w:val="20"/>
                <w:lang w:val="fr-CA"/>
              </w:rPr>
              <w:t>Cour suprême du Canada</w:t>
            </w: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rPr>
            </w:pPr>
            <w:r w:rsidRPr="006757EB">
              <w:rPr>
                <w:sz w:val="20"/>
              </w:rPr>
              <w:t>Demande d’autorisation d’appel déposée</w:t>
            </w:r>
          </w:p>
          <w:p w:rsidR="009774E3" w:rsidRPr="006757EB" w:rsidRDefault="009774E3" w:rsidP="009774E3">
            <w:pPr>
              <w:jc w:val="both"/>
              <w:rPr>
                <w:sz w:val="20"/>
              </w:rPr>
            </w:pPr>
          </w:p>
        </w:tc>
      </w:tr>
    </w:tbl>
    <w:p w:rsidR="009774E3" w:rsidRPr="006757EB" w:rsidRDefault="009774E3" w:rsidP="009774E3">
      <w:pPr>
        <w:jc w:val="both"/>
        <w:rPr>
          <w:sz w:val="20"/>
        </w:rPr>
      </w:pPr>
    </w:p>
    <w:p w:rsidR="00464221" w:rsidRPr="006757EB" w:rsidRDefault="007336A5" w:rsidP="009774E3">
      <w:pPr>
        <w:jc w:val="both"/>
        <w:rPr>
          <w:sz w:val="20"/>
        </w:rPr>
      </w:pPr>
      <w:r>
        <w:rPr>
          <w:sz w:val="20"/>
        </w:rPr>
        <w:pict>
          <v:rect id="_x0000_i1041" style="width:2in;height:1pt" o:hrpct="0" o:hralign="center" o:hrstd="t" o:hrnoshade="t" o:hr="t" fillcolor="black [3213]" stroked="f"/>
        </w:pict>
      </w:r>
    </w:p>
    <w:p w:rsidR="00464221" w:rsidRPr="006757EB" w:rsidRDefault="00464221" w:rsidP="009774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6757EB" w:rsidTr="009774E3">
        <w:tc>
          <w:tcPr>
            <w:tcW w:w="543" w:type="pct"/>
          </w:tcPr>
          <w:p w:rsidR="009774E3" w:rsidRPr="006757EB" w:rsidRDefault="009774E3" w:rsidP="009774E3">
            <w:pPr>
              <w:jc w:val="both"/>
              <w:rPr>
                <w:sz w:val="20"/>
              </w:rPr>
            </w:pPr>
            <w:r w:rsidRPr="006757EB">
              <w:rPr>
                <w:rStyle w:val="SCCFileNumberChar"/>
                <w:sz w:val="20"/>
                <w:szCs w:val="20"/>
              </w:rPr>
              <w:t>40217</w:t>
            </w:r>
          </w:p>
        </w:tc>
        <w:tc>
          <w:tcPr>
            <w:tcW w:w="4457" w:type="pct"/>
            <w:gridSpan w:val="3"/>
          </w:tcPr>
          <w:p w:rsidR="009774E3" w:rsidRPr="006757EB" w:rsidRDefault="009774E3" w:rsidP="009774E3">
            <w:pPr>
              <w:pStyle w:val="SCCLsocParty"/>
              <w:jc w:val="both"/>
              <w:rPr>
                <w:b/>
                <w:sz w:val="20"/>
                <w:szCs w:val="20"/>
                <w:lang w:val="en-US"/>
              </w:rPr>
            </w:pPr>
            <w:r w:rsidRPr="006757EB">
              <w:rPr>
                <w:b/>
                <w:sz w:val="20"/>
                <w:szCs w:val="20"/>
                <w:lang w:val="en-US"/>
              </w:rPr>
              <w:t>Sajjad Asghar v. His Majesty the King in Right of Ontario</w:t>
            </w:r>
          </w:p>
          <w:p w:rsidR="009774E3" w:rsidRPr="006757EB" w:rsidRDefault="009774E3" w:rsidP="009774E3">
            <w:pPr>
              <w:jc w:val="both"/>
              <w:rPr>
                <w:sz w:val="20"/>
              </w:rPr>
            </w:pPr>
            <w:r w:rsidRPr="006757EB">
              <w:rPr>
                <w:sz w:val="20"/>
              </w:rPr>
              <w:t>(Ont.) (Civil) (By Leave)</w:t>
            </w:r>
          </w:p>
        </w:tc>
      </w:tr>
      <w:tr w:rsidR="009774E3" w:rsidRPr="006757EB" w:rsidTr="009774E3">
        <w:tc>
          <w:tcPr>
            <w:tcW w:w="5000" w:type="pct"/>
            <w:gridSpan w:val="4"/>
          </w:tcPr>
          <w:p w:rsidR="009774E3" w:rsidRPr="006757EB" w:rsidRDefault="009774E3" w:rsidP="009774E3">
            <w:pPr>
              <w:jc w:val="both"/>
              <w:rPr>
                <w:sz w:val="20"/>
              </w:rPr>
            </w:pPr>
            <w:r w:rsidRPr="006757EB">
              <w:rPr>
                <w:i/>
                <w:sz w:val="20"/>
              </w:rPr>
              <w:t>Charter of Rights</w:t>
            </w:r>
            <w:r w:rsidRPr="006757EB">
              <w:rPr>
                <w:sz w:val="20"/>
              </w:rPr>
              <w:t xml:space="preserve"> — Remedies — Civil procedure — Application to extend time to appeal —Applicant’s motion for extension of time in which to file his appeal dismissed — Whether lower court decisions were frivolous and vexatious — Whether lower court decisions violated applicant’s constitutional and </w:t>
            </w:r>
            <w:r w:rsidRPr="006757EB">
              <w:rPr>
                <w:i/>
                <w:sz w:val="20"/>
              </w:rPr>
              <w:t>Charter</w:t>
            </w:r>
            <w:r w:rsidRPr="006757EB">
              <w:rPr>
                <w:sz w:val="20"/>
              </w:rPr>
              <w:t xml:space="preserve"> rights</w:t>
            </w:r>
          </w:p>
          <w:p w:rsidR="009774E3" w:rsidRPr="006757EB" w:rsidRDefault="009774E3" w:rsidP="009774E3">
            <w:pPr>
              <w:jc w:val="both"/>
              <w:rPr>
                <w:sz w:val="20"/>
              </w:rPr>
            </w:pPr>
          </w:p>
        </w:tc>
      </w:tr>
      <w:tr w:rsidR="009774E3" w:rsidRPr="006757EB" w:rsidTr="009774E3">
        <w:tc>
          <w:tcPr>
            <w:tcW w:w="5000" w:type="pct"/>
            <w:gridSpan w:val="4"/>
          </w:tcPr>
          <w:p w:rsidR="009774E3" w:rsidRPr="006757EB" w:rsidRDefault="009774E3" w:rsidP="009774E3">
            <w:pPr>
              <w:jc w:val="both"/>
              <w:rPr>
                <w:sz w:val="20"/>
              </w:rPr>
            </w:pPr>
            <w:r w:rsidRPr="006757EB">
              <w:rPr>
                <w:sz w:val="20"/>
              </w:rPr>
              <w:t xml:space="preserve">The applicant sought various forms of relief for the failure of various entities and government agencies to conduct an investigation into his allegations that the respondent was responsible for a vast community of organized crime which attacked and threatened him. He sought, </w:t>
            </w:r>
            <w:r w:rsidRPr="006757EB">
              <w:rPr>
                <w:i/>
                <w:sz w:val="20"/>
              </w:rPr>
              <w:t>inter alia</w:t>
            </w:r>
            <w:r w:rsidRPr="006757EB">
              <w:rPr>
                <w:sz w:val="20"/>
              </w:rPr>
              <w:t xml:space="preserve">, a public investigation into these matters and the arrest of the perpetrators. He claimed violation of his </w:t>
            </w:r>
            <w:r w:rsidRPr="006757EB">
              <w:rPr>
                <w:i/>
                <w:sz w:val="20"/>
              </w:rPr>
              <w:t>Charter</w:t>
            </w:r>
            <w:r w:rsidRPr="006757EB">
              <w:rPr>
                <w:sz w:val="20"/>
              </w:rPr>
              <w:t xml:space="preserve"> and constitutional rights to live without “women organized crime.” The motion judge dismissed the applicant’s application was dismissed. The applicant’s application for an extension of time to appeal that order was dismissed. The applicant’s request for a panel review of that decision was dismissed. The respondent’s motion under Rule 2.1 to dismiss the appeal as frivolous, vexatious and an abuse of the process of the court was granted.</w:t>
            </w:r>
          </w:p>
        </w:tc>
      </w:tr>
      <w:tr w:rsidR="009774E3" w:rsidRPr="006757EB" w:rsidTr="009774E3">
        <w:tc>
          <w:tcPr>
            <w:tcW w:w="5000" w:type="pct"/>
            <w:gridSpan w:val="4"/>
          </w:tcPr>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November 17, 2020</w:t>
            </w:r>
          </w:p>
          <w:p w:rsidR="009774E3" w:rsidRPr="006757EB" w:rsidRDefault="009774E3" w:rsidP="009774E3">
            <w:pPr>
              <w:jc w:val="both"/>
              <w:rPr>
                <w:sz w:val="20"/>
              </w:rPr>
            </w:pPr>
            <w:r w:rsidRPr="006757EB">
              <w:rPr>
                <w:sz w:val="20"/>
              </w:rPr>
              <w:t>Ontario Superior Court of Justice</w:t>
            </w:r>
          </w:p>
          <w:p w:rsidR="009774E3" w:rsidRPr="006757EB" w:rsidRDefault="009774E3" w:rsidP="009774E3">
            <w:pPr>
              <w:jc w:val="both"/>
              <w:rPr>
                <w:sz w:val="20"/>
              </w:rPr>
            </w:pPr>
            <w:r w:rsidRPr="006757EB">
              <w:rPr>
                <w:sz w:val="20"/>
              </w:rPr>
              <w:t>(Myers J.)</w:t>
            </w:r>
          </w:p>
          <w:p w:rsidR="009774E3" w:rsidRPr="006757EB" w:rsidRDefault="009774E3" w:rsidP="009774E3">
            <w:pPr>
              <w:jc w:val="both"/>
              <w:rPr>
                <w:sz w:val="20"/>
              </w:rPr>
            </w:pPr>
            <w:r w:rsidRPr="006757EB">
              <w:rPr>
                <w:sz w:val="20"/>
              </w:rPr>
              <w:t>Unreported</w:t>
            </w:r>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Applicant’s application for various relief relating to criminal conspiracies against him dismissed; Applicant’s action dismissed</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April 19, 2021</w:t>
            </w:r>
          </w:p>
          <w:p w:rsidR="009774E3" w:rsidRPr="006757EB" w:rsidRDefault="009774E3" w:rsidP="009774E3">
            <w:pPr>
              <w:jc w:val="both"/>
              <w:rPr>
                <w:sz w:val="20"/>
              </w:rPr>
            </w:pPr>
            <w:r w:rsidRPr="006757EB">
              <w:rPr>
                <w:sz w:val="20"/>
              </w:rPr>
              <w:t>Court of Appeal for Ontario</w:t>
            </w:r>
          </w:p>
          <w:p w:rsidR="009774E3" w:rsidRPr="006757EB" w:rsidRDefault="009774E3" w:rsidP="009774E3">
            <w:pPr>
              <w:jc w:val="both"/>
              <w:rPr>
                <w:sz w:val="20"/>
              </w:rPr>
            </w:pPr>
            <w:r w:rsidRPr="006757EB">
              <w:rPr>
                <w:sz w:val="20"/>
              </w:rPr>
              <w:t>(Pepall J.A.)</w:t>
            </w:r>
          </w:p>
          <w:p w:rsidR="009774E3" w:rsidRPr="006757EB" w:rsidRDefault="009774E3" w:rsidP="009774E3">
            <w:pPr>
              <w:jc w:val="both"/>
              <w:rPr>
                <w:sz w:val="20"/>
              </w:rPr>
            </w:pPr>
            <w:r w:rsidRPr="006757EB">
              <w:rPr>
                <w:sz w:val="20"/>
              </w:rPr>
              <w:t>Unreported</w:t>
            </w:r>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Applicant’s motion for extension of time to appeal lower court order dismissed</w:t>
            </w:r>
          </w:p>
          <w:p w:rsidR="009774E3" w:rsidRPr="006757EB" w:rsidRDefault="009774E3" w:rsidP="009774E3">
            <w:pPr>
              <w:jc w:val="both"/>
              <w:rPr>
                <w:sz w:val="20"/>
              </w:rPr>
            </w:pP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September 10, 2021</w:t>
            </w:r>
          </w:p>
          <w:p w:rsidR="009774E3" w:rsidRPr="006757EB" w:rsidRDefault="009774E3" w:rsidP="009774E3">
            <w:pPr>
              <w:jc w:val="both"/>
              <w:rPr>
                <w:sz w:val="20"/>
              </w:rPr>
            </w:pPr>
            <w:r w:rsidRPr="006757EB">
              <w:rPr>
                <w:sz w:val="20"/>
              </w:rPr>
              <w:t>Court of Appeal for Ontario</w:t>
            </w:r>
          </w:p>
          <w:p w:rsidR="009774E3" w:rsidRPr="006757EB" w:rsidRDefault="009774E3" w:rsidP="009774E3">
            <w:pPr>
              <w:jc w:val="both"/>
              <w:rPr>
                <w:sz w:val="20"/>
              </w:rPr>
            </w:pPr>
            <w:r w:rsidRPr="006757EB">
              <w:rPr>
                <w:sz w:val="20"/>
              </w:rPr>
              <w:t>(Benotto, Brown and Harvison Young JJ.A.)</w:t>
            </w:r>
          </w:p>
          <w:p w:rsidR="009774E3" w:rsidRPr="006757EB" w:rsidRDefault="007336A5" w:rsidP="009774E3">
            <w:pPr>
              <w:jc w:val="both"/>
              <w:rPr>
                <w:sz w:val="20"/>
              </w:rPr>
            </w:pPr>
            <w:hyperlink r:id="rId49" w:history="1">
              <w:r w:rsidR="009774E3" w:rsidRPr="006757EB">
                <w:rPr>
                  <w:rStyle w:val="Hyperlink"/>
                  <w:sz w:val="20"/>
                </w:rPr>
                <w:t>2021 ONCA 615</w:t>
              </w:r>
            </w:hyperlink>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Applicant’s review motion dismissed; Respondent’s Rule 2.1 motion allowed; Applicant’s appeal dismissed</w:t>
            </w:r>
          </w:p>
          <w:p w:rsidR="009774E3" w:rsidRPr="006757EB" w:rsidRDefault="009774E3" w:rsidP="009774E3">
            <w:pPr>
              <w:jc w:val="both"/>
              <w:rPr>
                <w:sz w:val="20"/>
              </w:rPr>
            </w:pP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May 12, 2022</w:t>
            </w:r>
          </w:p>
          <w:p w:rsidR="009774E3" w:rsidRPr="006757EB" w:rsidRDefault="009774E3" w:rsidP="009774E3">
            <w:pPr>
              <w:jc w:val="both"/>
              <w:rPr>
                <w:sz w:val="20"/>
              </w:rPr>
            </w:pPr>
            <w:r w:rsidRPr="006757EB">
              <w:rPr>
                <w:sz w:val="20"/>
              </w:rPr>
              <w:t>Supreme Court of Canada</w:t>
            </w:r>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Motion for extension of time in which to file application for leave to appeal and application for leave to appeal filed</w:t>
            </w:r>
          </w:p>
        </w:tc>
      </w:tr>
    </w:tbl>
    <w:p w:rsidR="009774E3" w:rsidRPr="006757EB" w:rsidRDefault="009774E3" w:rsidP="009774E3">
      <w:pPr>
        <w:jc w:val="both"/>
        <w:rPr>
          <w:sz w:val="20"/>
        </w:rPr>
      </w:pPr>
    </w:p>
    <w:p w:rsidR="00464221" w:rsidRPr="006757EB" w:rsidRDefault="007336A5" w:rsidP="009774E3">
      <w:pPr>
        <w:jc w:val="both"/>
        <w:rPr>
          <w:sz w:val="20"/>
        </w:rPr>
      </w:pPr>
      <w:r>
        <w:rPr>
          <w:sz w:val="20"/>
        </w:rPr>
        <w:pict>
          <v:rect id="_x0000_i1042" style="width:2in;height:1pt" o:hrpct="0" o:hralign="center" o:hrstd="t" o:hrnoshade="t" o:hr="t" fillcolor="black [3213]" stroked="f"/>
        </w:pict>
      </w:r>
    </w:p>
    <w:p w:rsidR="00464221" w:rsidRPr="006757EB" w:rsidRDefault="00464221" w:rsidP="009774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6757EB" w:rsidTr="009774E3">
        <w:tc>
          <w:tcPr>
            <w:tcW w:w="543" w:type="pct"/>
          </w:tcPr>
          <w:p w:rsidR="009774E3" w:rsidRPr="006757EB" w:rsidRDefault="009774E3" w:rsidP="009774E3">
            <w:pPr>
              <w:jc w:val="both"/>
              <w:rPr>
                <w:sz w:val="20"/>
                <w:lang w:val="fr-CA"/>
              </w:rPr>
            </w:pPr>
            <w:r w:rsidRPr="006757EB">
              <w:rPr>
                <w:rStyle w:val="SCCFileNumberChar"/>
                <w:sz w:val="20"/>
                <w:szCs w:val="20"/>
                <w:lang w:val="fr-CA"/>
              </w:rPr>
              <w:t>40217</w:t>
            </w:r>
          </w:p>
        </w:tc>
        <w:tc>
          <w:tcPr>
            <w:tcW w:w="4457" w:type="pct"/>
            <w:gridSpan w:val="3"/>
          </w:tcPr>
          <w:p w:rsidR="009774E3" w:rsidRPr="006757EB" w:rsidRDefault="009774E3" w:rsidP="009774E3">
            <w:pPr>
              <w:pStyle w:val="SCCLsocParty"/>
              <w:jc w:val="both"/>
              <w:rPr>
                <w:b/>
                <w:sz w:val="20"/>
                <w:szCs w:val="20"/>
              </w:rPr>
            </w:pPr>
            <w:r w:rsidRPr="006757EB">
              <w:rPr>
                <w:b/>
                <w:sz w:val="20"/>
                <w:szCs w:val="20"/>
              </w:rPr>
              <w:t>Sajjad Asghar c. Sa Majesté le Roi du chef de l’Ontario</w:t>
            </w:r>
          </w:p>
          <w:p w:rsidR="009774E3" w:rsidRPr="006757EB" w:rsidRDefault="009774E3" w:rsidP="009774E3">
            <w:pPr>
              <w:jc w:val="both"/>
              <w:rPr>
                <w:sz w:val="20"/>
                <w:lang w:val="fr-CA"/>
              </w:rPr>
            </w:pPr>
            <w:r w:rsidRPr="006757EB">
              <w:rPr>
                <w:sz w:val="20"/>
                <w:lang w:val="fr-CA"/>
              </w:rPr>
              <w:t>(Ont.) (Civile) (Autorisation)</w:t>
            </w:r>
          </w:p>
        </w:tc>
      </w:tr>
      <w:tr w:rsidR="009774E3" w:rsidRPr="007336A5" w:rsidTr="009774E3">
        <w:tc>
          <w:tcPr>
            <w:tcW w:w="5000" w:type="pct"/>
            <w:gridSpan w:val="4"/>
          </w:tcPr>
          <w:p w:rsidR="009774E3" w:rsidRPr="006757EB" w:rsidRDefault="009774E3" w:rsidP="009774E3">
            <w:pPr>
              <w:jc w:val="both"/>
              <w:rPr>
                <w:sz w:val="20"/>
                <w:lang w:val="fr-CA"/>
              </w:rPr>
            </w:pPr>
            <w:r w:rsidRPr="006757EB">
              <w:rPr>
                <w:i/>
                <w:sz w:val="20"/>
                <w:lang w:val="fr-CA"/>
              </w:rPr>
              <w:t>Charte des droits</w:t>
            </w:r>
            <w:r w:rsidRPr="006757EB">
              <w:rPr>
                <w:sz w:val="20"/>
                <w:lang w:val="fr-CA"/>
              </w:rPr>
              <w:t xml:space="preserve"> — Réparations — Procédure civile — Demande de prorogation du délai d’appel — Rejet de la motion en prorogation du délai d’appel présentée par le demandeur — Les instances devant les juridictions inférieures étaient-elles frivoles ou vexatoires? — Les décisions des juridictions inférieures portaient-elles atteinte aux droits constitutionnels du demandeur garantis par la </w:t>
            </w:r>
            <w:r w:rsidRPr="006757EB">
              <w:rPr>
                <w:i/>
                <w:sz w:val="20"/>
                <w:lang w:val="fr-CA"/>
              </w:rPr>
              <w:t>Charte</w:t>
            </w:r>
            <w:r w:rsidRPr="006757EB">
              <w:rPr>
                <w:sz w:val="20"/>
                <w:lang w:val="fr-CA"/>
              </w:rPr>
              <w:t>?</w:t>
            </w:r>
          </w:p>
          <w:p w:rsidR="009774E3" w:rsidRPr="006757EB" w:rsidRDefault="009774E3" w:rsidP="009774E3">
            <w:pPr>
              <w:jc w:val="both"/>
              <w:rPr>
                <w:sz w:val="20"/>
                <w:lang w:val="fr-CA"/>
              </w:rPr>
            </w:pPr>
          </w:p>
        </w:tc>
      </w:tr>
      <w:tr w:rsidR="009774E3" w:rsidRPr="007336A5" w:rsidTr="009774E3">
        <w:tc>
          <w:tcPr>
            <w:tcW w:w="5000" w:type="pct"/>
            <w:gridSpan w:val="4"/>
          </w:tcPr>
          <w:p w:rsidR="009774E3" w:rsidRPr="006757EB" w:rsidRDefault="009774E3" w:rsidP="009774E3">
            <w:pPr>
              <w:jc w:val="both"/>
              <w:rPr>
                <w:sz w:val="20"/>
                <w:lang w:val="fr-CA"/>
              </w:rPr>
            </w:pPr>
            <w:r w:rsidRPr="006757EB">
              <w:rPr>
                <w:sz w:val="20"/>
                <w:lang w:val="fr-CA"/>
              </w:rPr>
              <w:t xml:space="preserve">Le demandeur a tenté d’obtenir diverses formes de réparations au motif que des entités et agences gouvernementales avaient omis d’enquêter sur ses prétentions selon lesquelles le ministère public était responsable d’une vaste communauté de crime organisé qui l’avait attaqué et menacé. Il a entre autres réclamé la tenue d’une enquête publique à ce sujet ainsi que l’arrestation des coupables. Il a fait valoir que son droit constitutionnel, protégé par la </w:t>
            </w:r>
            <w:r w:rsidRPr="006757EB">
              <w:rPr>
                <w:i/>
                <w:sz w:val="20"/>
                <w:lang w:val="fr-CA"/>
              </w:rPr>
              <w:t>Charte</w:t>
            </w:r>
            <w:r w:rsidRPr="006757EB">
              <w:rPr>
                <w:sz w:val="20"/>
                <w:lang w:val="fr-CA"/>
              </w:rPr>
              <w:t>, de vivre à l’abri du [</w:t>
            </w:r>
            <w:r w:rsidRPr="006757EB">
              <w:rPr>
                <w:smallCaps/>
                <w:sz w:val="20"/>
                <w:lang w:val="fr-CA"/>
              </w:rPr>
              <w:t>traduction</w:t>
            </w:r>
            <w:r w:rsidRPr="006757EB">
              <w:rPr>
                <w:sz w:val="20"/>
                <w:lang w:val="fr-CA"/>
              </w:rPr>
              <w:t xml:space="preserve">] « crime organisé par des femmes » avait été violé. Le juge de première instance a rejeté l’acte introductif d’instance. Le demandeur a présenté une motion pour proroger le délai d’appel, laquelle a été rejetée. Il a demandé que cette décision soit révisée par une formation de juges, demande qui a également été rejetée. L’intimé a présenté avec succès une motion au titre de la règle 2.1 pour que le tribunal rejette l’appel au motif qu’il s’agissait d’une instance frivole, vexatoire et constituant un recours abusif. </w:t>
            </w:r>
          </w:p>
        </w:tc>
      </w:tr>
      <w:tr w:rsidR="009774E3" w:rsidRPr="007336A5" w:rsidTr="009774E3">
        <w:tc>
          <w:tcPr>
            <w:tcW w:w="5000" w:type="pct"/>
            <w:gridSpan w:val="4"/>
          </w:tcPr>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17 novembre 2020</w:t>
            </w:r>
          </w:p>
          <w:p w:rsidR="009774E3" w:rsidRPr="006757EB" w:rsidRDefault="009774E3" w:rsidP="009774E3">
            <w:pPr>
              <w:jc w:val="both"/>
              <w:rPr>
                <w:sz w:val="20"/>
                <w:lang w:val="fr-CA"/>
              </w:rPr>
            </w:pPr>
            <w:r w:rsidRPr="006757EB">
              <w:rPr>
                <w:sz w:val="20"/>
                <w:lang w:val="fr-CA"/>
              </w:rPr>
              <w:t>Cour supérieure de justice de l’Ontario</w:t>
            </w:r>
          </w:p>
          <w:p w:rsidR="009774E3" w:rsidRPr="006757EB" w:rsidRDefault="009774E3" w:rsidP="009774E3">
            <w:pPr>
              <w:jc w:val="both"/>
              <w:rPr>
                <w:sz w:val="20"/>
                <w:lang w:val="fr-CA"/>
              </w:rPr>
            </w:pPr>
            <w:r w:rsidRPr="006757EB">
              <w:rPr>
                <w:sz w:val="20"/>
                <w:lang w:val="fr-CA"/>
              </w:rPr>
              <w:t>(Juge Myers)</w:t>
            </w:r>
          </w:p>
          <w:p w:rsidR="009774E3" w:rsidRPr="006757EB" w:rsidRDefault="009774E3" w:rsidP="009774E3">
            <w:pPr>
              <w:jc w:val="both"/>
              <w:rPr>
                <w:sz w:val="20"/>
                <w:lang w:val="fr-CA"/>
              </w:rPr>
            </w:pPr>
            <w:r w:rsidRPr="006757EB">
              <w:rPr>
                <w:sz w:val="20"/>
                <w:lang w:val="fr-CA"/>
              </w:rPr>
              <w:t>Non publié</w:t>
            </w:r>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 xml:space="preserve">Rejet de la demande de réparations diverses pour complots criminels contre le demandeur; action du demandeur rejetée. </w:t>
            </w:r>
          </w:p>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19 avril 2021</w:t>
            </w:r>
          </w:p>
          <w:p w:rsidR="009774E3" w:rsidRPr="006757EB" w:rsidRDefault="009774E3" w:rsidP="009774E3">
            <w:pPr>
              <w:jc w:val="both"/>
              <w:rPr>
                <w:sz w:val="20"/>
                <w:lang w:val="fr-CA"/>
              </w:rPr>
            </w:pPr>
            <w:r w:rsidRPr="006757EB">
              <w:rPr>
                <w:sz w:val="20"/>
                <w:lang w:val="fr-CA"/>
              </w:rPr>
              <w:t>Cour d’appel de l’Ontario</w:t>
            </w:r>
          </w:p>
          <w:p w:rsidR="009774E3" w:rsidRPr="006757EB" w:rsidRDefault="009774E3" w:rsidP="009774E3">
            <w:pPr>
              <w:jc w:val="both"/>
              <w:rPr>
                <w:sz w:val="20"/>
                <w:lang w:val="fr-CA"/>
              </w:rPr>
            </w:pPr>
            <w:r w:rsidRPr="006757EB">
              <w:rPr>
                <w:sz w:val="20"/>
                <w:lang w:val="fr-CA"/>
              </w:rPr>
              <w:t>(Juge Pepall)</w:t>
            </w:r>
          </w:p>
          <w:p w:rsidR="009774E3" w:rsidRPr="006757EB" w:rsidRDefault="009774E3" w:rsidP="009774E3">
            <w:pPr>
              <w:jc w:val="both"/>
              <w:rPr>
                <w:sz w:val="20"/>
                <w:lang w:val="fr-CA"/>
              </w:rPr>
            </w:pPr>
            <w:r w:rsidRPr="006757EB">
              <w:rPr>
                <w:sz w:val="20"/>
                <w:lang w:val="fr-CA"/>
              </w:rPr>
              <w:t>Non publié</w:t>
            </w:r>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 xml:space="preserve">Rejet de la motion en prorogation du délai d’appel présentée par le demandeur. </w:t>
            </w:r>
          </w:p>
          <w:p w:rsidR="009774E3" w:rsidRPr="006757EB" w:rsidRDefault="009774E3" w:rsidP="009774E3">
            <w:pPr>
              <w:jc w:val="both"/>
              <w:rPr>
                <w:sz w:val="20"/>
                <w:lang w:val="fr-CA"/>
              </w:rPr>
            </w:pPr>
          </w:p>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10 septembre 2021</w:t>
            </w:r>
          </w:p>
          <w:p w:rsidR="009774E3" w:rsidRPr="006757EB" w:rsidRDefault="009774E3" w:rsidP="009774E3">
            <w:pPr>
              <w:jc w:val="both"/>
              <w:rPr>
                <w:sz w:val="20"/>
                <w:lang w:val="fr-CA"/>
              </w:rPr>
            </w:pPr>
            <w:r w:rsidRPr="006757EB">
              <w:rPr>
                <w:sz w:val="20"/>
                <w:lang w:val="fr-CA"/>
              </w:rPr>
              <w:t>Cour d’appel de l’Ontario</w:t>
            </w:r>
          </w:p>
          <w:p w:rsidR="009774E3" w:rsidRPr="006757EB" w:rsidRDefault="009774E3" w:rsidP="009774E3">
            <w:pPr>
              <w:jc w:val="both"/>
              <w:rPr>
                <w:sz w:val="20"/>
              </w:rPr>
            </w:pPr>
            <w:r w:rsidRPr="006757EB">
              <w:rPr>
                <w:sz w:val="20"/>
              </w:rPr>
              <w:t>(Juges Benotto, Brown et Harvison Young)</w:t>
            </w:r>
          </w:p>
          <w:p w:rsidR="009774E3" w:rsidRPr="006757EB" w:rsidRDefault="007336A5" w:rsidP="009774E3">
            <w:pPr>
              <w:jc w:val="both"/>
              <w:rPr>
                <w:sz w:val="20"/>
                <w:lang w:val="fr-CA"/>
              </w:rPr>
            </w:pPr>
            <w:hyperlink r:id="rId50" w:history="1">
              <w:r w:rsidR="009774E3" w:rsidRPr="006757EB">
                <w:rPr>
                  <w:rStyle w:val="Hyperlink"/>
                  <w:sz w:val="20"/>
                  <w:lang w:val="fr-CA"/>
                </w:rPr>
                <w:t>2021 ONCA 615</w:t>
              </w:r>
            </w:hyperlink>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 xml:space="preserve">Rejet de la motion en révision présentée par le demandeur; motion de l’intimé fondée sur la règle 2.1 accueillie; appel du demandeur rejeté. </w:t>
            </w: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12 mai 2022</w:t>
            </w:r>
          </w:p>
          <w:p w:rsidR="009774E3" w:rsidRPr="006757EB" w:rsidRDefault="009774E3" w:rsidP="009774E3">
            <w:pPr>
              <w:jc w:val="both"/>
              <w:rPr>
                <w:sz w:val="20"/>
                <w:lang w:val="fr-CA"/>
              </w:rPr>
            </w:pPr>
            <w:r w:rsidRPr="006757EB">
              <w:rPr>
                <w:sz w:val="20"/>
                <w:lang w:val="fr-CA"/>
              </w:rPr>
              <w:t>Cour suprême du Canada</w:t>
            </w:r>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Dépôt de la requête en prorogation du délai de dépôt de la demande d’autorisation d’appel, et dépôt de la demande d’autorisation d’appel.</w:t>
            </w:r>
          </w:p>
        </w:tc>
      </w:tr>
    </w:tbl>
    <w:p w:rsidR="009774E3" w:rsidRPr="006757EB" w:rsidRDefault="009774E3" w:rsidP="009774E3">
      <w:pPr>
        <w:jc w:val="both"/>
        <w:rPr>
          <w:sz w:val="20"/>
          <w:lang w:val="fr-CA"/>
        </w:rPr>
      </w:pPr>
    </w:p>
    <w:p w:rsidR="00464221" w:rsidRPr="006757EB" w:rsidRDefault="007336A5" w:rsidP="009774E3">
      <w:pPr>
        <w:jc w:val="both"/>
        <w:rPr>
          <w:sz w:val="20"/>
          <w:lang w:val="fr-CA"/>
        </w:rPr>
      </w:pPr>
      <w:r>
        <w:rPr>
          <w:sz w:val="20"/>
        </w:rPr>
        <w:pict>
          <v:rect id="_x0000_i1043" style="width:2in;height:1pt" o:hrpct="0" o:hralign="center" o:hrstd="t" o:hrnoshade="t" o:hr="t" fillcolor="black [3213]" stroked="f"/>
        </w:pict>
      </w:r>
    </w:p>
    <w:p w:rsidR="00464221" w:rsidRPr="006757EB" w:rsidRDefault="00464221" w:rsidP="009774E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6757EB" w:rsidTr="009774E3">
        <w:tc>
          <w:tcPr>
            <w:tcW w:w="543" w:type="pct"/>
          </w:tcPr>
          <w:p w:rsidR="009774E3" w:rsidRPr="006757EB" w:rsidRDefault="009774E3" w:rsidP="009774E3">
            <w:pPr>
              <w:jc w:val="both"/>
              <w:rPr>
                <w:sz w:val="20"/>
              </w:rPr>
            </w:pPr>
            <w:r w:rsidRPr="006757EB">
              <w:rPr>
                <w:rStyle w:val="SCCFileNumberChar"/>
                <w:sz w:val="20"/>
                <w:szCs w:val="20"/>
              </w:rPr>
              <w:t>40218</w:t>
            </w:r>
          </w:p>
        </w:tc>
        <w:tc>
          <w:tcPr>
            <w:tcW w:w="4457" w:type="pct"/>
            <w:gridSpan w:val="3"/>
          </w:tcPr>
          <w:p w:rsidR="009774E3" w:rsidRPr="006757EB" w:rsidRDefault="009774E3" w:rsidP="009774E3">
            <w:pPr>
              <w:pStyle w:val="SCCLsocParty"/>
              <w:jc w:val="both"/>
              <w:rPr>
                <w:b/>
                <w:sz w:val="20"/>
                <w:szCs w:val="20"/>
                <w:lang w:val="en-US"/>
              </w:rPr>
            </w:pPr>
            <w:r w:rsidRPr="006757EB">
              <w:rPr>
                <w:b/>
                <w:sz w:val="20"/>
                <w:szCs w:val="20"/>
                <w:lang w:val="en-US"/>
              </w:rPr>
              <w:t>Sajjad Asghar v. City of Toronto, Mayor John Tory, Toronto Police Service Board (Members Chair) Jim Hart, Marie Moliner (Vice-Chair), Mayor John Tory, Lisa Kostakis, Michael Ford Councillor, Councillor Frances Nunziata, Ainsworth M. Morgan, Toronto Police Chief (Interim) James Ramer, Toronto Police Deputy Chief Peter Yuen</w:t>
            </w:r>
          </w:p>
          <w:p w:rsidR="009774E3" w:rsidRPr="006757EB" w:rsidRDefault="009774E3" w:rsidP="009774E3">
            <w:pPr>
              <w:pStyle w:val="SCCLsocSubfileSeparator"/>
              <w:rPr>
                <w:sz w:val="20"/>
                <w:szCs w:val="20"/>
              </w:rPr>
            </w:pPr>
            <w:r w:rsidRPr="006757EB">
              <w:rPr>
                <w:sz w:val="20"/>
                <w:szCs w:val="20"/>
              </w:rPr>
              <w:t>- and between -</w:t>
            </w:r>
          </w:p>
          <w:p w:rsidR="009774E3" w:rsidRPr="006757EB" w:rsidRDefault="009774E3" w:rsidP="009774E3">
            <w:pPr>
              <w:pStyle w:val="SCCLsocParty"/>
              <w:jc w:val="both"/>
              <w:rPr>
                <w:b/>
                <w:sz w:val="20"/>
                <w:szCs w:val="20"/>
                <w:lang w:val="en-US"/>
              </w:rPr>
            </w:pPr>
            <w:r w:rsidRPr="006757EB">
              <w:rPr>
                <w:b/>
                <w:sz w:val="20"/>
                <w:szCs w:val="20"/>
                <w:lang w:val="en-US"/>
              </w:rPr>
              <w:t>Sajjad Asghar v. Toronto Police Service Board (Members Chair) Jim Hart, Marie Moliner (Vice-Chair), Mayor John Tory, Michael Ford Councillor, Councillor Frances Nunziata, Ainsworth M. Morgan, Lisa Kostakis, Toronto Police Chief (Ex-Incumbent) Mark Saunders, Toronto Police Special Constable Joseph Pihura # 90483</w:t>
            </w:r>
          </w:p>
          <w:p w:rsidR="009774E3" w:rsidRPr="006757EB" w:rsidRDefault="009774E3" w:rsidP="009774E3">
            <w:pPr>
              <w:pStyle w:val="SCCLsocSubfileSeparator"/>
              <w:rPr>
                <w:sz w:val="20"/>
                <w:szCs w:val="20"/>
              </w:rPr>
            </w:pPr>
            <w:r w:rsidRPr="006757EB">
              <w:rPr>
                <w:sz w:val="20"/>
                <w:szCs w:val="20"/>
              </w:rPr>
              <w:t>- and between -</w:t>
            </w:r>
          </w:p>
          <w:p w:rsidR="009774E3" w:rsidRPr="006757EB" w:rsidRDefault="009774E3" w:rsidP="009774E3">
            <w:pPr>
              <w:pStyle w:val="SCCLsocParty"/>
              <w:jc w:val="both"/>
              <w:rPr>
                <w:b/>
                <w:sz w:val="20"/>
                <w:szCs w:val="20"/>
                <w:lang w:val="en-US"/>
              </w:rPr>
            </w:pPr>
            <w:r w:rsidRPr="006757EB">
              <w:rPr>
                <w:b/>
                <w:sz w:val="20"/>
                <w:szCs w:val="20"/>
                <w:lang w:val="en-US"/>
              </w:rPr>
              <w:t>Sajjad Asghar v. City of Toronto, Mayor John Tory, Toronto Police Service Board (Members Chair) Jim Hart, Marie Moliner (Vice-Chair), Mayor John Tory, Lisa Kostakis, Michael Ford Councillor, Councillor Frances Nunziata, Ainsworth M. Morgan, Toronto Police Chief (Interim) James Ramer, Toronto Police Chief (Ex-Incumbent) Mark Saunders, Toronto Police Deputy Chief Peter Yuen</w:t>
            </w:r>
          </w:p>
          <w:p w:rsidR="009774E3" w:rsidRPr="006757EB" w:rsidRDefault="009774E3" w:rsidP="00464221">
            <w:pPr>
              <w:jc w:val="both"/>
              <w:rPr>
                <w:sz w:val="20"/>
              </w:rPr>
            </w:pPr>
            <w:r w:rsidRPr="006757EB">
              <w:rPr>
                <w:sz w:val="20"/>
              </w:rPr>
              <w:t>(Ont.) (Civil) (By Leave)</w:t>
            </w:r>
          </w:p>
        </w:tc>
      </w:tr>
      <w:tr w:rsidR="009774E3" w:rsidRPr="006757EB" w:rsidTr="009774E3">
        <w:tc>
          <w:tcPr>
            <w:tcW w:w="5000" w:type="pct"/>
            <w:gridSpan w:val="4"/>
          </w:tcPr>
          <w:p w:rsidR="009774E3" w:rsidRPr="006757EB" w:rsidRDefault="009774E3" w:rsidP="009774E3">
            <w:pPr>
              <w:jc w:val="both"/>
              <w:rPr>
                <w:sz w:val="20"/>
              </w:rPr>
            </w:pPr>
            <w:r w:rsidRPr="006757EB">
              <w:rPr>
                <w:i/>
                <w:sz w:val="20"/>
              </w:rPr>
              <w:t>Charter of Rights</w:t>
            </w:r>
            <w:r w:rsidRPr="006757EB">
              <w:rPr>
                <w:sz w:val="20"/>
              </w:rPr>
              <w:t xml:space="preserve"> — Right to, </w:t>
            </w:r>
            <w:r w:rsidRPr="006757EB">
              <w:rPr>
                <w:i/>
                <w:sz w:val="20"/>
              </w:rPr>
              <w:t>inter alia</w:t>
            </w:r>
            <w:r w:rsidRPr="006757EB">
              <w:rPr>
                <w:sz w:val="20"/>
              </w:rPr>
              <w:t xml:space="preserve">, equality, fundamental justice and security of the person —Civil procedure — Abuse of process — Case management — Applicant commencing three actions against the respondents alleging that they were involved in an international conspiracy to inflict life-threatening criminal assaults on him — Applicant’s actions dismissed under Rule 2.1 as frivolous, vexatious and an abuse of process — Whether lower courts erred in dismissing applicant’s actions —Whether legislation may block an individual from seeking a remedy and damages for breach of his s. 24(1) </w:t>
            </w:r>
            <w:r w:rsidRPr="006757EB">
              <w:rPr>
                <w:i/>
                <w:sz w:val="20"/>
              </w:rPr>
              <w:t xml:space="preserve">Charter </w:t>
            </w:r>
            <w:r w:rsidRPr="006757EB">
              <w:rPr>
                <w:sz w:val="20"/>
              </w:rPr>
              <w:t xml:space="preserve">rights — Can legislation constrain and bar what is considered to be a “just and appropriate” remedy from the respondents under ss. 7, 12 and 15(1) pursuant to s. 24(1) of the </w:t>
            </w:r>
            <w:r w:rsidRPr="006757EB">
              <w:rPr>
                <w:i/>
                <w:sz w:val="20"/>
              </w:rPr>
              <w:t>Charter</w:t>
            </w:r>
            <w:r w:rsidRPr="006757EB">
              <w:rPr>
                <w:sz w:val="20"/>
              </w:rPr>
              <w:t>?</w:t>
            </w:r>
          </w:p>
          <w:p w:rsidR="00464221" w:rsidRPr="006757EB" w:rsidRDefault="00464221" w:rsidP="009774E3">
            <w:pPr>
              <w:jc w:val="both"/>
              <w:rPr>
                <w:sz w:val="20"/>
              </w:rPr>
            </w:pPr>
          </w:p>
        </w:tc>
      </w:tr>
      <w:tr w:rsidR="009774E3" w:rsidRPr="006757EB" w:rsidTr="009774E3">
        <w:tc>
          <w:tcPr>
            <w:tcW w:w="5000" w:type="pct"/>
            <w:gridSpan w:val="4"/>
          </w:tcPr>
          <w:p w:rsidR="009774E3" w:rsidRPr="006757EB" w:rsidRDefault="009774E3" w:rsidP="009774E3">
            <w:pPr>
              <w:jc w:val="both"/>
              <w:rPr>
                <w:sz w:val="20"/>
              </w:rPr>
            </w:pPr>
            <w:r w:rsidRPr="006757EB">
              <w:rPr>
                <w:sz w:val="20"/>
              </w:rPr>
              <w:t xml:space="preserve">The applicant commenced three separate actions against various defendants, alleging that they acted as an international organized crime ring that had conspired to perpetrate acts of terrorism and violence against him in violation of his constitutional and </w:t>
            </w:r>
            <w:r w:rsidRPr="006757EB">
              <w:rPr>
                <w:i/>
                <w:sz w:val="20"/>
              </w:rPr>
              <w:t xml:space="preserve">Charter </w:t>
            </w:r>
            <w:r w:rsidRPr="006757EB">
              <w:rPr>
                <w:sz w:val="20"/>
              </w:rPr>
              <w:t xml:space="preserve">rights. He sought relief in the form of an investigation into his complaints by a commission, the arrest of the perpetrators and damages. An order was made under Rule 2.1.01(6) of the </w:t>
            </w:r>
            <w:r w:rsidRPr="006757EB">
              <w:rPr>
                <w:i/>
                <w:sz w:val="20"/>
              </w:rPr>
              <w:t>Rules of Civil Procedure</w:t>
            </w:r>
            <w:r w:rsidRPr="006757EB">
              <w:rPr>
                <w:sz w:val="20"/>
              </w:rPr>
              <w:t xml:space="preserve"> dismissing the actions dismissed on the basis that they were frivolous, vexatious and an abuse of process.  This decision was upheld on appeal.</w:t>
            </w:r>
          </w:p>
        </w:tc>
      </w:tr>
      <w:tr w:rsidR="009774E3" w:rsidRPr="006757EB" w:rsidTr="009774E3">
        <w:tc>
          <w:tcPr>
            <w:tcW w:w="5000" w:type="pct"/>
            <w:gridSpan w:val="4"/>
          </w:tcPr>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November 19, 2020</w:t>
            </w:r>
          </w:p>
          <w:p w:rsidR="009774E3" w:rsidRPr="006757EB" w:rsidRDefault="009774E3" w:rsidP="009774E3">
            <w:pPr>
              <w:jc w:val="both"/>
              <w:rPr>
                <w:sz w:val="20"/>
              </w:rPr>
            </w:pPr>
            <w:r w:rsidRPr="006757EB">
              <w:rPr>
                <w:sz w:val="20"/>
              </w:rPr>
              <w:t>Ontario Superior Court of Justice</w:t>
            </w:r>
          </w:p>
          <w:p w:rsidR="009774E3" w:rsidRPr="006757EB" w:rsidRDefault="009774E3" w:rsidP="009774E3">
            <w:pPr>
              <w:jc w:val="both"/>
              <w:rPr>
                <w:sz w:val="20"/>
              </w:rPr>
            </w:pPr>
            <w:r w:rsidRPr="006757EB">
              <w:rPr>
                <w:sz w:val="20"/>
              </w:rPr>
              <w:t>(Ferguson J.)</w:t>
            </w:r>
          </w:p>
          <w:p w:rsidR="009774E3" w:rsidRPr="006757EB" w:rsidRDefault="009774E3" w:rsidP="009774E3">
            <w:pPr>
              <w:jc w:val="both"/>
              <w:rPr>
                <w:sz w:val="20"/>
              </w:rPr>
            </w:pPr>
            <w:r w:rsidRPr="006757EB">
              <w:rPr>
                <w:sz w:val="20"/>
              </w:rPr>
              <w:t>Unreported</w:t>
            </w:r>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Applicant’s three actions dismissed as vexatious, frivolous and an abuse of process</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February 3, 2022</w:t>
            </w:r>
          </w:p>
          <w:p w:rsidR="009774E3" w:rsidRPr="006757EB" w:rsidRDefault="009774E3" w:rsidP="009774E3">
            <w:pPr>
              <w:jc w:val="both"/>
              <w:rPr>
                <w:sz w:val="20"/>
              </w:rPr>
            </w:pPr>
            <w:r w:rsidRPr="006757EB">
              <w:rPr>
                <w:sz w:val="20"/>
              </w:rPr>
              <w:t>Court of Appeal for Ontario</w:t>
            </w:r>
          </w:p>
          <w:p w:rsidR="009774E3" w:rsidRPr="006757EB" w:rsidRDefault="009774E3" w:rsidP="009774E3">
            <w:pPr>
              <w:jc w:val="both"/>
              <w:rPr>
                <w:sz w:val="20"/>
              </w:rPr>
            </w:pPr>
            <w:r w:rsidRPr="006757EB">
              <w:rPr>
                <w:sz w:val="20"/>
              </w:rPr>
              <w:t>(Pepall, Brown and Thorburn JJ.A.)</w:t>
            </w:r>
          </w:p>
          <w:p w:rsidR="009774E3" w:rsidRPr="006757EB" w:rsidRDefault="007336A5" w:rsidP="009774E3">
            <w:pPr>
              <w:jc w:val="both"/>
              <w:rPr>
                <w:sz w:val="20"/>
              </w:rPr>
            </w:pPr>
            <w:hyperlink r:id="rId51" w:history="1">
              <w:r w:rsidR="009774E3" w:rsidRPr="006757EB">
                <w:rPr>
                  <w:rStyle w:val="Hyperlink"/>
                  <w:sz w:val="20"/>
                </w:rPr>
                <w:t>2022 ONCA 98</w:t>
              </w:r>
            </w:hyperlink>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Applicant’s appeals dismissed</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May 31, 2022</w:t>
            </w:r>
          </w:p>
          <w:p w:rsidR="009774E3" w:rsidRPr="006757EB" w:rsidRDefault="009774E3" w:rsidP="009774E3">
            <w:pPr>
              <w:jc w:val="both"/>
              <w:rPr>
                <w:sz w:val="20"/>
              </w:rPr>
            </w:pPr>
            <w:r w:rsidRPr="006757EB">
              <w:rPr>
                <w:sz w:val="20"/>
              </w:rPr>
              <w:t>Supreme Court of Canada</w:t>
            </w:r>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Motion for extension of time in which to serve and file application for leave to appeal and application for leave to appeal filed</w:t>
            </w:r>
          </w:p>
        </w:tc>
      </w:tr>
    </w:tbl>
    <w:p w:rsidR="009774E3" w:rsidRPr="006757EB" w:rsidRDefault="009774E3" w:rsidP="009774E3">
      <w:pPr>
        <w:jc w:val="both"/>
        <w:rPr>
          <w:sz w:val="20"/>
        </w:rPr>
      </w:pPr>
    </w:p>
    <w:p w:rsidR="00464221" w:rsidRPr="006757EB" w:rsidRDefault="007336A5" w:rsidP="009774E3">
      <w:pPr>
        <w:jc w:val="both"/>
        <w:rPr>
          <w:sz w:val="20"/>
        </w:rPr>
      </w:pPr>
      <w:r>
        <w:rPr>
          <w:sz w:val="20"/>
        </w:rPr>
        <w:pict>
          <v:rect id="_x0000_i1044" style="width:2in;height:1pt" o:hrpct="0" o:hralign="center" o:hrstd="t" o:hrnoshade="t" o:hr="t" fillcolor="black [3213]" stroked="f"/>
        </w:pict>
      </w:r>
    </w:p>
    <w:p w:rsidR="00464221" w:rsidRPr="006757EB" w:rsidRDefault="00464221" w:rsidP="009774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6757EB" w:rsidTr="009774E3">
        <w:tc>
          <w:tcPr>
            <w:tcW w:w="543" w:type="pct"/>
          </w:tcPr>
          <w:p w:rsidR="009774E3" w:rsidRPr="006757EB" w:rsidRDefault="009774E3" w:rsidP="009774E3">
            <w:pPr>
              <w:jc w:val="both"/>
              <w:rPr>
                <w:sz w:val="20"/>
                <w:lang w:val="fr-CA"/>
              </w:rPr>
            </w:pPr>
            <w:r w:rsidRPr="006757EB">
              <w:rPr>
                <w:rStyle w:val="SCCFileNumberChar"/>
                <w:sz w:val="20"/>
                <w:szCs w:val="20"/>
                <w:lang w:val="fr-CA"/>
              </w:rPr>
              <w:t>40218</w:t>
            </w:r>
          </w:p>
        </w:tc>
        <w:tc>
          <w:tcPr>
            <w:tcW w:w="4457" w:type="pct"/>
            <w:gridSpan w:val="3"/>
          </w:tcPr>
          <w:p w:rsidR="009774E3" w:rsidRPr="006757EB" w:rsidRDefault="009774E3" w:rsidP="009774E3">
            <w:pPr>
              <w:pStyle w:val="SCCLsocParty"/>
              <w:jc w:val="both"/>
              <w:rPr>
                <w:b/>
                <w:sz w:val="20"/>
                <w:szCs w:val="20"/>
              </w:rPr>
            </w:pPr>
            <w:r w:rsidRPr="006757EB">
              <w:rPr>
                <w:b/>
                <w:sz w:val="20"/>
                <w:szCs w:val="20"/>
              </w:rPr>
              <w:t>Sajjad Asghar c. La ville de Toronto, le maire John Tory, Jim Hart, président du Toronto Police Service Board, Marie Moliner, vice</w:t>
            </w:r>
            <w:r w:rsidRPr="006757EB">
              <w:rPr>
                <w:b/>
                <w:sz w:val="20"/>
                <w:szCs w:val="20"/>
              </w:rPr>
              <w:softHyphen/>
            </w:r>
            <w:r w:rsidRPr="006757EB">
              <w:rPr>
                <w:b/>
                <w:sz w:val="20"/>
                <w:szCs w:val="20"/>
              </w:rPr>
              <w:noBreakHyphen/>
              <w:t>présidente, le maire John Tory, Lisa Kostakis, Michael Ford, conseiller, Frances Nunziata, conseillère, Ainsworth M. Morgan, James Ramer, chef du Service de police de Toronto (par intérim), Peter Yuen, sous</w:t>
            </w:r>
            <w:r w:rsidRPr="006757EB">
              <w:rPr>
                <w:b/>
                <w:sz w:val="20"/>
                <w:szCs w:val="20"/>
              </w:rPr>
              <w:noBreakHyphen/>
              <w:t>chef du Service de police de Toronto</w:t>
            </w:r>
          </w:p>
          <w:p w:rsidR="009774E3" w:rsidRPr="006757EB" w:rsidRDefault="009774E3" w:rsidP="009774E3">
            <w:pPr>
              <w:pStyle w:val="SCCLsocSubfileSeparator"/>
              <w:rPr>
                <w:sz w:val="20"/>
                <w:szCs w:val="20"/>
                <w:lang w:val="fr-CA"/>
              </w:rPr>
            </w:pPr>
            <w:r w:rsidRPr="006757EB">
              <w:rPr>
                <w:sz w:val="20"/>
                <w:szCs w:val="20"/>
                <w:lang w:val="fr-CA"/>
              </w:rPr>
              <w:t>- et entre -</w:t>
            </w:r>
          </w:p>
          <w:p w:rsidR="009774E3" w:rsidRPr="006757EB" w:rsidRDefault="009774E3" w:rsidP="009774E3">
            <w:pPr>
              <w:pStyle w:val="SCCLsocParty"/>
              <w:jc w:val="both"/>
              <w:rPr>
                <w:b/>
                <w:sz w:val="20"/>
                <w:szCs w:val="20"/>
              </w:rPr>
            </w:pPr>
            <w:r w:rsidRPr="006757EB">
              <w:rPr>
                <w:b/>
                <w:sz w:val="20"/>
                <w:szCs w:val="20"/>
              </w:rPr>
              <w:t>Sajjad Asghar c. Jim Hart, président du Toronto Police Service Board, Marie Moliner, vice-présidente, le maire John Tory, Michael Ford, conseiller, Frances Nunziata, conseillère, Ainsworth M. Morgan, Lisa Kostakis, Mark Saunders, ex</w:t>
            </w:r>
            <w:r w:rsidRPr="006757EB">
              <w:rPr>
                <w:b/>
                <w:sz w:val="20"/>
                <w:szCs w:val="20"/>
              </w:rPr>
              <w:noBreakHyphen/>
              <w:t>chef du Service de police de Toronto, Joseph Pihura, constable spécial du Service de police de Toronto (n</w:t>
            </w:r>
            <w:r w:rsidRPr="006757EB">
              <w:rPr>
                <w:b/>
                <w:sz w:val="20"/>
                <w:szCs w:val="20"/>
                <w:vertAlign w:val="superscript"/>
              </w:rPr>
              <w:t>o</w:t>
            </w:r>
            <w:r w:rsidRPr="006757EB">
              <w:rPr>
                <w:b/>
                <w:sz w:val="20"/>
                <w:szCs w:val="20"/>
              </w:rPr>
              <w:t> 90483)</w:t>
            </w:r>
          </w:p>
          <w:p w:rsidR="009774E3" w:rsidRPr="006757EB" w:rsidRDefault="009774E3" w:rsidP="009774E3">
            <w:pPr>
              <w:pStyle w:val="SCCLsocSubfileSeparator"/>
              <w:rPr>
                <w:sz w:val="20"/>
                <w:szCs w:val="20"/>
                <w:lang w:val="fr-CA"/>
              </w:rPr>
            </w:pPr>
            <w:r w:rsidRPr="006757EB">
              <w:rPr>
                <w:sz w:val="20"/>
                <w:szCs w:val="20"/>
                <w:lang w:val="fr-CA"/>
              </w:rPr>
              <w:t>- et entre -</w:t>
            </w:r>
          </w:p>
          <w:p w:rsidR="009774E3" w:rsidRPr="006757EB" w:rsidRDefault="009774E3" w:rsidP="009774E3">
            <w:pPr>
              <w:pStyle w:val="SCCLsocParty"/>
              <w:jc w:val="both"/>
              <w:rPr>
                <w:b/>
                <w:sz w:val="20"/>
                <w:szCs w:val="20"/>
              </w:rPr>
            </w:pPr>
            <w:r w:rsidRPr="006757EB">
              <w:rPr>
                <w:b/>
                <w:sz w:val="20"/>
                <w:szCs w:val="20"/>
              </w:rPr>
              <w:t>Sajjad Asghar c. La ville de Toronto, le maire John Tory, Jim Hart, président du Toronto Police Service Board, Marie Moliner, vice-présidente, le maire John Tory, Lisa Kostakis, Michael Ford, conseiller, Frances Nunziata, conseillère, Ainsworth M. Morgan, James Ramer, chef du Service de police de Toronto (par intérim), Mark Saunders, ex</w:t>
            </w:r>
            <w:r w:rsidRPr="006757EB">
              <w:rPr>
                <w:b/>
                <w:sz w:val="20"/>
                <w:szCs w:val="20"/>
              </w:rPr>
              <w:noBreakHyphen/>
              <w:t>chef du Service de police de Toronto, Peter Yuen, sous</w:t>
            </w:r>
            <w:r w:rsidRPr="006757EB">
              <w:rPr>
                <w:b/>
                <w:sz w:val="20"/>
                <w:szCs w:val="20"/>
              </w:rPr>
              <w:noBreakHyphen/>
              <w:t>chef du Service de police de Toronto</w:t>
            </w:r>
          </w:p>
          <w:p w:rsidR="009774E3" w:rsidRPr="006757EB" w:rsidRDefault="009774E3" w:rsidP="009774E3">
            <w:pPr>
              <w:jc w:val="both"/>
              <w:rPr>
                <w:sz w:val="20"/>
                <w:lang w:val="fr-CA"/>
              </w:rPr>
            </w:pPr>
            <w:r w:rsidRPr="006757EB">
              <w:rPr>
                <w:sz w:val="20"/>
                <w:lang w:val="fr-CA"/>
              </w:rPr>
              <w:t>(On</w:t>
            </w:r>
            <w:r w:rsidR="00464221" w:rsidRPr="006757EB">
              <w:rPr>
                <w:sz w:val="20"/>
                <w:lang w:val="fr-CA"/>
              </w:rPr>
              <w:t>t.) (Civile) (Sur autorisation)</w:t>
            </w:r>
          </w:p>
        </w:tc>
      </w:tr>
      <w:tr w:rsidR="009774E3" w:rsidRPr="007336A5" w:rsidTr="009774E3">
        <w:tc>
          <w:tcPr>
            <w:tcW w:w="5000" w:type="pct"/>
            <w:gridSpan w:val="4"/>
          </w:tcPr>
          <w:p w:rsidR="009774E3" w:rsidRPr="006757EB" w:rsidRDefault="009774E3" w:rsidP="009774E3">
            <w:pPr>
              <w:jc w:val="both"/>
              <w:rPr>
                <w:sz w:val="20"/>
                <w:lang w:val="fr-CA"/>
              </w:rPr>
            </w:pPr>
            <w:r w:rsidRPr="006757EB">
              <w:rPr>
                <w:i/>
                <w:sz w:val="20"/>
                <w:lang w:val="fr-CA"/>
              </w:rPr>
              <w:t>Charte des droits</w:t>
            </w:r>
            <w:r w:rsidRPr="006757EB">
              <w:rPr>
                <w:sz w:val="20"/>
                <w:lang w:val="fr-CA"/>
              </w:rPr>
              <w:t xml:space="preserve"> — Droit, notamment, à l’égalité, à la justice fondamentale et à la sécurité de la personne — Procédure civile — Abus de procédure — Gestion de l’instance — Dans trois actions qu’il a intentées contre les intimés, le demandeur reproche à ceux-ci d’avoir participé à un complot international dans le but de commettre à son endroit des agressions criminelles mettant sa vie en danger — Les actions du demandeur ont été rejetées au titre de l’art. 2.1 des Règles au motif qu’elles étaient frivoles ou vexatoires ou constituaient par ailleurs un recours abusif au tribunal — Les juridictions inférieures ont</w:t>
            </w:r>
            <w:r w:rsidRPr="006757EB">
              <w:rPr>
                <w:sz w:val="20"/>
                <w:lang w:val="fr-CA"/>
              </w:rPr>
              <w:noBreakHyphen/>
              <w:t>elles eu tort de rejeter les actions du demandeur? — Une loi peut</w:t>
            </w:r>
            <w:r w:rsidRPr="006757EB">
              <w:rPr>
                <w:sz w:val="20"/>
                <w:lang w:val="fr-CA"/>
              </w:rPr>
              <w:noBreakHyphen/>
              <w:t>elle empêcher une personne de solliciter une réparation et des dommages</w:t>
            </w:r>
            <w:r w:rsidRPr="006757EB">
              <w:rPr>
                <w:sz w:val="20"/>
                <w:lang w:val="fr-CA"/>
              </w:rPr>
              <w:noBreakHyphen/>
              <w:t xml:space="preserve">intérêts pour violation des droits que le par. 24(1) de la </w:t>
            </w:r>
            <w:r w:rsidRPr="006757EB">
              <w:rPr>
                <w:i/>
                <w:sz w:val="20"/>
                <w:lang w:val="fr-CA"/>
              </w:rPr>
              <w:t>Charte</w:t>
            </w:r>
            <w:r w:rsidRPr="006757EB">
              <w:rPr>
                <w:sz w:val="20"/>
                <w:lang w:val="fr-CA"/>
              </w:rPr>
              <w:t xml:space="preserve"> lui garantit? — Une loi peut</w:t>
            </w:r>
            <w:r w:rsidRPr="006757EB">
              <w:rPr>
                <w:sz w:val="20"/>
                <w:lang w:val="fr-CA"/>
              </w:rPr>
              <w:noBreakHyphen/>
              <w:t xml:space="preserve">elle, selon le par. 24(1) de la </w:t>
            </w:r>
            <w:r w:rsidRPr="006757EB">
              <w:rPr>
                <w:i/>
                <w:iCs/>
                <w:sz w:val="20"/>
                <w:lang w:val="fr-CA"/>
              </w:rPr>
              <w:t>Charte</w:t>
            </w:r>
            <w:r w:rsidRPr="006757EB">
              <w:rPr>
                <w:sz w:val="20"/>
                <w:lang w:val="fr-CA"/>
              </w:rPr>
              <w:t xml:space="preserve">, restreindre et interdire l’octroi de ce qui est considéré comme une réparation « convenable et juste » sollicitée des intimés aux termes des </w:t>
            </w:r>
            <w:proofErr w:type="gramStart"/>
            <w:r w:rsidRPr="006757EB">
              <w:rPr>
                <w:sz w:val="20"/>
                <w:lang w:val="fr-CA"/>
              </w:rPr>
              <w:t>art</w:t>
            </w:r>
            <w:proofErr w:type="gramEnd"/>
            <w:r w:rsidRPr="006757EB">
              <w:rPr>
                <w:sz w:val="20"/>
                <w:lang w:val="fr-CA"/>
              </w:rPr>
              <w:t xml:space="preserve">. 7 et 12 et du par. 15(1) de la </w:t>
            </w:r>
            <w:r w:rsidRPr="006757EB">
              <w:rPr>
                <w:i/>
                <w:sz w:val="20"/>
                <w:lang w:val="fr-CA"/>
              </w:rPr>
              <w:t>Charte</w:t>
            </w:r>
            <w:r w:rsidRPr="006757EB">
              <w:rPr>
                <w:sz w:val="20"/>
                <w:lang w:val="fr-CA"/>
              </w:rPr>
              <w:t>?</w:t>
            </w:r>
          </w:p>
          <w:p w:rsidR="00464221" w:rsidRPr="006757EB" w:rsidRDefault="00464221" w:rsidP="009774E3">
            <w:pPr>
              <w:jc w:val="both"/>
              <w:rPr>
                <w:sz w:val="20"/>
                <w:lang w:val="fr-CA"/>
              </w:rPr>
            </w:pPr>
          </w:p>
        </w:tc>
      </w:tr>
      <w:tr w:rsidR="009774E3" w:rsidRPr="006757EB" w:rsidTr="009774E3">
        <w:tc>
          <w:tcPr>
            <w:tcW w:w="5000" w:type="pct"/>
            <w:gridSpan w:val="4"/>
          </w:tcPr>
          <w:p w:rsidR="009774E3" w:rsidRPr="006757EB" w:rsidRDefault="009774E3" w:rsidP="009774E3">
            <w:pPr>
              <w:jc w:val="both"/>
              <w:rPr>
                <w:sz w:val="20"/>
                <w:lang w:val="fr-CA"/>
              </w:rPr>
            </w:pPr>
            <w:r w:rsidRPr="006757EB">
              <w:rPr>
                <w:sz w:val="20"/>
                <w:lang w:val="fr-CA"/>
              </w:rPr>
              <w:t xml:space="preserve">Le demandeur a engagé trois actions distinctes contre différents défendeurs, auxquels il reproche d’avoir agi comme réseau international du crime organisé ayant comploté pour commettre des actes de terrorisme et de violence contre lui malgré les droits que la Constitution et la </w:t>
            </w:r>
            <w:r w:rsidRPr="006757EB">
              <w:rPr>
                <w:i/>
                <w:sz w:val="20"/>
                <w:lang w:val="fr-CA"/>
              </w:rPr>
              <w:t>Charte</w:t>
            </w:r>
            <w:r w:rsidRPr="006757EB">
              <w:rPr>
                <w:sz w:val="20"/>
                <w:lang w:val="fr-CA"/>
              </w:rPr>
              <w:t xml:space="preserve"> lui garantissent. Le demandeur a sollicité différentes réparations, notamment la tenue d’une enquête sur ses plaintes par une commission, l’arrestation des auteurs du complot et des dommages</w:t>
            </w:r>
            <w:r w:rsidRPr="006757EB">
              <w:rPr>
                <w:sz w:val="20"/>
                <w:lang w:val="fr-CA"/>
              </w:rPr>
              <w:noBreakHyphen/>
              <w:t xml:space="preserve">intérêts. Une ordonnance portant rejet des actions a été rendue au titre du par. 2.1.01(6) des </w:t>
            </w:r>
            <w:r w:rsidRPr="006757EB">
              <w:rPr>
                <w:i/>
                <w:sz w:val="20"/>
                <w:lang w:val="fr-CA"/>
              </w:rPr>
              <w:t>Règles de procédure civile</w:t>
            </w:r>
            <w:r w:rsidRPr="006757EB">
              <w:rPr>
                <w:sz w:val="20"/>
                <w:lang w:val="fr-CA"/>
              </w:rPr>
              <w:t xml:space="preserve"> au motif que les actions en question étaient frivoles et vexatoires et constituaient par ailleurs un recours abusif au tribunal. Cette décision a été confirmée en appel.</w:t>
            </w:r>
          </w:p>
        </w:tc>
      </w:tr>
      <w:tr w:rsidR="009774E3" w:rsidRPr="006757EB" w:rsidTr="009774E3">
        <w:tc>
          <w:tcPr>
            <w:tcW w:w="5000" w:type="pct"/>
            <w:gridSpan w:val="4"/>
          </w:tcPr>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19 novembre 2020</w:t>
            </w:r>
          </w:p>
          <w:p w:rsidR="009774E3" w:rsidRPr="006757EB" w:rsidRDefault="009774E3" w:rsidP="009774E3">
            <w:pPr>
              <w:jc w:val="both"/>
              <w:rPr>
                <w:sz w:val="20"/>
                <w:lang w:val="fr-CA"/>
              </w:rPr>
            </w:pPr>
            <w:r w:rsidRPr="006757EB">
              <w:rPr>
                <w:sz w:val="20"/>
                <w:lang w:val="fr-CA"/>
              </w:rPr>
              <w:t>Cour supérieure de justice de l’Ontario</w:t>
            </w:r>
          </w:p>
          <w:p w:rsidR="009774E3" w:rsidRPr="006757EB" w:rsidRDefault="009774E3" w:rsidP="009774E3">
            <w:pPr>
              <w:jc w:val="both"/>
              <w:rPr>
                <w:sz w:val="20"/>
                <w:lang w:val="fr-CA"/>
              </w:rPr>
            </w:pPr>
            <w:r w:rsidRPr="006757EB">
              <w:rPr>
                <w:sz w:val="20"/>
                <w:lang w:val="fr-CA"/>
              </w:rPr>
              <w:t>(juge Ferguson)</w:t>
            </w:r>
          </w:p>
          <w:p w:rsidR="009774E3" w:rsidRPr="006757EB" w:rsidRDefault="009774E3" w:rsidP="009774E3">
            <w:pPr>
              <w:jc w:val="both"/>
              <w:rPr>
                <w:sz w:val="20"/>
                <w:lang w:val="fr-CA"/>
              </w:rPr>
            </w:pPr>
            <w:r w:rsidRPr="006757EB">
              <w:rPr>
                <w:sz w:val="20"/>
                <w:lang w:val="fr-CA"/>
              </w:rPr>
              <w:t>Décision non publiée</w:t>
            </w:r>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Rejet des trois actions du demandeur au motif qu’elles étaient vexatoires et frivoles et constituaient un recours abusif au tribunal</w:t>
            </w:r>
          </w:p>
          <w:p w:rsidR="009774E3" w:rsidRPr="006757EB" w:rsidRDefault="009774E3" w:rsidP="009774E3">
            <w:pPr>
              <w:jc w:val="both"/>
              <w:rPr>
                <w:sz w:val="20"/>
                <w:lang w:val="fr-CA"/>
              </w:rPr>
            </w:pPr>
          </w:p>
        </w:tc>
      </w:tr>
      <w:tr w:rsidR="009774E3" w:rsidRPr="006757EB" w:rsidTr="009774E3">
        <w:tc>
          <w:tcPr>
            <w:tcW w:w="2427" w:type="pct"/>
            <w:gridSpan w:val="2"/>
          </w:tcPr>
          <w:p w:rsidR="009774E3" w:rsidRPr="006757EB" w:rsidRDefault="009774E3" w:rsidP="009774E3">
            <w:pPr>
              <w:jc w:val="both"/>
              <w:rPr>
                <w:sz w:val="20"/>
                <w:lang w:val="fr-CA"/>
              </w:rPr>
            </w:pPr>
            <w:r w:rsidRPr="006757EB">
              <w:rPr>
                <w:sz w:val="20"/>
                <w:lang w:val="fr-CA"/>
              </w:rPr>
              <w:t>3 février 2022</w:t>
            </w:r>
          </w:p>
          <w:p w:rsidR="009774E3" w:rsidRPr="006757EB" w:rsidRDefault="009774E3" w:rsidP="009774E3">
            <w:pPr>
              <w:jc w:val="both"/>
              <w:rPr>
                <w:sz w:val="20"/>
                <w:lang w:val="fr-CA"/>
              </w:rPr>
            </w:pPr>
            <w:r w:rsidRPr="006757EB">
              <w:rPr>
                <w:sz w:val="20"/>
                <w:lang w:val="fr-CA"/>
              </w:rPr>
              <w:t>Cour d’appel de l’Ontario</w:t>
            </w:r>
          </w:p>
          <w:p w:rsidR="009774E3" w:rsidRPr="006757EB" w:rsidRDefault="009774E3" w:rsidP="009774E3">
            <w:pPr>
              <w:jc w:val="both"/>
              <w:rPr>
                <w:sz w:val="20"/>
                <w:lang w:val="fr-CA"/>
              </w:rPr>
            </w:pPr>
            <w:r w:rsidRPr="006757EB">
              <w:rPr>
                <w:sz w:val="20"/>
                <w:lang w:val="fr-CA"/>
              </w:rPr>
              <w:t>(juges Pepall, Brown et Thorburn)</w:t>
            </w:r>
          </w:p>
          <w:p w:rsidR="009774E3" w:rsidRPr="006757EB" w:rsidRDefault="007336A5" w:rsidP="009774E3">
            <w:pPr>
              <w:jc w:val="both"/>
              <w:rPr>
                <w:sz w:val="20"/>
                <w:lang w:val="fr-CA"/>
              </w:rPr>
            </w:pPr>
            <w:hyperlink r:id="rId52" w:history="1">
              <w:r w:rsidR="009774E3" w:rsidRPr="006757EB">
                <w:rPr>
                  <w:rStyle w:val="Hyperlink"/>
                  <w:sz w:val="20"/>
                  <w:lang w:val="fr-CA"/>
                </w:rPr>
                <w:t>2022 ONCA 98</w:t>
              </w:r>
            </w:hyperlink>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Rejet des appels du demandeur</w:t>
            </w:r>
          </w:p>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31 mai 2022</w:t>
            </w:r>
          </w:p>
          <w:p w:rsidR="009774E3" w:rsidRPr="006757EB" w:rsidRDefault="009774E3" w:rsidP="009774E3">
            <w:pPr>
              <w:jc w:val="both"/>
              <w:rPr>
                <w:sz w:val="20"/>
                <w:lang w:val="fr-CA"/>
              </w:rPr>
            </w:pPr>
            <w:r w:rsidRPr="006757EB">
              <w:rPr>
                <w:sz w:val="20"/>
                <w:lang w:val="fr-CA"/>
              </w:rPr>
              <w:t>Cour suprême du Canada</w:t>
            </w:r>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Dépôt de la requête en prorogation du délai de signification et de dépôt de la demande d’autorisation d’appel ainsi que de la demande d’autorisation d’appel</w:t>
            </w:r>
          </w:p>
        </w:tc>
      </w:tr>
    </w:tbl>
    <w:p w:rsidR="009774E3" w:rsidRPr="006757EB" w:rsidRDefault="009774E3" w:rsidP="009774E3">
      <w:pPr>
        <w:jc w:val="both"/>
        <w:rPr>
          <w:sz w:val="20"/>
          <w:lang w:val="fr-CA"/>
        </w:rPr>
      </w:pPr>
    </w:p>
    <w:p w:rsidR="00464221" w:rsidRPr="006757EB" w:rsidRDefault="007336A5" w:rsidP="009774E3">
      <w:pPr>
        <w:jc w:val="both"/>
        <w:rPr>
          <w:sz w:val="20"/>
          <w:lang w:val="fr-CA"/>
        </w:rPr>
      </w:pPr>
      <w:r>
        <w:rPr>
          <w:sz w:val="20"/>
        </w:rPr>
        <w:pict>
          <v:rect id="_x0000_i1045" style="width:2in;height:1pt" o:hrpct="0" o:hralign="center" o:hrstd="t" o:hrnoshade="t" o:hr="t" fillcolor="black [3213]" stroked="f"/>
        </w:pict>
      </w:r>
    </w:p>
    <w:p w:rsidR="00464221" w:rsidRPr="006757EB" w:rsidRDefault="00464221" w:rsidP="009774E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6757EB" w:rsidTr="009774E3">
        <w:tc>
          <w:tcPr>
            <w:tcW w:w="543" w:type="pct"/>
          </w:tcPr>
          <w:p w:rsidR="009774E3" w:rsidRPr="006757EB" w:rsidRDefault="009774E3" w:rsidP="009774E3">
            <w:pPr>
              <w:jc w:val="both"/>
              <w:rPr>
                <w:sz w:val="20"/>
              </w:rPr>
            </w:pPr>
            <w:r w:rsidRPr="006757EB">
              <w:rPr>
                <w:rStyle w:val="SCCFileNumberChar"/>
                <w:sz w:val="20"/>
                <w:szCs w:val="20"/>
              </w:rPr>
              <w:t>40282</w:t>
            </w:r>
          </w:p>
        </w:tc>
        <w:tc>
          <w:tcPr>
            <w:tcW w:w="4457" w:type="pct"/>
            <w:gridSpan w:val="3"/>
          </w:tcPr>
          <w:p w:rsidR="009774E3" w:rsidRPr="006757EB" w:rsidRDefault="009774E3" w:rsidP="009774E3">
            <w:pPr>
              <w:pStyle w:val="SCCLsocParty"/>
              <w:jc w:val="both"/>
              <w:rPr>
                <w:b/>
                <w:sz w:val="20"/>
                <w:szCs w:val="20"/>
                <w:lang w:val="en-US"/>
              </w:rPr>
            </w:pPr>
            <w:r w:rsidRPr="006757EB">
              <w:rPr>
                <w:b/>
                <w:sz w:val="20"/>
                <w:szCs w:val="20"/>
                <w:lang w:val="en-US"/>
              </w:rPr>
              <w:t>Eng Ly v. City of Regina</w:t>
            </w:r>
          </w:p>
          <w:p w:rsidR="009774E3" w:rsidRPr="006757EB" w:rsidRDefault="009774E3" w:rsidP="009774E3">
            <w:pPr>
              <w:jc w:val="both"/>
              <w:rPr>
                <w:sz w:val="20"/>
              </w:rPr>
            </w:pPr>
            <w:r w:rsidRPr="006757EB">
              <w:rPr>
                <w:sz w:val="20"/>
              </w:rPr>
              <w:t>(Sask.) (Civil) (By Leave)</w:t>
            </w:r>
          </w:p>
        </w:tc>
      </w:tr>
      <w:tr w:rsidR="009774E3" w:rsidRPr="006757EB" w:rsidTr="009774E3">
        <w:tc>
          <w:tcPr>
            <w:tcW w:w="5000" w:type="pct"/>
            <w:gridSpan w:val="4"/>
          </w:tcPr>
          <w:p w:rsidR="009774E3" w:rsidRPr="006757EB" w:rsidRDefault="009774E3" w:rsidP="009774E3">
            <w:pPr>
              <w:jc w:val="both"/>
              <w:rPr>
                <w:sz w:val="20"/>
              </w:rPr>
            </w:pPr>
            <w:r w:rsidRPr="006757EB">
              <w:rPr>
                <w:i/>
                <w:sz w:val="20"/>
              </w:rPr>
              <w:t xml:space="preserve">Canadian Charter of Rights and Freedoms </w:t>
            </w:r>
            <w:r w:rsidRPr="006757EB">
              <w:rPr>
                <w:sz w:val="20"/>
              </w:rPr>
              <w:t>— Civil procedure — Appeals — Application to extend time to appeal —Municipal law — By-laws — Non-compliance with City nuisance by-law — Claim for damages for trespass and items removed from property — Action dismissed and application to extend time to appeal trial decision dismissed — Whether application for leave to appeal raises issues of national or public importance — Whether lower courts erred in reasoning and decisions.</w:t>
            </w:r>
          </w:p>
        </w:tc>
      </w:tr>
      <w:tr w:rsidR="009774E3" w:rsidRPr="006757EB" w:rsidTr="009774E3">
        <w:tc>
          <w:tcPr>
            <w:tcW w:w="5000" w:type="pct"/>
            <w:gridSpan w:val="4"/>
          </w:tcPr>
          <w:p w:rsidR="009774E3" w:rsidRPr="006757EB" w:rsidRDefault="009774E3" w:rsidP="009774E3">
            <w:pPr>
              <w:jc w:val="both"/>
              <w:rPr>
                <w:sz w:val="20"/>
              </w:rPr>
            </w:pPr>
          </w:p>
          <w:p w:rsidR="009774E3" w:rsidRPr="006757EB" w:rsidRDefault="009774E3" w:rsidP="009774E3">
            <w:pPr>
              <w:jc w:val="both"/>
              <w:rPr>
                <w:sz w:val="20"/>
              </w:rPr>
            </w:pPr>
            <w:r w:rsidRPr="006757EB">
              <w:rPr>
                <w:sz w:val="20"/>
              </w:rPr>
              <w:t>The respondent City received complaints about the applicant’s backyard which lead to the City issuing an Order to Comply requiring removal of specified items. The City eventually enforced the order itself and cleaned the backyard. The applicant brought an action against the City for trespass and $55 million in damages for throwing away his inventions while cleaning up his backyard.</w:t>
            </w:r>
          </w:p>
          <w:p w:rsidR="009774E3" w:rsidRPr="006757EB" w:rsidRDefault="009774E3" w:rsidP="009774E3">
            <w:pPr>
              <w:jc w:val="both"/>
              <w:rPr>
                <w:sz w:val="20"/>
              </w:rPr>
            </w:pPr>
          </w:p>
          <w:p w:rsidR="009774E3" w:rsidRPr="006757EB" w:rsidRDefault="009774E3" w:rsidP="009774E3">
            <w:pPr>
              <w:jc w:val="both"/>
              <w:rPr>
                <w:sz w:val="20"/>
              </w:rPr>
            </w:pPr>
            <w:r w:rsidRPr="006757EB">
              <w:rPr>
                <w:sz w:val="20"/>
              </w:rPr>
              <w:t>The trial judge dismissed the action against the City. The Court of Appeal dismissed the application to extend time to appeal.</w:t>
            </w:r>
          </w:p>
        </w:tc>
      </w:tr>
      <w:tr w:rsidR="009774E3" w:rsidRPr="006757EB" w:rsidTr="009774E3">
        <w:tc>
          <w:tcPr>
            <w:tcW w:w="5000" w:type="pct"/>
            <w:gridSpan w:val="4"/>
          </w:tcPr>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March 22, 2021</w:t>
            </w:r>
          </w:p>
          <w:p w:rsidR="009774E3" w:rsidRPr="006757EB" w:rsidRDefault="009774E3" w:rsidP="009774E3">
            <w:pPr>
              <w:jc w:val="both"/>
              <w:rPr>
                <w:sz w:val="20"/>
              </w:rPr>
            </w:pPr>
            <w:r w:rsidRPr="006757EB">
              <w:rPr>
                <w:sz w:val="20"/>
              </w:rPr>
              <w:t>Court of Queen’s Bench of Saskatchewan</w:t>
            </w:r>
          </w:p>
          <w:p w:rsidR="009774E3" w:rsidRPr="006757EB" w:rsidRDefault="009774E3" w:rsidP="009774E3">
            <w:pPr>
              <w:jc w:val="both"/>
              <w:rPr>
                <w:sz w:val="20"/>
              </w:rPr>
            </w:pPr>
            <w:r w:rsidRPr="006757EB">
              <w:rPr>
                <w:sz w:val="20"/>
              </w:rPr>
              <w:t>(Robertson J.)</w:t>
            </w:r>
          </w:p>
          <w:p w:rsidR="009774E3" w:rsidRPr="006757EB" w:rsidRDefault="007336A5" w:rsidP="009774E3">
            <w:pPr>
              <w:jc w:val="both"/>
              <w:rPr>
                <w:sz w:val="20"/>
              </w:rPr>
            </w:pPr>
            <w:hyperlink r:id="rId53" w:history="1">
              <w:r w:rsidR="009774E3" w:rsidRPr="006757EB">
                <w:rPr>
                  <w:rStyle w:val="Hyperlink"/>
                  <w:sz w:val="20"/>
                </w:rPr>
                <w:t>2021 SKQB 80</w:t>
              </w:r>
            </w:hyperlink>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Action against City dismissed.</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September 9, 2021</w:t>
            </w:r>
          </w:p>
          <w:p w:rsidR="009774E3" w:rsidRPr="006757EB" w:rsidRDefault="009774E3" w:rsidP="009774E3">
            <w:pPr>
              <w:jc w:val="both"/>
              <w:rPr>
                <w:sz w:val="20"/>
              </w:rPr>
            </w:pPr>
            <w:r w:rsidRPr="006757EB">
              <w:rPr>
                <w:sz w:val="20"/>
              </w:rPr>
              <w:t>Court of Appeal for Saskatchewan</w:t>
            </w:r>
          </w:p>
          <w:p w:rsidR="009774E3" w:rsidRPr="006757EB" w:rsidRDefault="009774E3" w:rsidP="009774E3">
            <w:pPr>
              <w:jc w:val="both"/>
              <w:rPr>
                <w:sz w:val="20"/>
              </w:rPr>
            </w:pPr>
            <w:r w:rsidRPr="006757EB">
              <w:rPr>
                <w:sz w:val="20"/>
              </w:rPr>
              <w:t>(Caldwell J.A.)</w:t>
            </w:r>
          </w:p>
          <w:p w:rsidR="009774E3" w:rsidRPr="006757EB" w:rsidRDefault="009774E3" w:rsidP="009774E3">
            <w:pPr>
              <w:jc w:val="both"/>
              <w:rPr>
                <w:sz w:val="20"/>
              </w:rPr>
            </w:pPr>
            <w:r w:rsidRPr="006757EB">
              <w:rPr>
                <w:sz w:val="20"/>
              </w:rPr>
              <w:t>File No.: CACV3811</w:t>
            </w:r>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Application to extend time to appeal, dismissed.</w:t>
            </w: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November 8, 2021</w:t>
            </w:r>
          </w:p>
          <w:p w:rsidR="009774E3" w:rsidRPr="006757EB" w:rsidRDefault="009774E3" w:rsidP="009774E3">
            <w:pPr>
              <w:jc w:val="both"/>
              <w:rPr>
                <w:sz w:val="20"/>
              </w:rPr>
            </w:pPr>
            <w:r w:rsidRPr="006757EB">
              <w:rPr>
                <w:sz w:val="20"/>
              </w:rPr>
              <w:t>Supreme Court of Canada</w:t>
            </w:r>
          </w:p>
          <w:p w:rsidR="009774E3" w:rsidRPr="006757EB" w:rsidRDefault="009774E3" w:rsidP="009774E3">
            <w:pPr>
              <w:jc w:val="both"/>
              <w:rPr>
                <w:sz w:val="20"/>
              </w:rPr>
            </w:pP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Application for leave to appeal filed.</w:t>
            </w:r>
          </w:p>
          <w:p w:rsidR="009774E3" w:rsidRPr="006757EB" w:rsidRDefault="009774E3" w:rsidP="009774E3">
            <w:pPr>
              <w:jc w:val="both"/>
              <w:rPr>
                <w:sz w:val="20"/>
              </w:rPr>
            </w:pPr>
          </w:p>
          <w:p w:rsidR="009774E3" w:rsidRPr="006757EB" w:rsidRDefault="009774E3" w:rsidP="009774E3">
            <w:pPr>
              <w:jc w:val="both"/>
              <w:rPr>
                <w:sz w:val="20"/>
              </w:rPr>
            </w:pPr>
          </w:p>
        </w:tc>
      </w:tr>
      <w:tr w:rsidR="009774E3" w:rsidRPr="006757EB" w:rsidTr="009774E3">
        <w:tc>
          <w:tcPr>
            <w:tcW w:w="2427" w:type="pct"/>
            <w:gridSpan w:val="2"/>
          </w:tcPr>
          <w:p w:rsidR="009774E3" w:rsidRPr="006757EB" w:rsidRDefault="009774E3" w:rsidP="009774E3">
            <w:pPr>
              <w:jc w:val="both"/>
              <w:rPr>
                <w:sz w:val="20"/>
              </w:rPr>
            </w:pPr>
            <w:r w:rsidRPr="006757EB">
              <w:rPr>
                <w:sz w:val="20"/>
              </w:rPr>
              <w:t>July 11, 2022</w:t>
            </w:r>
          </w:p>
          <w:p w:rsidR="009774E3" w:rsidRPr="006757EB" w:rsidRDefault="009774E3" w:rsidP="009774E3">
            <w:pPr>
              <w:jc w:val="both"/>
              <w:rPr>
                <w:sz w:val="20"/>
              </w:rPr>
            </w:pPr>
            <w:r w:rsidRPr="006757EB">
              <w:rPr>
                <w:sz w:val="20"/>
              </w:rPr>
              <w:t xml:space="preserve">Supreme Court of Canada </w:t>
            </w:r>
          </w:p>
        </w:tc>
        <w:tc>
          <w:tcPr>
            <w:tcW w:w="243" w:type="pct"/>
          </w:tcPr>
          <w:p w:rsidR="009774E3" w:rsidRPr="006757EB" w:rsidRDefault="009774E3" w:rsidP="009774E3">
            <w:pPr>
              <w:jc w:val="both"/>
              <w:rPr>
                <w:sz w:val="20"/>
              </w:rPr>
            </w:pPr>
          </w:p>
        </w:tc>
        <w:tc>
          <w:tcPr>
            <w:tcW w:w="2330" w:type="pct"/>
          </w:tcPr>
          <w:p w:rsidR="009774E3" w:rsidRPr="006757EB" w:rsidRDefault="009774E3" w:rsidP="009774E3">
            <w:pPr>
              <w:jc w:val="both"/>
              <w:rPr>
                <w:sz w:val="20"/>
              </w:rPr>
            </w:pPr>
            <w:r w:rsidRPr="006757EB">
              <w:rPr>
                <w:sz w:val="20"/>
              </w:rPr>
              <w:t xml:space="preserve">Miscellaneous motion filed. </w:t>
            </w:r>
          </w:p>
        </w:tc>
      </w:tr>
    </w:tbl>
    <w:p w:rsidR="009774E3" w:rsidRPr="006757EB" w:rsidRDefault="009774E3" w:rsidP="009774E3">
      <w:pPr>
        <w:jc w:val="both"/>
        <w:rPr>
          <w:sz w:val="20"/>
        </w:rPr>
      </w:pPr>
    </w:p>
    <w:p w:rsidR="00464221" w:rsidRPr="006757EB" w:rsidRDefault="007336A5" w:rsidP="009774E3">
      <w:pPr>
        <w:jc w:val="both"/>
        <w:rPr>
          <w:sz w:val="20"/>
        </w:rPr>
      </w:pPr>
      <w:r>
        <w:rPr>
          <w:sz w:val="20"/>
        </w:rPr>
        <w:pict>
          <v:rect id="_x0000_i1046" style="width:2in;height:1pt" o:hrpct="0" o:hralign="center" o:hrstd="t" o:hrnoshade="t" o:hr="t" fillcolor="black [3213]" stroked="f"/>
        </w:pict>
      </w:r>
    </w:p>
    <w:p w:rsidR="00464221" w:rsidRPr="006757EB" w:rsidRDefault="00464221" w:rsidP="009774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4E3" w:rsidRPr="006757EB" w:rsidTr="009774E3">
        <w:tc>
          <w:tcPr>
            <w:tcW w:w="543" w:type="pct"/>
          </w:tcPr>
          <w:p w:rsidR="009774E3" w:rsidRPr="006757EB" w:rsidRDefault="009774E3" w:rsidP="009774E3">
            <w:pPr>
              <w:jc w:val="both"/>
              <w:rPr>
                <w:sz w:val="20"/>
                <w:lang w:val="fr-CA"/>
              </w:rPr>
            </w:pPr>
            <w:r w:rsidRPr="006757EB">
              <w:rPr>
                <w:rStyle w:val="SCCFileNumberChar"/>
                <w:sz w:val="20"/>
                <w:szCs w:val="20"/>
                <w:lang w:val="fr-CA"/>
              </w:rPr>
              <w:t>40282</w:t>
            </w:r>
          </w:p>
        </w:tc>
        <w:tc>
          <w:tcPr>
            <w:tcW w:w="4457" w:type="pct"/>
            <w:gridSpan w:val="3"/>
          </w:tcPr>
          <w:p w:rsidR="009774E3" w:rsidRPr="006757EB" w:rsidRDefault="009774E3" w:rsidP="009774E3">
            <w:pPr>
              <w:pStyle w:val="SCCLsocParty"/>
              <w:jc w:val="both"/>
              <w:rPr>
                <w:b/>
                <w:sz w:val="20"/>
                <w:szCs w:val="20"/>
              </w:rPr>
            </w:pPr>
            <w:r w:rsidRPr="006757EB">
              <w:rPr>
                <w:b/>
                <w:sz w:val="20"/>
                <w:szCs w:val="20"/>
              </w:rPr>
              <w:t>Eng Ly c. Ville de Regina</w:t>
            </w:r>
          </w:p>
          <w:p w:rsidR="009774E3" w:rsidRPr="006757EB" w:rsidRDefault="009774E3" w:rsidP="009774E3">
            <w:pPr>
              <w:jc w:val="both"/>
              <w:rPr>
                <w:sz w:val="20"/>
                <w:lang w:val="fr-CA"/>
              </w:rPr>
            </w:pPr>
            <w:r w:rsidRPr="006757EB">
              <w:rPr>
                <w:sz w:val="20"/>
                <w:lang w:val="fr-CA"/>
              </w:rPr>
              <w:t>(Sask.) (Civile) (Autorisation)</w:t>
            </w:r>
          </w:p>
        </w:tc>
      </w:tr>
      <w:tr w:rsidR="009774E3" w:rsidRPr="007336A5" w:rsidTr="009774E3">
        <w:tc>
          <w:tcPr>
            <w:tcW w:w="5000" w:type="pct"/>
            <w:gridSpan w:val="4"/>
          </w:tcPr>
          <w:p w:rsidR="009774E3" w:rsidRPr="006757EB" w:rsidRDefault="009774E3" w:rsidP="009774E3">
            <w:pPr>
              <w:jc w:val="both"/>
              <w:rPr>
                <w:sz w:val="20"/>
                <w:lang w:val="fr-CA"/>
              </w:rPr>
            </w:pPr>
            <w:r w:rsidRPr="006757EB">
              <w:rPr>
                <w:i/>
                <w:sz w:val="20"/>
                <w:lang w:val="fr-CA"/>
              </w:rPr>
              <w:t xml:space="preserve">Charte canadienne des droits et libertés </w:t>
            </w:r>
            <w:r w:rsidRPr="006757EB">
              <w:rPr>
                <w:sz w:val="20"/>
                <w:lang w:val="fr-CA"/>
              </w:rPr>
              <w:t>— Procédure civile — Appels — Requête en prorogation du délai d’appel — Droit municipal — Règlements — Non-respect du règlement de la Ville sur les nuisances — Réclamation en dommages-intérêts pour intrusion et objets retirés de la propriété — Action rejetée et requête en prorogation du délai d’appel rejetée — La demande d’autorisation d’appel soulève-t-elle des questions d’intérêt national ou des questions importantes pour le public? — Les juridictions inférieures ont-elles commis des erreurs dans leurs analyses et décisions?</w:t>
            </w:r>
          </w:p>
        </w:tc>
      </w:tr>
      <w:tr w:rsidR="009774E3" w:rsidRPr="007336A5" w:rsidTr="009774E3">
        <w:tc>
          <w:tcPr>
            <w:tcW w:w="5000" w:type="pct"/>
            <w:gridSpan w:val="4"/>
          </w:tcPr>
          <w:p w:rsidR="009774E3" w:rsidRPr="006757EB" w:rsidRDefault="009774E3" w:rsidP="009774E3">
            <w:pPr>
              <w:jc w:val="both"/>
              <w:rPr>
                <w:sz w:val="20"/>
                <w:lang w:val="fr-CA"/>
              </w:rPr>
            </w:pPr>
          </w:p>
          <w:p w:rsidR="009774E3" w:rsidRPr="006757EB" w:rsidRDefault="009774E3" w:rsidP="009774E3">
            <w:pPr>
              <w:jc w:val="both"/>
              <w:rPr>
                <w:sz w:val="20"/>
                <w:lang w:val="fr-CA"/>
              </w:rPr>
            </w:pPr>
            <w:r w:rsidRPr="006757EB">
              <w:rPr>
                <w:sz w:val="20"/>
                <w:lang w:val="fr-CA"/>
              </w:rPr>
              <w:t xml:space="preserve">La Ville, intimée en l’espèce, a reçu des plaintes concernant la cour arrière du demandeur, lesquelles l’ont amenée à rendre une ordonnance enjoignant à ce dernier de se conformer en retirant certains objets de sa cour. La Ville en est venue à exécuter elle-même l’ordonnance en faisant un nettoyage de la cour du demandeur. Ce dernier a intenté une action contre la Ville pour intrusion tout en lui réclamant 55 millions de dollars en dommages-intérêts pour avoir jeté ses inventions lors du nettoyage. </w:t>
            </w:r>
          </w:p>
          <w:p w:rsidR="009774E3" w:rsidRPr="006757EB" w:rsidRDefault="009774E3" w:rsidP="009774E3">
            <w:pPr>
              <w:jc w:val="both"/>
              <w:rPr>
                <w:sz w:val="20"/>
                <w:lang w:val="fr-CA"/>
              </w:rPr>
            </w:pPr>
          </w:p>
          <w:p w:rsidR="009774E3" w:rsidRPr="006757EB" w:rsidRDefault="009774E3" w:rsidP="009774E3">
            <w:pPr>
              <w:jc w:val="both"/>
              <w:rPr>
                <w:sz w:val="20"/>
                <w:lang w:val="fr-CA"/>
              </w:rPr>
            </w:pPr>
            <w:r w:rsidRPr="006757EB">
              <w:rPr>
                <w:sz w:val="20"/>
                <w:lang w:val="fr-CA"/>
              </w:rPr>
              <w:t xml:space="preserve">Le juge de première instance a rejeté l’action du demandeur. La Cour d’appel a rejeté la requête en prorogation du délai d’appel. </w:t>
            </w:r>
          </w:p>
        </w:tc>
      </w:tr>
      <w:tr w:rsidR="009774E3" w:rsidRPr="007336A5" w:rsidTr="009774E3">
        <w:tc>
          <w:tcPr>
            <w:tcW w:w="5000" w:type="pct"/>
            <w:gridSpan w:val="4"/>
          </w:tcPr>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22 mars 2021</w:t>
            </w:r>
          </w:p>
          <w:p w:rsidR="009774E3" w:rsidRPr="006757EB" w:rsidRDefault="009774E3" w:rsidP="009774E3">
            <w:pPr>
              <w:jc w:val="both"/>
              <w:rPr>
                <w:sz w:val="20"/>
                <w:lang w:val="fr-CA"/>
              </w:rPr>
            </w:pPr>
            <w:r w:rsidRPr="006757EB">
              <w:rPr>
                <w:sz w:val="20"/>
                <w:lang w:val="fr-CA"/>
              </w:rPr>
              <w:t>Cour du Banc de la Reine de la Saskatchewan</w:t>
            </w:r>
          </w:p>
          <w:p w:rsidR="009774E3" w:rsidRPr="006757EB" w:rsidRDefault="009774E3" w:rsidP="009774E3">
            <w:pPr>
              <w:jc w:val="both"/>
              <w:rPr>
                <w:sz w:val="20"/>
                <w:lang w:val="fr-CA"/>
              </w:rPr>
            </w:pPr>
            <w:r w:rsidRPr="006757EB">
              <w:rPr>
                <w:sz w:val="20"/>
                <w:lang w:val="fr-CA"/>
              </w:rPr>
              <w:t>(Juge Robertson)</w:t>
            </w:r>
          </w:p>
          <w:p w:rsidR="009774E3" w:rsidRPr="006757EB" w:rsidRDefault="007336A5" w:rsidP="009774E3">
            <w:pPr>
              <w:jc w:val="both"/>
              <w:rPr>
                <w:sz w:val="20"/>
                <w:lang w:val="fr-CA"/>
              </w:rPr>
            </w:pPr>
            <w:hyperlink r:id="rId54" w:history="1">
              <w:r w:rsidR="009774E3" w:rsidRPr="006757EB">
                <w:rPr>
                  <w:rStyle w:val="Hyperlink"/>
                  <w:sz w:val="20"/>
                  <w:lang w:val="fr-CA"/>
                </w:rPr>
                <w:t>2021 SKQB 80</w:t>
              </w:r>
            </w:hyperlink>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Action contre la Ville rejetée.</w:t>
            </w:r>
          </w:p>
          <w:p w:rsidR="009774E3" w:rsidRPr="006757EB" w:rsidRDefault="009774E3" w:rsidP="009774E3">
            <w:pPr>
              <w:jc w:val="both"/>
              <w:rPr>
                <w:sz w:val="20"/>
                <w:lang w:val="fr-CA"/>
              </w:rPr>
            </w:pPr>
          </w:p>
        </w:tc>
      </w:tr>
      <w:tr w:rsidR="009774E3" w:rsidRPr="007336A5" w:rsidTr="009774E3">
        <w:tc>
          <w:tcPr>
            <w:tcW w:w="2427" w:type="pct"/>
            <w:gridSpan w:val="2"/>
          </w:tcPr>
          <w:p w:rsidR="009774E3" w:rsidRPr="006757EB" w:rsidRDefault="009774E3" w:rsidP="009774E3">
            <w:pPr>
              <w:jc w:val="both"/>
              <w:rPr>
                <w:sz w:val="20"/>
                <w:lang w:val="fr-CA"/>
              </w:rPr>
            </w:pPr>
            <w:r w:rsidRPr="006757EB">
              <w:rPr>
                <w:sz w:val="20"/>
                <w:lang w:val="fr-CA"/>
              </w:rPr>
              <w:t>9 septembre 2021</w:t>
            </w:r>
          </w:p>
          <w:p w:rsidR="009774E3" w:rsidRPr="006757EB" w:rsidRDefault="009774E3" w:rsidP="009774E3">
            <w:pPr>
              <w:jc w:val="both"/>
              <w:rPr>
                <w:sz w:val="20"/>
                <w:lang w:val="fr-CA"/>
              </w:rPr>
            </w:pPr>
            <w:r w:rsidRPr="006757EB">
              <w:rPr>
                <w:sz w:val="20"/>
                <w:lang w:val="fr-CA"/>
              </w:rPr>
              <w:t>Cour d’appel de la Saskatchewan</w:t>
            </w:r>
          </w:p>
          <w:p w:rsidR="009774E3" w:rsidRPr="006757EB" w:rsidRDefault="009774E3" w:rsidP="009774E3">
            <w:pPr>
              <w:jc w:val="both"/>
              <w:rPr>
                <w:sz w:val="20"/>
                <w:lang w:val="fr-CA"/>
              </w:rPr>
            </w:pPr>
            <w:r w:rsidRPr="006757EB">
              <w:rPr>
                <w:sz w:val="20"/>
                <w:lang w:val="fr-CA"/>
              </w:rPr>
              <w:t>(Juge Caldwell)</w:t>
            </w:r>
          </w:p>
          <w:p w:rsidR="009774E3" w:rsidRPr="006757EB" w:rsidRDefault="009774E3" w:rsidP="009774E3">
            <w:pPr>
              <w:jc w:val="both"/>
              <w:rPr>
                <w:sz w:val="20"/>
                <w:lang w:val="fr-CA"/>
              </w:rPr>
            </w:pPr>
            <w:r w:rsidRPr="006757EB">
              <w:rPr>
                <w:sz w:val="20"/>
                <w:lang w:val="fr-CA"/>
              </w:rPr>
              <w:t>Dossier : CACV3811</w:t>
            </w:r>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Requête en prorogation du délai d’appel rejetée.</w:t>
            </w:r>
          </w:p>
          <w:p w:rsidR="009774E3" w:rsidRPr="006757EB" w:rsidRDefault="009774E3" w:rsidP="009774E3">
            <w:pPr>
              <w:jc w:val="both"/>
              <w:rPr>
                <w:sz w:val="20"/>
                <w:lang w:val="fr-CA"/>
              </w:rPr>
            </w:pPr>
          </w:p>
        </w:tc>
      </w:tr>
      <w:tr w:rsidR="009774E3" w:rsidRPr="006757EB" w:rsidTr="009774E3">
        <w:tc>
          <w:tcPr>
            <w:tcW w:w="2427" w:type="pct"/>
            <w:gridSpan w:val="2"/>
          </w:tcPr>
          <w:p w:rsidR="009774E3" w:rsidRPr="006757EB" w:rsidRDefault="009774E3" w:rsidP="009774E3">
            <w:pPr>
              <w:jc w:val="both"/>
              <w:rPr>
                <w:sz w:val="20"/>
                <w:lang w:val="fr-CA"/>
              </w:rPr>
            </w:pPr>
            <w:r w:rsidRPr="006757EB">
              <w:rPr>
                <w:sz w:val="20"/>
                <w:lang w:val="fr-CA"/>
              </w:rPr>
              <w:t>8 novembre 2021</w:t>
            </w:r>
          </w:p>
          <w:p w:rsidR="009774E3" w:rsidRPr="006757EB" w:rsidRDefault="009774E3" w:rsidP="009774E3">
            <w:pPr>
              <w:jc w:val="both"/>
              <w:rPr>
                <w:sz w:val="20"/>
                <w:lang w:val="fr-CA"/>
              </w:rPr>
            </w:pPr>
            <w:r w:rsidRPr="006757EB">
              <w:rPr>
                <w:sz w:val="20"/>
                <w:lang w:val="fr-CA"/>
              </w:rPr>
              <w:t>Cour suprême du Canada</w:t>
            </w:r>
          </w:p>
          <w:p w:rsidR="009774E3" w:rsidRPr="006757EB" w:rsidRDefault="009774E3" w:rsidP="009774E3">
            <w:pPr>
              <w:jc w:val="both"/>
              <w:rPr>
                <w:sz w:val="20"/>
                <w:lang w:val="fr-CA"/>
              </w:rPr>
            </w:pP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Demande d’autorisation d’appel déposée.</w:t>
            </w:r>
          </w:p>
          <w:p w:rsidR="009774E3" w:rsidRPr="006757EB" w:rsidRDefault="009774E3" w:rsidP="009774E3">
            <w:pPr>
              <w:jc w:val="both"/>
              <w:rPr>
                <w:sz w:val="20"/>
                <w:lang w:val="fr-CA"/>
              </w:rPr>
            </w:pPr>
          </w:p>
          <w:p w:rsidR="009774E3" w:rsidRPr="006757EB" w:rsidRDefault="009774E3" w:rsidP="009774E3">
            <w:pPr>
              <w:jc w:val="both"/>
              <w:rPr>
                <w:sz w:val="20"/>
                <w:lang w:val="fr-CA"/>
              </w:rPr>
            </w:pPr>
          </w:p>
        </w:tc>
      </w:tr>
      <w:tr w:rsidR="009774E3" w:rsidRPr="006757EB" w:rsidTr="009774E3">
        <w:tc>
          <w:tcPr>
            <w:tcW w:w="2427" w:type="pct"/>
            <w:gridSpan w:val="2"/>
          </w:tcPr>
          <w:p w:rsidR="009774E3" w:rsidRPr="006757EB" w:rsidRDefault="009774E3" w:rsidP="009774E3">
            <w:pPr>
              <w:jc w:val="both"/>
              <w:rPr>
                <w:sz w:val="20"/>
                <w:lang w:val="fr-CA"/>
              </w:rPr>
            </w:pPr>
            <w:r w:rsidRPr="006757EB">
              <w:rPr>
                <w:sz w:val="20"/>
                <w:lang w:val="fr-CA"/>
              </w:rPr>
              <w:t>11 juillet 2022</w:t>
            </w:r>
          </w:p>
          <w:p w:rsidR="009774E3" w:rsidRPr="006757EB" w:rsidRDefault="009774E3" w:rsidP="009774E3">
            <w:pPr>
              <w:jc w:val="both"/>
              <w:rPr>
                <w:sz w:val="20"/>
                <w:lang w:val="fr-CA"/>
              </w:rPr>
            </w:pPr>
            <w:r w:rsidRPr="006757EB">
              <w:rPr>
                <w:sz w:val="20"/>
                <w:lang w:val="fr-CA"/>
              </w:rPr>
              <w:t xml:space="preserve">Cour suprême du Canada </w:t>
            </w:r>
          </w:p>
        </w:tc>
        <w:tc>
          <w:tcPr>
            <w:tcW w:w="243" w:type="pct"/>
          </w:tcPr>
          <w:p w:rsidR="009774E3" w:rsidRPr="006757EB" w:rsidRDefault="009774E3" w:rsidP="009774E3">
            <w:pPr>
              <w:jc w:val="both"/>
              <w:rPr>
                <w:sz w:val="20"/>
                <w:lang w:val="fr-CA"/>
              </w:rPr>
            </w:pPr>
          </w:p>
        </w:tc>
        <w:tc>
          <w:tcPr>
            <w:tcW w:w="2330" w:type="pct"/>
          </w:tcPr>
          <w:p w:rsidR="009774E3" w:rsidRPr="006757EB" w:rsidRDefault="009774E3" w:rsidP="009774E3">
            <w:pPr>
              <w:jc w:val="both"/>
              <w:rPr>
                <w:sz w:val="20"/>
                <w:lang w:val="fr-CA"/>
              </w:rPr>
            </w:pPr>
            <w:r w:rsidRPr="006757EB">
              <w:rPr>
                <w:sz w:val="20"/>
                <w:lang w:val="fr-CA"/>
              </w:rPr>
              <w:t xml:space="preserve">Requête diverse déposée. </w:t>
            </w:r>
          </w:p>
        </w:tc>
      </w:tr>
    </w:tbl>
    <w:p w:rsidR="00DC4AAB" w:rsidRPr="006757EB" w:rsidRDefault="00DC4AAB" w:rsidP="00792D8C">
      <w:pPr>
        <w:jc w:val="both"/>
        <w:rPr>
          <w:sz w:val="20"/>
          <w:lang w:val="fr-CA"/>
        </w:rPr>
      </w:pPr>
    </w:p>
    <w:p w:rsidR="004D21AC" w:rsidRPr="006757EB" w:rsidRDefault="007336A5" w:rsidP="00792D8C">
      <w:pPr>
        <w:widowControl w:val="0"/>
        <w:jc w:val="both"/>
        <w:rPr>
          <w:sz w:val="20"/>
          <w:lang w:val="fr-CA"/>
        </w:rPr>
      </w:pPr>
      <w:r>
        <w:rPr>
          <w:sz w:val="20"/>
        </w:rPr>
        <w:pict>
          <v:rect id="_x0000_i1047" style="width:2in;height:1pt" o:hrpct="0" o:hralign="center" o:hrstd="t" o:hrnoshade="t" o:hr="t" fillcolor="black [3213]" stroked="f"/>
        </w:pict>
      </w:r>
    </w:p>
    <w:p w:rsidR="00311655" w:rsidRPr="006757EB" w:rsidRDefault="00311655" w:rsidP="00350651">
      <w:pPr>
        <w:ind w:left="142" w:hanging="142"/>
        <w:jc w:val="both"/>
        <w:rPr>
          <w:sz w:val="20"/>
        </w:rPr>
      </w:pPr>
    </w:p>
    <w:p w:rsidR="008F2F11" w:rsidRPr="006757EB" w:rsidRDefault="008F2F11" w:rsidP="00350651">
      <w:pPr>
        <w:ind w:left="142" w:hanging="142"/>
        <w:jc w:val="both"/>
        <w:rPr>
          <w:sz w:val="20"/>
        </w:rPr>
      </w:pPr>
    </w:p>
    <w:p w:rsidR="008F2F11" w:rsidRPr="006757EB" w:rsidRDefault="008F2F11" w:rsidP="00350651">
      <w:pPr>
        <w:ind w:left="142" w:hanging="142"/>
        <w:jc w:val="both"/>
        <w:rPr>
          <w:sz w:val="20"/>
        </w:rPr>
      </w:pPr>
    </w:p>
    <w:p w:rsidR="00D3344A" w:rsidRPr="006757EB" w:rsidRDefault="00D3344A" w:rsidP="00D3344A">
      <w:pPr>
        <w:widowControl w:val="0"/>
        <w:outlineLvl w:val="0"/>
        <w:rPr>
          <w:sz w:val="20"/>
        </w:rPr>
      </w:pPr>
      <w:r w:rsidRPr="006757EB">
        <w:rPr>
          <w:sz w:val="20"/>
        </w:rPr>
        <w:t xml:space="preserve">Supreme Court of Canada / Cour suprême du </w:t>
      </w:r>
      <w:proofErr w:type="gramStart"/>
      <w:r w:rsidRPr="006757EB">
        <w:rPr>
          <w:sz w:val="20"/>
        </w:rPr>
        <w:t>Canad</w:t>
      </w:r>
      <w:r w:rsidR="00EE289F" w:rsidRPr="006757EB">
        <w:rPr>
          <w:sz w:val="20"/>
        </w:rPr>
        <w:t>a</w:t>
      </w:r>
      <w:r w:rsidRPr="006757EB">
        <w:rPr>
          <w:sz w:val="20"/>
        </w:rPr>
        <w:t xml:space="preserve"> :</w:t>
      </w:r>
      <w:proofErr w:type="gramEnd"/>
    </w:p>
    <w:p w:rsidR="00D3344A" w:rsidRPr="006757EB" w:rsidRDefault="007336A5" w:rsidP="00D3344A">
      <w:pPr>
        <w:widowControl w:val="0"/>
        <w:outlineLvl w:val="0"/>
        <w:rPr>
          <w:sz w:val="20"/>
          <w:u w:val="single"/>
        </w:rPr>
      </w:pPr>
      <w:hyperlink r:id="rId55" w:history="1">
        <w:r w:rsidR="009B7391" w:rsidRPr="006757EB">
          <w:rPr>
            <w:rStyle w:val="Hyperlink"/>
            <w:sz w:val="20"/>
          </w:rPr>
          <w:t>comments-commentaires@scc-csc.ca</w:t>
        </w:r>
      </w:hyperlink>
    </w:p>
    <w:p w:rsidR="00D3344A" w:rsidRPr="006757EB" w:rsidRDefault="0065588C" w:rsidP="00D3344A">
      <w:pPr>
        <w:widowControl w:val="0"/>
        <w:outlineLvl w:val="0"/>
        <w:rPr>
          <w:sz w:val="20"/>
        </w:rPr>
      </w:pPr>
      <w:r w:rsidRPr="006757EB">
        <w:rPr>
          <w:sz w:val="20"/>
        </w:rPr>
        <w:t>613-</w:t>
      </w:r>
      <w:r w:rsidR="00D3344A" w:rsidRPr="006757EB">
        <w:rPr>
          <w:sz w:val="20"/>
        </w:rPr>
        <w:t>995-4330</w:t>
      </w:r>
    </w:p>
    <w:p w:rsidR="00497B5E" w:rsidRPr="006757EB" w:rsidRDefault="00497B5E" w:rsidP="00497B5E">
      <w:pPr>
        <w:widowControl w:val="0"/>
        <w:rPr>
          <w:sz w:val="20"/>
        </w:rPr>
      </w:pPr>
    </w:p>
    <w:p w:rsidR="00F6251B" w:rsidRPr="007607A2" w:rsidRDefault="003F43E6" w:rsidP="00F6251B">
      <w:pPr>
        <w:pStyle w:val="Footer"/>
        <w:jc w:val="center"/>
        <w:rPr>
          <w:sz w:val="20"/>
        </w:rPr>
      </w:pPr>
      <w:r w:rsidRPr="006757EB">
        <w:rPr>
          <w:sz w:val="20"/>
        </w:rPr>
        <w:t>- 30 -</w:t>
      </w:r>
    </w:p>
    <w:sectPr w:rsidR="00F6251B" w:rsidRPr="007607A2" w:rsidSect="00E62F93">
      <w:headerReference w:type="even" r:id="rId56"/>
      <w:headerReference w:type="default" r:id="rId57"/>
      <w:footerReference w:type="even" r:id="rId58"/>
      <w:footerReference w:type="default" r:id="rId59"/>
      <w:headerReference w:type="first" r:id="rId60"/>
      <w:footerReference w:type="first" r:id="rId61"/>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4E3" w:rsidRDefault="009774E3" w:rsidP="0034178A">
      <w:r>
        <w:separator/>
      </w:r>
    </w:p>
  </w:endnote>
  <w:endnote w:type="continuationSeparator" w:id="0">
    <w:p w:rsidR="009774E3" w:rsidRDefault="009774E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E3" w:rsidRDefault="00977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E3" w:rsidRPr="009F77F0" w:rsidRDefault="009774E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E3" w:rsidRDefault="00977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4E3" w:rsidRDefault="009774E3" w:rsidP="0034178A">
      <w:r>
        <w:separator/>
      </w:r>
    </w:p>
  </w:footnote>
  <w:footnote w:type="continuationSeparator" w:id="0">
    <w:p w:rsidR="009774E3" w:rsidRDefault="009774E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E3" w:rsidRDefault="00977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E3" w:rsidRDefault="00977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E3" w:rsidRDefault="0097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14A42"/>
    <w:multiLevelType w:val="hybridMultilevel"/>
    <w:tmpl w:val="F7889D14"/>
    <w:lvl w:ilvl="0" w:tplc="7B9C7E3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2"/>
  </w:num>
  <w:num w:numId="3">
    <w:abstractNumId w:val="20"/>
  </w:num>
  <w:num w:numId="4">
    <w:abstractNumId w:val="10"/>
  </w:num>
  <w:num w:numId="5">
    <w:abstractNumId w:val="7"/>
  </w:num>
  <w:num w:numId="6">
    <w:abstractNumId w:val="17"/>
  </w:num>
  <w:num w:numId="7">
    <w:abstractNumId w:val="15"/>
  </w:num>
  <w:num w:numId="8">
    <w:abstractNumId w:val="18"/>
  </w:num>
  <w:num w:numId="9">
    <w:abstractNumId w:val="2"/>
  </w:num>
  <w:num w:numId="10">
    <w:abstractNumId w:val="4"/>
  </w:num>
  <w:num w:numId="11">
    <w:abstractNumId w:val="0"/>
  </w:num>
  <w:num w:numId="12">
    <w:abstractNumId w:val="16"/>
  </w:num>
  <w:num w:numId="13">
    <w:abstractNumId w:val="1"/>
  </w:num>
  <w:num w:numId="14">
    <w:abstractNumId w:val="9"/>
  </w:num>
  <w:num w:numId="15">
    <w:abstractNumId w:val="3"/>
  </w:num>
  <w:num w:numId="16">
    <w:abstractNumId w:val="5"/>
  </w:num>
  <w:num w:numId="17">
    <w:abstractNumId w:val="19"/>
  </w:num>
  <w:num w:numId="18">
    <w:abstractNumId w:val="11"/>
  </w:num>
  <w:num w:numId="19">
    <w:abstractNumId w:val="8"/>
  </w:num>
  <w:num w:numId="20">
    <w:abstractNumId w:val="13"/>
  </w:num>
  <w:num w:numId="2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03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522"/>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B05"/>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221"/>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4C26"/>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EC1"/>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7EB"/>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6A5"/>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0EC4"/>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4E3"/>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08B"/>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CC7"/>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0A0"/>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03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paragraph" w:customStyle="1" w:styleId="SCCSsoc">
    <w:name w:val="SCC.Ssoc"/>
    <w:basedOn w:val="Normal"/>
    <w:next w:val="Normal"/>
    <w:link w:val="SCCSsocChar"/>
    <w:rsid w:val="005A1EC1"/>
    <w:rPr>
      <w:i/>
      <w:lang w:val="en-CA" w:eastAsia="en-CA"/>
    </w:rPr>
  </w:style>
  <w:style w:type="character" w:customStyle="1" w:styleId="SCCSsocChar">
    <w:name w:val="SCC.Ssoc Char"/>
    <w:basedOn w:val="DefaultParagraphFont"/>
    <w:link w:val="SCCSsoc"/>
    <w:rsid w:val="005A1EC1"/>
    <w:rPr>
      <w:rFonts w:ascii="Times New Roman" w:eastAsia="Times New Roman" w:hAnsi="Times New Roman"/>
      <w:i/>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263" TargetMode="External"/><Relationship Id="rId18" Type="http://schemas.openxmlformats.org/officeDocument/2006/relationships/hyperlink" Target="https://www.scc-csc.ca/case-dossier/info/sum-som-eng.aspx?cas=40282" TargetMode="External"/><Relationship Id="rId26" Type="http://schemas.openxmlformats.org/officeDocument/2006/relationships/hyperlink" Target="https://www.canlii.org/en/on/onsc/doc/2020/2020onsc644/2020onsc644.html?resultIndex=1" TargetMode="External"/><Relationship Id="rId39" Type="http://schemas.openxmlformats.org/officeDocument/2006/relationships/hyperlink" Target="https://canlii.ca/t/j5p92" TargetMode="External"/><Relationship Id="rId21" Type="http://schemas.openxmlformats.org/officeDocument/2006/relationships/hyperlink" Target="https://canlii.ca/t/j9tbp" TargetMode="External"/><Relationship Id="rId34" Type="http://schemas.openxmlformats.org/officeDocument/2006/relationships/hyperlink" Target="https://www.canlii.org/en/on/onca/doc/2022/2022onca100/2022onca100.html" TargetMode="External"/><Relationship Id="rId42" Type="http://schemas.openxmlformats.org/officeDocument/2006/relationships/hyperlink" Target="https://canlii.ca/t/jnh78" TargetMode="External"/><Relationship Id="rId47" Type="http://schemas.openxmlformats.org/officeDocument/2006/relationships/hyperlink" Target="https://www.canlii.org/en/on/onsc/doc/2020/2020onsc2200/2020onsc2200.html" TargetMode="External"/><Relationship Id="rId50" Type="http://schemas.openxmlformats.org/officeDocument/2006/relationships/hyperlink" Target="https://canlii.ca/t/jj1nz" TargetMode="External"/><Relationship Id="rId55" Type="http://schemas.openxmlformats.org/officeDocument/2006/relationships/hyperlink" Target="mailto:comments-commentaires@scc-csc.c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40217" TargetMode="External"/><Relationship Id="rId20" Type="http://schemas.openxmlformats.org/officeDocument/2006/relationships/hyperlink" Target="https://canlii.ca/t/jnkn0" TargetMode="External"/><Relationship Id="rId29" Type="http://schemas.openxmlformats.org/officeDocument/2006/relationships/hyperlink" Target="https://www.canlii.org/en/on/onsc/doc/2021/2021onsc1957/2021onsc1957.html" TargetMode="External"/><Relationship Id="rId41" Type="http://schemas.openxmlformats.org/officeDocument/2006/relationships/hyperlink" Target="https://www.canlii.org/fr/ca/cfpi/doc/2020/2020fc259/2020fc259.html" TargetMode="External"/><Relationship Id="rId54" Type="http://schemas.openxmlformats.org/officeDocument/2006/relationships/hyperlink" Target="https://www.canlii.org/en/sk/skqb/doc/2021/2021skqb80/2021skqb80.html?autocompleteStr=2021%20SKQB%2080&amp;autocompletePos=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138" TargetMode="External"/><Relationship Id="rId24" Type="http://schemas.openxmlformats.org/officeDocument/2006/relationships/hyperlink" Target="https://www.canlii.org/en/on/onca/doc/2021/2021onca748/2021onca748.html" TargetMode="External"/><Relationship Id="rId32" Type="http://schemas.openxmlformats.org/officeDocument/2006/relationships/hyperlink" Target="https://www.canlii.org/en/on/onsc/doc/2021/2021onsc1957/2021onsc1957.html" TargetMode="External"/><Relationship Id="rId37" Type="http://schemas.openxmlformats.org/officeDocument/2006/relationships/hyperlink" Target="https://www.canlii.org/en/ns/nssc/doc/2020/2020nssc293/2020nssc293.html" TargetMode="External"/><Relationship Id="rId40" Type="http://schemas.openxmlformats.org/officeDocument/2006/relationships/hyperlink" Target="https://canlii.ca/t/jnh78" TargetMode="External"/><Relationship Id="rId45" Type="http://schemas.openxmlformats.org/officeDocument/2006/relationships/hyperlink" Target="https://www.canlii.org/en/on/onsc/doc/2020/2020onsc2200/2020onsc2200.html" TargetMode="External"/><Relationship Id="rId53" Type="http://schemas.openxmlformats.org/officeDocument/2006/relationships/hyperlink" Target="https://www.canlii.org/en/sk/skqb/doc/2021/2021skqb80/2021skqb80.html?autocompleteStr=2021%20SKQB%2080&amp;autocompletePos=1"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c-csc.ca/case-dossier/info/sum-som-fra.aspx?cas=40128" TargetMode="External"/><Relationship Id="rId23" Type="http://schemas.openxmlformats.org/officeDocument/2006/relationships/hyperlink" Target="https://www.canlii.org/en/on/onsc/doc/2020/2020onsc644/2020onsc644.html?resultIndex=1" TargetMode="External"/><Relationship Id="rId28" Type="http://schemas.openxmlformats.org/officeDocument/2006/relationships/hyperlink" Target="https://canlii.ca/t/jmf8m" TargetMode="External"/><Relationship Id="rId36" Type="http://schemas.openxmlformats.org/officeDocument/2006/relationships/hyperlink" Target="https://www.canlii.org/en/ns/nsca/doc/2022/2022nsca14/2022nsca14.html" TargetMode="External"/><Relationship Id="rId49" Type="http://schemas.openxmlformats.org/officeDocument/2006/relationships/hyperlink" Target="https://canlii.ca/t/jj1nz"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s://www.scc-csc.ca/case-dossier/info/sum-som-eng.aspx?cas=40021" TargetMode="External"/><Relationship Id="rId19" Type="http://schemas.openxmlformats.org/officeDocument/2006/relationships/hyperlink" Target="https://canlii.ca/t/j9tbp" TargetMode="External"/><Relationship Id="rId31" Type="http://schemas.openxmlformats.org/officeDocument/2006/relationships/hyperlink" Target="https://www.canlii.org/en/on/onca/doc/2022/2022onca100/2022onca100.html" TargetMode="External"/><Relationship Id="rId44" Type="http://schemas.openxmlformats.org/officeDocument/2006/relationships/hyperlink" Target="https://canlii.ca/t/jp9qr" TargetMode="External"/><Relationship Id="rId52" Type="http://schemas.openxmlformats.org/officeDocument/2006/relationships/hyperlink" Target="https://canlii.ca/t/jm42v"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40134" TargetMode="External"/><Relationship Id="rId14" Type="http://schemas.openxmlformats.org/officeDocument/2006/relationships/hyperlink" Target="https://www.scc-csc.ca/case-dossier/info/sum-som-eng.aspx?cas=40304" TargetMode="External"/><Relationship Id="rId22" Type="http://schemas.openxmlformats.org/officeDocument/2006/relationships/hyperlink" Target="https://canlii.ca/t/jnkn0" TargetMode="External"/><Relationship Id="rId27" Type="http://schemas.openxmlformats.org/officeDocument/2006/relationships/hyperlink" Target="https://www.canlii.org/en/on/onca/doc/2021/2021onca748/2021onca748.html" TargetMode="External"/><Relationship Id="rId30" Type="http://schemas.openxmlformats.org/officeDocument/2006/relationships/hyperlink" Target="https://www.canlii.org/en/on/onca/doc/2021/2021onca279/2021onca279.html" TargetMode="External"/><Relationship Id="rId35" Type="http://schemas.openxmlformats.org/officeDocument/2006/relationships/hyperlink" Target="https://www.canlii.org/en/ns/nssc/doc/2020/2020nssc293/2020nssc293.html" TargetMode="External"/><Relationship Id="rId43" Type="http://schemas.openxmlformats.org/officeDocument/2006/relationships/hyperlink" Target="https://canlii.ca/t/jp9qr" TargetMode="External"/><Relationship Id="rId48" Type="http://schemas.openxmlformats.org/officeDocument/2006/relationships/hyperlink" Target="https://www.canlii.org/fr/on/onca/doc/2022/2022onca52/2022onca52.html" TargetMode="External"/><Relationship Id="rId56" Type="http://schemas.openxmlformats.org/officeDocument/2006/relationships/header" Target="header1.xml"/><Relationship Id="rId8" Type="http://schemas.openxmlformats.org/officeDocument/2006/relationships/hyperlink" Target="https://www.scc-csc.ca/case-dossier/info/sum-som-eng.aspx?cas=40227" TargetMode="External"/><Relationship Id="rId51" Type="http://schemas.openxmlformats.org/officeDocument/2006/relationships/hyperlink" Target="https://canlii.ca/t/jm42v" TargetMode="External"/><Relationship Id="rId3" Type="http://schemas.openxmlformats.org/officeDocument/2006/relationships/styles" Target="styles.xml"/><Relationship Id="rId12" Type="http://schemas.openxmlformats.org/officeDocument/2006/relationships/hyperlink" Target="https://www.scc-csc.ca/case-dossier/info/sum-som-eng.aspx?cas=40150" TargetMode="External"/><Relationship Id="rId17" Type="http://schemas.openxmlformats.org/officeDocument/2006/relationships/hyperlink" Target="https://www.scc-csc.ca/case-dossier/info/sum-som-eng.aspx?cas=40218" TargetMode="External"/><Relationship Id="rId25" Type="http://schemas.openxmlformats.org/officeDocument/2006/relationships/hyperlink" Target="https://canlii.ca/t/jmf8m" TargetMode="External"/><Relationship Id="rId33" Type="http://schemas.openxmlformats.org/officeDocument/2006/relationships/hyperlink" Target="https://www.canlii.org/en/on/onca/doc/2021/2021onca279/2021onca279.html" TargetMode="External"/><Relationship Id="rId38" Type="http://schemas.openxmlformats.org/officeDocument/2006/relationships/hyperlink" Target="https://www.canlii.org/en/ns/nsca/doc/2022/2022nsca14/2022nsca14.html" TargetMode="External"/><Relationship Id="rId46" Type="http://schemas.openxmlformats.org/officeDocument/2006/relationships/hyperlink" Target="https://www.canlii.org/fr/on/onca/doc/2022/2022onca52/2022onca52.html"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840ED-C6D4-48FB-BBAC-D0358A33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8215</Words>
  <Characters>46827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54933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2022-12-12T12:42:00Z</dcterms:modified>
</cp:coreProperties>
</file>