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5C0628" w:rsidRDefault="002A192B" w:rsidP="00346405">
      <w:pPr>
        <w:pStyle w:val="Header"/>
        <w:jc w:val="center"/>
        <w:rPr>
          <w:b/>
          <w:sz w:val="32"/>
        </w:rPr>
      </w:pPr>
      <w:r w:rsidRPr="005C0628">
        <w:rPr>
          <w:b/>
          <w:sz w:val="32"/>
        </w:rPr>
        <w:t>Supreme Court of Canada / Cour suprême du Canada</w:t>
      </w:r>
    </w:p>
    <w:p w:rsidR="002A192B" w:rsidRPr="005C0628" w:rsidRDefault="002A192B" w:rsidP="00346405">
      <w:pPr>
        <w:widowControl w:val="0"/>
        <w:rPr>
          <w:i/>
        </w:rPr>
      </w:pPr>
    </w:p>
    <w:p w:rsidR="002A192B" w:rsidRPr="005C0628" w:rsidRDefault="002A192B" w:rsidP="00346405">
      <w:pPr>
        <w:widowControl w:val="0"/>
        <w:rPr>
          <w:i/>
        </w:rPr>
      </w:pPr>
    </w:p>
    <w:p w:rsidR="001C4415" w:rsidRPr="005C0628" w:rsidRDefault="001C4415" w:rsidP="00346405">
      <w:pPr>
        <w:widowControl w:val="0"/>
        <w:rPr>
          <w:i/>
          <w:sz w:val="20"/>
        </w:rPr>
      </w:pPr>
      <w:r w:rsidRPr="005C0628">
        <w:rPr>
          <w:i/>
          <w:sz w:val="20"/>
        </w:rPr>
        <w:t>(</w:t>
      </w:r>
      <w:r w:rsidR="003C50BF" w:rsidRPr="005C0628">
        <w:rPr>
          <w:i/>
          <w:sz w:val="20"/>
        </w:rPr>
        <w:t>Le</w:t>
      </w:r>
      <w:r w:rsidRPr="005C0628">
        <w:rPr>
          <w:i/>
          <w:sz w:val="20"/>
        </w:rPr>
        <w:t xml:space="preserve"> français suit)</w:t>
      </w:r>
    </w:p>
    <w:p w:rsidR="001C4415" w:rsidRPr="005C0628" w:rsidRDefault="001C4415" w:rsidP="00346405">
      <w:pPr>
        <w:widowControl w:val="0"/>
      </w:pPr>
    </w:p>
    <w:p w:rsidR="001C4415" w:rsidRPr="005C0628" w:rsidRDefault="000347C1" w:rsidP="00346405">
      <w:pPr>
        <w:widowControl w:val="0"/>
        <w:jc w:val="center"/>
        <w:rPr>
          <w:b/>
        </w:rPr>
      </w:pPr>
      <w:r w:rsidRPr="005C0628">
        <w:fldChar w:fldCharType="begin"/>
      </w:r>
      <w:r w:rsidR="00FA7412" w:rsidRPr="005C0628">
        <w:instrText xml:space="preserve"> SEQ CHAPTER \h \r 1</w:instrText>
      </w:r>
      <w:r w:rsidRPr="005C0628">
        <w:fldChar w:fldCharType="end"/>
      </w:r>
      <w:r w:rsidR="00455BB9" w:rsidRPr="005C0628">
        <w:rPr>
          <w:b/>
        </w:rPr>
        <w:t>JUDGMENT</w:t>
      </w:r>
      <w:r w:rsidR="00FA7412" w:rsidRPr="005C0628">
        <w:rPr>
          <w:b/>
        </w:rPr>
        <w:t xml:space="preserve"> TO BE RENDERED IN APPEA</w:t>
      </w:r>
      <w:r w:rsidR="00CC2799" w:rsidRPr="005C0628">
        <w:rPr>
          <w:b/>
        </w:rPr>
        <w:t>L</w:t>
      </w:r>
    </w:p>
    <w:p w:rsidR="005A7C1B" w:rsidRPr="005C0628" w:rsidRDefault="005A7C1B" w:rsidP="00346405">
      <w:pPr>
        <w:widowControl w:val="0"/>
      </w:pPr>
    </w:p>
    <w:p w:rsidR="00EC79B0" w:rsidRPr="005C0628" w:rsidRDefault="005C0628" w:rsidP="00346405">
      <w:pPr>
        <w:widowControl w:val="0"/>
      </w:pPr>
      <w:r w:rsidRPr="005C0628">
        <w:rPr>
          <w:b/>
        </w:rPr>
        <w:t>February</w:t>
      </w:r>
      <w:r w:rsidR="00C86395" w:rsidRPr="005C0628">
        <w:rPr>
          <w:b/>
        </w:rPr>
        <w:t xml:space="preserve"> </w:t>
      </w:r>
      <w:r w:rsidRPr="005C0628">
        <w:rPr>
          <w:b/>
        </w:rPr>
        <w:t>13</w:t>
      </w:r>
      <w:r w:rsidR="00EC79B0" w:rsidRPr="005C0628">
        <w:rPr>
          <w:b/>
        </w:rPr>
        <w:t>, 2</w:t>
      </w:r>
      <w:r w:rsidR="00E6600C" w:rsidRPr="005C0628">
        <w:rPr>
          <w:b/>
        </w:rPr>
        <w:t>0</w:t>
      </w:r>
      <w:r w:rsidR="009544E9" w:rsidRPr="005C0628">
        <w:rPr>
          <w:b/>
        </w:rPr>
        <w:t>2</w:t>
      </w:r>
      <w:r w:rsidRPr="005C0628">
        <w:rPr>
          <w:b/>
        </w:rPr>
        <w:t>3</w:t>
      </w:r>
    </w:p>
    <w:p w:rsidR="00EC79B0" w:rsidRPr="005C0628" w:rsidRDefault="00EC79B0" w:rsidP="00346405">
      <w:pPr>
        <w:widowControl w:val="0"/>
        <w:rPr>
          <w:b/>
        </w:rPr>
      </w:pPr>
      <w:r w:rsidRPr="005C0628">
        <w:rPr>
          <w:b/>
        </w:rPr>
        <w:t>For immediate release</w:t>
      </w:r>
    </w:p>
    <w:p w:rsidR="00EC79B0" w:rsidRPr="005C0628" w:rsidRDefault="00EC79B0" w:rsidP="00346405">
      <w:pPr>
        <w:widowControl w:val="0"/>
      </w:pPr>
    </w:p>
    <w:p w:rsidR="00EC79B0" w:rsidRPr="005C0628" w:rsidRDefault="00EC79B0" w:rsidP="00346405">
      <w:pPr>
        <w:widowControl w:val="0"/>
        <w:rPr>
          <w:lang w:val="fr-CA"/>
        </w:rPr>
      </w:pPr>
      <w:r w:rsidRPr="005C0628">
        <w:rPr>
          <w:b/>
        </w:rPr>
        <w:t>OTTAWA</w:t>
      </w:r>
      <w:r w:rsidRPr="005C0628">
        <w:t xml:space="preserve"> – The Supreme Court of Canad</w:t>
      </w:r>
      <w:r w:rsidR="00455BB9" w:rsidRPr="005C0628">
        <w:t>a announced today that judgment</w:t>
      </w:r>
      <w:r w:rsidRPr="005C0628">
        <w:t xml:space="preserve"> in the following appeal will be delivered at 9:45 a.m. E</w:t>
      </w:r>
      <w:r w:rsidR="00663390" w:rsidRPr="005C0628">
        <w:t>S</w:t>
      </w:r>
      <w:r w:rsidR="00DC6C1E" w:rsidRPr="005C0628">
        <w:t>T</w:t>
      </w:r>
      <w:r w:rsidR="00D74667" w:rsidRPr="005C0628">
        <w:t xml:space="preserve"> on</w:t>
      </w:r>
      <w:r w:rsidR="00DC6C1E" w:rsidRPr="005C0628">
        <w:t xml:space="preserve"> </w:t>
      </w:r>
      <w:r w:rsidR="00312A68" w:rsidRPr="005C0628">
        <w:t>Friday</w:t>
      </w:r>
      <w:r w:rsidR="000A7900" w:rsidRPr="005C0628">
        <w:t xml:space="preserve">, </w:t>
      </w:r>
      <w:r w:rsidR="005C0628" w:rsidRPr="005C0628">
        <w:t>February</w:t>
      </w:r>
      <w:r w:rsidR="004E605A" w:rsidRPr="005C0628">
        <w:t xml:space="preserve"> </w:t>
      </w:r>
      <w:r w:rsidR="005C0628" w:rsidRPr="005C0628">
        <w:t>17</w:t>
      </w:r>
      <w:r w:rsidR="00E63199" w:rsidRPr="005C0628">
        <w:t>, 2</w:t>
      </w:r>
      <w:r w:rsidR="0086609D" w:rsidRPr="005C0628">
        <w:t>0</w:t>
      </w:r>
      <w:r w:rsidR="009544E9" w:rsidRPr="005C0628">
        <w:t>2</w:t>
      </w:r>
      <w:r w:rsidR="005C0628" w:rsidRPr="005C0628">
        <w:t>3</w:t>
      </w:r>
      <w:r w:rsidR="00455BB9" w:rsidRPr="005C0628">
        <w:t xml:space="preserve">. </w:t>
      </w:r>
      <w:r w:rsidR="00455BB9" w:rsidRPr="005C0628">
        <w:rPr>
          <w:lang w:val="fr-CA"/>
        </w:rPr>
        <w:t>This</w:t>
      </w:r>
      <w:r w:rsidRPr="005C0628">
        <w:rPr>
          <w:lang w:val="fr-CA"/>
        </w:rPr>
        <w:t xml:space="preserve"> list is subject to change.</w:t>
      </w:r>
    </w:p>
    <w:p w:rsidR="001F76DD" w:rsidRPr="005C0628" w:rsidRDefault="001F76DD" w:rsidP="00346405">
      <w:pPr>
        <w:widowControl w:val="0"/>
        <w:rPr>
          <w:szCs w:val="24"/>
          <w:lang w:val="fr-CA"/>
        </w:rPr>
      </w:pPr>
    </w:p>
    <w:p w:rsidR="001C4415" w:rsidRPr="005C0628" w:rsidRDefault="001C4415" w:rsidP="00346405">
      <w:pPr>
        <w:widowControl w:val="0"/>
        <w:rPr>
          <w:lang w:val="fr-CA"/>
        </w:rPr>
      </w:pPr>
    </w:p>
    <w:p w:rsidR="001335A1" w:rsidRPr="005C0628" w:rsidRDefault="001335A1" w:rsidP="00346405">
      <w:pPr>
        <w:widowControl w:val="0"/>
        <w:jc w:val="center"/>
        <w:rPr>
          <w:b/>
          <w:lang w:val="fr-CA"/>
        </w:rPr>
      </w:pPr>
      <w:r w:rsidRPr="005C0628">
        <w:rPr>
          <w:b/>
          <w:lang w:val="fr-CA"/>
        </w:rPr>
        <w:t>PROCHAIN JUGEMENT</w:t>
      </w:r>
      <w:r w:rsidR="00455BB9" w:rsidRPr="005C0628">
        <w:rPr>
          <w:b/>
          <w:lang w:val="fr-CA"/>
        </w:rPr>
        <w:t xml:space="preserve"> SUR APPEL</w:t>
      </w:r>
    </w:p>
    <w:p w:rsidR="001335A1" w:rsidRPr="005C0628" w:rsidRDefault="001335A1" w:rsidP="00346405">
      <w:pPr>
        <w:widowControl w:val="0"/>
        <w:rPr>
          <w:lang w:val="fr-CA"/>
        </w:rPr>
      </w:pPr>
    </w:p>
    <w:p w:rsidR="00EC79B0" w:rsidRPr="005C0628" w:rsidRDefault="00EC79B0" w:rsidP="00346405">
      <w:pPr>
        <w:widowControl w:val="0"/>
        <w:rPr>
          <w:lang w:val="fr-CA"/>
        </w:rPr>
      </w:pPr>
      <w:r w:rsidRPr="005C0628">
        <w:rPr>
          <w:b/>
          <w:lang w:val="fr-CA"/>
        </w:rPr>
        <w:t xml:space="preserve">Le </w:t>
      </w:r>
      <w:r w:rsidR="005C0628" w:rsidRPr="005C0628">
        <w:rPr>
          <w:b/>
          <w:lang w:val="fr-CA"/>
        </w:rPr>
        <w:t>13</w:t>
      </w:r>
      <w:r w:rsidR="00FA5450" w:rsidRPr="005C0628">
        <w:rPr>
          <w:b/>
          <w:lang w:val="fr-CA"/>
        </w:rPr>
        <w:t xml:space="preserve"> </w:t>
      </w:r>
      <w:r w:rsidR="005C0628" w:rsidRPr="005C0628">
        <w:rPr>
          <w:b/>
          <w:lang w:val="fr-CA"/>
        </w:rPr>
        <w:t>février</w:t>
      </w:r>
      <w:r w:rsidR="00C86395" w:rsidRPr="005C0628">
        <w:rPr>
          <w:b/>
          <w:lang w:val="fr-CA"/>
        </w:rPr>
        <w:t xml:space="preserve"> </w:t>
      </w:r>
      <w:r w:rsidR="0086609D" w:rsidRPr="005C0628">
        <w:rPr>
          <w:b/>
          <w:lang w:val="fr-CA"/>
        </w:rPr>
        <w:t>20</w:t>
      </w:r>
      <w:r w:rsidR="009544E9" w:rsidRPr="005C0628">
        <w:rPr>
          <w:b/>
          <w:lang w:val="fr-CA"/>
        </w:rPr>
        <w:t>2</w:t>
      </w:r>
      <w:r w:rsidR="005C0628" w:rsidRPr="005C0628">
        <w:rPr>
          <w:b/>
          <w:lang w:val="fr-CA"/>
        </w:rPr>
        <w:t>3</w:t>
      </w:r>
    </w:p>
    <w:p w:rsidR="00EC79B0" w:rsidRPr="005C0628" w:rsidRDefault="00EC79B0" w:rsidP="00346405">
      <w:pPr>
        <w:widowControl w:val="0"/>
        <w:rPr>
          <w:b/>
          <w:lang w:val="fr-CA"/>
        </w:rPr>
      </w:pPr>
      <w:r w:rsidRPr="005C0628">
        <w:rPr>
          <w:b/>
          <w:lang w:val="fr-CA"/>
        </w:rPr>
        <w:t>Pour diffusion immédiate</w:t>
      </w:r>
    </w:p>
    <w:p w:rsidR="00EC79B0" w:rsidRPr="005C0628" w:rsidRDefault="00EC79B0" w:rsidP="00346405">
      <w:pPr>
        <w:widowControl w:val="0"/>
        <w:rPr>
          <w:lang w:val="fr-CA"/>
        </w:rPr>
      </w:pPr>
    </w:p>
    <w:p w:rsidR="00EC79B0" w:rsidRPr="005C0628" w:rsidRDefault="00EC79B0" w:rsidP="00346405">
      <w:pPr>
        <w:widowControl w:val="0"/>
        <w:rPr>
          <w:lang w:val="fr-CA"/>
        </w:rPr>
      </w:pPr>
      <w:r w:rsidRPr="005C0628">
        <w:rPr>
          <w:b/>
          <w:lang w:val="fr-CA"/>
        </w:rPr>
        <w:t>OTTAWA</w:t>
      </w:r>
      <w:r w:rsidRPr="005C0628">
        <w:rPr>
          <w:lang w:val="fr-CA"/>
        </w:rPr>
        <w:t xml:space="preserve"> – La Cour suprême du Canada annonce que jugement ser</w:t>
      </w:r>
      <w:r w:rsidR="00204750" w:rsidRPr="005C0628">
        <w:rPr>
          <w:lang w:val="fr-CA"/>
        </w:rPr>
        <w:t>a</w:t>
      </w:r>
      <w:r w:rsidRPr="005C0628">
        <w:rPr>
          <w:lang w:val="fr-CA"/>
        </w:rPr>
        <w:t xml:space="preserve"> rendu dans </w:t>
      </w:r>
      <w:r w:rsidR="001F1643" w:rsidRPr="005C0628">
        <w:rPr>
          <w:lang w:val="fr-CA"/>
        </w:rPr>
        <w:t>l</w:t>
      </w:r>
      <w:r w:rsidR="00204750" w:rsidRPr="005C0628">
        <w:rPr>
          <w:lang w:val="fr-CA"/>
        </w:rPr>
        <w:t>’</w:t>
      </w:r>
      <w:r w:rsidR="001F1643" w:rsidRPr="005C0628">
        <w:rPr>
          <w:lang w:val="fr-CA"/>
        </w:rPr>
        <w:t xml:space="preserve">appel </w:t>
      </w:r>
      <w:r w:rsidRPr="005C0628">
        <w:rPr>
          <w:lang w:val="fr-CA"/>
        </w:rPr>
        <w:t xml:space="preserve">suivant le </w:t>
      </w:r>
      <w:r w:rsidR="00312A68" w:rsidRPr="005C0628">
        <w:rPr>
          <w:lang w:val="fr-CA"/>
        </w:rPr>
        <w:t>vendre</w:t>
      </w:r>
      <w:r w:rsidR="0087500F" w:rsidRPr="005C0628">
        <w:rPr>
          <w:lang w:val="fr-CA"/>
        </w:rPr>
        <w:t>di</w:t>
      </w:r>
      <w:r w:rsidR="007C1648" w:rsidRPr="005C0628">
        <w:rPr>
          <w:lang w:val="fr-CA"/>
        </w:rPr>
        <w:t xml:space="preserve"> </w:t>
      </w:r>
      <w:r w:rsidR="005C0628" w:rsidRPr="005C0628">
        <w:rPr>
          <w:lang w:val="fr-CA"/>
        </w:rPr>
        <w:t>17</w:t>
      </w:r>
      <w:r w:rsidR="00F62251" w:rsidRPr="005C0628">
        <w:rPr>
          <w:lang w:val="fr-CA"/>
        </w:rPr>
        <w:t xml:space="preserve"> </w:t>
      </w:r>
      <w:r w:rsidR="005C0628" w:rsidRPr="005C0628">
        <w:rPr>
          <w:lang w:val="fr-CA"/>
        </w:rPr>
        <w:t>f</w:t>
      </w:r>
      <w:r w:rsidR="00F401B9" w:rsidRPr="005C0628">
        <w:rPr>
          <w:lang w:val="fr-CA"/>
        </w:rPr>
        <w:t>é</w:t>
      </w:r>
      <w:r w:rsidR="005C0628" w:rsidRPr="005C0628">
        <w:rPr>
          <w:lang w:val="fr-CA"/>
        </w:rPr>
        <w:t>vrier</w:t>
      </w:r>
      <w:r w:rsidR="00282563" w:rsidRPr="005C0628">
        <w:rPr>
          <w:lang w:val="fr-CA"/>
        </w:rPr>
        <w:t xml:space="preserve"> </w:t>
      </w:r>
      <w:r w:rsidRPr="005C0628">
        <w:rPr>
          <w:lang w:val="fr-CA"/>
        </w:rPr>
        <w:t>20</w:t>
      </w:r>
      <w:r w:rsidR="009544E9" w:rsidRPr="005C0628">
        <w:rPr>
          <w:lang w:val="fr-CA"/>
        </w:rPr>
        <w:t>2</w:t>
      </w:r>
      <w:r w:rsidR="005C0628" w:rsidRPr="005C0628">
        <w:rPr>
          <w:lang w:val="fr-CA"/>
        </w:rPr>
        <w:t>3</w:t>
      </w:r>
      <w:r w:rsidRPr="005C0628">
        <w:rPr>
          <w:lang w:val="fr-CA"/>
        </w:rPr>
        <w:t>, à 9 h 45 H</w:t>
      </w:r>
      <w:r w:rsidR="00663390" w:rsidRPr="005C0628">
        <w:rPr>
          <w:lang w:val="fr-CA"/>
        </w:rPr>
        <w:t>N</w:t>
      </w:r>
      <w:r w:rsidRPr="005C0628">
        <w:rPr>
          <w:lang w:val="fr-CA"/>
        </w:rPr>
        <w:t>E. Cette liste est sujette à modifications.</w:t>
      </w:r>
    </w:p>
    <w:p w:rsidR="001F76DD" w:rsidRPr="005C0628" w:rsidRDefault="001F76DD" w:rsidP="00346405">
      <w:pPr>
        <w:widowControl w:val="0"/>
        <w:jc w:val="both"/>
        <w:rPr>
          <w:szCs w:val="24"/>
          <w:lang w:val="fr-CA"/>
        </w:rPr>
      </w:pPr>
    </w:p>
    <w:p w:rsidR="00EF4622" w:rsidRPr="005C0628" w:rsidRDefault="005C0628" w:rsidP="00346405">
      <w:pPr>
        <w:widowControl w:val="0"/>
        <w:jc w:val="both"/>
        <w:rPr>
          <w:szCs w:val="24"/>
          <w:lang w:val="fr-CA"/>
        </w:rPr>
      </w:pPr>
      <w:r w:rsidRPr="005C0628">
        <w:rPr>
          <w:sz w:val="20"/>
        </w:rPr>
        <w:pict>
          <v:rect id="_x0000_i1025" style="width:2in;height:1pt" o:hrpct="0" o:hralign="center" o:hrstd="t" o:hrnoshade="t" o:hr="t" fillcolor="black [3213]" stroked="f"/>
        </w:pict>
      </w:r>
    </w:p>
    <w:p w:rsidR="001335A1" w:rsidRPr="005C0628" w:rsidRDefault="001335A1" w:rsidP="00346405">
      <w:pPr>
        <w:widowControl w:val="0"/>
        <w:rPr>
          <w:szCs w:val="24"/>
          <w:lang w:val="fr-CA"/>
        </w:rPr>
      </w:pPr>
    </w:p>
    <w:p w:rsidR="00772636" w:rsidRPr="005C0628" w:rsidRDefault="005C0628" w:rsidP="00346405">
      <w:pPr>
        <w:jc w:val="both"/>
        <w:rPr>
          <w:szCs w:val="24"/>
        </w:rPr>
      </w:pPr>
      <w:r w:rsidRPr="005C0628">
        <w:rPr>
          <w:i/>
          <w:szCs w:val="24"/>
        </w:rPr>
        <w:t>Corporal C.R. McGregor v. His Majesty the King</w:t>
      </w:r>
      <w:r w:rsidR="00735BE0" w:rsidRPr="005C0628">
        <w:rPr>
          <w:i/>
          <w:szCs w:val="24"/>
        </w:rPr>
        <w:t xml:space="preserve"> </w:t>
      </w:r>
      <w:r w:rsidR="00772636" w:rsidRPr="005C0628">
        <w:rPr>
          <w:szCs w:val="24"/>
        </w:rPr>
        <w:t>(</w:t>
      </w:r>
      <w:r w:rsidRPr="005C0628">
        <w:rPr>
          <w:szCs w:val="24"/>
        </w:rPr>
        <w:t>C.M.A.C</w:t>
      </w:r>
      <w:r w:rsidR="000523F2" w:rsidRPr="005C0628">
        <w:rPr>
          <w:szCs w:val="24"/>
        </w:rPr>
        <w:t>.</w:t>
      </w:r>
      <w:r w:rsidR="00772636" w:rsidRPr="005C0628">
        <w:rPr>
          <w:szCs w:val="24"/>
        </w:rPr>
        <w:t>) (</w:t>
      </w:r>
      <w:hyperlink r:id="rId7" w:history="1">
        <w:r w:rsidR="00772636" w:rsidRPr="005C0628">
          <w:rPr>
            <w:rStyle w:val="Hyperlink"/>
            <w:szCs w:val="24"/>
          </w:rPr>
          <w:t>3</w:t>
        </w:r>
        <w:r w:rsidR="000E38C2" w:rsidRPr="005C0628">
          <w:rPr>
            <w:rStyle w:val="Hyperlink"/>
            <w:szCs w:val="24"/>
          </w:rPr>
          <w:t>9</w:t>
        </w:r>
        <w:r w:rsidRPr="005C0628">
          <w:rPr>
            <w:rStyle w:val="Hyperlink"/>
            <w:szCs w:val="24"/>
          </w:rPr>
          <w:t>543</w:t>
        </w:r>
      </w:hyperlink>
      <w:r w:rsidR="00772636" w:rsidRPr="005C0628">
        <w:rPr>
          <w:szCs w:val="24"/>
        </w:rPr>
        <w:t>)</w:t>
      </w:r>
    </w:p>
    <w:p w:rsidR="000E38C2" w:rsidRPr="005C0628" w:rsidRDefault="000E38C2" w:rsidP="00346405">
      <w:pPr>
        <w:jc w:val="both"/>
        <w:rPr>
          <w:sz w:val="20"/>
        </w:rPr>
      </w:pPr>
    </w:p>
    <w:p w:rsidR="00F401B9" w:rsidRPr="005C0628" w:rsidRDefault="00F401B9" w:rsidP="00346405">
      <w:pPr>
        <w:jc w:val="both"/>
        <w:rPr>
          <w:sz w:val="20"/>
        </w:rPr>
      </w:pPr>
    </w:p>
    <w:bookmarkStart w:id="0" w:name="1"/>
    <w:bookmarkEnd w:id="0"/>
    <w:p w:rsidR="005C0628" w:rsidRPr="005C0628" w:rsidRDefault="005C0628" w:rsidP="00587E61">
      <w:pPr>
        <w:widowControl w:val="0"/>
        <w:tabs>
          <w:tab w:val="left" w:pos="720"/>
        </w:tabs>
        <w:ind w:left="1440" w:hanging="1440"/>
        <w:jc w:val="both"/>
        <w:rPr>
          <w:b/>
          <w:i/>
          <w:sz w:val="20"/>
          <w:lang w:val="en-CA"/>
        </w:rPr>
      </w:pPr>
      <w:r w:rsidRPr="005C0628">
        <w:rPr>
          <w:b/>
          <w:sz w:val="20"/>
          <w:lang w:val="en-CA"/>
        </w:rPr>
        <w:fldChar w:fldCharType="begin"/>
      </w:r>
      <w:r w:rsidRPr="005C0628">
        <w:rPr>
          <w:b/>
          <w:sz w:val="20"/>
        </w:rPr>
        <w:instrText xml:space="preserve"> SEQ CHAPTER \h \r 1</w:instrText>
      </w:r>
      <w:r w:rsidRPr="005C0628">
        <w:rPr>
          <w:b/>
          <w:sz w:val="20"/>
        </w:rPr>
        <w:fldChar w:fldCharType="end"/>
      </w:r>
      <w:r w:rsidRPr="005C0628">
        <w:rPr>
          <w:b/>
          <w:sz w:val="20"/>
          <w:lang w:val="en-CA"/>
        </w:rPr>
        <w:t>39543</w:t>
      </w:r>
      <w:r w:rsidRPr="005C0628">
        <w:rPr>
          <w:sz w:val="20"/>
          <w:lang w:val="en-CA"/>
        </w:rPr>
        <w:tab/>
      </w:r>
      <w:r w:rsidRPr="005C0628">
        <w:rPr>
          <w:rStyle w:val="Strong"/>
          <w:i/>
          <w:color w:val="333333"/>
          <w:sz w:val="20"/>
          <w:lang w:val="en"/>
        </w:rPr>
        <w:t>Corporal C.R. McGregor v. His Majesty the King</w:t>
      </w:r>
    </w:p>
    <w:p w:rsidR="005C0628" w:rsidRPr="005C0628" w:rsidRDefault="005C0628" w:rsidP="00587E61">
      <w:pPr>
        <w:widowControl w:val="0"/>
        <w:tabs>
          <w:tab w:val="left" w:pos="720"/>
        </w:tabs>
        <w:ind w:left="1440" w:hanging="1440"/>
        <w:jc w:val="both"/>
        <w:rPr>
          <w:sz w:val="20"/>
          <w:lang w:val="en-CA"/>
        </w:rPr>
      </w:pPr>
      <w:r w:rsidRPr="005C0628">
        <w:rPr>
          <w:sz w:val="20"/>
          <w:lang w:val="en-CA"/>
        </w:rPr>
        <w:tab/>
        <w:t>(C.M.A.C.) (Criminal) (By Leave)</w:t>
      </w:r>
    </w:p>
    <w:p w:rsidR="005C0628" w:rsidRPr="005C0628" w:rsidRDefault="005C0628" w:rsidP="00260190">
      <w:pPr>
        <w:widowControl w:val="0"/>
        <w:jc w:val="both"/>
        <w:rPr>
          <w:sz w:val="20"/>
          <w:lang w:val="en-CA"/>
        </w:rPr>
      </w:pPr>
      <w:bookmarkStart w:id="1" w:name="QuickMark_1"/>
      <w:bookmarkEnd w:id="1"/>
    </w:p>
    <w:p w:rsidR="005C0628" w:rsidRPr="005C0628" w:rsidRDefault="005C0628" w:rsidP="00291A73">
      <w:pPr>
        <w:widowControl w:val="0"/>
        <w:tabs>
          <w:tab w:val="left" w:pos="792"/>
        </w:tabs>
        <w:jc w:val="both"/>
        <w:textAlignment w:val="baseline"/>
        <w:rPr>
          <w:smallCaps/>
          <w:sz w:val="20"/>
        </w:rPr>
      </w:pPr>
      <w:r w:rsidRPr="005C0628">
        <w:rPr>
          <w:smallCaps/>
          <w:sz w:val="20"/>
        </w:rPr>
        <w:t>(Publication ban in case)</w:t>
      </w:r>
    </w:p>
    <w:p w:rsidR="005C0628" w:rsidRPr="005C0628" w:rsidRDefault="005C0628" w:rsidP="00291A73">
      <w:pPr>
        <w:widowControl w:val="0"/>
        <w:tabs>
          <w:tab w:val="left" w:pos="792"/>
        </w:tabs>
        <w:jc w:val="both"/>
        <w:textAlignment w:val="baseline"/>
        <w:rPr>
          <w:i/>
          <w:color w:val="000000"/>
          <w:spacing w:val="-3"/>
          <w:sz w:val="20"/>
        </w:rPr>
      </w:pPr>
    </w:p>
    <w:p w:rsidR="005C0628" w:rsidRPr="005C0628" w:rsidRDefault="005C0628" w:rsidP="00291A73">
      <w:pPr>
        <w:widowControl w:val="0"/>
        <w:tabs>
          <w:tab w:val="left" w:pos="792"/>
        </w:tabs>
        <w:jc w:val="both"/>
        <w:textAlignment w:val="baseline"/>
        <w:rPr>
          <w:color w:val="000000"/>
          <w:sz w:val="20"/>
        </w:rPr>
      </w:pPr>
      <w:r w:rsidRPr="005C0628">
        <w:rPr>
          <w:i/>
          <w:color w:val="000000"/>
          <w:spacing w:val="-3"/>
          <w:sz w:val="20"/>
        </w:rPr>
        <w:t>Canadian Charter of Rights and Freedoms —</w:t>
      </w:r>
      <w:r w:rsidRPr="005C0628">
        <w:rPr>
          <w:color w:val="000000"/>
          <w:spacing w:val="-3"/>
          <w:sz w:val="20"/>
        </w:rPr>
        <w:t xml:space="preserve"> </w:t>
      </w:r>
      <w:r w:rsidRPr="005C0628">
        <w:rPr>
          <w:color w:val="000000"/>
          <w:sz w:val="20"/>
        </w:rPr>
        <w:t xml:space="preserve">Extraterritoriality </w:t>
      </w:r>
      <w:r w:rsidRPr="005C0628">
        <w:rPr>
          <w:i/>
          <w:color w:val="000000"/>
          <w:spacing w:val="-3"/>
          <w:sz w:val="20"/>
        </w:rPr>
        <w:t>—</w:t>
      </w:r>
      <w:r w:rsidRPr="005C0628">
        <w:rPr>
          <w:color w:val="000000"/>
          <w:spacing w:val="-3"/>
          <w:sz w:val="20"/>
        </w:rPr>
        <w:t xml:space="preserve"> </w:t>
      </w:r>
      <w:r w:rsidRPr="005C0628">
        <w:rPr>
          <w:color w:val="000000"/>
          <w:sz w:val="20"/>
        </w:rPr>
        <w:t>Search and seizure</w:t>
      </w:r>
      <w:r w:rsidRPr="005C0628">
        <w:rPr>
          <w:color w:val="000000"/>
          <w:spacing w:val="-3"/>
          <w:sz w:val="20"/>
        </w:rPr>
        <w:t xml:space="preserve"> </w:t>
      </w:r>
      <w:r w:rsidRPr="005C0628">
        <w:rPr>
          <w:i/>
          <w:color w:val="000000"/>
          <w:spacing w:val="-3"/>
          <w:sz w:val="20"/>
        </w:rPr>
        <w:t>—</w:t>
      </w:r>
      <w:r w:rsidRPr="005C0628">
        <w:rPr>
          <w:color w:val="000000"/>
          <w:spacing w:val="-3"/>
          <w:sz w:val="20"/>
        </w:rPr>
        <w:t xml:space="preserve"> </w:t>
      </w:r>
      <w:r w:rsidRPr="005C0628">
        <w:rPr>
          <w:sz w:val="20"/>
        </w:rPr>
        <w:t>Canadian Forces National Investigation Service</w:t>
      </w:r>
      <w:r w:rsidRPr="005C0628">
        <w:rPr>
          <w:color w:val="000000"/>
          <w:spacing w:val="-3"/>
          <w:sz w:val="20"/>
        </w:rPr>
        <w:t xml:space="preserve"> seizing and searching contents of electronic devices during search of residence in United States of America of Canadian Armed Forces Regular Member posted to United States of America </w:t>
      </w:r>
      <w:r w:rsidRPr="005C0628">
        <w:rPr>
          <w:i/>
          <w:color w:val="000000"/>
          <w:spacing w:val="-3"/>
          <w:sz w:val="20"/>
        </w:rPr>
        <w:t xml:space="preserve">— </w:t>
      </w:r>
      <w:r w:rsidRPr="005C0628">
        <w:rPr>
          <w:color w:val="000000"/>
          <w:spacing w:val="-3"/>
          <w:sz w:val="20"/>
        </w:rPr>
        <w:t xml:space="preserve">Admissibility of evidence seized during search at </w:t>
      </w:r>
      <w:r w:rsidRPr="005C0628">
        <w:rPr>
          <w:color w:val="000000"/>
          <w:sz w:val="20"/>
        </w:rPr>
        <w:t xml:space="preserve">Standing Court Martial in Canada </w:t>
      </w:r>
      <w:r w:rsidRPr="005C0628">
        <w:rPr>
          <w:i/>
          <w:color w:val="000000"/>
          <w:spacing w:val="-3"/>
          <w:sz w:val="20"/>
        </w:rPr>
        <w:t xml:space="preserve">— </w:t>
      </w:r>
      <w:r w:rsidRPr="005C0628">
        <w:rPr>
          <w:sz w:val="20"/>
        </w:rPr>
        <w:t xml:space="preserve">Whether </w:t>
      </w:r>
      <w:r w:rsidRPr="005C0628">
        <w:rPr>
          <w:i/>
          <w:sz w:val="20"/>
        </w:rPr>
        <w:t xml:space="preserve">Canadian Charter of Rights and Freedoms </w:t>
      </w:r>
      <w:r w:rsidRPr="005C0628">
        <w:rPr>
          <w:sz w:val="20"/>
        </w:rPr>
        <w:t xml:space="preserve">applied to search </w:t>
      </w:r>
      <w:r w:rsidRPr="005C0628">
        <w:rPr>
          <w:i/>
          <w:color w:val="000000"/>
          <w:spacing w:val="-3"/>
          <w:sz w:val="20"/>
        </w:rPr>
        <w:t>—</w:t>
      </w:r>
      <w:r w:rsidRPr="005C0628">
        <w:rPr>
          <w:color w:val="000000"/>
          <w:spacing w:val="-3"/>
          <w:sz w:val="20"/>
        </w:rPr>
        <w:t xml:space="preserve"> If yes, </w:t>
      </w:r>
      <w:r w:rsidRPr="005C0628">
        <w:rPr>
          <w:sz w:val="20"/>
        </w:rPr>
        <w:t xml:space="preserve">whether </w:t>
      </w:r>
      <w:r w:rsidRPr="005C0628">
        <w:rPr>
          <w:color w:val="000000"/>
          <w:sz w:val="20"/>
        </w:rPr>
        <w:t xml:space="preserve">search breached right to be free from unreasonable search and seizure </w:t>
      </w:r>
      <w:r w:rsidRPr="005C0628">
        <w:rPr>
          <w:i/>
          <w:color w:val="000000"/>
          <w:spacing w:val="-3"/>
          <w:sz w:val="20"/>
        </w:rPr>
        <w:t xml:space="preserve">— </w:t>
      </w:r>
      <w:r w:rsidRPr="005C0628">
        <w:rPr>
          <w:color w:val="000000"/>
          <w:sz w:val="20"/>
        </w:rPr>
        <w:t xml:space="preserve">If search breached s. 8 of </w:t>
      </w:r>
      <w:r w:rsidRPr="005C0628">
        <w:rPr>
          <w:i/>
          <w:color w:val="000000"/>
          <w:sz w:val="20"/>
        </w:rPr>
        <w:t>Charter</w:t>
      </w:r>
      <w:r w:rsidRPr="005C0628">
        <w:rPr>
          <w:color w:val="000000"/>
          <w:sz w:val="20"/>
        </w:rPr>
        <w:t xml:space="preserve">, whether evidence should be excluded pursuant to s. 24(2) of </w:t>
      </w:r>
      <w:r w:rsidRPr="005C0628">
        <w:rPr>
          <w:i/>
          <w:color w:val="000000"/>
          <w:sz w:val="20"/>
        </w:rPr>
        <w:t>Charter</w:t>
      </w:r>
      <w:r w:rsidRPr="005C0628">
        <w:rPr>
          <w:color w:val="000000"/>
          <w:sz w:val="20"/>
        </w:rPr>
        <w:t xml:space="preserve"> </w:t>
      </w:r>
      <w:r w:rsidRPr="005C0628">
        <w:rPr>
          <w:i/>
          <w:color w:val="000000"/>
          <w:spacing w:val="-3"/>
          <w:sz w:val="20"/>
        </w:rPr>
        <w:t xml:space="preserve">— </w:t>
      </w:r>
      <w:r w:rsidRPr="005C0628">
        <w:rPr>
          <w:sz w:val="20"/>
        </w:rPr>
        <w:t xml:space="preserve">Whether exception of customary or international law necessitates unilateral Canadian authority in context of Canadian Armed Forces member required to be on foreign soil </w:t>
      </w:r>
      <w:r w:rsidRPr="005C0628">
        <w:rPr>
          <w:i/>
          <w:color w:val="000000"/>
          <w:spacing w:val="-3"/>
          <w:sz w:val="20"/>
        </w:rPr>
        <w:t>—</w:t>
      </w:r>
      <w:r w:rsidRPr="005C0628">
        <w:rPr>
          <w:color w:val="000000"/>
          <w:spacing w:val="-3"/>
          <w:sz w:val="20"/>
        </w:rPr>
        <w:t xml:space="preserve"> Whether </w:t>
      </w:r>
      <w:r w:rsidRPr="005C0628">
        <w:rPr>
          <w:sz w:val="20"/>
        </w:rPr>
        <w:t>cooperation between states precludes exception of consent to principle of sovereignty?</w:t>
      </w:r>
    </w:p>
    <w:p w:rsidR="005C0628" w:rsidRPr="005C0628" w:rsidRDefault="005C0628" w:rsidP="00260190">
      <w:pPr>
        <w:widowControl w:val="0"/>
        <w:jc w:val="both"/>
        <w:rPr>
          <w:sz w:val="20"/>
        </w:rPr>
      </w:pPr>
    </w:p>
    <w:p w:rsidR="005C0628" w:rsidRPr="005C0628" w:rsidRDefault="005C0628" w:rsidP="00291A73">
      <w:pPr>
        <w:jc w:val="both"/>
        <w:rPr>
          <w:sz w:val="20"/>
          <w:lang w:val="en"/>
        </w:rPr>
      </w:pPr>
      <w:r w:rsidRPr="005C0628">
        <w:rPr>
          <w:sz w:val="20"/>
        </w:rPr>
        <w:t xml:space="preserve">Cpl. McGregor, a Canadian Armed Forces member, was posted to and resided in the United States. The Canadian Forces National Investigation Service suspected he committed the offences of interference and voyeurism by surreptitiously placing audio recording devices in the residence of another Canadian Armed Forces member also posted to the United States. An American police force obtained a search warrant in Virginia </w:t>
      </w:r>
      <w:r w:rsidRPr="005C0628">
        <w:rPr>
          <w:sz w:val="20"/>
          <w:lang w:val="en"/>
        </w:rPr>
        <w:t xml:space="preserve">permitting entry into and a search of Cpl. McGregor’s residence in Virginia. Virginia law permits searching electronic devices under the authority of a warrant to search a residence. The American police entered Cpl. McGregor’s residence and invited the </w:t>
      </w:r>
      <w:r w:rsidRPr="005C0628">
        <w:rPr>
          <w:sz w:val="20"/>
        </w:rPr>
        <w:t xml:space="preserve">Canadian Forces National Investigation Service to conduct the search. Officers seized electronic devices and searched some devices during the search of the residence. </w:t>
      </w:r>
      <w:r w:rsidRPr="005C0628">
        <w:rPr>
          <w:sz w:val="20"/>
          <w:lang w:val="en"/>
        </w:rPr>
        <w:t xml:space="preserve">They discovered evidence of the suspected offences and other offences. </w:t>
      </w:r>
      <w:r w:rsidRPr="005C0628">
        <w:rPr>
          <w:sz w:val="20"/>
        </w:rPr>
        <w:t xml:space="preserve">Electronic devices were seized, removed to Canada and searched further pursuant to warrants from the Court Martial. The Standing Court Martial dismissed a motion to exclude the evidence for breach of s. 8 of the </w:t>
      </w:r>
      <w:r w:rsidRPr="005C0628">
        <w:rPr>
          <w:i/>
          <w:sz w:val="20"/>
        </w:rPr>
        <w:t>Canadian Charter of Rights and Freedoms</w:t>
      </w:r>
      <w:r w:rsidRPr="005C0628">
        <w:rPr>
          <w:sz w:val="20"/>
        </w:rPr>
        <w:t>. Cpl. McGregor was convicted for sexual assault, two counts of voyeurism, possession of a device for unlawful interception, and disgraceful conduct. The Court Martial Appeal Court dismissed an appeal.</w:t>
      </w:r>
    </w:p>
    <w:p w:rsidR="005C0628" w:rsidRPr="005C0628" w:rsidRDefault="005C0628" w:rsidP="00260190">
      <w:pPr>
        <w:jc w:val="both"/>
        <w:rPr>
          <w:sz w:val="20"/>
        </w:rPr>
      </w:pPr>
    </w:p>
    <w:p w:rsidR="005C0628" w:rsidRPr="005C0628" w:rsidRDefault="005C0628" w:rsidP="00260190">
      <w:pPr>
        <w:jc w:val="both"/>
        <w:rPr>
          <w:sz w:val="20"/>
        </w:rPr>
      </w:pPr>
      <w:r w:rsidRPr="005C0628">
        <w:rPr>
          <w:sz w:val="20"/>
        </w:rPr>
        <w:pict>
          <v:rect id="_x0000_i1028" style="width:2in;height:1pt" o:hrpct="0" o:hralign="center" o:hrstd="t" o:hrnoshade="t" o:hr="t" fillcolor="black [3213]" stroked="f"/>
        </w:pict>
      </w:r>
    </w:p>
    <w:p w:rsidR="005C0628" w:rsidRPr="005C0628" w:rsidRDefault="005C0628">
      <w:pPr>
        <w:rPr>
          <w:sz w:val="20"/>
        </w:rPr>
      </w:pPr>
    </w:p>
    <w:p w:rsidR="005C0628" w:rsidRPr="005C0628" w:rsidRDefault="005C0628" w:rsidP="00E41030">
      <w:pPr>
        <w:pStyle w:val="SCCLsocParty"/>
        <w:rPr>
          <w:b/>
          <w:sz w:val="20"/>
          <w:szCs w:val="20"/>
        </w:rPr>
      </w:pPr>
      <w:r w:rsidRPr="005C0628">
        <w:rPr>
          <w:b/>
          <w:i w:val="0"/>
          <w:sz w:val="20"/>
          <w:szCs w:val="20"/>
        </w:rPr>
        <w:fldChar w:fldCharType="begin"/>
      </w:r>
      <w:r w:rsidRPr="005C0628">
        <w:rPr>
          <w:b/>
          <w:i w:val="0"/>
          <w:sz w:val="20"/>
          <w:szCs w:val="20"/>
        </w:rPr>
        <w:instrText xml:space="preserve"> SEQ CHAPTER \h \r 1</w:instrText>
      </w:r>
      <w:r w:rsidRPr="005C0628">
        <w:rPr>
          <w:b/>
          <w:i w:val="0"/>
          <w:sz w:val="20"/>
          <w:szCs w:val="20"/>
        </w:rPr>
        <w:fldChar w:fldCharType="end"/>
      </w:r>
      <w:r w:rsidRPr="005C0628">
        <w:rPr>
          <w:b/>
          <w:i w:val="0"/>
          <w:sz w:val="20"/>
          <w:szCs w:val="20"/>
        </w:rPr>
        <w:t>39543</w:t>
      </w:r>
      <w:r w:rsidRPr="005C0628">
        <w:rPr>
          <w:b/>
          <w:i w:val="0"/>
          <w:sz w:val="20"/>
          <w:szCs w:val="20"/>
        </w:rPr>
        <w:tab/>
      </w:r>
      <w:r w:rsidRPr="005C0628">
        <w:rPr>
          <w:b/>
          <w:sz w:val="20"/>
          <w:szCs w:val="20"/>
        </w:rPr>
        <w:t>Caporal C.R. McGregor c. Sa Majesté le Roi</w:t>
      </w:r>
    </w:p>
    <w:p w:rsidR="005C0628" w:rsidRPr="005C0628" w:rsidRDefault="005C0628" w:rsidP="00E41030">
      <w:pPr>
        <w:widowControl w:val="0"/>
        <w:tabs>
          <w:tab w:val="left" w:pos="720"/>
        </w:tabs>
        <w:ind w:left="1440" w:hanging="1440"/>
        <w:jc w:val="both"/>
        <w:rPr>
          <w:sz w:val="20"/>
          <w:lang w:val="fr-CA"/>
        </w:rPr>
      </w:pPr>
      <w:r w:rsidRPr="005C0628">
        <w:rPr>
          <w:sz w:val="20"/>
          <w:lang w:val="fr-CA"/>
        </w:rPr>
        <w:tab/>
        <w:t>(C.A.C.M.) (Criminelle) (Autorisation)</w:t>
      </w:r>
    </w:p>
    <w:p w:rsidR="005C0628" w:rsidRPr="005C0628" w:rsidRDefault="005C0628" w:rsidP="00E41030">
      <w:pPr>
        <w:widowControl w:val="0"/>
        <w:tabs>
          <w:tab w:val="left" w:pos="720"/>
        </w:tabs>
        <w:ind w:left="1440" w:hanging="1440"/>
        <w:jc w:val="both"/>
        <w:rPr>
          <w:sz w:val="20"/>
          <w:lang w:val="fr-CA"/>
        </w:rPr>
      </w:pPr>
    </w:p>
    <w:p w:rsidR="005C0628" w:rsidRPr="005C0628" w:rsidRDefault="005C0628" w:rsidP="00E41030">
      <w:pPr>
        <w:widowControl w:val="0"/>
        <w:tabs>
          <w:tab w:val="left" w:pos="720"/>
        </w:tabs>
        <w:ind w:left="1440" w:hanging="1440"/>
        <w:jc w:val="both"/>
        <w:rPr>
          <w:sz w:val="20"/>
          <w:lang w:val="fr-CA"/>
        </w:rPr>
      </w:pPr>
      <w:r w:rsidRPr="005C0628">
        <w:rPr>
          <w:sz w:val="20"/>
          <w:lang w:val="fr-CA"/>
        </w:rPr>
        <w:t>(</w:t>
      </w:r>
      <w:r w:rsidRPr="005C0628">
        <w:rPr>
          <w:smallCaps/>
          <w:sz w:val="20"/>
          <w:lang w:val="fr-CA"/>
        </w:rPr>
        <w:t>Ordonnance de non</w:t>
      </w:r>
      <w:r w:rsidRPr="005C0628">
        <w:rPr>
          <w:smallCaps/>
          <w:sz w:val="20"/>
          <w:lang w:val="fr-CA"/>
        </w:rPr>
        <w:noBreakHyphen/>
        <w:t>publication au dossier</w:t>
      </w:r>
      <w:r w:rsidRPr="005C0628">
        <w:rPr>
          <w:sz w:val="20"/>
          <w:lang w:val="fr-CA"/>
        </w:rPr>
        <w:t>)</w:t>
      </w:r>
    </w:p>
    <w:p w:rsidR="005C0628" w:rsidRPr="005C0628" w:rsidRDefault="005C0628" w:rsidP="00E41030">
      <w:pPr>
        <w:widowControl w:val="0"/>
        <w:tabs>
          <w:tab w:val="left" w:pos="720"/>
        </w:tabs>
        <w:ind w:left="1440" w:hanging="1440"/>
        <w:jc w:val="both"/>
        <w:rPr>
          <w:sz w:val="20"/>
          <w:lang w:val="fr-CA"/>
        </w:rPr>
      </w:pPr>
    </w:p>
    <w:p w:rsidR="005C0628" w:rsidRPr="005C0628" w:rsidRDefault="005C0628" w:rsidP="00291A73">
      <w:pPr>
        <w:widowControl w:val="0"/>
        <w:tabs>
          <w:tab w:val="left" w:pos="792"/>
        </w:tabs>
        <w:jc w:val="both"/>
        <w:textAlignment w:val="baseline"/>
        <w:rPr>
          <w:color w:val="000000"/>
          <w:spacing w:val="-3"/>
          <w:sz w:val="20"/>
          <w:lang w:val="fr-CA"/>
        </w:rPr>
      </w:pPr>
      <w:r w:rsidRPr="005C0628">
        <w:rPr>
          <w:i/>
          <w:color w:val="000000"/>
          <w:spacing w:val="-3"/>
          <w:sz w:val="20"/>
          <w:lang w:val="fr-CA"/>
        </w:rPr>
        <w:t>Charte canadienne des droits et libertés —</w:t>
      </w:r>
      <w:r w:rsidRPr="005C0628">
        <w:rPr>
          <w:color w:val="000000"/>
          <w:sz w:val="20"/>
          <w:lang w:val="fr-CA"/>
        </w:rPr>
        <w:t xml:space="preserve"> Extraterritorialité </w:t>
      </w:r>
      <w:r w:rsidRPr="005C0628">
        <w:rPr>
          <w:i/>
          <w:color w:val="000000"/>
          <w:spacing w:val="-3"/>
          <w:sz w:val="20"/>
          <w:lang w:val="fr-CA"/>
        </w:rPr>
        <w:t>—</w:t>
      </w:r>
      <w:r w:rsidRPr="005C0628">
        <w:rPr>
          <w:color w:val="000000"/>
          <w:sz w:val="20"/>
          <w:lang w:val="fr-CA"/>
        </w:rPr>
        <w:t xml:space="preserve"> Fouilles, perquisitions et saisies </w:t>
      </w:r>
      <w:r w:rsidRPr="005C0628">
        <w:rPr>
          <w:i/>
          <w:color w:val="000000"/>
          <w:spacing w:val="-3"/>
          <w:sz w:val="20"/>
          <w:lang w:val="fr-CA"/>
        </w:rPr>
        <w:t>—</w:t>
      </w:r>
      <w:r w:rsidRPr="005C0628">
        <w:rPr>
          <w:color w:val="000000"/>
          <w:spacing w:val="-3"/>
          <w:sz w:val="20"/>
          <w:lang w:val="fr-CA"/>
        </w:rPr>
        <w:t xml:space="preserve"> Service national des enquêtes des Forces canadiennes saisissant des appareils électroniques et fouillant leurs contenus pendant une perquisition de la résidence aux États</w:t>
      </w:r>
      <w:r w:rsidRPr="005C0628">
        <w:rPr>
          <w:color w:val="000000"/>
          <w:spacing w:val="-3"/>
          <w:sz w:val="20"/>
          <w:lang w:val="fr-CA"/>
        </w:rPr>
        <w:noBreakHyphen/>
        <w:t>Unis d’Amérique d’un membre des Forces armées canadiennes en poste dans ce pays</w:t>
      </w:r>
      <w:r w:rsidRPr="005C0628">
        <w:rPr>
          <w:color w:val="000000"/>
          <w:spacing w:val="-3"/>
          <w:sz w:val="20"/>
          <w:lang w:val="fr-CA"/>
        </w:rPr>
        <w:noBreakHyphen/>
        <w:t xml:space="preserve">là — Utilisation à la Cour martiale permanente au Canada des éléments de preuve saisis pendant la perquisition — La </w:t>
      </w:r>
      <w:r w:rsidRPr="005C0628">
        <w:rPr>
          <w:i/>
          <w:color w:val="000000"/>
          <w:spacing w:val="-3"/>
          <w:sz w:val="20"/>
          <w:lang w:val="fr-CA"/>
        </w:rPr>
        <w:t>Charte canadienne des droits et libertés</w:t>
      </w:r>
      <w:r w:rsidRPr="005C0628">
        <w:rPr>
          <w:color w:val="000000"/>
          <w:spacing w:val="-3"/>
          <w:sz w:val="20"/>
          <w:lang w:val="fr-CA"/>
        </w:rPr>
        <w:t xml:space="preserve"> s’applique</w:t>
      </w:r>
      <w:r w:rsidRPr="005C0628">
        <w:rPr>
          <w:color w:val="000000"/>
          <w:spacing w:val="-3"/>
          <w:sz w:val="20"/>
          <w:lang w:val="fr-CA"/>
        </w:rPr>
        <w:noBreakHyphen/>
        <w:t>t</w:t>
      </w:r>
      <w:r w:rsidRPr="005C0628">
        <w:rPr>
          <w:color w:val="000000"/>
          <w:spacing w:val="-3"/>
          <w:sz w:val="20"/>
          <w:lang w:val="fr-CA"/>
        </w:rPr>
        <w:noBreakHyphen/>
        <w:t>elle à la perquisition?</w:t>
      </w:r>
      <w:r w:rsidRPr="005C0628">
        <w:rPr>
          <w:sz w:val="20"/>
          <w:lang w:val="fr-CA"/>
        </w:rPr>
        <w:t xml:space="preserve"> — Si oui, la perquisition a</w:t>
      </w:r>
      <w:r w:rsidRPr="005C0628">
        <w:rPr>
          <w:sz w:val="20"/>
          <w:lang w:val="fr-CA"/>
        </w:rPr>
        <w:noBreakHyphen/>
        <w:t>t</w:t>
      </w:r>
      <w:r w:rsidRPr="005C0628">
        <w:rPr>
          <w:sz w:val="20"/>
          <w:lang w:val="fr-CA"/>
        </w:rPr>
        <w:noBreakHyphen/>
        <w:t xml:space="preserve">elle violé le droit d’être à l’abri d’une fouille, perquisition ou saisie abusive? — Si la fouille ou perquisition a violé l’art. 8 de la </w:t>
      </w:r>
      <w:r w:rsidRPr="005C0628">
        <w:rPr>
          <w:i/>
          <w:sz w:val="20"/>
          <w:lang w:val="fr-CA"/>
        </w:rPr>
        <w:t>Charte</w:t>
      </w:r>
      <w:r w:rsidRPr="005C0628">
        <w:rPr>
          <w:sz w:val="20"/>
          <w:lang w:val="fr-CA"/>
        </w:rPr>
        <w:t>, les éléments de preuve devraient</w:t>
      </w:r>
      <w:r w:rsidRPr="005C0628">
        <w:rPr>
          <w:sz w:val="20"/>
          <w:lang w:val="fr-CA"/>
        </w:rPr>
        <w:noBreakHyphen/>
        <w:t xml:space="preserve">ils être écartés en application du par. 24(2) de la </w:t>
      </w:r>
      <w:r w:rsidRPr="005C0628">
        <w:rPr>
          <w:i/>
          <w:sz w:val="20"/>
          <w:lang w:val="fr-CA"/>
        </w:rPr>
        <w:t>Charte</w:t>
      </w:r>
      <w:r w:rsidRPr="005C0628">
        <w:rPr>
          <w:sz w:val="20"/>
          <w:lang w:val="fr-CA"/>
        </w:rPr>
        <w:t>? — L’exception du droit coutumier ou du droit international nécessite</w:t>
      </w:r>
      <w:r w:rsidRPr="005C0628">
        <w:rPr>
          <w:sz w:val="20"/>
          <w:lang w:val="fr-CA"/>
        </w:rPr>
        <w:noBreakHyphen/>
        <w:t>t</w:t>
      </w:r>
      <w:r w:rsidRPr="005C0628">
        <w:rPr>
          <w:sz w:val="20"/>
          <w:lang w:val="fr-CA"/>
        </w:rPr>
        <w:noBreakHyphen/>
        <w:t>elle l’existence d’un pouvoir canadien unilatéral dans la situation où un membre des Forces armées canadiennes doit être en sol étranger? — La coopération entre les États interdit</w:t>
      </w:r>
      <w:r w:rsidRPr="005C0628">
        <w:rPr>
          <w:sz w:val="20"/>
          <w:lang w:val="fr-CA"/>
        </w:rPr>
        <w:noBreakHyphen/>
        <w:t>elle l’application de l’exception du consentement au principe de la souveraineté?</w:t>
      </w:r>
    </w:p>
    <w:p w:rsidR="005C0628" w:rsidRPr="005C0628" w:rsidRDefault="005C0628" w:rsidP="00260190">
      <w:pPr>
        <w:widowControl w:val="0"/>
        <w:jc w:val="both"/>
        <w:rPr>
          <w:sz w:val="20"/>
          <w:lang w:val="fr-CA"/>
        </w:rPr>
      </w:pPr>
    </w:p>
    <w:p w:rsidR="005C0628" w:rsidRPr="005C0628" w:rsidRDefault="005C0628" w:rsidP="00260190">
      <w:pPr>
        <w:widowControl w:val="0"/>
        <w:jc w:val="both"/>
        <w:rPr>
          <w:sz w:val="20"/>
          <w:lang w:val="fr-CA"/>
        </w:rPr>
      </w:pPr>
      <w:r w:rsidRPr="005C0628">
        <w:rPr>
          <w:sz w:val="20"/>
          <w:lang w:val="fr-CA"/>
        </w:rPr>
        <w:t>Le caporal McGregor, un membre des Forces armées canadiennes, était en poste et résidait aux États</w:t>
      </w:r>
      <w:r w:rsidRPr="005C0628">
        <w:rPr>
          <w:sz w:val="20"/>
          <w:lang w:val="fr-CA"/>
        </w:rPr>
        <w:noBreakHyphen/>
        <w:t>Unis. Le Service national des enquêtes des Forces canadiennes l’a soupçonné d’avoir commis les infractions d’interférence et de voyeurisme, en plaçant subrepticement des appareils d’enregistrement audio dans la résidence d’un autre membre des Forces armées canadiennes également en poste aux États</w:t>
      </w:r>
      <w:r w:rsidRPr="005C0628">
        <w:rPr>
          <w:sz w:val="20"/>
          <w:lang w:val="fr-CA"/>
        </w:rPr>
        <w:noBreakHyphen/>
        <w:t>Unis. Un service de police américain a obtenu un mandat de perquisition en Virginie, autorisant l’entrée dans la résidence du caporal McGregor dans cet État</w:t>
      </w:r>
      <w:r w:rsidRPr="005C0628">
        <w:rPr>
          <w:sz w:val="20"/>
          <w:lang w:val="fr-CA"/>
        </w:rPr>
        <w:noBreakHyphen/>
        <w:t>là et la perquisition de celle</w:t>
      </w:r>
      <w:r w:rsidRPr="005C0628">
        <w:rPr>
          <w:sz w:val="20"/>
          <w:lang w:val="fr-CA"/>
        </w:rPr>
        <w:noBreakHyphen/>
        <w:t xml:space="preserve">ci. Le droit de la Virginie permet la fouille d’appareils électroniques, en vertu du mandat de perquisition relatif à une résidence. Les policiers américains sont entrés dans la résidence du caporal McGregor et ont invité le Service national des enquêtes des Forces canadiennes à mener la perquisition. Les policiers ont saisi des appareils électroniques et fouillé certains appareils pendant la perquisition de la résidence. Ils ont découvert des éléments de preuve des agressions soupçonnées et d’autres infractions. Les appareils électroniques ont été saisis, envoyés au Canada et fouillés davantage, en conformité avec des mandats de la Cour martiale. La Cour martiale permanente a rejeté une requête visant à écarter les éléments de preuve, au motif qu’il y avait eu la violation de l’art. 8 de la </w:t>
      </w:r>
      <w:r w:rsidRPr="005C0628">
        <w:rPr>
          <w:i/>
          <w:sz w:val="20"/>
          <w:lang w:val="fr-CA"/>
        </w:rPr>
        <w:t>Charte canadienne des droits et libertés</w:t>
      </w:r>
      <w:r w:rsidRPr="005C0628">
        <w:rPr>
          <w:sz w:val="20"/>
          <w:lang w:val="fr-CA"/>
        </w:rPr>
        <w:t>. Le caporal McGregor a été déclaré coupable d’agression sexuelle, de deux chefs de voyeurisme, de possession d’un appareil d’interception illicite, et de conduite déshonorante. La Cour d’appel de la cour martiale a rejeté un appel.</w:t>
      </w:r>
    </w:p>
    <w:p w:rsidR="005C0628" w:rsidRPr="005C0628" w:rsidRDefault="005C0628" w:rsidP="00346405">
      <w:pPr>
        <w:jc w:val="both"/>
        <w:rPr>
          <w:sz w:val="20"/>
          <w:lang w:val="fr-CA"/>
        </w:rPr>
      </w:pPr>
    </w:p>
    <w:p w:rsidR="005C0628" w:rsidRPr="005C0628" w:rsidRDefault="005C0628" w:rsidP="00346405">
      <w:pPr>
        <w:jc w:val="both"/>
        <w:rPr>
          <w:sz w:val="20"/>
          <w:lang w:val="fr-CA"/>
        </w:rPr>
      </w:pPr>
      <w:r w:rsidRPr="005C0628">
        <w:rPr>
          <w:sz w:val="20"/>
        </w:rPr>
        <w:pict>
          <v:rect id="_x0000_i1029" style="width:2in;height:1pt" o:hrpct="0" o:hralign="center" o:hrstd="t" o:hrnoshade="t" o:hr="t" fillcolor="black [3213]" stroked="f"/>
        </w:pict>
      </w:r>
    </w:p>
    <w:p w:rsidR="00E92006" w:rsidRPr="005C0628" w:rsidRDefault="00E92006" w:rsidP="00346405">
      <w:pPr>
        <w:jc w:val="both"/>
        <w:rPr>
          <w:sz w:val="20"/>
          <w:lang w:val="fr-CA"/>
        </w:rPr>
      </w:pPr>
    </w:p>
    <w:p w:rsidR="00F401B9" w:rsidRPr="005C0628" w:rsidRDefault="00F401B9" w:rsidP="00346405">
      <w:pPr>
        <w:jc w:val="both"/>
        <w:rPr>
          <w:sz w:val="20"/>
          <w:lang w:val="fr-CA"/>
        </w:rPr>
      </w:pPr>
    </w:p>
    <w:p w:rsidR="00072A63" w:rsidRPr="005C0628" w:rsidRDefault="00072A63" w:rsidP="00346405">
      <w:pPr>
        <w:jc w:val="both"/>
        <w:rPr>
          <w:sz w:val="20"/>
          <w:lang w:val="fr-CA"/>
        </w:rPr>
      </w:pPr>
    </w:p>
    <w:p w:rsidR="001C4415" w:rsidRPr="005C0628" w:rsidRDefault="001C4415" w:rsidP="00346405">
      <w:pPr>
        <w:widowControl w:val="0"/>
        <w:outlineLvl w:val="0"/>
      </w:pPr>
      <w:r w:rsidRPr="005C0628">
        <w:t xml:space="preserve">Supreme Court of Canada / Cour suprême du </w:t>
      </w:r>
      <w:proofErr w:type="gramStart"/>
      <w:r w:rsidRPr="005C0628">
        <w:t>Canada :</w:t>
      </w:r>
      <w:proofErr w:type="gramEnd"/>
      <w:r w:rsidRPr="005C0628">
        <w:t xml:space="preserve"> </w:t>
      </w:r>
    </w:p>
    <w:p w:rsidR="001C4415" w:rsidRPr="005C0628" w:rsidRDefault="005C0628" w:rsidP="00346405">
      <w:pPr>
        <w:widowControl w:val="0"/>
        <w:outlineLvl w:val="0"/>
      </w:pPr>
      <w:hyperlink r:id="rId8" w:history="1">
        <w:r w:rsidR="001C4415" w:rsidRPr="005C0628">
          <w:rPr>
            <w:rStyle w:val="Hyperlink"/>
          </w:rPr>
          <w:t>comments-commentaires@scc-csc.ca</w:t>
        </w:r>
      </w:hyperlink>
    </w:p>
    <w:p w:rsidR="001C4415" w:rsidRPr="005C0628" w:rsidRDefault="001C4415" w:rsidP="00346405">
      <w:pPr>
        <w:widowControl w:val="0"/>
        <w:outlineLvl w:val="0"/>
      </w:pPr>
      <w:r w:rsidRPr="005C0628">
        <w:t>(613) 995-4330</w:t>
      </w:r>
    </w:p>
    <w:p w:rsidR="001C4415" w:rsidRPr="005C0628" w:rsidRDefault="001C4415" w:rsidP="00346405">
      <w:pPr>
        <w:widowControl w:val="0"/>
        <w:rPr>
          <w:sz w:val="20"/>
        </w:rPr>
      </w:pPr>
    </w:p>
    <w:p w:rsidR="0036476C" w:rsidRPr="00A8502B" w:rsidRDefault="001C4415" w:rsidP="00346405">
      <w:pPr>
        <w:pStyle w:val="Footer"/>
        <w:jc w:val="center"/>
        <w:rPr>
          <w:lang w:val="fr-CA"/>
        </w:rPr>
      </w:pPr>
      <w:r w:rsidRPr="005C0628">
        <w:rPr>
          <w:lang w:val="fr-CA"/>
        </w:rPr>
        <w:t xml:space="preserve">- 30 </w:t>
      </w:r>
      <w:r w:rsidR="003C1B6E" w:rsidRPr="005C0628">
        <w:rPr>
          <w:lang w:val="fr-CA"/>
        </w:rPr>
        <w:t>-</w:t>
      </w:r>
      <w:bookmarkStart w:id="2" w:name="_GoBack"/>
      <w:bookmarkEnd w:id="2"/>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54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2023-02-01T15:46:00Z</dcterms:modified>
</cp:coreProperties>
</file>