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72807" w:rsidRDefault="003F43E6" w:rsidP="003F43E6">
      <w:pPr>
        <w:pStyle w:val="Header"/>
        <w:jc w:val="center"/>
        <w:rPr>
          <w:b/>
          <w:sz w:val="32"/>
        </w:rPr>
      </w:pPr>
      <w:r w:rsidRPr="00472807">
        <w:rPr>
          <w:b/>
          <w:sz w:val="32"/>
        </w:rPr>
        <w:t>Supreme Court of Canada / Cour suprême du Canada</w:t>
      </w:r>
    </w:p>
    <w:p w:rsidR="003F43E6" w:rsidRPr="00472807" w:rsidRDefault="003F43E6" w:rsidP="006F2579">
      <w:pPr>
        <w:widowControl w:val="0"/>
        <w:rPr>
          <w:i/>
        </w:rPr>
      </w:pPr>
    </w:p>
    <w:p w:rsidR="003F43E6" w:rsidRPr="00472807" w:rsidRDefault="003F43E6" w:rsidP="006F2579">
      <w:pPr>
        <w:widowControl w:val="0"/>
        <w:rPr>
          <w:i/>
        </w:rPr>
      </w:pPr>
    </w:p>
    <w:p w:rsidR="006F2579" w:rsidRPr="00472807" w:rsidRDefault="006F2579" w:rsidP="006F2579">
      <w:pPr>
        <w:widowControl w:val="0"/>
        <w:rPr>
          <w:i/>
          <w:sz w:val="20"/>
          <w:lang w:val="fr-CA"/>
        </w:rPr>
      </w:pPr>
      <w:r w:rsidRPr="00472807">
        <w:rPr>
          <w:i/>
          <w:sz w:val="20"/>
          <w:lang w:val="fr-CA"/>
        </w:rPr>
        <w:t>(</w:t>
      </w:r>
      <w:r w:rsidR="008F3C5D" w:rsidRPr="00472807">
        <w:rPr>
          <w:i/>
          <w:sz w:val="20"/>
          <w:lang w:val="fr-CA"/>
        </w:rPr>
        <w:t>L</w:t>
      </w:r>
      <w:r w:rsidRPr="00472807">
        <w:rPr>
          <w:i/>
          <w:sz w:val="20"/>
          <w:lang w:val="fr-CA"/>
        </w:rPr>
        <w:t>e français suit)</w:t>
      </w:r>
    </w:p>
    <w:p w:rsidR="006F2579" w:rsidRPr="00472807" w:rsidRDefault="006F2579" w:rsidP="006F2579">
      <w:pPr>
        <w:widowControl w:val="0"/>
        <w:rPr>
          <w:lang w:val="fr-CA"/>
        </w:rPr>
      </w:pPr>
    </w:p>
    <w:p w:rsidR="006F2579" w:rsidRPr="00472807" w:rsidRDefault="00C007C3" w:rsidP="006F2579">
      <w:pPr>
        <w:widowControl w:val="0"/>
        <w:jc w:val="center"/>
        <w:rPr>
          <w:b/>
          <w:lang w:val="fr-CA"/>
        </w:rPr>
      </w:pPr>
      <w:r w:rsidRPr="00472807">
        <w:fldChar w:fldCharType="begin"/>
      </w:r>
      <w:r w:rsidR="006F2579" w:rsidRPr="00472807">
        <w:rPr>
          <w:lang w:val="fr-CA"/>
        </w:rPr>
        <w:instrText xml:space="preserve"> SEQ CHAPTER \h \r 1</w:instrText>
      </w:r>
      <w:r w:rsidRPr="00472807">
        <w:fldChar w:fldCharType="end"/>
      </w:r>
      <w:r w:rsidR="002767DF" w:rsidRPr="00472807">
        <w:rPr>
          <w:b/>
          <w:lang w:val="fr-CA"/>
        </w:rPr>
        <w:t xml:space="preserve">JUDGMENTS </w:t>
      </w:r>
      <w:r w:rsidR="004C4C26" w:rsidRPr="00472807">
        <w:rPr>
          <w:b/>
          <w:lang w:val="fr-CA"/>
        </w:rPr>
        <w:t>IN LEAVE APPLICATION</w:t>
      </w:r>
      <w:r w:rsidR="002375D8" w:rsidRPr="00472807">
        <w:rPr>
          <w:b/>
          <w:lang w:val="fr-CA"/>
        </w:rPr>
        <w:t>S</w:t>
      </w:r>
    </w:p>
    <w:p w:rsidR="006F2579" w:rsidRPr="00472807" w:rsidRDefault="006F2579" w:rsidP="006F2579">
      <w:pPr>
        <w:widowControl w:val="0"/>
        <w:rPr>
          <w:b/>
          <w:lang w:val="fr-CA"/>
        </w:rPr>
      </w:pPr>
    </w:p>
    <w:p w:rsidR="006F2579" w:rsidRPr="00472807" w:rsidRDefault="005E7881" w:rsidP="006F2579">
      <w:pPr>
        <w:widowControl w:val="0"/>
      </w:pPr>
      <w:r w:rsidRPr="00472807">
        <w:rPr>
          <w:b/>
        </w:rPr>
        <w:t>February</w:t>
      </w:r>
      <w:r w:rsidR="00C9475D" w:rsidRPr="00472807">
        <w:rPr>
          <w:b/>
        </w:rPr>
        <w:t xml:space="preserve"> </w:t>
      </w:r>
      <w:r w:rsidR="00D006A2" w:rsidRPr="00472807">
        <w:rPr>
          <w:b/>
        </w:rPr>
        <w:t>23</w:t>
      </w:r>
      <w:r w:rsidR="00170148" w:rsidRPr="00472807">
        <w:rPr>
          <w:b/>
        </w:rPr>
        <w:t>,</w:t>
      </w:r>
      <w:r w:rsidR="008825DB" w:rsidRPr="00472807">
        <w:rPr>
          <w:b/>
        </w:rPr>
        <w:t xml:space="preserve"> </w:t>
      </w:r>
      <w:r w:rsidR="003C451D" w:rsidRPr="00472807">
        <w:rPr>
          <w:b/>
        </w:rPr>
        <w:t>202</w:t>
      </w:r>
      <w:r w:rsidR="000F23A3" w:rsidRPr="00472807">
        <w:rPr>
          <w:b/>
        </w:rPr>
        <w:t>3</w:t>
      </w:r>
    </w:p>
    <w:p w:rsidR="006F2579" w:rsidRPr="00472807" w:rsidRDefault="006F2579" w:rsidP="006F2579">
      <w:pPr>
        <w:widowControl w:val="0"/>
        <w:rPr>
          <w:b/>
        </w:rPr>
      </w:pPr>
      <w:r w:rsidRPr="00472807">
        <w:rPr>
          <w:b/>
        </w:rPr>
        <w:t>For immediate release</w:t>
      </w:r>
    </w:p>
    <w:p w:rsidR="006F2579" w:rsidRPr="00472807" w:rsidRDefault="006F2579" w:rsidP="006F2579">
      <w:pPr>
        <w:widowControl w:val="0"/>
      </w:pPr>
    </w:p>
    <w:p w:rsidR="002767DF" w:rsidRPr="00472807" w:rsidRDefault="002767DF" w:rsidP="002767DF">
      <w:pPr>
        <w:widowControl w:val="0"/>
      </w:pPr>
      <w:r w:rsidRPr="00472807">
        <w:rPr>
          <w:b/>
        </w:rPr>
        <w:t>OTTAWA</w:t>
      </w:r>
      <w:r w:rsidRPr="00472807">
        <w:t xml:space="preserve"> – The Suprem</w:t>
      </w:r>
      <w:r w:rsidR="00580213" w:rsidRPr="00472807">
        <w:t>e</w:t>
      </w:r>
      <w:r w:rsidRPr="00472807">
        <w:t xml:space="preserve"> Court of Canada has today deposited with the Registrar judgment</w:t>
      </w:r>
      <w:r w:rsidR="004D3B41" w:rsidRPr="00472807">
        <w:t>s</w:t>
      </w:r>
      <w:r w:rsidRPr="00472807">
        <w:t xml:space="preserve"> in the following </w:t>
      </w:r>
      <w:r w:rsidR="00063949" w:rsidRPr="00472807">
        <w:t xml:space="preserve">leave </w:t>
      </w:r>
      <w:r w:rsidRPr="00472807">
        <w:t>application</w:t>
      </w:r>
      <w:r w:rsidR="00CC044F" w:rsidRPr="00472807">
        <w:t>s</w:t>
      </w:r>
      <w:r w:rsidRPr="00472807">
        <w:t>.</w:t>
      </w:r>
    </w:p>
    <w:p w:rsidR="006F2579" w:rsidRPr="00472807" w:rsidRDefault="006F2579" w:rsidP="006F2579">
      <w:pPr>
        <w:widowControl w:val="0"/>
      </w:pPr>
    </w:p>
    <w:p w:rsidR="006F2579" w:rsidRPr="00472807" w:rsidRDefault="006F2579" w:rsidP="006F2579">
      <w:pPr>
        <w:widowControl w:val="0"/>
      </w:pPr>
    </w:p>
    <w:p w:rsidR="002767DF" w:rsidRPr="00472807" w:rsidRDefault="002767DF" w:rsidP="002767DF">
      <w:pPr>
        <w:widowControl w:val="0"/>
        <w:jc w:val="center"/>
        <w:rPr>
          <w:lang w:val="fr-CA"/>
        </w:rPr>
      </w:pPr>
      <w:r w:rsidRPr="00472807">
        <w:rPr>
          <w:b/>
          <w:lang w:val="fr-CA"/>
        </w:rPr>
        <w:t>JUGEMENT</w:t>
      </w:r>
      <w:r w:rsidR="004C4C26" w:rsidRPr="00472807">
        <w:rPr>
          <w:b/>
          <w:lang w:val="fr-CA"/>
        </w:rPr>
        <w:t>S SUR DEMANDE</w:t>
      </w:r>
      <w:r w:rsidR="00CC044F" w:rsidRPr="00472807">
        <w:rPr>
          <w:b/>
          <w:lang w:val="fr-CA"/>
        </w:rPr>
        <w:t>S</w:t>
      </w:r>
      <w:r w:rsidRPr="00472807">
        <w:rPr>
          <w:b/>
          <w:lang w:val="fr-CA"/>
        </w:rPr>
        <w:t xml:space="preserve"> D’AUTORISATION</w:t>
      </w:r>
    </w:p>
    <w:p w:rsidR="006F2579" w:rsidRPr="00472807" w:rsidRDefault="006F2579" w:rsidP="006F2579">
      <w:pPr>
        <w:widowControl w:val="0"/>
        <w:rPr>
          <w:lang w:val="fr-CA"/>
        </w:rPr>
      </w:pPr>
    </w:p>
    <w:p w:rsidR="006F2579" w:rsidRPr="00472807" w:rsidRDefault="006F2579" w:rsidP="006F2579">
      <w:pPr>
        <w:widowControl w:val="0"/>
        <w:rPr>
          <w:lang w:val="fr-CA"/>
        </w:rPr>
      </w:pPr>
      <w:r w:rsidRPr="00472807">
        <w:rPr>
          <w:b/>
          <w:lang w:val="fr-CA"/>
        </w:rPr>
        <w:t>Le</w:t>
      </w:r>
      <w:r w:rsidR="008825DB" w:rsidRPr="00472807">
        <w:rPr>
          <w:b/>
          <w:lang w:val="fr-CA"/>
        </w:rPr>
        <w:t xml:space="preserve"> </w:t>
      </w:r>
      <w:r w:rsidR="00D006A2" w:rsidRPr="00472807">
        <w:rPr>
          <w:b/>
          <w:lang w:val="fr-CA"/>
        </w:rPr>
        <w:t>23</w:t>
      </w:r>
      <w:r w:rsidR="007D7A59" w:rsidRPr="00472807">
        <w:rPr>
          <w:b/>
          <w:lang w:val="fr-CA"/>
        </w:rPr>
        <w:t xml:space="preserve"> </w:t>
      </w:r>
      <w:r w:rsidR="005E7881" w:rsidRPr="00472807">
        <w:rPr>
          <w:b/>
          <w:lang w:val="fr-CA"/>
        </w:rPr>
        <w:t>février</w:t>
      </w:r>
      <w:r w:rsidR="00C16206" w:rsidRPr="00472807">
        <w:rPr>
          <w:b/>
          <w:lang w:val="fr-CA"/>
        </w:rPr>
        <w:t xml:space="preserve"> </w:t>
      </w:r>
      <w:r w:rsidR="008825DB" w:rsidRPr="00472807">
        <w:rPr>
          <w:b/>
          <w:lang w:val="fr-CA"/>
        </w:rPr>
        <w:t>20</w:t>
      </w:r>
      <w:r w:rsidR="00B44DF4" w:rsidRPr="00472807">
        <w:rPr>
          <w:b/>
          <w:lang w:val="fr-CA"/>
        </w:rPr>
        <w:t>2</w:t>
      </w:r>
      <w:r w:rsidR="000F23A3" w:rsidRPr="00472807">
        <w:rPr>
          <w:b/>
          <w:lang w:val="fr-CA"/>
        </w:rPr>
        <w:t>3</w:t>
      </w:r>
    </w:p>
    <w:p w:rsidR="006F2579" w:rsidRPr="00472807" w:rsidRDefault="006F2579" w:rsidP="006F2579">
      <w:pPr>
        <w:widowControl w:val="0"/>
        <w:rPr>
          <w:b/>
          <w:lang w:val="fr-CA"/>
        </w:rPr>
      </w:pPr>
      <w:r w:rsidRPr="00472807">
        <w:rPr>
          <w:b/>
          <w:lang w:val="fr-CA"/>
        </w:rPr>
        <w:t>Pour diffusion immédiate</w:t>
      </w:r>
    </w:p>
    <w:p w:rsidR="006F2579" w:rsidRPr="00472807" w:rsidRDefault="006F2579" w:rsidP="006F2579">
      <w:pPr>
        <w:widowControl w:val="0"/>
        <w:rPr>
          <w:b/>
          <w:lang w:val="fr-CA"/>
        </w:rPr>
      </w:pPr>
    </w:p>
    <w:p w:rsidR="002767DF" w:rsidRPr="00472807" w:rsidRDefault="002767DF" w:rsidP="002767DF">
      <w:pPr>
        <w:widowControl w:val="0"/>
        <w:rPr>
          <w:lang w:val="fr-CA"/>
        </w:rPr>
      </w:pPr>
      <w:r w:rsidRPr="00472807">
        <w:rPr>
          <w:b/>
          <w:lang w:val="fr-CA"/>
        </w:rPr>
        <w:t>OTTAWA</w:t>
      </w:r>
      <w:r w:rsidRPr="00472807">
        <w:rPr>
          <w:lang w:val="fr-CA"/>
        </w:rPr>
        <w:t xml:space="preserve"> – La Cour suprême du Canada a déposé aujourd’hui auprès du registraire les jugements dans </w:t>
      </w:r>
      <w:r w:rsidR="00CC044F" w:rsidRPr="00472807">
        <w:rPr>
          <w:lang w:val="fr-CA"/>
        </w:rPr>
        <w:t>les</w:t>
      </w:r>
      <w:r w:rsidR="008C7CD9" w:rsidRPr="00472807">
        <w:rPr>
          <w:lang w:val="fr-CA"/>
        </w:rPr>
        <w:t xml:space="preserve"> </w:t>
      </w:r>
      <w:r w:rsidR="004C4C26" w:rsidRPr="00472807">
        <w:rPr>
          <w:lang w:val="fr-CA"/>
        </w:rPr>
        <w:t>demande</w:t>
      </w:r>
      <w:r w:rsidR="0088435A" w:rsidRPr="00472807">
        <w:rPr>
          <w:lang w:val="fr-CA"/>
        </w:rPr>
        <w:t>s</w:t>
      </w:r>
      <w:r w:rsidRPr="00472807">
        <w:rPr>
          <w:lang w:val="fr-CA"/>
        </w:rPr>
        <w:t xml:space="preserve"> d’au</w:t>
      </w:r>
      <w:r w:rsidR="00F24EF2" w:rsidRPr="00472807">
        <w:rPr>
          <w:lang w:val="fr-CA"/>
        </w:rPr>
        <w:t xml:space="preserve">torisation </w:t>
      </w:r>
      <w:r w:rsidR="007F2922" w:rsidRPr="00472807">
        <w:rPr>
          <w:lang w:val="fr-CA"/>
        </w:rPr>
        <w:t>sui</w:t>
      </w:r>
      <w:r w:rsidR="00F24EF2" w:rsidRPr="00472807">
        <w:rPr>
          <w:lang w:val="fr-CA"/>
        </w:rPr>
        <w:t>v</w:t>
      </w:r>
      <w:r w:rsidR="007F2922" w:rsidRPr="00472807">
        <w:rPr>
          <w:lang w:val="fr-CA"/>
        </w:rPr>
        <w:t>a</w:t>
      </w:r>
      <w:r w:rsidR="00F24EF2" w:rsidRPr="00472807">
        <w:rPr>
          <w:lang w:val="fr-CA"/>
        </w:rPr>
        <w:t>nt</w:t>
      </w:r>
      <w:r w:rsidR="00007B5E" w:rsidRPr="00472807">
        <w:rPr>
          <w:lang w:val="fr-CA"/>
        </w:rPr>
        <w:t>e</w:t>
      </w:r>
      <w:r w:rsidR="00C56657" w:rsidRPr="00472807">
        <w:rPr>
          <w:lang w:val="fr-CA"/>
        </w:rPr>
        <w:t>s</w:t>
      </w:r>
      <w:r w:rsidR="00F24EF2" w:rsidRPr="00472807">
        <w:rPr>
          <w:lang w:val="fr-CA"/>
        </w:rPr>
        <w:t>.</w:t>
      </w:r>
    </w:p>
    <w:p w:rsidR="00694BDA" w:rsidRPr="00472807" w:rsidRDefault="00694BDA" w:rsidP="000B5274">
      <w:pPr>
        <w:jc w:val="both"/>
        <w:rPr>
          <w:sz w:val="20"/>
          <w:lang w:val="fr-CA"/>
        </w:rPr>
      </w:pPr>
    </w:p>
    <w:p w:rsidR="00DA0759" w:rsidRPr="00472807" w:rsidRDefault="00667CE1" w:rsidP="000B5274">
      <w:pPr>
        <w:jc w:val="both"/>
        <w:rPr>
          <w:sz w:val="20"/>
          <w:lang w:val="fr-CA"/>
        </w:rPr>
      </w:pPr>
      <w:r>
        <w:rPr>
          <w:sz w:val="20"/>
        </w:rPr>
        <w:pict>
          <v:rect id="_x0000_i1025" style="width:2in;height:1pt" o:hrpct="0" o:hralign="center" o:hrstd="t" o:hrnoshade="t" o:hr="t" fillcolor="black [3213]" stroked="f"/>
        </w:pict>
      </w:r>
    </w:p>
    <w:p w:rsidR="0045157D" w:rsidRPr="00472807" w:rsidRDefault="0045157D" w:rsidP="00BA0622">
      <w:pPr>
        <w:jc w:val="both"/>
        <w:rPr>
          <w:sz w:val="22"/>
          <w:szCs w:val="22"/>
        </w:rPr>
      </w:pPr>
    </w:p>
    <w:p w:rsidR="004D6767" w:rsidRPr="00472807" w:rsidRDefault="004D6767" w:rsidP="004D6767">
      <w:pPr>
        <w:jc w:val="both"/>
        <w:rPr>
          <w:b/>
          <w:sz w:val="22"/>
          <w:szCs w:val="22"/>
        </w:rPr>
      </w:pPr>
      <w:r w:rsidRPr="00472807">
        <w:rPr>
          <w:b/>
          <w:sz w:val="22"/>
          <w:szCs w:val="22"/>
        </w:rPr>
        <w:t>GRANTED / ACCORDÉE</w:t>
      </w:r>
    </w:p>
    <w:p w:rsidR="004D6767" w:rsidRPr="00472807" w:rsidRDefault="004D6767" w:rsidP="004D6767">
      <w:pPr>
        <w:jc w:val="both"/>
        <w:rPr>
          <w:sz w:val="20"/>
        </w:rPr>
      </w:pPr>
    </w:p>
    <w:p w:rsidR="00D62237" w:rsidRPr="00472807" w:rsidRDefault="00D62237" w:rsidP="00D62237">
      <w:pPr>
        <w:rPr>
          <w:sz w:val="22"/>
          <w:szCs w:val="22"/>
        </w:rPr>
      </w:pPr>
      <w:r w:rsidRPr="00472807">
        <w:rPr>
          <w:i/>
          <w:sz w:val="22"/>
          <w:szCs w:val="22"/>
        </w:rPr>
        <w:t>Dow Chemical Canada ULC v. His Majesty the King</w:t>
      </w:r>
      <w:r w:rsidRPr="00472807">
        <w:rPr>
          <w:sz w:val="22"/>
          <w:szCs w:val="22"/>
        </w:rPr>
        <w:t xml:space="preserve"> (F.C.) (Civil) (By Leave) (</w:t>
      </w:r>
      <w:hyperlink r:id="rId8" w:history="1">
        <w:r w:rsidRPr="00472807">
          <w:rPr>
            <w:rStyle w:val="Hyperlink"/>
            <w:sz w:val="22"/>
            <w:szCs w:val="22"/>
          </w:rPr>
          <w:t>40276</w:t>
        </w:r>
      </w:hyperlink>
      <w:r w:rsidRPr="00472807">
        <w:rPr>
          <w:sz w:val="22"/>
          <w:szCs w:val="22"/>
        </w:rPr>
        <w:t>)</w:t>
      </w:r>
    </w:p>
    <w:p w:rsidR="004D6767" w:rsidRPr="00472807" w:rsidRDefault="004D6767" w:rsidP="004D6767">
      <w:pPr>
        <w:widowControl w:val="0"/>
        <w:rPr>
          <w:sz w:val="20"/>
        </w:rPr>
      </w:pPr>
    </w:p>
    <w:p w:rsidR="00D62237" w:rsidRPr="00472807" w:rsidRDefault="00D62237" w:rsidP="00D62237">
      <w:pPr>
        <w:jc w:val="both"/>
        <w:rPr>
          <w:sz w:val="20"/>
        </w:rPr>
      </w:pPr>
      <w:r w:rsidRPr="00472807">
        <w:rPr>
          <w:sz w:val="20"/>
        </w:rPr>
        <w:t>The application for leave to appeal from the judgment of the Federal Court of Appeal, Number A-318-20, 2022 FCA 70, dated April 26, 2022, is granted with costs in the cause.</w:t>
      </w:r>
    </w:p>
    <w:p w:rsidR="00A80EAC" w:rsidRPr="00472807" w:rsidRDefault="00A80EAC" w:rsidP="00D62237">
      <w:pPr>
        <w:widowControl w:val="0"/>
        <w:jc w:val="both"/>
        <w:rPr>
          <w:sz w:val="20"/>
        </w:rPr>
      </w:pPr>
    </w:p>
    <w:p w:rsidR="00A80EAC" w:rsidRPr="00472807" w:rsidRDefault="00D62237" w:rsidP="00D62237">
      <w:pPr>
        <w:widowControl w:val="0"/>
        <w:jc w:val="both"/>
        <w:rPr>
          <w:sz w:val="20"/>
          <w:lang w:val="fr-CA"/>
        </w:rPr>
      </w:pPr>
      <w:r w:rsidRPr="00472807">
        <w:rPr>
          <w:sz w:val="20"/>
          <w:lang w:val="fr-CA"/>
        </w:rPr>
        <w:t>La demande d’autorisation d’appel de l’arrêt de la Cour d’appel fédérale, numéro A-318-20, 2022 FCA 70, daté du 26 avril 2022, est accueillie avec dépens suivant l’issue de la cause.</w:t>
      </w:r>
    </w:p>
    <w:p w:rsidR="00A80EAC" w:rsidRPr="00472807" w:rsidRDefault="00A80EAC" w:rsidP="004D6767">
      <w:pPr>
        <w:widowControl w:val="0"/>
        <w:rPr>
          <w:sz w:val="20"/>
          <w:lang w:val="fr-CA"/>
        </w:rPr>
      </w:pPr>
    </w:p>
    <w:p w:rsidR="004D6767" w:rsidRPr="00472807" w:rsidRDefault="00667CE1" w:rsidP="004D6767">
      <w:pPr>
        <w:jc w:val="both"/>
        <w:rPr>
          <w:sz w:val="22"/>
          <w:szCs w:val="22"/>
        </w:rPr>
      </w:pPr>
      <w:r>
        <w:rPr>
          <w:sz w:val="20"/>
        </w:rPr>
        <w:pict>
          <v:rect id="_x0000_i1026" style="width:2in;height:1pt" o:hrpct="0" o:hralign="center" o:hrstd="t" o:hrnoshade="t" o:hr="t" fillcolor="black [3213]" stroked="f"/>
        </w:pict>
      </w:r>
    </w:p>
    <w:p w:rsidR="00D62237" w:rsidRPr="00472807" w:rsidRDefault="00D62237" w:rsidP="00D62237">
      <w:pPr>
        <w:jc w:val="both"/>
        <w:rPr>
          <w:sz w:val="22"/>
          <w:szCs w:val="22"/>
        </w:rPr>
      </w:pPr>
    </w:p>
    <w:p w:rsidR="00431DE2" w:rsidRPr="00667CE1" w:rsidRDefault="00431DE2" w:rsidP="00431DE2">
      <w:pPr>
        <w:jc w:val="both"/>
        <w:rPr>
          <w:b/>
          <w:sz w:val="22"/>
          <w:szCs w:val="22"/>
        </w:rPr>
      </w:pPr>
      <w:r w:rsidRPr="00667CE1">
        <w:rPr>
          <w:b/>
          <w:sz w:val="22"/>
          <w:szCs w:val="22"/>
        </w:rPr>
        <w:t>DISMISSED / REJETÉE</w:t>
      </w:r>
      <w:r w:rsidR="001B1618" w:rsidRPr="00667CE1">
        <w:rPr>
          <w:b/>
          <w:sz w:val="22"/>
          <w:szCs w:val="22"/>
        </w:rPr>
        <w:t>S</w:t>
      </w:r>
    </w:p>
    <w:p w:rsidR="00431DE2" w:rsidRPr="00667CE1" w:rsidRDefault="00431DE2" w:rsidP="000B5274">
      <w:pPr>
        <w:jc w:val="both"/>
        <w:rPr>
          <w:sz w:val="20"/>
        </w:rPr>
      </w:pPr>
    </w:p>
    <w:p w:rsidR="00C210C4" w:rsidRPr="00472807" w:rsidRDefault="00C210C4" w:rsidP="00C210C4">
      <w:pPr>
        <w:rPr>
          <w:sz w:val="22"/>
          <w:szCs w:val="22"/>
        </w:rPr>
      </w:pPr>
      <w:r w:rsidRPr="00472807">
        <w:rPr>
          <w:i/>
          <w:sz w:val="22"/>
          <w:szCs w:val="22"/>
        </w:rPr>
        <w:t xml:space="preserve">Andrew Bond v. His Majesty the King </w:t>
      </w:r>
      <w:r w:rsidRPr="00472807">
        <w:rPr>
          <w:sz w:val="22"/>
          <w:szCs w:val="22"/>
        </w:rPr>
        <w:t>(Ont.) (Criminal) (By Leave) (</w:t>
      </w:r>
      <w:hyperlink r:id="rId9" w:history="1">
        <w:r w:rsidRPr="00472807">
          <w:rPr>
            <w:rStyle w:val="Hyperlink"/>
            <w:sz w:val="22"/>
            <w:szCs w:val="22"/>
          </w:rPr>
          <w:t>40405</w:t>
        </w:r>
      </w:hyperlink>
      <w:r w:rsidRPr="00472807">
        <w:rPr>
          <w:sz w:val="22"/>
          <w:szCs w:val="22"/>
        </w:rPr>
        <w:t>)</w:t>
      </w:r>
    </w:p>
    <w:p w:rsidR="00A30607" w:rsidRPr="00472807" w:rsidRDefault="00A30607" w:rsidP="0035080B">
      <w:pPr>
        <w:widowControl w:val="0"/>
        <w:jc w:val="both"/>
        <w:rPr>
          <w:sz w:val="20"/>
        </w:rPr>
      </w:pPr>
    </w:p>
    <w:p w:rsidR="00C210C4" w:rsidRPr="00472807" w:rsidRDefault="00C210C4" w:rsidP="00C210C4">
      <w:pPr>
        <w:jc w:val="both"/>
        <w:rPr>
          <w:sz w:val="20"/>
        </w:rPr>
      </w:pPr>
      <w:r w:rsidRPr="00472807">
        <w:rPr>
          <w:sz w:val="20"/>
        </w:rPr>
        <w:t>The motion for an extension of time to serve and file the application for leave to appeal is granted. The application for leave to appeal from the judgment of the Court of Appeal for Ontario, Number C67283, 2021 ONCA 730, dated October 19, 2021, is dismissed.</w:t>
      </w:r>
    </w:p>
    <w:p w:rsidR="0035080B" w:rsidRPr="00472807" w:rsidRDefault="0035080B" w:rsidP="00C210C4">
      <w:pPr>
        <w:jc w:val="both"/>
        <w:rPr>
          <w:sz w:val="20"/>
        </w:rPr>
      </w:pPr>
    </w:p>
    <w:p w:rsidR="00E67656" w:rsidRPr="00472807" w:rsidRDefault="00C210C4" w:rsidP="00C210C4">
      <w:pPr>
        <w:jc w:val="both"/>
        <w:rPr>
          <w:sz w:val="20"/>
          <w:lang w:val="fr-CA"/>
        </w:rPr>
      </w:pPr>
      <w:r w:rsidRPr="00472807">
        <w:rPr>
          <w:sz w:val="20"/>
          <w:lang w:val="fr-CA"/>
        </w:rPr>
        <w:t>La requête en prorogation du délai de signification et de dépôt de la demande d’autorisation d’appel est accueillie. La demande d’autorisation d’appel de l’arrêt de la Cour d’appel de l’Ontario, numéro C67283, 2021 ONCA 730, daté du 19 octobre 2021, est rejetée.</w:t>
      </w:r>
    </w:p>
    <w:p w:rsidR="00872CB5" w:rsidRPr="00472807" w:rsidRDefault="00872CB5" w:rsidP="00872CB5">
      <w:pPr>
        <w:widowControl w:val="0"/>
        <w:rPr>
          <w:sz w:val="20"/>
          <w:lang w:val="fr-CA"/>
        </w:rPr>
      </w:pPr>
    </w:p>
    <w:p w:rsidR="00146ABE" w:rsidRPr="00472807" w:rsidRDefault="00667CE1" w:rsidP="00872CB5">
      <w:pPr>
        <w:widowControl w:val="0"/>
        <w:rPr>
          <w:sz w:val="20"/>
          <w:lang w:val="fr-CA"/>
        </w:rPr>
      </w:pPr>
      <w:r>
        <w:rPr>
          <w:sz w:val="20"/>
        </w:rPr>
        <w:pict>
          <v:rect id="_x0000_i1027" style="width:2in;height:1pt" o:hrpct="0" o:hralign="center" o:hrstd="t" o:hrnoshade="t" o:hr="t" fillcolor="black [3213]" stroked="f"/>
        </w:pict>
      </w:r>
    </w:p>
    <w:p w:rsidR="00146ABE" w:rsidRPr="00472807" w:rsidRDefault="00146ABE" w:rsidP="00872CB5">
      <w:pPr>
        <w:widowControl w:val="0"/>
        <w:rPr>
          <w:sz w:val="20"/>
          <w:lang w:val="fr-CA"/>
        </w:rPr>
      </w:pPr>
    </w:p>
    <w:p w:rsidR="00D62237" w:rsidRPr="00472807" w:rsidRDefault="00D62237" w:rsidP="00D62237">
      <w:pPr>
        <w:rPr>
          <w:sz w:val="22"/>
          <w:szCs w:val="22"/>
        </w:rPr>
      </w:pPr>
      <w:r w:rsidRPr="00472807">
        <w:rPr>
          <w:i/>
          <w:sz w:val="22"/>
          <w:szCs w:val="22"/>
        </w:rPr>
        <w:t xml:space="preserve">John Susin The Executor of the Estate of Phyllis Susin v. TD Waterhouse Discount Brokerage, a division of TD Waterhouse Canada Inc. </w:t>
      </w:r>
      <w:r w:rsidRPr="00472807">
        <w:rPr>
          <w:sz w:val="22"/>
          <w:szCs w:val="22"/>
        </w:rPr>
        <w:t>(Ont.) (Civil) (By Leave) (</w:t>
      </w:r>
      <w:hyperlink r:id="rId10" w:history="1">
        <w:r w:rsidRPr="00472807">
          <w:rPr>
            <w:rStyle w:val="Hyperlink"/>
            <w:sz w:val="22"/>
            <w:szCs w:val="22"/>
          </w:rPr>
          <w:t>40248</w:t>
        </w:r>
      </w:hyperlink>
      <w:r w:rsidRPr="00472807">
        <w:rPr>
          <w:sz w:val="22"/>
          <w:szCs w:val="22"/>
        </w:rPr>
        <w:t>)</w:t>
      </w:r>
    </w:p>
    <w:p w:rsidR="00521042" w:rsidRPr="00472807" w:rsidRDefault="00521042" w:rsidP="00521042">
      <w:pPr>
        <w:widowControl w:val="0"/>
        <w:rPr>
          <w:sz w:val="20"/>
        </w:rPr>
      </w:pPr>
    </w:p>
    <w:p w:rsidR="00D62237" w:rsidRPr="00472807" w:rsidRDefault="00D62237" w:rsidP="00D62237">
      <w:pPr>
        <w:jc w:val="both"/>
        <w:rPr>
          <w:sz w:val="20"/>
        </w:rPr>
      </w:pPr>
      <w:r w:rsidRPr="00472807">
        <w:rPr>
          <w:sz w:val="20"/>
        </w:rPr>
        <w:lastRenderedPageBreak/>
        <w:t>The application for leave to appeal from the judgment of the</w:t>
      </w:r>
      <w:bookmarkStart w:id="0" w:name="BM_1_"/>
      <w:bookmarkEnd w:id="0"/>
      <w:r w:rsidRPr="00472807">
        <w:rPr>
          <w:sz w:val="20"/>
        </w:rPr>
        <w:t xml:space="preserve"> Court of Appeal for Ontario, Number C68132, 2022 ONCA 101, dated February 4, 2022, is dismissed with costs.</w:t>
      </w:r>
    </w:p>
    <w:p w:rsidR="00A80EAC" w:rsidRPr="00472807" w:rsidRDefault="00A80EAC" w:rsidP="00D62237">
      <w:pPr>
        <w:widowControl w:val="0"/>
        <w:jc w:val="both"/>
        <w:rPr>
          <w:sz w:val="20"/>
        </w:rPr>
      </w:pPr>
    </w:p>
    <w:p w:rsidR="00C210C4" w:rsidRPr="00472807" w:rsidRDefault="00D62237" w:rsidP="00D62237">
      <w:pPr>
        <w:widowControl w:val="0"/>
        <w:jc w:val="both"/>
        <w:rPr>
          <w:sz w:val="20"/>
          <w:lang w:val="fr-CA"/>
        </w:rPr>
      </w:pPr>
      <w:r w:rsidRPr="00472807">
        <w:rPr>
          <w:sz w:val="20"/>
          <w:lang w:val="fr-CA"/>
        </w:rPr>
        <w:t>La demande d’autorisation d’appel de l’arrêt de la Cour d’appel de l’Ontario, numéro C68132, 2022 ONCA 101, daté du 4 février 2022, est rejetée avec dépens.</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28" style="width:2in;height:1pt" o:hrpct="0" o:hralign="center" o:hrstd="t" o:hrnoshade="t" o:hr="t" fillcolor="black [3213]" stroked="f"/>
        </w:pict>
      </w:r>
    </w:p>
    <w:p w:rsidR="00C210C4" w:rsidRPr="00472807" w:rsidRDefault="00C210C4" w:rsidP="00C210C4">
      <w:pPr>
        <w:widowControl w:val="0"/>
        <w:rPr>
          <w:sz w:val="20"/>
          <w:lang w:val="fr-CA"/>
        </w:rPr>
      </w:pPr>
    </w:p>
    <w:p w:rsidR="00D62237" w:rsidRPr="00472807" w:rsidRDefault="00D62237" w:rsidP="00D62237">
      <w:pPr>
        <w:rPr>
          <w:sz w:val="22"/>
          <w:szCs w:val="22"/>
        </w:rPr>
      </w:pPr>
      <w:r w:rsidRPr="00472807">
        <w:rPr>
          <w:i/>
          <w:sz w:val="22"/>
          <w:szCs w:val="22"/>
        </w:rPr>
        <w:t xml:space="preserve">Robert Hirsch v. Richardson Wealth Limited, formerly known as Richardson GMP Limited </w:t>
      </w:r>
      <w:r w:rsidRPr="00472807">
        <w:rPr>
          <w:sz w:val="22"/>
          <w:szCs w:val="22"/>
        </w:rPr>
        <w:t>(Que.) (Civil) (By Leave) (</w:t>
      </w:r>
      <w:hyperlink r:id="rId11" w:history="1">
        <w:r w:rsidRPr="00472807">
          <w:rPr>
            <w:rStyle w:val="Hyperlink"/>
            <w:sz w:val="22"/>
            <w:szCs w:val="22"/>
          </w:rPr>
          <w:t>40254</w:t>
        </w:r>
      </w:hyperlink>
      <w:r w:rsidRPr="00472807">
        <w:rPr>
          <w:sz w:val="22"/>
          <w:szCs w:val="22"/>
        </w:rPr>
        <w:t>)</w:t>
      </w:r>
    </w:p>
    <w:p w:rsidR="00C210C4" w:rsidRPr="00472807" w:rsidRDefault="00C210C4" w:rsidP="00521042">
      <w:pPr>
        <w:widowControl w:val="0"/>
        <w:rPr>
          <w:sz w:val="20"/>
        </w:rPr>
      </w:pPr>
    </w:p>
    <w:p w:rsidR="00D62237" w:rsidRPr="00472807" w:rsidRDefault="00D62237" w:rsidP="00D62237">
      <w:pPr>
        <w:jc w:val="both"/>
        <w:rPr>
          <w:sz w:val="20"/>
        </w:rPr>
      </w:pPr>
      <w:r w:rsidRPr="00472807">
        <w:rPr>
          <w:sz w:val="20"/>
        </w:rPr>
        <w:t>The motion for an extension of time to serve and file the reply is granted. The application for leave to appeal from the judgment of the Court of Appeal of Quebec (Montréal), Number 500-09-028857-209, 2022 QCCA 148, dated February 2, 2022, is dismissed.</w:t>
      </w:r>
    </w:p>
    <w:p w:rsidR="00C210C4" w:rsidRPr="00472807" w:rsidRDefault="00C210C4" w:rsidP="00D62237">
      <w:pPr>
        <w:widowControl w:val="0"/>
        <w:jc w:val="both"/>
        <w:rPr>
          <w:sz w:val="20"/>
        </w:rPr>
      </w:pPr>
    </w:p>
    <w:p w:rsidR="00C210C4" w:rsidRPr="00472807" w:rsidRDefault="00D62237" w:rsidP="00D62237">
      <w:pPr>
        <w:widowControl w:val="0"/>
        <w:jc w:val="both"/>
        <w:rPr>
          <w:sz w:val="20"/>
          <w:lang w:val="fr-CA"/>
        </w:rPr>
      </w:pPr>
      <w:r w:rsidRPr="00472807">
        <w:rPr>
          <w:sz w:val="20"/>
          <w:lang w:val="fr-CA"/>
        </w:rPr>
        <w:t>La requête en prorogation du délai de signification et de dépôt de la réplique est accueillie. La demande d’autorisation d’appel de l’arrêt de la Cour d’appel du Québec (Montréal), numéro 500-09-028857-209, 2022 QCCA 148, daté du 2 février 2022, est rejetée.</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29" style="width:2in;height:1pt" o:hrpct="0" o:hralign="center" o:hrstd="t" o:hrnoshade="t" o:hr="t" fillcolor="black [3213]" stroked="f"/>
        </w:pict>
      </w:r>
    </w:p>
    <w:p w:rsidR="00C210C4" w:rsidRPr="00472807" w:rsidRDefault="00C210C4" w:rsidP="00C210C4">
      <w:pPr>
        <w:widowControl w:val="0"/>
        <w:rPr>
          <w:sz w:val="20"/>
          <w:lang w:val="fr-CA"/>
        </w:rPr>
      </w:pPr>
    </w:p>
    <w:p w:rsidR="00D62237" w:rsidRPr="00472807" w:rsidRDefault="00D62237" w:rsidP="00D62237">
      <w:pPr>
        <w:rPr>
          <w:sz w:val="22"/>
          <w:szCs w:val="22"/>
          <w:lang w:val="fr-CA"/>
        </w:rPr>
      </w:pPr>
      <w:r w:rsidRPr="00472807">
        <w:rPr>
          <w:i/>
          <w:sz w:val="22"/>
          <w:szCs w:val="22"/>
          <w:lang w:val="fr-CA"/>
        </w:rPr>
        <w:t>Vidéotron ltée c. Ville de Québec, Ville de Laval, Ville de Longueuil et Ville de Montréal - et - Vincenzo Piazza, en sa qualité de juge à la Cour du Québec</w:t>
      </w:r>
      <w:r w:rsidRPr="00472807">
        <w:rPr>
          <w:sz w:val="22"/>
          <w:szCs w:val="22"/>
          <w:lang w:val="fr-CA"/>
        </w:rPr>
        <w:t xml:space="preserve"> (Qc.) (Civile) (Autorisation) (</w:t>
      </w:r>
      <w:hyperlink r:id="rId12" w:history="1">
        <w:r w:rsidRPr="00472807">
          <w:rPr>
            <w:rStyle w:val="Hyperlink"/>
            <w:sz w:val="22"/>
            <w:szCs w:val="22"/>
            <w:lang w:val="fr-CA"/>
          </w:rPr>
          <w:t>40298</w:t>
        </w:r>
      </w:hyperlink>
      <w:r w:rsidRPr="00472807">
        <w:rPr>
          <w:sz w:val="22"/>
          <w:szCs w:val="22"/>
          <w:lang w:val="fr-CA"/>
        </w:rPr>
        <w:t>)</w:t>
      </w:r>
    </w:p>
    <w:p w:rsidR="00C210C4" w:rsidRPr="00472807" w:rsidRDefault="00C210C4" w:rsidP="00521042">
      <w:pPr>
        <w:widowControl w:val="0"/>
        <w:rPr>
          <w:sz w:val="20"/>
          <w:lang w:val="fr-CA"/>
        </w:rPr>
      </w:pPr>
    </w:p>
    <w:p w:rsidR="00A27256" w:rsidRPr="00472807" w:rsidRDefault="00A27256" w:rsidP="00A27256">
      <w:pPr>
        <w:jc w:val="both"/>
        <w:rPr>
          <w:sz w:val="20"/>
          <w:lang w:val="fr-CA"/>
        </w:rPr>
      </w:pPr>
      <w:r w:rsidRPr="00472807">
        <w:rPr>
          <w:sz w:val="20"/>
          <w:lang w:val="fr-CA"/>
        </w:rPr>
        <w:t>La demande d’autorisation d’appel de l’arrêt de la Cour d’appel du Québec (Montréal), numéros 200-09-010096-193, 500-09-028564-193, 500-09-028573-194 et 500-09-028577-195, 2022 QCCA 594, daté du 2 mai 2022, est rejetée avec dépens.</w:t>
      </w:r>
    </w:p>
    <w:p w:rsidR="00C210C4" w:rsidRPr="00472807" w:rsidRDefault="00C210C4" w:rsidP="00521042">
      <w:pPr>
        <w:widowControl w:val="0"/>
        <w:rPr>
          <w:sz w:val="20"/>
          <w:lang w:val="fr-CA"/>
        </w:rPr>
      </w:pPr>
    </w:p>
    <w:p w:rsidR="00A27256" w:rsidRPr="00472807" w:rsidRDefault="00A27256" w:rsidP="00A27256">
      <w:pPr>
        <w:jc w:val="both"/>
        <w:rPr>
          <w:sz w:val="20"/>
          <w:lang w:val="en-CA"/>
        </w:rPr>
      </w:pPr>
      <w:r w:rsidRPr="00472807">
        <w:rPr>
          <w:sz w:val="20"/>
          <w:lang w:val="en-CA"/>
        </w:rPr>
        <w:t xml:space="preserve">The application for leave to appeal from the judgment of the </w:t>
      </w:r>
      <w:r w:rsidRPr="00472807">
        <w:rPr>
          <w:sz w:val="20"/>
        </w:rPr>
        <w:t>Court of Appeal of Quebec (Montréal)</w:t>
      </w:r>
      <w:r w:rsidRPr="00472807">
        <w:rPr>
          <w:sz w:val="20"/>
          <w:lang w:val="en-CA"/>
        </w:rPr>
        <w:t xml:space="preserve">, Numbers </w:t>
      </w:r>
      <w:r w:rsidRPr="00472807">
        <w:rPr>
          <w:sz w:val="20"/>
        </w:rPr>
        <w:t>200-09-010096-193, 500-09-028564-193, 500-09-028573-194 and 500-09-028577-195</w:t>
      </w:r>
      <w:r w:rsidRPr="00472807">
        <w:rPr>
          <w:sz w:val="20"/>
          <w:lang w:val="en-CA"/>
        </w:rPr>
        <w:t xml:space="preserve">, </w:t>
      </w:r>
      <w:r w:rsidRPr="00472807">
        <w:rPr>
          <w:sz w:val="20"/>
        </w:rPr>
        <w:t xml:space="preserve">2022 QCCA 594, </w:t>
      </w:r>
      <w:r w:rsidRPr="00472807">
        <w:rPr>
          <w:sz w:val="20"/>
          <w:lang w:val="en-CA"/>
        </w:rPr>
        <w:t xml:space="preserve">dated </w:t>
      </w:r>
      <w:r w:rsidRPr="00472807">
        <w:rPr>
          <w:sz w:val="20"/>
        </w:rPr>
        <w:t>May 2, 2022,</w:t>
      </w:r>
      <w:r w:rsidRPr="00472807">
        <w:rPr>
          <w:sz w:val="20"/>
          <w:lang w:val="en-CA"/>
        </w:rPr>
        <w:t xml:space="preserve"> is dismissed with costs.</w:t>
      </w:r>
    </w:p>
    <w:p w:rsidR="00C210C4" w:rsidRPr="00472807" w:rsidRDefault="00C210C4" w:rsidP="00C210C4">
      <w:pPr>
        <w:widowControl w:val="0"/>
        <w:rPr>
          <w:sz w:val="20"/>
        </w:rPr>
      </w:pPr>
    </w:p>
    <w:p w:rsidR="00C210C4" w:rsidRPr="00472807" w:rsidRDefault="00667CE1" w:rsidP="00C210C4">
      <w:pPr>
        <w:widowControl w:val="0"/>
        <w:rPr>
          <w:sz w:val="20"/>
          <w:lang w:val="fr-CA"/>
        </w:rPr>
      </w:pPr>
      <w:r>
        <w:rPr>
          <w:sz w:val="20"/>
        </w:rPr>
        <w:pict>
          <v:rect id="_x0000_i1030" style="width:2in;height:1pt" o:hrpct="0" o:hralign="center" o:hrstd="t" o:hrnoshade="t" o:hr="t" fillcolor="black [3213]" stroked="f"/>
        </w:pict>
      </w:r>
    </w:p>
    <w:p w:rsidR="00C210C4" w:rsidRPr="00472807" w:rsidRDefault="00C210C4" w:rsidP="00C210C4">
      <w:pPr>
        <w:widowControl w:val="0"/>
        <w:rPr>
          <w:sz w:val="20"/>
          <w:lang w:val="fr-CA"/>
        </w:rPr>
      </w:pPr>
    </w:p>
    <w:p w:rsidR="00A27256" w:rsidRPr="00472807" w:rsidRDefault="00A27256" w:rsidP="00A27256">
      <w:pPr>
        <w:rPr>
          <w:sz w:val="22"/>
          <w:szCs w:val="22"/>
        </w:rPr>
      </w:pPr>
      <w:r w:rsidRPr="00472807">
        <w:rPr>
          <w:i/>
          <w:sz w:val="22"/>
          <w:szCs w:val="22"/>
        </w:rPr>
        <w:t>Glacier Media Inc. v. Jacob Reid Virtanen and His Majesty the King</w:t>
      </w:r>
      <w:r w:rsidRPr="00472807">
        <w:rPr>
          <w:sz w:val="22"/>
          <w:szCs w:val="22"/>
        </w:rPr>
        <w:t xml:space="preserve"> (B.C.) (Criminal) (By Leave) (</w:t>
      </w:r>
      <w:hyperlink r:id="rId13" w:history="1">
        <w:r w:rsidRPr="00472807">
          <w:rPr>
            <w:rStyle w:val="Hyperlink"/>
            <w:sz w:val="22"/>
            <w:szCs w:val="22"/>
          </w:rPr>
          <w:t>40286</w:t>
        </w:r>
      </w:hyperlink>
      <w:r w:rsidRPr="00472807">
        <w:rPr>
          <w:sz w:val="22"/>
          <w:szCs w:val="22"/>
        </w:rPr>
        <w:t>)</w:t>
      </w:r>
    </w:p>
    <w:p w:rsidR="00C210C4" w:rsidRPr="00472807" w:rsidRDefault="00C210C4" w:rsidP="00521042">
      <w:pPr>
        <w:widowControl w:val="0"/>
        <w:rPr>
          <w:sz w:val="20"/>
        </w:rPr>
      </w:pPr>
    </w:p>
    <w:p w:rsidR="00A27256" w:rsidRPr="00472807" w:rsidRDefault="00A27256" w:rsidP="00A27256">
      <w:pPr>
        <w:jc w:val="both"/>
        <w:rPr>
          <w:sz w:val="20"/>
        </w:rPr>
      </w:pPr>
      <w:r w:rsidRPr="00472807">
        <w:rPr>
          <w:sz w:val="20"/>
        </w:rPr>
        <w:t>The application for leave to appeal from the judgment of the Court of Appeal for British Columbia (Vancouver), Number CA48309, 2022 BCCA 246, dated June 21, 2022, is dismissed.</w:t>
      </w:r>
    </w:p>
    <w:p w:rsidR="00C210C4" w:rsidRPr="00472807" w:rsidRDefault="00C210C4" w:rsidP="00A27256">
      <w:pPr>
        <w:widowControl w:val="0"/>
        <w:jc w:val="both"/>
        <w:rPr>
          <w:sz w:val="20"/>
        </w:rPr>
      </w:pPr>
    </w:p>
    <w:p w:rsidR="00C210C4" w:rsidRPr="00472807" w:rsidRDefault="00A27256" w:rsidP="00A27256">
      <w:pPr>
        <w:widowControl w:val="0"/>
        <w:jc w:val="both"/>
        <w:rPr>
          <w:sz w:val="20"/>
          <w:lang w:val="fr-CA"/>
        </w:rPr>
      </w:pPr>
      <w:r w:rsidRPr="00472807">
        <w:rPr>
          <w:sz w:val="20"/>
          <w:lang w:val="fr-CA"/>
        </w:rPr>
        <w:t>La demande d’autorisation d’appel de l’arrêt de la Cour d’appel de la Colombie-Britannique (Vancouver), numéro CA48309, 2022 BCCA 246, daté du 21 juin 2022, est rejetée.</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31" style="width:2in;height:1pt" o:hrpct="0" o:hralign="center" o:hrstd="t" o:hrnoshade="t" o:hr="t" fillcolor="black [3213]" stroked="f"/>
        </w:pict>
      </w:r>
    </w:p>
    <w:p w:rsidR="00C210C4" w:rsidRPr="00472807" w:rsidRDefault="00C210C4" w:rsidP="00C210C4">
      <w:pPr>
        <w:widowControl w:val="0"/>
        <w:rPr>
          <w:sz w:val="20"/>
          <w:lang w:val="fr-CA"/>
        </w:rPr>
      </w:pPr>
    </w:p>
    <w:p w:rsidR="00A27256" w:rsidRPr="00472807" w:rsidRDefault="00A27256" w:rsidP="00A27256">
      <w:pPr>
        <w:rPr>
          <w:sz w:val="22"/>
          <w:szCs w:val="22"/>
        </w:rPr>
      </w:pPr>
      <w:r w:rsidRPr="00472807">
        <w:rPr>
          <w:i/>
          <w:sz w:val="22"/>
          <w:szCs w:val="22"/>
        </w:rPr>
        <w:t>Timothy Mullen and T.S. Mullen Farms Ltd. v. Judith Ann Murphy and Jason Andrew Murphy</w:t>
      </w:r>
      <w:r w:rsidRPr="00472807">
        <w:rPr>
          <w:sz w:val="22"/>
          <w:szCs w:val="22"/>
        </w:rPr>
        <w:t xml:space="preserve"> (Ont.) (Civil) (By Leave) (</w:t>
      </w:r>
      <w:hyperlink r:id="rId14" w:history="1">
        <w:r w:rsidRPr="00472807">
          <w:rPr>
            <w:rStyle w:val="Hyperlink"/>
            <w:sz w:val="22"/>
            <w:szCs w:val="22"/>
          </w:rPr>
          <w:t>40066</w:t>
        </w:r>
      </w:hyperlink>
      <w:r w:rsidRPr="00472807">
        <w:rPr>
          <w:sz w:val="22"/>
          <w:szCs w:val="22"/>
        </w:rPr>
        <w:t>)</w:t>
      </w:r>
    </w:p>
    <w:p w:rsidR="00C210C4" w:rsidRPr="00472807" w:rsidRDefault="00C210C4" w:rsidP="00521042">
      <w:pPr>
        <w:widowControl w:val="0"/>
        <w:rPr>
          <w:sz w:val="20"/>
        </w:rPr>
      </w:pPr>
    </w:p>
    <w:p w:rsidR="00A27256" w:rsidRPr="00472807" w:rsidRDefault="00A27256" w:rsidP="00A27256">
      <w:pPr>
        <w:jc w:val="both"/>
        <w:rPr>
          <w:sz w:val="20"/>
        </w:rPr>
      </w:pPr>
      <w:r w:rsidRPr="00472807">
        <w:rPr>
          <w:sz w:val="20"/>
        </w:rPr>
        <w:t>The application for leave to appeal from the judgment of the Court of Appeal for Ontario, Number C68513, 2021 ONCA 872, dated December 9, 2021, is dismissed with costs to the respondent, Judith Ann Murphy.</w:t>
      </w:r>
    </w:p>
    <w:p w:rsidR="00C210C4" w:rsidRPr="00472807" w:rsidRDefault="00C210C4" w:rsidP="00A27256">
      <w:pPr>
        <w:widowControl w:val="0"/>
        <w:jc w:val="both"/>
        <w:rPr>
          <w:sz w:val="20"/>
        </w:rPr>
      </w:pPr>
    </w:p>
    <w:p w:rsidR="00C210C4" w:rsidRPr="00472807" w:rsidRDefault="00A27256" w:rsidP="00A27256">
      <w:pPr>
        <w:widowControl w:val="0"/>
        <w:jc w:val="both"/>
        <w:rPr>
          <w:sz w:val="20"/>
          <w:lang w:val="fr-CA"/>
        </w:rPr>
      </w:pPr>
      <w:r w:rsidRPr="00472807">
        <w:rPr>
          <w:sz w:val="20"/>
          <w:lang w:val="fr-CA"/>
        </w:rPr>
        <w:t>La demande d’autorisation d’appel de l’arrêt de la Cour d’appel de l’Ontario, numéro C68513, 2021 ONCA 872, daté du 9 décembre 2021, est rejetée avec dépens en faveur de l’intimée, Judith Ann Murphy.</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32" style="width:2in;height:1pt" o:hrpct="0" o:hralign="center" o:hrstd="t" o:hrnoshade="t" o:hr="t" fillcolor="black [3213]" stroked="f"/>
        </w:pict>
      </w:r>
    </w:p>
    <w:p w:rsidR="00C210C4" w:rsidRPr="00472807" w:rsidRDefault="00C210C4" w:rsidP="00C210C4">
      <w:pPr>
        <w:widowControl w:val="0"/>
        <w:rPr>
          <w:sz w:val="20"/>
          <w:lang w:val="fr-CA"/>
        </w:rPr>
      </w:pPr>
    </w:p>
    <w:p w:rsidR="00A27256" w:rsidRPr="00472807" w:rsidRDefault="00A27256" w:rsidP="00A27256">
      <w:pPr>
        <w:rPr>
          <w:sz w:val="22"/>
          <w:szCs w:val="22"/>
        </w:rPr>
      </w:pPr>
      <w:r w:rsidRPr="00472807">
        <w:rPr>
          <w:i/>
          <w:sz w:val="22"/>
          <w:szCs w:val="22"/>
        </w:rPr>
        <w:t>Mohammed Tibilla v. Bank of Montreal</w:t>
      </w:r>
      <w:r w:rsidRPr="00472807">
        <w:rPr>
          <w:sz w:val="22"/>
          <w:szCs w:val="22"/>
        </w:rPr>
        <w:t xml:space="preserve"> (Que.) (Civil) (By Leave) (</w:t>
      </w:r>
      <w:hyperlink r:id="rId15" w:history="1">
        <w:r w:rsidRPr="00472807">
          <w:rPr>
            <w:rStyle w:val="Hyperlink"/>
            <w:sz w:val="22"/>
            <w:szCs w:val="22"/>
          </w:rPr>
          <w:t>40245</w:t>
        </w:r>
      </w:hyperlink>
      <w:r w:rsidRPr="00472807">
        <w:rPr>
          <w:sz w:val="22"/>
          <w:szCs w:val="22"/>
        </w:rPr>
        <w:t>)</w:t>
      </w:r>
    </w:p>
    <w:p w:rsidR="00C210C4" w:rsidRPr="00472807" w:rsidRDefault="00C210C4" w:rsidP="00521042">
      <w:pPr>
        <w:widowControl w:val="0"/>
        <w:rPr>
          <w:sz w:val="20"/>
        </w:rPr>
      </w:pPr>
    </w:p>
    <w:p w:rsidR="00A27256" w:rsidRPr="00472807" w:rsidRDefault="00A27256" w:rsidP="00472807">
      <w:pPr>
        <w:jc w:val="both"/>
        <w:rPr>
          <w:sz w:val="20"/>
        </w:rPr>
      </w:pPr>
      <w:r w:rsidRPr="00472807">
        <w:rPr>
          <w:sz w:val="20"/>
        </w:rPr>
        <w:t>The motion for an extension of time to serve and file the application for leave to appeal is granted. The application for leave to appeal from the judgment of the Court of Appeal of Quebec (Montréal), Number 500-09-029623-212, 2021 QCCA 1618, dated October 25, 2021, is dismissed with costs.</w:t>
      </w:r>
    </w:p>
    <w:p w:rsidR="00C210C4" w:rsidRPr="00472807" w:rsidRDefault="00C210C4" w:rsidP="00472807">
      <w:pPr>
        <w:widowControl w:val="0"/>
        <w:jc w:val="both"/>
        <w:rPr>
          <w:sz w:val="20"/>
        </w:rPr>
      </w:pPr>
    </w:p>
    <w:p w:rsidR="00C210C4" w:rsidRPr="00472807" w:rsidRDefault="00A27256" w:rsidP="00472807">
      <w:pPr>
        <w:widowControl w:val="0"/>
        <w:jc w:val="both"/>
        <w:rPr>
          <w:sz w:val="20"/>
          <w:lang w:val="fr-CA"/>
        </w:rPr>
      </w:pPr>
      <w:r w:rsidRPr="00472807">
        <w:rPr>
          <w:sz w:val="20"/>
          <w:lang w:val="fr-CA"/>
        </w:rPr>
        <w:t>La requête en prorogation du délai de signification et de dépôt de la demande d’autorisation d’appel est accueillie. La demande d’autorisation d’appel de l’arrêt de la Cour d’appel du Québec (Montréal), numéro 500-09-029623-212, 2021 QCCA 1618, daté du 25 octobre 2021, est rejetée avec dépens.</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33" style="width:2in;height:1pt" o:hrpct="0" o:hralign="center" o:hrstd="t" o:hrnoshade="t" o:hr="t" fillcolor="black [3213]" stroked="f"/>
        </w:pict>
      </w:r>
    </w:p>
    <w:p w:rsidR="00C210C4" w:rsidRPr="00472807" w:rsidRDefault="00C210C4" w:rsidP="00C210C4">
      <w:pPr>
        <w:widowControl w:val="0"/>
        <w:rPr>
          <w:sz w:val="20"/>
          <w:lang w:val="fr-CA"/>
        </w:rPr>
      </w:pPr>
    </w:p>
    <w:p w:rsidR="00472807" w:rsidRPr="00472807" w:rsidRDefault="00472807" w:rsidP="00472807">
      <w:pPr>
        <w:rPr>
          <w:sz w:val="22"/>
          <w:szCs w:val="22"/>
        </w:rPr>
      </w:pPr>
      <w:r w:rsidRPr="00472807">
        <w:rPr>
          <w:i/>
          <w:sz w:val="22"/>
          <w:szCs w:val="22"/>
        </w:rPr>
        <w:t>Michael Lawrence Perdelwitz (Smith) v. Vivian Ammar</w:t>
      </w:r>
      <w:r w:rsidRPr="00472807">
        <w:rPr>
          <w:sz w:val="22"/>
          <w:szCs w:val="22"/>
        </w:rPr>
        <w:t xml:space="preserve"> (Ont.) (Civil) (By Leave) (</w:t>
      </w:r>
      <w:hyperlink r:id="rId16" w:history="1">
        <w:r w:rsidRPr="00472807">
          <w:rPr>
            <w:rStyle w:val="Hyperlink"/>
            <w:sz w:val="22"/>
            <w:szCs w:val="22"/>
          </w:rPr>
          <w:t>40344</w:t>
        </w:r>
      </w:hyperlink>
      <w:r w:rsidRPr="00472807">
        <w:rPr>
          <w:sz w:val="22"/>
          <w:szCs w:val="22"/>
        </w:rPr>
        <w:t>)</w:t>
      </w:r>
    </w:p>
    <w:p w:rsidR="00C210C4" w:rsidRPr="00472807" w:rsidRDefault="00C210C4" w:rsidP="00521042">
      <w:pPr>
        <w:widowControl w:val="0"/>
        <w:rPr>
          <w:sz w:val="20"/>
        </w:rPr>
      </w:pPr>
    </w:p>
    <w:p w:rsidR="00472807" w:rsidRPr="00472807" w:rsidRDefault="00472807" w:rsidP="00472807">
      <w:pPr>
        <w:jc w:val="both"/>
        <w:rPr>
          <w:sz w:val="20"/>
        </w:rPr>
      </w:pPr>
      <w:r w:rsidRPr="00472807">
        <w:rPr>
          <w:sz w:val="20"/>
        </w:rPr>
        <w:t>The motion to adduce new evidence is dismissed. The application for leave to appeal from the judgment of the Court of Appeal for Ontario, Number M53062 (C69572), 2022 ONCA 425, dated May 26, 2022, is dismissed with costs.</w:t>
      </w:r>
    </w:p>
    <w:p w:rsidR="00C210C4" w:rsidRPr="00472807" w:rsidRDefault="00C210C4" w:rsidP="00472807">
      <w:pPr>
        <w:widowControl w:val="0"/>
        <w:jc w:val="both"/>
        <w:rPr>
          <w:sz w:val="20"/>
        </w:rPr>
      </w:pPr>
    </w:p>
    <w:p w:rsidR="00C210C4" w:rsidRPr="00472807" w:rsidRDefault="00472807" w:rsidP="00472807">
      <w:pPr>
        <w:widowControl w:val="0"/>
        <w:jc w:val="both"/>
        <w:rPr>
          <w:sz w:val="20"/>
          <w:lang w:val="fr-CA"/>
        </w:rPr>
      </w:pPr>
      <w:r w:rsidRPr="00472807">
        <w:rPr>
          <w:sz w:val="20"/>
          <w:lang w:val="fr-CA"/>
        </w:rPr>
        <w:t>La requête pour présenter de nouveaux éléments de preuve est rejetée. La demande d’autorisation d’appel de l’arrêt de la Cour d’appel de l’Ontario, numéro M53062 (C69572), 2022 ONCA 425, daté du 26 mai 2022, est rejetée avec dépens.</w:t>
      </w:r>
    </w:p>
    <w:p w:rsidR="00C210C4" w:rsidRPr="00472807" w:rsidRDefault="00C210C4" w:rsidP="00C210C4">
      <w:pPr>
        <w:widowControl w:val="0"/>
        <w:rPr>
          <w:sz w:val="20"/>
          <w:lang w:val="fr-CA"/>
        </w:rPr>
      </w:pPr>
    </w:p>
    <w:p w:rsidR="00C210C4" w:rsidRPr="00472807" w:rsidRDefault="00667CE1" w:rsidP="00C210C4">
      <w:pPr>
        <w:widowControl w:val="0"/>
        <w:rPr>
          <w:sz w:val="20"/>
          <w:lang w:val="fr-CA"/>
        </w:rPr>
      </w:pPr>
      <w:r>
        <w:rPr>
          <w:sz w:val="20"/>
        </w:rPr>
        <w:pict>
          <v:rect id="_x0000_i1034" style="width:2in;height:1pt" o:hrpct="0" o:hralign="center" o:hrstd="t" o:hrnoshade="t" o:hr="t" fillcolor="black [3213]" stroked="f"/>
        </w:pict>
      </w:r>
    </w:p>
    <w:p w:rsidR="007D7A59" w:rsidRPr="00472807" w:rsidRDefault="007D7A59" w:rsidP="00872CB5">
      <w:pPr>
        <w:widowControl w:val="0"/>
        <w:rPr>
          <w:sz w:val="20"/>
        </w:rPr>
      </w:pPr>
      <w:bookmarkStart w:id="1" w:name="_GoBack"/>
      <w:bookmarkEnd w:id="1"/>
    </w:p>
    <w:p w:rsidR="00E03F01" w:rsidRPr="00472807" w:rsidRDefault="00E03F01" w:rsidP="00B708E5">
      <w:pPr>
        <w:widowControl w:val="0"/>
        <w:rPr>
          <w:sz w:val="20"/>
        </w:rPr>
      </w:pPr>
    </w:p>
    <w:p w:rsidR="00A30607" w:rsidRPr="00472807" w:rsidRDefault="00A30607" w:rsidP="00D3228D">
      <w:pPr>
        <w:ind w:left="357" w:hanging="357"/>
        <w:jc w:val="both"/>
        <w:rPr>
          <w:sz w:val="20"/>
        </w:rPr>
      </w:pPr>
    </w:p>
    <w:p w:rsidR="00D3344A" w:rsidRPr="00472807" w:rsidRDefault="00D3344A" w:rsidP="00D3344A">
      <w:pPr>
        <w:widowControl w:val="0"/>
        <w:outlineLvl w:val="0"/>
      </w:pPr>
      <w:r w:rsidRPr="00472807">
        <w:t xml:space="preserve">Supreme Court of Canada / Cour suprême du </w:t>
      </w:r>
      <w:proofErr w:type="gramStart"/>
      <w:r w:rsidRPr="00472807">
        <w:t>Canada :</w:t>
      </w:r>
      <w:proofErr w:type="gramEnd"/>
      <w:r w:rsidRPr="00472807">
        <w:t xml:space="preserve"> </w:t>
      </w:r>
    </w:p>
    <w:p w:rsidR="00D3344A" w:rsidRPr="00472807" w:rsidRDefault="00667CE1" w:rsidP="00D3344A">
      <w:pPr>
        <w:widowControl w:val="0"/>
        <w:outlineLvl w:val="0"/>
        <w:rPr>
          <w:color w:val="0000FF"/>
          <w:u w:val="single"/>
        </w:rPr>
      </w:pPr>
      <w:hyperlink r:id="rId17" w:history="1">
        <w:r w:rsidR="00D3344A" w:rsidRPr="00472807">
          <w:rPr>
            <w:rStyle w:val="Hyperlink"/>
          </w:rPr>
          <w:t>comments-commentaires@scc-csc.ca</w:t>
        </w:r>
      </w:hyperlink>
    </w:p>
    <w:p w:rsidR="00D3344A" w:rsidRPr="00472807" w:rsidRDefault="00D3344A" w:rsidP="00D3344A">
      <w:pPr>
        <w:widowControl w:val="0"/>
        <w:outlineLvl w:val="0"/>
      </w:pPr>
      <w:r w:rsidRPr="00472807">
        <w:t>(613) 995-4330</w:t>
      </w:r>
    </w:p>
    <w:p w:rsidR="00497B5E" w:rsidRPr="00472807" w:rsidRDefault="00497B5E" w:rsidP="00497B5E">
      <w:pPr>
        <w:widowControl w:val="0"/>
        <w:rPr>
          <w:sz w:val="20"/>
        </w:rPr>
      </w:pPr>
    </w:p>
    <w:p w:rsidR="003F43E6" w:rsidRPr="00472807" w:rsidRDefault="003F43E6" w:rsidP="00497B5E">
      <w:pPr>
        <w:widowControl w:val="0"/>
        <w:rPr>
          <w:sz w:val="20"/>
        </w:rPr>
      </w:pPr>
    </w:p>
    <w:p w:rsidR="00224F26" w:rsidRPr="00910AEC" w:rsidRDefault="003F43E6" w:rsidP="00DE0F77">
      <w:pPr>
        <w:pStyle w:val="Footer"/>
        <w:jc w:val="center"/>
      </w:pPr>
      <w:r w:rsidRPr="00472807">
        <w:t>- 30</w:t>
      </w:r>
      <w:r w:rsidR="00312438" w:rsidRPr="00472807">
        <w:t xml:space="preserve"> -</w:t>
      </w:r>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29"/>
  </w:num>
  <w:num w:numId="5">
    <w:abstractNumId w:val="22"/>
  </w:num>
  <w:num w:numId="6">
    <w:abstractNumId w:val="12"/>
  </w:num>
  <w:num w:numId="7">
    <w:abstractNumId w:val="20"/>
  </w:num>
  <w:num w:numId="8">
    <w:abstractNumId w:val="17"/>
  </w:num>
  <w:num w:numId="9">
    <w:abstractNumId w:val="1"/>
  </w:num>
  <w:num w:numId="10">
    <w:abstractNumId w:val="15"/>
  </w:num>
  <w:num w:numId="11">
    <w:abstractNumId w:val="27"/>
  </w:num>
  <w:num w:numId="12">
    <w:abstractNumId w:val="16"/>
  </w:num>
  <w:num w:numId="13">
    <w:abstractNumId w:val="10"/>
  </w:num>
  <w:num w:numId="14">
    <w:abstractNumId w:val="13"/>
  </w:num>
  <w:num w:numId="15">
    <w:abstractNumId w:val="9"/>
  </w:num>
  <w:num w:numId="16">
    <w:abstractNumId w:val="18"/>
  </w:num>
  <w:num w:numId="17">
    <w:abstractNumId w:val="23"/>
  </w:num>
  <w:num w:numId="18">
    <w:abstractNumId w:val="19"/>
  </w:num>
  <w:num w:numId="19">
    <w:abstractNumId w:val="32"/>
  </w:num>
  <w:num w:numId="20">
    <w:abstractNumId w:val="0"/>
  </w:num>
  <w:num w:numId="21">
    <w:abstractNumId w:val="6"/>
  </w:num>
  <w:num w:numId="22">
    <w:abstractNumId w:val="4"/>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3"/>
  </w:num>
  <w:num w:numId="28">
    <w:abstractNumId w:val="26"/>
  </w:num>
  <w:num w:numId="29">
    <w:abstractNumId w:val="25"/>
  </w:num>
  <w:num w:numId="30">
    <w:abstractNumId w:val="5"/>
  </w:num>
  <w:num w:numId="31">
    <w:abstractNumId w:val="30"/>
  </w:num>
  <w:num w:numId="32">
    <w:abstractNumId w:val="31"/>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CE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B68E7"/>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76" TargetMode="External"/><Relationship Id="rId13" Type="http://schemas.openxmlformats.org/officeDocument/2006/relationships/hyperlink" Target="https://www.scc-csc.ca/case-dossier/info/sum-som-eng.aspx?cas=402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fra.aspx?cas=40298"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34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5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245" TargetMode="External"/><Relationship Id="rId23" Type="http://schemas.openxmlformats.org/officeDocument/2006/relationships/footer" Target="footer3.xml"/><Relationship Id="rId10" Type="http://schemas.openxmlformats.org/officeDocument/2006/relationships/hyperlink" Target="https://www.scc-csc.ca/case-dossier/info/sum-som-eng.aspx?cas=4024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405" TargetMode="External"/><Relationship Id="rId14" Type="http://schemas.openxmlformats.org/officeDocument/2006/relationships/hyperlink" Target="https://www.scc-csc.ca/case-dossier/info/sum-som-eng.aspx?cas=4006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BE22-3594-4B95-AEE3-EE2FCF2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2023-02-23T12:59:00Z</dcterms:modified>
</cp:coreProperties>
</file>