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B122CA" w:rsidRDefault="001C4415" w:rsidP="001C4415">
      <w:pPr>
        <w:pStyle w:val="Header"/>
        <w:jc w:val="center"/>
        <w:rPr>
          <w:b/>
          <w:sz w:val="32"/>
        </w:rPr>
      </w:pPr>
      <w:r w:rsidRPr="00B122CA">
        <w:rPr>
          <w:b/>
          <w:sz w:val="32"/>
        </w:rPr>
        <w:t>Supreme Court of Canada / Cour suprême du Canada</w:t>
      </w:r>
    </w:p>
    <w:p w:rsidR="001C4415" w:rsidRPr="00B122CA" w:rsidRDefault="001C4415" w:rsidP="001C4415">
      <w:pPr>
        <w:widowControl w:val="0"/>
        <w:rPr>
          <w:i/>
        </w:rPr>
      </w:pPr>
    </w:p>
    <w:p w:rsidR="001C4415" w:rsidRPr="00B122CA" w:rsidRDefault="001C4415" w:rsidP="001C4415">
      <w:pPr>
        <w:widowControl w:val="0"/>
        <w:rPr>
          <w:i/>
        </w:rPr>
      </w:pPr>
    </w:p>
    <w:p w:rsidR="001C4415" w:rsidRPr="00B122CA" w:rsidRDefault="001C4415" w:rsidP="001C4415">
      <w:pPr>
        <w:widowControl w:val="0"/>
        <w:rPr>
          <w:i/>
        </w:rPr>
      </w:pPr>
      <w:r w:rsidRPr="00B122CA">
        <w:rPr>
          <w:i/>
        </w:rPr>
        <w:t>(le français suit)</w:t>
      </w:r>
    </w:p>
    <w:p w:rsidR="001C4415" w:rsidRPr="00B122CA" w:rsidRDefault="001C4415" w:rsidP="001C4415">
      <w:pPr>
        <w:widowControl w:val="0"/>
      </w:pPr>
    </w:p>
    <w:p w:rsidR="001C4415" w:rsidRPr="00B122CA" w:rsidRDefault="000347C1" w:rsidP="00214729">
      <w:pPr>
        <w:widowControl w:val="0"/>
        <w:jc w:val="center"/>
        <w:rPr>
          <w:b/>
        </w:rPr>
      </w:pPr>
      <w:r w:rsidRPr="00B122CA">
        <w:fldChar w:fldCharType="begin"/>
      </w:r>
      <w:r w:rsidR="00FA7412" w:rsidRPr="00B122CA">
        <w:instrText xml:space="preserve"> SEQ CHAPTER \h \r 1</w:instrText>
      </w:r>
      <w:r w:rsidRPr="00B122CA">
        <w:fldChar w:fldCharType="end"/>
      </w:r>
      <w:r w:rsidR="006545ED" w:rsidRPr="00B122CA">
        <w:rPr>
          <w:b/>
        </w:rPr>
        <w:t>REASONS FOR J</w:t>
      </w:r>
      <w:r w:rsidR="00455BB9" w:rsidRPr="00B122CA">
        <w:rPr>
          <w:b/>
        </w:rPr>
        <w:t>UDGMENT</w:t>
      </w:r>
      <w:r w:rsidR="00FA7412" w:rsidRPr="00B122CA">
        <w:rPr>
          <w:b/>
        </w:rPr>
        <w:t xml:space="preserve"> TO BE RENDERED IN APPEA</w:t>
      </w:r>
      <w:r w:rsidR="00342E49" w:rsidRPr="00B122CA">
        <w:rPr>
          <w:b/>
        </w:rPr>
        <w:t>L</w:t>
      </w:r>
    </w:p>
    <w:p w:rsidR="005A7C1B" w:rsidRPr="00B122CA" w:rsidRDefault="005A7C1B" w:rsidP="005A7C1B">
      <w:pPr>
        <w:widowControl w:val="0"/>
      </w:pPr>
    </w:p>
    <w:p w:rsidR="00EC79B0" w:rsidRPr="00B122CA" w:rsidRDefault="005273F5" w:rsidP="00EC79B0">
      <w:pPr>
        <w:widowControl w:val="0"/>
        <w:rPr>
          <w:b/>
        </w:rPr>
      </w:pPr>
      <w:r w:rsidRPr="00B122CA">
        <w:rPr>
          <w:b/>
        </w:rPr>
        <w:t>February</w:t>
      </w:r>
      <w:r w:rsidR="00C86395" w:rsidRPr="00B122CA">
        <w:rPr>
          <w:b/>
        </w:rPr>
        <w:t xml:space="preserve"> </w:t>
      </w:r>
      <w:r w:rsidRPr="00B122CA">
        <w:rPr>
          <w:b/>
        </w:rPr>
        <w:t>27</w:t>
      </w:r>
      <w:r w:rsidR="00EC79B0" w:rsidRPr="00B122CA">
        <w:rPr>
          <w:b/>
        </w:rPr>
        <w:t>, 20</w:t>
      </w:r>
      <w:r w:rsidR="00690520" w:rsidRPr="00B122CA">
        <w:rPr>
          <w:b/>
        </w:rPr>
        <w:t>2</w:t>
      </w:r>
      <w:r w:rsidRPr="00B122CA">
        <w:rPr>
          <w:b/>
        </w:rPr>
        <w:t>3</w:t>
      </w:r>
    </w:p>
    <w:p w:rsidR="00EC79B0" w:rsidRPr="00B122CA" w:rsidRDefault="00EC79B0" w:rsidP="00EC79B0">
      <w:pPr>
        <w:widowControl w:val="0"/>
        <w:rPr>
          <w:b/>
        </w:rPr>
      </w:pPr>
      <w:r w:rsidRPr="00B122CA">
        <w:rPr>
          <w:b/>
        </w:rPr>
        <w:t>For immediate release</w:t>
      </w:r>
    </w:p>
    <w:p w:rsidR="00EC79B0" w:rsidRPr="00B122CA" w:rsidRDefault="00EC79B0" w:rsidP="00EC79B0">
      <w:pPr>
        <w:widowControl w:val="0"/>
      </w:pPr>
    </w:p>
    <w:p w:rsidR="00EC79B0" w:rsidRPr="00B122CA" w:rsidRDefault="00EC79B0" w:rsidP="00EC79B0">
      <w:pPr>
        <w:widowControl w:val="0"/>
        <w:rPr>
          <w:lang w:val="fr-CA"/>
        </w:rPr>
      </w:pPr>
      <w:r w:rsidRPr="00B122CA">
        <w:rPr>
          <w:b/>
        </w:rPr>
        <w:t>OTTAWA</w:t>
      </w:r>
      <w:r w:rsidRPr="00B122CA">
        <w:t xml:space="preserve"> –</w:t>
      </w:r>
      <w:r w:rsidR="00C73BB2" w:rsidRPr="00B122CA">
        <w:t xml:space="preserve"> On </w:t>
      </w:r>
      <w:r w:rsidR="008C333C">
        <w:t>F</w:t>
      </w:r>
      <w:r w:rsidR="00A13327" w:rsidRPr="00B122CA">
        <w:t>e</w:t>
      </w:r>
      <w:r w:rsidR="008C333C">
        <w:t>b</w:t>
      </w:r>
      <w:r w:rsidR="00A13327" w:rsidRPr="00B122CA">
        <w:t>r</w:t>
      </w:r>
      <w:r w:rsidR="008C333C">
        <w:t>uary</w:t>
      </w:r>
      <w:r w:rsidR="00C73BB2" w:rsidRPr="00B122CA">
        <w:t xml:space="preserve"> </w:t>
      </w:r>
      <w:r w:rsidR="005273F5" w:rsidRPr="00B122CA">
        <w:t>14</w:t>
      </w:r>
      <w:r w:rsidR="00C73BB2" w:rsidRPr="00B122CA">
        <w:t>, 20</w:t>
      </w:r>
      <w:r w:rsidR="002674CC" w:rsidRPr="00B122CA">
        <w:t>2</w:t>
      </w:r>
      <w:r w:rsidR="008C333C">
        <w:t>3</w:t>
      </w:r>
      <w:r w:rsidR="00C73BB2" w:rsidRPr="00B122CA">
        <w:t xml:space="preserve">, the Supreme Court of Canada </w:t>
      </w:r>
      <w:r w:rsidR="00782B59" w:rsidRPr="00B122CA">
        <w:t>allowed</w:t>
      </w:r>
      <w:r w:rsidR="00C73BB2" w:rsidRPr="00B122CA">
        <w:t xml:space="preserve"> the appeal</w:t>
      </w:r>
      <w:r w:rsidR="00AE3866" w:rsidRPr="00B122CA">
        <w:t xml:space="preserve">, </w:t>
      </w:r>
      <w:r w:rsidR="00C73BB2" w:rsidRPr="00B122CA">
        <w:t>with reasons to follow in the following appeal. The reasons for judgment will be delivered at 9:45 a.m. E</w:t>
      </w:r>
      <w:r w:rsidR="007B20D2">
        <w:t>S</w:t>
      </w:r>
      <w:bookmarkStart w:id="0" w:name="_GoBack"/>
      <w:bookmarkEnd w:id="0"/>
      <w:r w:rsidR="00C73BB2" w:rsidRPr="00B122CA">
        <w:t xml:space="preserve">T on </w:t>
      </w:r>
      <w:r w:rsidR="009C7B0C" w:rsidRPr="00B122CA">
        <w:t>Friday</w:t>
      </w:r>
      <w:r w:rsidR="00C73BB2" w:rsidRPr="00B122CA">
        <w:t xml:space="preserve">, </w:t>
      </w:r>
      <w:r w:rsidR="005273F5" w:rsidRPr="00B122CA">
        <w:t>March</w:t>
      </w:r>
      <w:r w:rsidR="00C73BB2" w:rsidRPr="00B122CA">
        <w:t xml:space="preserve"> </w:t>
      </w:r>
      <w:r w:rsidR="005273F5" w:rsidRPr="00B122CA">
        <w:t>3</w:t>
      </w:r>
      <w:r w:rsidR="00C73BB2" w:rsidRPr="00B122CA">
        <w:t>, 20</w:t>
      </w:r>
      <w:r w:rsidR="00690520" w:rsidRPr="00B122CA">
        <w:t>2</w:t>
      </w:r>
      <w:r w:rsidR="005273F5" w:rsidRPr="00B122CA">
        <w:t>3</w:t>
      </w:r>
      <w:r w:rsidR="00C73BB2" w:rsidRPr="00B122CA">
        <w:t xml:space="preserve">. </w:t>
      </w:r>
      <w:r w:rsidR="00C73BB2" w:rsidRPr="00B122CA">
        <w:rPr>
          <w:lang w:val="fr-CA"/>
        </w:rPr>
        <w:t>T</w:t>
      </w:r>
      <w:r w:rsidR="00455BB9" w:rsidRPr="00B122CA">
        <w:rPr>
          <w:lang w:val="fr-CA"/>
        </w:rPr>
        <w:t>his</w:t>
      </w:r>
      <w:r w:rsidRPr="00B122CA">
        <w:rPr>
          <w:lang w:val="fr-CA"/>
        </w:rPr>
        <w:t xml:space="preserve"> list is subject to change.</w:t>
      </w:r>
    </w:p>
    <w:p w:rsidR="001C4415" w:rsidRPr="00B122CA" w:rsidRDefault="001C4415" w:rsidP="001C4415">
      <w:pPr>
        <w:widowControl w:val="0"/>
        <w:rPr>
          <w:lang w:val="fr-CA"/>
        </w:rPr>
      </w:pPr>
    </w:p>
    <w:p w:rsidR="00AB491A" w:rsidRPr="00B122CA" w:rsidRDefault="00AB491A" w:rsidP="001C4415">
      <w:pPr>
        <w:widowControl w:val="0"/>
        <w:rPr>
          <w:lang w:val="fr-CA"/>
        </w:rPr>
      </w:pPr>
    </w:p>
    <w:p w:rsidR="001335A1" w:rsidRPr="00B122CA" w:rsidRDefault="001335A1" w:rsidP="001335A1">
      <w:pPr>
        <w:widowControl w:val="0"/>
        <w:jc w:val="center"/>
        <w:rPr>
          <w:b/>
          <w:lang w:val="fr-CA"/>
        </w:rPr>
      </w:pPr>
      <w:r w:rsidRPr="00B122CA">
        <w:rPr>
          <w:b/>
          <w:lang w:val="fr-CA"/>
        </w:rPr>
        <w:t>PROCHAIN</w:t>
      </w:r>
      <w:r w:rsidR="006545ED" w:rsidRPr="00B122CA">
        <w:rPr>
          <w:b/>
          <w:lang w:val="fr-CA"/>
        </w:rPr>
        <w:t>S MOTIFS DE</w:t>
      </w:r>
      <w:r w:rsidRPr="00B122CA">
        <w:rPr>
          <w:b/>
          <w:lang w:val="fr-CA"/>
        </w:rPr>
        <w:t xml:space="preserve"> JUGEMENT</w:t>
      </w:r>
      <w:r w:rsidR="00455BB9" w:rsidRPr="00B122CA">
        <w:rPr>
          <w:b/>
          <w:lang w:val="fr-CA"/>
        </w:rPr>
        <w:t xml:space="preserve"> SUR APPEL</w:t>
      </w:r>
    </w:p>
    <w:p w:rsidR="001335A1" w:rsidRPr="00B122CA" w:rsidRDefault="001335A1" w:rsidP="001335A1">
      <w:pPr>
        <w:widowControl w:val="0"/>
        <w:rPr>
          <w:lang w:val="fr-CA"/>
        </w:rPr>
      </w:pPr>
    </w:p>
    <w:p w:rsidR="00EC79B0" w:rsidRPr="00B122CA" w:rsidRDefault="00EC79B0" w:rsidP="00EC79B0">
      <w:pPr>
        <w:widowControl w:val="0"/>
        <w:rPr>
          <w:b/>
          <w:lang w:val="fr-CA"/>
        </w:rPr>
      </w:pPr>
      <w:r w:rsidRPr="00B122CA">
        <w:rPr>
          <w:b/>
          <w:lang w:val="fr-CA"/>
        </w:rPr>
        <w:t xml:space="preserve">Le </w:t>
      </w:r>
      <w:r w:rsidR="005273F5" w:rsidRPr="00B122CA">
        <w:rPr>
          <w:b/>
          <w:lang w:val="fr-CA"/>
        </w:rPr>
        <w:t>27</w:t>
      </w:r>
      <w:r w:rsidR="002674CC" w:rsidRPr="00B122CA">
        <w:rPr>
          <w:b/>
          <w:lang w:val="fr-CA"/>
        </w:rPr>
        <w:t xml:space="preserve"> </w:t>
      </w:r>
      <w:r w:rsidR="005273F5" w:rsidRPr="00B122CA">
        <w:rPr>
          <w:b/>
          <w:lang w:val="fr-CA"/>
        </w:rPr>
        <w:t>février</w:t>
      </w:r>
      <w:r w:rsidR="00B1627A" w:rsidRPr="00B122CA">
        <w:rPr>
          <w:b/>
          <w:lang w:val="fr-CA"/>
        </w:rPr>
        <w:t xml:space="preserve"> </w:t>
      </w:r>
      <w:r w:rsidR="0086609D" w:rsidRPr="00B122CA">
        <w:rPr>
          <w:b/>
          <w:lang w:val="fr-CA"/>
        </w:rPr>
        <w:t>20</w:t>
      </w:r>
      <w:r w:rsidR="00690520" w:rsidRPr="00B122CA">
        <w:rPr>
          <w:b/>
          <w:lang w:val="fr-CA"/>
        </w:rPr>
        <w:t>2</w:t>
      </w:r>
      <w:r w:rsidR="005273F5" w:rsidRPr="00B122CA">
        <w:rPr>
          <w:b/>
          <w:lang w:val="fr-CA"/>
        </w:rPr>
        <w:t>3</w:t>
      </w:r>
    </w:p>
    <w:p w:rsidR="00EC79B0" w:rsidRPr="00B122CA" w:rsidRDefault="00EC79B0" w:rsidP="00EC79B0">
      <w:pPr>
        <w:widowControl w:val="0"/>
        <w:rPr>
          <w:b/>
          <w:lang w:val="fr-CA"/>
        </w:rPr>
      </w:pPr>
      <w:r w:rsidRPr="00B122CA">
        <w:rPr>
          <w:b/>
          <w:lang w:val="fr-CA"/>
        </w:rPr>
        <w:t>Pour diffusion immédiate</w:t>
      </w:r>
    </w:p>
    <w:p w:rsidR="00EC79B0" w:rsidRPr="00B122CA" w:rsidRDefault="00EC79B0" w:rsidP="00EC79B0">
      <w:pPr>
        <w:widowControl w:val="0"/>
        <w:rPr>
          <w:lang w:val="fr-CA"/>
        </w:rPr>
      </w:pPr>
    </w:p>
    <w:p w:rsidR="00EC79B0" w:rsidRPr="00B122CA" w:rsidRDefault="00EC79B0" w:rsidP="00EC79B0">
      <w:pPr>
        <w:widowControl w:val="0"/>
        <w:rPr>
          <w:lang w:val="fr-CA"/>
        </w:rPr>
      </w:pPr>
      <w:r w:rsidRPr="00B122CA">
        <w:rPr>
          <w:b/>
          <w:lang w:val="fr-CA"/>
        </w:rPr>
        <w:t>OTTAWA</w:t>
      </w:r>
      <w:r w:rsidR="00C73BB2" w:rsidRPr="00B122CA">
        <w:rPr>
          <w:lang w:val="fr-CA"/>
        </w:rPr>
        <w:t xml:space="preserve"> – Le </w:t>
      </w:r>
      <w:r w:rsidR="005273F5" w:rsidRPr="00B122CA">
        <w:rPr>
          <w:lang w:val="fr-CA"/>
        </w:rPr>
        <w:t>14</w:t>
      </w:r>
      <w:r w:rsidR="00C73BB2" w:rsidRPr="00B122CA">
        <w:rPr>
          <w:lang w:val="fr-CA"/>
        </w:rPr>
        <w:t xml:space="preserve"> </w:t>
      </w:r>
      <w:r w:rsidR="008C333C">
        <w:rPr>
          <w:lang w:val="fr-CA"/>
        </w:rPr>
        <w:t>f</w:t>
      </w:r>
      <w:r w:rsidR="00A13327" w:rsidRPr="00B122CA">
        <w:rPr>
          <w:lang w:val="fr-CA"/>
        </w:rPr>
        <w:t>é</w:t>
      </w:r>
      <w:r w:rsidR="008C333C">
        <w:rPr>
          <w:lang w:val="fr-CA"/>
        </w:rPr>
        <w:t>vrier</w:t>
      </w:r>
      <w:r w:rsidR="00C73BB2" w:rsidRPr="00B122CA">
        <w:rPr>
          <w:lang w:val="fr-CA"/>
        </w:rPr>
        <w:t xml:space="preserve"> 20</w:t>
      </w:r>
      <w:r w:rsidR="002674CC" w:rsidRPr="00B122CA">
        <w:rPr>
          <w:lang w:val="fr-CA"/>
        </w:rPr>
        <w:t>2</w:t>
      </w:r>
      <w:r w:rsidR="008C333C">
        <w:rPr>
          <w:lang w:val="fr-CA"/>
        </w:rPr>
        <w:t>3</w:t>
      </w:r>
      <w:r w:rsidR="00C73BB2" w:rsidRPr="00B122CA">
        <w:rPr>
          <w:lang w:val="fr-CA"/>
        </w:rPr>
        <w:t xml:space="preserve">, la Cour suprême du Canada a </w:t>
      </w:r>
      <w:r w:rsidR="00782B59" w:rsidRPr="00B122CA">
        <w:rPr>
          <w:lang w:val="fr-CA"/>
        </w:rPr>
        <w:t xml:space="preserve">accueilli </w:t>
      </w:r>
      <w:r w:rsidR="00C73BB2" w:rsidRPr="00B122CA">
        <w:rPr>
          <w:lang w:val="fr-CA"/>
        </w:rPr>
        <w:t>l</w:t>
      </w:r>
      <w:r w:rsidR="00A463BE" w:rsidRPr="00B122CA">
        <w:rPr>
          <w:lang w:val="fr-CA"/>
        </w:rPr>
        <w:t>’</w:t>
      </w:r>
      <w:r w:rsidR="00C73BB2" w:rsidRPr="00B122CA">
        <w:rPr>
          <w:lang w:val="fr-CA"/>
        </w:rPr>
        <w:t>appel</w:t>
      </w:r>
      <w:r w:rsidR="00AE3866" w:rsidRPr="00B122CA">
        <w:rPr>
          <w:lang w:val="fr-CA"/>
        </w:rPr>
        <w:t xml:space="preserve">, </w:t>
      </w:r>
      <w:r w:rsidR="00DB5074" w:rsidRPr="00B122CA">
        <w:rPr>
          <w:lang w:val="fr-CA"/>
        </w:rPr>
        <w:t>avec</w:t>
      </w:r>
      <w:r w:rsidR="00C73BB2" w:rsidRPr="00B122CA">
        <w:rPr>
          <w:lang w:val="fr-CA"/>
        </w:rPr>
        <w:t xml:space="preserve"> motifs à suivre </w:t>
      </w:r>
      <w:r w:rsidR="00C73BB2" w:rsidRPr="00B122CA">
        <w:rPr>
          <w:szCs w:val="24"/>
          <w:lang w:val="fr-CA"/>
        </w:rPr>
        <w:t>dans</w:t>
      </w:r>
      <w:r w:rsidR="001A02D9" w:rsidRPr="00B122CA">
        <w:rPr>
          <w:szCs w:val="24"/>
          <w:lang w:val="fr-CA"/>
        </w:rPr>
        <w:t xml:space="preserve"> l</w:t>
      </w:r>
      <w:r w:rsidR="00A463BE" w:rsidRPr="00B122CA">
        <w:rPr>
          <w:szCs w:val="24"/>
          <w:lang w:val="fr-CA"/>
        </w:rPr>
        <w:t>’</w:t>
      </w:r>
      <w:r w:rsidR="00C73BB2" w:rsidRPr="00B122CA">
        <w:rPr>
          <w:szCs w:val="24"/>
          <w:lang w:val="fr-CA"/>
        </w:rPr>
        <w:t>appel</w:t>
      </w:r>
      <w:r w:rsidR="00C73BB2" w:rsidRPr="00B122CA">
        <w:rPr>
          <w:lang w:val="fr-CA"/>
        </w:rPr>
        <w:t xml:space="preserve"> suivant. Ses motifs</w:t>
      </w:r>
      <w:r w:rsidR="006F57A6" w:rsidRPr="00B122CA">
        <w:rPr>
          <w:lang w:val="fr-CA"/>
        </w:rPr>
        <w:t xml:space="preserve"> de jugement seront déposés le </w:t>
      </w:r>
      <w:r w:rsidR="009C7B0C" w:rsidRPr="00B122CA">
        <w:rPr>
          <w:lang w:val="fr-CA"/>
        </w:rPr>
        <w:t>v</w:t>
      </w:r>
      <w:r w:rsidR="006F57A6" w:rsidRPr="00B122CA">
        <w:rPr>
          <w:lang w:val="fr-CA"/>
        </w:rPr>
        <w:t>e</w:t>
      </w:r>
      <w:r w:rsidR="009C7B0C" w:rsidRPr="00B122CA">
        <w:rPr>
          <w:lang w:val="fr-CA"/>
        </w:rPr>
        <w:t>ndre</w:t>
      </w:r>
      <w:r w:rsidR="006F57A6" w:rsidRPr="00B122CA">
        <w:rPr>
          <w:lang w:val="fr-CA"/>
        </w:rPr>
        <w:t>di</w:t>
      </w:r>
      <w:r w:rsidR="00C73BB2" w:rsidRPr="00B122CA">
        <w:rPr>
          <w:lang w:val="fr-CA"/>
        </w:rPr>
        <w:t xml:space="preserve"> </w:t>
      </w:r>
      <w:r w:rsidR="005273F5" w:rsidRPr="00B122CA">
        <w:rPr>
          <w:lang w:val="fr-CA"/>
        </w:rPr>
        <w:t>3</w:t>
      </w:r>
      <w:r w:rsidR="00C73BB2" w:rsidRPr="00B122CA">
        <w:rPr>
          <w:lang w:val="fr-CA"/>
        </w:rPr>
        <w:t xml:space="preserve"> </w:t>
      </w:r>
      <w:r w:rsidR="005273F5" w:rsidRPr="00B122CA">
        <w:rPr>
          <w:lang w:val="fr-CA"/>
        </w:rPr>
        <w:t>mars</w:t>
      </w:r>
      <w:r w:rsidR="00C73BB2" w:rsidRPr="00B122CA">
        <w:rPr>
          <w:lang w:val="fr-CA"/>
        </w:rPr>
        <w:t xml:space="preserve"> 20</w:t>
      </w:r>
      <w:r w:rsidR="00690520" w:rsidRPr="00B122CA">
        <w:rPr>
          <w:lang w:val="fr-CA"/>
        </w:rPr>
        <w:t>2</w:t>
      </w:r>
      <w:r w:rsidR="005273F5" w:rsidRPr="00B122CA">
        <w:rPr>
          <w:lang w:val="fr-CA"/>
        </w:rPr>
        <w:t>3</w:t>
      </w:r>
      <w:r w:rsidR="00C73BB2" w:rsidRPr="00B122CA">
        <w:rPr>
          <w:lang w:val="fr-CA"/>
        </w:rPr>
        <w:t>, à 9 h 45 H</w:t>
      </w:r>
      <w:r w:rsidR="007B20D2">
        <w:rPr>
          <w:lang w:val="fr-CA"/>
        </w:rPr>
        <w:t>N</w:t>
      </w:r>
      <w:r w:rsidR="00C73BB2" w:rsidRPr="00B122CA">
        <w:rPr>
          <w:lang w:val="fr-CA"/>
        </w:rPr>
        <w:t xml:space="preserve">E. </w:t>
      </w:r>
      <w:r w:rsidRPr="00B122CA">
        <w:rPr>
          <w:lang w:val="fr-CA"/>
        </w:rPr>
        <w:t>Cette liste est sujette à modifications.</w:t>
      </w:r>
    </w:p>
    <w:p w:rsidR="001335A1" w:rsidRPr="00B122CA" w:rsidRDefault="001335A1" w:rsidP="001335A1">
      <w:pPr>
        <w:widowControl w:val="0"/>
        <w:rPr>
          <w:szCs w:val="24"/>
          <w:lang w:val="fr-CA"/>
        </w:rPr>
      </w:pPr>
    </w:p>
    <w:p w:rsidR="0043481E" w:rsidRPr="00B122CA" w:rsidRDefault="007B20D2" w:rsidP="001335A1">
      <w:pPr>
        <w:widowControl w:val="0"/>
        <w:rPr>
          <w:szCs w:val="24"/>
          <w:lang w:val="fr-CA"/>
        </w:rPr>
      </w:pPr>
      <w:r>
        <w:rPr>
          <w:sz w:val="20"/>
        </w:rPr>
        <w:pict>
          <v:rect id="_x0000_i1025" style="width:2in;height:1pt" o:hrpct="0" o:hralign="center" o:hrstd="t" o:hrnoshade="t" o:hr="t" fillcolor="black [3213]" stroked="f"/>
        </w:pict>
      </w:r>
    </w:p>
    <w:p w:rsidR="001335A1" w:rsidRPr="00B122CA" w:rsidRDefault="001335A1" w:rsidP="001335A1">
      <w:pPr>
        <w:widowControl w:val="0"/>
        <w:rPr>
          <w:szCs w:val="24"/>
          <w:lang w:val="fr-CA"/>
        </w:rPr>
      </w:pPr>
    </w:p>
    <w:p w:rsidR="002674CC" w:rsidRPr="00B122CA" w:rsidRDefault="005273F5" w:rsidP="002674CC">
      <w:pPr>
        <w:widowControl w:val="0"/>
        <w:rPr>
          <w:szCs w:val="24"/>
        </w:rPr>
      </w:pPr>
      <w:r w:rsidRPr="00B122CA">
        <w:rPr>
          <w:i/>
          <w:iCs/>
          <w:szCs w:val="24"/>
        </w:rPr>
        <w:t xml:space="preserve">Shawn Metzger v. His Majesty the King </w:t>
      </w:r>
      <w:r w:rsidR="002B4219" w:rsidRPr="00B122CA">
        <w:rPr>
          <w:szCs w:val="24"/>
        </w:rPr>
        <w:t>(</w:t>
      </w:r>
      <w:r w:rsidRPr="00B122CA">
        <w:rPr>
          <w:szCs w:val="24"/>
        </w:rPr>
        <w:t>Alta</w:t>
      </w:r>
      <w:r w:rsidR="002B4219" w:rsidRPr="00B122CA">
        <w:rPr>
          <w:szCs w:val="24"/>
        </w:rPr>
        <w:t>.)</w:t>
      </w:r>
      <w:r w:rsidR="002674CC" w:rsidRPr="00B122CA">
        <w:rPr>
          <w:szCs w:val="24"/>
        </w:rPr>
        <w:t xml:space="preserve"> (</w:t>
      </w:r>
      <w:hyperlink r:id="rId7" w:history="1">
        <w:r w:rsidRPr="00B122CA">
          <w:rPr>
            <w:rStyle w:val="Hyperlink"/>
            <w:szCs w:val="24"/>
          </w:rPr>
          <w:t>40285</w:t>
        </w:r>
      </w:hyperlink>
      <w:r w:rsidR="002674CC" w:rsidRPr="00B122CA">
        <w:rPr>
          <w:szCs w:val="24"/>
        </w:rPr>
        <w:t>)</w:t>
      </w:r>
    </w:p>
    <w:p w:rsidR="002674CC" w:rsidRPr="00B122CA" w:rsidRDefault="002674CC" w:rsidP="00340C6D">
      <w:pPr>
        <w:jc w:val="both"/>
        <w:rPr>
          <w:sz w:val="20"/>
        </w:rPr>
      </w:pPr>
    </w:p>
    <w:p w:rsidR="00B1627A" w:rsidRPr="00B122CA" w:rsidRDefault="00B1627A" w:rsidP="00340C6D">
      <w:pPr>
        <w:jc w:val="both"/>
        <w:rPr>
          <w:sz w:val="20"/>
        </w:rPr>
      </w:pPr>
    </w:p>
    <w:p w:rsidR="005273F5" w:rsidRPr="00B122CA" w:rsidRDefault="005273F5" w:rsidP="005273F5">
      <w:pPr>
        <w:widowControl w:val="0"/>
        <w:ind w:left="709" w:hanging="709"/>
        <w:jc w:val="both"/>
        <w:rPr>
          <w:b/>
          <w:i/>
          <w:sz w:val="20"/>
          <w:lang w:eastAsia="en-CA"/>
        </w:rPr>
      </w:pPr>
      <w:bookmarkStart w:id="1" w:name="1"/>
      <w:bookmarkEnd w:id="1"/>
      <w:r w:rsidRPr="00B122CA">
        <w:rPr>
          <w:b/>
          <w:sz w:val="20"/>
          <w:lang w:val="en-CA" w:eastAsia="en-CA"/>
        </w:rPr>
        <w:t>40285</w:t>
      </w:r>
      <w:r w:rsidRPr="00B122CA">
        <w:rPr>
          <w:sz w:val="20"/>
          <w:lang w:val="en-CA" w:eastAsia="en-CA"/>
        </w:rPr>
        <w:fldChar w:fldCharType="begin"/>
      </w:r>
      <w:r w:rsidRPr="00B122CA">
        <w:rPr>
          <w:sz w:val="20"/>
          <w:lang w:eastAsia="en-CA"/>
        </w:rPr>
        <w:instrText xml:space="preserve"> SEQ CHAPTER \h \r 1</w:instrText>
      </w:r>
      <w:r w:rsidRPr="00B122CA">
        <w:rPr>
          <w:sz w:val="20"/>
          <w:lang w:eastAsia="en-CA"/>
        </w:rPr>
        <w:fldChar w:fldCharType="end"/>
      </w:r>
      <w:r w:rsidRPr="00B122CA">
        <w:rPr>
          <w:sz w:val="20"/>
          <w:lang w:val="en-CA" w:eastAsia="en-CA"/>
        </w:rPr>
        <w:tab/>
      </w:r>
      <w:r w:rsidRPr="00B122CA">
        <w:rPr>
          <w:b/>
          <w:i/>
          <w:sz w:val="20"/>
          <w:lang w:eastAsia="en-CA"/>
        </w:rPr>
        <w:t>Shawn Metzger v. His Majesty the King</w:t>
      </w:r>
    </w:p>
    <w:p w:rsidR="005273F5" w:rsidRPr="00B122CA" w:rsidRDefault="005273F5" w:rsidP="005273F5">
      <w:pPr>
        <w:widowControl w:val="0"/>
        <w:ind w:left="709" w:hanging="709"/>
        <w:jc w:val="both"/>
        <w:rPr>
          <w:sz w:val="20"/>
          <w:lang w:val="en-CA" w:eastAsia="en-CA"/>
        </w:rPr>
      </w:pPr>
      <w:r w:rsidRPr="00B122CA">
        <w:rPr>
          <w:sz w:val="20"/>
          <w:lang w:val="en-CA" w:eastAsia="en-CA"/>
        </w:rPr>
        <w:tab/>
        <w:t>(Alta.) (Criminal) (As of Right)</w:t>
      </w:r>
    </w:p>
    <w:p w:rsidR="005273F5" w:rsidRPr="00B122CA" w:rsidRDefault="005273F5" w:rsidP="00F850AD">
      <w:pPr>
        <w:widowControl w:val="0"/>
        <w:jc w:val="both"/>
        <w:rPr>
          <w:i/>
          <w:iCs/>
          <w:sz w:val="20"/>
          <w:lang w:eastAsia="en-CA"/>
        </w:rPr>
      </w:pPr>
    </w:p>
    <w:p w:rsidR="005273F5" w:rsidRPr="00B122CA" w:rsidRDefault="005273F5" w:rsidP="00F850AD">
      <w:pPr>
        <w:widowControl w:val="0"/>
        <w:jc w:val="both"/>
        <w:rPr>
          <w:sz w:val="20"/>
          <w:lang w:eastAsia="en-CA"/>
        </w:rPr>
      </w:pPr>
      <w:r w:rsidRPr="00B122CA">
        <w:rPr>
          <w:sz w:val="20"/>
          <w:lang w:eastAsia="en-CA"/>
        </w:rPr>
        <w:t xml:space="preserve">Criminal law — Evidence — Assessment — </w:t>
      </w:r>
      <w:r w:rsidRPr="00B122CA">
        <w:rPr>
          <w:iCs/>
          <w:sz w:val="20"/>
          <w:lang w:eastAsia="en-CA"/>
        </w:rPr>
        <w:t xml:space="preserve">Doctrine of recent possession — Reasonable verdict — Whether the verdicts of guilt were unreasonable — Whether the lower courts erred in the application of the law of the doctrine of recent possession — </w:t>
      </w:r>
      <w:r w:rsidRPr="00B122CA">
        <w:rPr>
          <w:iCs/>
          <w:sz w:val="20"/>
          <w:lang w:val="en-CA" w:eastAsia="en-CA"/>
        </w:rPr>
        <w:t>Whether the majority of the Court of Appeal of Alberta erred in law in drawing a negative inference on appeal because the appellant did not testify at trial.</w:t>
      </w:r>
    </w:p>
    <w:p w:rsidR="005273F5" w:rsidRPr="00B122CA" w:rsidRDefault="005273F5" w:rsidP="00F850AD">
      <w:pPr>
        <w:widowControl w:val="0"/>
        <w:jc w:val="both"/>
        <w:rPr>
          <w:iCs/>
          <w:sz w:val="20"/>
          <w:lang w:val="en-CA" w:eastAsia="en-CA"/>
        </w:rPr>
      </w:pPr>
    </w:p>
    <w:p w:rsidR="005273F5" w:rsidRPr="00B122CA" w:rsidRDefault="005273F5" w:rsidP="00F850AD">
      <w:pPr>
        <w:widowControl w:val="0"/>
        <w:jc w:val="both"/>
        <w:rPr>
          <w:iCs/>
          <w:sz w:val="20"/>
          <w:lang w:eastAsia="en-CA"/>
        </w:rPr>
      </w:pPr>
      <w:r w:rsidRPr="00B122CA">
        <w:rPr>
          <w:iCs/>
          <w:sz w:val="20"/>
          <w:lang w:eastAsia="en-CA"/>
        </w:rPr>
        <w:t>The appellant was charged with multiple offences in relation to a home invasion robbery that took place on or about June 24, 2017. After stealing the homeowner’s possessions, the intruders drove off in his truck. The truck was located 11 hours later. A cigarette butt was seized by police from underneath the driver’s seat and tested for DNA, which returned a single profile matching the appellant. The trial judge convicted the appellant</w:t>
      </w:r>
      <w:r w:rsidRPr="00B122CA">
        <w:rPr>
          <w:sz w:val="20"/>
          <w:lang w:eastAsia="en-CA"/>
        </w:rPr>
        <w:t xml:space="preserve"> </w:t>
      </w:r>
      <w:r w:rsidRPr="00B122CA">
        <w:rPr>
          <w:iCs/>
          <w:sz w:val="20"/>
          <w:lang w:eastAsia="en-CA"/>
        </w:rPr>
        <w:t>of breaking and entering to steal a firearm, two counts of robbery, and disguise with intent. Various other charges were conditionally stayed. The appellant appealed the convictions, but the</w:t>
      </w:r>
      <w:r w:rsidRPr="00B122CA">
        <w:rPr>
          <w:sz w:val="20"/>
          <w:lang w:eastAsia="en-CA"/>
        </w:rPr>
        <w:t xml:space="preserve"> </w:t>
      </w:r>
      <w:r w:rsidRPr="00B122CA">
        <w:rPr>
          <w:iCs/>
          <w:sz w:val="20"/>
          <w:lang w:eastAsia="en-CA"/>
        </w:rPr>
        <w:t>majority of the Court of Appeal of Alberta dismissed his appeal. The majority held that the trial judge did not misapprehend the evidence related to the appellant’s recent possession of the stolen truck, or err in relying on the doctrine of recent possession to infer the appellant’s guilt for the home invasion robbery. It also held that the verdicts of guilt were reasonable. Veldhuis J.A., dissenting, would have allowed the appeal and substituted verdicts of acquittals on all counts. She concluded that the trial judge erred in his application of the law of the doctrine of recent possession and that the</w:t>
      </w:r>
      <w:r w:rsidRPr="00B122CA">
        <w:rPr>
          <w:sz w:val="20"/>
        </w:rPr>
        <w:t xml:space="preserve"> </w:t>
      </w:r>
      <w:r w:rsidRPr="00B122CA">
        <w:rPr>
          <w:iCs/>
          <w:sz w:val="20"/>
          <w:lang w:eastAsia="en-CA"/>
        </w:rPr>
        <w:t>verdicts of guilt were unreasonable.</w:t>
      </w:r>
    </w:p>
    <w:p w:rsidR="005273F5" w:rsidRPr="00B122CA" w:rsidRDefault="005273F5" w:rsidP="00F850AD">
      <w:pPr>
        <w:widowControl w:val="0"/>
        <w:jc w:val="both"/>
        <w:rPr>
          <w:iCs/>
          <w:sz w:val="20"/>
          <w:lang w:eastAsia="en-CA"/>
        </w:rPr>
      </w:pPr>
    </w:p>
    <w:p w:rsidR="005273F5" w:rsidRPr="00B122CA" w:rsidRDefault="007B20D2" w:rsidP="00F850AD">
      <w:pPr>
        <w:widowControl w:val="0"/>
        <w:jc w:val="both"/>
        <w:rPr>
          <w:iCs/>
          <w:sz w:val="20"/>
          <w:lang w:eastAsia="en-CA"/>
        </w:rPr>
      </w:pPr>
      <w:r>
        <w:rPr>
          <w:sz w:val="20"/>
        </w:rPr>
        <w:pict>
          <v:rect id="_x0000_i1026" style="width:2in;height:1pt" o:hrpct="0" o:hralign="center" o:hrstd="t" o:hrnoshade="t" o:hr="t" fillcolor="black [3213]" stroked="f"/>
        </w:pict>
      </w:r>
    </w:p>
    <w:p w:rsidR="005273F5" w:rsidRPr="00B122CA" w:rsidRDefault="005273F5" w:rsidP="00F850AD">
      <w:pPr>
        <w:widowControl w:val="0"/>
        <w:jc w:val="both"/>
        <w:rPr>
          <w:iCs/>
          <w:sz w:val="20"/>
          <w:lang w:eastAsia="en-CA"/>
        </w:rPr>
      </w:pPr>
    </w:p>
    <w:p w:rsidR="005273F5" w:rsidRPr="00B122CA" w:rsidRDefault="005273F5" w:rsidP="00FA0771">
      <w:pPr>
        <w:widowControl w:val="0"/>
        <w:tabs>
          <w:tab w:val="left" w:pos="720"/>
        </w:tabs>
        <w:ind w:left="1440" w:hanging="1440"/>
        <w:jc w:val="both"/>
        <w:rPr>
          <w:b/>
          <w:i/>
          <w:sz w:val="20"/>
          <w:lang w:val="fr-CA" w:eastAsia="en-CA"/>
        </w:rPr>
      </w:pPr>
      <w:r w:rsidRPr="00B122CA">
        <w:rPr>
          <w:b/>
          <w:sz w:val="20"/>
          <w:lang w:val="fr-CA" w:eastAsia="en-CA"/>
        </w:rPr>
        <w:t>40285</w:t>
      </w:r>
      <w:r w:rsidRPr="00B122CA">
        <w:rPr>
          <w:sz w:val="20"/>
          <w:lang w:val="fr-CA" w:eastAsia="en-CA"/>
        </w:rPr>
        <w:fldChar w:fldCharType="begin"/>
      </w:r>
      <w:r w:rsidRPr="00B122CA">
        <w:rPr>
          <w:sz w:val="20"/>
          <w:lang w:val="fr-CA" w:eastAsia="en-CA"/>
        </w:rPr>
        <w:instrText xml:space="preserve"> SEQ CHAPTER \h \r 1</w:instrText>
      </w:r>
      <w:r w:rsidRPr="00B122CA">
        <w:rPr>
          <w:sz w:val="20"/>
          <w:lang w:val="fr-CA" w:eastAsia="en-CA"/>
        </w:rPr>
        <w:fldChar w:fldCharType="end"/>
      </w:r>
      <w:r w:rsidRPr="00B122CA">
        <w:rPr>
          <w:sz w:val="20"/>
          <w:lang w:val="fr-CA" w:eastAsia="en-CA"/>
        </w:rPr>
        <w:tab/>
      </w:r>
      <w:r w:rsidRPr="00B122CA">
        <w:rPr>
          <w:b/>
          <w:i/>
          <w:sz w:val="20"/>
          <w:lang w:val="fr-CA" w:eastAsia="en-CA"/>
        </w:rPr>
        <w:t>Shawn Metzger c. Sa Majesté le Roi</w:t>
      </w:r>
    </w:p>
    <w:p w:rsidR="005273F5" w:rsidRPr="00B122CA" w:rsidRDefault="005273F5" w:rsidP="00FA0771">
      <w:pPr>
        <w:widowControl w:val="0"/>
        <w:tabs>
          <w:tab w:val="left" w:pos="720"/>
        </w:tabs>
        <w:ind w:left="1440" w:hanging="1440"/>
        <w:jc w:val="both"/>
        <w:rPr>
          <w:sz w:val="20"/>
          <w:lang w:val="fr-CA" w:eastAsia="en-CA"/>
        </w:rPr>
      </w:pPr>
      <w:r w:rsidRPr="00B122CA">
        <w:rPr>
          <w:sz w:val="20"/>
          <w:lang w:val="fr-CA" w:eastAsia="en-CA"/>
        </w:rPr>
        <w:tab/>
        <w:t>(Al</w:t>
      </w:r>
      <w:r w:rsidR="00B122CA" w:rsidRPr="00B122CA">
        <w:rPr>
          <w:sz w:val="20"/>
          <w:lang w:val="fr-CA" w:eastAsia="en-CA"/>
        </w:rPr>
        <w:t>b</w:t>
      </w:r>
      <w:r w:rsidRPr="00B122CA">
        <w:rPr>
          <w:sz w:val="20"/>
          <w:lang w:val="fr-CA" w:eastAsia="en-CA"/>
        </w:rPr>
        <w:t>.) (Criminelle) (De plein droit)</w:t>
      </w:r>
    </w:p>
    <w:p w:rsidR="005273F5" w:rsidRPr="00B122CA" w:rsidRDefault="005273F5" w:rsidP="00F850AD">
      <w:pPr>
        <w:widowControl w:val="0"/>
        <w:jc w:val="both"/>
        <w:rPr>
          <w:i/>
          <w:iCs/>
          <w:sz w:val="20"/>
          <w:lang w:val="fr-CA" w:eastAsia="en-CA"/>
        </w:rPr>
      </w:pPr>
    </w:p>
    <w:p w:rsidR="005273F5" w:rsidRPr="00B122CA" w:rsidRDefault="005273F5" w:rsidP="00F850AD">
      <w:pPr>
        <w:widowControl w:val="0"/>
        <w:jc w:val="both"/>
        <w:rPr>
          <w:sz w:val="20"/>
          <w:lang w:val="fr-CA" w:eastAsia="en-CA"/>
        </w:rPr>
      </w:pPr>
      <w:r w:rsidRPr="00B122CA">
        <w:rPr>
          <w:sz w:val="20"/>
          <w:lang w:val="fr-CA" w:eastAsia="en-CA"/>
        </w:rPr>
        <w:t xml:space="preserve">Droit criminel — Preuve — Appréciation — Doctrine de la possession récente </w:t>
      </w:r>
      <w:r w:rsidRPr="00B122CA">
        <w:rPr>
          <w:iCs/>
          <w:sz w:val="20"/>
          <w:lang w:val="fr-CA" w:eastAsia="en-CA"/>
        </w:rPr>
        <w:t xml:space="preserve">— Verdict raisonnable — Les verdicts de culpabilité étaient-ils déraisonnables? </w:t>
      </w:r>
      <w:r w:rsidRPr="00B122CA">
        <w:rPr>
          <w:sz w:val="20"/>
          <w:lang w:val="fr-CA" w:eastAsia="en-CA"/>
        </w:rPr>
        <w:t>—</w:t>
      </w:r>
      <w:r w:rsidRPr="00B122CA">
        <w:rPr>
          <w:iCs/>
          <w:sz w:val="20"/>
          <w:lang w:val="fr-CA" w:eastAsia="en-CA"/>
        </w:rPr>
        <w:t xml:space="preserve"> Les tribunaux d’instance inférieure ont-ils commis une erreur dans l’application de la doctrine de la possession récente? </w:t>
      </w:r>
      <w:r w:rsidRPr="00B122CA">
        <w:rPr>
          <w:sz w:val="20"/>
          <w:lang w:val="fr-CA" w:eastAsia="en-CA"/>
        </w:rPr>
        <w:t>— Les juges majoritaires de la Cour d’appel de l’Alberta ont-ils commis une erreur de droit en tirant une inférence négative en appel parce que l’appelant n’avait pas témoigné au procès?</w:t>
      </w:r>
    </w:p>
    <w:p w:rsidR="005273F5" w:rsidRPr="00B122CA" w:rsidRDefault="005273F5" w:rsidP="00F850AD">
      <w:pPr>
        <w:widowControl w:val="0"/>
        <w:jc w:val="both"/>
        <w:rPr>
          <w:iCs/>
          <w:sz w:val="20"/>
          <w:lang w:val="fr-CA" w:eastAsia="en-CA"/>
        </w:rPr>
      </w:pPr>
    </w:p>
    <w:p w:rsidR="005273F5" w:rsidRPr="00B122CA" w:rsidRDefault="005273F5" w:rsidP="00F850AD">
      <w:pPr>
        <w:widowControl w:val="0"/>
        <w:jc w:val="both"/>
        <w:rPr>
          <w:iCs/>
          <w:sz w:val="20"/>
          <w:lang w:val="fr-CA" w:eastAsia="en-CA"/>
        </w:rPr>
      </w:pPr>
      <w:r w:rsidRPr="00B122CA">
        <w:rPr>
          <w:iCs/>
          <w:sz w:val="20"/>
          <w:lang w:val="fr-CA" w:eastAsia="en-CA"/>
        </w:rPr>
        <w:t>L’appelant a été accusé d’avoir commis de multiples infractions en lien avec une violation de domicile avec vol qualifié qui a eu lieu le 24 juin 2017 ou vers cette date. Après avoir volé des biens du propriétaire de la maison, les intrus se sont enfuis à bord de son camion. Le camion a été retrouvé 11 heures plus tard. Les policiers ont saisi un mégot de cigarette trouvé sous le siège du conducteur et ont fait des tests d’ADN sur ce mégot, qui ont donné comme résultat un seul profil, correspondant à celui de l’appelant. Le juge du procès a déclaré l’appelant coupable d’introduction par effraction en vue de voler une arme à feu, de deux chefs d’accusation de vol qualifié et de déguisement dans un dessein criminel. Divers autres chefs d’accusation ont été suspendus conditionnellement. L’appelant a interjeté appel des déclarations de culpabilité, mais les juges majoritaires de la Cour d’appel de l’Alberta ont rejeté son appel. Ceux-ci ont statué que le juge du procès n’avait pas mal apprécié la preuve relative à la possession récente par l’appelant du camion volé, ni commis d’erreur en se fondant sur la doctrine de la possession récente afin de déduire que l’appelant était coupable de la violation de domicile avec vol qualifié. Ils ont aussi conclu que les verdicts de culpabilité étaient raisonnables. La juge Veldhuis, dissidente, aurait accueilli l’appel et prononcé des verdicts d’acquittement pour tous les chefs d’accusation. Elle a conclu que le juge du procès avait commis une erreur dans son application de la doctrine de la possession récente et que les verdicts de culpabilité étaient déraisonnables.</w:t>
      </w:r>
    </w:p>
    <w:p w:rsidR="00A13327" w:rsidRPr="00B122CA" w:rsidRDefault="00A13327" w:rsidP="00340C6D">
      <w:pPr>
        <w:jc w:val="both"/>
        <w:rPr>
          <w:sz w:val="20"/>
          <w:lang w:val="fr-CA"/>
        </w:rPr>
      </w:pPr>
    </w:p>
    <w:p w:rsidR="00A13327" w:rsidRPr="00B122CA" w:rsidRDefault="007B20D2" w:rsidP="00340C6D">
      <w:pPr>
        <w:jc w:val="both"/>
        <w:rPr>
          <w:sz w:val="20"/>
          <w:lang w:val="fr-CA"/>
        </w:rPr>
      </w:pPr>
      <w:r>
        <w:rPr>
          <w:sz w:val="20"/>
        </w:rPr>
        <w:pict>
          <v:rect id="_x0000_i1027" style="width:2in;height:1pt" o:hrpct="0" o:hralign="center" o:hrstd="t" o:hrnoshade="t" o:hr="t" fillcolor="black [3213]" stroked="f"/>
        </w:pict>
      </w:r>
    </w:p>
    <w:p w:rsidR="00782B59" w:rsidRPr="00B122CA" w:rsidRDefault="00782B59" w:rsidP="00340C6D">
      <w:pPr>
        <w:jc w:val="both"/>
        <w:rPr>
          <w:szCs w:val="24"/>
          <w:lang w:val="fr-CA"/>
        </w:rPr>
      </w:pPr>
    </w:p>
    <w:p w:rsidR="00ED67FB" w:rsidRPr="00B122CA" w:rsidRDefault="00ED67FB" w:rsidP="00340C6D">
      <w:pPr>
        <w:jc w:val="both"/>
        <w:rPr>
          <w:szCs w:val="24"/>
          <w:lang w:val="fr-CA"/>
        </w:rPr>
      </w:pPr>
    </w:p>
    <w:p w:rsidR="00072A63" w:rsidRPr="00B122CA" w:rsidRDefault="00072A63" w:rsidP="00EC79B0">
      <w:pPr>
        <w:jc w:val="both"/>
        <w:rPr>
          <w:szCs w:val="24"/>
          <w:lang w:val="fr-CA"/>
        </w:rPr>
      </w:pPr>
    </w:p>
    <w:p w:rsidR="001C4415" w:rsidRPr="00B122CA" w:rsidRDefault="001C4415" w:rsidP="001C4415">
      <w:pPr>
        <w:widowControl w:val="0"/>
        <w:outlineLvl w:val="0"/>
      </w:pPr>
      <w:r w:rsidRPr="00B122CA">
        <w:t xml:space="preserve">Supreme Court of Canada / Cour suprême du </w:t>
      </w:r>
      <w:proofErr w:type="gramStart"/>
      <w:r w:rsidRPr="00B122CA">
        <w:t>Canada :</w:t>
      </w:r>
      <w:proofErr w:type="gramEnd"/>
      <w:r w:rsidRPr="00B122CA">
        <w:t xml:space="preserve"> </w:t>
      </w:r>
    </w:p>
    <w:p w:rsidR="001C4415" w:rsidRPr="00B122CA" w:rsidRDefault="007B20D2" w:rsidP="001C4415">
      <w:pPr>
        <w:widowControl w:val="0"/>
        <w:outlineLvl w:val="0"/>
      </w:pPr>
      <w:hyperlink r:id="rId8" w:history="1">
        <w:r w:rsidR="001C4415" w:rsidRPr="00B122CA">
          <w:rPr>
            <w:rStyle w:val="Hyperlink"/>
          </w:rPr>
          <w:t>comments-commentaires@scc-csc.ca</w:t>
        </w:r>
      </w:hyperlink>
    </w:p>
    <w:p w:rsidR="001C4415" w:rsidRPr="00B122CA" w:rsidRDefault="001C4415" w:rsidP="001C4415">
      <w:pPr>
        <w:widowControl w:val="0"/>
        <w:outlineLvl w:val="0"/>
      </w:pPr>
      <w:r w:rsidRPr="00B122CA">
        <w:t>(613) 995-4330</w:t>
      </w:r>
    </w:p>
    <w:p w:rsidR="001C4415" w:rsidRPr="00B122CA" w:rsidRDefault="001C4415" w:rsidP="001C4415">
      <w:pPr>
        <w:widowControl w:val="0"/>
        <w:rPr>
          <w:sz w:val="20"/>
        </w:rPr>
      </w:pPr>
    </w:p>
    <w:p w:rsidR="0036476C" w:rsidRPr="00A8502B" w:rsidRDefault="001C4415" w:rsidP="0036476C">
      <w:pPr>
        <w:pStyle w:val="Footer"/>
        <w:jc w:val="center"/>
        <w:rPr>
          <w:lang w:val="fr-CA"/>
        </w:rPr>
      </w:pPr>
      <w:r w:rsidRPr="00B122CA">
        <w:rPr>
          <w:lang w:val="fr-CA"/>
        </w:rPr>
        <w:t xml:space="preserve">- 30 </w:t>
      </w:r>
      <w:r w:rsidR="003C1B6E" w:rsidRPr="00B122C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3052E"/>
    <w:multiLevelType w:val="hybridMultilevel"/>
    <w:tmpl w:val="487E6972"/>
    <w:lvl w:ilvl="0" w:tplc="030067C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17A5"/>
    <w:rsid w:val="000D25C5"/>
    <w:rsid w:val="000D4096"/>
    <w:rsid w:val="000D413D"/>
    <w:rsid w:val="000D682D"/>
    <w:rsid w:val="000E1FA5"/>
    <w:rsid w:val="000E33A8"/>
    <w:rsid w:val="000E457A"/>
    <w:rsid w:val="000F2225"/>
    <w:rsid w:val="000F2F73"/>
    <w:rsid w:val="000F5730"/>
    <w:rsid w:val="000F7714"/>
    <w:rsid w:val="001002A7"/>
    <w:rsid w:val="00100BC4"/>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3AF"/>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27D7"/>
    <w:rsid w:val="00253698"/>
    <w:rsid w:val="0025452B"/>
    <w:rsid w:val="002617BB"/>
    <w:rsid w:val="0026289A"/>
    <w:rsid w:val="00264AA1"/>
    <w:rsid w:val="002667BA"/>
    <w:rsid w:val="002667ED"/>
    <w:rsid w:val="00266A8B"/>
    <w:rsid w:val="002674CC"/>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219"/>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18B"/>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0ACC"/>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C1A5A"/>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273F5"/>
    <w:rsid w:val="00531567"/>
    <w:rsid w:val="00532A0E"/>
    <w:rsid w:val="00534E1E"/>
    <w:rsid w:val="00537187"/>
    <w:rsid w:val="00537545"/>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44B6"/>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6CBA"/>
    <w:rsid w:val="00767B87"/>
    <w:rsid w:val="00772636"/>
    <w:rsid w:val="00777C18"/>
    <w:rsid w:val="007805CD"/>
    <w:rsid w:val="00780B16"/>
    <w:rsid w:val="00782B59"/>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0D2"/>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333C"/>
    <w:rsid w:val="008C5D03"/>
    <w:rsid w:val="008D2829"/>
    <w:rsid w:val="008D3DE1"/>
    <w:rsid w:val="008D557C"/>
    <w:rsid w:val="008D5B1F"/>
    <w:rsid w:val="008D6BC4"/>
    <w:rsid w:val="008E0CF4"/>
    <w:rsid w:val="008E5108"/>
    <w:rsid w:val="008E5D30"/>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3750"/>
    <w:rsid w:val="009C643F"/>
    <w:rsid w:val="009C7B0C"/>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3327"/>
    <w:rsid w:val="00A17FF7"/>
    <w:rsid w:val="00A20D09"/>
    <w:rsid w:val="00A21A0F"/>
    <w:rsid w:val="00A253E7"/>
    <w:rsid w:val="00A2764E"/>
    <w:rsid w:val="00A40505"/>
    <w:rsid w:val="00A409CF"/>
    <w:rsid w:val="00A42C03"/>
    <w:rsid w:val="00A45E77"/>
    <w:rsid w:val="00A463BE"/>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3866"/>
    <w:rsid w:val="00AE57A4"/>
    <w:rsid w:val="00AE77AE"/>
    <w:rsid w:val="00AF291D"/>
    <w:rsid w:val="00AF51A0"/>
    <w:rsid w:val="00AF5D67"/>
    <w:rsid w:val="00B00765"/>
    <w:rsid w:val="00B0211B"/>
    <w:rsid w:val="00B0252F"/>
    <w:rsid w:val="00B02858"/>
    <w:rsid w:val="00B10539"/>
    <w:rsid w:val="00B108B3"/>
    <w:rsid w:val="00B10F2E"/>
    <w:rsid w:val="00B11D20"/>
    <w:rsid w:val="00B11D74"/>
    <w:rsid w:val="00B122CA"/>
    <w:rsid w:val="00B14DCE"/>
    <w:rsid w:val="00B15276"/>
    <w:rsid w:val="00B1627A"/>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E1594"/>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09BB"/>
    <w:rsid w:val="00C30AEA"/>
    <w:rsid w:val="00C343BF"/>
    <w:rsid w:val="00C34DBC"/>
    <w:rsid w:val="00C3754A"/>
    <w:rsid w:val="00C40A6D"/>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3AE7"/>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E6A"/>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 w:type="paragraph" w:customStyle="1" w:styleId="SCCBanSummary">
    <w:name w:val="SCC.BanSummary"/>
    <w:basedOn w:val="Normal"/>
    <w:next w:val="Normal"/>
    <w:link w:val="SCCBanSummaryChar"/>
    <w:rsid w:val="00782B59"/>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782B59"/>
    <w:rPr>
      <w:rFonts w:eastAsiaTheme="minorHAnsi" w:cstheme="minorBidi"/>
      <w:smallCaps/>
      <w:sz w:val="24"/>
      <w:szCs w:val="22"/>
      <w:lang w:val="en-CA"/>
    </w:rPr>
  </w:style>
  <w:style w:type="paragraph" w:customStyle="1" w:styleId="SCCFileNumber">
    <w:name w:val="SCC.FileNumber"/>
    <w:basedOn w:val="Normal"/>
    <w:next w:val="Normal"/>
    <w:link w:val="SCCFileNumberChar"/>
    <w:rsid w:val="00782B5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782B59"/>
    <w:rPr>
      <w:rFonts w:eastAsiaTheme="minorHAnsi" w:cstheme="minorBidi"/>
      <w:b/>
      <w:sz w:val="24"/>
      <w:szCs w:val="22"/>
      <w:lang w:val="en-CA"/>
    </w:rPr>
  </w:style>
  <w:style w:type="paragraph" w:customStyle="1" w:styleId="SCCLsocOtherPartySeparator">
    <w:name w:val="SCC.Lsoc.OtherPartySeparator"/>
    <w:basedOn w:val="Normal"/>
    <w:next w:val="Normal"/>
    <w:link w:val="SCCLsocOtherPartySeparatorChar"/>
    <w:rsid w:val="002B421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2B421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4028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2020-03-26T23:41:00Z</dcterms:created>
  <dcterms:modified xsi:type="dcterms:W3CDTF">2023-02-27T16:56:00Z</dcterms:modified>
</cp:coreProperties>
</file>