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671" w:rsidRPr="00392B9E" w:rsidRDefault="00D01671" w:rsidP="00D01671">
      <w:pPr>
        <w:pStyle w:val="Header"/>
        <w:jc w:val="center"/>
        <w:rPr>
          <w:b/>
          <w:sz w:val="32"/>
        </w:rPr>
      </w:pPr>
      <w:r w:rsidRPr="00392B9E">
        <w:rPr>
          <w:b/>
          <w:sz w:val="32"/>
        </w:rPr>
        <w:t>Supreme Court of Canada / Cour suprême du Canada</w:t>
      </w:r>
    </w:p>
    <w:p w:rsidR="00D01671" w:rsidRPr="00392B9E" w:rsidRDefault="00D01671" w:rsidP="00D01671">
      <w:pPr>
        <w:widowControl w:val="0"/>
        <w:rPr>
          <w:i/>
        </w:rPr>
      </w:pPr>
    </w:p>
    <w:p w:rsidR="00D01671" w:rsidRPr="00392B9E" w:rsidRDefault="00D01671" w:rsidP="00D01671">
      <w:pPr>
        <w:widowControl w:val="0"/>
        <w:rPr>
          <w:i/>
        </w:rPr>
      </w:pPr>
    </w:p>
    <w:p w:rsidR="006F2579" w:rsidRPr="00392B9E" w:rsidRDefault="006F2579" w:rsidP="006F2579">
      <w:pPr>
        <w:widowControl w:val="0"/>
        <w:rPr>
          <w:i/>
          <w:sz w:val="20"/>
          <w:lang w:val="fr-CA"/>
        </w:rPr>
      </w:pPr>
      <w:r w:rsidRPr="00392B9E">
        <w:rPr>
          <w:i/>
          <w:sz w:val="20"/>
          <w:lang w:val="fr-CA"/>
        </w:rPr>
        <w:t>(</w:t>
      </w:r>
      <w:r w:rsidR="00423943" w:rsidRPr="00392B9E">
        <w:rPr>
          <w:i/>
          <w:sz w:val="20"/>
          <w:lang w:val="fr-CA"/>
        </w:rPr>
        <w:t>L</w:t>
      </w:r>
      <w:r w:rsidRPr="00392B9E">
        <w:rPr>
          <w:i/>
          <w:sz w:val="20"/>
          <w:lang w:val="fr-CA"/>
        </w:rPr>
        <w:t>e français suit)</w:t>
      </w:r>
    </w:p>
    <w:p w:rsidR="006F2579" w:rsidRPr="00392B9E" w:rsidRDefault="006F2579" w:rsidP="006F2579">
      <w:pPr>
        <w:widowControl w:val="0"/>
        <w:rPr>
          <w:lang w:val="fr-CA"/>
        </w:rPr>
      </w:pPr>
    </w:p>
    <w:p w:rsidR="006F2579" w:rsidRPr="00392B9E" w:rsidRDefault="00F404D5" w:rsidP="006F2579">
      <w:pPr>
        <w:widowControl w:val="0"/>
        <w:jc w:val="center"/>
        <w:rPr>
          <w:b/>
          <w:lang w:val="fr-CA"/>
        </w:rPr>
      </w:pPr>
      <w:r w:rsidRPr="00392B9E">
        <w:rPr>
          <w:b/>
          <w:lang w:val="fr-CA"/>
        </w:rPr>
        <w:t>AGENDA</w:t>
      </w:r>
    </w:p>
    <w:p w:rsidR="006F2579" w:rsidRPr="00392B9E" w:rsidRDefault="006F2579" w:rsidP="006F2579">
      <w:pPr>
        <w:widowControl w:val="0"/>
        <w:rPr>
          <w:lang w:val="fr-CA"/>
        </w:rPr>
      </w:pPr>
    </w:p>
    <w:p w:rsidR="006F2579" w:rsidRPr="00392B9E" w:rsidRDefault="002A7F67" w:rsidP="006F2579">
      <w:pPr>
        <w:widowControl w:val="0"/>
        <w:rPr>
          <w:b/>
          <w:lang w:val="fr-CA"/>
        </w:rPr>
      </w:pPr>
      <w:r w:rsidRPr="00392B9E">
        <w:rPr>
          <w:b/>
          <w:lang w:val="fr-CA"/>
        </w:rPr>
        <w:t>March</w:t>
      </w:r>
      <w:r w:rsidR="00B205BF" w:rsidRPr="00392B9E">
        <w:rPr>
          <w:b/>
          <w:lang w:val="fr-CA"/>
        </w:rPr>
        <w:t xml:space="preserve"> </w:t>
      </w:r>
      <w:r w:rsidRPr="00392B9E">
        <w:rPr>
          <w:b/>
          <w:lang w:val="fr-CA"/>
        </w:rPr>
        <w:t>3</w:t>
      </w:r>
      <w:r w:rsidR="000E1CD6" w:rsidRPr="00392B9E">
        <w:rPr>
          <w:b/>
          <w:lang w:val="fr-CA"/>
        </w:rPr>
        <w:t>, 20</w:t>
      </w:r>
      <w:r w:rsidR="00ED24DA" w:rsidRPr="00392B9E">
        <w:rPr>
          <w:b/>
          <w:lang w:val="fr-CA"/>
        </w:rPr>
        <w:t>2</w:t>
      </w:r>
      <w:r w:rsidR="00932999" w:rsidRPr="00392B9E">
        <w:rPr>
          <w:b/>
          <w:lang w:val="fr-CA"/>
        </w:rPr>
        <w:t>3</w:t>
      </w:r>
    </w:p>
    <w:p w:rsidR="006F2579" w:rsidRPr="00392B9E" w:rsidRDefault="006F2579" w:rsidP="006F2579">
      <w:pPr>
        <w:widowControl w:val="0"/>
        <w:rPr>
          <w:b/>
        </w:rPr>
      </w:pPr>
      <w:r w:rsidRPr="00392B9E">
        <w:rPr>
          <w:b/>
        </w:rPr>
        <w:t>For immediate release</w:t>
      </w:r>
    </w:p>
    <w:p w:rsidR="006F2579" w:rsidRPr="00392B9E" w:rsidRDefault="006F2579" w:rsidP="006F2579">
      <w:pPr>
        <w:widowControl w:val="0"/>
      </w:pPr>
    </w:p>
    <w:p w:rsidR="009010F1" w:rsidRPr="00392B9E" w:rsidRDefault="006F2579" w:rsidP="009010F1">
      <w:pPr>
        <w:widowControl w:val="0"/>
      </w:pPr>
      <w:r w:rsidRPr="00392B9E">
        <w:rPr>
          <w:b/>
        </w:rPr>
        <w:t>OTTAWA</w:t>
      </w:r>
      <w:r w:rsidRPr="00392B9E">
        <w:t xml:space="preserve"> – </w:t>
      </w:r>
      <w:r w:rsidR="009010F1" w:rsidRPr="00392B9E">
        <w:t>The Supreme Court of Canada announced today the list of appeals</w:t>
      </w:r>
      <w:r w:rsidR="00700E69" w:rsidRPr="00392B9E">
        <w:t xml:space="preserve"> </w:t>
      </w:r>
      <w:r w:rsidR="009010F1" w:rsidRPr="00392B9E">
        <w:t>that will be heard</w:t>
      </w:r>
      <w:r w:rsidR="00264572" w:rsidRPr="00392B9E">
        <w:t xml:space="preserve"> </w:t>
      </w:r>
      <w:r w:rsidR="0053286F" w:rsidRPr="00392B9E">
        <w:t xml:space="preserve">from </w:t>
      </w:r>
      <w:r w:rsidR="002A7F67" w:rsidRPr="00392B9E">
        <w:t>March</w:t>
      </w:r>
      <w:r w:rsidR="0053286F" w:rsidRPr="00392B9E">
        <w:t xml:space="preserve"> </w:t>
      </w:r>
      <w:r w:rsidR="002A7F67" w:rsidRPr="00392B9E">
        <w:t>13</w:t>
      </w:r>
      <w:r w:rsidR="0053286F" w:rsidRPr="00392B9E">
        <w:t xml:space="preserve"> t</w:t>
      </w:r>
      <w:r w:rsidR="007A4306" w:rsidRPr="00392B9E">
        <w:t>o</w:t>
      </w:r>
      <w:r w:rsidR="0053286F" w:rsidRPr="00392B9E">
        <w:t xml:space="preserve"> </w:t>
      </w:r>
      <w:r w:rsidR="002A7F67" w:rsidRPr="00392B9E">
        <w:t>March</w:t>
      </w:r>
      <w:r w:rsidR="00D3650C" w:rsidRPr="00392B9E">
        <w:t xml:space="preserve"> </w:t>
      </w:r>
      <w:r w:rsidR="002A7F67" w:rsidRPr="00392B9E">
        <w:t>24</w:t>
      </w:r>
      <w:r w:rsidR="0053286F" w:rsidRPr="00392B9E">
        <w:t>, 20</w:t>
      </w:r>
      <w:r w:rsidR="00ED24DA" w:rsidRPr="00392B9E">
        <w:t>2</w:t>
      </w:r>
      <w:r w:rsidR="00D3650C" w:rsidRPr="00392B9E">
        <w:t>3</w:t>
      </w:r>
      <w:r w:rsidR="00645CF5" w:rsidRPr="00392B9E">
        <w:t>.</w:t>
      </w:r>
    </w:p>
    <w:p w:rsidR="00D32CC0" w:rsidRPr="00392B9E" w:rsidRDefault="00D32CC0" w:rsidP="006F2579">
      <w:pPr>
        <w:widowControl w:val="0"/>
      </w:pPr>
    </w:p>
    <w:p w:rsidR="006A00B5" w:rsidRPr="00392B9E" w:rsidRDefault="006A00B5" w:rsidP="006F2579">
      <w:pPr>
        <w:widowControl w:val="0"/>
      </w:pPr>
    </w:p>
    <w:p w:rsidR="006F2579" w:rsidRPr="00392B9E" w:rsidRDefault="00F404D5" w:rsidP="006F2579">
      <w:pPr>
        <w:widowControl w:val="0"/>
        <w:jc w:val="center"/>
        <w:rPr>
          <w:lang w:val="fr-CA"/>
        </w:rPr>
      </w:pPr>
      <w:r w:rsidRPr="00392B9E">
        <w:rPr>
          <w:b/>
          <w:lang w:val="fr-CA"/>
        </w:rPr>
        <w:t>CALENDRIER</w:t>
      </w:r>
    </w:p>
    <w:p w:rsidR="006F2579" w:rsidRPr="00392B9E" w:rsidRDefault="006F2579" w:rsidP="006F2579">
      <w:pPr>
        <w:widowControl w:val="0"/>
        <w:rPr>
          <w:lang w:val="fr-CA"/>
        </w:rPr>
      </w:pPr>
    </w:p>
    <w:p w:rsidR="006F2579" w:rsidRPr="00392B9E" w:rsidRDefault="006F2579" w:rsidP="006F2579">
      <w:pPr>
        <w:widowControl w:val="0"/>
        <w:rPr>
          <w:b/>
          <w:lang w:val="fr-CA"/>
        </w:rPr>
      </w:pPr>
      <w:r w:rsidRPr="00392B9E">
        <w:rPr>
          <w:b/>
          <w:lang w:val="fr-CA"/>
        </w:rPr>
        <w:t xml:space="preserve">Le </w:t>
      </w:r>
      <w:r w:rsidR="002A7F67" w:rsidRPr="00392B9E">
        <w:rPr>
          <w:b/>
          <w:lang w:val="fr-CA"/>
        </w:rPr>
        <w:t>3</w:t>
      </w:r>
      <w:r w:rsidR="00380A0F" w:rsidRPr="00392B9E">
        <w:rPr>
          <w:b/>
          <w:lang w:val="fr-CA"/>
        </w:rPr>
        <w:t xml:space="preserve"> </w:t>
      </w:r>
      <w:r w:rsidR="002A7F67" w:rsidRPr="00392B9E">
        <w:rPr>
          <w:b/>
          <w:lang w:val="fr-CA"/>
        </w:rPr>
        <w:t>mars</w:t>
      </w:r>
      <w:r w:rsidR="006B24D0" w:rsidRPr="00392B9E">
        <w:rPr>
          <w:b/>
          <w:lang w:val="fr-CA"/>
        </w:rPr>
        <w:t xml:space="preserve"> </w:t>
      </w:r>
      <w:r w:rsidRPr="00392B9E">
        <w:rPr>
          <w:b/>
          <w:lang w:val="fr-CA"/>
        </w:rPr>
        <w:t>20</w:t>
      </w:r>
      <w:r w:rsidR="00ED24DA" w:rsidRPr="00392B9E">
        <w:rPr>
          <w:b/>
          <w:lang w:val="fr-CA"/>
        </w:rPr>
        <w:t>2</w:t>
      </w:r>
      <w:r w:rsidR="00932999" w:rsidRPr="00392B9E">
        <w:rPr>
          <w:b/>
          <w:lang w:val="fr-CA"/>
        </w:rPr>
        <w:t>3</w:t>
      </w:r>
    </w:p>
    <w:p w:rsidR="006F2579" w:rsidRPr="00392B9E" w:rsidRDefault="006F2579" w:rsidP="006F2579">
      <w:pPr>
        <w:widowControl w:val="0"/>
        <w:rPr>
          <w:lang w:val="fr-CA"/>
        </w:rPr>
      </w:pPr>
      <w:r w:rsidRPr="00392B9E">
        <w:rPr>
          <w:b/>
          <w:lang w:val="fr-CA"/>
        </w:rPr>
        <w:t>Pour diffusion immédiate</w:t>
      </w:r>
    </w:p>
    <w:p w:rsidR="006F2579" w:rsidRPr="00392B9E" w:rsidRDefault="006F2579" w:rsidP="006F2579">
      <w:pPr>
        <w:widowControl w:val="0"/>
        <w:rPr>
          <w:lang w:val="fr-CA"/>
        </w:rPr>
      </w:pPr>
    </w:p>
    <w:p w:rsidR="006F2579" w:rsidRPr="00392B9E" w:rsidRDefault="006F2579" w:rsidP="006F2579">
      <w:pPr>
        <w:widowControl w:val="0"/>
        <w:rPr>
          <w:lang w:val="fr-CA"/>
        </w:rPr>
      </w:pPr>
      <w:r w:rsidRPr="00392B9E">
        <w:rPr>
          <w:b/>
          <w:lang w:val="fr-CA"/>
        </w:rPr>
        <w:t>OTTAWA</w:t>
      </w:r>
      <w:r w:rsidRPr="00392B9E">
        <w:rPr>
          <w:lang w:val="fr-CA"/>
        </w:rPr>
        <w:t xml:space="preserve"> – </w:t>
      </w:r>
      <w:r w:rsidR="009010F1" w:rsidRPr="00392B9E">
        <w:rPr>
          <w:lang w:val="fr-CA"/>
        </w:rPr>
        <w:t xml:space="preserve">La Cour suprême du Canada a </w:t>
      </w:r>
      <w:r w:rsidR="00423943" w:rsidRPr="00392B9E">
        <w:rPr>
          <w:lang w:val="fr-CA"/>
        </w:rPr>
        <w:t>annonc</w:t>
      </w:r>
      <w:r w:rsidR="00CE7AB4" w:rsidRPr="00392B9E">
        <w:rPr>
          <w:lang w:val="fr-CA"/>
        </w:rPr>
        <w:t>é aujourd’hui la liste d</w:t>
      </w:r>
      <w:r w:rsidR="00163EC7" w:rsidRPr="00392B9E">
        <w:rPr>
          <w:lang w:val="fr-CA"/>
        </w:rPr>
        <w:t xml:space="preserve">es </w:t>
      </w:r>
      <w:r w:rsidR="009010F1" w:rsidRPr="00392B9E">
        <w:rPr>
          <w:lang w:val="fr-CA"/>
        </w:rPr>
        <w:t>appels</w:t>
      </w:r>
      <w:r w:rsidR="00700E69" w:rsidRPr="00392B9E">
        <w:rPr>
          <w:lang w:val="fr-CA"/>
        </w:rPr>
        <w:t xml:space="preserve"> </w:t>
      </w:r>
      <w:r w:rsidR="009010F1" w:rsidRPr="00392B9E">
        <w:rPr>
          <w:lang w:val="fr-CA"/>
        </w:rPr>
        <w:t xml:space="preserve">qui seront entendus </w:t>
      </w:r>
      <w:r w:rsidR="0053286F" w:rsidRPr="00392B9E">
        <w:rPr>
          <w:lang w:val="fr-CA"/>
        </w:rPr>
        <w:t xml:space="preserve">du </w:t>
      </w:r>
      <w:r w:rsidR="002A7F67" w:rsidRPr="00392B9E">
        <w:rPr>
          <w:lang w:val="fr-CA"/>
        </w:rPr>
        <w:t>13</w:t>
      </w:r>
      <w:r w:rsidR="00D3650C" w:rsidRPr="00392B9E">
        <w:rPr>
          <w:lang w:val="fr-CA"/>
        </w:rPr>
        <w:t xml:space="preserve"> </w:t>
      </w:r>
      <w:r w:rsidR="002A7F67" w:rsidRPr="00392B9E">
        <w:rPr>
          <w:lang w:val="fr-CA"/>
        </w:rPr>
        <w:t>mars</w:t>
      </w:r>
      <w:r w:rsidR="00D3650C" w:rsidRPr="00392B9E">
        <w:rPr>
          <w:lang w:val="fr-CA"/>
        </w:rPr>
        <w:t xml:space="preserve"> </w:t>
      </w:r>
      <w:r w:rsidR="0053286F" w:rsidRPr="00392B9E">
        <w:rPr>
          <w:lang w:val="fr-CA"/>
        </w:rPr>
        <w:t xml:space="preserve">au </w:t>
      </w:r>
      <w:r w:rsidR="002A7F67" w:rsidRPr="00392B9E">
        <w:rPr>
          <w:lang w:val="fr-CA"/>
        </w:rPr>
        <w:t>24</w:t>
      </w:r>
      <w:r w:rsidR="0053286F" w:rsidRPr="00392B9E">
        <w:rPr>
          <w:lang w:val="fr-CA"/>
        </w:rPr>
        <w:t xml:space="preserve"> </w:t>
      </w:r>
      <w:r w:rsidR="002A7F67" w:rsidRPr="00392B9E">
        <w:rPr>
          <w:lang w:val="fr-CA"/>
        </w:rPr>
        <w:t>mars</w:t>
      </w:r>
      <w:r w:rsidR="00364285" w:rsidRPr="00392B9E">
        <w:rPr>
          <w:lang w:val="fr-CA"/>
        </w:rPr>
        <w:t xml:space="preserve"> 20</w:t>
      </w:r>
      <w:r w:rsidR="00ED24DA" w:rsidRPr="00392B9E">
        <w:rPr>
          <w:lang w:val="fr-CA"/>
        </w:rPr>
        <w:t>2</w:t>
      </w:r>
      <w:r w:rsidR="00D3650C" w:rsidRPr="00392B9E">
        <w:rPr>
          <w:lang w:val="fr-CA"/>
        </w:rPr>
        <w:t>3</w:t>
      </w:r>
      <w:r w:rsidR="00645CF5" w:rsidRPr="00392B9E">
        <w:rPr>
          <w:lang w:val="fr-CA"/>
        </w:rPr>
        <w:t>.</w:t>
      </w:r>
    </w:p>
    <w:p w:rsidR="00D32CC0" w:rsidRPr="00392B9E" w:rsidRDefault="00D32CC0" w:rsidP="006F2579">
      <w:pPr>
        <w:widowControl w:val="0"/>
        <w:rPr>
          <w:lang w:val="fr-CA"/>
        </w:rPr>
      </w:pPr>
    </w:p>
    <w:p w:rsidR="00493382" w:rsidRPr="00392B9E" w:rsidRDefault="00707CEA" w:rsidP="006F2579">
      <w:pPr>
        <w:widowControl w:val="0"/>
        <w:rPr>
          <w:lang w:val="fr-CA"/>
        </w:rPr>
      </w:pPr>
      <w:r>
        <w:rPr>
          <w:sz w:val="20"/>
        </w:rPr>
        <w:pict>
          <v:rect id="_x0000_i1025" style="width:2in;height:1pt" o:hrpct="0" o:hralign="center" o:hrstd="t" o:hrnoshade="t" o:hr="t" fillcolor="black [3213]" stroked="f"/>
        </w:pict>
      </w:r>
    </w:p>
    <w:p w:rsidR="004F46E6" w:rsidRPr="00392B9E" w:rsidRDefault="004F46E6" w:rsidP="004F46E6">
      <w:pPr>
        <w:widowControl w:val="0"/>
        <w:rPr>
          <w:sz w:val="16"/>
          <w:szCs w:val="16"/>
        </w:rPr>
      </w:pPr>
    </w:p>
    <w:tbl>
      <w:tblPr>
        <w:tblW w:w="5149" w:type="pct"/>
        <w:tblCellMar>
          <w:top w:w="15" w:type="dxa"/>
          <w:left w:w="15" w:type="dxa"/>
          <w:bottom w:w="15" w:type="dxa"/>
          <w:right w:w="15" w:type="dxa"/>
        </w:tblCellMar>
        <w:tblLook w:val="04A0" w:firstRow="1" w:lastRow="0" w:firstColumn="1" w:lastColumn="0" w:noHBand="0" w:noVBand="1"/>
      </w:tblPr>
      <w:tblGrid>
        <w:gridCol w:w="2410"/>
        <w:gridCol w:w="7229"/>
      </w:tblGrid>
      <w:tr w:rsidR="004F1AF3" w:rsidRPr="00707CEA" w:rsidTr="004F1AF3">
        <w:trPr>
          <w:trHeight w:val="561"/>
        </w:trPr>
        <w:tc>
          <w:tcPr>
            <w:tcW w:w="1250" w:type="pct"/>
            <w:shd w:val="clear" w:color="auto" w:fill="auto"/>
            <w:tcMar>
              <w:top w:w="0" w:type="dxa"/>
              <w:left w:w="45" w:type="dxa"/>
              <w:bottom w:w="0" w:type="dxa"/>
              <w:right w:w="45" w:type="dxa"/>
            </w:tcMar>
            <w:hideMark/>
          </w:tcPr>
          <w:p w:rsidR="004F1AF3" w:rsidRPr="00392B9E" w:rsidRDefault="004F1AF3" w:rsidP="007655B2">
            <w:pPr>
              <w:widowControl w:val="0"/>
              <w:spacing w:after="120"/>
              <w:rPr>
                <w:b/>
                <w:sz w:val="20"/>
              </w:rPr>
            </w:pPr>
            <w:r w:rsidRPr="00392B9E">
              <w:rPr>
                <w:b/>
                <w:sz w:val="20"/>
              </w:rPr>
              <w:t>DATE OF HEARING /</w:t>
            </w:r>
            <w:r w:rsidRPr="00392B9E">
              <w:rPr>
                <w:b/>
                <w:sz w:val="20"/>
              </w:rPr>
              <w:br/>
              <w:t>DATE D’AUDITION</w:t>
            </w:r>
          </w:p>
        </w:tc>
        <w:tc>
          <w:tcPr>
            <w:tcW w:w="3750" w:type="pct"/>
            <w:shd w:val="clear" w:color="auto" w:fill="auto"/>
            <w:tcMar>
              <w:top w:w="0" w:type="dxa"/>
              <w:left w:w="45" w:type="dxa"/>
              <w:bottom w:w="0" w:type="dxa"/>
              <w:right w:w="45" w:type="dxa"/>
            </w:tcMar>
            <w:hideMark/>
          </w:tcPr>
          <w:p w:rsidR="004F1AF3" w:rsidRPr="00392B9E" w:rsidRDefault="004F1AF3" w:rsidP="00A66695">
            <w:pPr>
              <w:widowControl w:val="0"/>
              <w:spacing w:after="120"/>
              <w:rPr>
                <w:b/>
                <w:sz w:val="20"/>
                <w:lang w:val="fr-CA"/>
              </w:rPr>
            </w:pPr>
            <w:r w:rsidRPr="00392B9E">
              <w:rPr>
                <w:b/>
                <w:sz w:val="20"/>
                <w:lang w:val="fr-CA"/>
              </w:rPr>
              <w:t>NAME AND CASE NUMBER /</w:t>
            </w:r>
            <w:r w:rsidRPr="00392B9E">
              <w:rPr>
                <w:b/>
                <w:sz w:val="20"/>
                <w:lang w:val="fr-CA"/>
              </w:rPr>
              <w:br/>
              <w:t>NOM DE LA CAUSE ET NUMÉRO</w:t>
            </w:r>
          </w:p>
        </w:tc>
      </w:tr>
      <w:tr w:rsidR="00292C0E" w:rsidRPr="00392B9E" w:rsidTr="005C7117">
        <w:trPr>
          <w:trHeight w:val="415"/>
        </w:trPr>
        <w:tc>
          <w:tcPr>
            <w:tcW w:w="1250" w:type="pct"/>
            <w:shd w:val="clear" w:color="auto" w:fill="auto"/>
            <w:tcMar>
              <w:top w:w="0" w:type="dxa"/>
              <w:left w:w="45" w:type="dxa"/>
              <w:bottom w:w="0" w:type="dxa"/>
              <w:right w:w="45" w:type="dxa"/>
            </w:tcMar>
          </w:tcPr>
          <w:p w:rsidR="00292C0E" w:rsidRPr="00392B9E" w:rsidRDefault="00932999" w:rsidP="002A7F67">
            <w:pPr>
              <w:rPr>
                <w:sz w:val="20"/>
              </w:rPr>
            </w:pPr>
            <w:r w:rsidRPr="00392B9E">
              <w:rPr>
                <w:color w:val="000000"/>
                <w:sz w:val="20"/>
              </w:rPr>
              <w:t>2023-0</w:t>
            </w:r>
            <w:r w:rsidR="002A7F67" w:rsidRPr="00392B9E">
              <w:rPr>
                <w:color w:val="000000"/>
                <w:sz w:val="20"/>
              </w:rPr>
              <w:t>3</w:t>
            </w:r>
            <w:r w:rsidRPr="00392B9E">
              <w:rPr>
                <w:color w:val="000000"/>
                <w:sz w:val="20"/>
              </w:rPr>
              <w:t>-</w:t>
            </w:r>
            <w:r w:rsidR="002A7F67" w:rsidRPr="00392B9E">
              <w:rPr>
                <w:color w:val="000000"/>
                <w:sz w:val="20"/>
              </w:rPr>
              <w:t>14</w:t>
            </w:r>
          </w:p>
        </w:tc>
        <w:tc>
          <w:tcPr>
            <w:tcW w:w="3750" w:type="pct"/>
            <w:shd w:val="clear" w:color="auto" w:fill="auto"/>
            <w:tcMar>
              <w:top w:w="0" w:type="dxa"/>
              <w:left w:w="45" w:type="dxa"/>
              <w:bottom w:w="0" w:type="dxa"/>
              <w:right w:w="45" w:type="dxa"/>
            </w:tcMar>
          </w:tcPr>
          <w:p w:rsidR="005D4B99" w:rsidRPr="00392B9E" w:rsidRDefault="002A7F67" w:rsidP="002A7F67">
            <w:pPr>
              <w:spacing w:after="120"/>
              <w:rPr>
                <w:iCs/>
                <w:sz w:val="20"/>
              </w:rPr>
            </w:pPr>
            <w:r w:rsidRPr="00392B9E">
              <w:rPr>
                <w:i/>
                <w:iCs/>
                <w:color w:val="000000"/>
                <w:sz w:val="20"/>
              </w:rPr>
              <w:t xml:space="preserve">Emanuel Kahsai v. His Majesty the King </w:t>
            </w:r>
            <w:r w:rsidRPr="00392B9E">
              <w:rPr>
                <w:iCs/>
                <w:color w:val="000000"/>
                <w:sz w:val="20"/>
              </w:rPr>
              <w:t>(Alta.) (Criminal) (As of Right) (</w:t>
            </w:r>
            <w:hyperlink r:id="rId8" w:history="1">
              <w:r w:rsidRPr="00392B9E">
                <w:rPr>
                  <w:rStyle w:val="Hyperlink"/>
                  <w:iCs/>
                  <w:sz w:val="20"/>
                </w:rPr>
                <w:t>40044</w:t>
              </w:r>
            </w:hyperlink>
            <w:r w:rsidRPr="00392B9E">
              <w:rPr>
                <w:iCs/>
                <w:color w:val="000000"/>
                <w:sz w:val="20"/>
              </w:rPr>
              <w:t>)</w:t>
            </w:r>
          </w:p>
        </w:tc>
      </w:tr>
      <w:tr w:rsidR="00E57045" w:rsidRPr="00707CEA" w:rsidTr="005C7117">
        <w:trPr>
          <w:trHeight w:val="415"/>
        </w:trPr>
        <w:tc>
          <w:tcPr>
            <w:tcW w:w="1250" w:type="pct"/>
            <w:shd w:val="clear" w:color="auto" w:fill="auto"/>
            <w:tcMar>
              <w:top w:w="0" w:type="dxa"/>
              <w:left w:w="45" w:type="dxa"/>
              <w:bottom w:w="0" w:type="dxa"/>
              <w:right w:w="45" w:type="dxa"/>
            </w:tcMar>
          </w:tcPr>
          <w:p w:rsidR="00E57045" w:rsidRPr="00392B9E" w:rsidRDefault="00932999" w:rsidP="002A7F67">
            <w:pPr>
              <w:rPr>
                <w:sz w:val="20"/>
              </w:rPr>
            </w:pPr>
            <w:r w:rsidRPr="00392B9E">
              <w:rPr>
                <w:color w:val="000000"/>
                <w:sz w:val="20"/>
              </w:rPr>
              <w:t>2023-0</w:t>
            </w:r>
            <w:r w:rsidR="002A7F67" w:rsidRPr="00392B9E">
              <w:rPr>
                <w:color w:val="000000"/>
                <w:sz w:val="20"/>
              </w:rPr>
              <w:t>3</w:t>
            </w:r>
            <w:r w:rsidRPr="00392B9E">
              <w:rPr>
                <w:color w:val="000000"/>
                <w:sz w:val="20"/>
              </w:rPr>
              <w:t>-</w:t>
            </w:r>
            <w:r w:rsidR="002A7F67" w:rsidRPr="00392B9E">
              <w:rPr>
                <w:color w:val="000000"/>
                <w:sz w:val="20"/>
              </w:rPr>
              <w:t>15</w:t>
            </w:r>
          </w:p>
        </w:tc>
        <w:tc>
          <w:tcPr>
            <w:tcW w:w="3750" w:type="pct"/>
            <w:shd w:val="clear" w:color="auto" w:fill="auto"/>
            <w:tcMar>
              <w:top w:w="0" w:type="dxa"/>
              <w:left w:w="45" w:type="dxa"/>
              <w:bottom w:w="0" w:type="dxa"/>
              <w:right w:w="45" w:type="dxa"/>
            </w:tcMar>
          </w:tcPr>
          <w:p w:rsidR="00E57045" w:rsidRPr="00392B9E" w:rsidRDefault="002A7F67" w:rsidP="002A7F67">
            <w:pPr>
              <w:spacing w:after="120"/>
              <w:rPr>
                <w:i/>
                <w:sz w:val="20"/>
                <w:lang w:val="fr-CA"/>
              </w:rPr>
            </w:pPr>
            <w:r w:rsidRPr="00392B9E">
              <w:rPr>
                <w:i/>
                <w:iCs/>
                <w:color w:val="000000"/>
                <w:sz w:val="20"/>
                <w:lang w:val="fr-CA"/>
              </w:rPr>
              <w:t xml:space="preserve">Sa Majesté le Roi c. Olivier Chatillon </w:t>
            </w:r>
            <w:r w:rsidRPr="00392B9E">
              <w:rPr>
                <w:iCs/>
                <w:color w:val="000000"/>
                <w:sz w:val="20"/>
                <w:lang w:val="fr-CA"/>
              </w:rPr>
              <w:t>(Qc) (Criminelle) (De plein droit) (</w:t>
            </w:r>
            <w:hyperlink r:id="rId9" w:history="1">
              <w:r w:rsidRPr="00392B9E">
                <w:rPr>
                  <w:rStyle w:val="Hyperlink"/>
                  <w:iCs/>
                  <w:sz w:val="20"/>
                  <w:lang w:val="fr-CA"/>
                </w:rPr>
                <w:t>40331</w:t>
              </w:r>
            </w:hyperlink>
            <w:r w:rsidRPr="00392B9E">
              <w:rPr>
                <w:iCs/>
                <w:color w:val="000000"/>
                <w:sz w:val="20"/>
                <w:lang w:val="fr-CA"/>
              </w:rPr>
              <w:t>)</w:t>
            </w:r>
          </w:p>
        </w:tc>
      </w:tr>
      <w:tr w:rsidR="00902477" w:rsidRPr="00392B9E" w:rsidTr="005C7117">
        <w:trPr>
          <w:trHeight w:val="415"/>
        </w:trPr>
        <w:tc>
          <w:tcPr>
            <w:tcW w:w="1250" w:type="pct"/>
            <w:shd w:val="clear" w:color="auto" w:fill="auto"/>
            <w:tcMar>
              <w:top w:w="0" w:type="dxa"/>
              <w:left w:w="45" w:type="dxa"/>
              <w:bottom w:w="0" w:type="dxa"/>
              <w:right w:w="45" w:type="dxa"/>
            </w:tcMar>
          </w:tcPr>
          <w:p w:rsidR="00902477" w:rsidRPr="00392B9E" w:rsidRDefault="00932999" w:rsidP="002A7F67">
            <w:pPr>
              <w:rPr>
                <w:sz w:val="20"/>
              </w:rPr>
            </w:pPr>
            <w:r w:rsidRPr="00392B9E">
              <w:rPr>
                <w:color w:val="000000"/>
                <w:sz w:val="20"/>
              </w:rPr>
              <w:t>2023-0</w:t>
            </w:r>
            <w:r w:rsidR="002A7F67" w:rsidRPr="00392B9E">
              <w:rPr>
                <w:color w:val="000000"/>
                <w:sz w:val="20"/>
              </w:rPr>
              <w:t>3-21 - 2023-03-22</w:t>
            </w:r>
          </w:p>
        </w:tc>
        <w:tc>
          <w:tcPr>
            <w:tcW w:w="3750" w:type="pct"/>
            <w:shd w:val="clear" w:color="auto" w:fill="auto"/>
            <w:tcMar>
              <w:top w:w="0" w:type="dxa"/>
              <w:left w:w="45" w:type="dxa"/>
              <w:bottom w:w="0" w:type="dxa"/>
              <w:right w:w="45" w:type="dxa"/>
            </w:tcMar>
          </w:tcPr>
          <w:p w:rsidR="00902477" w:rsidRPr="00392B9E" w:rsidRDefault="002A7F67" w:rsidP="002A7F67">
            <w:pPr>
              <w:spacing w:after="120"/>
              <w:rPr>
                <w:i/>
                <w:sz w:val="20"/>
              </w:rPr>
            </w:pPr>
            <w:r w:rsidRPr="00392B9E">
              <w:rPr>
                <w:i/>
                <w:iCs/>
                <w:color w:val="000000"/>
                <w:sz w:val="20"/>
              </w:rPr>
              <w:t xml:space="preserve">Attorney General of Canada v. Attorney General of Alberta </w:t>
            </w:r>
            <w:r w:rsidRPr="00392B9E">
              <w:rPr>
                <w:iCs/>
                <w:color w:val="000000"/>
                <w:sz w:val="20"/>
              </w:rPr>
              <w:t>(Alta.) (Civil) (As of Right) (</w:t>
            </w:r>
            <w:hyperlink r:id="rId10" w:history="1">
              <w:r w:rsidRPr="00392B9E">
                <w:rPr>
                  <w:rStyle w:val="Hyperlink"/>
                  <w:iCs/>
                  <w:sz w:val="20"/>
                </w:rPr>
                <w:t>40195</w:t>
              </w:r>
            </w:hyperlink>
            <w:r w:rsidRPr="00392B9E">
              <w:rPr>
                <w:iCs/>
                <w:color w:val="000000"/>
                <w:sz w:val="20"/>
              </w:rPr>
              <w:t>)</w:t>
            </w:r>
          </w:p>
        </w:tc>
      </w:tr>
    </w:tbl>
    <w:p w:rsidR="00BE50C2" w:rsidRPr="00392B9E" w:rsidRDefault="00BE50C2" w:rsidP="0048502A">
      <w:pPr>
        <w:widowControl w:val="0"/>
        <w:rPr>
          <w:sz w:val="20"/>
        </w:rPr>
      </w:pPr>
    </w:p>
    <w:p w:rsidR="00EE4187" w:rsidRPr="00392B9E" w:rsidRDefault="00EE4187" w:rsidP="00EE4187">
      <w:pPr>
        <w:widowControl w:val="0"/>
        <w:jc w:val="both"/>
        <w:rPr>
          <w:sz w:val="18"/>
          <w:szCs w:val="18"/>
        </w:rPr>
      </w:pPr>
      <w:r w:rsidRPr="00392B9E">
        <w:rPr>
          <w:b/>
          <w:sz w:val="18"/>
          <w:szCs w:val="18"/>
        </w:rPr>
        <w:t>NOTE:</w:t>
      </w:r>
      <w:r w:rsidRPr="00392B9E">
        <w:rPr>
          <w:sz w:val="18"/>
          <w:szCs w:val="18"/>
        </w:rPr>
        <w:t xml:space="preserve"> This agenda is subject to change. Hearings normally commence at 9:30 a.m.</w:t>
      </w:r>
      <w:r w:rsidR="00DF5D71" w:rsidRPr="00392B9E">
        <w:rPr>
          <w:sz w:val="18"/>
          <w:szCs w:val="18"/>
        </w:rPr>
        <w:t xml:space="preserve"> ET</w:t>
      </w:r>
      <w:r w:rsidRPr="00392B9E">
        <w:rPr>
          <w:sz w:val="18"/>
          <w:szCs w:val="18"/>
        </w:rPr>
        <w:t>; however, cases with multiple parties often commence at 9:00 a.m. Where two cases are scheduled on a given day, the second case may be heard immediately after the first one or at 2:00 p.m. Hearing dates and times should be confirmed with Registry staff at 613-996-8666.</w:t>
      </w:r>
    </w:p>
    <w:p w:rsidR="00EE4187" w:rsidRPr="00392B9E" w:rsidRDefault="00EE4187" w:rsidP="00EE4187">
      <w:pPr>
        <w:widowControl w:val="0"/>
        <w:jc w:val="both"/>
        <w:rPr>
          <w:sz w:val="18"/>
          <w:szCs w:val="18"/>
        </w:rPr>
      </w:pPr>
    </w:p>
    <w:p w:rsidR="00EE4187" w:rsidRPr="00392B9E" w:rsidRDefault="00EE4187" w:rsidP="00EE4187">
      <w:pPr>
        <w:jc w:val="both"/>
        <w:rPr>
          <w:sz w:val="18"/>
          <w:szCs w:val="18"/>
          <w:lang w:val="fr-CA"/>
        </w:rPr>
      </w:pPr>
      <w:r w:rsidRPr="00392B9E">
        <w:rPr>
          <w:sz w:val="18"/>
          <w:szCs w:val="18"/>
          <w:lang w:val="fr-CA"/>
        </w:rPr>
        <w:t>Ce calendrier est sujet à modification. Les audiences débutent normalement à 9</w:t>
      </w:r>
      <w:r w:rsidR="00DF5D71" w:rsidRPr="00392B9E">
        <w:rPr>
          <w:sz w:val="18"/>
          <w:szCs w:val="18"/>
          <w:lang w:val="fr-CA"/>
        </w:rPr>
        <w:t xml:space="preserve"> </w:t>
      </w:r>
      <w:r w:rsidRPr="00392B9E">
        <w:rPr>
          <w:sz w:val="18"/>
          <w:szCs w:val="18"/>
          <w:lang w:val="fr-CA"/>
        </w:rPr>
        <w:t>h</w:t>
      </w:r>
      <w:r w:rsidR="00DF5D71" w:rsidRPr="00392B9E">
        <w:rPr>
          <w:sz w:val="18"/>
          <w:szCs w:val="18"/>
          <w:lang w:val="fr-CA"/>
        </w:rPr>
        <w:t xml:space="preserve"> </w:t>
      </w:r>
      <w:r w:rsidRPr="00392B9E">
        <w:rPr>
          <w:sz w:val="18"/>
          <w:szCs w:val="18"/>
          <w:lang w:val="fr-CA"/>
        </w:rPr>
        <w:t>30</w:t>
      </w:r>
      <w:r w:rsidR="00DF5D71" w:rsidRPr="00392B9E">
        <w:rPr>
          <w:sz w:val="18"/>
          <w:szCs w:val="18"/>
          <w:lang w:val="fr-CA"/>
        </w:rPr>
        <w:t xml:space="preserve"> HE</w:t>
      </w:r>
      <w:r w:rsidRPr="00392B9E">
        <w:rPr>
          <w:sz w:val="18"/>
          <w:szCs w:val="18"/>
          <w:lang w:val="fr-CA"/>
        </w:rPr>
        <w:t>; toutefois; l’audition des affaires concernant des parties multiples commence souvent à 9 h. Lorsque deux affaires doivent être entendues le même jour, l’audition de la deuxième affaire peut avoir lieu immédiatement après celle de la première ou encore à 14 h. La date et l’heure d’une audience doivent être confirmées auprès du personnel du greffe au 613-996-8666.</w:t>
      </w:r>
    </w:p>
    <w:p w:rsidR="00EE4187" w:rsidRPr="00392B9E" w:rsidRDefault="00EE4187" w:rsidP="0052538B">
      <w:pPr>
        <w:widowControl w:val="0"/>
        <w:jc w:val="both"/>
        <w:rPr>
          <w:sz w:val="20"/>
          <w:lang w:val="fr-CA"/>
        </w:rPr>
      </w:pPr>
    </w:p>
    <w:p w:rsidR="00493382" w:rsidRPr="00392B9E" w:rsidRDefault="00707CEA" w:rsidP="0052538B">
      <w:pPr>
        <w:widowControl w:val="0"/>
        <w:jc w:val="both"/>
        <w:rPr>
          <w:sz w:val="20"/>
          <w:lang w:val="fr-CA"/>
        </w:rPr>
      </w:pPr>
      <w:r>
        <w:rPr>
          <w:sz w:val="20"/>
        </w:rPr>
        <w:pict>
          <v:rect id="_x0000_i1026" style="width:2in;height:1pt" o:hrpct="0" o:hralign="center" o:hrstd="t" o:hrnoshade="t" o:hr="t" fillcolor="black [3213]" stroked="f"/>
        </w:pict>
      </w:r>
    </w:p>
    <w:p w:rsidR="002A7F67" w:rsidRPr="00392B9E" w:rsidRDefault="002A7F67" w:rsidP="002A7F67">
      <w:pPr>
        <w:widowControl w:val="0"/>
        <w:tabs>
          <w:tab w:val="left" w:pos="720"/>
        </w:tabs>
        <w:ind w:left="1440" w:hanging="1440"/>
        <w:jc w:val="both"/>
        <w:rPr>
          <w:sz w:val="20"/>
          <w:lang w:val="en-CA"/>
        </w:rPr>
      </w:pPr>
      <w:bookmarkStart w:id="0" w:name="1"/>
      <w:bookmarkEnd w:id="0"/>
    </w:p>
    <w:p w:rsidR="002A7F67" w:rsidRPr="00392B9E" w:rsidRDefault="002A7F67" w:rsidP="002A7F67">
      <w:pPr>
        <w:widowControl w:val="0"/>
        <w:tabs>
          <w:tab w:val="left" w:pos="720"/>
        </w:tabs>
        <w:ind w:left="1440" w:hanging="1440"/>
        <w:jc w:val="both"/>
        <w:rPr>
          <w:b/>
          <w:i/>
          <w:sz w:val="20"/>
          <w:lang w:val="en-CA"/>
        </w:rPr>
      </w:pPr>
      <w:r w:rsidRPr="00392B9E">
        <w:rPr>
          <w:b/>
          <w:sz w:val="20"/>
          <w:lang w:val="en-CA"/>
        </w:rPr>
        <w:fldChar w:fldCharType="begin"/>
      </w:r>
      <w:r w:rsidRPr="00392B9E">
        <w:rPr>
          <w:b/>
          <w:sz w:val="20"/>
        </w:rPr>
        <w:instrText xml:space="preserve"> SEQ CHAPTER \h \r 1</w:instrText>
      </w:r>
      <w:r w:rsidRPr="00392B9E">
        <w:rPr>
          <w:b/>
          <w:sz w:val="20"/>
        </w:rPr>
        <w:fldChar w:fldCharType="end"/>
      </w:r>
      <w:r w:rsidRPr="00392B9E">
        <w:rPr>
          <w:b/>
          <w:sz w:val="20"/>
        </w:rPr>
        <w:t>40044</w:t>
      </w:r>
      <w:r w:rsidRPr="00392B9E">
        <w:rPr>
          <w:sz w:val="20"/>
          <w:lang w:val="en-CA"/>
        </w:rPr>
        <w:tab/>
      </w:r>
      <w:bookmarkStart w:id="1" w:name="3"/>
      <w:bookmarkEnd w:id="1"/>
      <w:r w:rsidRPr="00392B9E">
        <w:rPr>
          <w:b/>
          <w:i/>
          <w:sz w:val="20"/>
        </w:rPr>
        <w:t>Emanuel</w:t>
      </w:r>
      <w:r w:rsidRPr="00392B9E">
        <w:rPr>
          <w:b/>
          <w:bCs/>
          <w:i/>
          <w:sz w:val="20"/>
        </w:rPr>
        <w:t xml:space="preserve"> Kahsai v. His Majesty the King</w:t>
      </w:r>
    </w:p>
    <w:p w:rsidR="002A7F67" w:rsidRPr="00392B9E" w:rsidRDefault="002A7F67" w:rsidP="002A7F67">
      <w:pPr>
        <w:widowControl w:val="0"/>
        <w:tabs>
          <w:tab w:val="left" w:pos="720"/>
        </w:tabs>
        <w:ind w:left="1440" w:hanging="1440"/>
        <w:jc w:val="both"/>
        <w:rPr>
          <w:sz w:val="20"/>
          <w:lang w:val="en-CA"/>
        </w:rPr>
      </w:pPr>
      <w:r w:rsidRPr="00392B9E">
        <w:rPr>
          <w:sz w:val="20"/>
          <w:lang w:val="en-CA"/>
        </w:rPr>
        <w:tab/>
        <w:t>(</w:t>
      </w:r>
      <w:r w:rsidRPr="00392B9E">
        <w:rPr>
          <w:sz w:val="20"/>
        </w:rPr>
        <w:t>Alta</w:t>
      </w:r>
      <w:r w:rsidRPr="00392B9E">
        <w:rPr>
          <w:sz w:val="20"/>
          <w:lang w:val="en-CA"/>
        </w:rPr>
        <w:t>.) (Criminal) (As of Right)</w:t>
      </w:r>
    </w:p>
    <w:p w:rsidR="002A7F67" w:rsidRPr="00392B9E" w:rsidRDefault="002A7F67" w:rsidP="002A7F67">
      <w:pPr>
        <w:widowControl w:val="0"/>
        <w:jc w:val="both"/>
        <w:rPr>
          <w:sz w:val="20"/>
          <w:lang w:val="en-CA"/>
        </w:rPr>
      </w:pPr>
      <w:bookmarkStart w:id="2" w:name="QuickMark_1"/>
      <w:bookmarkEnd w:id="2"/>
    </w:p>
    <w:p w:rsidR="002A7F67" w:rsidRPr="00392B9E" w:rsidRDefault="002A7F67" w:rsidP="002A7F67">
      <w:pPr>
        <w:widowControl w:val="0"/>
        <w:jc w:val="both"/>
        <w:rPr>
          <w:sz w:val="20"/>
          <w:lang w:val="en-CA"/>
        </w:rPr>
      </w:pPr>
      <w:r w:rsidRPr="00392B9E">
        <w:rPr>
          <w:iCs/>
          <w:sz w:val="20"/>
        </w:rPr>
        <w:t>Criminal law — Trial —</w:t>
      </w:r>
      <w:r w:rsidRPr="00392B9E">
        <w:rPr>
          <w:i/>
          <w:iCs/>
          <w:sz w:val="20"/>
        </w:rPr>
        <w:t xml:space="preserve"> </w:t>
      </w:r>
      <w:r w:rsidRPr="00392B9E">
        <w:rPr>
          <w:iCs/>
          <w:sz w:val="20"/>
        </w:rPr>
        <w:t xml:space="preserve">Appointment of </w:t>
      </w:r>
      <w:r w:rsidRPr="00392B9E">
        <w:rPr>
          <w:i/>
          <w:iCs/>
          <w:sz w:val="20"/>
        </w:rPr>
        <w:t>amicus curiae</w:t>
      </w:r>
      <w:r w:rsidRPr="00392B9E">
        <w:rPr>
          <w:iCs/>
          <w:sz w:val="20"/>
        </w:rPr>
        <w:t xml:space="preserve"> — Role of </w:t>
      </w:r>
      <w:r w:rsidRPr="00392B9E">
        <w:rPr>
          <w:i/>
          <w:iCs/>
          <w:sz w:val="20"/>
        </w:rPr>
        <w:t>amicus curiae</w:t>
      </w:r>
      <w:r w:rsidRPr="00392B9E">
        <w:rPr>
          <w:iCs/>
          <w:sz w:val="20"/>
        </w:rPr>
        <w:t xml:space="preserve"> — Self</w:t>
      </w:r>
      <w:r w:rsidRPr="00392B9E">
        <w:rPr>
          <w:iCs/>
          <w:sz w:val="20"/>
        </w:rPr>
        <w:noBreakHyphen/>
        <w:t xml:space="preserve">represented accused — Trial fairness — </w:t>
      </w:r>
      <w:r w:rsidRPr="00392B9E">
        <w:rPr>
          <w:sz w:val="20"/>
          <w:lang w:val="en-CA"/>
        </w:rPr>
        <w:t xml:space="preserve">Did the trial judge’s failure to appoint </w:t>
      </w:r>
      <w:r w:rsidRPr="00392B9E">
        <w:rPr>
          <w:i/>
          <w:sz w:val="20"/>
          <w:lang w:val="en-CA"/>
        </w:rPr>
        <w:t>amicus curiae</w:t>
      </w:r>
      <w:r w:rsidRPr="00392B9E">
        <w:rPr>
          <w:sz w:val="20"/>
          <w:lang w:val="en-CA"/>
        </w:rPr>
        <w:t xml:space="preserve"> with a sufficient adversarial mandate result in a miscarriage of justice.</w:t>
      </w:r>
    </w:p>
    <w:p w:rsidR="002A7F67" w:rsidRPr="00392B9E" w:rsidRDefault="002A7F67" w:rsidP="002A7F67">
      <w:pPr>
        <w:widowControl w:val="0"/>
        <w:jc w:val="both"/>
        <w:rPr>
          <w:sz w:val="20"/>
          <w:lang w:val="en-CA"/>
        </w:rPr>
      </w:pPr>
    </w:p>
    <w:p w:rsidR="002A7F67" w:rsidRPr="00392B9E" w:rsidRDefault="002A7F67" w:rsidP="002A7F67">
      <w:pPr>
        <w:widowControl w:val="0"/>
        <w:jc w:val="both"/>
        <w:rPr>
          <w:iCs/>
          <w:sz w:val="20"/>
        </w:rPr>
      </w:pPr>
      <w:r w:rsidRPr="00392B9E">
        <w:rPr>
          <w:iCs/>
          <w:sz w:val="20"/>
          <w:lang w:val="en-CA"/>
        </w:rPr>
        <w:t xml:space="preserve">At trial, the appellant was convicted by a jury of two counts of first degree murder. </w:t>
      </w:r>
      <w:r w:rsidRPr="00392B9E">
        <w:rPr>
          <w:iCs/>
          <w:sz w:val="20"/>
        </w:rPr>
        <w:t xml:space="preserve">The appellant had refused to retain counsel subsequent to the preliminary inquiry and was adamant that he wanted to represent himself. Two separate </w:t>
      </w:r>
      <w:r w:rsidRPr="00392B9E">
        <w:rPr>
          <w:i/>
          <w:iCs/>
          <w:sz w:val="20"/>
        </w:rPr>
        <w:t>amicus curiae</w:t>
      </w:r>
      <w:r w:rsidRPr="00392B9E">
        <w:rPr>
          <w:iCs/>
          <w:sz w:val="20"/>
        </w:rPr>
        <w:t xml:space="preserve"> were appointed to assist the court at different times; however, he refused to co-operate with either.</w:t>
      </w:r>
      <w:r w:rsidRPr="00392B9E">
        <w:rPr>
          <w:iCs/>
          <w:sz w:val="20"/>
          <w:lang w:val="en-CA"/>
        </w:rPr>
        <w:t xml:space="preserve"> The </w:t>
      </w:r>
      <w:r w:rsidRPr="00392B9E">
        <w:rPr>
          <w:iCs/>
          <w:sz w:val="20"/>
          <w:lang w:val="en-CA"/>
        </w:rPr>
        <w:lastRenderedPageBreak/>
        <w:t xml:space="preserve">appellant appealed the convictions and alleged that the perceived fairness of the proceedings had been tainted due to the trial judge’s failure to appoint a partisan </w:t>
      </w:r>
      <w:r w:rsidRPr="00392B9E">
        <w:rPr>
          <w:i/>
          <w:iCs/>
          <w:sz w:val="20"/>
          <w:lang w:val="en-CA"/>
        </w:rPr>
        <w:t>amicus</w:t>
      </w:r>
      <w:r w:rsidRPr="00392B9E">
        <w:rPr>
          <w:i/>
          <w:sz w:val="20"/>
          <w:lang w:val="en-CA"/>
        </w:rPr>
        <w:t xml:space="preserve"> </w:t>
      </w:r>
      <w:r w:rsidRPr="00392B9E">
        <w:rPr>
          <w:i/>
          <w:iCs/>
          <w:sz w:val="20"/>
          <w:lang w:val="en-CA"/>
        </w:rPr>
        <w:t xml:space="preserve">curiae </w:t>
      </w:r>
      <w:r w:rsidRPr="00392B9E">
        <w:rPr>
          <w:iCs/>
          <w:sz w:val="20"/>
          <w:lang w:val="en-CA"/>
        </w:rPr>
        <w:t>at an early stage of proceedings, with instructions to take on the key responsibilities of defence counsel.</w:t>
      </w:r>
      <w:r w:rsidRPr="00392B9E">
        <w:rPr>
          <w:sz w:val="20"/>
          <w:lang w:val="en-CA"/>
        </w:rPr>
        <w:t xml:space="preserve"> </w:t>
      </w:r>
      <w:r w:rsidRPr="00392B9E">
        <w:rPr>
          <w:iCs/>
          <w:sz w:val="20"/>
          <w:lang w:val="en-CA"/>
        </w:rPr>
        <w:t xml:space="preserve">A majority of the Court of Appeal of Alberta found that there was no trial unfairness arising from the role of the </w:t>
      </w:r>
      <w:r w:rsidRPr="00392B9E">
        <w:rPr>
          <w:i/>
          <w:iCs/>
          <w:sz w:val="20"/>
          <w:lang w:val="en-CA"/>
        </w:rPr>
        <w:t>amicus curiae</w:t>
      </w:r>
      <w:r w:rsidRPr="00392B9E">
        <w:rPr>
          <w:iCs/>
          <w:sz w:val="20"/>
          <w:lang w:val="en-CA"/>
        </w:rPr>
        <w:t xml:space="preserve"> in this case, and dismissed the appeal. It held that the appellant</w:t>
      </w:r>
      <w:r w:rsidRPr="00392B9E">
        <w:rPr>
          <w:color w:val="000000"/>
          <w:sz w:val="20"/>
        </w:rPr>
        <w:t xml:space="preserve"> </w:t>
      </w:r>
      <w:r w:rsidRPr="00392B9E">
        <w:rPr>
          <w:iCs/>
          <w:sz w:val="20"/>
        </w:rPr>
        <w:t>made the full answer and defence he wanted to.</w:t>
      </w:r>
      <w:r w:rsidRPr="00392B9E">
        <w:rPr>
          <w:sz w:val="20"/>
          <w:lang w:val="en-CA"/>
        </w:rPr>
        <w:t xml:space="preserve"> </w:t>
      </w:r>
      <w:r w:rsidRPr="00392B9E">
        <w:rPr>
          <w:iCs/>
          <w:sz w:val="20"/>
          <w:lang w:val="en-CA"/>
        </w:rPr>
        <w:t xml:space="preserve">In dissent, O’Ferrall J.A. found that there was a miscarriage of justice. He would have allowed the appeal and </w:t>
      </w:r>
      <w:r w:rsidRPr="00392B9E">
        <w:rPr>
          <w:iCs/>
          <w:sz w:val="20"/>
        </w:rPr>
        <w:t xml:space="preserve">ordered a new trial at which the appellant would be represented by defence counsel or an </w:t>
      </w:r>
      <w:r w:rsidRPr="00392B9E">
        <w:rPr>
          <w:i/>
          <w:iCs/>
          <w:sz w:val="20"/>
        </w:rPr>
        <w:t>amicus</w:t>
      </w:r>
      <w:r w:rsidRPr="00392B9E">
        <w:rPr>
          <w:i/>
          <w:iCs/>
          <w:sz w:val="20"/>
          <w:lang w:val="en-CA"/>
        </w:rPr>
        <w:t xml:space="preserve"> curiae</w:t>
      </w:r>
      <w:r w:rsidRPr="00392B9E">
        <w:rPr>
          <w:iCs/>
          <w:sz w:val="20"/>
        </w:rPr>
        <w:t xml:space="preserve"> conferred with sufficient authority to advocate on his behalf, independent of the appellant’s wishes.</w:t>
      </w:r>
    </w:p>
    <w:p w:rsidR="002A7F67" w:rsidRPr="00392B9E" w:rsidRDefault="002A7F67" w:rsidP="002A7F67">
      <w:pPr>
        <w:widowControl w:val="0"/>
        <w:jc w:val="both"/>
        <w:rPr>
          <w:iCs/>
          <w:sz w:val="20"/>
        </w:rPr>
      </w:pPr>
    </w:p>
    <w:p w:rsidR="002A7F67" w:rsidRPr="00392B9E" w:rsidRDefault="00707CEA" w:rsidP="002A7F67">
      <w:pPr>
        <w:widowControl w:val="0"/>
        <w:jc w:val="both"/>
        <w:rPr>
          <w:iCs/>
          <w:sz w:val="20"/>
        </w:rPr>
      </w:pPr>
      <w:r>
        <w:rPr>
          <w:sz w:val="20"/>
        </w:rPr>
        <w:pict>
          <v:rect id="_x0000_i1027" style="width:2in;height:1pt" o:hrpct="0" o:hralign="center" o:hrstd="t" o:hrnoshade="t" o:hr="t" fillcolor="black [3213]" stroked="f"/>
        </w:pict>
      </w:r>
    </w:p>
    <w:p w:rsidR="002A7F67" w:rsidRPr="00392B9E" w:rsidRDefault="002A7F67" w:rsidP="002A7F67">
      <w:pPr>
        <w:widowControl w:val="0"/>
        <w:jc w:val="both"/>
        <w:rPr>
          <w:iCs/>
          <w:sz w:val="20"/>
          <w:lang w:val="en-CA"/>
        </w:rPr>
      </w:pPr>
    </w:p>
    <w:p w:rsidR="002A7F67" w:rsidRPr="00392B9E" w:rsidRDefault="002A7F67" w:rsidP="002A7F67">
      <w:pPr>
        <w:pStyle w:val="SCCLsocParty"/>
        <w:jc w:val="both"/>
        <w:rPr>
          <w:b/>
          <w:i/>
          <w:sz w:val="20"/>
          <w:szCs w:val="20"/>
        </w:rPr>
      </w:pPr>
      <w:r w:rsidRPr="00392B9E">
        <w:rPr>
          <w:rStyle w:val="SCCFileNumberChar"/>
          <w:sz w:val="20"/>
          <w:szCs w:val="20"/>
          <w:lang w:val="fr-CA"/>
        </w:rPr>
        <w:t>40044</w:t>
      </w:r>
      <w:r w:rsidRPr="00392B9E">
        <w:rPr>
          <w:rStyle w:val="SCCFileNumberChar"/>
          <w:sz w:val="20"/>
          <w:szCs w:val="20"/>
          <w:lang w:val="fr-CA"/>
        </w:rPr>
        <w:tab/>
      </w:r>
      <w:r w:rsidRPr="00392B9E">
        <w:rPr>
          <w:b/>
          <w:i/>
          <w:sz w:val="20"/>
          <w:szCs w:val="20"/>
        </w:rPr>
        <w:t>Emanuel Kahsai c. Sa Majesté le Roi</w:t>
      </w:r>
    </w:p>
    <w:p w:rsidR="002A7F67" w:rsidRPr="00392B9E" w:rsidRDefault="002A7F67" w:rsidP="002A7F67">
      <w:pPr>
        <w:widowControl w:val="0"/>
        <w:ind w:firstLine="720"/>
        <w:jc w:val="both"/>
        <w:rPr>
          <w:iCs/>
          <w:sz w:val="20"/>
          <w:lang w:val="fr-CA"/>
        </w:rPr>
      </w:pPr>
      <w:r w:rsidRPr="00392B9E">
        <w:rPr>
          <w:sz w:val="20"/>
          <w:lang w:val="fr-CA"/>
        </w:rPr>
        <w:t>(Alb.) (Criminelle) (De plein droit)</w:t>
      </w:r>
    </w:p>
    <w:p w:rsidR="002A7F67" w:rsidRPr="00392B9E" w:rsidRDefault="002A7F67" w:rsidP="002A7F67">
      <w:pPr>
        <w:widowControl w:val="0"/>
        <w:jc w:val="both"/>
        <w:rPr>
          <w:iCs/>
          <w:sz w:val="20"/>
          <w:lang w:val="fr-CA"/>
        </w:rPr>
      </w:pPr>
    </w:p>
    <w:p w:rsidR="002A7F67" w:rsidRPr="00392B9E" w:rsidRDefault="002A7F67" w:rsidP="002A7F67">
      <w:pPr>
        <w:jc w:val="both"/>
        <w:rPr>
          <w:sz w:val="20"/>
          <w:lang w:val="fr-CA"/>
        </w:rPr>
      </w:pPr>
      <w:r w:rsidRPr="00392B9E">
        <w:rPr>
          <w:sz w:val="20"/>
          <w:lang w:val="fr-CA"/>
        </w:rPr>
        <w:t xml:space="preserve">Droit criminel — Procès — Nomination d’un </w:t>
      </w:r>
      <w:r w:rsidRPr="00392B9E">
        <w:rPr>
          <w:i/>
          <w:iCs/>
          <w:sz w:val="20"/>
          <w:lang w:val="fr-CA"/>
        </w:rPr>
        <w:t>amicus curiae</w:t>
      </w:r>
      <w:r w:rsidRPr="00392B9E">
        <w:rPr>
          <w:sz w:val="20"/>
          <w:lang w:val="fr-CA"/>
        </w:rPr>
        <w:t xml:space="preserve"> — Rôle de l’</w:t>
      </w:r>
      <w:r w:rsidRPr="00392B9E">
        <w:rPr>
          <w:i/>
          <w:iCs/>
          <w:sz w:val="20"/>
          <w:lang w:val="fr-CA"/>
        </w:rPr>
        <w:t xml:space="preserve">amicus curiae </w:t>
      </w:r>
      <w:r w:rsidRPr="00392B9E">
        <w:rPr>
          <w:sz w:val="20"/>
          <w:lang w:val="fr-CA"/>
        </w:rPr>
        <w:t xml:space="preserve">— Accusé assurant lui-même sa défense — Équité du procès — L’omission par le juge du procès de nommer un </w:t>
      </w:r>
      <w:r w:rsidRPr="00392B9E">
        <w:rPr>
          <w:i/>
          <w:iCs/>
          <w:sz w:val="20"/>
          <w:lang w:val="fr-CA"/>
        </w:rPr>
        <w:t xml:space="preserve">amicus curiae </w:t>
      </w:r>
      <w:r w:rsidRPr="00392B9E">
        <w:rPr>
          <w:iCs/>
          <w:sz w:val="20"/>
          <w:lang w:val="fr-CA"/>
        </w:rPr>
        <w:t>ayant un mandat suffisamment contradictoire a-t-elle donné lieu à une erreur judiciaire ?</w:t>
      </w:r>
    </w:p>
    <w:p w:rsidR="002A7F67" w:rsidRPr="00392B9E" w:rsidRDefault="002A7F67" w:rsidP="002A7F67">
      <w:pPr>
        <w:widowControl w:val="0"/>
        <w:jc w:val="both"/>
        <w:rPr>
          <w:iCs/>
          <w:sz w:val="20"/>
          <w:lang w:val="fr-CA"/>
        </w:rPr>
      </w:pPr>
    </w:p>
    <w:p w:rsidR="002A7F67" w:rsidRPr="00392B9E" w:rsidRDefault="002A7F67" w:rsidP="002A7F67">
      <w:pPr>
        <w:widowControl w:val="0"/>
        <w:jc w:val="both"/>
        <w:rPr>
          <w:iCs/>
          <w:sz w:val="20"/>
          <w:lang w:val="fr-CA"/>
        </w:rPr>
      </w:pPr>
      <w:r w:rsidRPr="00392B9E">
        <w:rPr>
          <w:sz w:val="20"/>
          <w:lang w:val="fr-CA"/>
        </w:rPr>
        <w:t xml:space="preserve">Au procès, l’appelant a été déclaré coupable par un jury de deux chefs d’accusation de meurtre au premier degré. L’appelant avait refusé de retenir les services d’un avocat à la suite de l’enquête préliminaire et tenait absolument à assurer lui-même sa défense. Deux personnes </w:t>
      </w:r>
      <w:r w:rsidRPr="00392B9E">
        <w:rPr>
          <w:iCs/>
          <w:sz w:val="20"/>
          <w:lang w:val="fr-CA"/>
        </w:rPr>
        <w:t>distinctes ont été nommées en qualité d</w:t>
      </w:r>
      <w:r w:rsidRPr="00392B9E">
        <w:rPr>
          <w:sz w:val="20"/>
          <w:lang w:val="fr-CA"/>
        </w:rPr>
        <w:t>’</w:t>
      </w:r>
      <w:r w:rsidRPr="00392B9E">
        <w:rPr>
          <w:i/>
          <w:iCs/>
          <w:sz w:val="20"/>
          <w:lang w:val="fr-CA"/>
        </w:rPr>
        <w:t xml:space="preserve">amicus curiae </w:t>
      </w:r>
      <w:r w:rsidRPr="00392B9E">
        <w:rPr>
          <w:sz w:val="20"/>
          <w:lang w:val="fr-CA"/>
        </w:rPr>
        <w:t xml:space="preserve">pour aider le tribunal à des moments différents; par contre, l’appelant a refusé de coopérer avec chacun d'entre eux. L’appelant a porté les déclarations de culpabilité en appel et a fait valoir que l’équité perçue de l’instance avait été entachée parce que le juge du procès avait omis de nommer, en début d’instance, </w:t>
      </w:r>
      <w:r w:rsidRPr="00392B9E">
        <w:rPr>
          <w:i/>
          <w:iCs/>
          <w:sz w:val="20"/>
          <w:lang w:val="fr-CA"/>
        </w:rPr>
        <w:t xml:space="preserve"> un amicus curiae</w:t>
      </w:r>
      <w:r w:rsidRPr="00392B9E">
        <w:rPr>
          <w:sz w:val="20"/>
          <w:lang w:val="fr-CA"/>
        </w:rPr>
        <w:t xml:space="preserve"> « partisan » qui aurait reçu comme directives d’adopter les principales responsabilités d’un avocat de la défense. Les juges majoritaires de la Cour d’appel de l’Alberta ont conclu que le rôle de l’</w:t>
      </w:r>
      <w:r w:rsidRPr="00392B9E">
        <w:rPr>
          <w:i/>
          <w:sz w:val="20"/>
          <w:lang w:val="fr-CA"/>
        </w:rPr>
        <w:t>amicus curiae</w:t>
      </w:r>
      <w:r w:rsidRPr="00392B9E">
        <w:rPr>
          <w:sz w:val="20"/>
          <w:lang w:val="fr-CA"/>
        </w:rPr>
        <w:t xml:space="preserve"> n’avait pas donné lieu à un procès inéquitable en l’espèce, et ils ont rejeté l’appel. La Cour d’appel a statué que l’appelant avait présenté une défense pleine et entière, comme il le souhaitait. Dans des motifs dissidents, le juge O’Ferrall a conclu qu’il y avait eu erreur judiciaire. Il aurait accueilli l’appel et ordonné la tenue d’un nouveau procès où l’appelant serait représenté par un avocat de la défense ou un</w:t>
      </w:r>
      <w:r w:rsidRPr="00392B9E">
        <w:rPr>
          <w:i/>
          <w:iCs/>
          <w:sz w:val="20"/>
          <w:lang w:val="fr-CA"/>
        </w:rPr>
        <w:t xml:space="preserve"> amicus curiae</w:t>
      </w:r>
      <w:r w:rsidRPr="00392B9E">
        <w:rPr>
          <w:iCs/>
          <w:sz w:val="20"/>
          <w:lang w:val="fr-CA"/>
        </w:rPr>
        <w:t xml:space="preserve"> investi d’un pouvoir assez étendu pour défendre les intérêts de l’appelant, et ce, indépendamment de la volonté de ce dernier</w:t>
      </w:r>
      <w:r w:rsidRPr="00392B9E">
        <w:rPr>
          <w:sz w:val="20"/>
          <w:lang w:val="fr-CA"/>
        </w:rPr>
        <w:t>.</w:t>
      </w:r>
    </w:p>
    <w:p w:rsidR="002A7F67" w:rsidRPr="00392B9E" w:rsidRDefault="002A7F67" w:rsidP="002A7F67">
      <w:pPr>
        <w:jc w:val="both"/>
        <w:rPr>
          <w:sz w:val="20"/>
          <w:lang w:val="fr-CA"/>
        </w:rPr>
      </w:pPr>
    </w:p>
    <w:p w:rsidR="002A7F67" w:rsidRPr="00392B9E" w:rsidRDefault="00707CEA" w:rsidP="002A7F67">
      <w:pPr>
        <w:jc w:val="both"/>
        <w:rPr>
          <w:sz w:val="20"/>
          <w:lang w:val="fr-CA"/>
        </w:rPr>
      </w:pPr>
      <w:r>
        <w:rPr>
          <w:sz w:val="20"/>
        </w:rPr>
        <w:pict>
          <v:rect id="_x0000_i1028" style="width:2in;height:1pt" o:hrpct="0" o:hralign="center" o:hrstd="t" o:hrnoshade="t" o:hr="t" fillcolor="black [3213]" stroked="f"/>
        </w:pict>
      </w:r>
    </w:p>
    <w:p w:rsidR="002A7F67" w:rsidRPr="00392B9E" w:rsidRDefault="002A7F67" w:rsidP="002A7F67">
      <w:pPr>
        <w:jc w:val="both"/>
        <w:rPr>
          <w:sz w:val="20"/>
          <w:lang w:val="fr-CA"/>
        </w:rPr>
      </w:pPr>
    </w:p>
    <w:p w:rsidR="002A7F67" w:rsidRPr="00392B9E" w:rsidRDefault="002A7F67" w:rsidP="002A7F67">
      <w:pPr>
        <w:widowControl w:val="0"/>
        <w:tabs>
          <w:tab w:val="left" w:pos="720"/>
        </w:tabs>
        <w:ind w:left="2160" w:hanging="2160"/>
        <w:jc w:val="both"/>
        <w:rPr>
          <w:b/>
          <w:i/>
          <w:sz w:val="20"/>
          <w:lang w:val="en-CA"/>
        </w:rPr>
      </w:pPr>
      <w:r w:rsidRPr="00392B9E">
        <w:rPr>
          <w:b/>
          <w:sz w:val="20"/>
          <w:lang w:val="en-CA"/>
        </w:rPr>
        <w:t>40331</w:t>
      </w:r>
      <w:r w:rsidRPr="00392B9E">
        <w:rPr>
          <w:sz w:val="20"/>
          <w:lang w:val="en-CA"/>
        </w:rPr>
        <w:fldChar w:fldCharType="begin"/>
      </w:r>
      <w:r w:rsidRPr="00392B9E">
        <w:rPr>
          <w:sz w:val="20"/>
          <w:lang w:val="en-CA"/>
        </w:rPr>
        <w:instrText xml:space="preserve"> SEQ CHAPTER \h \r 1</w:instrText>
      </w:r>
      <w:r w:rsidRPr="00392B9E">
        <w:rPr>
          <w:sz w:val="20"/>
          <w:lang w:val="en-CA"/>
        </w:rPr>
        <w:fldChar w:fldCharType="end"/>
      </w:r>
      <w:r w:rsidRPr="00392B9E">
        <w:rPr>
          <w:sz w:val="20"/>
          <w:lang w:val="en-CA"/>
        </w:rPr>
        <w:tab/>
      </w:r>
      <w:r w:rsidRPr="00392B9E">
        <w:rPr>
          <w:b/>
          <w:i/>
          <w:sz w:val="20"/>
          <w:lang w:val="en-CA"/>
        </w:rPr>
        <w:t>His Majesty the King v. Olivier Chatillon</w:t>
      </w:r>
    </w:p>
    <w:p w:rsidR="002A7F67" w:rsidRPr="00392B9E" w:rsidRDefault="002A7F67" w:rsidP="002A7F67">
      <w:pPr>
        <w:widowControl w:val="0"/>
        <w:tabs>
          <w:tab w:val="left" w:pos="720"/>
        </w:tabs>
        <w:ind w:left="2160" w:hanging="2160"/>
        <w:jc w:val="both"/>
        <w:rPr>
          <w:sz w:val="20"/>
          <w:lang w:val="en-CA"/>
        </w:rPr>
      </w:pPr>
      <w:r w:rsidRPr="00392B9E">
        <w:rPr>
          <w:b/>
          <w:i/>
          <w:sz w:val="20"/>
          <w:lang w:val="en-CA"/>
        </w:rPr>
        <w:tab/>
      </w:r>
      <w:r w:rsidRPr="00392B9E">
        <w:rPr>
          <w:sz w:val="20"/>
          <w:lang w:val="en-CA"/>
        </w:rPr>
        <w:t>(Que.) (Criminal) (As of Right)</w:t>
      </w:r>
    </w:p>
    <w:p w:rsidR="002A7F67" w:rsidRPr="00392B9E" w:rsidRDefault="002A7F67" w:rsidP="002A7F67">
      <w:pPr>
        <w:widowControl w:val="0"/>
        <w:jc w:val="both"/>
        <w:rPr>
          <w:sz w:val="20"/>
          <w:lang w:val="en-CA"/>
        </w:rPr>
      </w:pPr>
    </w:p>
    <w:p w:rsidR="002A7F67" w:rsidRPr="00392B9E" w:rsidRDefault="002A7F67" w:rsidP="002A7F67">
      <w:pPr>
        <w:widowControl w:val="0"/>
        <w:tabs>
          <w:tab w:val="left" w:pos="720"/>
        </w:tabs>
        <w:ind w:left="1440" w:hanging="1440"/>
        <w:jc w:val="both"/>
        <w:rPr>
          <w:sz w:val="20"/>
          <w:lang w:val="en-CA"/>
        </w:rPr>
      </w:pPr>
      <w:r w:rsidRPr="00392B9E">
        <w:rPr>
          <w:sz w:val="20"/>
          <w:lang w:val="en-CA"/>
        </w:rPr>
        <w:t>(</w:t>
      </w:r>
      <w:r w:rsidRPr="00392B9E">
        <w:rPr>
          <w:smallCaps/>
          <w:sz w:val="20"/>
          <w:lang w:val="en-CA"/>
        </w:rPr>
        <w:t>Publication ban</w:t>
      </w:r>
      <w:r w:rsidRPr="00392B9E">
        <w:rPr>
          <w:sz w:val="20"/>
          <w:lang w:val="en-CA"/>
        </w:rPr>
        <w:t>)</w:t>
      </w:r>
    </w:p>
    <w:p w:rsidR="002A7F67" w:rsidRPr="00392B9E" w:rsidRDefault="002A7F67" w:rsidP="002A7F67">
      <w:pPr>
        <w:widowControl w:val="0"/>
        <w:jc w:val="both"/>
        <w:rPr>
          <w:sz w:val="20"/>
          <w:lang w:val="en-CA"/>
        </w:rPr>
      </w:pPr>
    </w:p>
    <w:p w:rsidR="002A7F67" w:rsidRPr="00392B9E" w:rsidRDefault="002A7F67" w:rsidP="002A7F67">
      <w:pPr>
        <w:widowControl w:val="0"/>
        <w:jc w:val="both"/>
        <w:rPr>
          <w:sz w:val="20"/>
          <w:lang w:val="en-CA"/>
        </w:rPr>
      </w:pPr>
      <w:r w:rsidRPr="00392B9E">
        <w:rPr>
          <w:sz w:val="20"/>
          <w:lang w:val="en-CA"/>
        </w:rPr>
        <w:t>Criminal law — Evidence — Admissibility — Admissions — Wigmore test — Whether majority of Quebec Court of Appeal erred in law in finding respondent’s admissions inadmissible on ground that they were privileged under Wigmore test.</w:t>
      </w:r>
    </w:p>
    <w:p w:rsidR="002A7F67" w:rsidRPr="00392B9E" w:rsidRDefault="002A7F67" w:rsidP="002A7F67">
      <w:pPr>
        <w:widowControl w:val="0"/>
        <w:jc w:val="both"/>
        <w:rPr>
          <w:sz w:val="20"/>
          <w:lang w:val="en-CA"/>
        </w:rPr>
      </w:pPr>
    </w:p>
    <w:p w:rsidR="002A7F67" w:rsidRPr="00392B9E" w:rsidRDefault="002A7F67" w:rsidP="002A7F67">
      <w:pPr>
        <w:widowControl w:val="0"/>
        <w:jc w:val="both"/>
        <w:rPr>
          <w:sz w:val="20"/>
          <w:lang w:val="en-CA"/>
        </w:rPr>
      </w:pPr>
      <w:r w:rsidRPr="00392B9E">
        <w:rPr>
          <w:sz w:val="20"/>
          <w:lang w:val="en-CA"/>
        </w:rPr>
        <w:t>After a trial in the Court of Québec, the respondent, Olivier Chatillon, was convicted of one count of sexual assault of a child. The trial judge held that the prosecution’s case could be based on the admissions made to the professionals who had assessed him, although he had met with them during an entirely voluntary therapeutic process to receive treatment for problems associated with substance abuse and sexual deviance. The Court of Appeal, for the reasons given by Vauclair J.A. and concurred in by Healy</w:t>
      </w:r>
      <w:r w:rsidRPr="00392B9E">
        <w:rPr>
          <w:sz w:val="20"/>
        </w:rPr>
        <w:t> J.A., granted the motion for leave to appeal, allowed the appeal and acquitted the respondent. It declared that the admissions were inadmissible in evidence based on its analysis of the Wigmore criteria for privilege. Mainville J.A., dissenting, would have dismissed the respondent’s appeal on the ground that the admissions were admissible because they were not privileged.</w:t>
      </w:r>
      <w:r w:rsidRPr="00392B9E">
        <w:rPr>
          <w:sz w:val="20"/>
          <w:lang w:val="en-CA"/>
        </w:rPr>
        <w:t xml:space="preserve"> By consenting to the disclosure of his admissions, the respondent had expressly waived their confidentiality. </w:t>
      </w:r>
    </w:p>
    <w:p w:rsidR="002A7F67" w:rsidRPr="00392B9E" w:rsidRDefault="002A7F67" w:rsidP="002A7F67">
      <w:pPr>
        <w:widowControl w:val="0"/>
        <w:jc w:val="both"/>
        <w:rPr>
          <w:sz w:val="20"/>
          <w:lang w:val="en-CA"/>
        </w:rPr>
      </w:pPr>
    </w:p>
    <w:p w:rsidR="002A7F67" w:rsidRPr="00392B9E" w:rsidRDefault="00707CEA" w:rsidP="002A7F67">
      <w:pPr>
        <w:widowControl w:val="0"/>
        <w:jc w:val="both"/>
        <w:rPr>
          <w:sz w:val="20"/>
          <w:lang w:val="en-CA"/>
        </w:rPr>
      </w:pPr>
      <w:r>
        <w:rPr>
          <w:sz w:val="20"/>
        </w:rPr>
        <w:pict>
          <v:rect id="_x0000_i1029" style="width:2in;height:1pt" o:hrpct="0" o:hralign="center" o:hrstd="t" o:hrnoshade="t" o:hr="t" fillcolor="black [3213]" stroked="f"/>
        </w:pict>
      </w:r>
    </w:p>
    <w:p w:rsidR="002A7F67" w:rsidRPr="00392B9E" w:rsidRDefault="002A7F67" w:rsidP="002A7F67">
      <w:pPr>
        <w:widowControl w:val="0"/>
        <w:jc w:val="both"/>
        <w:rPr>
          <w:sz w:val="20"/>
          <w:lang w:val="en-CA"/>
        </w:rPr>
      </w:pPr>
    </w:p>
    <w:p w:rsidR="002A7F67" w:rsidRPr="00392B9E" w:rsidRDefault="002A7F67" w:rsidP="002A7F67">
      <w:pPr>
        <w:widowControl w:val="0"/>
        <w:tabs>
          <w:tab w:val="left" w:pos="720"/>
        </w:tabs>
        <w:ind w:left="2160" w:hanging="2160"/>
        <w:jc w:val="both"/>
        <w:rPr>
          <w:b/>
          <w:i/>
          <w:sz w:val="20"/>
          <w:lang w:val="fr-CA"/>
        </w:rPr>
      </w:pPr>
      <w:r w:rsidRPr="00392B9E">
        <w:rPr>
          <w:b/>
          <w:sz w:val="20"/>
          <w:lang w:val="fr-CA"/>
        </w:rPr>
        <w:t>40331</w:t>
      </w:r>
      <w:r w:rsidRPr="00392B9E">
        <w:rPr>
          <w:sz w:val="20"/>
          <w:lang w:val="fr-CA"/>
        </w:rPr>
        <w:fldChar w:fldCharType="begin"/>
      </w:r>
      <w:r w:rsidRPr="00392B9E">
        <w:rPr>
          <w:sz w:val="20"/>
          <w:lang w:val="fr-CA"/>
        </w:rPr>
        <w:instrText xml:space="preserve"> SEQ CHAPTER \h \r 1</w:instrText>
      </w:r>
      <w:r w:rsidRPr="00392B9E">
        <w:rPr>
          <w:sz w:val="20"/>
          <w:lang w:val="fr-CA"/>
        </w:rPr>
        <w:fldChar w:fldCharType="end"/>
      </w:r>
      <w:r w:rsidRPr="00392B9E">
        <w:rPr>
          <w:sz w:val="20"/>
          <w:lang w:val="fr-CA"/>
        </w:rPr>
        <w:tab/>
      </w:r>
      <w:r w:rsidRPr="00392B9E">
        <w:rPr>
          <w:b/>
          <w:i/>
          <w:sz w:val="20"/>
          <w:lang w:val="fr-CA"/>
        </w:rPr>
        <w:t>Sa Majesté le Roi c. Olivier Chatillon</w:t>
      </w:r>
    </w:p>
    <w:p w:rsidR="002A7F67" w:rsidRPr="00392B9E" w:rsidRDefault="002A7F67" w:rsidP="002A7F67">
      <w:pPr>
        <w:widowControl w:val="0"/>
        <w:tabs>
          <w:tab w:val="left" w:pos="720"/>
        </w:tabs>
        <w:ind w:left="2160" w:hanging="2160"/>
        <w:jc w:val="both"/>
        <w:rPr>
          <w:sz w:val="20"/>
          <w:lang w:val="fr-CA"/>
        </w:rPr>
      </w:pPr>
      <w:r w:rsidRPr="00392B9E">
        <w:rPr>
          <w:b/>
          <w:i/>
          <w:sz w:val="20"/>
          <w:lang w:val="fr-CA"/>
        </w:rPr>
        <w:tab/>
      </w:r>
      <w:r w:rsidRPr="00392B9E">
        <w:rPr>
          <w:sz w:val="20"/>
          <w:lang w:val="fr-CA"/>
        </w:rPr>
        <w:t>(Qc) (Criminelle) (De plein droit)</w:t>
      </w:r>
    </w:p>
    <w:p w:rsidR="002A7F67" w:rsidRPr="00392B9E" w:rsidRDefault="002A7F67" w:rsidP="002A7F67">
      <w:pPr>
        <w:widowControl w:val="0"/>
        <w:jc w:val="both"/>
        <w:rPr>
          <w:sz w:val="20"/>
          <w:lang w:val="fr-CA"/>
        </w:rPr>
      </w:pPr>
    </w:p>
    <w:p w:rsidR="002A7F67" w:rsidRPr="00392B9E" w:rsidRDefault="002A7F67" w:rsidP="002A7F67">
      <w:pPr>
        <w:widowControl w:val="0"/>
        <w:tabs>
          <w:tab w:val="left" w:pos="720"/>
        </w:tabs>
        <w:ind w:left="1440" w:hanging="1440"/>
        <w:jc w:val="both"/>
        <w:rPr>
          <w:sz w:val="20"/>
          <w:lang w:val="fr-CA"/>
        </w:rPr>
      </w:pPr>
      <w:r w:rsidRPr="00392B9E">
        <w:rPr>
          <w:sz w:val="20"/>
          <w:lang w:val="fr-CA"/>
        </w:rPr>
        <w:lastRenderedPageBreak/>
        <w:t>(</w:t>
      </w:r>
      <w:r w:rsidRPr="00392B9E">
        <w:rPr>
          <w:smallCaps/>
          <w:sz w:val="20"/>
          <w:lang w:val="fr-CA"/>
        </w:rPr>
        <w:t>Ordonnance de non</w:t>
      </w:r>
      <w:r w:rsidRPr="00392B9E">
        <w:rPr>
          <w:smallCaps/>
          <w:sz w:val="20"/>
          <w:lang w:val="fr-CA"/>
        </w:rPr>
        <w:noBreakHyphen/>
        <w:t>publication</w:t>
      </w:r>
      <w:r w:rsidRPr="00392B9E">
        <w:rPr>
          <w:sz w:val="20"/>
          <w:lang w:val="fr-CA"/>
        </w:rPr>
        <w:t>)</w:t>
      </w:r>
    </w:p>
    <w:p w:rsidR="002A7F67" w:rsidRPr="00392B9E" w:rsidRDefault="002A7F67" w:rsidP="002A7F67">
      <w:pPr>
        <w:widowControl w:val="0"/>
        <w:jc w:val="both"/>
        <w:rPr>
          <w:sz w:val="20"/>
          <w:lang w:val="fr-CA"/>
        </w:rPr>
      </w:pPr>
    </w:p>
    <w:p w:rsidR="002A7F67" w:rsidRPr="00392B9E" w:rsidRDefault="002A7F67" w:rsidP="002A7F67">
      <w:pPr>
        <w:widowControl w:val="0"/>
        <w:jc w:val="both"/>
        <w:rPr>
          <w:sz w:val="20"/>
          <w:lang w:val="fr-CA"/>
        </w:rPr>
      </w:pPr>
      <w:r w:rsidRPr="00392B9E">
        <w:rPr>
          <w:sz w:val="20"/>
          <w:lang w:val="fr-CA"/>
        </w:rPr>
        <w:t>Droit criminel — Preuve — Admissibilité — Aveux — Test de Wigmore — Les juges majoritaires de la Cour d’appel du Québec ont-ils erré en droit en concluant à l’inadmissibilité des aveux de l’intimé au motif qu’ils étaient privilégiés selon le critère de Wigmore?</w:t>
      </w:r>
    </w:p>
    <w:p w:rsidR="002A7F67" w:rsidRPr="00392B9E" w:rsidRDefault="002A7F67" w:rsidP="002A7F67">
      <w:pPr>
        <w:widowControl w:val="0"/>
        <w:jc w:val="both"/>
        <w:rPr>
          <w:sz w:val="20"/>
          <w:lang w:val="fr-CA"/>
        </w:rPr>
      </w:pPr>
    </w:p>
    <w:p w:rsidR="002A7F67" w:rsidRPr="00392B9E" w:rsidRDefault="002A7F67" w:rsidP="002A7F67">
      <w:pPr>
        <w:widowControl w:val="0"/>
        <w:jc w:val="both"/>
        <w:rPr>
          <w:sz w:val="20"/>
          <w:lang w:val="fr-CA"/>
        </w:rPr>
      </w:pPr>
      <w:r w:rsidRPr="00392B9E">
        <w:rPr>
          <w:sz w:val="20"/>
          <w:lang w:val="fr-CA"/>
        </w:rPr>
        <w:t xml:space="preserve">Au terme d’un procès devant la Cour du Québec, l’intimé, Olivier Chatillon, est déclaré coupable d’un chef d’agression sexuelle sur une enfant. Le juge du procès conclut que la preuve de la poursuite pouvait reposer sur les aveux faits aux professionnels qui l’évaluaient, alors qu’il les rencontrait dans une démarche entièrement volontaire en thérapie pour recevoir des soins en lien avec des problèmes liés à l’abus de substance et de la nature d’une déviance sexuelle. La Cour d’appel, pour les motifs du juge Vauclair auxquels souscrit le juge Healy, accueille la requête pour autorisation d’appel, accueille l’appel et acquitte l’intimé. Elle déclare que les aveux sont inadmissibles en preuve, suivant son analyse des critères du privilège selon Wigmore. Le juge Mainville, dissident, aurait rejeté l’appel de l’intimé, au motif que les aveux étaient admissibles, puisque non protégés par un privilège. En consentant à la divulgation de ses aveux, l’intimé a explicitement renoncé au caractère confidentiel de ceux-ci. </w:t>
      </w:r>
    </w:p>
    <w:p w:rsidR="002A7F67" w:rsidRPr="00392B9E" w:rsidRDefault="002A7F67" w:rsidP="002A7F67">
      <w:pPr>
        <w:widowControl w:val="0"/>
        <w:jc w:val="both"/>
        <w:rPr>
          <w:sz w:val="20"/>
          <w:lang w:val="fr-CA"/>
        </w:rPr>
      </w:pPr>
    </w:p>
    <w:p w:rsidR="002A7F67" w:rsidRPr="00392B9E" w:rsidRDefault="00707CEA" w:rsidP="002A7F67">
      <w:pPr>
        <w:widowControl w:val="0"/>
        <w:jc w:val="both"/>
        <w:rPr>
          <w:sz w:val="20"/>
          <w:lang w:val="fr-CA"/>
        </w:rPr>
      </w:pPr>
      <w:r>
        <w:rPr>
          <w:sz w:val="20"/>
        </w:rPr>
        <w:pict>
          <v:rect id="_x0000_i1030" style="width:2in;height:1pt" o:hrpct="0" o:hralign="center" o:hrstd="t" o:hrnoshade="t" o:hr="t" fillcolor="black [3213]" stroked="f"/>
        </w:pict>
      </w:r>
    </w:p>
    <w:p w:rsidR="002A7F67" w:rsidRPr="00392B9E" w:rsidRDefault="002A7F67" w:rsidP="002A7F67">
      <w:pPr>
        <w:jc w:val="both"/>
        <w:rPr>
          <w:sz w:val="20"/>
          <w:lang w:val="fr-CA"/>
        </w:rPr>
      </w:pPr>
    </w:p>
    <w:p w:rsidR="002A7F67" w:rsidRPr="00392B9E" w:rsidRDefault="002A7F67" w:rsidP="002A7F67">
      <w:pPr>
        <w:widowControl w:val="0"/>
        <w:tabs>
          <w:tab w:val="left" w:pos="450"/>
          <w:tab w:val="left" w:pos="720"/>
        </w:tabs>
        <w:ind w:left="1440" w:hanging="1440"/>
        <w:jc w:val="both"/>
        <w:rPr>
          <w:b/>
          <w:i/>
          <w:sz w:val="20"/>
          <w:lang w:val="en-CA"/>
        </w:rPr>
      </w:pPr>
      <w:r w:rsidRPr="00392B9E">
        <w:rPr>
          <w:b/>
          <w:sz w:val="20"/>
          <w:lang w:val="en-CA"/>
        </w:rPr>
        <w:fldChar w:fldCharType="begin"/>
      </w:r>
      <w:r w:rsidRPr="00392B9E">
        <w:rPr>
          <w:b/>
          <w:sz w:val="20"/>
        </w:rPr>
        <w:instrText xml:space="preserve"> SEQ CHAPTER \h \r 1</w:instrText>
      </w:r>
      <w:r w:rsidRPr="00392B9E">
        <w:rPr>
          <w:b/>
          <w:sz w:val="20"/>
        </w:rPr>
        <w:fldChar w:fldCharType="end"/>
      </w:r>
      <w:r w:rsidRPr="00392B9E">
        <w:rPr>
          <w:b/>
          <w:sz w:val="20"/>
          <w:lang w:val="en-CA"/>
        </w:rPr>
        <w:t>40195</w:t>
      </w:r>
      <w:r w:rsidRPr="00392B9E">
        <w:rPr>
          <w:sz w:val="20"/>
          <w:lang w:val="en-CA"/>
        </w:rPr>
        <w:tab/>
      </w:r>
      <w:r w:rsidRPr="00392B9E">
        <w:rPr>
          <w:b/>
          <w:i/>
          <w:sz w:val="20"/>
          <w:lang w:val="en-CA"/>
        </w:rPr>
        <w:t>Attorney General of Canada v. Attorney General of Alberta</w:t>
      </w:r>
    </w:p>
    <w:p w:rsidR="002A7F67" w:rsidRPr="00392B9E" w:rsidRDefault="002A7F67" w:rsidP="002A7F67">
      <w:pPr>
        <w:widowControl w:val="0"/>
        <w:tabs>
          <w:tab w:val="left" w:pos="720"/>
        </w:tabs>
        <w:ind w:left="1440" w:hanging="1440"/>
        <w:jc w:val="both"/>
        <w:rPr>
          <w:sz w:val="20"/>
          <w:lang w:val="en-CA"/>
        </w:rPr>
      </w:pPr>
      <w:r w:rsidRPr="00392B9E">
        <w:rPr>
          <w:sz w:val="20"/>
          <w:lang w:val="en-CA"/>
        </w:rPr>
        <w:tab/>
        <w:t>(Al</w:t>
      </w:r>
      <w:r w:rsidR="00707CEA">
        <w:rPr>
          <w:sz w:val="20"/>
          <w:lang w:val="en-CA"/>
        </w:rPr>
        <w:t>ta.</w:t>
      </w:r>
      <w:r w:rsidRPr="00392B9E">
        <w:rPr>
          <w:sz w:val="20"/>
          <w:lang w:val="en-CA"/>
        </w:rPr>
        <w:t>) (Civil) (As of Right)</w:t>
      </w:r>
    </w:p>
    <w:p w:rsidR="002A7F67" w:rsidRPr="00392B9E" w:rsidRDefault="002A7F67" w:rsidP="002A7F67">
      <w:pPr>
        <w:widowControl w:val="0"/>
        <w:jc w:val="both"/>
        <w:rPr>
          <w:sz w:val="20"/>
          <w:lang w:val="en-CA"/>
        </w:rPr>
      </w:pPr>
    </w:p>
    <w:p w:rsidR="002A7F67" w:rsidRPr="00392B9E" w:rsidRDefault="002A7F67" w:rsidP="002A7F67">
      <w:pPr>
        <w:widowControl w:val="0"/>
        <w:jc w:val="both"/>
        <w:rPr>
          <w:sz w:val="20"/>
        </w:rPr>
      </w:pPr>
      <w:r w:rsidRPr="00392B9E">
        <w:rPr>
          <w:sz w:val="20"/>
          <w:lang w:val="en-CA"/>
        </w:rPr>
        <w:t xml:space="preserve">Constitutional law — </w:t>
      </w:r>
      <w:r w:rsidRPr="00392B9E">
        <w:rPr>
          <w:sz w:val="20"/>
        </w:rPr>
        <w:t xml:space="preserve">Division of powers </w:t>
      </w:r>
      <w:r w:rsidRPr="00392B9E">
        <w:rPr>
          <w:sz w:val="20"/>
          <w:lang w:val="en-CA"/>
        </w:rPr>
        <w:t xml:space="preserve">— Environment — Whether Part 1 of </w:t>
      </w:r>
      <w:r w:rsidRPr="00392B9E">
        <w:rPr>
          <w:i/>
          <w:sz w:val="20"/>
          <w:lang w:val="en-CA"/>
        </w:rPr>
        <w:t>An Act to enact the Impact Assessment Act and the Canadian Energy Regulator Act, to amend the Navigation Protection Act and to make consequential amendments to other Acts</w:t>
      </w:r>
      <w:r w:rsidRPr="00392B9E">
        <w:rPr>
          <w:sz w:val="20"/>
          <w:lang w:val="en-CA"/>
        </w:rPr>
        <w:t>, S.C. 2019, c. 28 (“</w:t>
      </w:r>
      <w:r w:rsidRPr="00392B9E">
        <w:rPr>
          <w:i/>
          <w:sz w:val="20"/>
          <w:lang w:val="en-CA"/>
        </w:rPr>
        <w:t>IAA</w:t>
      </w:r>
      <w:r w:rsidRPr="00392B9E">
        <w:rPr>
          <w:sz w:val="20"/>
          <w:lang w:val="en-CA"/>
        </w:rPr>
        <w:t xml:space="preserve">”), is </w:t>
      </w:r>
      <w:r w:rsidRPr="00392B9E">
        <w:rPr>
          <w:i/>
          <w:sz w:val="20"/>
          <w:lang w:val="en-CA"/>
        </w:rPr>
        <w:t>intra vires</w:t>
      </w:r>
      <w:r w:rsidRPr="00392B9E">
        <w:rPr>
          <w:sz w:val="20"/>
          <w:lang w:val="en-CA"/>
        </w:rPr>
        <w:t xml:space="preserve"> the legislative authority of the Parliament of Canada under the </w:t>
      </w:r>
      <w:r w:rsidRPr="00392B9E">
        <w:rPr>
          <w:i/>
          <w:sz w:val="20"/>
          <w:lang w:val="en-CA"/>
        </w:rPr>
        <w:t>Constitution Act, 1867</w:t>
      </w:r>
      <w:r w:rsidRPr="00392B9E">
        <w:rPr>
          <w:sz w:val="20"/>
          <w:lang w:val="en-CA"/>
        </w:rPr>
        <w:t xml:space="preserve"> — Whether the </w:t>
      </w:r>
      <w:r w:rsidRPr="00392B9E">
        <w:rPr>
          <w:i/>
          <w:sz w:val="20"/>
          <w:lang w:val="en-CA"/>
        </w:rPr>
        <w:t>Physical Activities Regulations</w:t>
      </w:r>
      <w:r w:rsidRPr="00392B9E">
        <w:rPr>
          <w:sz w:val="20"/>
          <w:lang w:val="en-CA"/>
        </w:rPr>
        <w:t>, SOR/2019</w:t>
      </w:r>
      <w:r w:rsidRPr="00392B9E">
        <w:rPr>
          <w:sz w:val="20"/>
          <w:lang w:val="en-CA"/>
        </w:rPr>
        <w:noBreakHyphen/>
        <w:t>285 (“</w:t>
      </w:r>
      <w:r w:rsidRPr="00392B9E">
        <w:rPr>
          <w:i/>
          <w:sz w:val="20"/>
          <w:lang w:val="en-CA"/>
        </w:rPr>
        <w:t>Regulations</w:t>
      </w:r>
      <w:r w:rsidRPr="00392B9E">
        <w:rPr>
          <w:sz w:val="20"/>
          <w:lang w:val="en-CA"/>
        </w:rPr>
        <w:t xml:space="preserve">”), are </w:t>
      </w:r>
      <w:r w:rsidRPr="00392B9E">
        <w:rPr>
          <w:i/>
          <w:sz w:val="20"/>
          <w:lang w:val="en-CA"/>
        </w:rPr>
        <w:t>intra vires</w:t>
      </w:r>
      <w:r w:rsidRPr="00392B9E">
        <w:rPr>
          <w:sz w:val="20"/>
          <w:lang w:val="en-CA"/>
        </w:rPr>
        <w:t xml:space="preserve"> the legislative authority of the Parliament of Canada under the </w:t>
      </w:r>
      <w:r w:rsidRPr="00392B9E">
        <w:rPr>
          <w:i/>
          <w:sz w:val="20"/>
          <w:lang w:val="en-CA"/>
        </w:rPr>
        <w:t>Constitution Act, 1867</w:t>
      </w:r>
      <w:r w:rsidRPr="00392B9E">
        <w:rPr>
          <w:sz w:val="20"/>
          <w:lang w:val="en-CA"/>
        </w:rPr>
        <w:t xml:space="preserve"> — Whether the Court of Appeal of Alberta erred in its characterization of the pith and substance of the </w:t>
      </w:r>
      <w:r w:rsidRPr="00392B9E">
        <w:rPr>
          <w:i/>
          <w:sz w:val="20"/>
          <w:lang w:val="en-CA"/>
        </w:rPr>
        <w:t>IAA</w:t>
      </w:r>
      <w:r w:rsidRPr="00392B9E">
        <w:rPr>
          <w:sz w:val="20"/>
          <w:lang w:val="en-CA"/>
        </w:rPr>
        <w:t xml:space="preserve"> and </w:t>
      </w:r>
      <w:r w:rsidRPr="00392B9E">
        <w:rPr>
          <w:i/>
          <w:sz w:val="20"/>
          <w:lang w:val="en-CA"/>
        </w:rPr>
        <w:t>Regulations</w:t>
      </w:r>
      <w:r w:rsidRPr="00392B9E">
        <w:rPr>
          <w:sz w:val="20"/>
          <w:lang w:val="en-CA"/>
        </w:rPr>
        <w:t xml:space="preserve"> — Whether the Court of Appeal of Alberta erred in its classification of the </w:t>
      </w:r>
      <w:r w:rsidRPr="00392B9E">
        <w:rPr>
          <w:i/>
          <w:sz w:val="20"/>
          <w:lang w:val="en-CA"/>
        </w:rPr>
        <w:t xml:space="preserve">IAA </w:t>
      </w:r>
      <w:r w:rsidRPr="00392B9E">
        <w:rPr>
          <w:sz w:val="20"/>
          <w:lang w:val="en-CA"/>
        </w:rPr>
        <w:t xml:space="preserve">and </w:t>
      </w:r>
      <w:r w:rsidRPr="00392B9E">
        <w:rPr>
          <w:i/>
          <w:sz w:val="20"/>
          <w:lang w:val="en-CA"/>
        </w:rPr>
        <w:t>Regulations</w:t>
      </w:r>
      <w:r w:rsidRPr="00392B9E">
        <w:rPr>
          <w:sz w:val="20"/>
          <w:lang w:val="en-CA"/>
        </w:rPr>
        <w:t xml:space="preserve"> — </w:t>
      </w:r>
      <w:r w:rsidRPr="00392B9E">
        <w:rPr>
          <w:sz w:val="20"/>
        </w:rPr>
        <w:t xml:space="preserve">Whether the Court of Appeal of Alberta erred in its application of the doctrine of interjurisdictional immunity to disapply the </w:t>
      </w:r>
      <w:r w:rsidRPr="00392B9E">
        <w:rPr>
          <w:i/>
          <w:sz w:val="20"/>
        </w:rPr>
        <w:t>IAA</w:t>
      </w:r>
      <w:r w:rsidRPr="00392B9E">
        <w:rPr>
          <w:sz w:val="20"/>
        </w:rPr>
        <w:t xml:space="preserve"> and </w:t>
      </w:r>
      <w:r w:rsidRPr="00392B9E">
        <w:rPr>
          <w:i/>
          <w:sz w:val="20"/>
        </w:rPr>
        <w:t>Regulations</w:t>
      </w:r>
      <w:r w:rsidRPr="00392B9E">
        <w:rPr>
          <w:sz w:val="20"/>
        </w:rPr>
        <w:t>.</w:t>
      </w:r>
    </w:p>
    <w:p w:rsidR="002A7F67" w:rsidRPr="00392B9E" w:rsidRDefault="002A7F67" w:rsidP="002A7F67">
      <w:pPr>
        <w:widowControl w:val="0"/>
        <w:jc w:val="both"/>
        <w:rPr>
          <w:sz w:val="20"/>
          <w:lang w:val="en-CA"/>
        </w:rPr>
      </w:pPr>
    </w:p>
    <w:p w:rsidR="002A7F67" w:rsidRPr="00392B9E" w:rsidRDefault="002A7F67" w:rsidP="002A7F67">
      <w:pPr>
        <w:widowControl w:val="0"/>
        <w:jc w:val="both"/>
        <w:rPr>
          <w:sz w:val="20"/>
        </w:rPr>
      </w:pPr>
      <w:r w:rsidRPr="00392B9E">
        <w:rPr>
          <w:sz w:val="20"/>
        </w:rPr>
        <w:t xml:space="preserve">The Government of Alberta sought the Court of Appeal of Alberta’s opinion on the constitutionality of the </w:t>
      </w:r>
      <w:r w:rsidRPr="00392B9E">
        <w:rPr>
          <w:i/>
          <w:sz w:val="20"/>
        </w:rPr>
        <w:t>Impact Assessment Act</w:t>
      </w:r>
      <w:r w:rsidRPr="00392B9E">
        <w:rPr>
          <w:sz w:val="20"/>
        </w:rPr>
        <w:t>, S.C. 2019, c. 28, s. 1 (“</w:t>
      </w:r>
      <w:r w:rsidRPr="00392B9E">
        <w:rPr>
          <w:i/>
          <w:sz w:val="20"/>
        </w:rPr>
        <w:t>IAA</w:t>
      </w:r>
      <w:r w:rsidRPr="00392B9E">
        <w:rPr>
          <w:sz w:val="20"/>
        </w:rPr>
        <w:t>”) (found in Part 1 of Bill C</w:t>
      </w:r>
      <w:r w:rsidRPr="00392B9E">
        <w:rPr>
          <w:sz w:val="20"/>
        </w:rPr>
        <w:noBreakHyphen/>
        <w:t>69, entitled</w:t>
      </w:r>
      <w:r w:rsidRPr="00392B9E">
        <w:rPr>
          <w:i/>
          <w:sz w:val="20"/>
        </w:rPr>
        <w:t xml:space="preserve"> An Act to enact the Impact Assessment Act and the Canadian Energy Regulator Act, to amend the Navigation Protection Act and to make consequential amendments to other Acts</w:t>
      </w:r>
      <w:r w:rsidRPr="00392B9E">
        <w:rPr>
          <w:sz w:val="20"/>
        </w:rPr>
        <w:t xml:space="preserve">, S.C. 2019, c. 28) and one of its associated regulations, the </w:t>
      </w:r>
      <w:r w:rsidRPr="00392B9E">
        <w:rPr>
          <w:i/>
          <w:sz w:val="20"/>
        </w:rPr>
        <w:t>Physical Activities Regulations</w:t>
      </w:r>
      <w:r w:rsidRPr="00392B9E">
        <w:rPr>
          <w:sz w:val="20"/>
        </w:rPr>
        <w:t>, SOR/2019</w:t>
      </w:r>
      <w:r w:rsidRPr="00392B9E">
        <w:rPr>
          <w:sz w:val="20"/>
        </w:rPr>
        <w:noBreakHyphen/>
        <w:t>285 (“</w:t>
      </w:r>
      <w:r w:rsidRPr="00392B9E">
        <w:rPr>
          <w:i/>
          <w:sz w:val="20"/>
        </w:rPr>
        <w:t>Regulations</w:t>
      </w:r>
      <w:r w:rsidRPr="00392B9E">
        <w:rPr>
          <w:sz w:val="20"/>
        </w:rPr>
        <w:t>”). The questions posed via Order in Council 160/2019 were as follows:</w:t>
      </w:r>
    </w:p>
    <w:p w:rsidR="002A7F67" w:rsidRPr="00392B9E" w:rsidRDefault="002A7F67" w:rsidP="002A7F67">
      <w:pPr>
        <w:widowControl w:val="0"/>
        <w:jc w:val="both"/>
        <w:rPr>
          <w:sz w:val="20"/>
        </w:rPr>
      </w:pPr>
    </w:p>
    <w:p w:rsidR="002A7F67" w:rsidRPr="00392B9E" w:rsidRDefault="002A7F67" w:rsidP="002A7F67">
      <w:pPr>
        <w:pStyle w:val="ListParagraph"/>
        <w:numPr>
          <w:ilvl w:val="0"/>
          <w:numId w:val="49"/>
        </w:numPr>
        <w:autoSpaceDE/>
        <w:autoSpaceDN/>
        <w:adjustRightInd/>
        <w:jc w:val="both"/>
        <w:rPr>
          <w:sz w:val="20"/>
          <w:szCs w:val="20"/>
        </w:rPr>
      </w:pPr>
      <w:r w:rsidRPr="00392B9E">
        <w:rPr>
          <w:sz w:val="20"/>
          <w:szCs w:val="20"/>
        </w:rPr>
        <w:t xml:space="preserve">Is Part 1 of </w:t>
      </w:r>
      <w:r w:rsidRPr="00392B9E">
        <w:rPr>
          <w:i/>
          <w:sz w:val="20"/>
          <w:szCs w:val="20"/>
        </w:rPr>
        <w:t>An Act to enact the Impact Assessment Act and the Canadian Energy Regulator Act, to amend the Navigation Protection Act and to make consequential amendments to other Acts</w:t>
      </w:r>
      <w:r w:rsidRPr="00392B9E">
        <w:rPr>
          <w:sz w:val="20"/>
          <w:szCs w:val="20"/>
        </w:rPr>
        <w:t>, S.C. 2019, c. 28, unconstitutional in whole or in part, as being beyond the legislative authority of the Parliament of Canada under the Constitution of Ca</w:t>
      </w:r>
      <w:bookmarkStart w:id="3" w:name="_GoBack"/>
      <w:bookmarkEnd w:id="3"/>
      <w:r w:rsidRPr="00392B9E">
        <w:rPr>
          <w:sz w:val="20"/>
          <w:szCs w:val="20"/>
        </w:rPr>
        <w:t>nada?</w:t>
      </w:r>
    </w:p>
    <w:p w:rsidR="002A7F67" w:rsidRPr="00392B9E" w:rsidRDefault="002A7F67" w:rsidP="002A7F67">
      <w:pPr>
        <w:widowControl w:val="0"/>
        <w:jc w:val="both"/>
        <w:rPr>
          <w:sz w:val="20"/>
        </w:rPr>
      </w:pPr>
    </w:p>
    <w:p w:rsidR="002A7F67" w:rsidRPr="00392B9E" w:rsidRDefault="002A7F67" w:rsidP="002A7F67">
      <w:pPr>
        <w:pStyle w:val="ListParagraph"/>
        <w:numPr>
          <w:ilvl w:val="0"/>
          <w:numId w:val="49"/>
        </w:numPr>
        <w:autoSpaceDE/>
        <w:autoSpaceDN/>
        <w:adjustRightInd/>
        <w:jc w:val="both"/>
        <w:rPr>
          <w:sz w:val="20"/>
          <w:szCs w:val="20"/>
        </w:rPr>
      </w:pPr>
      <w:r w:rsidRPr="00392B9E">
        <w:rPr>
          <w:sz w:val="20"/>
          <w:szCs w:val="20"/>
        </w:rPr>
        <w:t xml:space="preserve">Is the </w:t>
      </w:r>
      <w:r w:rsidRPr="00392B9E">
        <w:rPr>
          <w:i/>
          <w:sz w:val="20"/>
          <w:szCs w:val="20"/>
        </w:rPr>
        <w:t>Physical Activities Regulations</w:t>
      </w:r>
      <w:r w:rsidRPr="00392B9E">
        <w:rPr>
          <w:sz w:val="20"/>
          <w:szCs w:val="20"/>
        </w:rPr>
        <w:t>, SOR/2019</w:t>
      </w:r>
      <w:r w:rsidRPr="00392B9E">
        <w:rPr>
          <w:sz w:val="20"/>
          <w:szCs w:val="20"/>
        </w:rPr>
        <w:noBreakHyphen/>
        <w:t>285, unconstitutional in whole or in part by virtue of purporting to apply to certain activities listed in Schedule 2 thereof that relate to matters entirely within the legislative authority of the Provinces under the Constitution of Canada?</w:t>
      </w:r>
    </w:p>
    <w:p w:rsidR="002A7F67" w:rsidRPr="00392B9E" w:rsidRDefault="002A7F67" w:rsidP="002A7F67">
      <w:pPr>
        <w:widowControl w:val="0"/>
        <w:jc w:val="both"/>
        <w:rPr>
          <w:sz w:val="20"/>
        </w:rPr>
      </w:pPr>
    </w:p>
    <w:p w:rsidR="002A7F67" w:rsidRPr="00392B9E" w:rsidRDefault="002A7F67" w:rsidP="002A7F67">
      <w:pPr>
        <w:widowControl w:val="0"/>
        <w:jc w:val="both"/>
        <w:rPr>
          <w:sz w:val="20"/>
          <w:lang w:val="en-CA"/>
        </w:rPr>
      </w:pPr>
      <w:r w:rsidRPr="00392B9E">
        <w:rPr>
          <w:sz w:val="20"/>
        </w:rPr>
        <w:t xml:space="preserve">The majority of the Court of Appeal of Alberta was of the opinion that the </w:t>
      </w:r>
      <w:r w:rsidRPr="00392B9E">
        <w:rPr>
          <w:i/>
          <w:sz w:val="20"/>
        </w:rPr>
        <w:t>IAA</w:t>
      </w:r>
      <w:r w:rsidRPr="00392B9E">
        <w:rPr>
          <w:sz w:val="20"/>
        </w:rPr>
        <w:t xml:space="preserve"> is </w:t>
      </w:r>
      <w:r w:rsidRPr="00392B9E">
        <w:rPr>
          <w:i/>
          <w:sz w:val="20"/>
        </w:rPr>
        <w:t>ultra vires</w:t>
      </w:r>
      <w:r w:rsidRPr="00392B9E">
        <w:rPr>
          <w:sz w:val="20"/>
        </w:rPr>
        <w:t xml:space="preserve"> Parliament, and that the </w:t>
      </w:r>
      <w:r w:rsidRPr="00392B9E">
        <w:rPr>
          <w:i/>
          <w:sz w:val="20"/>
        </w:rPr>
        <w:t xml:space="preserve">IAA </w:t>
      </w:r>
      <w:r w:rsidRPr="00392B9E">
        <w:rPr>
          <w:sz w:val="20"/>
        </w:rPr>
        <w:t xml:space="preserve">and </w:t>
      </w:r>
      <w:r w:rsidRPr="00392B9E">
        <w:rPr>
          <w:i/>
          <w:sz w:val="20"/>
        </w:rPr>
        <w:t>Regulations</w:t>
      </w:r>
      <w:r w:rsidRPr="00392B9E">
        <w:rPr>
          <w:sz w:val="20"/>
        </w:rPr>
        <w:t xml:space="preserve"> are unconstitutional. </w:t>
      </w:r>
      <w:r w:rsidRPr="00392B9E">
        <w:rPr>
          <w:sz w:val="20"/>
          <w:lang w:val="en-CA"/>
        </w:rPr>
        <w:t xml:space="preserve">Greckol J.A., dissenting, was of the opinion that the </w:t>
      </w:r>
      <w:r w:rsidRPr="00392B9E">
        <w:rPr>
          <w:i/>
          <w:sz w:val="20"/>
          <w:lang w:val="en-CA"/>
        </w:rPr>
        <w:t>IAA</w:t>
      </w:r>
      <w:r w:rsidRPr="00392B9E">
        <w:rPr>
          <w:sz w:val="20"/>
          <w:lang w:val="en-CA"/>
        </w:rPr>
        <w:t xml:space="preserve"> and </w:t>
      </w:r>
      <w:r w:rsidRPr="00392B9E">
        <w:rPr>
          <w:i/>
          <w:sz w:val="20"/>
          <w:lang w:val="en-CA"/>
        </w:rPr>
        <w:t>Regulations</w:t>
      </w:r>
      <w:r w:rsidRPr="00392B9E">
        <w:rPr>
          <w:sz w:val="20"/>
          <w:lang w:val="en-CA"/>
        </w:rPr>
        <w:t xml:space="preserve"> are a valid exercise of Parliament’s authority to legislate on the matter of the environment.</w:t>
      </w:r>
    </w:p>
    <w:p w:rsidR="002A7F67" w:rsidRPr="00392B9E" w:rsidRDefault="002A7F67" w:rsidP="002A7F67">
      <w:pPr>
        <w:widowControl w:val="0"/>
        <w:jc w:val="both"/>
        <w:rPr>
          <w:sz w:val="20"/>
          <w:lang w:val="en-CA"/>
        </w:rPr>
      </w:pPr>
    </w:p>
    <w:p w:rsidR="002A7F67" w:rsidRPr="00392B9E" w:rsidRDefault="00707CEA" w:rsidP="002A7F67">
      <w:pPr>
        <w:widowControl w:val="0"/>
        <w:jc w:val="both"/>
        <w:rPr>
          <w:sz w:val="20"/>
          <w:lang w:val="en-CA"/>
        </w:rPr>
      </w:pPr>
      <w:r>
        <w:rPr>
          <w:sz w:val="20"/>
        </w:rPr>
        <w:pict>
          <v:rect id="_x0000_i1031" style="width:2in;height:1pt" o:hrpct="0" o:hralign="center" o:hrstd="t" o:hrnoshade="t" o:hr="t" fillcolor="black [3213]" stroked="f"/>
        </w:pict>
      </w:r>
    </w:p>
    <w:p w:rsidR="002A7F67" w:rsidRPr="00392B9E" w:rsidRDefault="002A7F67" w:rsidP="002A7F67">
      <w:pPr>
        <w:widowControl w:val="0"/>
        <w:jc w:val="both"/>
        <w:rPr>
          <w:sz w:val="20"/>
          <w:lang w:val="en-CA"/>
        </w:rPr>
      </w:pPr>
    </w:p>
    <w:p w:rsidR="002A7F67" w:rsidRPr="00392B9E" w:rsidRDefault="002A7F67" w:rsidP="002A7F67">
      <w:pPr>
        <w:widowControl w:val="0"/>
        <w:tabs>
          <w:tab w:val="left" w:pos="450"/>
          <w:tab w:val="left" w:pos="720"/>
        </w:tabs>
        <w:ind w:left="1440" w:hanging="1440"/>
        <w:jc w:val="both"/>
        <w:rPr>
          <w:b/>
          <w:i/>
          <w:sz w:val="20"/>
          <w:lang w:val="fr-CA"/>
        </w:rPr>
      </w:pPr>
      <w:r w:rsidRPr="00392B9E">
        <w:rPr>
          <w:b/>
          <w:sz w:val="20"/>
          <w:lang w:val="fr-CA"/>
        </w:rPr>
        <w:fldChar w:fldCharType="begin"/>
      </w:r>
      <w:r w:rsidRPr="00392B9E">
        <w:rPr>
          <w:b/>
          <w:sz w:val="20"/>
          <w:lang w:val="fr-CA"/>
        </w:rPr>
        <w:instrText xml:space="preserve"> SEQ CHAPTER \h \r 1</w:instrText>
      </w:r>
      <w:r w:rsidRPr="00392B9E">
        <w:rPr>
          <w:b/>
          <w:sz w:val="20"/>
          <w:lang w:val="fr-CA"/>
        </w:rPr>
        <w:fldChar w:fldCharType="end"/>
      </w:r>
      <w:r w:rsidRPr="00392B9E">
        <w:rPr>
          <w:b/>
          <w:sz w:val="20"/>
          <w:lang w:val="fr-CA"/>
        </w:rPr>
        <w:t>40195</w:t>
      </w:r>
      <w:r w:rsidRPr="00392B9E">
        <w:rPr>
          <w:sz w:val="20"/>
          <w:lang w:val="fr-CA"/>
        </w:rPr>
        <w:tab/>
      </w:r>
      <w:r w:rsidRPr="00392B9E">
        <w:rPr>
          <w:b/>
          <w:i/>
          <w:sz w:val="20"/>
          <w:lang w:val="fr-CA"/>
        </w:rPr>
        <w:t>Procureur général du Canada c. Procureur général de l’Alberta</w:t>
      </w:r>
    </w:p>
    <w:p w:rsidR="002A7F67" w:rsidRPr="00392B9E" w:rsidRDefault="002A7F67" w:rsidP="002A7F67">
      <w:pPr>
        <w:widowControl w:val="0"/>
        <w:tabs>
          <w:tab w:val="left" w:pos="720"/>
        </w:tabs>
        <w:ind w:left="1440" w:hanging="1440"/>
        <w:jc w:val="both"/>
        <w:rPr>
          <w:sz w:val="20"/>
          <w:lang w:val="fr-CA"/>
        </w:rPr>
      </w:pPr>
      <w:r w:rsidRPr="00392B9E">
        <w:rPr>
          <w:sz w:val="20"/>
          <w:lang w:val="fr-CA"/>
        </w:rPr>
        <w:tab/>
        <w:t>(Alb</w:t>
      </w:r>
      <w:r w:rsidR="00707CEA">
        <w:rPr>
          <w:sz w:val="20"/>
          <w:lang w:val="fr-CA"/>
        </w:rPr>
        <w:t>.</w:t>
      </w:r>
      <w:r w:rsidRPr="00392B9E">
        <w:rPr>
          <w:sz w:val="20"/>
          <w:lang w:val="fr-CA"/>
        </w:rPr>
        <w:t>) (Civile) (De plein droit)</w:t>
      </w:r>
    </w:p>
    <w:p w:rsidR="002A7F67" w:rsidRPr="00392B9E" w:rsidRDefault="002A7F67" w:rsidP="002A7F67">
      <w:pPr>
        <w:widowControl w:val="0"/>
        <w:jc w:val="both"/>
        <w:rPr>
          <w:sz w:val="20"/>
          <w:lang w:val="fr-CA"/>
        </w:rPr>
      </w:pPr>
    </w:p>
    <w:p w:rsidR="002A7F67" w:rsidRPr="00392B9E" w:rsidRDefault="002A7F67" w:rsidP="002A7F67">
      <w:pPr>
        <w:widowControl w:val="0"/>
        <w:jc w:val="both"/>
        <w:rPr>
          <w:sz w:val="20"/>
          <w:lang w:val="fr-CA"/>
        </w:rPr>
      </w:pPr>
      <w:r w:rsidRPr="00392B9E">
        <w:rPr>
          <w:sz w:val="20"/>
          <w:lang w:val="fr-CA"/>
        </w:rPr>
        <w:t xml:space="preserve">Droit constitutionnel — Partage des compétences — Environnement — La partie 1 de la </w:t>
      </w:r>
      <w:r w:rsidRPr="00392B9E">
        <w:rPr>
          <w:i/>
          <w:sz w:val="20"/>
          <w:lang w:val="fr-CA"/>
        </w:rPr>
        <w:t>Loi édictant la Loi sur l’évaluation d’impact et la Loi sur la Régie canadienne de l’énergie, modifiant la Loi sur la protection de la navigation et apportant des modifications corrélatives à d’autres lois</w:t>
      </w:r>
      <w:r w:rsidRPr="00392B9E">
        <w:rPr>
          <w:sz w:val="20"/>
          <w:lang w:val="fr-CA"/>
        </w:rPr>
        <w:t>, L.C. 2019, ch. 28 (« </w:t>
      </w:r>
      <w:r w:rsidRPr="00392B9E">
        <w:rPr>
          <w:i/>
          <w:sz w:val="20"/>
          <w:lang w:val="fr-CA"/>
        </w:rPr>
        <w:t>LÉI </w:t>
      </w:r>
      <w:r w:rsidRPr="00392B9E">
        <w:rPr>
          <w:sz w:val="20"/>
          <w:lang w:val="fr-CA"/>
        </w:rPr>
        <w:t>»), relève</w:t>
      </w:r>
      <w:r w:rsidRPr="00392B9E">
        <w:rPr>
          <w:sz w:val="20"/>
          <w:lang w:val="fr-CA"/>
        </w:rPr>
        <w:noBreakHyphen/>
        <w:t>t</w:t>
      </w:r>
      <w:r w:rsidRPr="00392B9E">
        <w:rPr>
          <w:sz w:val="20"/>
          <w:lang w:val="fr-CA"/>
        </w:rPr>
        <w:noBreakHyphen/>
        <w:t xml:space="preserve">elle de la compétence législative du Parlement du Canada en vertu de la </w:t>
      </w:r>
      <w:r w:rsidRPr="00392B9E">
        <w:rPr>
          <w:i/>
          <w:sz w:val="20"/>
          <w:lang w:val="fr-CA"/>
        </w:rPr>
        <w:t>Loi constitutionnelle de 1867 </w:t>
      </w:r>
      <w:r w:rsidRPr="00392B9E">
        <w:rPr>
          <w:sz w:val="20"/>
          <w:lang w:val="fr-CA"/>
        </w:rPr>
        <w:t xml:space="preserve">? — Le </w:t>
      </w:r>
      <w:r w:rsidRPr="00392B9E">
        <w:rPr>
          <w:i/>
          <w:sz w:val="20"/>
          <w:lang w:val="fr-CA"/>
        </w:rPr>
        <w:t>Règlement sur les activités concrètes</w:t>
      </w:r>
      <w:r w:rsidRPr="00392B9E">
        <w:rPr>
          <w:sz w:val="20"/>
          <w:lang w:val="fr-CA"/>
        </w:rPr>
        <w:t>, DORS/2019</w:t>
      </w:r>
      <w:r w:rsidRPr="00392B9E">
        <w:rPr>
          <w:sz w:val="20"/>
          <w:lang w:val="fr-CA"/>
        </w:rPr>
        <w:noBreakHyphen/>
        <w:t>285 (« </w:t>
      </w:r>
      <w:r w:rsidRPr="00392B9E">
        <w:rPr>
          <w:i/>
          <w:sz w:val="20"/>
          <w:lang w:val="fr-CA"/>
        </w:rPr>
        <w:t>Règlement </w:t>
      </w:r>
      <w:r w:rsidRPr="00392B9E">
        <w:rPr>
          <w:sz w:val="20"/>
          <w:lang w:val="fr-CA"/>
        </w:rPr>
        <w:t>»), relève</w:t>
      </w:r>
      <w:r w:rsidRPr="00392B9E">
        <w:rPr>
          <w:sz w:val="20"/>
          <w:lang w:val="fr-CA"/>
        </w:rPr>
        <w:noBreakHyphen/>
        <w:t>t</w:t>
      </w:r>
      <w:r w:rsidRPr="00392B9E">
        <w:rPr>
          <w:sz w:val="20"/>
          <w:lang w:val="fr-CA"/>
        </w:rPr>
        <w:noBreakHyphen/>
        <w:t xml:space="preserve">il de la compétence législative du Parlement du Canada en vertu de la </w:t>
      </w:r>
      <w:r w:rsidRPr="00392B9E">
        <w:rPr>
          <w:i/>
          <w:sz w:val="20"/>
          <w:lang w:val="fr-CA"/>
        </w:rPr>
        <w:t>Loi constitutionnelle de 1867 </w:t>
      </w:r>
      <w:r w:rsidRPr="00392B9E">
        <w:rPr>
          <w:sz w:val="20"/>
          <w:lang w:val="fr-CA"/>
        </w:rPr>
        <w:t>? — La Cour d’appel de l’Alberta a</w:t>
      </w:r>
      <w:r w:rsidRPr="00392B9E">
        <w:rPr>
          <w:sz w:val="20"/>
          <w:lang w:val="fr-CA"/>
        </w:rPr>
        <w:noBreakHyphen/>
        <w:t>t</w:t>
      </w:r>
      <w:r w:rsidRPr="00392B9E">
        <w:rPr>
          <w:sz w:val="20"/>
          <w:lang w:val="fr-CA"/>
        </w:rPr>
        <w:noBreakHyphen/>
        <w:t xml:space="preserve">elle commis une erreur dans sa façon de qualifier le caractère véritable de la </w:t>
      </w:r>
      <w:r w:rsidRPr="00392B9E">
        <w:rPr>
          <w:i/>
          <w:sz w:val="20"/>
          <w:lang w:val="fr-CA"/>
        </w:rPr>
        <w:t xml:space="preserve">LÉI </w:t>
      </w:r>
      <w:r w:rsidRPr="00392B9E">
        <w:rPr>
          <w:sz w:val="20"/>
          <w:lang w:val="fr-CA"/>
        </w:rPr>
        <w:t>et du</w:t>
      </w:r>
      <w:r w:rsidRPr="00392B9E">
        <w:rPr>
          <w:i/>
          <w:sz w:val="20"/>
          <w:lang w:val="fr-CA"/>
        </w:rPr>
        <w:t xml:space="preserve"> Règlement </w:t>
      </w:r>
      <w:r w:rsidRPr="00392B9E">
        <w:rPr>
          <w:sz w:val="20"/>
          <w:lang w:val="fr-CA"/>
        </w:rPr>
        <w:t>? — La Cour d’appel de l’Alberta a</w:t>
      </w:r>
      <w:r w:rsidRPr="00392B9E">
        <w:rPr>
          <w:sz w:val="20"/>
          <w:lang w:val="fr-CA"/>
        </w:rPr>
        <w:noBreakHyphen/>
        <w:t>t</w:t>
      </w:r>
      <w:r w:rsidRPr="00392B9E">
        <w:rPr>
          <w:sz w:val="20"/>
          <w:lang w:val="fr-CA"/>
        </w:rPr>
        <w:noBreakHyphen/>
        <w:t xml:space="preserve">elle commis une erreur dans sa classification de la </w:t>
      </w:r>
      <w:r w:rsidRPr="00392B9E">
        <w:rPr>
          <w:i/>
          <w:sz w:val="20"/>
          <w:lang w:val="fr-CA"/>
        </w:rPr>
        <w:t xml:space="preserve">LÉI </w:t>
      </w:r>
      <w:r w:rsidRPr="00392B9E">
        <w:rPr>
          <w:sz w:val="20"/>
          <w:lang w:val="fr-CA"/>
        </w:rPr>
        <w:t>et du</w:t>
      </w:r>
      <w:r w:rsidRPr="00392B9E">
        <w:rPr>
          <w:i/>
          <w:sz w:val="20"/>
          <w:lang w:val="fr-CA"/>
        </w:rPr>
        <w:t xml:space="preserve"> Règlement </w:t>
      </w:r>
      <w:r w:rsidRPr="00392B9E">
        <w:rPr>
          <w:sz w:val="20"/>
          <w:lang w:val="fr-CA"/>
        </w:rPr>
        <w:t>? — La Cour d’appel de l’Alberta a</w:t>
      </w:r>
      <w:r w:rsidRPr="00392B9E">
        <w:rPr>
          <w:sz w:val="20"/>
          <w:lang w:val="fr-CA"/>
        </w:rPr>
        <w:noBreakHyphen/>
        <w:t>t</w:t>
      </w:r>
      <w:r w:rsidRPr="00392B9E">
        <w:rPr>
          <w:sz w:val="20"/>
          <w:lang w:val="fr-CA"/>
        </w:rPr>
        <w:noBreakHyphen/>
        <w:t>elle commis une erreur en appliquant la doctrine de l’exclusivité des compétences afin d’écarter l’application de la</w:t>
      </w:r>
      <w:r w:rsidRPr="00392B9E">
        <w:rPr>
          <w:i/>
          <w:sz w:val="20"/>
          <w:lang w:val="fr-CA"/>
        </w:rPr>
        <w:t xml:space="preserve"> LÉI </w:t>
      </w:r>
      <w:r w:rsidRPr="00392B9E">
        <w:rPr>
          <w:sz w:val="20"/>
          <w:lang w:val="fr-CA"/>
        </w:rPr>
        <w:t>et du</w:t>
      </w:r>
      <w:r w:rsidRPr="00392B9E">
        <w:rPr>
          <w:i/>
          <w:sz w:val="20"/>
          <w:lang w:val="fr-CA"/>
        </w:rPr>
        <w:t xml:space="preserve"> Règlement ?</w:t>
      </w:r>
    </w:p>
    <w:p w:rsidR="002A7F67" w:rsidRPr="00392B9E" w:rsidRDefault="002A7F67" w:rsidP="002A7F67">
      <w:pPr>
        <w:widowControl w:val="0"/>
        <w:jc w:val="both"/>
        <w:rPr>
          <w:sz w:val="20"/>
          <w:lang w:val="fr-CA"/>
        </w:rPr>
      </w:pPr>
    </w:p>
    <w:p w:rsidR="002A7F67" w:rsidRPr="00392B9E" w:rsidRDefault="002A7F67" w:rsidP="002A7F67">
      <w:pPr>
        <w:widowControl w:val="0"/>
        <w:jc w:val="both"/>
        <w:rPr>
          <w:sz w:val="20"/>
          <w:lang w:val="fr-CA"/>
        </w:rPr>
      </w:pPr>
      <w:r w:rsidRPr="00392B9E">
        <w:rPr>
          <w:sz w:val="20"/>
          <w:lang w:val="fr-CA"/>
        </w:rPr>
        <w:t xml:space="preserve">Le gouvernement de l’Alberta a sollicité l’opinion de la Cour d’appel de l’Alberta à l’égard de la constitutionnalité de la </w:t>
      </w:r>
      <w:r w:rsidRPr="00392B9E">
        <w:rPr>
          <w:i/>
          <w:sz w:val="20"/>
          <w:lang w:val="fr-CA"/>
        </w:rPr>
        <w:t>Loi sur l’évaluation d’impact</w:t>
      </w:r>
      <w:r w:rsidRPr="00392B9E">
        <w:rPr>
          <w:sz w:val="20"/>
          <w:lang w:val="fr-CA"/>
        </w:rPr>
        <w:t>, L.C. 2019, ch. 28, art. 1 (« </w:t>
      </w:r>
      <w:r w:rsidRPr="00392B9E">
        <w:rPr>
          <w:i/>
          <w:sz w:val="20"/>
          <w:lang w:val="fr-CA"/>
        </w:rPr>
        <w:t>LÉI »</w:t>
      </w:r>
      <w:r w:rsidRPr="00392B9E">
        <w:rPr>
          <w:sz w:val="20"/>
          <w:lang w:val="fr-CA"/>
        </w:rPr>
        <w:t>) (qui figure dans la partie 1 du projet de loi C</w:t>
      </w:r>
      <w:r w:rsidRPr="00392B9E">
        <w:rPr>
          <w:sz w:val="20"/>
          <w:lang w:val="fr-CA"/>
        </w:rPr>
        <w:noBreakHyphen/>
        <w:t>69, intitulé</w:t>
      </w:r>
      <w:r w:rsidRPr="00392B9E">
        <w:rPr>
          <w:i/>
          <w:sz w:val="20"/>
          <w:lang w:val="fr-CA"/>
        </w:rPr>
        <w:t xml:space="preserve"> la Loi édictant la Loi sur l’évaluation d’impact et la Loi sur la Régie canadienne de l’énergie, modifiant la Loi sur la protection de la navigation et apportant des modifications corrélatives à d’autres lois, </w:t>
      </w:r>
      <w:r w:rsidRPr="00392B9E">
        <w:rPr>
          <w:sz w:val="20"/>
          <w:lang w:val="fr-CA"/>
        </w:rPr>
        <w:t xml:space="preserve">L.C. 2019, ch. 28) et d’un de ses règlements d’application, soit le </w:t>
      </w:r>
      <w:r w:rsidRPr="00392B9E">
        <w:rPr>
          <w:i/>
          <w:sz w:val="20"/>
          <w:lang w:val="fr-CA"/>
        </w:rPr>
        <w:t>Règlement sur les activités concrètes</w:t>
      </w:r>
      <w:r w:rsidRPr="00392B9E">
        <w:rPr>
          <w:sz w:val="20"/>
          <w:lang w:val="fr-CA"/>
        </w:rPr>
        <w:t>, DORS/2019</w:t>
      </w:r>
      <w:r w:rsidRPr="00392B9E">
        <w:rPr>
          <w:sz w:val="20"/>
          <w:lang w:val="fr-CA"/>
        </w:rPr>
        <w:noBreakHyphen/>
        <w:t>285 (« </w:t>
      </w:r>
      <w:r w:rsidRPr="00392B9E">
        <w:rPr>
          <w:i/>
          <w:sz w:val="20"/>
          <w:lang w:val="fr-CA"/>
        </w:rPr>
        <w:t>Règlement »</w:t>
      </w:r>
      <w:r w:rsidRPr="00392B9E">
        <w:rPr>
          <w:sz w:val="20"/>
          <w:lang w:val="fr-CA"/>
        </w:rPr>
        <w:t>). Les questions suivantes ont été formulées au moyen du décret 160/2019 :</w:t>
      </w:r>
    </w:p>
    <w:p w:rsidR="002A7F67" w:rsidRPr="00392B9E" w:rsidRDefault="002A7F67" w:rsidP="002A7F67">
      <w:pPr>
        <w:widowControl w:val="0"/>
        <w:jc w:val="both"/>
        <w:rPr>
          <w:sz w:val="20"/>
          <w:lang w:val="fr-CA"/>
        </w:rPr>
      </w:pPr>
    </w:p>
    <w:p w:rsidR="002A7F67" w:rsidRPr="00392B9E" w:rsidRDefault="002A7F67" w:rsidP="002A7F67">
      <w:pPr>
        <w:pStyle w:val="ListParagraph"/>
        <w:numPr>
          <w:ilvl w:val="0"/>
          <w:numId w:val="50"/>
        </w:numPr>
        <w:autoSpaceDE/>
        <w:autoSpaceDN/>
        <w:adjustRightInd/>
        <w:jc w:val="both"/>
        <w:rPr>
          <w:sz w:val="20"/>
          <w:szCs w:val="20"/>
          <w:lang w:val="fr-CA"/>
        </w:rPr>
      </w:pPr>
      <w:r w:rsidRPr="00392B9E">
        <w:rPr>
          <w:sz w:val="20"/>
          <w:szCs w:val="20"/>
          <w:lang w:val="fr-CA"/>
        </w:rPr>
        <w:t xml:space="preserve">La partie 1 de la </w:t>
      </w:r>
      <w:r w:rsidRPr="00392B9E">
        <w:rPr>
          <w:i/>
          <w:sz w:val="20"/>
          <w:szCs w:val="20"/>
          <w:lang w:val="fr-CA"/>
        </w:rPr>
        <w:t>Loi édictant la Loi sur l’évaluation d’impact et la Loi sur la Régie canadienne de l’énergie, modifiant la Loi sur la protection de la navigation et apportant des modifications corrélatives à d’autres lois</w:t>
      </w:r>
      <w:r w:rsidRPr="00392B9E">
        <w:rPr>
          <w:sz w:val="20"/>
          <w:szCs w:val="20"/>
          <w:lang w:val="fr-CA"/>
        </w:rPr>
        <w:t>, L.C. 2019, ch. 28, est</w:t>
      </w:r>
      <w:r w:rsidRPr="00392B9E">
        <w:rPr>
          <w:sz w:val="20"/>
          <w:szCs w:val="20"/>
          <w:lang w:val="fr-CA"/>
        </w:rPr>
        <w:noBreakHyphen/>
        <w:t>elle inconstitutionnelle en tout ou en partie, parce qu’elle outrepasse la compétence législative du Parlement du Canada en vertu de la Constitution du Canada ?</w:t>
      </w:r>
    </w:p>
    <w:p w:rsidR="002A7F67" w:rsidRPr="00392B9E" w:rsidRDefault="002A7F67" w:rsidP="002A7F67">
      <w:pPr>
        <w:widowControl w:val="0"/>
        <w:jc w:val="both"/>
        <w:rPr>
          <w:sz w:val="20"/>
          <w:lang w:val="fr-CA"/>
        </w:rPr>
      </w:pPr>
    </w:p>
    <w:p w:rsidR="002A7F67" w:rsidRPr="00392B9E" w:rsidRDefault="002A7F67" w:rsidP="002A7F67">
      <w:pPr>
        <w:pStyle w:val="ListParagraph"/>
        <w:numPr>
          <w:ilvl w:val="0"/>
          <w:numId w:val="50"/>
        </w:numPr>
        <w:autoSpaceDE/>
        <w:autoSpaceDN/>
        <w:adjustRightInd/>
        <w:jc w:val="both"/>
        <w:rPr>
          <w:sz w:val="20"/>
          <w:szCs w:val="20"/>
          <w:lang w:val="fr-CA"/>
        </w:rPr>
      </w:pPr>
      <w:r w:rsidRPr="00392B9E">
        <w:rPr>
          <w:sz w:val="20"/>
          <w:szCs w:val="20"/>
          <w:lang w:val="fr-CA"/>
        </w:rPr>
        <w:t xml:space="preserve">Le </w:t>
      </w:r>
      <w:r w:rsidRPr="00392B9E">
        <w:rPr>
          <w:i/>
          <w:sz w:val="20"/>
          <w:szCs w:val="20"/>
          <w:lang w:val="fr-CA"/>
        </w:rPr>
        <w:t>Règlement sur les activités concrètes</w:t>
      </w:r>
      <w:r w:rsidRPr="00392B9E">
        <w:rPr>
          <w:sz w:val="20"/>
          <w:szCs w:val="20"/>
          <w:lang w:val="fr-CA"/>
        </w:rPr>
        <w:t>, DORS/2019</w:t>
      </w:r>
      <w:r w:rsidRPr="00392B9E">
        <w:rPr>
          <w:sz w:val="20"/>
          <w:szCs w:val="20"/>
          <w:lang w:val="fr-CA"/>
        </w:rPr>
        <w:noBreakHyphen/>
        <w:t>285, est</w:t>
      </w:r>
      <w:r w:rsidRPr="00392B9E">
        <w:rPr>
          <w:sz w:val="20"/>
          <w:szCs w:val="20"/>
          <w:lang w:val="fr-CA"/>
        </w:rPr>
        <w:noBreakHyphen/>
        <w:t>il inconstitutionnel en tout ou en partie, parce qu’il prétend s’appliquer à certaines activités énumérées à l’annexe 2 de celui</w:t>
      </w:r>
      <w:r w:rsidRPr="00392B9E">
        <w:rPr>
          <w:sz w:val="20"/>
          <w:szCs w:val="20"/>
          <w:lang w:val="fr-CA"/>
        </w:rPr>
        <w:noBreakHyphen/>
        <w:t>ci qui se rapportent à des questions relevant entièrement de la compétence législative des provinces en vertu de la Constitution du Canada ?</w:t>
      </w:r>
    </w:p>
    <w:p w:rsidR="002A7F67" w:rsidRPr="00392B9E" w:rsidRDefault="002A7F67" w:rsidP="002A7F67">
      <w:pPr>
        <w:widowControl w:val="0"/>
        <w:jc w:val="both"/>
        <w:rPr>
          <w:sz w:val="20"/>
          <w:lang w:val="fr-CA"/>
        </w:rPr>
      </w:pPr>
    </w:p>
    <w:p w:rsidR="002A7F67" w:rsidRPr="00392B9E" w:rsidRDefault="002A7F67" w:rsidP="002A7F67">
      <w:pPr>
        <w:widowControl w:val="0"/>
        <w:jc w:val="both"/>
        <w:rPr>
          <w:sz w:val="20"/>
          <w:lang w:val="fr-CA"/>
        </w:rPr>
      </w:pPr>
      <w:r w:rsidRPr="00392B9E">
        <w:rPr>
          <w:sz w:val="20"/>
          <w:lang w:val="fr-CA"/>
        </w:rPr>
        <w:t xml:space="preserve">Les juges majoritaires de la Cour d’appel de l’Alberta étaient d’avis que la </w:t>
      </w:r>
      <w:r w:rsidRPr="00392B9E">
        <w:rPr>
          <w:i/>
          <w:sz w:val="20"/>
          <w:lang w:val="fr-CA"/>
        </w:rPr>
        <w:t xml:space="preserve">LÉI </w:t>
      </w:r>
      <w:r w:rsidRPr="00392B9E">
        <w:rPr>
          <w:sz w:val="20"/>
          <w:lang w:val="fr-CA"/>
        </w:rPr>
        <w:t xml:space="preserve">excède la compétence du Parlement, et que la </w:t>
      </w:r>
      <w:r w:rsidRPr="00392B9E">
        <w:rPr>
          <w:i/>
          <w:sz w:val="20"/>
          <w:lang w:val="fr-CA"/>
        </w:rPr>
        <w:t xml:space="preserve">LÉI </w:t>
      </w:r>
      <w:r w:rsidRPr="00392B9E">
        <w:rPr>
          <w:sz w:val="20"/>
          <w:lang w:val="fr-CA"/>
        </w:rPr>
        <w:t>et le</w:t>
      </w:r>
      <w:r w:rsidRPr="00392B9E">
        <w:rPr>
          <w:i/>
          <w:sz w:val="20"/>
          <w:lang w:val="fr-CA"/>
        </w:rPr>
        <w:t xml:space="preserve"> Règlement</w:t>
      </w:r>
      <w:r w:rsidRPr="00392B9E">
        <w:rPr>
          <w:sz w:val="20"/>
          <w:lang w:val="fr-CA"/>
        </w:rPr>
        <w:t xml:space="preserve"> sont</w:t>
      </w:r>
      <w:r w:rsidRPr="00392B9E">
        <w:rPr>
          <w:i/>
          <w:sz w:val="20"/>
          <w:lang w:val="fr-CA"/>
        </w:rPr>
        <w:t xml:space="preserve"> </w:t>
      </w:r>
      <w:r w:rsidRPr="00392B9E">
        <w:rPr>
          <w:sz w:val="20"/>
          <w:lang w:val="fr-CA"/>
        </w:rPr>
        <w:t xml:space="preserve">inconstitutionnels. La juge Greckol, dissidente, estimait que la </w:t>
      </w:r>
      <w:r w:rsidRPr="00392B9E">
        <w:rPr>
          <w:i/>
          <w:sz w:val="20"/>
          <w:lang w:val="fr-CA"/>
        </w:rPr>
        <w:t xml:space="preserve">LÉI </w:t>
      </w:r>
      <w:r w:rsidRPr="00392B9E">
        <w:rPr>
          <w:sz w:val="20"/>
          <w:lang w:val="fr-CA"/>
        </w:rPr>
        <w:t>et le</w:t>
      </w:r>
      <w:r w:rsidRPr="00392B9E">
        <w:rPr>
          <w:i/>
          <w:sz w:val="20"/>
          <w:lang w:val="fr-CA"/>
        </w:rPr>
        <w:t xml:space="preserve"> Règlement</w:t>
      </w:r>
      <w:r w:rsidRPr="00392B9E">
        <w:rPr>
          <w:sz w:val="20"/>
          <w:lang w:val="fr-CA"/>
        </w:rPr>
        <w:t xml:space="preserve"> constituent un exercice valide de la compétence du Parlement de légiférer en matière d’environnement.</w:t>
      </w:r>
    </w:p>
    <w:p w:rsidR="002A7F67" w:rsidRPr="00392B9E" w:rsidRDefault="002A7F67" w:rsidP="002A7F67">
      <w:pPr>
        <w:jc w:val="both"/>
        <w:rPr>
          <w:sz w:val="20"/>
          <w:lang w:val="fr-CA"/>
        </w:rPr>
      </w:pPr>
    </w:p>
    <w:p w:rsidR="002A7F67" w:rsidRPr="00392B9E" w:rsidRDefault="00707CEA" w:rsidP="000C7A22">
      <w:pPr>
        <w:rPr>
          <w:sz w:val="20"/>
          <w:lang w:val="fr-CA"/>
        </w:rPr>
      </w:pPr>
      <w:r>
        <w:rPr>
          <w:sz w:val="20"/>
        </w:rPr>
        <w:pict>
          <v:rect id="_x0000_i1032" style="width:2in;height:1pt" o:hrpct="0" o:hralign="center" o:hrstd="t" o:hrnoshade="t" o:hr="t" fillcolor="black [3213]" stroked="f"/>
        </w:pict>
      </w:r>
    </w:p>
    <w:p w:rsidR="00F578D3" w:rsidRPr="00392B9E" w:rsidRDefault="00F578D3" w:rsidP="009A013E">
      <w:pPr>
        <w:jc w:val="both"/>
        <w:rPr>
          <w:sz w:val="20"/>
          <w:lang w:val="fr-CA"/>
        </w:rPr>
      </w:pPr>
    </w:p>
    <w:p w:rsidR="00831114" w:rsidRPr="00392B9E" w:rsidRDefault="00831114" w:rsidP="00991060">
      <w:pPr>
        <w:jc w:val="both"/>
        <w:rPr>
          <w:sz w:val="20"/>
          <w:lang w:val="fr-CA"/>
        </w:rPr>
      </w:pPr>
    </w:p>
    <w:p w:rsidR="003F43E6" w:rsidRPr="00392B9E" w:rsidRDefault="003F43E6" w:rsidP="006F2579">
      <w:pPr>
        <w:widowControl w:val="0"/>
        <w:outlineLvl w:val="0"/>
        <w:rPr>
          <w:sz w:val="20"/>
          <w:lang w:val="fr-CA"/>
        </w:rPr>
      </w:pPr>
    </w:p>
    <w:p w:rsidR="008A4B5A" w:rsidRPr="00392B9E" w:rsidRDefault="008A4B5A" w:rsidP="008A4B5A">
      <w:pPr>
        <w:widowControl w:val="0"/>
        <w:outlineLvl w:val="0"/>
      </w:pPr>
      <w:r w:rsidRPr="00392B9E">
        <w:t xml:space="preserve">Supreme Court of Canada / Cour suprême du </w:t>
      </w:r>
      <w:proofErr w:type="gramStart"/>
      <w:r w:rsidRPr="00392B9E">
        <w:t>Canada :</w:t>
      </w:r>
      <w:proofErr w:type="gramEnd"/>
      <w:r w:rsidRPr="00392B9E">
        <w:t xml:space="preserve"> </w:t>
      </w:r>
    </w:p>
    <w:p w:rsidR="008A4B5A" w:rsidRPr="00392B9E" w:rsidRDefault="00707CEA" w:rsidP="008A4B5A">
      <w:pPr>
        <w:widowControl w:val="0"/>
        <w:outlineLvl w:val="0"/>
        <w:rPr>
          <w:u w:val="single"/>
        </w:rPr>
      </w:pPr>
      <w:hyperlink r:id="rId11" w:history="1">
        <w:r w:rsidR="008A4B5A" w:rsidRPr="00392B9E">
          <w:rPr>
            <w:rStyle w:val="Hyperlink"/>
          </w:rPr>
          <w:t>comments-commentaires@scc-csc.ca</w:t>
        </w:r>
      </w:hyperlink>
    </w:p>
    <w:p w:rsidR="008A4B5A" w:rsidRPr="00392B9E" w:rsidRDefault="008A4B5A" w:rsidP="008A4B5A">
      <w:pPr>
        <w:widowControl w:val="0"/>
        <w:outlineLvl w:val="0"/>
      </w:pPr>
      <w:r w:rsidRPr="00392B9E">
        <w:t>613-995-4330</w:t>
      </w:r>
    </w:p>
    <w:p w:rsidR="008A4B5A" w:rsidRPr="00392B9E" w:rsidRDefault="008A4B5A" w:rsidP="008A4B5A">
      <w:pPr>
        <w:widowControl w:val="0"/>
        <w:rPr>
          <w:sz w:val="20"/>
        </w:rPr>
      </w:pPr>
    </w:p>
    <w:p w:rsidR="008A4B5A" w:rsidRPr="0003141B" w:rsidRDefault="008A4B5A" w:rsidP="008A4B5A">
      <w:pPr>
        <w:pStyle w:val="Footer"/>
        <w:jc w:val="center"/>
      </w:pPr>
      <w:r w:rsidRPr="00392B9E">
        <w:t>- 30 -</w:t>
      </w:r>
    </w:p>
    <w:p w:rsidR="008A4B5A" w:rsidRPr="0003141B" w:rsidRDefault="008A4B5A" w:rsidP="008A4B5A">
      <w:pPr>
        <w:pStyle w:val="Footer"/>
        <w:jc w:val="center"/>
      </w:pPr>
    </w:p>
    <w:sectPr w:rsidR="008A4B5A" w:rsidRPr="0003141B" w:rsidSect="00A705DC">
      <w:headerReference w:type="even" r:id="rId12"/>
      <w:headerReference w:type="default" r:id="rId13"/>
      <w:footerReference w:type="even" r:id="rId14"/>
      <w:footerReference w:type="default" r:id="rId15"/>
      <w:headerReference w:type="first" r:id="rId16"/>
      <w:footerReference w:type="first" r:id="rId17"/>
      <w:pgSz w:w="12240" w:h="15840"/>
      <w:pgMar w:top="851" w:right="1440" w:bottom="1440" w:left="1440" w:header="567" w:footer="71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9E2" w:rsidRDefault="00E039E2" w:rsidP="0034178A">
      <w:r>
        <w:separator/>
      </w:r>
    </w:p>
  </w:endnote>
  <w:endnote w:type="continuationSeparator" w:id="0">
    <w:p w:rsidR="00E039E2" w:rsidRDefault="00E039E2"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0DC" w:rsidRDefault="009100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0DC" w:rsidRDefault="009100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0DC" w:rsidRDefault="009100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9E2" w:rsidRDefault="00E039E2" w:rsidP="0034178A">
      <w:r>
        <w:separator/>
      </w:r>
    </w:p>
  </w:footnote>
  <w:footnote w:type="continuationSeparator" w:id="0">
    <w:p w:rsidR="00E039E2" w:rsidRDefault="00E039E2"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0DC" w:rsidRDefault="009100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0DC" w:rsidRDefault="009100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0DC" w:rsidRDefault="009100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6984"/>
    <w:multiLevelType w:val="hybridMultilevel"/>
    <w:tmpl w:val="EAE02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BD6E26"/>
    <w:multiLevelType w:val="hybridMultilevel"/>
    <w:tmpl w:val="F1A87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A5D1B"/>
    <w:multiLevelType w:val="hybridMultilevel"/>
    <w:tmpl w:val="D36A477A"/>
    <w:lvl w:ilvl="0" w:tplc="8BB04BB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5326A"/>
    <w:multiLevelType w:val="hybridMultilevel"/>
    <w:tmpl w:val="033C6B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DB6B8F"/>
    <w:multiLevelType w:val="hybridMultilevel"/>
    <w:tmpl w:val="6B52C162"/>
    <w:lvl w:ilvl="0" w:tplc="7F6606A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0114F"/>
    <w:multiLevelType w:val="hybridMultilevel"/>
    <w:tmpl w:val="916E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920EE"/>
    <w:multiLevelType w:val="hybridMultilevel"/>
    <w:tmpl w:val="1C6A6FCA"/>
    <w:lvl w:ilvl="0" w:tplc="377AB6C8">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5F20A2A"/>
    <w:multiLevelType w:val="hybridMultilevel"/>
    <w:tmpl w:val="32E85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659AB"/>
    <w:multiLevelType w:val="hybridMultilevel"/>
    <w:tmpl w:val="A1EC4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040D7"/>
    <w:multiLevelType w:val="hybridMultilevel"/>
    <w:tmpl w:val="7272F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027B2D"/>
    <w:multiLevelType w:val="hybridMultilevel"/>
    <w:tmpl w:val="033C6B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CA053A8"/>
    <w:multiLevelType w:val="hybridMultilevel"/>
    <w:tmpl w:val="1A78B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D40B9"/>
    <w:multiLevelType w:val="hybridMultilevel"/>
    <w:tmpl w:val="5844B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3305C"/>
    <w:multiLevelType w:val="hybridMultilevel"/>
    <w:tmpl w:val="F5A69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818D7"/>
    <w:multiLevelType w:val="hybridMultilevel"/>
    <w:tmpl w:val="5086B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7045CD"/>
    <w:multiLevelType w:val="hybridMultilevel"/>
    <w:tmpl w:val="29E80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E571C8"/>
    <w:multiLevelType w:val="hybridMultilevel"/>
    <w:tmpl w:val="E1041C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A33274A"/>
    <w:multiLevelType w:val="hybridMultilevel"/>
    <w:tmpl w:val="3CB41D16"/>
    <w:lvl w:ilvl="0" w:tplc="19D8F65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1562F"/>
    <w:multiLevelType w:val="hybridMultilevel"/>
    <w:tmpl w:val="520C0BCA"/>
    <w:lvl w:ilvl="0" w:tplc="0409000F">
      <w:start w:val="1"/>
      <w:numFmt w:val="decimal"/>
      <w:lvlText w:val="%1."/>
      <w:lvlJc w:val="left"/>
      <w:pPr>
        <w:ind w:left="720" w:hanging="360"/>
      </w:pPr>
    </w:lvl>
    <w:lvl w:ilvl="1" w:tplc="AE44FEFC">
      <w:start w:val="4"/>
      <w:numFmt w:val="bullet"/>
      <w:lvlText w:val="-"/>
      <w:lvlJc w:val="left"/>
      <w:pPr>
        <w:ind w:left="1440" w:hanging="360"/>
      </w:pPr>
      <w:rPr>
        <w:rFonts w:ascii="Times New Roman" w:eastAsia="Times New Roman" w:hAnsi="Times New Roman" w:cs="Times New Roman" w:hint="default"/>
        <w:b w:val="0"/>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8062F2"/>
    <w:multiLevelType w:val="hybridMultilevel"/>
    <w:tmpl w:val="55BA1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E179BC"/>
    <w:multiLevelType w:val="hybridMultilevel"/>
    <w:tmpl w:val="49A6D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892BCE"/>
    <w:multiLevelType w:val="hybridMultilevel"/>
    <w:tmpl w:val="745ED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C041E2"/>
    <w:multiLevelType w:val="hybridMultilevel"/>
    <w:tmpl w:val="CB680FBC"/>
    <w:lvl w:ilvl="0" w:tplc="A4725882">
      <w:start w:val="1"/>
      <w:numFmt w:val="decimal"/>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15:restartNumberingAfterBreak="0">
    <w:nsid w:val="34C514E8"/>
    <w:multiLevelType w:val="hybridMultilevel"/>
    <w:tmpl w:val="111CBC0A"/>
    <w:lvl w:ilvl="0" w:tplc="84FE6510">
      <w:start w:val="4"/>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D2C6E97"/>
    <w:multiLevelType w:val="hybridMultilevel"/>
    <w:tmpl w:val="7F58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B91094"/>
    <w:multiLevelType w:val="hybridMultilevel"/>
    <w:tmpl w:val="54D251FA"/>
    <w:lvl w:ilvl="0" w:tplc="15BE632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2A455EA"/>
    <w:multiLevelType w:val="hybridMultilevel"/>
    <w:tmpl w:val="2070E618"/>
    <w:lvl w:ilvl="0" w:tplc="B8C84AA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296085"/>
    <w:multiLevelType w:val="hybridMultilevel"/>
    <w:tmpl w:val="2EB09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AB2732"/>
    <w:multiLevelType w:val="hybridMultilevel"/>
    <w:tmpl w:val="7F58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E06E4"/>
    <w:multiLevelType w:val="hybridMultilevel"/>
    <w:tmpl w:val="EAE02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DE044AA"/>
    <w:multiLevelType w:val="hybridMultilevel"/>
    <w:tmpl w:val="BC9A1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CA34E0"/>
    <w:multiLevelType w:val="hybridMultilevel"/>
    <w:tmpl w:val="7BE80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C8013A"/>
    <w:multiLevelType w:val="hybridMultilevel"/>
    <w:tmpl w:val="7BC4A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05226"/>
    <w:multiLevelType w:val="hybridMultilevel"/>
    <w:tmpl w:val="95520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C66994"/>
    <w:multiLevelType w:val="hybridMultilevel"/>
    <w:tmpl w:val="42CAC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502D3A"/>
    <w:multiLevelType w:val="hybridMultilevel"/>
    <w:tmpl w:val="7D48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2E07DB"/>
    <w:multiLevelType w:val="hybridMultilevel"/>
    <w:tmpl w:val="15165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5718E"/>
    <w:multiLevelType w:val="hybridMultilevel"/>
    <w:tmpl w:val="7F58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F60926"/>
    <w:multiLevelType w:val="hybridMultilevel"/>
    <w:tmpl w:val="67AE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3A29B1"/>
    <w:multiLevelType w:val="hybridMultilevel"/>
    <w:tmpl w:val="9F061B80"/>
    <w:lvl w:ilvl="0" w:tplc="6010C9D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84174C"/>
    <w:multiLevelType w:val="hybridMultilevel"/>
    <w:tmpl w:val="CB62E4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59E10F1"/>
    <w:multiLevelType w:val="hybridMultilevel"/>
    <w:tmpl w:val="1ED63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C40CC7"/>
    <w:multiLevelType w:val="hybridMultilevel"/>
    <w:tmpl w:val="C59EE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A86DAD"/>
    <w:multiLevelType w:val="hybridMultilevel"/>
    <w:tmpl w:val="8662C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DE7854"/>
    <w:multiLevelType w:val="hybridMultilevel"/>
    <w:tmpl w:val="E0524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FB6666"/>
    <w:multiLevelType w:val="hybridMultilevel"/>
    <w:tmpl w:val="86247D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ED74281"/>
    <w:multiLevelType w:val="hybridMultilevel"/>
    <w:tmpl w:val="8D06836E"/>
    <w:lvl w:ilvl="0" w:tplc="802CA7B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8736E3"/>
    <w:multiLevelType w:val="hybridMultilevel"/>
    <w:tmpl w:val="3F68FEF0"/>
    <w:lvl w:ilvl="0" w:tplc="CFAA4D2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E42A0E"/>
    <w:multiLevelType w:val="hybridMultilevel"/>
    <w:tmpl w:val="2A44F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8"/>
  </w:num>
  <w:num w:numId="4">
    <w:abstractNumId w:val="15"/>
  </w:num>
  <w:num w:numId="5">
    <w:abstractNumId w:val="27"/>
  </w:num>
  <w:num w:numId="6">
    <w:abstractNumId w:val="1"/>
  </w:num>
  <w:num w:numId="7">
    <w:abstractNumId w:val="39"/>
  </w:num>
  <w:num w:numId="8">
    <w:abstractNumId w:val="44"/>
  </w:num>
  <w:num w:numId="9">
    <w:abstractNumId w:val="14"/>
  </w:num>
  <w:num w:numId="10">
    <w:abstractNumId w:val="11"/>
  </w:num>
  <w:num w:numId="11">
    <w:abstractNumId w:val="12"/>
  </w:num>
  <w:num w:numId="12">
    <w:abstractNumId w:val="30"/>
  </w:num>
  <w:num w:numId="13">
    <w:abstractNumId w:val="40"/>
  </w:num>
  <w:num w:numId="14">
    <w:abstractNumId w:val="6"/>
  </w:num>
  <w:num w:numId="15">
    <w:abstractNumId w:val="9"/>
  </w:num>
  <w:num w:numId="16">
    <w:abstractNumId w:val="48"/>
  </w:num>
  <w:num w:numId="17">
    <w:abstractNumId w:val="8"/>
  </w:num>
  <w:num w:numId="18">
    <w:abstractNumId w:val="41"/>
  </w:num>
  <w:num w:numId="19">
    <w:abstractNumId w:val="31"/>
  </w:num>
  <w:num w:numId="20">
    <w:abstractNumId w:val="19"/>
  </w:num>
  <w:num w:numId="21">
    <w:abstractNumId w:val="46"/>
  </w:num>
  <w:num w:numId="22">
    <w:abstractNumId w:val="20"/>
  </w:num>
  <w:num w:numId="23">
    <w:abstractNumId w:val="21"/>
  </w:num>
  <w:num w:numId="24">
    <w:abstractNumId w:val="36"/>
  </w:num>
  <w:num w:numId="25">
    <w:abstractNumId w:val="47"/>
  </w:num>
  <w:num w:numId="26">
    <w:abstractNumId w:val="13"/>
  </w:num>
  <w:num w:numId="27">
    <w:abstractNumId w:val="35"/>
  </w:num>
  <w:num w:numId="28">
    <w:abstractNumId w:val="16"/>
  </w:num>
  <w:num w:numId="29">
    <w:abstractNumId w:val="23"/>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22"/>
  </w:num>
  <w:num w:numId="33">
    <w:abstractNumId w:val="34"/>
  </w:num>
  <w:num w:numId="34">
    <w:abstractNumId w:val="5"/>
  </w:num>
  <w:num w:numId="35">
    <w:abstractNumId w:val="32"/>
  </w:num>
  <w:num w:numId="36">
    <w:abstractNumId w:val="25"/>
  </w:num>
  <w:num w:numId="37">
    <w:abstractNumId w:val="45"/>
  </w:num>
  <w:num w:numId="38">
    <w:abstractNumId w:val="10"/>
  </w:num>
  <w:num w:numId="39">
    <w:abstractNumId w:val="3"/>
  </w:num>
  <w:num w:numId="40">
    <w:abstractNumId w:val="42"/>
  </w:num>
  <w:num w:numId="41">
    <w:abstractNumId w:val="17"/>
  </w:num>
  <w:num w:numId="42">
    <w:abstractNumId w:val="4"/>
  </w:num>
  <w:num w:numId="43">
    <w:abstractNumId w:val="28"/>
  </w:num>
  <w:num w:numId="44">
    <w:abstractNumId w:val="37"/>
  </w:num>
  <w:num w:numId="45">
    <w:abstractNumId w:val="24"/>
  </w:num>
  <w:num w:numId="46">
    <w:abstractNumId w:val="26"/>
  </w:num>
  <w:num w:numId="47">
    <w:abstractNumId w:val="18"/>
  </w:num>
  <w:num w:numId="48">
    <w:abstractNumId w:val="33"/>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9E2"/>
    <w:rsid w:val="00000FA6"/>
    <w:rsid w:val="000018E3"/>
    <w:rsid w:val="000043C3"/>
    <w:rsid w:val="00011BFB"/>
    <w:rsid w:val="000128A2"/>
    <w:rsid w:val="000136CC"/>
    <w:rsid w:val="00013B9D"/>
    <w:rsid w:val="00014C19"/>
    <w:rsid w:val="000164DB"/>
    <w:rsid w:val="00016CD1"/>
    <w:rsid w:val="00016D65"/>
    <w:rsid w:val="00020578"/>
    <w:rsid w:val="00020797"/>
    <w:rsid w:val="00020816"/>
    <w:rsid w:val="00020A29"/>
    <w:rsid w:val="0002267C"/>
    <w:rsid w:val="00024962"/>
    <w:rsid w:val="000276EE"/>
    <w:rsid w:val="0003141B"/>
    <w:rsid w:val="00033257"/>
    <w:rsid w:val="00033D1E"/>
    <w:rsid w:val="00033D28"/>
    <w:rsid w:val="00034A7F"/>
    <w:rsid w:val="00035790"/>
    <w:rsid w:val="00037AD3"/>
    <w:rsid w:val="00041B58"/>
    <w:rsid w:val="00042069"/>
    <w:rsid w:val="00043FDE"/>
    <w:rsid w:val="00044A4D"/>
    <w:rsid w:val="000470B9"/>
    <w:rsid w:val="00047CD6"/>
    <w:rsid w:val="00051DE6"/>
    <w:rsid w:val="000530B5"/>
    <w:rsid w:val="000577D9"/>
    <w:rsid w:val="000623CD"/>
    <w:rsid w:val="000627A2"/>
    <w:rsid w:val="00065F8F"/>
    <w:rsid w:val="00066570"/>
    <w:rsid w:val="00066B80"/>
    <w:rsid w:val="00067F50"/>
    <w:rsid w:val="0007009F"/>
    <w:rsid w:val="00070830"/>
    <w:rsid w:val="000775A9"/>
    <w:rsid w:val="00077E16"/>
    <w:rsid w:val="0008184B"/>
    <w:rsid w:val="00082444"/>
    <w:rsid w:val="000825A5"/>
    <w:rsid w:val="000843DB"/>
    <w:rsid w:val="000845B4"/>
    <w:rsid w:val="00084988"/>
    <w:rsid w:val="00085D13"/>
    <w:rsid w:val="00086629"/>
    <w:rsid w:val="00087124"/>
    <w:rsid w:val="00087808"/>
    <w:rsid w:val="00092C48"/>
    <w:rsid w:val="000941B1"/>
    <w:rsid w:val="00095627"/>
    <w:rsid w:val="000A0444"/>
    <w:rsid w:val="000A245A"/>
    <w:rsid w:val="000A260E"/>
    <w:rsid w:val="000A34A2"/>
    <w:rsid w:val="000A4311"/>
    <w:rsid w:val="000A50F9"/>
    <w:rsid w:val="000B163F"/>
    <w:rsid w:val="000B2456"/>
    <w:rsid w:val="000B2925"/>
    <w:rsid w:val="000B3FB0"/>
    <w:rsid w:val="000B679D"/>
    <w:rsid w:val="000B7258"/>
    <w:rsid w:val="000B754A"/>
    <w:rsid w:val="000C072B"/>
    <w:rsid w:val="000C0E20"/>
    <w:rsid w:val="000C182C"/>
    <w:rsid w:val="000C3667"/>
    <w:rsid w:val="000D3129"/>
    <w:rsid w:val="000D4AE1"/>
    <w:rsid w:val="000E1CD6"/>
    <w:rsid w:val="000E35CD"/>
    <w:rsid w:val="000E50F2"/>
    <w:rsid w:val="000E5407"/>
    <w:rsid w:val="000E6037"/>
    <w:rsid w:val="000F4521"/>
    <w:rsid w:val="000F4C35"/>
    <w:rsid w:val="000F525E"/>
    <w:rsid w:val="000F70A0"/>
    <w:rsid w:val="000F74E8"/>
    <w:rsid w:val="00100CEE"/>
    <w:rsid w:val="00101E4B"/>
    <w:rsid w:val="001024DC"/>
    <w:rsid w:val="00102F8F"/>
    <w:rsid w:val="00105612"/>
    <w:rsid w:val="001068F5"/>
    <w:rsid w:val="00107219"/>
    <w:rsid w:val="00107866"/>
    <w:rsid w:val="00117AF3"/>
    <w:rsid w:val="0012101A"/>
    <w:rsid w:val="00121A9B"/>
    <w:rsid w:val="00122956"/>
    <w:rsid w:val="00122DFE"/>
    <w:rsid w:val="00123976"/>
    <w:rsid w:val="00124DEC"/>
    <w:rsid w:val="00131855"/>
    <w:rsid w:val="00132635"/>
    <w:rsid w:val="0013300E"/>
    <w:rsid w:val="00134190"/>
    <w:rsid w:val="001354E7"/>
    <w:rsid w:val="001368A7"/>
    <w:rsid w:val="00141200"/>
    <w:rsid w:val="0014243F"/>
    <w:rsid w:val="00142C72"/>
    <w:rsid w:val="00143310"/>
    <w:rsid w:val="00144111"/>
    <w:rsid w:val="0014705F"/>
    <w:rsid w:val="00147BE4"/>
    <w:rsid w:val="00147DE3"/>
    <w:rsid w:val="00150453"/>
    <w:rsid w:val="00151336"/>
    <w:rsid w:val="001543E0"/>
    <w:rsid w:val="00155A61"/>
    <w:rsid w:val="00155FD8"/>
    <w:rsid w:val="0015605D"/>
    <w:rsid w:val="001560EC"/>
    <w:rsid w:val="00162824"/>
    <w:rsid w:val="00163EC7"/>
    <w:rsid w:val="00171379"/>
    <w:rsid w:val="001716F7"/>
    <w:rsid w:val="001731CA"/>
    <w:rsid w:val="00173B3A"/>
    <w:rsid w:val="001740F8"/>
    <w:rsid w:val="00174655"/>
    <w:rsid w:val="0017579D"/>
    <w:rsid w:val="001764FA"/>
    <w:rsid w:val="00176790"/>
    <w:rsid w:val="001813C3"/>
    <w:rsid w:val="00181FBC"/>
    <w:rsid w:val="00182B77"/>
    <w:rsid w:val="00185355"/>
    <w:rsid w:val="0018573B"/>
    <w:rsid w:val="001866BF"/>
    <w:rsid w:val="00186884"/>
    <w:rsid w:val="0019030D"/>
    <w:rsid w:val="00190C7A"/>
    <w:rsid w:val="00190F7F"/>
    <w:rsid w:val="001947C1"/>
    <w:rsid w:val="00194F2A"/>
    <w:rsid w:val="001A06DE"/>
    <w:rsid w:val="001A1AE7"/>
    <w:rsid w:val="001A1C0F"/>
    <w:rsid w:val="001A2314"/>
    <w:rsid w:val="001A2F38"/>
    <w:rsid w:val="001A4547"/>
    <w:rsid w:val="001A48FB"/>
    <w:rsid w:val="001A562F"/>
    <w:rsid w:val="001B3EDD"/>
    <w:rsid w:val="001B4569"/>
    <w:rsid w:val="001B4C16"/>
    <w:rsid w:val="001B5D3B"/>
    <w:rsid w:val="001B68D3"/>
    <w:rsid w:val="001C0491"/>
    <w:rsid w:val="001C0C39"/>
    <w:rsid w:val="001C0E0C"/>
    <w:rsid w:val="001C22B1"/>
    <w:rsid w:val="001C2F21"/>
    <w:rsid w:val="001C4EE4"/>
    <w:rsid w:val="001C5E6C"/>
    <w:rsid w:val="001D0423"/>
    <w:rsid w:val="001D235D"/>
    <w:rsid w:val="001D2555"/>
    <w:rsid w:val="001E3BCD"/>
    <w:rsid w:val="001E4B57"/>
    <w:rsid w:val="001E52EA"/>
    <w:rsid w:val="001E590C"/>
    <w:rsid w:val="001F17C2"/>
    <w:rsid w:val="001F232F"/>
    <w:rsid w:val="001F27B1"/>
    <w:rsid w:val="001F5B11"/>
    <w:rsid w:val="001F7013"/>
    <w:rsid w:val="001F7120"/>
    <w:rsid w:val="00200F31"/>
    <w:rsid w:val="0020221F"/>
    <w:rsid w:val="00202729"/>
    <w:rsid w:val="00202A27"/>
    <w:rsid w:val="00203AEA"/>
    <w:rsid w:val="00204DE0"/>
    <w:rsid w:val="00205051"/>
    <w:rsid w:val="002069D6"/>
    <w:rsid w:val="0020794A"/>
    <w:rsid w:val="00207C7F"/>
    <w:rsid w:val="00212962"/>
    <w:rsid w:val="002129E1"/>
    <w:rsid w:val="00217135"/>
    <w:rsid w:val="0022132D"/>
    <w:rsid w:val="00222CAE"/>
    <w:rsid w:val="00223B83"/>
    <w:rsid w:val="00225A53"/>
    <w:rsid w:val="002264F4"/>
    <w:rsid w:val="00227D1A"/>
    <w:rsid w:val="00231427"/>
    <w:rsid w:val="00233057"/>
    <w:rsid w:val="00234A3D"/>
    <w:rsid w:val="002357ED"/>
    <w:rsid w:val="002407C6"/>
    <w:rsid w:val="00242F44"/>
    <w:rsid w:val="00244CDD"/>
    <w:rsid w:val="00245CA3"/>
    <w:rsid w:val="00245D73"/>
    <w:rsid w:val="002514CA"/>
    <w:rsid w:val="00252FDB"/>
    <w:rsid w:val="002567CD"/>
    <w:rsid w:val="002613AC"/>
    <w:rsid w:val="00261D3C"/>
    <w:rsid w:val="002620C3"/>
    <w:rsid w:val="00262C42"/>
    <w:rsid w:val="0026349D"/>
    <w:rsid w:val="00264549"/>
    <w:rsid w:val="00264572"/>
    <w:rsid w:val="00266E0E"/>
    <w:rsid w:val="002671CC"/>
    <w:rsid w:val="0026793A"/>
    <w:rsid w:val="00267F92"/>
    <w:rsid w:val="002709E7"/>
    <w:rsid w:val="00276C42"/>
    <w:rsid w:val="00280E55"/>
    <w:rsid w:val="002848CB"/>
    <w:rsid w:val="002858BA"/>
    <w:rsid w:val="0028662D"/>
    <w:rsid w:val="0028686B"/>
    <w:rsid w:val="002909AB"/>
    <w:rsid w:val="00292574"/>
    <w:rsid w:val="00292C0E"/>
    <w:rsid w:val="00292CB4"/>
    <w:rsid w:val="00292F81"/>
    <w:rsid w:val="002A5245"/>
    <w:rsid w:val="002A55D1"/>
    <w:rsid w:val="002A5C41"/>
    <w:rsid w:val="002A652A"/>
    <w:rsid w:val="002A7390"/>
    <w:rsid w:val="002A7F67"/>
    <w:rsid w:val="002B5525"/>
    <w:rsid w:val="002C10D1"/>
    <w:rsid w:val="002C2254"/>
    <w:rsid w:val="002C793E"/>
    <w:rsid w:val="002C7E1E"/>
    <w:rsid w:val="002D0C49"/>
    <w:rsid w:val="002D16B9"/>
    <w:rsid w:val="002D2553"/>
    <w:rsid w:val="002D43A1"/>
    <w:rsid w:val="002D6680"/>
    <w:rsid w:val="002E261F"/>
    <w:rsid w:val="002E3092"/>
    <w:rsid w:val="002E3911"/>
    <w:rsid w:val="002E5BD3"/>
    <w:rsid w:val="002F0031"/>
    <w:rsid w:val="002F06D0"/>
    <w:rsid w:val="002F0A56"/>
    <w:rsid w:val="002F0B78"/>
    <w:rsid w:val="002F3830"/>
    <w:rsid w:val="002F414C"/>
    <w:rsid w:val="002F4929"/>
    <w:rsid w:val="002F4D71"/>
    <w:rsid w:val="002F7DDE"/>
    <w:rsid w:val="002F7E97"/>
    <w:rsid w:val="003012A2"/>
    <w:rsid w:val="003063D0"/>
    <w:rsid w:val="00313652"/>
    <w:rsid w:val="00313A1F"/>
    <w:rsid w:val="003151B5"/>
    <w:rsid w:val="00315D98"/>
    <w:rsid w:val="003235CC"/>
    <w:rsid w:val="00325668"/>
    <w:rsid w:val="0032661A"/>
    <w:rsid w:val="00326DC1"/>
    <w:rsid w:val="0032742B"/>
    <w:rsid w:val="0033004B"/>
    <w:rsid w:val="00330371"/>
    <w:rsid w:val="0033241A"/>
    <w:rsid w:val="00332627"/>
    <w:rsid w:val="00335252"/>
    <w:rsid w:val="0033535C"/>
    <w:rsid w:val="00340D7B"/>
    <w:rsid w:val="00340E08"/>
    <w:rsid w:val="0034178A"/>
    <w:rsid w:val="00343C1E"/>
    <w:rsid w:val="003509E6"/>
    <w:rsid w:val="00350D51"/>
    <w:rsid w:val="00351946"/>
    <w:rsid w:val="00352802"/>
    <w:rsid w:val="003533BC"/>
    <w:rsid w:val="003535EF"/>
    <w:rsid w:val="00357C3B"/>
    <w:rsid w:val="00360FCE"/>
    <w:rsid w:val="003628ED"/>
    <w:rsid w:val="00362E82"/>
    <w:rsid w:val="00364001"/>
    <w:rsid w:val="00364285"/>
    <w:rsid w:val="00367B9A"/>
    <w:rsid w:val="0037013D"/>
    <w:rsid w:val="003706AA"/>
    <w:rsid w:val="00370C5B"/>
    <w:rsid w:val="003710CD"/>
    <w:rsid w:val="00372FD5"/>
    <w:rsid w:val="00376958"/>
    <w:rsid w:val="00377C17"/>
    <w:rsid w:val="00380A0F"/>
    <w:rsid w:val="00380B69"/>
    <w:rsid w:val="00380E76"/>
    <w:rsid w:val="0038431A"/>
    <w:rsid w:val="0038547C"/>
    <w:rsid w:val="00385A88"/>
    <w:rsid w:val="00387AF8"/>
    <w:rsid w:val="00390065"/>
    <w:rsid w:val="00392B9E"/>
    <w:rsid w:val="00393660"/>
    <w:rsid w:val="003940A4"/>
    <w:rsid w:val="003958AE"/>
    <w:rsid w:val="00395F63"/>
    <w:rsid w:val="00395FC2"/>
    <w:rsid w:val="0039624A"/>
    <w:rsid w:val="0039709D"/>
    <w:rsid w:val="00397213"/>
    <w:rsid w:val="00397831"/>
    <w:rsid w:val="003A00C9"/>
    <w:rsid w:val="003A0258"/>
    <w:rsid w:val="003A11C4"/>
    <w:rsid w:val="003A1F69"/>
    <w:rsid w:val="003A2770"/>
    <w:rsid w:val="003A5371"/>
    <w:rsid w:val="003A58BA"/>
    <w:rsid w:val="003B0718"/>
    <w:rsid w:val="003B1455"/>
    <w:rsid w:val="003B2312"/>
    <w:rsid w:val="003B2AC6"/>
    <w:rsid w:val="003B39D7"/>
    <w:rsid w:val="003B61F0"/>
    <w:rsid w:val="003B63AB"/>
    <w:rsid w:val="003B64B3"/>
    <w:rsid w:val="003B6E18"/>
    <w:rsid w:val="003B77CF"/>
    <w:rsid w:val="003B7E97"/>
    <w:rsid w:val="003C15F9"/>
    <w:rsid w:val="003C5F5E"/>
    <w:rsid w:val="003C6BB7"/>
    <w:rsid w:val="003D0A88"/>
    <w:rsid w:val="003D0BC8"/>
    <w:rsid w:val="003D27BD"/>
    <w:rsid w:val="003D3E2B"/>
    <w:rsid w:val="003D618C"/>
    <w:rsid w:val="003E2C4E"/>
    <w:rsid w:val="003E3957"/>
    <w:rsid w:val="003E569F"/>
    <w:rsid w:val="003E6A7D"/>
    <w:rsid w:val="003E6AB5"/>
    <w:rsid w:val="003F17F0"/>
    <w:rsid w:val="003F1E6F"/>
    <w:rsid w:val="003F3BC1"/>
    <w:rsid w:val="003F43E6"/>
    <w:rsid w:val="003F566D"/>
    <w:rsid w:val="003F73EF"/>
    <w:rsid w:val="004000BE"/>
    <w:rsid w:val="00400236"/>
    <w:rsid w:val="004026BA"/>
    <w:rsid w:val="00403038"/>
    <w:rsid w:val="00405B84"/>
    <w:rsid w:val="0040709C"/>
    <w:rsid w:val="004116DA"/>
    <w:rsid w:val="004117D6"/>
    <w:rsid w:val="00411834"/>
    <w:rsid w:val="004149DA"/>
    <w:rsid w:val="00416A0A"/>
    <w:rsid w:val="00416D4C"/>
    <w:rsid w:val="004171D3"/>
    <w:rsid w:val="0042157A"/>
    <w:rsid w:val="0042212F"/>
    <w:rsid w:val="00423943"/>
    <w:rsid w:val="00424581"/>
    <w:rsid w:val="00426976"/>
    <w:rsid w:val="00427F4F"/>
    <w:rsid w:val="00433C3E"/>
    <w:rsid w:val="004361AB"/>
    <w:rsid w:val="00436C0B"/>
    <w:rsid w:val="004375C1"/>
    <w:rsid w:val="0044348E"/>
    <w:rsid w:val="00444072"/>
    <w:rsid w:val="00445E2E"/>
    <w:rsid w:val="004511AB"/>
    <w:rsid w:val="004522B8"/>
    <w:rsid w:val="0045235F"/>
    <w:rsid w:val="004533F1"/>
    <w:rsid w:val="00453ABE"/>
    <w:rsid w:val="004542A8"/>
    <w:rsid w:val="004565C5"/>
    <w:rsid w:val="00456687"/>
    <w:rsid w:val="00460794"/>
    <w:rsid w:val="0046302E"/>
    <w:rsid w:val="00464FEE"/>
    <w:rsid w:val="004672B7"/>
    <w:rsid w:val="00467391"/>
    <w:rsid w:val="00472190"/>
    <w:rsid w:val="00474D9B"/>
    <w:rsid w:val="00476584"/>
    <w:rsid w:val="004771B0"/>
    <w:rsid w:val="00481888"/>
    <w:rsid w:val="00482589"/>
    <w:rsid w:val="004845C4"/>
    <w:rsid w:val="0048502A"/>
    <w:rsid w:val="0048604E"/>
    <w:rsid w:val="00490DDC"/>
    <w:rsid w:val="00491D60"/>
    <w:rsid w:val="00493382"/>
    <w:rsid w:val="00494394"/>
    <w:rsid w:val="00494CD1"/>
    <w:rsid w:val="004957BA"/>
    <w:rsid w:val="004970C9"/>
    <w:rsid w:val="00497B5E"/>
    <w:rsid w:val="004A224A"/>
    <w:rsid w:val="004A3074"/>
    <w:rsid w:val="004A7CEC"/>
    <w:rsid w:val="004B06E1"/>
    <w:rsid w:val="004B7AF8"/>
    <w:rsid w:val="004C0544"/>
    <w:rsid w:val="004C14B4"/>
    <w:rsid w:val="004C1A88"/>
    <w:rsid w:val="004C2585"/>
    <w:rsid w:val="004C281D"/>
    <w:rsid w:val="004C2E9D"/>
    <w:rsid w:val="004C4513"/>
    <w:rsid w:val="004C51E2"/>
    <w:rsid w:val="004C7FC6"/>
    <w:rsid w:val="004D3D9C"/>
    <w:rsid w:val="004E0B2F"/>
    <w:rsid w:val="004E1B3F"/>
    <w:rsid w:val="004E1BC8"/>
    <w:rsid w:val="004E337D"/>
    <w:rsid w:val="004F0EC9"/>
    <w:rsid w:val="004F1AF3"/>
    <w:rsid w:val="004F27DD"/>
    <w:rsid w:val="004F340E"/>
    <w:rsid w:val="004F40AB"/>
    <w:rsid w:val="004F431D"/>
    <w:rsid w:val="004F46E6"/>
    <w:rsid w:val="004F7301"/>
    <w:rsid w:val="00500E35"/>
    <w:rsid w:val="005012D5"/>
    <w:rsid w:val="00501C1A"/>
    <w:rsid w:val="005021F6"/>
    <w:rsid w:val="00502F3E"/>
    <w:rsid w:val="00503196"/>
    <w:rsid w:val="00504706"/>
    <w:rsid w:val="005103F9"/>
    <w:rsid w:val="00511E62"/>
    <w:rsid w:val="00515205"/>
    <w:rsid w:val="005208AC"/>
    <w:rsid w:val="00521EFA"/>
    <w:rsid w:val="0052538B"/>
    <w:rsid w:val="00525B79"/>
    <w:rsid w:val="0053286F"/>
    <w:rsid w:val="00532EB0"/>
    <w:rsid w:val="00533C07"/>
    <w:rsid w:val="00535069"/>
    <w:rsid w:val="00535A60"/>
    <w:rsid w:val="005418C8"/>
    <w:rsid w:val="00542443"/>
    <w:rsid w:val="00542E05"/>
    <w:rsid w:val="00544481"/>
    <w:rsid w:val="00546DAD"/>
    <w:rsid w:val="005504F1"/>
    <w:rsid w:val="005542A1"/>
    <w:rsid w:val="00557DCC"/>
    <w:rsid w:val="005617DA"/>
    <w:rsid w:val="00561B18"/>
    <w:rsid w:val="005650AF"/>
    <w:rsid w:val="00566C79"/>
    <w:rsid w:val="00570169"/>
    <w:rsid w:val="00573172"/>
    <w:rsid w:val="00575F91"/>
    <w:rsid w:val="005812EF"/>
    <w:rsid w:val="0058351E"/>
    <w:rsid w:val="00583D6E"/>
    <w:rsid w:val="0058523D"/>
    <w:rsid w:val="00587914"/>
    <w:rsid w:val="005925EC"/>
    <w:rsid w:val="0059357E"/>
    <w:rsid w:val="00593612"/>
    <w:rsid w:val="0059611F"/>
    <w:rsid w:val="00597224"/>
    <w:rsid w:val="005A187E"/>
    <w:rsid w:val="005A1B7D"/>
    <w:rsid w:val="005A3592"/>
    <w:rsid w:val="005A4082"/>
    <w:rsid w:val="005A43B7"/>
    <w:rsid w:val="005A64AA"/>
    <w:rsid w:val="005B0703"/>
    <w:rsid w:val="005B0AAB"/>
    <w:rsid w:val="005B4EB8"/>
    <w:rsid w:val="005B529F"/>
    <w:rsid w:val="005C196C"/>
    <w:rsid w:val="005C2CA2"/>
    <w:rsid w:val="005C3064"/>
    <w:rsid w:val="005C3DE0"/>
    <w:rsid w:val="005C42FB"/>
    <w:rsid w:val="005C7117"/>
    <w:rsid w:val="005C7BBF"/>
    <w:rsid w:val="005D019B"/>
    <w:rsid w:val="005D1044"/>
    <w:rsid w:val="005D3069"/>
    <w:rsid w:val="005D3730"/>
    <w:rsid w:val="005D4016"/>
    <w:rsid w:val="005D4B99"/>
    <w:rsid w:val="005D4DBD"/>
    <w:rsid w:val="005E10A3"/>
    <w:rsid w:val="005E2D77"/>
    <w:rsid w:val="005E2F89"/>
    <w:rsid w:val="005E4F3B"/>
    <w:rsid w:val="005E73A1"/>
    <w:rsid w:val="005F0456"/>
    <w:rsid w:val="005F4197"/>
    <w:rsid w:val="005F5163"/>
    <w:rsid w:val="006005B0"/>
    <w:rsid w:val="00604007"/>
    <w:rsid w:val="006067DB"/>
    <w:rsid w:val="00610BC0"/>
    <w:rsid w:val="0061282A"/>
    <w:rsid w:val="006132AE"/>
    <w:rsid w:val="00615108"/>
    <w:rsid w:val="006167B8"/>
    <w:rsid w:val="006167C9"/>
    <w:rsid w:val="00621F03"/>
    <w:rsid w:val="00624469"/>
    <w:rsid w:val="00625B63"/>
    <w:rsid w:val="0063061F"/>
    <w:rsid w:val="00632A4A"/>
    <w:rsid w:val="00634573"/>
    <w:rsid w:val="00635A24"/>
    <w:rsid w:val="00636008"/>
    <w:rsid w:val="00636ADD"/>
    <w:rsid w:val="00636C1A"/>
    <w:rsid w:val="0063798A"/>
    <w:rsid w:val="006406E5"/>
    <w:rsid w:val="00640B24"/>
    <w:rsid w:val="0064267F"/>
    <w:rsid w:val="006442C8"/>
    <w:rsid w:val="00644B38"/>
    <w:rsid w:val="00645CF5"/>
    <w:rsid w:val="0065124F"/>
    <w:rsid w:val="006514E6"/>
    <w:rsid w:val="00655090"/>
    <w:rsid w:val="00656E1D"/>
    <w:rsid w:val="0066004E"/>
    <w:rsid w:val="0066013D"/>
    <w:rsid w:val="00664817"/>
    <w:rsid w:val="00664E1D"/>
    <w:rsid w:val="00666BA1"/>
    <w:rsid w:val="00670794"/>
    <w:rsid w:val="006721DF"/>
    <w:rsid w:val="00672A20"/>
    <w:rsid w:val="00674808"/>
    <w:rsid w:val="00674CE6"/>
    <w:rsid w:val="00677979"/>
    <w:rsid w:val="00680FDB"/>
    <w:rsid w:val="006829C1"/>
    <w:rsid w:val="00683770"/>
    <w:rsid w:val="006842FD"/>
    <w:rsid w:val="006849D2"/>
    <w:rsid w:val="00686A7E"/>
    <w:rsid w:val="00690509"/>
    <w:rsid w:val="00690963"/>
    <w:rsid w:val="00690B95"/>
    <w:rsid w:val="00690E2D"/>
    <w:rsid w:val="00693751"/>
    <w:rsid w:val="00693795"/>
    <w:rsid w:val="00693CE6"/>
    <w:rsid w:val="00693EEF"/>
    <w:rsid w:val="00695005"/>
    <w:rsid w:val="00696375"/>
    <w:rsid w:val="006965DF"/>
    <w:rsid w:val="006966C2"/>
    <w:rsid w:val="00697DD5"/>
    <w:rsid w:val="006A00B5"/>
    <w:rsid w:val="006A09A4"/>
    <w:rsid w:val="006A21CC"/>
    <w:rsid w:val="006A3856"/>
    <w:rsid w:val="006A4901"/>
    <w:rsid w:val="006A503A"/>
    <w:rsid w:val="006B10D7"/>
    <w:rsid w:val="006B1C34"/>
    <w:rsid w:val="006B24D0"/>
    <w:rsid w:val="006B293F"/>
    <w:rsid w:val="006B2BDD"/>
    <w:rsid w:val="006B3D5C"/>
    <w:rsid w:val="006B40C1"/>
    <w:rsid w:val="006B6A20"/>
    <w:rsid w:val="006C319F"/>
    <w:rsid w:val="006C4010"/>
    <w:rsid w:val="006C477E"/>
    <w:rsid w:val="006C5266"/>
    <w:rsid w:val="006D0DC0"/>
    <w:rsid w:val="006D0F19"/>
    <w:rsid w:val="006D247F"/>
    <w:rsid w:val="006D3FB0"/>
    <w:rsid w:val="006D41DB"/>
    <w:rsid w:val="006D443D"/>
    <w:rsid w:val="006D5A96"/>
    <w:rsid w:val="006D614A"/>
    <w:rsid w:val="006D6B5E"/>
    <w:rsid w:val="006D7DA7"/>
    <w:rsid w:val="006E27D1"/>
    <w:rsid w:val="006E4B08"/>
    <w:rsid w:val="006E4EB7"/>
    <w:rsid w:val="006E7F81"/>
    <w:rsid w:val="006F04E4"/>
    <w:rsid w:val="006F248E"/>
    <w:rsid w:val="006F2579"/>
    <w:rsid w:val="006F409C"/>
    <w:rsid w:val="006F7688"/>
    <w:rsid w:val="00700E69"/>
    <w:rsid w:val="00701BB5"/>
    <w:rsid w:val="0070488F"/>
    <w:rsid w:val="00704CDE"/>
    <w:rsid w:val="0070582E"/>
    <w:rsid w:val="00707CEA"/>
    <w:rsid w:val="007226F3"/>
    <w:rsid w:val="007240C3"/>
    <w:rsid w:val="007243CC"/>
    <w:rsid w:val="007301CB"/>
    <w:rsid w:val="0073047B"/>
    <w:rsid w:val="00733EF3"/>
    <w:rsid w:val="00734E8D"/>
    <w:rsid w:val="007356BB"/>
    <w:rsid w:val="00735BED"/>
    <w:rsid w:val="00735EA8"/>
    <w:rsid w:val="0073666D"/>
    <w:rsid w:val="0073669E"/>
    <w:rsid w:val="0073707B"/>
    <w:rsid w:val="007371F4"/>
    <w:rsid w:val="00737D1D"/>
    <w:rsid w:val="00737F76"/>
    <w:rsid w:val="007403BE"/>
    <w:rsid w:val="00741002"/>
    <w:rsid w:val="00741637"/>
    <w:rsid w:val="00744F24"/>
    <w:rsid w:val="007471FA"/>
    <w:rsid w:val="00747C5A"/>
    <w:rsid w:val="00751DE7"/>
    <w:rsid w:val="007572E3"/>
    <w:rsid w:val="00761E6B"/>
    <w:rsid w:val="007655B2"/>
    <w:rsid w:val="00766432"/>
    <w:rsid w:val="00766983"/>
    <w:rsid w:val="00767D92"/>
    <w:rsid w:val="007712C3"/>
    <w:rsid w:val="007736D0"/>
    <w:rsid w:val="00775F1C"/>
    <w:rsid w:val="00775FEC"/>
    <w:rsid w:val="007823D7"/>
    <w:rsid w:val="00782E96"/>
    <w:rsid w:val="00784088"/>
    <w:rsid w:val="00786937"/>
    <w:rsid w:val="0078776F"/>
    <w:rsid w:val="00795FC0"/>
    <w:rsid w:val="007975AC"/>
    <w:rsid w:val="007A10D6"/>
    <w:rsid w:val="007A12C8"/>
    <w:rsid w:val="007A14FC"/>
    <w:rsid w:val="007A3BD3"/>
    <w:rsid w:val="007A4306"/>
    <w:rsid w:val="007A5A11"/>
    <w:rsid w:val="007A667F"/>
    <w:rsid w:val="007A6F16"/>
    <w:rsid w:val="007A7F7F"/>
    <w:rsid w:val="007A7FD6"/>
    <w:rsid w:val="007B09DF"/>
    <w:rsid w:val="007B300E"/>
    <w:rsid w:val="007B567F"/>
    <w:rsid w:val="007B57E8"/>
    <w:rsid w:val="007B65D4"/>
    <w:rsid w:val="007C42C9"/>
    <w:rsid w:val="007C5323"/>
    <w:rsid w:val="007C5990"/>
    <w:rsid w:val="007C6187"/>
    <w:rsid w:val="007C67EE"/>
    <w:rsid w:val="007C7A8C"/>
    <w:rsid w:val="007D21B4"/>
    <w:rsid w:val="007D24AB"/>
    <w:rsid w:val="007D26B8"/>
    <w:rsid w:val="007D42D5"/>
    <w:rsid w:val="007D4BFC"/>
    <w:rsid w:val="007D6193"/>
    <w:rsid w:val="007D6B1C"/>
    <w:rsid w:val="007E0325"/>
    <w:rsid w:val="007E1AD7"/>
    <w:rsid w:val="007E3B55"/>
    <w:rsid w:val="007E6196"/>
    <w:rsid w:val="007E70BF"/>
    <w:rsid w:val="007E735A"/>
    <w:rsid w:val="007F0325"/>
    <w:rsid w:val="007F0D2E"/>
    <w:rsid w:val="007F0DF0"/>
    <w:rsid w:val="007F0F01"/>
    <w:rsid w:val="007F155F"/>
    <w:rsid w:val="007F1E21"/>
    <w:rsid w:val="007F22ED"/>
    <w:rsid w:val="007F3A38"/>
    <w:rsid w:val="007F4F42"/>
    <w:rsid w:val="007F522C"/>
    <w:rsid w:val="00800DF8"/>
    <w:rsid w:val="008021FD"/>
    <w:rsid w:val="008031DB"/>
    <w:rsid w:val="008036BE"/>
    <w:rsid w:val="00804FE6"/>
    <w:rsid w:val="00805589"/>
    <w:rsid w:val="00805636"/>
    <w:rsid w:val="0080792B"/>
    <w:rsid w:val="00807EB6"/>
    <w:rsid w:val="008115B8"/>
    <w:rsid w:val="00812315"/>
    <w:rsid w:val="00814BC7"/>
    <w:rsid w:val="00815D1B"/>
    <w:rsid w:val="00816C1F"/>
    <w:rsid w:val="0082143F"/>
    <w:rsid w:val="0082254A"/>
    <w:rsid w:val="00822691"/>
    <w:rsid w:val="00823610"/>
    <w:rsid w:val="00823C10"/>
    <w:rsid w:val="00825565"/>
    <w:rsid w:val="0082608B"/>
    <w:rsid w:val="008267D6"/>
    <w:rsid w:val="00831114"/>
    <w:rsid w:val="0083380F"/>
    <w:rsid w:val="00835FCE"/>
    <w:rsid w:val="00836607"/>
    <w:rsid w:val="008368DE"/>
    <w:rsid w:val="008369F5"/>
    <w:rsid w:val="00840D33"/>
    <w:rsid w:val="008415C1"/>
    <w:rsid w:val="0084161A"/>
    <w:rsid w:val="00841962"/>
    <w:rsid w:val="00846002"/>
    <w:rsid w:val="00847EA5"/>
    <w:rsid w:val="008503F7"/>
    <w:rsid w:val="00850FFA"/>
    <w:rsid w:val="0085127E"/>
    <w:rsid w:val="00852898"/>
    <w:rsid w:val="00853C98"/>
    <w:rsid w:val="0085543E"/>
    <w:rsid w:val="00857902"/>
    <w:rsid w:val="00857C7A"/>
    <w:rsid w:val="008601E2"/>
    <w:rsid w:val="008613D7"/>
    <w:rsid w:val="00861CAB"/>
    <w:rsid w:val="00864CB6"/>
    <w:rsid w:val="00865274"/>
    <w:rsid w:val="00866A27"/>
    <w:rsid w:val="00866D43"/>
    <w:rsid w:val="0087081B"/>
    <w:rsid w:val="00874308"/>
    <w:rsid w:val="00877B13"/>
    <w:rsid w:val="00877E0F"/>
    <w:rsid w:val="00882F70"/>
    <w:rsid w:val="00883138"/>
    <w:rsid w:val="008836A7"/>
    <w:rsid w:val="0089173C"/>
    <w:rsid w:val="008A1084"/>
    <w:rsid w:val="008A3884"/>
    <w:rsid w:val="008A4ABF"/>
    <w:rsid w:val="008A4B5A"/>
    <w:rsid w:val="008A6DF0"/>
    <w:rsid w:val="008B0108"/>
    <w:rsid w:val="008B29C4"/>
    <w:rsid w:val="008B3670"/>
    <w:rsid w:val="008B4157"/>
    <w:rsid w:val="008B4A24"/>
    <w:rsid w:val="008B5AFF"/>
    <w:rsid w:val="008B5E0B"/>
    <w:rsid w:val="008B63D2"/>
    <w:rsid w:val="008B7CD2"/>
    <w:rsid w:val="008C12F3"/>
    <w:rsid w:val="008C653C"/>
    <w:rsid w:val="008D01E3"/>
    <w:rsid w:val="008D19DB"/>
    <w:rsid w:val="008D1AC8"/>
    <w:rsid w:val="008D7A42"/>
    <w:rsid w:val="008E14CF"/>
    <w:rsid w:val="008E226D"/>
    <w:rsid w:val="008E4D8A"/>
    <w:rsid w:val="008E7C23"/>
    <w:rsid w:val="008E7F8D"/>
    <w:rsid w:val="008F0D8D"/>
    <w:rsid w:val="008F2850"/>
    <w:rsid w:val="008F292E"/>
    <w:rsid w:val="008F302C"/>
    <w:rsid w:val="008F76D2"/>
    <w:rsid w:val="009010F1"/>
    <w:rsid w:val="00902477"/>
    <w:rsid w:val="009035A2"/>
    <w:rsid w:val="00903AF6"/>
    <w:rsid w:val="00904226"/>
    <w:rsid w:val="00904AA3"/>
    <w:rsid w:val="009079F7"/>
    <w:rsid w:val="009100DC"/>
    <w:rsid w:val="009111E7"/>
    <w:rsid w:val="00923186"/>
    <w:rsid w:val="00924618"/>
    <w:rsid w:val="00930982"/>
    <w:rsid w:val="00932999"/>
    <w:rsid w:val="00933A45"/>
    <w:rsid w:val="009340AB"/>
    <w:rsid w:val="00934D03"/>
    <w:rsid w:val="00936084"/>
    <w:rsid w:val="00936192"/>
    <w:rsid w:val="0094028A"/>
    <w:rsid w:val="00942A08"/>
    <w:rsid w:val="00942CAD"/>
    <w:rsid w:val="00943363"/>
    <w:rsid w:val="00944CB7"/>
    <w:rsid w:val="009456CB"/>
    <w:rsid w:val="0094668A"/>
    <w:rsid w:val="00953F38"/>
    <w:rsid w:val="009540C6"/>
    <w:rsid w:val="00956067"/>
    <w:rsid w:val="00957921"/>
    <w:rsid w:val="00957C00"/>
    <w:rsid w:val="009619CF"/>
    <w:rsid w:val="0096755F"/>
    <w:rsid w:val="0097114B"/>
    <w:rsid w:val="0097127E"/>
    <w:rsid w:val="00971F36"/>
    <w:rsid w:val="0097588C"/>
    <w:rsid w:val="0097713E"/>
    <w:rsid w:val="00977C25"/>
    <w:rsid w:val="00980565"/>
    <w:rsid w:val="009807C9"/>
    <w:rsid w:val="0098122A"/>
    <w:rsid w:val="009816C8"/>
    <w:rsid w:val="0098307F"/>
    <w:rsid w:val="009833CB"/>
    <w:rsid w:val="00983671"/>
    <w:rsid w:val="009837A3"/>
    <w:rsid w:val="009861EE"/>
    <w:rsid w:val="009879FE"/>
    <w:rsid w:val="0099216F"/>
    <w:rsid w:val="0099251E"/>
    <w:rsid w:val="00996373"/>
    <w:rsid w:val="00997705"/>
    <w:rsid w:val="00997838"/>
    <w:rsid w:val="009A013E"/>
    <w:rsid w:val="009A1215"/>
    <w:rsid w:val="009A20E4"/>
    <w:rsid w:val="009A2448"/>
    <w:rsid w:val="009A488C"/>
    <w:rsid w:val="009A5727"/>
    <w:rsid w:val="009A6007"/>
    <w:rsid w:val="009A6F9E"/>
    <w:rsid w:val="009B0602"/>
    <w:rsid w:val="009B0708"/>
    <w:rsid w:val="009B0987"/>
    <w:rsid w:val="009B140F"/>
    <w:rsid w:val="009B360B"/>
    <w:rsid w:val="009B38BC"/>
    <w:rsid w:val="009B4C4F"/>
    <w:rsid w:val="009B4EC5"/>
    <w:rsid w:val="009B50CC"/>
    <w:rsid w:val="009B67B3"/>
    <w:rsid w:val="009B739B"/>
    <w:rsid w:val="009C205F"/>
    <w:rsid w:val="009C2D99"/>
    <w:rsid w:val="009C3B2A"/>
    <w:rsid w:val="009C5124"/>
    <w:rsid w:val="009C5F2B"/>
    <w:rsid w:val="009C6454"/>
    <w:rsid w:val="009D1B33"/>
    <w:rsid w:val="009D2A49"/>
    <w:rsid w:val="009D2BFA"/>
    <w:rsid w:val="009D2D62"/>
    <w:rsid w:val="009D31CD"/>
    <w:rsid w:val="009D5DD2"/>
    <w:rsid w:val="009D7121"/>
    <w:rsid w:val="009E051F"/>
    <w:rsid w:val="009E3117"/>
    <w:rsid w:val="009E333D"/>
    <w:rsid w:val="009E52A8"/>
    <w:rsid w:val="009F0D41"/>
    <w:rsid w:val="009F161C"/>
    <w:rsid w:val="009F2F18"/>
    <w:rsid w:val="009F4EF8"/>
    <w:rsid w:val="009F4F1B"/>
    <w:rsid w:val="009F5872"/>
    <w:rsid w:val="00A00F88"/>
    <w:rsid w:val="00A0119A"/>
    <w:rsid w:val="00A01AAA"/>
    <w:rsid w:val="00A041C7"/>
    <w:rsid w:val="00A06B3C"/>
    <w:rsid w:val="00A104A0"/>
    <w:rsid w:val="00A11C56"/>
    <w:rsid w:val="00A12CC9"/>
    <w:rsid w:val="00A2060D"/>
    <w:rsid w:val="00A20EE9"/>
    <w:rsid w:val="00A216B7"/>
    <w:rsid w:val="00A24265"/>
    <w:rsid w:val="00A242EA"/>
    <w:rsid w:val="00A2504D"/>
    <w:rsid w:val="00A3383E"/>
    <w:rsid w:val="00A35E13"/>
    <w:rsid w:val="00A36C6C"/>
    <w:rsid w:val="00A37E1D"/>
    <w:rsid w:val="00A41B5E"/>
    <w:rsid w:val="00A42042"/>
    <w:rsid w:val="00A4281A"/>
    <w:rsid w:val="00A442A1"/>
    <w:rsid w:val="00A44802"/>
    <w:rsid w:val="00A466AC"/>
    <w:rsid w:val="00A50604"/>
    <w:rsid w:val="00A50E26"/>
    <w:rsid w:val="00A54818"/>
    <w:rsid w:val="00A60CA4"/>
    <w:rsid w:val="00A6164E"/>
    <w:rsid w:val="00A62285"/>
    <w:rsid w:val="00A632BC"/>
    <w:rsid w:val="00A63459"/>
    <w:rsid w:val="00A63E1C"/>
    <w:rsid w:val="00A65845"/>
    <w:rsid w:val="00A70197"/>
    <w:rsid w:val="00A705DC"/>
    <w:rsid w:val="00A70AC5"/>
    <w:rsid w:val="00A721AA"/>
    <w:rsid w:val="00A73387"/>
    <w:rsid w:val="00A77E5F"/>
    <w:rsid w:val="00A801B6"/>
    <w:rsid w:val="00A8029C"/>
    <w:rsid w:val="00A80304"/>
    <w:rsid w:val="00A8033D"/>
    <w:rsid w:val="00A83260"/>
    <w:rsid w:val="00A8395A"/>
    <w:rsid w:val="00A83C7E"/>
    <w:rsid w:val="00A8418C"/>
    <w:rsid w:val="00A84DA1"/>
    <w:rsid w:val="00A86286"/>
    <w:rsid w:val="00A879BC"/>
    <w:rsid w:val="00A90CC7"/>
    <w:rsid w:val="00A9444F"/>
    <w:rsid w:val="00A95CA8"/>
    <w:rsid w:val="00A960E9"/>
    <w:rsid w:val="00A9663A"/>
    <w:rsid w:val="00A97F93"/>
    <w:rsid w:val="00AA0E4D"/>
    <w:rsid w:val="00AA1E09"/>
    <w:rsid w:val="00AA2D6A"/>
    <w:rsid w:val="00AA3100"/>
    <w:rsid w:val="00AA68BF"/>
    <w:rsid w:val="00AB05C9"/>
    <w:rsid w:val="00AB16C9"/>
    <w:rsid w:val="00AB2A71"/>
    <w:rsid w:val="00AB2AAE"/>
    <w:rsid w:val="00AB2C0F"/>
    <w:rsid w:val="00AC0631"/>
    <w:rsid w:val="00AC16D4"/>
    <w:rsid w:val="00AC21C6"/>
    <w:rsid w:val="00AC3779"/>
    <w:rsid w:val="00AC4061"/>
    <w:rsid w:val="00AC6616"/>
    <w:rsid w:val="00AD0097"/>
    <w:rsid w:val="00AD020B"/>
    <w:rsid w:val="00AD0609"/>
    <w:rsid w:val="00AD52A6"/>
    <w:rsid w:val="00AD5B1D"/>
    <w:rsid w:val="00AD6AD0"/>
    <w:rsid w:val="00AE334A"/>
    <w:rsid w:val="00AE42F5"/>
    <w:rsid w:val="00AE4721"/>
    <w:rsid w:val="00AE4930"/>
    <w:rsid w:val="00AE6EB9"/>
    <w:rsid w:val="00AE747B"/>
    <w:rsid w:val="00AF1653"/>
    <w:rsid w:val="00AF654B"/>
    <w:rsid w:val="00B01CBE"/>
    <w:rsid w:val="00B02DE3"/>
    <w:rsid w:val="00B037AA"/>
    <w:rsid w:val="00B13787"/>
    <w:rsid w:val="00B1445B"/>
    <w:rsid w:val="00B145B3"/>
    <w:rsid w:val="00B15291"/>
    <w:rsid w:val="00B1644E"/>
    <w:rsid w:val="00B205BF"/>
    <w:rsid w:val="00B245B8"/>
    <w:rsid w:val="00B24ABA"/>
    <w:rsid w:val="00B25FB2"/>
    <w:rsid w:val="00B26753"/>
    <w:rsid w:val="00B30861"/>
    <w:rsid w:val="00B33BF0"/>
    <w:rsid w:val="00B33FC9"/>
    <w:rsid w:val="00B34D2B"/>
    <w:rsid w:val="00B34E1F"/>
    <w:rsid w:val="00B35194"/>
    <w:rsid w:val="00B36686"/>
    <w:rsid w:val="00B36C97"/>
    <w:rsid w:val="00B37AAA"/>
    <w:rsid w:val="00B37C41"/>
    <w:rsid w:val="00B4078C"/>
    <w:rsid w:val="00B4191E"/>
    <w:rsid w:val="00B42393"/>
    <w:rsid w:val="00B42B27"/>
    <w:rsid w:val="00B42C6D"/>
    <w:rsid w:val="00B432E7"/>
    <w:rsid w:val="00B438C7"/>
    <w:rsid w:val="00B4516E"/>
    <w:rsid w:val="00B45B27"/>
    <w:rsid w:val="00B4724B"/>
    <w:rsid w:val="00B5139A"/>
    <w:rsid w:val="00B56011"/>
    <w:rsid w:val="00B56936"/>
    <w:rsid w:val="00B60699"/>
    <w:rsid w:val="00B6581A"/>
    <w:rsid w:val="00B66164"/>
    <w:rsid w:val="00B6639E"/>
    <w:rsid w:val="00B70890"/>
    <w:rsid w:val="00B74DA0"/>
    <w:rsid w:val="00B7733B"/>
    <w:rsid w:val="00B80F85"/>
    <w:rsid w:val="00B81FD8"/>
    <w:rsid w:val="00B83EBF"/>
    <w:rsid w:val="00B84F90"/>
    <w:rsid w:val="00B86E92"/>
    <w:rsid w:val="00B903B1"/>
    <w:rsid w:val="00B90F3B"/>
    <w:rsid w:val="00B9309E"/>
    <w:rsid w:val="00B93C6C"/>
    <w:rsid w:val="00B9752D"/>
    <w:rsid w:val="00BA01C1"/>
    <w:rsid w:val="00BA06FA"/>
    <w:rsid w:val="00BA0A23"/>
    <w:rsid w:val="00BA3460"/>
    <w:rsid w:val="00BA5E6C"/>
    <w:rsid w:val="00BA5F1E"/>
    <w:rsid w:val="00BA6DF2"/>
    <w:rsid w:val="00BA7782"/>
    <w:rsid w:val="00BB134D"/>
    <w:rsid w:val="00BB177D"/>
    <w:rsid w:val="00BC02D7"/>
    <w:rsid w:val="00BC0A42"/>
    <w:rsid w:val="00BC0C42"/>
    <w:rsid w:val="00BC44FE"/>
    <w:rsid w:val="00BC45E1"/>
    <w:rsid w:val="00BC471A"/>
    <w:rsid w:val="00BC52D2"/>
    <w:rsid w:val="00BC6F58"/>
    <w:rsid w:val="00BC7BBF"/>
    <w:rsid w:val="00BC7DEF"/>
    <w:rsid w:val="00BD07C7"/>
    <w:rsid w:val="00BD14CE"/>
    <w:rsid w:val="00BD4652"/>
    <w:rsid w:val="00BD62A2"/>
    <w:rsid w:val="00BE037A"/>
    <w:rsid w:val="00BE048A"/>
    <w:rsid w:val="00BE0C9F"/>
    <w:rsid w:val="00BE17E6"/>
    <w:rsid w:val="00BE2D31"/>
    <w:rsid w:val="00BE50C2"/>
    <w:rsid w:val="00BE5134"/>
    <w:rsid w:val="00BE540B"/>
    <w:rsid w:val="00BE6576"/>
    <w:rsid w:val="00BF048F"/>
    <w:rsid w:val="00BF1FCA"/>
    <w:rsid w:val="00BF67CE"/>
    <w:rsid w:val="00C00650"/>
    <w:rsid w:val="00C021BB"/>
    <w:rsid w:val="00C03932"/>
    <w:rsid w:val="00C22E65"/>
    <w:rsid w:val="00C22EB5"/>
    <w:rsid w:val="00C23824"/>
    <w:rsid w:val="00C239B6"/>
    <w:rsid w:val="00C24FF6"/>
    <w:rsid w:val="00C25F01"/>
    <w:rsid w:val="00C264D9"/>
    <w:rsid w:val="00C26F6A"/>
    <w:rsid w:val="00C273F1"/>
    <w:rsid w:val="00C31354"/>
    <w:rsid w:val="00C319FB"/>
    <w:rsid w:val="00C31C5A"/>
    <w:rsid w:val="00C3269C"/>
    <w:rsid w:val="00C32BE0"/>
    <w:rsid w:val="00C342CA"/>
    <w:rsid w:val="00C34515"/>
    <w:rsid w:val="00C34D9A"/>
    <w:rsid w:val="00C36221"/>
    <w:rsid w:val="00C36C08"/>
    <w:rsid w:val="00C36FF2"/>
    <w:rsid w:val="00C412AD"/>
    <w:rsid w:val="00C419F7"/>
    <w:rsid w:val="00C4559D"/>
    <w:rsid w:val="00C45F01"/>
    <w:rsid w:val="00C4698C"/>
    <w:rsid w:val="00C46F75"/>
    <w:rsid w:val="00C474F5"/>
    <w:rsid w:val="00C5207F"/>
    <w:rsid w:val="00C52A9E"/>
    <w:rsid w:val="00C52D21"/>
    <w:rsid w:val="00C52D74"/>
    <w:rsid w:val="00C55ECF"/>
    <w:rsid w:val="00C56FD2"/>
    <w:rsid w:val="00C570F6"/>
    <w:rsid w:val="00C573B1"/>
    <w:rsid w:val="00C60E45"/>
    <w:rsid w:val="00C62C5C"/>
    <w:rsid w:val="00C64192"/>
    <w:rsid w:val="00C6485D"/>
    <w:rsid w:val="00C67747"/>
    <w:rsid w:val="00C7351D"/>
    <w:rsid w:val="00C752EB"/>
    <w:rsid w:val="00C75863"/>
    <w:rsid w:val="00C75878"/>
    <w:rsid w:val="00C76BBB"/>
    <w:rsid w:val="00C779D4"/>
    <w:rsid w:val="00C77C0E"/>
    <w:rsid w:val="00C82451"/>
    <w:rsid w:val="00C827D0"/>
    <w:rsid w:val="00C874C9"/>
    <w:rsid w:val="00C87B09"/>
    <w:rsid w:val="00C905F3"/>
    <w:rsid w:val="00C90E28"/>
    <w:rsid w:val="00C935F6"/>
    <w:rsid w:val="00C945F2"/>
    <w:rsid w:val="00C9788C"/>
    <w:rsid w:val="00C978B9"/>
    <w:rsid w:val="00C97C59"/>
    <w:rsid w:val="00CA0632"/>
    <w:rsid w:val="00CB1766"/>
    <w:rsid w:val="00CB1E90"/>
    <w:rsid w:val="00CB1F32"/>
    <w:rsid w:val="00CB233B"/>
    <w:rsid w:val="00CB3B10"/>
    <w:rsid w:val="00CB4831"/>
    <w:rsid w:val="00CB5DBA"/>
    <w:rsid w:val="00CB5FBD"/>
    <w:rsid w:val="00CB7F2D"/>
    <w:rsid w:val="00CC15E5"/>
    <w:rsid w:val="00CC27F8"/>
    <w:rsid w:val="00CC759C"/>
    <w:rsid w:val="00CD0363"/>
    <w:rsid w:val="00CD171A"/>
    <w:rsid w:val="00CD2265"/>
    <w:rsid w:val="00CD33A6"/>
    <w:rsid w:val="00CD4F9A"/>
    <w:rsid w:val="00CD76C6"/>
    <w:rsid w:val="00CE113C"/>
    <w:rsid w:val="00CE1D44"/>
    <w:rsid w:val="00CE6C1C"/>
    <w:rsid w:val="00CE7AB4"/>
    <w:rsid w:val="00CE7B3F"/>
    <w:rsid w:val="00CF0DE8"/>
    <w:rsid w:val="00CF0EF2"/>
    <w:rsid w:val="00CF732A"/>
    <w:rsid w:val="00D00533"/>
    <w:rsid w:val="00D00F03"/>
    <w:rsid w:val="00D01671"/>
    <w:rsid w:val="00D0250E"/>
    <w:rsid w:val="00D04F41"/>
    <w:rsid w:val="00D07526"/>
    <w:rsid w:val="00D1308F"/>
    <w:rsid w:val="00D2012A"/>
    <w:rsid w:val="00D207B2"/>
    <w:rsid w:val="00D240C0"/>
    <w:rsid w:val="00D24A6C"/>
    <w:rsid w:val="00D24CF6"/>
    <w:rsid w:val="00D25A76"/>
    <w:rsid w:val="00D26729"/>
    <w:rsid w:val="00D27075"/>
    <w:rsid w:val="00D308D8"/>
    <w:rsid w:val="00D32ACC"/>
    <w:rsid w:val="00D32CC0"/>
    <w:rsid w:val="00D3344A"/>
    <w:rsid w:val="00D34B11"/>
    <w:rsid w:val="00D363D8"/>
    <w:rsid w:val="00D3650C"/>
    <w:rsid w:val="00D36BE9"/>
    <w:rsid w:val="00D3722A"/>
    <w:rsid w:val="00D43F58"/>
    <w:rsid w:val="00D460AB"/>
    <w:rsid w:val="00D47829"/>
    <w:rsid w:val="00D53A7A"/>
    <w:rsid w:val="00D542A9"/>
    <w:rsid w:val="00D5501F"/>
    <w:rsid w:val="00D55807"/>
    <w:rsid w:val="00D56479"/>
    <w:rsid w:val="00D645E0"/>
    <w:rsid w:val="00D64AF5"/>
    <w:rsid w:val="00D64E5A"/>
    <w:rsid w:val="00D6599A"/>
    <w:rsid w:val="00D66822"/>
    <w:rsid w:val="00D669A4"/>
    <w:rsid w:val="00D679CC"/>
    <w:rsid w:val="00D7143F"/>
    <w:rsid w:val="00D71856"/>
    <w:rsid w:val="00D7507B"/>
    <w:rsid w:val="00D752C1"/>
    <w:rsid w:val="00D7557F"/>
    <w:rsid w:val="00D758C9"/>
    <w:rsid w:val="00D75BC9"/>
    <w:rsid w:val="00D80AED"/>
    <w:rsid w:val="00D81AC4"/>
    <w:rsid w:val="00D81BB1"/>
    <w:rsid w:val="00D83C55"/>
    <w:rsid w:val="00D84F6A"/>
    <w:rsid w:val="00D86D3C"/>
    <w:rsid w:val="00D86E14"/>
    <w:rsid w:val="00D87443"/>
    <w:rsid w:val="00D90F27"/>
    <w:rsid w:val="00D90F8B"/>
    <w:rsid w:val="00D94393"/>
    <w:rsid w:val="00D95288"/>
    <w:rsid w:val="00D95F43"/>
    <w:rsid w:val="00D96AB8"/>
    <w:rsid w:val="00DA0FDC"/>
    <w:rsid w:val="00DA17B0"/>
    <w:rsid w:val="00DA2507"/>
    <w:rsid w:val="00DA2C00"/>
    <w:rsid w:val="00DA3325"/>
    <w:rsid w:val="00DA3C29"/>
    <w:rsid w:val="00DA50AD"/>
    <w:rsid w:val="00DA55C8"/>
    <w:rsid w:val="00DA5E1F"/>
    <w:rsid w:val="00DA6D82"/>
    <w:rsid w:val="00DB169C"/>
    <w:rsid w:val="00DB17EF"/>
    <w:rsid w:val="00DB180E"/>
    <w:rsid w:val="00DB27AF"/>
    <w:rsid w:val="00DB292F"/>
    <w:rsid w:val="00DB3966"/>
    <w:rsid w:val="00DB3F0F"/>
    <w:rsid w:val="00DB5A3F"/>
    <w:rsid w:val="00DC2AD7"/>
    <w:rsid w:val="00DC4A13"/>
    <w:rsid w:val="00DC64B4"/>
    <w:rsid w:val="00DD4632"/>
    <w:rsid w:val="00DD620A"/>
    <w:rsid w:val="00DD7F61"/>
    <w:rsid w:val="00DE11D6"/>
    <w:rsid w:val="00DF2C09"/>
    <w:rsid w:val="00DF3CA1"/>
    <w:rsid w:val="00DF5D71"/>
    <w:rsid w:val="00DF631D"/>
    <w:rsid w:val="00DF6C2D"/>
    <w:rsid w:val="00E010DC"/>
    <w:rsid w:val="00E02941"/>
    <w:rsid w:val="00E03081"/>
    <w:rsid w:val="00E039E2"/>
    <w:rsid w:val="00E059AD"/>
    <w:rsid w:val="00E05B90"/>
    <w:rsid w:val="00E06224"/>
    <w:rsid w:val="00E114D9"/>
    <w:rsid w:val="00E12244"/>
    <w:rsid w:val="00E134A9"/>
    <w:rsid w:val="00E150E0"/>
    <w:rsid w:val="00E2108D"/>
    <w:rsid w:val="00E21F9F"/>
    <w:rsid w:val="00E220EA"/>
    <w:rsid w:val="00E224EC"/>
    <w:rsid w:val="00E2288D"/>
    <w:rsid w:val="00E23054"/>
    <w:rsid w:val="00E237A8"/>
    <w:rsid w:val="00E25852"/>
    <w:rsid w:val="00E31BA9"/>
    <w:rsid w:val="00E337E8"/>
    <w:rsid w:val="00E34AA2"/>
    <w:rsid w:val="00E37FAF"/>
    <w:rsid w:val="00E40674"/>
    <w:rsid w:val="00E41878"/>
    <w:rsid w:val="00E41DB6"/>
    <w:rsid w:val="00E42B30"/>
    <w:rsid w:val="00E42DA2"/>
    <w:rsid w:val="00E45E6B"/>
    <w:rsid w:val="00E46932"/>
    <w:rsid w:val="00E47F5A"/>
    <w:rsid w:val="00E5097C"/>
    <w:rsid w:val="00E5361B"/>
    <w:rsid w:val="00E54925"/>
    <w:rsid w:val="00E57045"/>
    <w:rsid w:val="00E61C4E"/>
    <w:rsid w:val="00E64912"/>
    <w:rsid w:val="00E65318"/>
    <w:rsid w:val="00E65A41"/>
    <w:rsid w:val="00E710C9"/>
    <w:rsid w:val="00E724E4"/>
    <w:rsid w:val="00E73312"/>
    <w:rsid w:val="00E735D4"/>
    <w:rsid w:val="00E73F4C"/>
    <w:rsid w:val="00E74D67"/>
    <w:rsid w:val="00E76051"/>
    <w:rsid w:val="00E76439"/>
    <w:rsid w:val="00E80317"/>
    <w:rsid w:val="00E858D9"/>
    <w:rsid w:val="00E862F4"/>
    <w:rsid w:val="00E87279"/>
    <w:rsid w:val="00E9032B"/>
    <w:rsid w:val="00E92DE1"/>
    <w:rsid w:val="00E97330"/>
    <w:rsid w:val="00EA132D"/>
    <w:rsid w:val="00EA5939"/>
    <w:rsid w:val="00EC0E72"/>
    <w:rsid w:val="00EC2028"/>
    <w:rsid w:val="00EC2317"/>
    <w:rsid w:val="00EC2990"/>
    <w:rsid w:val="00EC2A4D"/>
    <w:rsid w:val="00EC4FBB"/>
    <w:rsid w:val="00ED171C"/>
    <w:rsid w:val="00ED200B"/>
    <w:rsid w:val="00ED2353"/>
    <w:rsid w:val="00ED24DA"/>
    <w:rsid w:val="00ED2E12"/>
    <w:rsid w:val="00ED41A6"/>
    <w:rsid w:val="00ED4F03"/>
    <w:rsid w:val="00EE0B61"/>
    <w:rsid w:val="00EE173D"/>
    <w:rsid w:val="00EE24D6"/>
    <w:rsid w:val="00EE4187"/>
    <w:rsid w:val="00EE4497"/>
    <w:rsid w:val="00EE59C6"/>
    <w:rsid w:val="00EE76FA"/>
    <w:rsid w:val="00EF1864"/>
    <w:rsid w:val="00EF26B4"/>
    <w:rsid w:val="00EF30D9"/>
    <w:rsid w:val="00F02E36"/>
    <w:rsid w:val="00F04707"/>
    <w:rsid w:val="00F04ACD"/>
    <w:rsid w:val="00F06014"/>
    <w:rsid w:val="00F0603A"/>
    <w:rsid w:val="00F10869"/>
    <w:rsid w:val="00F110F6"/>
    <w:rsid w:val="00F11398"/>
    <w:rsid w:val="00F1160C"/>
    <w:rsid w:val="00F122E7"/>
    <w:rsid w:val="00F152B2"/>
    <w:rsid w:val="00F22AFE"/>
    <w:rsid w:val="00F265F6"/>
    <w:rsid w:val="00F2691B"/>
    <w:rsid w:val="00F27291"/>
    <w:rsid w:val="00F32569"/>
    <w:rsid w:val="00F33889"/>
    <w:rsid w:val="00F349BA"/>
    <w:rsid w:val="00F35C22"/>
    <w:rsid w:val="00F3701C"/>
    <w:rsid w:val="00F404D5"/>
    <w:rsid w:val="00F41337"/>
    <w:rsid w:val="00F4193B"/>
    <w:rsid w:val="00F41940"/>
    <w:rsid w:val="00F43C8D"/>
    <w:rsid w:val="00F44405"/>
    <w:rsid w:val="00F46255"/>
    <w:rsid w:val="00F476CF"/>
    <w:rsid w:val="00F5608F"/>
    <w:rsid w:val="00F578D3"/>
    <w:rsid w:val="00F60DAD"/>
    <w:rsid w:val="00F61E10"/>
    <w:rsid w:val="00F61F8E"/>
    <w:rsid w:val="00F63405"/>
    <w:rsid w:val="00F63943"/>
    <w:rsid w:val="00F64156"/>
    <w:rsid w:val="00F6581C"/>
    <w:rsid w:val="00F7226D"/>
    <w:rsid w:val="00F72880"/>
    <w:rsid w:val="00F74F81"/>
    <w:rsid w:val="00F76A83"/>
    <w:rsid w:val="00F76A93"/>
    <w:rsid w:val="00F8064E"/>
    <w:rsid w:val="00F83ED3"/>
    <w:rsid w:val="00F857B4"/>
    <w:rsid w:val="00F86C88"/>
    <w:rsid w:val="00F87535"/>
    <w:rsid w:val="00F9031B"/>
    <w:rsid w:val="00F962B4"/>
    <w:rsid w:val="00F96B69"/>
    <w:rsid w:val="00FA0210"/>
    <w:rsid w:val="00FA0464"/>
    <w:rsid w:val="00FA04D9"/>
    <w:rsid w:val="00FA1A10"/>
    <w:rsid w:val="00FA2115"/>
    <w:rsid w:val="00FA3AA3"/>
    <w:rsid w:val="00FA4D85"/>
    <w:rsid w:val="00FA5D62"/>
    <w:rsid w:val="00FA5F70"/>
    <w:rsid w:val="00FB08CC"/>
    <w:rsid w:val="00FB3686"/>
    <w:rsid w:val="00FB4545"/>
    <w:rsid w:val="00FB578C"/>
    <w:rsid w:val="00FB597D"/>
    <w:rsid w:val="00FC1A5C"/>
    <w:rsid w:val="00FC35F2"/>
    <w:rsid w:val="00FC39EA"/>
    <w:rsid w:val="00FC3A9F"/>
    <w:rsid w:val="00FD0CB3"/>
    <w:rsid w:val="00FD15AF"/>
    <w:rsid w:val="00FD2BEA"/>
    <w:rsid w:val="00FD2F1A"/>
    <w:rsid w:val="00FD5066"/>
    <w:rsid w:val="00FD7F01"/>
    <w:rsid w:val="00FE0A72"/>
    <w:rsid w:val="00FE2775"/>
    <w:rsid w:val="00FE29DC"/>
    <w:rsid w:val="00FE44CF"/>
    <w:rsid w:val="00FE4721"/>
    <w:rsid w:val="00FE4D2A"/>
    <w:rsid w:val="00FE4FD0"/>
    <w:rsid w:val="00FE7FBE"/>
    <w:rsid w:val="00FF200A"/>
    <w:rsid w:val="00FF308B"/>
    <w:rsid w:val="00FF33D5"/>
    <w:rsid w:val="00FF3E7F"/>
    <w:rsid w:val="00FF3FF2"/>
    <w:rsid w:val="00FF61F0"/>
    <w:rsid w:val="00FF6251"/>
    <w:rsid w:val="00FF7E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link w:val="SCCLsocParty"/>
    <w:rsid w:val="0002267C"/>
    <w:rPr>
      <w:rFonts w:ascii="Times New Roman" w:hAnsi="Times New Roman"/>
      <w:sz w:val="24"/>
      <w:szCs w:val="22"/>
      <w:lang w:val="fr-CA"/>
    </w:rPr>
  </w:style>
  <w:style w:type="character" w:styleId="FollowedHyperlink">
    <w:name w:val="FollowedHyperlink"/>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rsid w:val="00A2504D"/>
    <w:pPr>
      <w:jc w:val="both"/>
    </w:pPr>
    <w:rPr>
      <w:rFonts w:eastAsia="Calibri"/>
      <w:b/>
      <w:szCs w:val="22"/>
      <w:lang w:val="en-CA"/>
    </w:rPr>
  </w:style>
  <w:style w:type="character" w:customStyle="1" w:styleId="SCCFileNumberChar">
    <w:name w:val="SCC.FileNumber Char"/>
    <w:link w:val="SCCFileNumber"/>
    <w:rsid w:val="00A2504D"/>
    <w:rPr>
      <w:rFonts w:ascii="Times New Roman" w:hAnsi="Times New Roman"/>
      <w:b/>
      <w:sz w:val="24"/>
      <w:szCs w:val="22"/>
      <w:lang w:val="en-CA"/>
    </w:rPr>
  </w:style>
  <w:style w:type="paragraph" w:customStyle="1" w:styleId="SCCBanSummary">
    <w:name w:val="SCC.BanSummary"/>
    <w:basedOn w:val="Normal"/>
    <w:next w:val="Normal"/>
    <w:link w:val="SCCBanSummaryChar"/>
    <w:rsid w:val="00A2504D"/>
    <w:pPr>
      <w:jc w:val="both"/>
    </w:pPr>
    <w:rPr>
      <w:rFonts w:eastAsia="Calibri"/>
      <w:smallCaps/>
      <w:szCs w:val="22"/>
      <w:lang w:val="en-CA"/>
    </w:rPr>
  </w:style>
  <w:style w:type="character" w:customStyle="1" w:styleId="SCCBanSummaryChar">
    <w:name w:val="SCC.BanSummary Char"/>
    <w:link w:val="SCCBanSummary"/>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val="en-US"/>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eastAsia="en-US"/>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link w:val="PlainText"/>
    <w:uiPriority w:val="99"/>
    <w:semiHidden/>
    <w:rsid w:val="000627A2"/>
    <w:rPr>
      <w:rFonts w:ascii="Consolas" w:eastAsia="Times New Roman" w:hAnsi="Consolas"/>
      <w:sz w:val="21"/>
      <w:szCs w:val="21"/>
    </w:rPr>
  </w:style>
  <w:style w:type="paragraph" w:customStyle="1" w:styleId="SCCSsoc">
    <w:name w:val="SCC.Ssoc"/>
    <w:basedOn w:val="Normal"/>
    <w:next w:val="Normal"/>
    <w:link w:val="SCCSsocChar"/>
    <w:rsid w:val="000E1CD6"/>
    <w:rPr>
      <w:rFonts w:eastAsia="Calibri"/>
      <w:i/>
      <w:sz w:val="20"/>
      <w:lang w:val="en-CA"/>
    </w:rPr>
  </w:style>
  <w:style w:type="character" w:customStyle="1" w:styleId="SCCSsocChar">
    <w:name w:val="SCC.Ssoc Char"/>
    <w:link w:val="SCCSsoc"/>
    <w:rsid w:val="000E1CD6"/>
    <w:rPr>
      <w:rFonts w:ascii="Times New Roman" w:eastAsia="Calibri" w:hAnsi="Times New Roman" w:cs="Times New Roman"/>
      <w:i/>
      <w:lang w:val="en-CA"/>
    </w:rPr>
  </w:style>
  <w:style w:type="table" w:styleId="TableGrid">
    <w:name w:val="Table Grid"/>
    <w:basedOn w:val="TableNormal"/>
    <w:uiPriority w:val="59"/>
    <w:rsid w:val="00AC0631"/>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775A9"/>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DD7F61"/>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335252"/>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64572"/>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30982"/>
    <w:rPr>
      <w:sz w:val="16"/>
      <w:szCs w:val="16"/>
    </w:rPr>
  </w:style>
  <w:style w:type="paragraph" w:styleId="CommentText">
    <w:name w:val="annotation text"/>
    <w:basedOn w:val="Normal"/>
    <w:link w:val="CommentTextChar"/>
    <w:uiPriority w:val="99"/>
    <w:semiHidden/>
    <w:unhideWhenUsed/>
    <w:rsid w:val="00930982"/>
    <w:rPr>
      <w:sz w:val="20"/>
    </w:rPr>
  </w:style>
  <w:style w:type="character" w:customStyle="1" w:styleId="CommentTextChar">
    <w:name w:val="Comment Text Char"/>
    <w:basedOn w:val="DefaultParagraphFont"/>
    <w:link w:val="CommentText"/>
    <w:uiPriority w:val="99"/>
    <w:semiHidden/>
    <w:rsid w:val="00930982"/>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930982"/>
    <w:rPr>
      <w:b/>
      <w:bCs/>
    </w:rPr>
  </w:style>
  <w:style w:type="character" w:customStyle="1" w:styleId="CommentSubjectChar">
    <w:name w:val="Comment Subject Char"/>
    <w:basedOn w:val="CommentTextChar"/>
    <w:link w:val="CommentSubject"/>
    <w:uiPriority w:val="99"/>
    <w:semiHidden/>
    <w:rsid w:val="00930982"/>
    <w:rPr>
      <w:rFonts w:ascii="Times New Roman" w:eastAsia="Times New Roman" w:hAnsi="Times New Roman"/>
      <w:b/>
      <w:bCs/>
      <w:lang w:val="en-US" w:eastAsia="en-US"/>
    </w:rPr>
  </w:style>
  <w:style w:type="table" w:customStyle="1" w:styleId="TableGrid4">
    <w:name w:val="Table Grid4"/>
    <w:basedOn w:val="TableNormal"/>
    <w:next w:val="TableGrid"/>
    <w:uiPriority w:val="59"/>
    <w:rsid w:val="00340E08"/>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ED2353"/>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F7226D"/>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B432E7"/>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866D43"/>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6C319F"/>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BE2D31"/>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2F0B78"/>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sparanotopmargin2">
    <w:name w:val="ss_paranotopmargin2"/>
    <w:basedOn w:val="Normal"/>
    <w:rsid w:val="007E0325"/>
    <w:pPr>
      <w:spacing w:after="100" w:afterAutospacing="1"/>
    </w:pPr>
    <w:rPr>
      <w:szCs w:val="24"/>
    </w:rPr>
  </w:style>
  <w:style w:type="paragraph" w:customStyle="1" w:styleId="SCCLsocSubfileSeparator">
    <w:name w:val="SCC.Lsoc.SubfileSeparator"/>
    <w:basedOn w:val="Normal"/>
    <w:next w:val="Normal"/>
    <w:link w:val="SCCLsocSubfileSeparatorChar"/>
    <w:rsid w:val="007E0325"/>
    <w:pPr>
      <w:jc w:val="both"/>
    </w:pPr>
    <w:rPr>
      <w:rFonts w:eastAsiaTheme="minorHAnsi"/>
      <w:b/>
      <w:szCs w:val="24"/>
      <w:lang w:val="en-CA"/>
    </w:rPr>
  </w:style>
  <w:style w:type="character" w:customStyle="1" w:styleId="SCCLsocSubfileSeparatorChar">
    <w:name w:val="SCC.Lsoc.SubfileSeparator Char"/>
    <w:basedOn w:val="DefaultParagraphFont"/>
    <w:link w:val="SCCLsocSubfileSeparator"/>
    <w:rsid w:val="007E0325"/>
    <w:rPr>
      <w:rFonts w:ascii="Times New Roman" w:eastAsiaTheme="minorHAnsi" w:hAnsi="Times New Roman"/>
      <w:b/>
      <w:sz w:val="24"/>
      <w:szCs w:val="24"/>
      <w:lang w:eastAsia="en-US"/>
    </w:rPr>
  </w:style>
  <w:style w:type="paragraph" w:customStyle="1" w:styleId="SCCCaseDescriptor">
    <w:name w:val="SCC.CaseDescriptor"/>
    <w:basedOn w:val="Normal"/>
    <w:link w:val="SCCCaseDescriptorChar"/>
    <w:qFormat/>
    <w:rsid w:val="00A9444F"/>
    <w:rPr>
      <w:b/>
      <w:lang w:val="en-CA" w:eastAsia="en-CA"/>
    </w:rPr>
  </w:style>
  <w:style w:type="character" w:customStyle="1" w:styleId="SCCCaseDescriptorChar">
    <w:name w:val="SCC.CaseDescriptor Char"/>
    <w:basedOn w:val="DefaultParagraphFont"/>
    <w:link w:val="SCCCaseDescriptor"/>
    <w:rsid w:val="00A9444F"/>
    <w:rPr>
      <w:rFonts w:ascii="Times New Roman" w:eastAsia="Times New Roman" w:hAnsi="Times New Roman"/>
      <w:b/>
      <w:sz w:val="24"/>
    </w:rPr>
  </w:style>
  <w:style w:type="character" w:styleId="Strong">
    <w:name w:val="Strong"/>
    <w:basedOn w:val="DefaultParagraphFont"/>
    <w:uiPriority w:val="22"/>
    <w:qFormat/>
    <w:rsid w:val="00831114"/>
    <w:rPr>
      <w:b/>
      <w:bCs/>
    </w:rPr>
  </w:style>
  <w:style w:type="paragraph" w:styleId="Quote">
    <w:name w:val="Quote"/>
    <w:basedOn w:val="Normal"/>
    <w:link w:val="QuoteChar"/>
    <w:uiPriority w:val="29"/>
    <w:qFormat/>
    <w:rsid w:val="00F578D3"/>
    <w:pPr>
      <w:spacing w:before="100" w:beforeAutospacing="1" w:after="100" w:afterAutospacing="1"/>
    </w:pPr>
    <w:rPr>
      <w:szCs w:val="24"/>
      <w:lang w:val="fr-CA" w:eastAsia="fr-CA"/>
    </w:rPr>
  </w:style>
  <w:style w:type="character" w:customStyle="1" w:styleId="QuoteChar">
    <w:name w:val="Quote Char"/>
    <w:basedOn w:val="DefaultParagraphFont"/>
    <w:link w:val="Quote"/>
    <w:uiPriority w:val="29"/>
    <w:rsid w:val="00F578D3"/>
    <w:rPr>
      <w:rFonts w:ascii="Times New Roman" w:eastAsia="Times New Roman" w:hAnsi="Times New Roman"/>
      <w:sz w:val="24"/>
      <w:szCs w:val="24"/>
      <w:lang w:val="fr-CA" w:eastAsia="fr-CA"/>
    </w:rPr>
  </w:style>
  <w:style w:type="paragraph" w:customStyle="1" w:styleId="SCCLsocOtherPartySeparator">
    <w:name w:val="SCC.Lsoc.OtherPartySeparator"/>
    <w:basedOn w:val="Normal"/>
    <w:next w:val="Normal"/>
    <w:link w:val="SCCLsocOtherPartySeparatorChar"/>
    <w:rsid w:val="007403BE"/>
    <w:pPr>
      <w:jc w:val="both"/>
    </w:pPr>
    <w:rPr>
      <w:rFonts w:eastAsiaTheme="minorHAnsi" w:cstheme="minorBidi"/>
      <w:b/>
      <w:szCs w:val="22"/>
      <w:lang w:val="en-CA"/>
    </w:rPr>
  </w:style>
  <w:style w:type="character" w:customStyle="1" w:styleId="SCCLsocOtherPartySeparatorChar">
    <w:name w:val="SCC.Lsoc.OtherPartySeparator Char"/>
    <w:basedOn w:val="DefaultParagraphFont"/>
    <w:link w:val="SCCLsocOtherPartySeparator"/>
    <w:rsid w:val="007403BE"/>
    <w:rPr>
      <w:rFonts w:ascii="Times New Roman" w:eastAsiaTheme="minorHAnsi" w:hAnsi="Times New Roman" w:cstheme="minorBidi"/>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0493">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444346693">
      <w:bodyDiv w:val="1"/>
      <w:marLeft w:val="0"/>
      <w:marRight w:val="0"/>
      <w:marTop w:val="0"/>
      <w:marBottom w:val="0"/>
      <w:divBdr>
        <w:top w:val="none" w:sz="0" w:space="0" w:color="auto"/>
        <w:left w:val="none" w:sz="0" w:space="0" w:color="auto"/>
        <w:bottom w:val="none" w:sz="0" w:space="0" w:color="auto"/>
        <w:right w:val="none" w:sz="0" w:space="0" w:color="auto"/>
      </w:divBdr>
    </w:div>
    <w:div w:id="467363780">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1176192390">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eng.aspx?cas=4004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ents-commentaires@scc-csc.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cc-csc.ca/case-dossier/info/sum-som-eng.aspx?cas=4019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c-csc.ca/case-dossier/info/sum-som-fra.aspx?cas=4033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5A39C-00D2-4B38-A53F-5670B692E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13683</CharactersWithSpaces>
  <SharedDoc>false</SharedDoc>
  <HLinks>
    <vt:vector size="48" baseType="variant">
      <vt:variant>
        <vt:i4>3080249</vt:i4>
      </vt:variant>
      <vt:variant>
        <vt:i4>21</vt:i4>
      </vt:variant>
      <vt:variant>
        <vt:i4>0</vt:i4>
      </vt:variant>
      <vt:variant>
        <vt:i4>5</vt:i4>
      </vt:variant>
      <vt:variant>
        <vt:lpwstr>http://www.scc-csc.ca/news-nouv/rel-com/subs-abon-fra.aspx</vt:lpwstr>
      </vt:variant>
      <vt:variant>
        <vt:lpwstr/>
      </vt:variant>
      <vt:variant>
        <vt:i4>3342396</vt:i4>
      </vt:variant>
      <vt:variant>
        <vt:i4>18</vt:i4>
      </vt:variant>
      <vt:variant>
        <vt:i4>0</vt:i4>
      </vt:variant>
      <vt:variant>
        <vt:i4>5</vt:i4>
      </vt:variant>
      <vt:variant>
        <vt:lpwstr>http://www.scc-csc.ca/news-nouv/rel-com/subs-abon-eng.aspx</vt:lpwstr>
      </vt:variant>
      <vt:variant>
        <vt:lpwstr/>
      </vt:variant>
      <vt:variant>
        <vt:i4>3080213</vt:i4>
      </vt:variant>
      <vt:variant>
        <vt:i4>15</vt:i4>
      </vt:variant>
      <vt:variant>
        <vt:i4>0</vt:i4>
      </vt:variant>
      <vt:variant>
        <vt:i4>5</vt:i4>
      </vt:variant>
      <vt:variant>
        <vt:lpwstr>mailto:comments-commentaires@scc-csc.ca</vt:lpwstr>
      </vt:variant>
      <vt:variant>
        <vt:lpwstr/>
      </vt:variant>
      <vt:variant>
        <vt:i4>2883644</vt:i4>
      </vt:variant>
      <vt:variant>
        <vt:i4>12</vt:i4>
      </vt:variant>
      <vt:variant>
        <vt:i4>0</vt:i4>
      </vt:variant>
      <vt:variant>
        <vt:i4>5</vt:i4>
      </vt:variant>
      <vt:variant>
        <vt:lpwstr>http://www.scc-csc.ca/case-dossier/info/sum-som-eng.aspx?cas=36524</vt:lpwstr>
      </vt:variant>
      <vt:variant>
        <vt:lpwstr/>
      </vt:variant>
      <vt:variant>
        <vt:i4>2883645</vt:i4>
      </vt:variant>
      <vt:variant>
        <vt:i4>9</vt:i4>
      </vt:variant>
      <vt:variant>
        <vt:i4>0</vt:i4>
      </vt:variant>
      <vt:variant>
        <vt:i4>5</vt:i4>
      </vt:variant>
      <vt:variant>
        <vt:lpwstr>http://www.scc-csc.ca/case-dossier/info/sum-som-eng.aspx?cas=36435</vt:lpwstr>
      </vt:variant>
      <vt:variant>
        <vt:lpwstr/>
      </vt:variant>
      <vt:variant>
        <vt:i4>3473459</vt:i4>
      </vt:variant>
      <vt:variant>
        <vt:i4>6</vt:i4>
      </vt:variant>
      <vt:variant>
        <vt:i4>0</vt:i4>
      </vt:variant>
      <vt:variant>
        <vt:i4>5</vt:i4>
      </vt:variant>
      <vt:variant>
        <vt:lpwstr>http://www.scc-csc.ca/case-dossier/info/sum-som-fra.aspx?cas=36581</vt:lpwstr>
      </vt:variant>
      <vt:variant>
        <vt:lpwstr/>
      </vt:variant>
      <vt:variant>
        <vt:i4>2293818</vt:i4>
      </vt:variant>
      <vt:variant>
        <vt:i4>3</vt:i4>
      </vt:variant>
      <vt:variant>
        <vt:i4>0</vt:i4>
      </vt:variant>
      <vt:variant>
        <vt:i4>5</vt:i4>
      </vt:variant>
      <vt:variant>
        <vt:lpwstr>http://scc-csc.lexum.com/scc-csc/news/fr/item/5158/index.do</vt:lpwstr>
      </vt:variant>
      <vt:variant>
        <vt:lpwstr/>
      </vt:variant>
      <vt:variant>
        <vt:i4>4128825</vt:i4>
      </vt:variant>
      <vt:variant>
        <vt:i4>0</vt:i4>
      </vt:variant>
      <vt:variant>
        <vt:i4>0</vt:i4>
      </vt:variant>
      <vt:variant>
        <vt:i4>5</vt:i4>
      </vt:variant>
      <vt:variant>
        <vt:lpwstr>http://scc-csc.lexum.com/scc-csc/news/en/item/5158/index.do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2021-11-16T13:13:00Z</dcterms:created>
  <dcterms:modified xsi:type="dcterms:W3CDTF">2023-03-02T14:51:00Z</dcterms:modified>
</cp:coreProperties>
</file>