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69183C" w:rsidRDefault="001C4415" w:rsidP="001C4415">
      <w:pPr>
        <w:pStyle w:val="Header"/>
        <w:jc w:val="center"/>
        <w:rPr>
          <w:b/>
          <w:sz w:val="32"/>
        </w:rPr>
      </w:pPr>
      <w:r w:rsidRPr="0069183C">
        <w:rPr>
          <w:b/>
          <w:sz w:val="32"/>
        </w:rPr>
        <w:t>Supreme Court of Canada / Cour suprême du Canada</w:t>
      </w:r>
    </w:p>
    <w:p w:rsidR="001C4415" w:rsidRPr="0069183C" w:rsidRDefault="001C4415" w:rsidP="001C4415">
      <w:pPr>
        <w:widowControl w:val="0"/>
        <w:rPr>
          <w:i/>
        </w:rPr>
      </w:pPr>
    </w:p>
    <w:p w:rsidR="001C4415" w:rsidRPr="0069183C" w:rsidRDefault="001C4415" w:rsidP="001C4415">
      <w:pPr>
        <w:widowControl w:val="0"/>
        <w:rPr>
          <w:i/>
        </w:rPr>
      </w:pPr>
    </w:p>
    <w:p w:rsidR="001C4415" w:rsidRPr="0069183C" w:rsidRDefault="001C4415" w:rsidP="001C4415">
      <w:pPr>
        <w:widowControl w:val="0"/>
        <w:rPr>
          <w:i/>
        </w:rPr>
      </w:pPr>
      <w:r w:rsidRPr="0069183C">
        <w:rPr>
          <w:i/>
        </w:rPr>
        <w:t>(le français suit)</w:t>
      </w:r>
    </w:p>
    <w:p w:rsidR="001C4415" w:rsidRPr="0069183C" w:rsidRDefault="001C4415" w:rsidP="001C4415">
      <w:pPr>
        <w:widowControl w:val="0"/>
      </w:pPr>
    </w:p>
    <w:p w:rsidR="001C4415" w:rsidRPr="0069183C" w:rsidRDefault="000347C1" w:rsidP="00214729">
      <w:pPr>
        <w:widowControl w:val="0"/>
        <w:jc w:val="center"/>
        <w:rPr>
          <w:b/>
        </w:rPr>
      </w:pPr>
      <w:r w:rsidRPr="0069183C">
        <w:fldChar w:fldCharType="begin"/>
      </w:r>
      <w:r w:rsidR="00FA7412" w:rsidRPr="0069183C">
        <w:instrText xml:space="preserve"> SEQ CHAPTER \h \r 1</w:instrText>
      </w:r>
      <w:r w:rsidRPr="0069183C">
        <w:fldChar w:fldCharType="end"/>
      </w:r>
      <w:r w:rsidR="006545ED" w:rsidRPr="0069183C">
        <w:rPr>
          <w:b/>
        </w:rPr>
        <w:t>REASONS FOR J</w:t>
      </w:r>
      <w:r w:rsidR="00455BB9" w:rsidRPr="0069183C">
        <w:rPr>
          <w:b/>
        </w:rPr>
        <w:t>UDGMENT</w:t>
      </w:r>
      <w:r w:rsidR="00FA7412" w:rsidRPr="0069183C">
        <w:rPr>
          <w:b/>
        </w:rPr>
        <w:t xml:space="preserve"> TO BE RENDERED IN APPEA</w:t>
      </w:r>
      <w:r w:rsidR="00342E49" w:rsidRPr="0069183C">
        <w:rPr>
          <w:b/>
        </w:rPr>
        <w:t>L</w:t>
      </w:r>
    </w:p>
    <w:p w:rsidR="005A7C1B" w:rsidRPr="0069183C" w:rsidRDefault="005A7C1B" w:rsidP="005A7C1B">
      <w:pPr>
        <w:widowControl w:val="0"/>
      </w:pPr>
    </w:p>
    <w:p w:rsidR="00EC79B0" w:rsidRPr="0069183C" w:rsidRDefault="009F5887" w:rsidP="00EC79B0">
      <w:pPr>
        <w:widowControl w:val="0"/>
        <w:rPr>
          <w:b/>
        </w:rPr>
      </w:pPr>
      <w:r w:rsidRPr="0069183C">
        <w:rPr>
          <w:b/>
        </w:rPr>
        <w:t>May</w:t>
      </w:r>
      <w:r w:rsidR="00C86395" w:rsidRPr="0069183C">
        <w:rPr>
          <w:b/>
        </w:rPr>
        <w:t xml:space="preserve"> </w:t>
      </w:r>
      <w:r w:rsidRPr="0069183C">
        <w:rPr>
          <w:b/>
        </w:rPr>
        <w:t>1</w:t>
      </w:r>
      <w:r w:rsidR="00EC79B0" w:rsidRPr="0069183C">
        <w:rPr>
          <w:b/>
        </w:rPr>
        <w:t>, 20</w:t>
      </w:r>
      <w:r w:rsidR="00690520" w:rsidRPr="0069183C">
        <w:rPr>
          <w:b/>
        </w:rPr>
        <w:t>2</w:t>
      </w:r>
      <w:r w:rsidR="005273F5" w:rsidRPr="0069183C">
        <w:rPr>
          <w:b/>
        </w:rPr>
        <w:t>3</w:t>
      </w:r>
    </w:p>
    <w:p w:rsidR="00EC79B0" w:rsidRPr="0069183C" w:rsidRDefault="00EC79B0" w:rsidP="00EC79B0">
      <w:pPr>
        <w:widowControl w:val="0"/>
        <w:rPr>
          <w:b/>
        </w:rPr>
      </w:pPr>
      <w:r w:rsidRPr="0069183C">
        <w:rPr>
          <w:b/>
        </w:rPr>
        <w:t>For immediate release</w:t>
      </w:r>
    </w:p>
    <w:p w:rsidR="00EC79B0" w:rsidRPr="0069183C" w:rsidRDefault="00EC79B0" w:rsidP="00EC79B0">
      <w:pPr>
        <w:widowControl w:val="0"/>
      </w:pPr>
    </w:p>
    <w:p w:rsidR="00EC79B0" w:rsidRPr="0069183C" w:rsidRDefault="00EC79B0" w:rsidP="00EC79B0">
      <w:pPr>
        <w:widowControl w:val="0"/>
        <w:rPr>
          <w:lang w:val="fr-CA"/>
        </w:rPr>
      </w:pPr>
      <w:r w:rsidRPr="0069183C">
        <w:rPr>
          <w:b/>
        </w:rPr>
        <w:t>OTTAWA</w:t>
      </w:r>
      <w:r w:rsidRPr="0069183C">
        <w:t xml:space="preserve"> –</w:t>
      </w:r>
      <w:r w:rsidR="00C73BB2" w:rsidRPr="0069183C">
        <w:t xml:space="preserve"> On </w:t>
      </w:r>
      <w:r w:rsidR="009F5887" w:rsidRPr="0069183C">
        <w:t>April</w:t>
      </w:r>
      <w:r w:rsidR="00C73BB2" w:rsidRPr="0069183C">
        <w:t xml:space="preserve"> </w:t>
      </w:r>
      <w:r w:rsidR="005273F5" w:rsidRPr="0069183C">
        <w:t>1</w:t>
      </w:r>
      <w:r w:rsidR="009F5887" w:rsidRPr="0069183C">
        <w:t>7</w:t>
      </w:r>
      <w:r w:rsidR="00C73BB2" w:rsidRPr="0069183C">
        <w:t>, 20</w:t>
      </w:r>
      <w:r w:rsidR="002674CC" w:rsidRPr="0069183C">
        <w:t>2</w:t>
      </w:r>
      <w:r w:rsidR="008C333C" w:rsidRPr="0069183C">
        <w:t>3</w:t>
      </w:r>
      <w:r w:rsidR="00C73BB2" w:rsidRPr="0069183C">
        <w:t xml:space="preserve">, the Supreme Court of Canada </w:t>
      </w:r>
      <w:r w:rsidR="00782B59" w:rsidRPr="0069183C">
        <w:t>allowed</w:t>
      </w:r>
      <w:r w:rsidR="00C73BB2" w:rsidRPr="0069183C">
        <w:t xml:space="preserve"> the appeal</w:t>
      </w:r>
      <w:r w:rsidR="00AE3866" w:rsidRPr="0069183C">
        <w:t xml:space="preserve">, </w:t>
      </w:r>
      <w:r w:rsidR="00C73BB2" w:rsidRPr="0069183C">
        <w:t>with reasons to follow in the following appeal. The reasons for judgment will be delivered at 9:45 a.m. E</w:t>
      </w:r>
      <w:r w:rsidR="009F5887" w:rsidRPr="0069183C">
        <w:t>D</w:t>
      </w:r>
      <w:r w:rsidR="00C73BB2" w:rsidRPr="0069183C">
        <w:t xml:space="preserve">T on </w:t>
      </w:r>
      <w:r w:rsidR="009C7B0C" w:rsidRPr="0069183C">
        <w:t>Friday</w:t>
      </w:r>
      <w:r w:rsidR="00C73BB2" w:rsidRPr="0069183C">
        <w:t xml:space="preserve">, </w:t>
      </w:r>
      <w:r w:rsidR="005273F5" w:rsidRPr="0069183C">
        <w:t>Ma</w:t>
      </w:r>
      <w:r w:rsidR="009F5887" w:rsidRPr="0069183C">
        <w:t>y</w:t>
      </w:r>
      <w:r w:rsidR="00C73BB2" w:rsidRPr="0069183C">
        <w:t xml:space="preserve"> </w:t>
      </w:r>
      <w:r w:rsidR="009F5887" w:rsidRPr="0069183C">
        <w:t>5</w:t>
      </w:r>
      <w:r w:rsidR="00C73BB2" w:rsidRPr="0069183C">
        <w:t>, 20</w:t>
      </w:r>
      <w:r w:rsidR="00690520" w:rsidRPr="0069183C">
        <w:t>2</w:t>
      </w:r>
      <w:r w:rsidR="005273F5" w:rsidRPr="0069183C">
        <w:t>3</w:t>
      </w:r>
      <w:r w:rsidR="00C73BB2" w:rsidRPr="0069183C">
        <w:t xml:space="preserve">. </w:t>
      </w:r>
      <w:r w:rsidR="00C73BB2" w:rsidRPr="0069183C">
        <w:rPr>
          <w:lang w:val="fr-CA"/>
        </w:rPr>
        <w:t>T</w:t>
      </w:r>
      <w:r w:rsidR="00455BB9" w:rsidRPr="0069183C">
        <w:rPr>
          <w:lang w:val="fr-CA"/>
        </w:rPr>
        <w:t>his</w:t>
      </w:r>
      <w:r w:rsidRPr="0069183C">
        <w:rPr>
          <w:lang w:val="fr-CA"/>
        </w:rPr>
        <w:t xml:space="preserve"> list is subject to change.</w:t>
      </w:r>
    </w:p>
    <w:p w:rsidR="001C4415" w:rsidRPr="0069183C" w:rsidRDefault="001C4415" w:rsidP="001C4415">
      <w:pPr>
        <w:widowControl w:val="0"/>
        <w:rPr>
          <w:lang w:val="fr-CA"/>
        </w:rPr>
      </w:pPr>
    </w:p>
    <w:p w:rsidR="00AB491A" w:rsidRPr="0069183C" w:rsidRDefault="00AB491A" w:rsidP="001C4415">
      <w:pPr>
        <w:widowControl w:val="0"/>
        <w:rPr>
          <w:lang w:val="fr-CA"/>
        </w:rPr>
      </w:pPr>
    </w:p>
    <w:p w:rsidR="001335A1" w:rsidRPr="0069183C" w:rsidRDefault="001335A1" w:rsidP="001335A1">
      <w:pPr>
        <w:widowControl w:val="0"/>
        <w:jc w:val="center"/>
        <w:rPr>
          <w:b/>
          <w:lang w:val="fr-CA"/>
        </w:rPr>
      </w:pPr>
      <w:r w:rsidRPr="0069183C">
        <w:rPr>
          <w:b/>
          <w:lang w:val="fr-CA"/>
        </w:rPr>
        <w:t>PROCHAIN</w:t>
      </w:r>
      <w:r w:rsidR="006545ED" w:rsidRPr="0069183C">
        <w:rPr>
          <w:b/>
          <w:lang w:val="fr-CA"/>
        </w:rPr>
        <w:t>S MOTIFS DE</w:t>
      </w:r>
      <w:r w:rsidRPr="0069183C">
        <w:rPr>
          <w:b/>
          <w:lang w:val="fr-CA"/>
        </w:rPr>
        <w:t xml:space="preserve"> JUGEMENT</w:t>
      </w:r>
      <w:r w:rsidR="00455BB9" w:rsidRPr="0069183C">
        <w:rPr>
          <w:b/>
          <w:lang w:val="fr-CA"/>
        </w:rPr>
        <w:t xml:space="preserve"> SUR APPEL</w:t>
      </w:r>
    </w:p>
    <w:p w:rsidR="001335A1" w:rsidRPr="0069183C" w:rsidRDefault="001335A1" w:rsidP="001335A1">
      <w:pPr>
        <w:widowControl w:val="0"/>
        <w:rPr>
          <w:lang w:val="fr-CA"/>
        </w:rPr>
      </w:pPr>
    </w:p>
    <w:p w:rsidR="00EC79B0" w:rsidRPr="0069183C" w:rsidRDefault="00EC79B0" w:rsidP="00EC79B0">
      <w:pPr>
        <w:widowControl w:val="0"/>
        <w:rPr>
          <w:b/>
          <w:lang w:val="fr-CA"/>
        </w:rPr>
      </w:pPr>
      <w:r w:rsidRPr="0069183C">
        <w:rPr>
          <w:b/>
          <w:lang w:val="fr-CA"/>
        </w:rPr>
        <w:t xml:space="preserve">Le </w:t>
      </w:r>
      <w:r w:rsidR="009F5887" w:rsidRPr="0069183C">
        <w:rPr>
          <w:b/>
          <w:lang w:val="fr-CA"/>
        </w:rPr>
        <w:t>1er</w:t>
      </w:r>
      <w:r w:rsidR="002674CC" w:rsidRPr="0069183C">
        <w:rPr>
          <w:b/>
          <w:lang w:val="fr-CA"/>
        </w:rPr>
        <w:t xml:space="preserve"> </w:t>
      </w:r>
      <w:r w:rsidR="009F5887" w:rsidRPr="0069183C">
        <w:rPr>
          <w:b/>
          <w:lang w:val="fr-CA"/>
        </w:rPr>
        <w:t>mai</w:t>
      </w:r>
      <w:r w:rsidR="00B1627A" w:rsidRPr="0069183C">
        <w:rPr>
          <w:b/>
          <w:lang w:val="fr-CA"/>
        </w:rPr>
        <w:t xml:space="preserve"> </w:t>
      </w:r>
      <w:r w:rsidR="0086609D" w:rsidRPr="0069183C">
        <w:rPr>
          <w:b/>
          <w:lang w:val="fr-CA"/>
        </w:rPr>
        <w:t>20</w:t>
      </w:r>
      <w:r w:rsidR="00690520" w:rsidRPr="0069183C">
        <w:rPr>
          <w:b/>
          <w:lang w:val="fr-CA"/>
        </w:rPr>
        <w:t>2</w:t>
      </w:r>
      <w:r w:rsidR="005273F5" w:rsidRPr="0069183C">
        <w:rPr>
          <w:b/>
          <w:lang w:val="fr-CA"/>
        </w:rPr>
        <w:t>3</w:t>
      </w:r>
    </w:p>
    <w:p w:rsidR="00EC79B0" w:rsidRPr="0069183C" w:rsidRDefault="00EC79B0" w:rsidP="00EC79B0">
      <w:pPr>
        <w:widowControl w:val="0"/>
        <w:rPr>
          <w:b/>
          <w:lang w:val="fr-CA"/>
        </w:rPr>
      </w:pPr>
      <w:r w:rsidRPr="0069183C">
        <w:rPr>
          <w:b/>
          <w:lang w:val="fr-CA"/>
        </w:rPr>
        <w:t>Pour diffusion immédiate</w:t>
      </w:r>
    </w:p>
    <w:p w:rsidR="00EC79B0" w:rsidRPr="0069183C" w:rsidRDefault="00EC79B0" w:rsidP="00EC79B0">
      <w:pPr>
        <w:widowControl w:val="0"/>
        <w:rPr>
          <w:lang w:val="fr-CA"/>
        </w:rPr>
      </w:pPr>
    </w:p>
    <w:p w:rsidR="00EC79B0" w:rsidRPr="0069183C" w:rsidRDefault="00EC79B0" w:rsidP="00EC79B0">
      <w:pPr>
        <w:widowControl w:val="0"/>
        <w:rPr>
          <w:lang w:val="fr-CA"/>
        </w:rPr>
      </w:pPr>
      <w:r w:rsidRPr="0069183C">
        <w:rPr>
          <w:b/>
          <w:lang w:val="fr-CA"/>
        </w:rPr>
        <w:t>OTTAWA</w:t>
      </w:r>
      <w:r w:rsidR="00C73BB2" w:rsidRPr="0069183C">
        <w:rPr>
          <w:lang w:val="fr-CA"/>
        </w:rPr>
        <w:t xml:space="preserve"> – Le </w:t>
      </w:r>
      <w:r w:rsidR="005273F5" w:rsidRPr="0069183C">
        <w:rPr>
          <w:lang w:val="fr-CA"/>
        </w:rPr>
        <w:t>1</w:t>
      </w:r>
      <w:r w:rsidR="009F5887" w:rsidRPr="0069183C">
        <w:rPr>
          <w:lang w:val="fr-CA"/>
        </w:rPr>
        <w:t>7</w:t>
      </w:r>
      <w:r w:rsidR="00C73BB2" w:rsidRPr="0069183C">
        <w:rPr>
          <w:lang w:val="fr-CA"/>
        </w:rPr>
        <w:t xml:space="preserve"> </w:t>
      </w:r>
      <w:r w:rsidR="009F5887" w:rsidRPr="0069183C">
        <w:rPr>
          <w:lang w:val="fr-CA"/>
        </w:rPr>
        <w:t>av</w:t>
      </w:r>
      <w:r w:rsidR="008C333C" w:rsidRPr="0069183C">
        <w:rPr>
          <w:lang w:val="fr-CA"/>
        </w:rPr>
        <w:t>ri</w:t>
      </w:r>
      <w:r w:rsidR="009F5887" w:rsidRPr="0069183C">
        <w:rPr>
          <w:lang w:val="fr-CA"/>
        </w:rPr>
        <w:t>l</w:t>
      </w:r>
      <w:r w:rsidR="00C73BB2" w:rsidRPr="0069183C">
        <w:rPr>
          <w:lang w:val="fr-CA"/>
        </w:rPr>
        <w:t xml:space="preserve"> 20</w:t>
      </w:r>
      <w:r w:rsidR="002674CC" w:rsidRPr="0069183C">
        <w:rPr>
          <w:lang w:val="fr-CA"/>
        </w:rPr>
        <w:t>2</w:t>
      </w:r>
      <w:r w:rsidR="008C333C" w:rsidRPr="0069183C">
        <w:rPr>
          <w:lang w:val="fr-CA"/>
        </w:rPr>
        <w:t>3</w:t>
      </w:r>
      <w:r w:rsidR="00C73BB2" w:rsidRPr="0069183C">
        <w:rPr>
          <w:lang w:val="fr-CA"/>
        </w:rPr>
        <w:t xml:space="preserve">, la Cour suprême du Canada a </w:t>
      </w:r>
      <w:r w:rsidR="00782B59" w:rsidRPr="0069183C">
        <w:rPr>
          <w:lang w:val="fr-CA"/>
        </w:rPr>
        <w:t xml:space="preserve">accueilli </w:t>
      </w:r>
      <w:r w:rsidR="00C73BB2" w:rsidRPr="0069183C">
        <w:rPr>
          <w:lang w:val="fr-CA"/>
        </w:rPr>
        <w:t>l</w:t>
      </w:r>
      <w:r w:rsidR="00A463BE" w:rsidRPr="0069183C">
        <w:rPr>
          <w:lang w:val="fr-CA"/>
        </w:rPr>
        <w:t>’</w:t>
      </w:r>
      <w:r w:rsidR="00C73BB2" w:rsidRPr="0069183C">
        <w:rPr>
          <w:lang w:val="fr-CA"/>
        </w:rPr>
        <w:t>appel</w:t>
      </w:r>
      <w:r w:rsidR="00AE3866" w:rsidRPr="0069183C">
        <w:rPr>
          <w:lang w:val="fr-CA"/>
        </w:rPr>
        <w:t xml:space="preserve">, </w:t>
      </w:r>
      <w:r w:rsidR="00DB5074" w:rsidRPr="0069183C">
        <w:rPr>
          <w:lang w:val="fr-CA"/>
        </w:rPr>
        <w:t>avec</w:t>
      </w:r>
      <w:r w:rsidR="00C73BB2" w:rsidRPr="0069183C">
        <w:rPr>
          <w:lang w:val="fr-CA"/>
        </w:rPr>
        <w:t xml:space="preserve"> motifs à suivre </w:t>
      </w:r>
      <w:r w:rsidR="00C73BB2" w:rsidRPr="0069183C">
        <w:rPr>
          <w:szCs w:val="24"/>
          <w:lang w:val="fr-CA"/>
        </w:rPr>
        <w:t>dans</w:t>
      </w:r>
      <w:r w:rsidR="001A02D9" w:rsidRPr="0069183C">
        <w:rPr>
          <w:szCs w:val="24"/>
          <w:lang w:val="fr-CA"/>
        </w:rPr>
        <w:t xml:space="preserve"> l</w:t>
      </w:r>
      <w:r w:rsidR="00A463BE" w:rsidRPr="0069183C">
        <w:rPr>
          <w:szCs w:val="24"/>
          <w:lang w:val="fr-CA"/>
        </w:rPr>
        <w:t>’</w:t>
      </w:r>
      <w:r w:rsidR="00C73BB2" w:rsidRPr="0069183C">
        <w:rPr>
          <w:szCs w:val="24"/>
          <w:lang w:val="fr-CA"/>
        </w:rPr>
        <w:t>appel</w:t>
      </w:r>
      <w:r w:rsidR="00C73BB2" w:rsidRPr="0069183C">
        <w:rPr>
          <w:lang w:val="fr-CA"/>
        </w:rPr>
        <w:t xml:space="preserve"> suivant. Ses motifs</w:t>
      </w:r>
      <w:r w:rsidR="006F57A6" w:rsidRPr="0069183C">
        <w:rPr>
          <w:lang w:val="fr-CA"/>
        </w:rPr>
        <w:t xml:space="preserve"> de jugement seront déposés le </w:t>
      </w:r>
      <w:r w:rsidR="009C7B0C" w:rsidRPr="0069183C">
        <w:rPr>
          <w:lang w:val="fr-CA"/>
        </w:rPr>
        <w:t>v</w:t>
      </w:r>
      <w:r w:rsidR="006F57A6" w:rsidRPr="0069183C">
        <w:rPr>
          <w:lang w:val="fr-CA"/>
        </w:rPr>
        <w:t>e</w:t>
      </w:r>
      <w:r w:rsidR="009C7B0C" w:rsidRPr="0069183C">
        <w:rPr>
          <w:lang w:val="fr-CA"/>
        </w:rPr>
        <w:t>ndre</w:t>
      </w:r>
      <w:r w:rsidR="006F57A6" w:rsidRPr="0069183C">
        <w:rPr>
          <w:lang w:val="fr-CA"/>
        </w:rPr>
        <w:t>di</w:t>
      </w:r>
      <w:r w:rsidR="00C73BB2" w:rsidRPr="0069183C">
        <w:rPr>
          <w:lang w:val="fr-CA"/>
        </w:rPr>
        <w:t xml:space="preserve"> </w:t>
      </w:r>
      <w:r w:rsidR="009F5887" w:rsidRPr="0069183C">
        <w:rPr>
          <w:lang w:val="fr-CA"/>
        </w:rPr>
        <w:t>5</w:t>
      </w:r>
      <w:r w:rsidR="00C73BB2" w:rsidRPr="0069183C">
        <w:rPr>
          <w:lang w:val="fr-CA"/>
        </w:rPr>
        <w:t xml:space="preserve"> </w:t>
      </w:r>
      <w:r w:rsidR="005273F5" w:rsidRPr="0069183C">
        <w:rPr>
          <w:lang w:val="fr-CA"/>
        </w:rPr>
        <w:t>ma</w:t>
      </w:r>
      <w:r w:rsidR="009F5887" w:rsidRPr="0069183C">
        <w:rPr>
          <w:lang w:val="fr-CA"/>
        </w:rPr>
        <w:t>i</w:t>
      </w:r>
      <w:r w:rsidR="00C73BB2" w:rsidRPr="0069183C">
        <w:rPr>
          <w:lang w:val="fr-CA"/>
        </w:rPr>
        <w:t xml:space="preserve"> 20</w:t>
      </w:r>
      <w:r w:rsidR="00690520" w:rsidRPr="0069183C">
        <w:rPr>
          <w:lang w:val="fr-CA"/>
        </w:rPr>
        <w:t>2</w:t>
      </w:r>
      <w:r w:rsidR="005273F5" w:rsidRPr="0069183C">
        <w:rPr>
          <w:lang w:val="fr-CA"/>
        </w:rPr>
        <w:t>3</w:t>
      </w:r>
      <w:r w:rsidR="00C73BB2" w:rsidRPr="0069183C">
        <w:rPr>
          <w:lang w:val="fr-CA"/>
        </w:rPr>
        <w:t>, à 9 h 45 H</w:t>
      </w:r>
      <w:r w:rsidR="009F5887" w:rsidRPr="0069183C">
        <w:rPr>
          <w:lang w:val="fr-CA"/>
        </w:rPr>
        <w:t>A</w:t>
      </w:r>
      <w:r w:rsidR="00C73BB2" w:rsidRPr="0069183C">
        <w:rPr>
          <w:lang w:val="fr-CA"/>
        </w:rPr>
        <w:t xml:space="preserve">E. </w:t>
      </w:r>
      <w:r w:rsidRPr="0069183C">
        <w:rPr>
          <w:lang w:val="fr-CA"/>
        </w:rPr>
        <w:t>Cette liste est sujette à modifications.</w:t>
      </w:r>
    </w:p>
    <w:p w:rsidR="001335A1" w:rsidRPr="0069183C" w:rsidRDefault="001335A1" w:rsidP="001335A1">
      <w:pPr>
        <w:widowControl w:val="0"/>
        <w:rPr>
          <w:szCs w:val="24"/>
          <w:lang w:val="fr-CA"/>
        </w:rPr>
      </w:pPr>
    </w:p>
    <w:p w:rsidR="0043481E" w:rsidRPr="0069183C" w:rsidRDefault="0069183C" w:rsidP="001335A1">
      <w:pPr>
        <w:widowControl w:val="0"/>
        <w:rPr>
          <w:szCs w:val="24"/>
          <w:lang w:val="fr-CA"/>
        </w:rPr>
      </w:pPr>
      <w:r w:rsidRPr="0069183C">
        <w:rPr>
          <w:sz w:val="20"/>
        </w:rPr>
        <w:pict>
          <v:rect id="_x0000_i1025" style="width:2in;height:1pt" o:hrpct="0" o:hralign="center" o:hrstd="t" o:hrnoshade="t" o:hr="t" fillcolor="black [3213]" stroked="f"/>
        </w:pict>
      </w:r>
    </w:p>
    <w:p w:rsidR="001335A1" w:rsidRPr="0069183C" w:rsidRDefault="001335A1" w:rsidP="001335A1">
      <w:pPr>
        <w:widowControl w:val="0"/>
        <w:rPr>
          <w:szCs w:val="24"/>
          <w:lang w:val="fr-CA"/>
        </w:rPr>
      </w:pPr>
    </w:p>
    <w:p w:rsidR="002674CC" w:rsidRPr="0069183C" w:rsidRDefault="009F5887" w:rsidP="002674CC">
      <w:pPr>
        <w:widowControl w:val="0"/>
        <w:rPr>
          <w:szCs w:val="24"/>
        </w:rPr>
      </w:pPr>
      <w:r w:rsidRPr="0069183C">
        <w:rPr>
          <w:i/>
          <w:iCs/>
          <w:szCs w:val="24"/>
        </w:rPr>
        <w:t xml:space="preserve">Dia ‘Eddin Hanan v. His Majesty the King </w:t>
      </w:r>
      <w:r w:rsidR="002B4219" w:rsidRPr="0069183C">
        <w:rPr>
          <w:szCs w:val="24"/>
        </w:rPr>
        <w:t>(</w:t>
      </w:r>
      <w:r w:rsidRPr="0069183C">
        <w:rPr>
          <w:szCs w:val="24"/>
        </w:rPr>
        <w:t>Ont</w:t>
      </w:r>
      <w:r w:rsidR="002B4219" w:rsidRPr="0069183C">
        <w:rPr>
          <w:szCs w:val="24"/>
        </w:rPr>
        <w:t>.)</w:t>
      </w:r>
      <w:r w:rsidR="002674CC" w:rsidRPr="0069183C">
        <w:rPr>
          <w:szCs w:val="24"/>
        </w:rPr>
        <w:t xml:space="preserve"> (</w:t>
      </w:r>
      <w:hyperlink r:id="rId7" w:history="1">
        <w:r w:rsidR="005273F5" w:rsidRPr="0069183C">
          <w:rPr>
            <w:rStyle w:val="Hyperlink"/>
            <w:szCs w:val="24"/>
          </w:rPr>
          <w:t>40</w:t>
        </w:r>
        <w:r w:rsidRPr="0069183C">
          <w:rPr>
            <w:rStyle w:val="Hyperlink"/>
            <w:szCs w:val="24"/>
          </w:rPr>
          <w:t>097</w:t>
        </w:r>
      </w:hyperlink>
      <w:r w:rsidR="002674CC" w:rsidRPr="0069183C">
        <w:rPr>
          <w:szCs w:val="24"/>
        </w:rPr>
        <w:t>)</w:t>
      </w:r>
    </w:p>
    <w:p w:rsidR="002674CC" w:rsidRPr="0069183C" w:rsidRDefault="002674CC" w:rsidP="00340C6D">
      <w:pPr>
        <w:jc w:val="both"/>
        <w:rPr>
          <w:sz w:val="20"/>
        </w:rPr>
      </w:pPr>
    </w:p>
    <w:p w:rsidR="00B1627A" w:rsidRPr="0069183C" w:rsidRDefault="00B1627A" w:rsidP="00340C6D">
      <w:pPr>
        <w:jc w:val="both"/>
        <w:rPr>
          <w:sz w:val="20"/>
        </w:rPr>
      </w:pPr>
    </w:p>
    <w:p w:rsidR="0069183C" w:rsidRPr="0069183C" w:rsidRDefault="0069183C" w:rsidP="002C0C72">
      <w:pPr>
        <w:widowControl w:val="0"/>
        <w:tabs>
          <w:tab w:val="left" w:pos="720"/>
        </w:tabs>
        <w:ind w:left="1440" w:hanging="1440"/>
        <w:jc w:val="both"/>
        <w:rPr>
          <w:b/>
          <w:bCs/>
          <w:i/>
          <w:sz w:val="20"/>
          <w:lang w:eastAsia="en-CA"/>
        </w:rPr>
      </w:pPr>
      <w:r w:rsidRPr="0069183C">
        <w:rPr>
          <w:b/>
          <w:sz w:val="20"/>
          <w:lang w:val="en-CA" w:eastAsia="en-CA"/>
        </w:rPr>
        <w:t>40097</w:t>
      </w:r>
      <w:r w:rsidRPr="0069183C">
        <w:rPr>
          <w:b/>
          <w:sz w:val="20"/>
          <w:lang w:val="en-CA" w:eastAsia="en-CA"/>
        </w:rPr>
        <w:fldChar w:fldCharType="begin"/>
      </w:r>
      <w:r w:rsidRPr="0069183C">
        <w:rPr>
          <w:b/>
          <w:sz w:val="20"/>
          <w:lang w:eastAsia="en-CA"/>
        </w:rPr>
        <w:instrText xml:space="preserve"> SEQ CHAPTER \h \r 1</w:instrText>
      </w:r>
      <w:r w:rsidRPr="0069183C">
        <w:rPr>
          <w:b/>
          <w:sz w:val="20"/>
          <w:lang w:eastAsia="en-CA"/>
        </w:rPr>
        <w:fldChar w:fldCharType="end"/>
      </w:r>
      <w:r w:rsidRPr="0069183C">
        <w:rPr>
          <w:b/>
          <w:sz w:val="20"/>
          <w:lang w:val="en-CA" w:eastAsia="en-CA"/>
        </w:rPr>
        <w:tab/>
      </w:r>
      <w:bookmarkStart w:id="0" w:name="3"/>
      <w:bookmarkEnd w:id="0"/>
      <w:r w:rsidRPr="0069183C">
        <w:rPr>
          <w:b/>
          <w:bCs/>
          <w:i/>
          <w:sz w:val="20"/>
          <w:lang w:eastAsia="en-CA"/>
        </w:rPr>
        <w:t>Dia ‘</w:t>
      </w:r>
      <w:r w:rsidRPr="0069183C">
        <w:rPr>
          <w:b/>
          <w:i/>
          <w:sz w:val="20"/>
          <w:lang w:eastAsia="en-CA"/>
        </w:rPr>
        <w:t>Eddin</w:t>
      </w:r>
      <w:r w:rsidRPr="0069183C">
        <w:rPr>
          <w:b/>
          <w:bCs/>
          <w:i/>
          <w:sz w:val="20"/>
          <w:lang w:eastAsia="en-CA"/>
        </w:rPr>
        <w:t xml:space="preserve"> Hanan v. His Majesty the King</w:t>
      </w:r>
    </w:p>
    <w:p w:rsidR="0069183C" w:rsidRPr="0069183C" w:rsidRDefault="0069183C" w:rsidP="002C0C72">
      <w:pPr>
        <w:widowControl w:val="0"/>
        <w:tabs>
          <w:tab w:val="left" w:pos="720"/>
        </w:tabs>
        <w:ind w:left="1440" w:hanging="1440"/>
        <w:jc w:val="both"/>
        <w:rPr>
          <w:sz w:val="20"/>
          <w:lang w:val="en-CA" w:eastAsia="en-CA"/>
        </w:rPr>
      </w:pPr>
      <w:r w:rsidRPr="0069183C">
        <w:rPr>
          <w:sz w:val="20"/>
          <w:lang w:val="en-CA" w:eastAsia="en-CA"/>
        </w:rPr>
        <w:tab/>
        <w:t>(Ont.) (Criminal) (As of Right)</w:t>
      </w:r>
    </w:p>
    <w:p w:rsidR="0069183C" w:rsidRPr="0069183C" w:rsidRDefault="0069183C" w:rsidP="00A36EBE">
      <w:pPr>
        <w:widowControl w:val="0"/>
        <w:jc w:val="both"/>
        <w:rPr>
          <w:i/>
          <w:iCs/>
          <w:sz w:val="20"/>
          <w:lang w:eastAsia="en-CA"/>
        </w:rPr>
      </w:pPr>
      <w:bookmarkStart w:id="1" w:name="QuickMark_1"/>
      <w:bookmarkEnd w:id="1"/>
    </w:p>
    <w:p w:rsidR="0069183C" w:rsidRPr="0069183C" w:rsidRDefault="0069183C" w:rsidP="00A36EBE">
      <w:pPr>
        <w:widowControl w:val="0"/>
        <w:jc w:val="both"/>
        <w:rPr>
          <w:iCs/>
          <w:sz w:val="20"/>
          <w:lang w:eastAsia="en-CA"/>
        </w:rPr>
      </w:pPr>
      <w:r w:rsidRPr="0069183C">
        <w:rPr>
          <w:i/>
          <w:iCs/>
          <w:sz w:val="20"/>
          <w:lang w:eastAsia="en-CA"/>
        </w:rPr>
        <w:t xml:space="preserve">Charter of Rights — </w:t>
      </w:r>
      <w:r w:rsidRPr="0069183C">
        <w:rPr>
          <w:iCs/>
          <w:sz w:val="20"/>
          <w:lang w:eastAsia="en-CA"/>
        </w:rPr>
        <w:t>Criminal law —</w:t>
      </w:r>
      <w:r w:rsidRPr="0069183C">
        <w:rPr>
          <w:sz w:val="20"/>
          <w:lang w:val="en-CA" w:eastAsia="en-CA"/>
        </w:rPr>
        <w:t xml:space="preserve"> </w:t>
      </w:r>
      <w:r w:rsidRPr="0069183C">
        <w:rPr>
          <w:iCs/>
          <w:sz w:val="20"/>
          <w:lang w:val="en-CA" w:eastAsia="en-CA"/>
        </w:rPr>
        <w:t>Trial delay —</w:t>
      </w:r>
      <w:r w:rsidRPr="0069183C">
        <w:rPr>
          <w:sz w:val="20"/>
          <w:lang w:val="en-CA" w:eastAsia="en-CA"/>
        </w:rPr>
        <w:t xml:space="preserve"> Right to be tried within a reasonable time —</w:t>
      </w:r>
      <w:r w:rsidRPr="0069183C">
        <w:rPr>
          <w:iCs/>
          <w:sz w:val="20"/>
          <w:lang w:eastAsia="en-CA"/>
        </w:rPr>
        <w:t xml:space="preserve"> Transitional exceptional circumstance</w:t>
      </w:r>
      <w:r w:rsidRPr="0069183C">
        <w:rPr>
          <w:sz w:val="20"/>
          <w:lang w:eastAsia="en-CA"/>
        </w:rPr>
        <w:t xml:space="preserve"> </w:t>
      </w:r>
      <w:r w:rsidRPr="0069183C">
        <w:rPr>
          <w:sz w:val="20"/>
          <w:lang w:val="en-CA" w:eastAsia="en-CA"/>
        </w:rPr>
        <w:t>— Charge to jury —</w:t>
      </w:r>
      <w:r w:rsidRPr="0069183C">
        <w:rPr>
          <w:iCs/>
          <w:sz w:val="20"/>
          <w:lang w:eastAsia="en-CA"/>
        </w:rPr>
        <w:t xml:space="preserve"> Whether </w:t>
      </w:r>
      <w:r w:rsidRPr="0069183C">
        <w:rPr>
          <w:sz w:val="20"/>
          <w:lang w:val="en-CA" w:eastAsia="en-CA"/>
        </w:rPr>
        <w:t>the trial judge erred by concluding that the transitional exceptional circumstance justified the presumptively unreasonable delay in the appellant’s trial</w:t>
      </w:r>
      <w:r w:rsidRPr="0069183C">
        <w:rPr>
          <w:iCs/>
          <w:sz w:val="20"/>
          <w:lang w:eastAsia="en-CA"/>
        </w:rPr>
        <w:t xml:space="preserve"> — </w:t>
      </w:r>
      <w:r w:rsidRPr="0069183C">
        <w:rPr>
          <w:iCs/>
          <w:sz w:val="20"/>
          <w:lang w:val="en-CA" w:eastAsia="en-CA"/>
        </w:rPr>
        <w:t>Whether the trial judge misdirected the jury with respect to the</w:t>
      </w:r>
      <w:r w:rsidRPr="0069183C">
        <w:rPr>
          <w:sz w:val="20"/>
          <w:lang w:val="en-CA" w:eastAsia="en-CA"/>
        </w:rPr>
        <w:t xml:space="preserve"> </w:t>
      </w:r>
      <w:r w:rsidRPr="0069183C">
        <w:rPr>
          <w:iCs/>
          <w:sz w:val="20"/>
          <w:lang w:val="en-CA" w:eastAsia="en-CA"/>
        </w:rPr>
        <w:t xml:space="preserve">presumption of innocence and burden of proof </w:t>
      </w:r>
      <w:r w:rsidRPr="0069183C">
        <w:rPr>
          <w:iCs/>
          <w:sz w:val="20"/>
          <w:lang w:eastAsia="en-CA"/>
        </w:rPr>
        <w:t xml:space="preserve">— </w:t>
      </w:r>
      <w:r w:rsidRPr="0069183C">
        <w:rPr>
          <w:i/>
          <w:iCs/>
          <w:sz w:val="20"/>
          <w:lang w:eastAsia="en-CA"/>
        </w:rPr>
        <w:t>Canadian Charter of Rights and Freedoms</w:t>
      </w:r>
      <w:r w:rsidRPr="0069183C">
        <w:rPr>
          <w:iCs/>
          <w:sz w:val="20"/>
          <w:lang w:eastAsia="en-CA"/>
        </w:rPr>
        <w:t>, s. 11(b).</w:t>
      </w:r>
    </w:p>
    <w:p w:rsidR="0069183C" w:rsidRPr="0069183C" w:rsidRDefault="0069183C" w:rsidP="00A36EBE">
      <w:pPr>
        <w:widowControl w:val="0"/>
        <w:jc w:val="both"/>
        <w:rPr>
          <w:sz w:val="20"/>
          <w:lang w:val="en-CA" w:eastAsia="en-CA"/>
        </w:rPr>
      </w:pPr>
    </w:p>
    <w:p w:rsidR="0069183C" w:rsidRPr="0069183C" w:rsidRDefault="0069183C" w:rsidP="00A36EBE">
      <w:pPr>
        <w:widowControl w:val="0"/>
        <w:jc w:val="both"/>
        <w:rPr>
          <w:iCs/>
          <w:sz w:val="20"/>
          <w:lang w:eastAsia="en-CA"/>
        </w:rPr>
      </w:pPr>
      <w:r w:rsidRPr="0069183C">
        <w:rPr>
          <w:iCs/>
          <w:sz w:val="20"/>
          <w:lang w:val="en-CA" w:eastAsia="en-CA"/>
        </w:rPr>
        <w:t>O</w:t>
      </w:r>
      <w:proofErr w:type="spellStart"/>
      <w:r w:rsidRPr="0069183C">
        <w:rPr>
          <w:iCs/>
          <w:sz w:val="20"/>
          <w:lang w:eastAsia="en-CA"/>
        </w:rPr>
        <w:t>n</w:t>
      </w:r>
      <w:proofErr w:type="spellEnd"/>
      <w:r w:rsidRPr="0069183C">
        <w:rPr>
          <w:iCs/>
          <w:sz w:val="20"/>
          <w:lang w:eastAsia="en-CA"/>
        </w:rPr>
        <w:t xml:space="preserve"> December 24, 2015, the appellant was charged with crimes relating to the</w:t>
      </w:r>
      <w:r w:rsidRPr="0069183C">
        <w:rPr>
          <w:sz w:val="20"/>
          <w:lang w:eastAsia="en-CA"/>
        </w:rPr>
        <w:t xml:space="preserve"> </w:t>
      </w:r>
      <w:r w:rsidRPr="0069183C">
        <w:rPr>
          <w:iCs/>
          <w:sz w:val="20"/>
          <w:lang w:eastAsia="en-CA"/>
        </w:rPr>
        <w:t>shooting of two individuals. The appellant’s jury trial for second degree murder, attempted murder and assorted firearm charges was scheduled to commence on November 5, 2018. However, it was adjourned</w:t>
      </w:r>
      <w:r w:rsidRPr="0069183C">
        <w:rPr>
          <w:sz w:val="20"/>
          <w:lang w:eastAsia="en-CA"/>
        </w:rPr>
        <w:t xml:space="preserve"> </w:t>
      </w:r>
      <w:r w:rsidRPr="0069183C">
        <w:rPr>
          <w:iCs/>
          <w:sz w:val="20"/>
          <w:lang w:eastAsia="en-CA"/>
        </w:rPr>
        <w:t xml:space="preserve">to October 28, 2019. The appellant applied for a stay of proceedings for violation of his right to be tried within a reasonable time under s. 11(b) of the </w:t>
      </w:r>
      <w:r w:rsidRPr="0069183C">
        <w:rPr>
          <w:i/>
          <w:iCs/>
          <w:sz w:val="20"/>
          <w:lang w:eastAsia="en-CA"/>
        </w:rPr>
        <w:t>Charter</w:t>
      </w:r>
      <w:r w:rsidRPr="0069183C">
        <w:rPr>
          <w:iCs/>
          <w:sz w:val="20"/>
          <w:lang w:eastAsia="en-CA"/>
        </w:rPr>
        <w:t xml:space="preserve">. The trial judge dismissed his application holding that, although the net delay exceeded the ceiling of 30 months under </w:t>
      </w:r>
      <w:r w:rsidRPr="0069183C">
        <w:rPr>
          <w:i/>
          <w:iCs/>
          <w:sz w:val="20"/>
          <w:lang w:eastAsia="en-CA"/>
        </w:rPr>
        <w:t>Jordan</w:t>
      </w:r>
      <w:r w:rsidRPr="0069183C">
        <w:rPr>
          <w:iCs/>
          <w:sz w:val="20"/>
          <w:lang w:eastAsia="en-CA"/>
        </w:rPr>
        <w:t>, it was justified because this was a transitional case where the transitional exceptional circumstance applied. The appellant was acquitted of second degree murder and convicted of manslaughter in connection with the victim who died. He was acquitted of attempted murder but convicted of discharging a firearm with intent to wound in connection with the second victim and of possession of a restricted firearm without a license.</w:t>
      </w:r>
      <w:r w:rsidRPr="0069183C">
        <w:rPr>
          <w:sz w:val="20"/>
          <w:lang w:eastAsia="en-CA"/>
        </w:rPr>
        <w:t xml:space="preserve"> </w:t>
      </w:r>
      <w:r w:rsidRPr="0069183C">
        <w:rPr>
          <w:iCs/>
          <w:sz w:val="20"/>
          <w:lang w:eastAsia="en-CA"/>
        </w:rPr>
        <w:t>The appellant appealed the convictions and alleged that the trial judge erred in dismissing the s. 11(b) application and in his instructions to the jury on how they should approach the evidence in this case.</w:t>
      </w:r>
      <w:r w:rsidRPr="0069183C">
        <w:rPr>
          <w:sz w:val="20"/>
          <w:lang w:eastAsia="en-CA"/>
        </w:rPr>
        <w:t xml:space="preserve"> </w:t>
      </w:r>
      <w:r w:rsidRPr="0069183C">
        <w:rPr>
          <w:iCs/>
          <w:sz w:val="20"/>
          <w:lang w:eastAsia="en-CA"/>
        </w:rPr>
        <w:t>The majority of the Court of Appeal for Ontario dismissed the appeal. It found that the delay was justified by the transitional exceptional circumstance and that</w:t>
      </w:r>
      <w:r w:rsidRPr="0069183C">
        <w:rPr>
          <w:sz w:val="20"/>
          <w:lang w:eastAsia="en-CA"/>
        </w:rPr>
        <w:t xml:space="preserve"> t</w:t>
      </w:r>
      <w:r w:rsidRPr="0069183C">
        <w:rPr>
          <w:iCs/>
          <w:sz w:val="20"/>
          <w:lang w:eastAsia="en-CA"/>
        </w:rPr>
        <w:t xml:space="preserve">he trial judge’s assessment of the entire delay under the </w:t>
      </w:r>
      <w:r w:rsidRPr="0069183C">
        <w:rPr>
          <w:i/>
          <w:iCs/>
          <w:sz w:val="20"/>
          <w:lang w:eastAsia="en-CA"/>
        </w:rPr>
        <w:t>Morin</w:t>
      </w:r>
      <w:r w:rsidRPr="0069183C">
        <w:rPr>
          <w:iCs/>
          <w:sz w:val="20"/>
          <w:lang w:eastAsia="en-CA"/>
        </w:rPr>
        <w:t xml:space="preserve"> framework was required as part of the transitional exceptional circumstance analysis. Further, the majority concluded that the impugned passages of the jury charge did not reveal error.</w:t>
      </w:r>
      <w:r w:rsidRPr="0069183C">
        <w:rPr>
          <w:sz w:val="20"/>
          <w:lang w:eastAsia="en-CA"/>
        </w:rPr>
        <w:t xml:space="preserve"> </w:t>
      </w:r>
      <w:r w:rsidRPr="0069183C">
        <w:rPr>
          <w:iCs/>
          <w:sz w:val="20"/>
          <w:lang w:eastAsia="en-CA"/>
        </w:rPr>
        <w:t>Nordheimer J.A., dissenting, would have allowed the appeal, set aside the convictions, and ordered a stay of proceedings.</w:t>
      </w:r>
      <w:r w:rsidRPr="0069183C">
        <w:rPr>
          <w:sz w:val="20"/>
          <w:lang w:eastAsia="en-CA"/>
        </w:rPr>
        <w:t xml:space="preserve"> </w:t>
      </w:r>
      <w:r w:rsidRPr="0069183C">
        <w:rPr>
          <w:iCs/>
          <w:sz w:val="20"/>
          <w:lang w:eastAsia="en-CA"/>
        </w:rPr>
        <w:t xml:space="preserve">He found that the trial judge erred on his reliance of the transitional exceptional circumstance to excuse the delay and that the Crown had ample time to adapt to the </w:t>
      </w:r>
      <w:r w:rsidRPr="0069183C">
        <w:rPr>
          <w:i/>
          <w:iCs/>
          <w:sz w:val="20"/>
          <w:lang w:eastAsia="en-CA"/>
        </w:rPr>
        <w:t>Jordan</w:t>
      </w:r>
      <w:r w:rsidRPr="0069183C">
        <w:rPr>
          <w:iCs/>
          <w:sz w:val="20"/>
          <w:lang w:eastAsia="en-CA"/>
        </w:rPr>
        <w:t xml:space="preserve"> framework.</w:t>
      </w:r>
      <w:r w:rsidRPr="0069183C">
        <w:rPr>
          <w:sz w:val="20"/>
        </w:rPr>
        <w:t xml:space="preserve"> </w:t>
      </w:r>
      <w:r w:rsidRPr="0069183C">
        <w:rPr>
          <w:iCs/>
          <w:sz w:val="20"/>
          <w:lang w:eastAsia="en-CA"/>
        </w:rPr>
        <w:t>Moreover, he found that there was a serious error in the trial judge’s instructions to the jury.</w:t>
      </w:r>
    </w:p>
    <w:p w:rsidR="0069183C" w:rsidRPr="0069183C" w:rsidRDefault="0069183C" w:rsidP="00A36EBE">
      <w:pPr>
        <w:widowControl w:val="0"/>
        <w:jc w:val="both"/>
        <w:rPr>
          <w:iCs/>
          <w:sz w:val="20"/>
          <w:lang w:eastAsia="en-CA"/>
        </w:rPr>
      </w:pPr>
    </w:p>
    <w:p w:rsidR="0069183C" w:rsidRPr="0069183C" w:rsidRDefault="0069183C" w:rsidP="00A36EBE">
      <w:pPr>
        <w:widowControl w:val="0"/>
        <w:jc w:val="both"/>
        <w:rPr>
          <w:iCs/>
          <w:sz w:val="20"/>
          <w:lang w:eastAsia="en-CA"/>
        </w:rPr>
      </w:pPr>
      <w:r w:rsidRPr="0069183C">
        <w:rPr>
          <w:sz w:val="20"/>
        </w:rPr>
        <w:pict>
          <v:rect id="_x0000_i1028" style="width:2in;height:1pt" o:hrpct="0" o:hralign="center" o:hrstd="t" o:hrnoshade="t" o:hr="t" fillcolor="black [3213]" stroked="f"/>
        </w:pict>
      </w:r>
    </w:p>
    <w:p w:rsidR="0069183C" w:rsidRPr="0069183C" w:rsidRDefault="0069183C" w:rsidP="00A36EBE">
      <w:pPr>
        <w:widowControl w:val="0"/>
        <w:jc w:val="both"/>
        <w:rPr>
          <w:iCs/>
          <w:sz w:val="20"/>
          <w:lang w:val="en-CA" w:eastAsia="en-CA"/>
        </w:rPr>
      </w:pPr>
    </w:p>
    <w:p w:rsidR="0069183C" w:rsidRPr="0069183C" w:rsidRDefault="0069183C" w:rsidP="00A67335">
      <w:pPr>
        <w:widowControl w:val="0"/>
        <w:tabs>
          <w:tab w:val="left" w:pos="720"/>
        </w:tabs>
        <w:ind w:left="1440" w:hanging="1440"/>
        <w:jc w:val="both"/>
        <w:rPr>
          <w:b/>
          <w:bCs/>
          <w:i/>
          <w:sz w:val="20"/>
          <w:lang w:val="fr-CA" w:eastAsia="en-CA"/>
        </w:rPr>
      </w:pPr>
      <w:r w:rsidRPr="0069183C">
        <w:rPr>
          <w:b/>
          <w:sz w:val="20"/>
          <w:lang w:val="fr-CA" w:eastAsia="en-CA"/>
        </w:rPr>
        <w:t>40097</w:t>
      </w:r>
      <w:r w:rsidRPr="0069183C">
        <w:rPr>
          <w:sz w:val="20"/>
          <w:lang w:val="en-CA" w:eastAsia="en-CA"/>
        </w:rPr>
        <w:fldChar w:fldCharType="begin"/>
      </w:r>
      <w:r w:rsidRPr="0069183C">
        <w:rPr>
          <w:sz w:val="20"/>
          <w:lang w:val="fr-CA" w:eastAsia="en-CA"/>
        </w:rPr>
        <w:instrText xml:space="preserve"> SEQ CHAPTER \h \r 1</w:instrText>
      </w:r>
      <w:r w:rsidRPr="0069183C">
        <w:rPr>
          <w:sz w:val="20"/>
          <w:lang w:eastAsia="en-CA"/>
        </w:rPr>
        <w:fldChar w:fldCharType="end"/>
      </w:r>
      <w:r w:rsidRPr="0069183C">
        <w:rPr>
          <w:sz w:val="20"/>
          <w:lang w:val="fr-CA" w:eastAsia="en-CA"/>
        </w:rPr>
        <w:tab/>
      </w:r>
      <w:r w:rsidRPr="0069183C">
        <w:rPr>
          <w:b/>
          <w:bCs/>
          <w:i/>
          <w:sz w:val="20"/>
          <w:lang w:val="fr-CA" w:eastAsia="en-CA"/>
        </w:rPr>
        <w:t>Dia ‘Eddin Hanan c. Sa Majesté le Roi</w:t>
      </w:r>
    </w:p>
    <w:p w:rsidR="0069183C" w:rsidRPr="0069183C" w:rsidRDefault="0069183C" w:rsidP="00A67335">
      <w:pPr>
        <w:widowControl w:val="0"/>
        <w:tabs>
          <w:tab w:val="left" w:pos="720"/>
        </w:tabs>
        <w:ind w:left="1440" w:hanging="1440"/>
        <w:jc w:val="both"/>
        <w:rPr>
          <w:sz w:val="20"/>
          <w:lang w:val="fr-CA" w:eastAsia="en-CA"/>
        </w:rPr>
      </w:pPr>
      <w:r w:rsidRPr="0069183C">
        <w:rPr>
          <w:sz w:val="20"/>
          <w:lang w:val="fr-CA" w:eastAsia="en-CA"/>
        </w:rPr>
        <w:tab/>
        <w:t>(Ont.) (Criminelle) (De plein droit)</w:t>
      </w:r>
    </w:p>
    <w:p w:rsidR="0069183C" w:rsidRPr="0069183C" w:rsidRDefault="0069183C" w:rsidP="00A67335">
      <w:pPr>
        <w:widowControl w:val="0"/>
        <w:jc w:val="both"/>
        <w:rPr>
          <w:sz w:val="20"/>
          <w:lang w:val="fr-CA" w:eastAsia="en-CA"/>
        </w:rPr>
      </w:pPr>
    </w:p>
    <w:p w:rsidR="0069183C" w:rsidRPr="0069183C" w:rsidRDefault="0069183C" w:rsidP="00A67335">
      <w:pPr>
        <w:widowControl w:val="0"/>
        <w:jc w:val="both"/>
        <w:rPr>
          <w:iCs/>
          <w:sz w:val="20"/>
          <w:lang w:val="fr-CA" w:eastAsia="en-CA"/>
        </w:rPr>
      </w:pPr>
      <w:r w:rsidRPr="0069183C">
        <w:rPr>
          <w:i/>
          <w:iCs/>
          <w:sz w:val="20"/>
          <w:lang w:val="fr-CA" w:eastAsia="en-CA"/>
        </w:rPr>
        <w:t>Charte des droits —</w:t>
      </w:r>
      <w:r w:rsidRPr="0069183C">
        <w:rPr>
          <w:iCs/>
          <w:sz w:val="20"/>
          <w:lang w:val="fr-CA" w:eastAsia="en-CA"/>
        </w:rPr>
        <w:t xml:space="preserve"> Droit criminel — Délais judiciaires —</w:t>
      </w:r>
      <w:r w:rsidRPr="0069183C">
        <w:rPr>
          <w:sz w:val="20"/>
          <w:lang w:val="fr-CA" w:eastAsia="en-CA"/>
        </w:rPr>
        <w:t xml:space="preserve"> Droit d’être jugé dans un délai raisonnable —</w:t>
      </w:r>
      <w:r w:rsidRPr="0069183C">
        <w:rPr>
          <w:iCs/>
          <w:sz w:val="20"/>
          <w:lang w:val="fr-CA" w:eastAsia="en-CA"/>
        </w:rPr>
        <w:t xml:space="preserve"> Mesure transitoire exceptionnelle </w:t>
      </w:r>
      <w:r w:rsidRPr="0069183C">
        <w:rPr>
          <w:sz w:val="20"/>
          <w:lang w:val="fr-CA" w:eastAsia="en-CA"/>
        </w:rPr>
        <w:t>— Exposé au jury —</w:t>
      </w:r>
      <w:r w:rsidRPr="0069183C">
        <w:rPr>
          <w:iCs/>
          <w:sz w:val="20"/>
          <w:lang w:val="fr-CA" w:eastAsia="en-CA"/>
        </w:rPr>
        <w:t xml:space="preserve"> Le juge du procès a-t-il commis une erreur, en concluant que la mesure transitoire exceptionnelle justifiait le délai présumément déraisonnable du procès de l’appelant? — Le juge du procès a-t-il mal dirigé le jury relativement à la présomption d’innocence et au fardeau de la preuve? —</w:t>
      </w:r>
      <w:r w:rsidRPr="0069183C">
        <w:rPr>
          <w:i/>
          <w:iCs/>
          <w:sz w:val="20"/>
          <w:lang w:val="fr-CA" w:eastAsia="en-CA"/>
        </w:rPr>
        <w:t xml:space="preserve"> Charte canadienne des droits et libertés</w:t>
      </w:r>
      <w:r w:rsidRPr="0069183C">
        <w:rPr>
          <w:iCs/>
          <w:sz w:val="20"/>
          <w:lang w:val="fr-CA" w:eastAsia="en-CA"/>
        </w:rPr>
        <w:t>, al. 11b).</w:t>
      </w:r>
    </w:p>
    <w:p w:rsidR="0069183C" w:rsidRPr="0069183C" w:rsidRDefault="0069183C" w:rsidP="00A67335">
      <w:pPr>
        <w:widowControl w:val="0"/>
        <w:jc w:val="both"/>
        <w:rPr>
          <w:sz w:val="20"/>
          <w:lang w:val="fr-CA" w:eastAsia="en-CA"/>
        </w:rPr>
      </w:pPr>
    </w:p>
    <w:p w:rsidR="0069183C" w:rsidRPr="0069183C" w:rsidRDefault="0069183C" w:rsidP="00FC217B">
      <w:pPr>
        <w:widowControl w:val="0"/>
        <w:jc w:val="both"/>
        <w:rPr>
          <w:sz w:val="20"/>
          <w:lang w:val="fr-CA"/>
        </w:rPr>
      </w:pPr>
      <w:r w:rsidRPr="0069183C">
        <w:rPr>
          <w:iCs/>
          <w:sz w:val="20"/>
          <w:lang w:val="fr-CA" w:eastAsia="en-CA"/>
        </w:rPr>
        <w:t xml:space="preserve">Le 24 décembre 2015, l’appelant a été inculpé d’actes criminels liés au meurtre par balles de deux individus. Le procès de l’appelant avec jury pour le meurtre au deuxième degré, la tentative de meurtre et diverses accusations liées aux armes à feu devait commencer le 5 novembre 2018. Toutefois, il a été ajourné au 28 octobre 2019. L’appelant a présenté une demande d’arrêt des procédures invoquant la violation de son droit d’être jugé dans un délai raisonnable, en application de l’al. 11b) de la </w:t>
      </w:r>
      <w:r w:rsidRPr="0069183C">
        <w:rPr>
          <w:i/>
          <w:iCs/>
          <w:sz w:val="20"/>
          <w:lang w:val="fr-CA" w:eastAsia="en-CA"/>
        </w:rPr>
        <w:t>Charte</w:t>
      </w:r>
      <w:r w:rsidRPr="0069183C">
        <w:rPr>
          <w:iCs/>
          <w:sz w:val="20"/>
          <w:lang w:val="fr-CA" w:eastAsia="en-CA"/>
        </w:rPr>
        <w:t xml:space="preserve">. Le juge du procès a rejeté sa demande statuant que, bien que le délai net ait dépassé le plafond de 30 mois établit dans l’arrêt </w:t>
      </w:r>
      <w:r w:rsidRPr="0069183C">
        <w:rPr>
          <w:i/>
          <w:iCs/>
          <w:sz w:val="20"/>
          <w:lang w:val="fr-CA" w:eastAsia="en-CA"/>
        </w:rPr>
        <w:t>Jordan</w:t>
      </w:r>
      <w:r w:rsidRPr="0069183C">
        <w:rPr>
          <w:iCs/>
          <w:sz w:val="20"/>
          <w:lang w:val="fr-CA" w:eastAsia="en-CA"/>
        </w:rPr>
        <w:t xml:space="preserve">, il était justifié parce qu’il s’agissait en l’espèce d’une affaire transitoire à laquelle s’appliquait la mesure transitoire exceptionnelle. L’appelant a été acquitté du meurtre au deuxième degré et déclaré coupable d’homicide involontaire en lien à la victime qui est décédée. Il a été acquitté de la tentative de meurtre, mais déclaré coupable d’avoir </w:t>
      </w:r>
      <w:proofErr w:type="gramStart"/>
      <w:r w:rsidRPr="0069183C">
        <w:rPr>
          <w:iCs/>
          <w:sz w:val="20"/>
          <w:lang w:val="fr-CA" w:eastAsia="en-CA"/>
        </w:rPr>
        <w:t>déchargé</w:t>
      </w:r>
      <w:proofErr w:type="gramEnd"/>
      <w:r w:rsidRPr="0069183C">
        <w:rPr>
          <w:iCs/>
          <w:sz w:val="20"/>
          <w:lang w:val="fr-CA" w:eastAsia="en-CA"/>
        </w:rPr>
        <w:t xml:space="preserve"> une arme avec l’intention de blesser une personne en lien à la seconde victime, et de possession d’une arme à feu à autorisation restreinte sans permis. L’appelant a interjeté appel contre les déclarations de culpabilité et a affirmé que le juge du procès a commis une erreur en rejetant la demande fondée sur l’al. 11b) ainsi que dans ses directives au jury sur la manière dont les jurés devraient aborder la preuve dans la présente affaire. Les juges majoritaires de la Cour d’appel de l’Ontario ont rejeté l’appel. Ils ont conclu que le délai était justifié par la mesure transitoire exceptionnelle et que l’évaluation de l’ensemble du délai faite par le juge du procès, au titre du cadre d’analyse de </w:t>
      </w:r>
      <w:r w:rsidRPr="0069183C">
        <w:rPr>
          <w:i/>
          <w:iCs/>
          <w:sz w:val="20"/>
          <w:lang w:val="fr-CA" w:eastAsia="en-CA"/>
        </w:rPr>
        <w:t>Morin</w:t>
      </w:r>
      <w:r w:rsidRPr="0069183C">
        <w:rPr>
          <w:iCs/>
          <w:sz w:val="20"/>
          <w:lang w:val="fr-CA" w:eastAsia="en-CA"/>
        </w:rPr>
        <w:t>, était requise comme partie de l’analyse de la mesure transitoire exceptionnelle. De plus, les juges majoritaires ont conclu que les passages contestés de l’exposé au jury n’ont pas révélé d’erreur. En dissidence, le juge d’appel</w:t>
      </w:r>
      <w:r w:rsidRPr="0069183C">
        <w:rPr>
          <w:sz w:val="20"/>
          <w:lang w:val="fr-CA"/>
        </w:rPr>
        <w:t xml:space="preserve"> </w:t>
      </w:r>
      <w:r w:rsidRPr="0069183C">
        <w:rPr>
          <w:iCs/>
          <w:sz w:val="20"/>
          <w:lang w:val="fr-CA" w:eastAsia="en-CA"/>
        </w:rPr>
        <w:t xml:space="preserve">Nordheimer aurait accueilli l’appel, annulé les déclarations de culpabilité et ordonné un arrêt des procédures. Il a conclu que le juge du procès a commis une erreur lorsqu’il s’est fondé sur la mesure transitoire exceptionnelle pour justifier le délai, et que la Couronne avait amplement le temps de s’adapter au cadre d’analyse de l’arrêt </w:t>
      </w:r>
      <w:r w:rsidRPr="0069183C">
        <w:rPr>
          <w:i/>
          <w:iCs/>
          <w:sz w:val="20"/>
          <w:lang w:val="fr-CA" w:eastAsia="en-CA"/>
        </w:rPr>
        <w:t>Jordan</w:t>
      </w:r>
      <w:r w:rsidRPr="0069183C">
        <w:rPr>
          <w:iCs/>
          <w:sz w:val="20"/>
          <w:lang w:val="fr-CA" w:eastAsia="en-CA"/>
        </w:rPr>
        <w:t>. En outre, il a conclu qu’il y avait une grave erreur dans les directives que le juge du procès a données au jury.</w:t>
      </w:r>
    </w:p>
    <w:p w:rsidR="009F5887" w:rsidRPr="0069183C" w:rsidRDefault="009F5887" w:rsidP="00340C6D">
      <w:pPr>
        <w:jc w:val="both"/>
        <w:rPr>
          <w:sz w:val="20"/>
          <w:lang w:val="fr-CA"/>
        </w:rPr>
      </w:pPr>
    </w:p>
    <w:p w:rsidR="009F5887" w:rsidRPr="0069183C" w:rsidRDefault="0069183C" w:rsidP="00340C6D">
      <w:pPr>
        <w:jc w:val="both"/>
        <w:rPr>
          <w:sz w:val="20"/>
          <w:lang w:val="fr-CA"/>
        </w:rPr>
      </w:pPr>
      <w:r w:rsidRPr="0069183C">
        <w:rPr>
          <w:sz w:val="20"/>
        </w:rPr>
        <w:pict>
          <v:rect id="_x0000_i1029" style="width:2in;height:1pt" o:hrpct="0" o:hralign="center" o:hrstd="t" o:hrnoshade="t" o:hr="t" fillcolor="black [3213]" stroked="f"/>
        </w:pict>
      </w:r>
    </w:p>
    <w:p w:rsidR="00782B59" w:rsidRPr="0069183C" w:rsidRDefault="00782B59" w:rsidP="00340C6D">
      <w:pPr>
        <w:jc w:val="both"/>
        <w:rPr>
          <w:szCs w:val="24"/>
          <w:lang w:val="fr-CA"/>
        </w:rPr>
      </w:pPr>
    </w:p>
    <w:p w:rsidR="00ED67FB" w:rsidRPr="0069183C" w:rsidRDefault="00ED67FB" w:rsidP="00340C6D">
      <w:pPr>
        <w:jc w:val="both"/>
        <w:rPr>
          <w:szCs w:val="24"/>
          <w:lang w:val="fr-CA"/>
        </w:rPr>
      </w:pPr>
    </w:p>
    <w:p w:rsidR="00072A63" w:rsidRPr="0069183C" w:rsidRDefault="00072A63" w:rsidP="00EC79B0">
      <w:pPr>
        <w:jc w:val="both"/>
        <w:rPr>
          <w:szCs w:val="24"/>
          <w:lang w:val="fr-CA"/>
        </w:rPr>
      </w:pPr>
    </w:p>
    <w:p w:rsidR="001C4415" w:rsidRPr="0069183C" w:rsidRDefault="001C4415" w:rsidP="001C4415">
      <w:pPr>
        <w:widowControl w:val="0"/>
        <w:outlineLvl w:val="0"/>
      </w:pPr>
      <w:r w:rsidRPr="0069183C">
        <w:t xml:space="preserve">Supreme Court of Canada / Cour suprême du </w:t>
      </w:r>
      <w:proofErr w:type="gramStart"/>
      <w:r w:rsidRPr="0069183C">
        <w:t>Canada :</w:t>
      </w:r>
      <w:proofErr w:type="gramEnd"/>
      <w:r w:rsidRPr="0069183C">
        <w:t xml:space="preserve"> </w:t>
      </w:r>
    </w:p>
    <w:p w:rsidR="001C4415" w:rsidRPr="0069183C" w:rsidRDefault="0069183C" w:rsidP="001C4415">
      <w:pPr>
        <w:widowControl w:val="0"/>
        <w:outlineLvl w:val="0"/>
      </w:pPr>
      <w:hyperlink r:id="rId8" w:history="1">
        <w:r w:rsidR="001C4415" w:rsidRPr="0069183C">
          <w:rPr>
            <w:rStyle w:val="Hyperlink"/>
          </w:rPr>
          <w:t>comments-commentaires@scc-csc.ca</w:t>
        </w:r>
      </w:hyperlink>
    </w:p>
    <w:p w:rsidR="001C4415" w:rsidRPr="0069183C" w:rsidRDefault="001C4415" w:rsidP="001C4415">
      <w:pPr>
        <w:widowControl w:val="0"/>
        <w:outlineLvl w:val="0"/>
      </w:pPr>
      <w:r w:rsidRPr="0069183C">
        <w:t>(613) 995-4330</w:t>
      </w:r>
    </w:p>
    <w:p w:rsidR="001C4415" w:rsidRPr="0069183C" w:rsidRDefault="001C4415" w:rsidP="001C4415">
      <w:pPr>
        <w:widowControl w:val="0"/>
        <w:rPr>
          <w:sz w:val="20"/>
        </w:rPr>
      </w:pPr>
    </w:p>
    <w:p w:rsidR="0036476C" w:rsidRPr="00A8502B" w:rsidRDefault="001C4415" w:rsidP="0036476C">
      <w:pPr>
        <w:pStyle w:val="Footer"/>
        <w:jc w:val="center"/>
        <w:rPr>
          <w:lang w:val="fr-CA"/>
        </w:rPr>
      </w:pPr>
      <w:r w:rsidRPr="0069183C">
        <w:rPr>
          <w:lang w:val="fr-CA"/>
        </w:rPr>
        <w:t xml:space="preserve">- 30 </w:t>
      </w:r>
      <w:r w:rsidR="003C1B6E" w:rsidRPr="0069183C">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3052E"/>
    <w:multiLevelType w:val="hybridMultilevel"/>
    <w:tmpl w:val="487E6972"/>
    <w:lvl w:ilvl="0" w:tplc="030067C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17A5"/>
    <w:rsid w:val="000D25C5"/>
    <w:rsid w:val="000D4096"/>
    <w:rsid w:val="000D413D"/>
    <w:rsid w:val="000D682D"/>
    <w:rsid w:val="000E1FA5"/>
    <w:rsid w:val="000E33A8"/>
    <w:rsid w:val="000E457A"/>
    <w:rsid w:val="000F2225"/>
    <w:rsid w:val="000F2F73"/>
    <w:rsid w:val="000F5730"/>
    <w:rsid w:val="000F7714"/>
    <w:rsid w:val="001002A7"/>
    <w:rsid w:val="00100BC4"/>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5B0A"/>
    <w:rsid w:val="001476BD"/>
    <w:rsid w:val="001503AF"/>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02D9"/>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BAD"/>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27D7"/>
    <w:rsid w:val="00253698"/>
    <w:rsid w:val="0025452B"/>
    <w:rsid w:val="002617BB"/>
    <w:rsid w:val="0026289A"/>
    <w:rsid w:val="00264AA1"/>
    <w:rsid w:val="002667BA"/>
    <w:rsid w:val="002667ED"/>
    <w:rsid w:val="00266A8B"/>
    <w:rsid w:val="002674CC"/>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219"/>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18B"/>
    <w:rsid w:val="003B038F"/>
    <w:rsid w:val="003B10C6"/>
    <w:rsid w:val="003B3AD5"/>
    <w:rsid w:val="003B4E7E"/>
    <w:rsid w:val="003B6ECB"/>
    <w:rsid w:val="003B7075"/>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3466"/>
    <w:rsid w:val="0043481E"/>
    <w:rsid w:val="00440ACC"/>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76F"/>
    <w:rsid w:val="004C1A5A"/>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20A3C"/>
    <w:rsid w:val="00525362"/>
    <w:rsid w:val="00525B8E"/>
    <w:rsid w:val="005273F5"/>
    <w:rsid w:val="00531567"/>
    <w:rsid w:val="00532A0E"/>
    <w:rsid w:val="00534E1E"/>
    <w:rsid w:val="00537187"/>
    <w:rsid w:val="00537545"/>
    <w:rsid w:val="005400BA"/>
    <w:rsid w:val="0054378D"/>
    <w:rsid w:val="00545B3E"/>
    <w:rsid w:val="005511F1"/>
    <w:rsid w:val="00551845"/>
    <w:rsid w:val="00552278"/>
    <w:rsid w:val="0055520C"/>
    <w:rsid w:val="00560D32"/>
    <w:rsid w:val="005631B8"/>
    <w:rsid w:val="00563EF8"/>
    <w:rsid w:val="005717F4"/>
    <w:rsid w:val="00572E24"/>
    <w:rsid w:val="00575FA2"/>
    <w:rsid w:val="00580897"/>
    <w:rsid w:val="00580EBF"/>
    <w:rsid w:val="00581503"/>
    <w:rsid w:val="00591F70"/>
    <w:rsid w:val="005932DF"/>
    <w:rsid w:val="00594A5F"/>
    <w:rsid w:val="00595150"/>
    <w:rsid w:val="00595922"/>
    <w:rsid w:val="005973D8"/>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44B6"/>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45ED"/>
    <w:rsid w:val="006630E5"/>
    <w:rsid w:val="00666E0D"/>
    <w:rsid w:val="0067017D"/>
    <w:rsid w:val="00676709"/>
    <w:rsid w:val="00680968"/>
    <w:rsid w:val="00682A71"/>
    <w:rsid w:val="00685A30"/>
    <w:rsid w:val="00690520"/>
    <w:rsid w:val="0069183C"/>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57A6"/>
    <w:rsid w:val="006F6171"/>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6CBA"/>
    <w:rsid w:val="00767B87"/>
    <w:rsid w:val="00772636"/>
    <w:rsid w:val="00777C18"/>
    <w:rsid w:val="007805CD"/>
    <w:rsid w:val="00780B16"/>
    <w:rsid w:val="00782B59"/>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0D2"/>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1C40"/>
    <w:rsid w:val="008B305D"/>
    <w:rsid w:val="008B5FA3"/>
    <w:rsid w:val="008B5FDB"/>
    <w:rsid w:val="008B6308"/>
    <w:rsid w:val="008C2F61"/>
    <w:rsid w:val="008C333C"/>
    <w:rsid w:val="008C5D03"/>
    <w:rsid w:val="008D2829"/>
    <w:rsid w:val="008D3DE1"/>
    <w:rsid w:val="008D557C"/>
    <w:rsid w:val="008D5B1F"/>
    <w:rsid w:val="008D6BC4"/>
    <w:rsid w:val="008E0CF4"/>
    <w:rsid w:val="008E5108"/>
    <w:rsid w:val="008E5D30"/>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2F9B"/>
    <w:rsid w:val="00975F1B"/>
    <w:rsid w:val="0097705F"/>
    <w:rsid w:val="009773EE"/>
    <w:rsid w:val="009813C5"/>
    <w:rsid w:val="009907CD"/>
    <w:rsid w:val="0099092D"/>
    <w:rsid w:val="009927A8"/>
    <w:rsid w:val="00992E03"/>
    <w:rsid w:val="00993EF1"/>
    <w:rsid w:val="00995BAC"/>
    <w:rsid w:val="009A229C"/>
    <w:rsid w:val="009A7FCE"/>
    <w:rsid w:val="009B06DD"/>
    <w:rsid w:val="009B603F"/>
    <w:rsid w:val="009B68EF"/>
    <w:rsid w:val="009B72F4"/>
    <w:rsid w:val="009C0D0F"/>
    <w:rsid w:val="009C2A17"/>
    <w:rsid w:val="009C3750"/>
    <w:rsid w:val="009C643F"/>
    <w:rsid w:val="009C7B0C"/>
    <w:rsid w:val="009C7B71"/>
    <w:rsid w:val="009D109B"/>
    <w:rsid w:val="009D30BC"/>
    <w:rsid w:val="009E15E2"/>
    <w:rsid w:val="009E23BF"/>
    <w:rsid w:val="009E478A"/>
    <w:rsid w:val="009E6E2B"/>
    <w:rsid w:val="009E7F8F"/>
    <w:rsid w:val="009F18D7"/>
    <w:rsid w:val="009F1E2B"/>
    <w:rsid w:val="009F5005"/>
    <w:rsid w:val="009F5887"/>
    <w:rsid w:val="009F5F96"/>
    <w:rsid w:val="009F74D0"/>
    <w:rsid w:val="00A06BFF"/>
    <w:rsid w:val="00A129AE"/>
    <w:rsid w:val="00A12B84"/>
    <w:rsid w:val="00A13112"/>
    <w:rsid w:val="00A13327"/>
    <w:rsid w:val="00A17FF7"/>
    <w:rsid w:val="00A20D09"/>
    <w:rsid w:val="00A21A0F"/>
    <w:rsid w:val="00A253E7"/>
    <w:rsid w:val="00A2764E"/>
    <w:rsid w:val="00A40505"/>
    <w:rsid w:val="00A409CF"/>
    <w:rsid w:val="00A42C03"/>
    <w:rsid w:val="00A45E77"/>
    <w:rsid w:val="00A463BE"/>
    <w:rsid w:val="00A47417"/>
    <w:rsid w:val="00A52FC3"/>
    <w:rsid w:val="00A539FF"/>
    <w:rsid w:val="00A60F48"/>
    <w:rsid w:val="00A63227"/>
    <w:rsid w:val="00A64DFD"/>
    <w:rsid w:val="00A709E8"/>
    <w:rsid w:val="00A8420B"/>
    <w:rsid w:val="00A8502B"/>
    <w:rsid w:val="00A86226"/>
    <w:rsid w:val="00A86D9C"/>
    <w:rsid w:val="00A920FB"/>
    <w:rsid w:val="00A9462E"/>
    <w:rsid w:val="00A96F68"/>
    <w:rsid w:val="00A97C36"/>
    <w:rsid w:val="00AA6478"/>
    <w:rsid w:val="00AB491A"/>
    <w:rsid w:val="00AB4EFD"/>
    <w:rsid w:val="00AB6E49"/>
    <w:rsid w:val="00AB7298"/>
    <w:rsid w:val="00AB76F5"/>
    <w:rsid w:val="00AC0E55"/>
    <w:rsid w:val="00AC1EBB"/>
    <w:rsid w:val="00AC29C3"/>
    <w:rsid w:val="00AC3DA6"/>
    <w:rsid w:val="00AD28E3"/>
    <w:rsid w:val="00AE3866"/>
    <w:rsid w:val="00AE57A4"/>
    <w:rsid w:val="00AE77AE"/>
    <w:rsid w:val="00AF291D"/>
    <w:rsid w:val="00AF51A0"/>
    <w:rsid w:val="00AF5D67"/>
    <w:rsid w:val="00B00765"/>
    <w:rsid w:val="00B0211B"/>
    <w:rsid w:val="00B0252F"/>
    <w:rsid w:val="00B02858"/>
    <w:rsid w:val="00B10539"/>
    <w:rsid w:val="00B108B3"/>
    <w:rsid w:val="00B10F2E"/>
    <w:rsid w:val="00B11D20"/>
    <w:rsid w:val="00B11D74"/>
    <w:rsid w:val="00B122CA"/>
    <w:rsid w:val="00B14DCE"/>
    <w:rsid w:val="00B15276"/>
    <w:rsid w:val="00B1627A"/>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1F9B"/>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E1594"/>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10C3"/>
    <w:rsid w:val="00C23058"/>
    <w:rsid w:val="00C23E02"/>
    <w:rsid w:val="00C26855"/>
    <w:rsid w:val="00C26ED7"/>
    <w:rsid w:val="00C309BB"/>
    <w:rsid w:val="00C30AEA"/>
    <w:rsid w:val="00C343BF"/>
    <w:rsid w:val="00C34DBC"/>
    <w:rsid w:val="00C3754A"/>
    <w:rsid w:val="00C40A6D"/>
    <w:rsid w:val="00C443AF"/>
    <w:rsid w:val="00C51144"/>
    <w:rsid w:val="00C54C7F"/>
    <w:rsid w:val="00C55365"/>
    <w:rsid w:val="00C56B06"/>
    <w:rsid w:val="00C65E58"/>
    <w:rsid w:val="00C724D2"/>
    <w:rsid w:val="00C72BFA"/>
    <w:rsid w:val="00C73BB2"/>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3AE7"/>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406B"/>
    <w:rsid w:val="00DB5074"/>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E6A"/>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D67FB"/>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277B7"/>
    <w:rsid w:val="00F317F9"/>
    <w:rsid w:val="00F33A4A"/>
    <w:rsid w:val="00F353AE"/>
    <w:rsid w:val="00F36D46"/>
    <w:rsid w:val="00F43DC9"/>
    <w:rsid w:val="00F441EF"/>
    <w:rsid w:val="00F443E2"/>
    <w:rsid w:val="00F52595"/>
    <w:rsid w:val="00F530EE"/>
    <w:rsid w:val="00F54B30"/>
    <w:rsid w:val="00F57324"/>
    <w:rsid w:val="00F63FCE"/>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3E5C"/>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ED67FB"/>
    <w:rPr>
      <w:b/>
      <w:lang w:val="fr-CA" w:eastAsia="en-CA"/>
    </w:rPr>
  </w:style>
  <w:style w:type="character" w:customStyle="1" w:styleId="SCCCaseDescriptorChar">
    <w:name w:val="SCC.CaseDescriptor Char"/>
    <w:basedOn w:val="DefaultParagraphFont"/>
    <w:link w:val="SCCCaseDescriptor"/>
    <w:rsid w:val="00ED67FB"/>
    <w:rPr>
      <w:b/>
      <w:sz w:val="24"/>
      <w:lang w:val="fr-CA" w:eastAsia="en-CA"/>
    </w:rPr>
  </w:style>
  <w:style w:type="paragraph" w:customStyle="1" w:styleId="SCCBanSummary">
    <w:name w:val="SCC.BanSummary"/>
    <w:basedOn w:val="Normal"/>
    <w:next w:val="Normal"/>
    <w:link w:val="SCCBanSummaryChar"/>
    <w:rsid w:val="00782B59"/>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782B59"/>
    <w:rPr>
      <w:rFonts w:eastAsiaTheme="minorHAnsi" w:cstheme="minorBidi"/>
      <w:smallCaps/>
      <w:sz w:val="24"/>
      <w:szCs w:val="22"/>
      <w:lang w:val="en-CA"/>
    </w:rPr>
  </w:style>
  <w:style w:type="paragraph" w:customStyle="1" w:styleId="SCCFileNumber">
    <w:name w:val="SCC.FileNumber"/>
    <w:basedOn w:val="Normal"/>
    <w:next w:val="Normal"/>
    <w:link w:val="SCCFileNumberChar"/>
    <w:rsid w:val="00782B5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82B59"/>
    <w:rPr>
      <w:rFonts w:eastAsiaTheme="minorHAnsi" w:cstheme="minorBidi"/>
      <w:b/>
      <w:sz w:val="24"/>
      <w:szCs w:val="22"/>
      <w:lang w:val="en-CA"/>
    </w:rPr>
  </w:style>
  <w:style w:type="paragraph" w:customStyle="1" w:styleId="SCCLsocOtherPartySeparator">
    <w:name w:val="SCC.Lsoc.OtherPartySeparator"/>
    <w:basedOn w:val="Normal"/>
    <w:next w:val="Normal"/>
    <w:link w:val="SCCLsocOtherPartySeparatorChar"/>
    <w:rsid w:val="002B421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2B421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4009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2020-03-26T23:41:00Z</dcterms:created>
  <dcterms:modified xsi:type="dcterms:W3CDTF">2023-05-01T15:11:00Z</dcterms:modified>
</cp:coreProperties>
</file>