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B02A31" w:rsidRDefault="000E391F" w:rsidP="000E391F">
      <w:pPr>
        <w:pStyle w:val="Header"/>
        <w:jc w:val="center"/>
        <w:rPr>
          <w:b/>
          <w:sz w:val="32"/>
          <w:szCs w:val="32"/>
        </w:rPr>
      </w:pPr>
      <w:r w:rsidRPr="00B02A31">
        <w:rPr>
          <w:b/>
          <w:sz w:val="32"/>
          <w:szCs w:val="32"/>
        </w:rPr>
        <w:t>Supreme Court of Canada / Cour suprême du Canada</w:t>
      </w:r>
    </w:p>
    <w:p w:rsidR="000E391F" w:rsidRPr="00B02A31" w:rsidRDefault="000E391F" w:rsidP="000E391F">
      <w:pPr>
        <w:widowControl w:val="0"/>
        <w:rPr>
          <w:sz w:val="20"/>
        </w:rPr>
      </w:pPr>
    </w:p>
    <w:p w:rsidR="000E391F" w:rsidRPr="00B02A31" w:rsidRDefault="000E391F" w:rsidP="000E391F">
      <w:pPr>
        <w:widowControl w:val="0"/>
        <w:rPr>
          <w:i/>
          <w:sz w:val="20"/>
        </w:rPr>
      </w:pPr>
    </w:p>
    <w:p w:rsidR="006F2579" w:rsidRPr="00B02A31" w:rsidRDefault="006F2579" w:rsidP="006F2579">
      <w:pPr>
        <w:widowControl w:val="0"/>
        <w:rPr>
          <w:i/>
          <w:sz w:val="20"/>
        </w:rPr>
      </w:pPr>
      <w:r w:rsidRPr="00B02A31">
        <w:rPr>
          <w:i/>
          <w:sz w:val="20"/>
        </w:rPr>
        <w:t>(</w:t>
      </w:r>
      <w:r w:rsidR="003240B6" w:rsidRPr="00B02A31">
        <w:rPr>
          <w:i/>
          <w:sz w:val="20"/>
        </w:rPr>
        <w:t>L</w:t>
      </w:r>
      <w:r w:rsidRPr="00B02A31">
        <w:rPr>
          <w:i/>
          <w:sz w:val="20"/>
        </w:rPr>
        <w:t>e français suit)</w:t>
      </w:r>
    </w:p>
    <w:p w:rsidR="006F2579" w:rsidRPr="00B02A31" w:rsidRDefault="006F2579" w:rsidP="006F2579">
      <w:pPr>
        <w:widowControl w:val="0"/>
        <w:rPr>
          <w:sz w:val="20"/>
        </w:rPr>
      </w:pPr>
    </w:p>
    <w:p w:rsidR="006F2579" w:rsidRPr="00B02A31" w:rsidRDefault="00B07908" w:rsidP="006F2579">
      <w:pPr>
        <w:widowControl w:val="0"/>
        <w:jc w:val="center"/>
        <w:rPr>
          <w:b/>
          <w:szCs w:val="24"/>
        </w:rPr>
      </w:pPr>
      <w:r w:rsidRPr="00B02A31">
        <w:rPr>
          <w:szCs w:val="24"/>
        </w:rPr>
        <w:fldChar w:fldCharType="begin"/>
      </w:r>
      <w:r w:rsidR="006F2579" w:rsidRPr="00B02A31">
        <w:rPr>
          <w:szCs w:val="24"/>
        </w:rPr>
        <w:instrText xml:space="preserve"> SEQ CHAPTER \h \r 1</w:instrText>
      </w:r>
      <w:r w:rsidRPr="00B02A31">
        <w:rPr>
          <w:szCs w:val="24"/>
        </w:rPr>
        <w:fldChar w:fldCharType="end"/>
      </w:r>
      <w:r w:rsidR="006F2579" w:rsidRPr="00B02A31">
        <w:rPr>
          <w:b/>
          <w:szCs w:val="24"/>
        </w:rPr>
        <w:t>JUDGMENT</w:t>
      </w:r>
      <w:r w:rsidR="004F5491" w:rsidRPr="00B02A31">
        <w:rPr>
          <w:b/>
          <w:szCs w:val="24"/>
        </w:rPr>
        <w:t>S</w:t>
      </w:r>
      <w:r w:rsidR="006F2579" w:rsidRPr="00B02A31">
        <w:rPr>
          <w:b/>
          <w:szCs w:val="24"/>
        </w:rPr>
        <w:t xml:space="preserve"> TO B</w:t>
      </w:r>
      <w:r w:rsidR="00001846" w:rsidRPr="00B02A31">
        <w:rPr>
          <w:b/>
          <w:szCs w:val="24"/>
        </w:rPr>
        <w:t>E RENDERED IN LE</w:t>
      </w:r>
      <w:r w:rsidR="00A0288A" w:rsidRPr="00B02A31">
        <w:rPr>
          <w:b/>
          <w:szCs w:val="24"/>
        </w:rPr>
        <w:t>A</w:t>
      </w:r>
      <w:r w:rsidR="00001846" w:rsidRPr="00B02A31">
        <w:rPr>
          <w:b/>
          <w:szCs w:val="24"/>
        </w:rPr>
        <w:t>VE APPLICATION</w:t>
      </w:r>
      <w:r w:rsidR="004F5491" w:rsidRPr="00B02A31">
        <w:rPr>
          <w:b/>
          <w:szCs w:val="24"/>
        </w:rPr>
        <w:t>S</w:t>
      </w:r>
    </w:p>
    <w:p w:rsidR="006F2579" w:rsidRPr="00B02A31" w:rsidRDefault="006F2579" w:rsidP="006F2579">
      <w:pPr>
        <w:widowControl w:val="0"/>
        <w:rPr>
          <w:szCs w:val="24"/>
        </w:rPr>
      </w:pPr>
    </w:p>
    <w:p w:rsidR="006F2579" w:rsidRPr="00B02A31" w:rsidRDefault="006E4F94" w:rsidP="006F2579">
      <w:pPr>
        <w:widowControl w:val="0"/>
        <w:rPr>
          <w:szCs w:val="24"/>
        </w:rPr>
      </w:pPr>
      <w:r w:rsidRPr="00B02A31">
        <w:rPr>
          <w:b/>
          <w:szCs w:val="24"/>
        </w:rPr>
        <w:t>May</w:t>
      </w:r>
      <w:r w:rsidR="00A15B66" w:rsidRPr="00B02A31">
        <w:rPr>
          <w:b/>
          <w:szCs w:val="24"/>
        </w:rPr>
        <w:t xml:space="preserve"> </w:t>
      </w:r>
      <w:r w:rsidRPr="00B02A31">
        <w:rPr>
          <w:b/>
          <w:szCs w:val="24"/>
        </w:rPr>
        <w:t>1</w:t>
      </w:r>
      <w:r w:rsidR="00AC27D7" w:rsidRPr="00B02A31">
        <w:rPr>
          <w:b/>
          <w:szCs w:val="24"/>
        </w:rPr>
        <w:t>5</w:t>
      </w:r>
      <w:r w:rsidR="004441C7" w:rsidRPr="00B02A31">
        <w:rPr>
          <w:b/>
          <w:szCs w:val="24"/>
        </w:rPr>
        <w:t>,</w:t>
      </w:r>
      <w:r w:rsidR="006F2579" w:rsidRPr="00B02A31">
        <w:rPr>
          <w:b/>
          <w:szCs w:val="24"/>
        </w:rPr>
        <w:t xml:space="preserve"> </w:t>
      </w:r>
      <w:r w:rsidR="0054689F" w:rsidRPr="00B02A31">
        <w:rPr>
          <w:b/>
          <w:szCs w:val="24"/>
        </w:rPr>
        <w:t>20</w:t>
      </w:r>
      <w:r w:rsidR="00526754" w:rsidRPr="00B02A31">
        <w:rPr>
          <w:b/>
          <w:szCs w:val="24"/>
        </w:rPr>
        <w:t>2</w:t>
      </w:r>
      <w:r w:rsidR="00534CCB" w:rsidRPr="00B02A31">
        <w:rPr>
          <w:b/>
          <w:szCs w:val="24"/>
        </w:rPr>
        <w:t>3</w:t>
      </w:r>
    </w:p>
    <w:p w:rsidR="006F2579" w:rsidRPr="00B02A31" w:rsidRDefault="00674F39" w:rsidP="006F2579">
      <w:pPr>
        <w:widowControl w:val="0"/>
        <w:rPr>
          <w:b/>
          <w:szCs w:val="24"/>
        </w:rPr>
      </w:pPr>
      <w:r w:rsidRPr="00B02A31">
        <w:rPr>
          <w:b/>
          <w:szCs w:val="24"/>
        </w:rPr>
        <w:t>For immediate release</w:t>
      </w:r>
    </w:p>
    <w:p w:rsidR="006F2579" w:rsidRPr="00B02A31" w:rsidRDefault="006F2579" w:rsidP="006F2579">
      <w:pPr>
        <w:widowControl w:val="0"/>
        <w:rPr>
          <w:szCs w:val="24"/>
        </w:rPr>
      </w:pPr>
    </w:p>
    <w:p w:rsidR="006F2579" w:rsidRPr="00B02A31" w:rsidRDefault="006F2579" w:rsidP="006F2579">
      <w:pPr>
        <w:widowControl w:val="0"/>
        <w:rPr>
          <w:szCs w:val="24"/>
          <w:lang w:val="fr-CA"/>
        </w:rPr>
      </w:pPr>
      <w:r w:rsidRPr="00B02A31">
        <w:rPr>
          <w:b/>
          <w:szCs w:val="24"/>
        </w:rPr>
        <w:t>OTTAWA</w:t>
      </w:r>
      <w:r w:rsidRPr="00B02A31">
        <w:rPr>
          <w:szCs w:val="24"/>
        </w:rPr>
        <w:t xml:space="preserve"> – The Supreme Court of Canad</w:t>
      </w:r>
      <w:r w:rsidR="006246E4" w:rsidRPr="00B02A31">
        <w:rPr>
          <w:szCs w:val="24"/>
        </w:rPr>
        <w:t>a</w:t>
      </w:r>
      <w:r w:rsidRPr="00B02A31">
        <w:rPr>
          <w:szCs w:val="24"/>
        </w:rPr>
        <w:t xml:space="preserve"> announced today that judgment in the following </w:t>
      </w:r>
      <w:r w:rsidR="00DB6199" w:rsidRPr="00B02A31">
        <w:rPr>
          <w:szCs w:val="24"/>
        </w:rPr>
        <w:t>leave application</w:t>
      </w:r>
      <w:r w:rsidR="004F5491" w:rsidRPr="00B02A31">
        <w:rPr>
          <w:szCs w:val="24"/>
        </w:rPr>
        <w:t>s</w:t>
      </w:r>
      <w:r w:rsidR="00DB6199" w:rsidRPr="00B02A31">
        <w:rPr>
          <w:szCs w:val="24"/>
        </w:rPr>
        <w:t xml:space="preserve"> </w:t>
      </w:r>
      <w:r w:rsidRPr="00B02A31">
        <w:rPr>
          <w:szCs w:val="24"/>
        </w:rPr>
        <w:t>will be delivere</w:t>
      </w:r>
      <w:r w:rsidR="00CE2C5F" w:rsidRPr="00B02A31">
        <w:rPr>
          <w:szCs w:val="24"/>
        </w:rPr>
        <w:t>d</w:t>
      </w:r>
      <w:r w:rsidRPr="00B02A31">
        <w:rPr>
          <w:szCs w:val="24"/>
        </w:rPr>
        <w:t xml:space="preserve"> at 9:45 a.m. </w:t>
      </w:r>
      <w:r w:rsidR="00E05816" w:rsidRPr="00B02A31">
        <w:rPr>
          <w:szCs w:val="24"/>
        </w:rPr>
        <w:t>E</w:t>
      </w:r>
      <w:r w:rsidR="00A00FDF" w:rsidRPr="00B02A31">
        <w:rPr>
          <w:szCs w:val="24"/>
        </w:rPr>
        <w:t>D</w:t>
      </w:r>
      <w:r w:rsidR="00E05816" w:rsidRPr="00B02A31">
        <w:rPr>
          <w:szCs w:val="24"/>
        </w:rPr>
        <w:t>T</w:t>
      </w:r>
      <w:r w:rsidRPr="00B02A31">
        <w:rPr>
          <w:szCs w:val="24"/>
        </w:rPr>
        <w:t xml:space="preserve"> on </w:t>
      </w:r>
      <w:r w:rsidR="00322A9C" w:rsidRPr="00B02A31">
        <w:rPr>
          <w:szCs w:val="24"/>
        </w:rPr>
        <w:t>Thurs</w:t>
      </w:r>
      <w:r w:rsidR="00680A85" w:rsidRPr="00B02A31">
        <w:rPr>
          <w:szCs w:val="24"/>
        </w:rPr>
        <w:t>day</w:t>
      </w:r>
      <w:r w:rsidRPr="00B02A31">
        <w:rPr>
          <w:szCs w:val="24"/>
        </w:rPr>
        <w:t xml:space="preserve">, </w:t>
      </w:r>
      <w:r w:rsidR="006E4F94" w:rsidRPr="00B02A31">
        <w:rPr>
          <w:szCs w:val="24"/>
        </w:rPr>
        <w:t>May</w:t>
      </w:r>
      <w:r w:rsidR="00455912" w:rsidRPr="00B02A31">
        <w:rPr>
          <w:szCs w:val="24"/>
        </w:rPr>
        <w:t xml:space="preserve"> </w:t>
      </w:r>
      <w:r w:rsidR="00AC27D7" w:rsidRPr="00B02A31">
        <w:rPr>
          <w:szCs w:val="24"/>
        </w:rPr>
        <w:t>18</w:t>
      </w:r>
      <w:r w:rsidR="007E112F" w:rsidRPr="00B02A31">
        <w:rPr>
          <w:szCs w:val="24"/>
        </w:rPr>
        <w:t>,</w:t>
      </w:r>
      <w:r w:rsidR="002F38D7" w:rsidRPr="00B02A31">
        <w:rPr>
          <w:szCs w:val="24"/>
        </w:rPr>
        <w:t xml:space="preserve"> </w:t>
      </w:r>
      <w:r w:rsidR="006648D1" w:rsidRPr="00B02A31">
        <w:rPr>
          <w:szCs w:val="24"/>
        </w:rPr>
        <w:t>20</w:t>
      </w:r>
      <w:r w:rsidR="00526754" w:rsidRPr="00B02A31">
        <w:rPr>
          <w:szCs w:val="24"/>
        </w:rPr>
        <w:t>2</w:t>
      </w:r>
      <w:r w:rsidR="00534CCB" w:rsidRPr="00B02A31">
        <w:rPr>
          <w:szCs w:val="24"/>
        </w:rPr>
        <w:t>3</w:t>
      </w:r>
      <w:r w:rsidRPr="00B02A31">
        <w:rPr>
          <w:szCs w:val="24"/>
        </w:rPr>
        <w:t xml:space="preserve">. </w:t>
      </w:r>
      <w:r w:rsidRPr="00B02A31">
        <w:rPr>
          <w:szCs w:val="24"/>
          <w:lang w:val="fr-CA"/>
        </w:rPr>
        <w:t>This list is subject to chang</w:t>
      </w:r>
      <w:r w:rsidR="00192F7F" w:rsidRPr="00B02A31">
        <w:rPr>
          <w:szCs w:val="24"/>
          <w:lang w:val="fr-CA"/>
        </w:rPr>
        <w:t>e</w:t>
      </w:r>
      <w:r w:rsidRPr="00B02A31">
        <w:rPr>
          <w:szCs w:val="24"/>
          <w:lang w:val="fr-CA"/>
        </w:rPr>
        <w:t>.</w:t>
      </w:r>
    </w:p>
    <w:p w:rsidR="00FF5AA4" w:rsidRPr="00B02A31" w:rsidRDefault="00FF5AA4" w:rsidP="006F2579">
      <w:pPr>
        <w:widowControl w:val="0"/>
        <w:rPr>
          <w:szCs w:val="24"/>
          <w:lang w:val="fr-CA"/>
        </w:rPr>
      </w:pPr>
    </w:p>
    <w:p w:rsidR="00B43418" w:rsidRPr="00B02A31" w:rsidRDefault="00B43418" w:rsidP="006F2579">
      <w:pPr>
        <w:widowControl w:val="0"/>
        <w:rPr>
          <w:szCs w:val="24"/>
          <w:lang w:val="fr-CA"/>
        </w:rPr>
      </w:pPr>
    </w:p>
    <w:p w:rsidR="006F2579" w:rsidRPr="00B02A31" w:rsidRDefault="006F2579" w:rsidP="006F2579">
      <w:pPr>
        <w:widowControl w:val="0"/>
        <w:jc w:val="center"/>
        <w:rPr>
          <w:szCs w:val="24"/>
          <w:lang w:val="fr-CA"/>
        </w:rPr>
      </w:pPr>
      <w:r w:rsidRPr="00B02A31">
        <w:rPr>
          <w:b/>
          <w:szCs w:val="24"/>
          <w:lang w:val="fr-CA"/>
        </w:rPr>
        <w:t>PROCHAIN</w:t>
      </w:r>
      <w:r w:rsidR="004F5491" w:rsidRPr="00B02A31">
        <w:rPr>
          <w:b/>
          <w:szCs w:val="24"/>
          <w:lang w:val="fr-CA"/>
        </w:rPr>
        <w:t>S</w:t>
      </w:r>
      <w:r w:rsidRPr="00B02A31">
        <w:rPr>
          <w:b/>
          <w:szCs w:val="24"/>
          <w:lang w:val="fr-CA"/>
        </w:rPr>
        <w:t xml:space="preserve"> JUGEMENT</w:t>
      </w:r>
      <w:r w:rsidR="004F5491" w:rsidRPr="00B02A31">
        <w:rPr>
          <w:b/>
          <w:szCs w:val="24"/>
          <w:lang w:val="fr-CA"/>
        </w:rPr>
        <w:t>S</w:t>
      </w:r>
      <w:r w:rsidR="00001846" w:rsidRPr="00B02A31">
        <w:rPr>
          <w:b/>
          <w:szCs w:val="24"/>
          <w:lang w:val="fr-CA"/>
        </w:rPr>
        <w:t xml:space="preserve"> SUR DEMANDE</w:t>
      </w:r>
      <w:r w:rsidR="004F5491" w:rsidRPr="00B02A31">
        <w:rPr>
          <w:b/>
          <w:szCs w:val="24"/>
          <w:lang w:val="fr-CA"/>
        </w:rPr>
        <w:t>S</w:t>
      </w:r>
      <w:r w:rsidRPr="00B02A31">
        <w:rPr>
          <w:b/>
          <w:szCs w:val="24"/>
          <w:lang w:val="fr-CA"/>
        </w:rPr>
        <w:t xml:space="preserve"> D’AUTORISATION</w:t>
      </w:r>
    </w:p>
    <w:p w:rsidR="006F2579" w:rsidRPr="00B02A31" w:rsidRDefault="006F2579" w:rsidP="006F2579">
      <w:pPr>
        <w:widowControl w:val="0"/>
        <w:rPr>
          <w:szCs w:val="24"/>
          <w:lang w:val="fr-CA"/>
        </w:rPr>
      </w:pPr>
    </w:p>
    <w:p w:rsidR="006F2579" w:rsidRPr="00B02A31" w:rsidRDefault="006F2579" w:rsidP="006F2579">
      <w:pPr>
        <w:widowControl w:val="0"/>
        <w:rPr>
          <w:szCs w:val="24"/>
          <w:lang w:val="fr-CA"/>
        </w:rPr>
      </w:pPr>
      <w:r w:rsidRPr="00B02A31">
        <w:rPr>
          <w:b/>
          <w:szCs w:val="24"/>
          <w:lang w:val="fr-CA"/>
        </w:rPr>
        <w:t>Le</w:t>
      </w:r>
      <w:r w:rsidR="00957A76" w:rsidRPr="00B02A31">
        <w:rPr>
          <w:b/>
          <w:szCs w:val="24"/>
          <w:lang w:val="fr-CA"/>
        </w:rPr>
        <w:t xml:space="preserve"> </w:t>
      </w:r>
      <w:r w:rsidR="006E4F94" w:rsidRPr="00B02A31">
        <w:rPr>
          <w:b/>
          <w:szCs w:val="24"/>
          <w:lang w:val="fr-CA"/>
        </w:rPr>
        <w:t>1</w:t>
      </w:r>
      <w:r w:rsidR="00AC27D7" w:rsidRPr="00B02A31">
        <w:rPr>
          <w:b/>
          <w:szCs w:val="24"/>
          <w:lang w:val="fr-CA"/>
        </w:rPr>
        <w:t>5</w:t>
      </w:r>
      <w:r w:rsidR="00FA6BAB" w:rsidRPr="00B02A31">
        <w:rPr>
          <w:b/>
          <w:szCs w:val="24"/>
          <w:lang w:val="fr-CA"/>
        </w:rPr>
        <w:t xml:space="preserve"> </w:t>
      </w:r>
      <w:r w:rsidR="006E4F94" w:rsidRPr="00B02A31">
        <w:rPr>
          <w:b/>
          <w:szCs w:val="24"/>
          <w:lang w:val="fr-CA"/>
        </w:rPr>
        <w:t>mai</w:t>
      </w:r>
      <w:r w:rsidR="00A151D1" w:rsidRPr="00B02A31">
        <w:rPr>
          <w:b/>
          <w:szCs w:val="24"/>
          <w:lang w:val="fr-CA"/>
        </w:rPr>
        <w:t xml:space="preserve"> 20</w:t>
      </w:r>
      <w:r w:rsidR="00526754" w:rsidRPr="00B02A31">
        <w:rPr>
          <w:b/>
          <w:szCs w:val="24"/>
          <w:lang w:val="fr-CA"/>
        </w:rPr>
        <w:t>2</w:t>
      </w:r>
      <w:r w:rsidR="00534CCB" w:rsidRPr="00B02A31">
        <w:rPr>
          <w:b/>
          <w:szCs w:val="24"/>
          <w:lang w:val="fr-CA"/>
        </w:rPr>
        <w:t>3</w:t>
      </w:r>
    </w:p>
    <w:p w:rsidR="006F2579" w:rsidRPr="00B02A31" w:rsidRDefault="006F2579" w:rsidP="006F2579">
      <w:pPr>
        <w:widowControl w:val="0"/>
        <w:rPr>
          <w:b/>
          <w:szCs w:val="24"/>
          <w:lang w:val="fr-CA"/>
        </w:rPr>
      </w:pPr>
      <w:r w:rsidRPr="00B02A31">
        <w:rPr>
          <w:b/>
          <w:szCs w:val="24"/>
          <w:lang w:val="fr-CA"/>
        </w:rPr>
        <w:t>Pour diffusion immédiate</w:t>
      </w:r>
    </w:p>
    <w:p w:rsidR="006F2579" w:rsidRPr="00B02A31" w:rsidRDefault="006F2579" w:rsidP="006F2579">
      <w:pPr>
        <w:widowControl w:val="0"/>
        <w:rPr>
          <w:szCs w:val="24"/>
          <w:lang w:val="fr-CA"/>
        </w:rPr>
      </w:pPr>
    </w:p>
    <w:p w:rsidR="006F2579" w:rsidRPr="00B02A31" w:rsidRDefault="006F2579" w:rsidP="006F2579">
      <w:pPr>
        <w:widowControl w:val="0"/>
        <w:rPr>
          <w:szCs w:val="24"/>
          <w:lang w:val="fr-CA"/>
        </w:rPr>
      </w:pPr>
      <w:r w:rsidRPr="00B02A31">
        <w:rPr>
          <w:b/>
          <w:szCs w:val="24"/>
          <w:lang w:val="fr-CA"/>
        </w:rPr>
        <w:t>OTTAWA</w:t>
      </w:r>
      <w:r w:rsidRPr="00B02A31">
        <w:rPr>
          <w:szCs w:val="24"/>
          <w:lang w:val="fr-CA"/>
        </w:rPr>
        <w:t xml:space="preserve"> – La Cour suprême du Canada annonce que jugement ser</w:t>
      </w:r>
      <w:r w:rsidR="004259F9" w:rsidRPr="00B02A31">
        <w:rPr>
          <w:szCs w:val="24"/>
          <w:lang w:val="fr-CA"/>
        </w:rPr>
        <w:t>a</w:t>
      </w:r>
      <w:r w:rsidRPr="00B02A31">
        <w:rPr>
          <w:szCs w:val="24"/>
          <w:lang w:val="fr-CA"/>
        </w:rPr>
        <w:t xml:space="preserve"> rendu dans l</w:t>
      </w:r>
      <w:r w:rsidR="004F5491" w:rsidRPr="00B02A31">
        <w:rPr>
          <w:szCs w:val="24"/>
          <w:lang w:val="fr-CA"/>
        </w:rPr>
        <w:t>es</w:t>
      </w:r>
      <w:r w:rsidRPr="00B02A31">
        <w:rPr>
          <w:szCs w:val="24"/>
          <w:lang w:val="fr-CA"/>
        </w:rPr>
        <w:t xml:space="preserve"> demande</w:t>
      </w:r>
      <w:r w:rsidR="004F5491" w:rsidRPr="00B02A31">
        <w:rPr>
          <w:szCs w:val="24"/>
          <w:lang w:val="fr-CA"/>
        </w:rPr>
        <w:t>s</w:t>
      </w:r>
      <w:r w:rsidRPr="00B02A31">
        <w:rPr>
          <w:szCs w:val="24"/>
          <w:lang w:val="fr-CA"/>
        </w:rPr>
        <w:t xml:space="preserve"> d</w:t>
      </w:r>
      <w:r w:rsidR="00001846" w:rsidRPr="00B02A31">
        <w:rPr>
          <w:szCs w:val="24"/>
          <w:lang w:val="fr-CA"/>
        </w:rPr>
        <w:t>’autorisation suivante</w:t>
      </w:r>
      <w:r w:rsidR="004F5491" w:rsidRPr="00B02A31">
        <w:rPr>
          <w:szCs w:val="24"/>
          <w:lang w:val="fr-CA"/>
        </w:rPr>
        <w:t>s</w:t>
      </w:r>
      <w:r w:rsidRPr="00B02A31">
        <w:rPr>
          <w:szCs w:val="24"/>
          <w:lang w:val="fr-CA"/>
        </w:rPr>
        <w:t xml:space="preserve"> le </w:t>
      </w:r>
      <w:r w:rsidR="00322A9C" w:rsidRPr="00B02A31">
        <w:rPr>
          <w:szCs w:val="24"/>
          <w:lang w:val="fr-CA"/>
        </w:rPr>
        <w:t>jeu</w:t>
      </w:r>
      <w:r w:rsidR="00680A85" w:rsidRPr="00B02A31">
        <w:rPr>
          <w:szCs w:val="24"/>
          <w:lang w:val="fr-CA"/>
        </w:rPr>
        <w:t>di</w:t>
      </w:r>
      <w:r w:rsidRPr="00B02A31">
        <w:rPr>
          <w:szCs w:val="24"/>
          <w:lang w:val="fr-CA"/>
        </w:rPr>
        <w:t xml:space="preserve"> </w:t>
      </w:r>
      <w:r w:rsidR="00AC27D7" w:rsidRPr="00B02A31">
        <w:rPr>
          <w:szCs w:val="24"/>
          <w:lang w:val="fr-CA"/>
        </w:rPr>
        <w:t>18</w:t>
      </w:r>
      <w:r w:rsidR="009E0BD3" w:rsidRPr="00B02A31">
        <w:rPr>
          <w:szCs w:val="24"/>
          <w:lang w:val="fr-CA"/>
        </w:rPr>
        <w:t xml:space="preserve"> </w:t>
      </w:r>
      <w:r w:rsidR="006E4F94" w:rsidRPr="00B02A31">
        <w:rPr>
          <w:szCs w:val="24"/>
          <w:lang w:val="fr-CA"/>
        </w:rPr>
        <w:t>mai</w:t>
      </w:r>
      <w:r w:rsidR="00694391" w:rsidRPr="00B02A31">
        <w:rPr>
          <w:szCs w:val="24"/>
          <w:lang w:val="fr-CA"/>
        </w:rPr>
        <w:t xml:space="preserve"> 2</w:t>
      </w:r>
      <w:r w:rsidR="006648D1" w:rsidRPr="00B02A31">
        <w:rPr>
          <w:szCs w:val="24"/>
          <w:lang w:val="fr-CA"/>
        </w:rPr>
        <w:t>0</w:t>
      </w:r>
      <w:r w:rsidR="00526754" w:rsidRPr="00B02A31">
        <w:rPr>
          <w:szCs w:val="24"/>
          <w:lang w:val="fr-CA"/>
        </w:rPr>
        <w:t>2</w:t>
      </w:r>
      <w:r w:rsidR="00534CCB" w:rsidRPr="00B02A31">
        <w:rPr>
          <w:szCs w:val="24"/>
          <w:lang w:val="fr-CA"/>
        </w:rPr>
        <w:t>3</w:t>
      </w:r>
      <w:r w:rsidRPr="00B02A31">
        <w:rPr>
          <w:szCs w:val="24"/>
          <w:lang w:val="fr-CA"/>
        </w:rPr>
        <w:t xml:space="preserve">, à 9 h 45 </w:t>
      </w:r>
      <w:r w:rsidR="000627A2" w:rsidRPr="00B02A31">
        <w:rPr>
          <w:szCs w:val="24"/>
          <w:lang w:val="fr-CA"/>
        </w:rPr>
        <w:t>H</w:t>
      </w:r>
      <w:r w:rsidR="00A00FDF" w:rsidRPr="00B02A31">
        <w:rPr>
          <w:szCs w:val="24"/>
          <w:lang w:val="fr-CA"/>
        </w:rPr>
        <w:t>A</w:t>
      </w:r>
      <w:r w:rsidRPr="00B02A31">
        <w:rPr>
          <w:szCs w:val="24"/>
          <w:lang w:val="fr-CA"/>
        </w:rPr>
        <w:t>E. Cette liste est sujette à modification</w:t>
      </w:r>
      <w:r w:rsidR="00130ADB" w:rsidRPr="00B02A31">
        <w:rPr>
          <w:szCs w:val="24"/>
          <w:lang w:val="fr-CA"/>
        </w:rPr>
        <w:t>s</w:t>
      </w:r>
      <w:r w:rsidRPr="00B02A31">
        <w:rPr>
          <w:szCs w:val="24"/>
          <w:lang w:val="fr-CA"/>
        </w:rPr>
        <w:t>.</w:t>
      </w:r>
    </w:p>
    <w:p w:rsidR="0080556B" w:rsidRPr="00B02A31" w:rsidRDefault="0080556B" w:rsidP="005F2A78">
      <w:pPr>
        <w:widowControl w:val="0"/>
        <w:tabs>
          <w:tab w:val="left" w:pos="3840"/>
        </w:tabs>
        <w:jc w:val="both"/>
        <w:rPr>
          <w:sz w:val="20"/>
          <w:lang w:val="fr-CA"/>
        </w:rPr>
      </w:pPr>
    </w:p>
    <w:p w:rsidR="00867C61" w:rsidRPr="00B02A31" w:rsidRDefault="00C33138" w:rsidP="009B14F4">
      <w:pPr>
        <w:widowControl w:val="0"/>
        <w:jc w:val="both"/>
        <w:rPr>
          <w:sz w:val="20"/>
        </w:rPr>
      </w:pPr>
      <w:r>
        <w:rPr>
          <w:sz w:val="20"/>
        </w:rPr>
        <w:pict>
          <v:rect id="_x0000_i1025" style="width:2in;height:1pt" o:hrpct="0" o:hralign="center" o:hrstd="t" o:hrnoshade="t" o:hr="t" fillcolor="black [3213]" stroked="f"/>
        </w:pict>
      </w:r>
    </w:p>
    <w:p w:rsidR="004A6E51" w:rsidRPr="00B02A31" w:rsidRDefault="004A6E51" w:rsidP="0053032E">
      <w:pPr>
        <w:rPr>
          <w:sz w:val="20"/>
          <w:lang w:val="fr-CA"/>
        </w:rPr>
      </w:pPr>
    </w:p>
    <w:p w:rsidR="00AC27D7" w:rsidRPr="00B02A31" w:rsidRDefault="00AC27D7" w:rsidP="00AC27D7">
      <w:pPr>
        <w:pStyle w:val="ListParagraph"/>
        <w:numPr>
          <w:ilvl w:val="0"/>
          <w:numId w:val="39"/>
        </w:numPr>
        <w:ind w:left="357" w:hanging="357"/>
        <w:rPr>
          <w:sz w:val="20"/>
          <w:lang w:val="fr-CA"/>
        </w:rPr>
      </w:pPr>
      <w:r w:rsidRPr="00B02A31">
        <w:rPr>
          <w:i/>
          <w:sz w:val="20"/>
          <w:lang w:val="fr-CA"/>
        </w:rPr>
        <w:t xml:space="preserve">X c. Sa Majesté le Roi </w:t>
      </w:r>
      <w:r w:rsidRPr="00B02A31">
        <w:rPr>
          <w:sz w:val="20"/>
          <w:lang w:val="fr-CA"/>
        </w:rPr>
        <w:t>(Qc) (Criminelle) (Autorisation) (</w:t>
      </w:r>
      <w:hyperlink r:id="rId8" w:history="1">
        <w:r w:rsidRPr="00B02A31">
          <w:rPr>
            <w:rStyle w:val="Hyperlink"/>
            <w:sz w:val="20"/>
            <w:szCs w:val="20"/>
            <w:lang w:val="fr-CA"/>
          </w:rPr>
          <w:t>40</w:t>
        </w:r>
        <w:r w:rsidR="004A6EE8" w:rsidRPr="00B02A31">
          <w:rPr>
            <w:rStyle w:val="Hyperlink"/>
            <w:sz w:val="20"/>
            <w:szCs w:val="20"/>
            <w:lang w:val="fr-CA"/>
          </w:rPr>
          <w:t>3</w:t>
        </w:r>
        <w:r w:rsidRPr="00B02A31">
          <w:rPr>
            <w:rStyle w:val="Hyperlink"/>
            <w:sz w:val="20"/>
            <w:szCs w:val="20"/>
            <w:lang w:val="fr-CA"/>
          </w:rPr>
          <w:t>5</w:t>
        </w:r>
        <w:r w:rsidR="004A6EE8" w:rsidRPr="00B02A31">
          <w:rPr>
            <w:rStyle w:val="Hyperlink"/>
            <w:sz w:val="20"/>
            <w:szCs w:val="20"/>
            <w:lang w:val="fr-CA"/>
          </w:rPr>
          <w:t>7</w:t>
        </w:r>
      </w:hyperlink>
      <w:r w:rsidRPr="00B02A31">
        <w:rPr>
          <w:sz w:val="20"/>
          <w:lang w:val="fr-CA"/>
        </w:rPr>
        <w:t>)</w:t>
      </w:r>
    </w:p>
    <w:p w:rsidR="00AC27D7" w:rsidRPr="00B02A31" w:rsidRDefault="00AC27D7" w:rsidP="00AC27D7">
      <w:pPr>
        <w:ind w:left="357" w:hanging="357"/>
        <w:rPr>
          <w:sz w:val="20"/>
          <w:lang w:val="fr-CA"/>
        </w:rPr>
      </w:pPr>
    </w:p>
    <w:p w:rsidR="00AC27D7" w:rsidRPr="00B02A31" w:rsidRDefault="00AC27D7" w:rsidP="00AC27D7">
      <w:pPr>
        <w:pStyle w:val="ListParagraph"/>
        <w:numPr>
          <w:ilvl w:val="0"/>
          <w:numId w:val="39"/>
        </w:numPr>
        <w:ind w:left="357" w:hanging="357"/>
        <w:rPr>
          <w:sz w:val="20"/>
          <w:lang w:val="fr-CA"/>
        </w:rPr>
      </w:pPr>
      <w:r w:rsidRPr="00B02A31">
        <w:rPr>
          <w:i/>
          <w:sz w:val="20"/>
          <w:lang w:val="fr-CA"/>
        </w:rPr>
        <w:t xml:space="preserve">Emmanuel Laurin c. Sa Majesté le Roi </w:t>
      </w:r>
      <w:r w:rsidRPr="00B02A31">
        <w:rPr>
          <w:sz w:val="20"/>
          <w:lang w:val="fr-CA"/>
        </w:rPr>
        <w:t>(Qc) (C</w:t>
      </w:r>
      <w:r w:rsidR="004A6EE8" w:rsidRPr="00B02A31">
        <w:rPr>
          <w:sz w:val="20"/>
          <w:lang w:val="fr-CA"/>
        </w:rPr>
        <w:t>r</w:t>
      </w:r>
      <w:r w:rsidRPr="00B02A31">
        <w:rPr>
          <w:sz w:val="20"/>
          <w:lang w:val="fr-CA"/>
        </w:rPr>
        <w:t>i</w:t>
      </w:r>
      <w:r w:rsidR="004A6EE8" w:rsidRPr="00B02A31">
        <w:rPr>
          <w:sz w:val="20"/>
          <w:lang w:val="fr-CA"/>
        </w:rPr>
        <w:t>m</w:t>
      </w:r>
      <w:r w:rsidRPr="00B02A31">
        <w:rPr>
          <w:sz w:val="20"/>
          <w:lang w:val="fr-CA"/>
        </w:rPr>
        <w:t>i</w:t>
      </w:r>
      <w:r w:rsidR="004A6EE8" w:rsidRPr="00B02A31">
        <w:rPr>
          <w:sz w:val="20"/>
          <w:lang w:val="fr-CA"/>
        </w:rPr>
        <w:t>nel</w:t>
      </w:r>
      <w:r w:rsidRPr="00B02A31">
        <w:rPr>
          <w:sz w:val="20"/>
          <w:lang w:val="fr-CA"/>
        </w:rPr>
        <w:t>le) (Autorisation) (</w:t>
      </w:r>
      <w:hyperlink r:id="rId9" w:history="1">
        <w:r w:rsidRPr="00B02A31">
          <w:rPr>
            <w:rStyle w:val="Hyperlink"/>
            <w:sz w:val="20"/>
            <w:szCs w:val="20"/>
            <w:lang w:val="fr-CA"/>
          </w:rPr>
          <w:t>4053</w:t>
        </w:r>
        <w:r w:rsidR="004A6EE8" w:rsidRPr="00B02A31">
          <w:rPr>
            <w:rStyle w:val="Hyperlink"/>
            <w:sz w:val="20"/>
            <w:szCs w:val="20"/>
            <w:lang w:val="fr-CA"/>
          </w:rPr>
          <w:t>1</w:t>
        </w:r>
      </w:hyperlink>
      <w:r w:rsidRPr="00B02A31">
        <w:rPr>
          <w:sz w:val="20"/>
          <w:lang w:val="fr-CA"/>
        </w:rPr>
        <w:t>)</w:t>
      </w:r>
    </w:p>
    <w:p w:rsidR="00AC27D7" w:rsidRPr="00B02A31" w:rsidRDefault="00AC27D7" w:rsidP="00AC27D7">
      <w:pPr>
        <w:ind w:left="357" w:hanging="357"/>
        <w:rPr>
          <w:sz w:val="20"/>
          <w:lang w:val="fr-CA"/>
        </w:rPr>
      </w:pPr>
    </w:p>
    <w:p w:rsidR="00AC27D7" w:rsidRPr="00B02A31" w:rsidRDefault="00AC27D7" w:rsidP="00AC27D7">
      <w:pPr>
        <w:pStyle w:val="ListParagraph"/>
        <w:numPr>
          <w:ilvl w:val="0"/>
          <w:numId w:val="39"/>
        </w:numPr>
        <w:ind w:left="357" w:hanging="357"/>
        <w:rPr>
          <w:sz w:val="20"/>
        </w:rPr>
      </w:pPr>
      <w:r w:rsidRPr="00B02A31">
        <w:rPr>
          <w:i/>
          <w:sz w:val="20"/>
        </w:rPr>
        <w:t xml:space="preserve">Mei Sun also known as Sun Mei v. Teefy Developments (Bathurst Glen) Limited </w:t>
      </w:r>
      <w:r w:rsidRPr="00B02A31">
        <w:rPr>
          <w:sz w:val="20"/>
        </w:rPr>
        <w:t>(Ont.) (Civil) (By Leave) (</w:t>
      </w:r>
      <w:hyperlink r:id="rId10" w:history="1">
        <w:r w:rsidRPr="00B02A31">
          <w:rPr>
            <w:rStyle w:val="Hyperlink"/>
            <w:sz w:val="20"/>
            <w:szCs w:val="20"/>
          </w:rPr>
          <w:t>40</w:t>
        </w:r>
        <w:r w:rsidR="004A6EE8" w:rsidRPr="00B02A31">
          <w:rPr>
            <w:rStyle w:val="Hyperlink"/>
            <w:sz w:val="20"/>
            <w:szCs w:val="20"/>
          </w:rPr>
          <w:t>293</w:t>
        </w:r>
      </w:hyperlink>
      <w:r w:rsidRPr="00B02A31">
        <w:rPr>
          <w:sz w:val="20"/>
        </w:rPr>
        <w:t>)</w:t>
      </w:r>
    </w:p>
    <w:p w:rsidR="00AC27D7" w:rsidRPr="00B02A31" w:rsidRDefault="00AC27D7" w:rsidP="00AC27D7">
      <w:pPr>
        <w:ind w:left="357" w:hanging="357"/>
        <w:rPr>
          <w:sz w:val="20"/>
        </w:rPr>
      </w:pPr>
    </w:p>
    <w:p w:rsidR="00AC27D7" w:rsidRPr="00B02A31" w:rsidRDefault="00AC27D7" w:rsidP="00AC27D7">
      <w:pPr>
        <w:pStyle w:val="ListParagraph"/>
        <w:numPr>
          <w:ilvl w:val="0"/>
          <w:numId w:val="39"/>
        </w:numPr>
        <w:ind w:left="357" w:hanging="357"/>
        <w:rPr>
          <w:sz w:val="20"/>
        </w:rPr>
      </w:pPr>
      <w:r w:rsidRPr="00B02A31">
        <w:rPr>
          <w:i/>
          <w:sz w:val="20"/>
        </w:rPr>
        <w:t xml:space="preserve">Dmytro Firsov v. Canada (Attorney General) </w:t>
      </w:r>
      <w:r w:rsidRPr="00B02A31">
        <w:rPr>
          <w:sz w:val="20"/>
        </w:rPr>
        <w:t>(F.C.) (Civil) (By Leave) (</w:t>
      </w:r>
      <w:hyperlink r:id="rId11" w:history="1">
        <w:r w:rsidRPr="00B02A31">
          <w:rPr>
            <w:rStyle w:val="Hyperlink"/>
            <w:sz w:val="20"/>
            <w:szCs w:val="20"/>
          </w:rPr>
          <w:t>405</w:t>
        </w:r>
        <w:r w:rsidR="00B02A31" w:rsidRPr="00B02A31">
          <w:rPr>
            <w:rStyle w:val="Hyperlink"/>
            <w:sz w:val="20"/>
            <w:szCs w:val="20"/>
          </w:rPr>
          <w:t>47</w:t>
        </w:r>
      </w:hyperlink>
      <w:r w:rsidRPr="00B02A31">
        <w:rPr>
          <w:sz w:val="20"/>
        </w:rPr>
        <w:t>)</w:t>
      </w:r>
    </w:p>
    <w:p w:rsidR="0074008A" w:rsidRPr="00B02A31" w:rsidRDefault="0074008A" w:rsidP="00142166">
      <w:pPr>
        <w:jc w:val="both"/>
        <w:rPr>
          <w:sz w:val="20"/>
        </w:rPr>
      </w:pPr>
    </w:p>
    <w:p w:rsidR="0057402C" w:rsidRPr="00B02A31" w:rsidRDefault="00C33138" w:rsidP="00142166">
      <w:pPr>
        <w:widowControl w:val="0"/>
        <w:jc w:val="both"/>
        <w:rPr>
          <w:sz w:val="20"/>
        </w:rPr>
      </w:pPr>
      <w:r>
        <w:rPr>
          <w:sz w:val="20"/>
        </w:rPr>
        <w:pict>
          <v:rect id="_x0000_i1026" style="width:2in;height:1pt" o:hrpct="0" o:hralign="center" o:hrstd="t" o:hrnoshade="t" o:hr="t" fillcolor="black [3213]" stroked="f"/>
        </w:pict>
      </w:r>
    </w:p>
    <w:p w:rsidR="0014490F" w:rsidRPr="00B02A31" w:rsidRDefault="0014490F" w:rsidP="004A6EE8">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A6EE8" w:rsidRPr="00B02A31" w:rsidTr="00E95A6A">
        <w:tc>
          <w:tcPr>
            <w:tcW w:w="543" w:type="pct"/>
          </w:tcPr>
          <w:p w:rsidR="004A6EE8" w:rsidRPr="00B02A31" w:rsidRDefault="004A6EE8" w:rsidP="004A6EE8">
            <w:pPr>
              <w:jc w:val="both"/>
              <w:rPr>
                <w:sz w:val="20"/>
                <w:lang w:val="en-CA"/>
              </w:rPr>
            </w:pPr>
            <w:r w:rsidRPr="00B02A31">
              <w:rPr>
                <w:rStyle w:val="SCCFileNumberChar"/>
                <w:sz w:val="20"/>
                <w:szCs w:val="20"/>
              </w:rPr>
              <w:t>40357</w:t>
            </w:r>
          </w:p>
        </w:tc>
        <w:tc>
          <w:tcPr>
            <w:tcW w:w="4457" w:type="pct"/>
            <w:gridSpan w:val="3"/>
          </w:tcPr>
          <w:p w:rsidR="004A6EE8" w:rsidRPr="00B02A31" w:rsidRDefault="004A6EE8" w:rsidP="004A6EE8">
            <w:pPr>
              <w:pStyle w:val="SCCLsocParty"/>
              <w:jc w:val="both"/>
              <w:rPr>
                <w:b/>
                <w:sz w:val="20"/>
                <w:szCs w:val="20"/>
                <w:lang w:val="en-CA"/>
              </w:rPr>
            </w:pPr>
            <w:r w:rsidRPr="00B02A31">
              <w:rPr>
                <w:b/>
                <w:sz w:val="20"/>
                <w:szCs w:val="20"/>
                <w:lang w:val="en-CA"/>
              </w:rPr>
              <w:t>X v. His Majesty the King</w:t>
            </w:r>
          </w:p>
          <w:p w:rsidR="004A6EE8" w:rsidRPr="00B02A31" w:rsidRDefault="004A6EE8" w:rsidP="004A6EE8">
            <w:pPr>
              <w:jc w:val="both"/>
              <w:rPr>
                <w:sz w:val="20"/>
                <w:lang w:val="en-CA"/>
              </w:rPr>
            </w:pPr>
            <w:r w:rsidRPr="00B02A31">
              <w:rPr>
                <w:sz w:val="20"/>
                <w:lang w:val="en-CA"/>
              </w:rPr>
              <w:t>(Que.) (Criminal) (By leave)</w:t>
            </w:r>
          </w:p>
        </w:tc>
      </w:tr>
      <w:tr w:rsidR="004A6EE8" w:rsidRPr="00B02A31" w:rsidTr="00E95A6A">
        <w:tc>
          <w:tcPr>
            <w:tcW w:w="5000" w:type="pct"/>
            <w:gridSpan w:val="4"/>
          </w:tcPr>
          <w:p w:rsidR="004A6EE8" w:rsidRPr="00B02A31" w:rsidRDefault="004A6EE8" w:rsidP="004A6EE8">
            <w:pPr>
              <w:pStyle w:val="SCCBanSummary"/>
              <w:rPr>
                <w:sz w:val="20"/>
                <w:szCs w:val="20"/>
              </w:rPr>
            </w:pPr>
            <w:r w:rsidRPr="00B02A31">
              <w:rPr>
                <w:sz w:val="20"/>
                <w:szCs w:val="20"/>
              </w:rPr>
              <w:t>(Publication ban in case)</w:t>
            </w:r>
          </w:p>
          <w:p w:rsidR="004A6EE8" w:rsidRPr="00B02A31" w:rsidRDefault="004A6EE8" w:rsidP="004A6EE8">
            <w:pPr>
              <w:jc w:val="both"/>
              <w:rPr>
                <w:sz w:val="20"/>
                <w:lang w:val="en-CA"/>
              </w:rPr>
            </w:pPr>
          </w:p>
          <w:p w:rsidR="004A6EE8" w:rsidRPr="00B02A31" w:rsidRDefault="004A6EE8" w:rsidP="004A6EE8">
            <w:pPr>
              <w:jc w:val="both"/>
              <w:rPr>
                <w:sz w:val="20"/>
                <w:lang w:val="en-CA"/>
              </w:rPr>
            </w:pPr>
            <w:proofErr w:type="gramStart"/>
            <w:r w:rsidRPr="00B02A31">
              <w:rPr>
                <w:sz w:val="20"/>
                <w:lang w:val="en-CA"/>
              </w:rPr>
              <w:t xml:space="preserve">Criminal law — Young persons — Sentencing — Dangerous offenders — Indeterminate sentence — Assessment order — Whether s. 74(1) of </w:t>
            </w:r>
            <w:r w:rsidRPr="00B02A31">
              <w:rPr>
                <w:i/>
                <w:sz w:val="20"/>
                <w:lang w:val="en-CA"/>
              </w:rPr>
              <w:t>Youth Criminal Justice Act</w:t>
            </w:r>
            <w:r w:rsidRPr="00B02A31">
              <w:rPr>
                <w:sz w:val="20"/>
                <w:lang w:val="en-CA"/>
              </w:rPr>
              <w:t xml:space="preserve">, which provides for application of Parts XXIII and XXIV of </w:t>
            </w:r>
            <w:r w:rsidRPr="00B02A31">
              <w:rPr>
                <w:i/>
                <w:sz w:val="20"/>
                <w:lang w:val="en-CA"/>
              </w:rPr>
              <w:t>Criminal</w:t>
            </w:r>
            <w:r w:rsidRPr="00B02A31">
              <w:rPr>
                <w:sz w:val="20"/>
                <w:lang w:val="en-CA"/>
              </w:rPr>
              <w:t xml:space="preserve"> Code to young person on whom adult sentence is imposed, is contrary to ss. 7, 12 and 15(1) of </w:t>
            </w:r>
            <w:r w:rsidRPr="00B02A31">
              <w:rPr>
                <w:i/>
                <w:sz w:val="20"/>
                <w:lang w:val="en-CA"/>
              </w:rPr>
              <w:t>Charter</w:t>
            </w:r>
            <w:r w:rsidRPr="00B02A31">
              <w:rPr>
                <w:sz w:val="20"/>
                <w:lang w:val="en-CA"/>
              </w:rPr>
              <w:t xml:space="preserve"> — If so, whether infringements are saved by s. 1 — Whether dangerous offender designation and sentence of indeterminate detention imposed on young offender sentenced as adult and later imposed on him when he had just reached age of majority were unreasonable — Whether trial judges had power to order assessment under s. 752.1 </w:t>
            </w:r>
            <w:r w:rsidRPr="00B02A31">
              <w:rPr>
                <w:i/>
                <w:sz w:val="20"/>
                <w:lang w:val="en-CA"/>
              </w:rPr>
              <w:t>Cr. C.</w:t>
            </w:r>
            <w:r w:rsidRPr="00B02A31">
              <w:rPr>
                <w:sz w:val="20"/>
                <w:lang w:val="en-CA"/>
              </w:rPr>
              <w:t xml:space="preserve"> in light of coming into force of new s. 752.01 </w:t>
            </w:r>
            <w:r w:rsidRPr="00B02A31">
              <w:rPr>
                <w:i/>
                <w:sz w:val="20"/>
                <w:lang w:val="en-CA"/>
              </w:rPr>
              <w:t>Cr. C.</w:t>
            </w:r>
            <w:r w:rsidRPr="00B02A31">
              <w:rPr>
                <w:sz w:val="20"/>
                <w:lang w:val="en-CA"/>
              </w:rPr>
              <w:t xml:space="preserve"> — Whether Quebec Court of Appeal erred in law in stating at very end of its judgment that its decision might have been different if it had been informed of applicant’s current situation since his incarceration in penitentiary — </w:t>
            </w:r>
            <w:r w:rsidRPr="00B02A31">
              <w:rPr>
                <w:i/>
                <w:sz w:val="20"/>
                <w:lang w:val="en-CA"/>
              </w:rPr>
              <w:t>Youth Criminal Justice Act</w:t>
            </w:r>
            <w:r w:rsidRPr="00B02A31">
              <w:rPr>
                <w:sz w:val="20"/>
                <w:lang w:val="en-CA"/>
              </w:rPr>
              <w:t xml:space="preserve">, S.C. 2002, c. 1, s. 74(1) — </w:t>
            </w:r>
            <w:r w:rsidRPr="00B02A31">
              <w:rPr>
                <w:i/>
                <w:sz w:val="20"/>
                <w:lang w:val="en-CA"/>
              </w:rPr>
              <w:t>Criminal Code</w:t>
            </w:r>
            <w:r w:rsidRPr="00B02A31">
              <w:rPr>
                <w:sz w:val="20"/>
                <w:lang w:val="en-CA"/>
              </w:rPr>
              <w:t>, R.S.C. 1985, c. C-</w:t>
            </w:r>
            <w:r w:rsidRPr="00B02A31">
              <w:rPr>
                <w:sz w:val="20"/>
                <w:lang w:val="en-CA"/>
              </w:rPr>
              <w:softHyphen/>
              <w:t>46, ss. 752.01, 752.1.</w:t>
            </w:r>
            <w:proofErr w:type="gramEnd"/>
          </w:p>
        </w:tc>
      </w:tr>
      <w:tr w:rsidR="004A6EE8" w:rsidRPr="00B02A31" w:rsidTr="00E95A6A">
        <w:tc>
          <w:tcPr>
            <w:tcW w:w="5000" w:type="pct"/>
            <w:gridSpan w:val="4"/>
          </w:tcPr>
          <w:p w:rsidR="004A6EE8" w:rsidRPr="00B02A31" w:rsidRDefault="004A6EE8" w:rsidP="004A6EE8">
            <w:pPr>
              <w:jc w:val="both"/>
              <w:rPr>
                <w:sz w:val="20"/>
                <w:lang w:val="en-CA"/>
              </w:rPr>
            </w:pPr>
          </w:p>
        </w:tc>
      </w:tr>
      <w:tr w:rsidR="004A6EE8" w:rsidRPr="00B02A31" w:rsidTr="00E95A6A">
        <w:tc>
          <w:tcPr>
            <w:tcW w:w="5000" w:type="pct"/>
            <w:gridSpan w:val="4"/>
          </w:tcPr>
          <w:p w:rsidR="004A6EE8" w:rsidRPr="00B02A31" w:rsidRDefault="004A6EE8" w:rsidP="004A6EE8">
            <w:pPr>
              <w:jc w:val="both"/>
              <w:rPr>
                <w:sz w:val="20"/>
                <w:lang w:val="en-CA"/>
              </w:rPr>
            </w:pPr>
            <w:r w:rsidRPr="00B02A31">
              <w:rPr>
                <w:sz w:val="20"/>
                <w:lang w:val="en-CA"/>
              </w:rPr>
              <w:lastRenderedPageBreak/>
              <w:t>On May 8, 2008, Judge Hurtubise of the Court of Québec (Youth Division) convicted the applicant of being a party to sexual assault with other persons and of forcibly confining the victim. The same day, he convicted the applicant of two other sexual assaults against two different minor victims and of threatening one of them with bodily harm. The prosecution applied to have the applicant sentenced as an adult, which he did not contest.</w:t>
            </w:r>
          </w:p>
          <w:p w:rsidR="004A6EE8" w:rsidRPr="00B02A31" w:rsidRDefault="004A6EE8" w:rsidP="004A6EE8">
            <w:pPr>
              <w:jc w:val="both"/>
              <w:rPr>
                <w:sz w:val="20"/>
                <w:lang w:val="en-CA"/>
              </w:rPr>
            </w:pPr>
          </w:p>
          <w:p w:rsidR="004A6EE8" w:rsidRPr="00B02A31" w:rsidRDefault="004A6EE8" w:rsidP="004A6EE8">
            <w:pPr>
              <w:jc w:val="both"/>
              <w:rPr>
                <w:sz w:val="20"/>
                <w:lang w:val="en-CA"/>
              </w:rPr>
            </w:pPr>
            <w:r w:rsidRPr="00B02A31">
              <w:rPr>
                <w:sz w:val="20"/>
                <w:lang w:val="en-CA"/>
              </w:rPr>
              <w:t>On September 24, 2008, Judge Boisvert of the Court of Québec (Criminal and Penal Division) convicted the applicant of entering a dwelling house and committing sexual assault therein. He also convicted him of forcible confinement.</w:t>
            </w:r>
          </w:p>
          <w:p w:rsidR="004A6EE8" w:rsidRPr="00B02A31" w:rsidRDefault="004A6EE8" w:rsidP="004A6EE8">
            <w:pPr>
              <w:jc w:val="both"/>
              <w:rPr>
                <w:sz w:val="20"/>
                <w:lang w:val="en-CA"/>
              </w:rPr>
            </w:pPr>
          </w:p>
          <w:p w:rsidR="004A6EE8" w:rsidRPr="00B02A31" w:rsidRDefault="004A6EE8" w:rsidP="004A6EE8">
            <w:pPr>
              <w:jc w:val="both"/>
              <w:rPr>
                <w:sz w:val="20"/>
                <w:lang w:val="en-CA"/>
              </w:rPr>
            </w:pPr>
            <w:r w:rsidRPr="00B02A31">
              <w:rPr>
                <w:sz w:val="20"/>
                <w:lang w:val="en-CA"/>
              </w:rPr>
              <w:t>On September 30, 2009, Judge Hurtubise found the applicant to be a dangerous offender and sentenced him to imprisonment for an indeterminate period for the offences he had committed as a young person. On October 15, 2009, Judge Boisvert found the applicant to be a dangerous offender and sentenced him to imprisonment for an indeterminate period for the offences he had committed after becoming an adult.</w:t>
            </w:r>
          </w:p>
          <w:p w:rsidR="004A6EE8" w:rsidRPr="00B02A31" w:rsidRDefault="004A6EE8" w:rsidP="004A6EE8">
            <w:pPr>
              <w:jc w:val="both"/>
              <w:rPr>
                <w:sz w:val="20"/>
                <w:lang w:val="en-CA"/>
              </w:rPr>
            </w:pPr>
          </w:p>
          <w:p w:rsidR="004A6EE8" w:rsidRPr="00B02A31" w:rsidRDefault="004A6EE8" w:rsidP="004A6EE8">
            <w:pPr>
              <w:jc w:val="both"/>
              <w:rPr>
                <w:sz w:val="20"/>
                <w:lang w:val="en-CA"/>
              </w:rPr>
            </w:pPr>
            <w:r w:rsidRPr="00B02A31">
              <w:rPr>
                <w:sz w:val="20"/>
                <w:lang w:val="en-CA"/>
              </w:rPr>
              <w:t>The applicant appealed the two dangerous offender designations. The Court of Appeal dismissed the appeals.</w:t>
            </w:r>
          </w:p>
          <w:p w:rsidR="004A6EE8" w:rsidRPr="00B02A31" w:rsidRDefault="004A6EE8" w:rsidP="004A6EE8">
            <w:pPr>
              <w:jc w:val="both"/>
              <w:rPr>
                <w:sz w:val="20"/>
                <w:lang w:val="en-CA"/>
              </w:rPr>
            </w:pPr>
          </w:p>
        </w:tc>
      </w:tr>
      <w:tr w:rsidR="004A6EE8" w:rsidRPr="00B02A31" w:rsidTr="00E95A6A">
        <w:tc>
          <w:tcPr>
            <w:tcW w:w="2427" w:type="pct"/>
            <w:gridSpan w:val="2"/>
          </w:tcPr>
          <w:p w:rsidR="004A6EE8" w:rsidRPr="00B02A31" w:rsidRDefault="004A6EE8" w:rsidP="004A6EE8">
            <w:pPr>
              <w:jc w:val="both"/>
              <w:rPr>
                <w:sz w:val="20"/>
                <w:lang w:val="en-CA"/>
              </w:rPr>
            </w:pPr>
            <w:r w:rsidRPr="00B02A31">
              <w:rPr>
                <w:sz w:val="20"/>
                <w:lang w:val="en-CA"/>
              </w:rPr>
              <w:t>September 30, 2009</w:t>
            </w:r>
          </w:p>
          <w:p w:rsidR="004A6EE8" w:rsidRPr="00B02A31" w:rsidRDefault="004A6EE8" w:rsidP="004A6EE8">
            <w:pPr>
              <w:jc w:val="both"/>
              <w:rPr>
                <w:sz w:val="20"/>
                <w:lang w:val="en-CA"/>
              </w:rPr>
            </w:pPr>
            <w:r w:rsidRPr="00B02A31">
              <w:rPr>
                <w:sz w:val="20"/>
                <w:lang w:val="en-CA"/>
              </w:rPr>
              <w:t>Court of Québec</w:t>
            </w:r>
          </w:p>
          <w:p w:rsidR="004A6EE8" w:rsidRPr="00B02A31" w:rsidRDefault="004A6EE8" w:rsidP="004A6EE8">
            <w:pPr>
              <w:jc w:val="both"/>
              <w:rPr>
                <w:sz w:val="20"/>
                <w:lang w:val="en-CA"/>
              </w:rPr>
            </w:pPr>
            <w:r w:rsidRPr="00B02A31">
              <w:rPr>
                <w:sz w:val="20"/>
                <w:lang w:val="en-CA"/>
              </w:rPr>
              <w:t>(Judge Hurtubise)</w:t>
            </w:r>
          </w:p>
          <w:p w:rsidR="004A6EE8" w:rsidRPr="00B02A31" w:rsidRDefault="00C33138" w:rsidP="004A6EE8">
            <w:pPr>
              <w:jc w:val="both"/>
              <w:rPr>
                <w:sz w:val="20"/>
                <w:lang w:val="en-CA"/>
              </w:rPr>
            </w:pPr>
            <w:hyperlink r:id="rId12" w:history="1">
              <w:r w:rsidR="004A6EE8" w:rsidRPr="00B02A31">
                <w:rPr>
                  <w:rStyle w:val="Hyperlink"/>
                  <w:sz w:val="20"/>
                  <w:lang w:val="en-CA"/>
                </w:rPr>
                <w:t>2009 QCCQ 16660</w:t>
              </w:r>
            </w:hyperlink>
          </w:p>
          <w:p w:rsidR="004A6EE8" w:rsidRPr="00B02A31" w:rsidRDefault="004A6EE8" w:rsidP="004A6EE8">
            <w:pPr>
              <w:jc w:val="both"/>
              <w:rPr>
                <w:sz w:val="20"/>
                <w:lang w:val="en-CA"/>
              </w:rPr>
            </w:pPr>
          </w:p>
        </w:tc>
        <w:tc>
          <w:tcPr>
            <w:tcW w:w="243" w:type="pct"/>
          </w:tcPr>
          <w:p w:rsidR="004A6EE8" w:rsidRPr="00B02A31" w:rsidRDefault="004A6EE8" w:rsidP="004A6EE8">
            <w:pPr>
              <w:jc w:val="both"/>
              <w:rPr>
                <w:sz w:val="20"/>
                <w:lang w:val="en-CA"/>
              </w:rPr>
            </w:pPr>
          </w:p>
        </w:tc>
        <w:tc>
          <w:tcPr>
            <w:tcW w:w="2330" w:type="pct"/>
          </w:tcPr>
          <w:p w:rsidR="004A6EE8" w:rsidRPr="00B02A31" w:rsidRDefault="004A6EE8" w:rsidP="004A6EE8">
            <w:pPr>
              <w:jc w:val="both"/>
              <w:rPr>
                <w:sz w:val="20"/>
                <w:lang w:val="en-CA"/>
              </w:rPr>
            </w:pPr>
            <w:r w:rsidRPr="00B02A31">
              <w:rPr>
                <w:sz w:val="20"/>
                <w:lang w:val="en-CA"/>
              </w:rPr>
              <w:t>Applicant found to be dangerous offender and sentenced to imprisonment for indeterminate period</w:t>
            </w:r>
          </w:p>
        </w:tc>
      </w:tr>
      <w:tr w:rsidR="004A6EE8" w:rsidRPr="00B02A31" w:rsidTr="00E95A6A">
        <w:tc>
          <w:tcPr>
            <w:tcW w:w="2427" w:type="pct"/>
            <w:gridSpan w:val="2"/>
          </w:tcPr>
          <w:p w:rsidR="004A6EE8" w:rsidRPr="00B02A31" w:rsidRDefault="004A6EE8" w:rsidP="004A6EE8">
            <w:pPr>
              <w:jc w:val="both"/>
              <w:rPr>
                <w:sz w:val="20"/>
                <w:lang w:val="en-CA"/>
              </w:rPr>
            </w:pPr>
            <w:r w:rsidRPr="00B02A31">
              <w:rPr>
                <w:sz w:val="20"/>
                <w:lang w:val="en-CA"/>
              </w:rPr>
              <w:t>October 15, 2009</w:t>
            </w:r>
          </w:p>
          <w:p w:rsidR="004A6EE8" w:rsidRPr="00B02A31" w:rsidRDefault="004A6EE8" w:rsidP="004A6EE8">
            <w:pPr>
              <w:jc w:val="both"/>
              <w:rPr>
                <w:sz w:val="20"/>
                <w:lang w:val="en-CA"/>
              </w:rPr>
            </w:pPr>
            <w:r w:rsidRPr="00B02A31">
              <w:rPr>
                <w:sz w:val="20"/>
                <w:lang w:val="en-CA"/>
              </w:rPr>
              <w:t>Court of Québec</w:t>
            </w:r>
          </w:p>
          <w:p w:rsidR="004A6EE8" w:rsidRPr="00B02A31" w:rsidRDefault="004A6EE8" w:rsidP="004A6EE8">
            <w:pPr>
              <w:jc w:val="both"/>
              <w:rPr>
                <w:sz w:val="20"/>
                <w:lang w:val="en-CA"/>
              </w:rPr>
            </w:pPr>
            <w:r w:rsidRPr="00B02A31">
              <w:rPr>
                <w:sz w:val="20"/>
                <w:lang w:val="en-CA"/>
              </w:rPr>
              <w:t>(Judge Boisvert)</w:t>
            </w:r>
          </w:p>
          <w:p w:rsidR="004A6EE8" w:rsidRPr="00B02A31" w:rsidRDefault="004A6EE8" w:rsidP="004A6EE8">
            <w:pPr>
              <w:jc w:val="both"/>
              <w:rPr>
                <w:sz w:val="20"/>
                <w:lang w:val="en-CA"/>
              </w:rPr>
            </w:pPr>
            <w:r w:rsidRPr="00B02A31">
              <w:rPr>
                <w:sz w:val="20"/>
                <w:lang w:val="en-CA"/>
              </w:rPr>
              <w:t>500-01-004354-079</w:t>
            </w:r>
          </w:p>
          <w:p w:rsidR="004A6EE8" w:rsidRPr="00B02A31" w:rsidRDefault="004A6EE8" w:rsidP="004A6EE8">
            <w:pPr>
              <w:jc w:val="both"/>
              <w:rPr>
                <w:sz w:val="20"/>
                <w:lang w:val="en-CA"/>
              </w:rPr>
            </w:pPr>
          </w:p>
        </w:tc>
        <w:tc>
          <w:tcPr>
            <w:tcW w:w="243" w:type="pct"/>
          </w:tcPr>
          <w:p w:rsidR="004A6EE8" w:rsidRPr="00B02A31" w:rsidRDefault="004A6EE8" w:rsidP="004A6EE8">
            <w:pPr>
              <w:jc w:val="both"/>
              <w:rPr>
                <w:sz w:val="20"/>
                <w:lang w:val="en-CA"/>
              </w:rPr>
            </w:pPr>
          </w:p>
        </w:tc>
        <w:tc>
          <w:tcPr>
            <w:tcW w:w="2330" w:type="pct"/>
          </w:tcPr>
          <w:p w:rsidR="004A6EE8" w:rsidRPr="00B02A31" w:rsidRDefault="004A6EE8" w:rsidP="004A6EE8">
            <w:pPr>
              <w:jc w:val="both"/>
              <w:rPr>
                <w:sz w:val="20"/>
                <w:lang w:val="en-CA"/>
              </w:rPr>
            </w:pPr>
            <w:r w:rsidRPr="00B02A31">
              <w:rPr>
                <w:sz w:val="20"/>
                <w:lang w:val="en-CA"/>
              </w:rPr>
              <w:t>Applicant found to be dangerous offender and sentenced to imprisonment for indeterminate period</w:t>
            </w:r>
          </w:p>
        </w:tc>
      </w:tr>
      <w:tr w:rsidR="004A6EE8" w:rsidRPr="00B02A31" w:rsidTr="00E95A6A">
        <w:tc>
          <w:tcPr>
            <w:tcW w:w="2427" w:type="pct"/>
            <w:gridSpan w:val="2"/>
          </w:tcPr>
          <w:p w:rsidR="004A6EE8" w:rsidRPr="00B02A31" w:rsidRDefault="004A6EE8" w:rsidP="004A6EE8">
            <w:pPr>
              <w:jc w:val="both"/>
              <w:rPr>
                <w:sz w:val="20"/>
                <w:lang w:val="en-CA"/>
              </w:rPr>
            </w:pPr>
            <w:r w:rsidRPr="00B02A31">
              <w:rPr>
                <w:sz w:val="20"/>
                <w:lang w:val="en-CA"/>
              </w:rPr>
              <w:t>February 17, 2014</w:t>
            </w:r>
          </w:p>
          <w:p w:rsidR="004A6EE8" w:rsidRPr="00B02A31" w:rsidRDefault="004A6EE8" w:rsidP="004A6EE8">
            <w:pPr>
              <w:jc w:val="both"/>
              <w:rPr>
                <w:sz w:val="20"/>
                <w:lang w:val="en-CA"/>
              </w:rPr>
            </w:pPr>
            <w:r w:rsidRPr="00B02A31">
              <w:rPr>
                <w:sz w:val="20"/>
                <w:lang w:val="en-CA"/>
              </w:rPr>
              <w:t>Quebec Court of Appeal (Montréal)</w:t>
            </w:r>
          </w:p>
          <w:p w:rsidR="004A6EE8" w:rsidRPr="00B02A31" w:rsidRDefault="004A6EE8" w:rsidP="004A6EE8">
            <w:pPr>
              <w:jc w:val="both"/>
              <w:rPr>
                <w:sz w:val="20"/>
                <w:lang w:val="en-CA"/>
              </w:rPr>
            </w:pPr>
            <w:r w:rsidRPr="00B02A31">
              <w:rPr>
                <w:sz w:val="20"/>
                <w:lang w:val="en-CA"/>
              </w:rPr>
              <w:t>(Bich, Gagnon and Savard JJ.A.)</w:t>
            </w:r>
          </w:p>
          <w:bookmarkStart w:id="0" w:name="_Hlk132707256"/>
          <w:p w:rsidR="004A6EE8" w:rsidRPr="00B02A31" w:rsidRDefault="004A6EE8" w:rsidP="004A6EE8">
            <w:pPr>
              <w:jc w:val="both"/>
              <w:rPr>
                <w:sz w:val="20"/>
                <w:lang w:val="en-CA"/>
              </w:rPr>
            </w:pPr>
            <w:r w:rsidRPr="00B02A31">
              <w:rPr>
                <w:sz w:val="20"/>
                <w:lang w:val="en-CA"/>
              </w:rPr>
              <w:fldChar w:fldCharType="begin"/>
            </w:r>
            <w:r w:rsidRPr="00B02A31">
              <w:rPr>
                <w:sz w:val="20"/>
                <w:lang w:val="en-CA"/>
              </w:rPr>
              <w:instrText>HYPERLINK "https://canlii.ca/t/g84c2"</w:instrText>
            </w:r>
            <w:r w:rsidRPr="00B02A31">
              <w:rPr>
                <w:sz w:val="20"/>
                <w:lang w:val="en-CA"/>
              </w:rPr>
              <w:fldChar w:fldCharType="separate"/>
            </w:r>
            <w:r w:rsidRPr="00B02A31">
              <w:rPr>
                <w:rStyle w:val="Hyperlink"/>
                <w:sz w:val="20"/>
                <w:lang w:val="en-CA"/>
              </w:rPr>
              <w:t>2014 QCCA 303</w:t>
            </w:r>
            <w:r w:rsidRPr="00B02A31">
              <w:rPr>
                <w:sz w:val="20"/>
                <w:lang w:val="en-CA"/>
              </w:rPr>
              <w:fldChar w:fldCharType="end"/>
            </w:r>
          </w:p>
          <w:bookmarkEnd w:id="0"/>
          <w:p w:rsidR="004A6EE8" w:rsidRPr="00B02A31" w:rsidRDefault="004A6EE8" w:rsidP="004A6EE8">
            <w:pPr>
              <w:jc w:val="both"/>
              <w:rPr>
                <w:sz w:val="20"/>
                <w:lang w:val="en-CA"/>
              </w:rPr>
            </w:pPr>
          </w:p>
        </w:tc>
        <w:tc>
          <w:tcPr>
            <w:tcW w:w="243" w:type="pct"/>
          </w:tcPr>
          <w:p w:rsidR="004A6EE8" w:rsidRPr="00B02A31" w:rsidRDefault="004A6EE8" w:rsidP="004A6EE8">
            <w:pPr>
              <w:jc w:val="both"/>
              <w:rPr>
                <w:sz w:val="20"/>
                <w:lang w:val="en-CA"/>
              </w:rPr>
            </w:pPr>
          </w:p>
        </w:tc>
        <w:tc>
          <w:tcPr>
            <w:tcW w:w="2330" w:type="pct"/>
          </w:tcPr>
          <w:p w:rsidR="004A6EE8" w:rsidRPr="00B02A31" w:rsidRDefault="004A6EE8" w:rsidP="004A6EE8">
            <w:pPr>
              <w:jc w:val="both"/>
              <w:rPr>
                <w:sz w:val="20"/>
                <w:lang w:val="en-CA"/>
              </w:rPr>
            </w:pPr>
            <w:r w:rsidRPr="00B02A31">
              <w:rPr>
                <w:sz w:val="20"/>
                <w:lang w:val="en-CA"/>
              </w:rPr>
              <w:t>Appeal dismissed</w:t>
            </w:r>
          </w:p>
          <w:p w:rsidR="004A6EE8" w:rsidRPr="00B02A31" w:rsidRDefault="004A6EE8" w:rsidP="004A6EE8">
            <w:pPr>
              <w:jc w:val="both"/>
              <w:rPr>
                <w:sz w:val="20"/>
                <w:lang w:val="en-CA"/>
              </w:rPr>
            </w:pPr>
          </w:p>
        </w:tc>
      </w:tr>
      <w:tr w:rsidR="004A6EE8" w:rsidRPr="00B02A31" w:rsidTr="00E95A6A">
        <w:tc>
          <w:tcPr>
            <w:tcW w:w="2427" w:type="pct"/>
            <w:gridSpan w:val="2"/>
          </w:tcPr>
          <w:p w:rsidR="004A6EE8" w:rsidRPr="00B02A31" w:rsidRDefault="004A6EE8" w:rsidP="004A6EE8">
            <w:pPr>
              <w:jc w:val="both"/>
              <w:rPr>
                <w:sz w:val="20"/>
                <w:lang w:val="en-CA"/>
              </w:rPr>
            </w:pPr>
            <w:r w:rsidRPr="00B02A31">
              <w:rPr>
                <w:sz w:val="20"/>
                <w:lang w:val="en-CA"/>
              </w:rPr>
              <w:t>September 12, 2022</w:t>
            </w:r>
          </w:p>
          <w:p w:rsidR="004A6EE8" w:rsidRPr="00B02A31" w:rsidRDefault="004A6EE8" w:rsidP="004A6EE8">
            <w:pPr>
              <w:jc w:val="both"/>
              <w:rPr>
                <w:sz w:val="20"/>
                <w:lang w:val="en-CA"/>
              </w:rPr>
            </w:pPr>
            <w:r w:rsidRPr="00B02A31">
              <w:rPr>
                <w:sz w:val="20"/>
                <w:lang w:val="en-CA"/>
              </w:rPr>
              <w:t>Supreme Court of Canada</w:t>
            </w:r>
          </w:p>
          <w:p w:rsidR="004A6EE8" w:rsidRPr="00B02A31" w:rsidRDefault="004A6EE8" w:rsidP="004A6EE8">
            <w:pPr>
              <w:jc w:val="both"/>
              <w:rPr>
                <w:sz w:val="20"/>
                <w:lang w:val="en-CA"/>
              </w:rPr>
            </w:pPr>
          </w:p>
        </w:tc>
        <w:tc>
          <w:tcPr>
            <w:tcW w:w="243" w:type="pct"/>
          </w:tcPr>
          <w:p w:rsidR="004A6EE8" w:rsidRPr="00B02A31" w:rsidRDefault="004A6EE8" w:rsidP="004A6EE8">
            <w:pPr>
              <w:jc w:val="both"/>
              <w:rPr>
                <w:sz w:val="20"/>
                <w:lang w:val="en-CA"/>
              </w:rPr>
            </w:pPr>
          </w:p>
        </w:tc>
        <w:tc>
          <w:tcPr>
            <w:tcW w:w="2330" w:type="pct"/>
          </w:tcPr>
          <w:p w:rsidR="004A6EE8" w:rsidRPr="00B02A31" w:rsidRDefault="004A6EE8" w:rsidP="004A6EE8">
            <w:pPr>
              <w:jc w:val="both"/>
              <w:rPr>
                <w:sz w:val="20"/>
                <w:lang w:val="en-CA"/>
              </w:rPr>
            </w:pPr>
            <w:r w:rsidRPr="00B02A31">
              <w:rPr>
                <w:sz w:val="20"/>
                <w:lang w:val="en-CA"/>
              </w:rPr>
              <w:t>Application for leave to appeal and motion to extend time to serve and file application for leave to appeal filed</w:t>
            </w:r>
          </w:p>
        </w:tc>
      </w:tr>
    </w:tbl>
    <w:p w:rsidR="004A6EE8" w:rsidRPr="00B02A31" w:rsidRDefault="004A6EE8" w:rsidP="004A6EE8">
      <w:pPr>
        <w:jc w:val="both"/>
        <w:rPr>
          <w:sz w:val="20"/>
          <w:lang w:val="en-CA"/>
        </w:rPr>
      </w:pPr>
    </w:p>
    <w:p w:rsidR="00B02A31" w:rsidRPr="00B02A31" w:rsidRDefault="00C33138" w:rsidP="004A6EE8">
      <w:pPr>
        <w:jc w:val="both"/>
        <w:rPr>
          <w:sz w:val="20"/>
          <w:lang w:val="en-CA"/>
        </w:rPr>
      </w:pPr>
      <w:r>
        <w:rPr>
          <w:sz w:val="20"/>
        </w:rPr>
        <w:pict>
          <v:rect id="_x0000_i1027" style="width:2in;height:1pt" o:hrpct="0" o:hralign="center" o:hrstd="t" o:hrnoshade="t" o:hr="t" fillcolor="black [3213]" stroked="f"/>
        </w:pict>
      </w:r>
    </w:p>
    <w:p w:rsidR="00B02A31" w:rsidRPr="00B02A31" w:rsidRDefault="00B02A31" w:rsidP="004A6EE8">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A6EE8" w:rsidRPr="00B02A31" w:rsidTr="00E95A6A">
        <w:tc>
          <w:tcPr>
            <w:tcW w:w="543" w:type="pct"/>
          </w:tcPr>
          <w:p w:rsidR="004A6EE8" w:rsidRPr="00B02A31" w:rsidRDefault="004A6EE8" w:rsidP="004A6EE8">
            <w:pPr>
              <w:jc w:val="both"/>
              <w:rPr>
                <w:sz w:val="20"/>
              </w:rPr>
            </w:pPr>
            <w:r w:rsidRPr="00B02A31">
              <w:rPr>
                <w:rStyle w:val="SCCFileNumberChar"/>
                <w:sz w:val="20"/>
                <w:szCs w:val="20"/>
              </w:rPr>
              <w:t>40357</w:t>
            </w:r>
          </w:p>
        </w:tc>
        <w:tc>
          <w:tcPr>
            <w:tcW w:w="4457" w:type="pct"/>
            <w:gridSpan w:val="3"/>
          </w:tcPr>
          <w:p w:rsidR="004A6EE8" w:rsidRPr="00B02A31" w:rsidRDefault="004A6EE8" w:rsidP="004A6EE8">
            <w:pPr>
              <w:pStyle w:val="SCCLsocParty"/>
              <w:jc w:val="both"/>
              <w:rPr>
                <w:b/>
                <w:sz w:val="20"/>
                <w:szCs w:val="20"/>
              </w:rPr>
            </w:pPr>
            <w:r w:rsidRPr="00B02A31">
              <w:rPr>
                <w:b/>
                <w:sz w:val="20"/>
                <w:szCs w:val="20"/>
              </w:rPr>
              <w:t>X c. Sa Majesté le Roi</w:t>
            </w:r>
          </w:p>
          <w:p w:rsidR="004A6EE8" w:rsidRPr="00B02A31" w:rsidRDefault="004A6EE8" w:rsidP="00B02A31">
            <w:pPr>
              <w:jc w:val="both"/>
              <w:rPr>
                <w:sz w:val="20"/>
              </w:rPr>
            </w:pPr>
            <w:r w:rsidRPr="00B02A31">
              <w:rPr>
                <w:sz w:val="20"/>
              </w:rPr>
              <w:t>(Qc) (Criminelle) (Autorisation)</w:t>
            </w:r>
          </w:p>
        </w:tc>
      </w:tr>
      <w:tr w:rsidR="004A6EE8" w:rsidRPr="00C33138" w:rsidTr="00E95A6A">
        <w:tc>
          <w:tcPr>
            <w:tcW w:w="5000" w:type="pct"/>
            <w:gridSpan w:val="4"/>
          </w:tcPr>
          <w:p w:rsidR="004A6EE8" w:rsidRPr="00B02A31" w:rsidRDefault="004A6EE8" w:rsidP="004A6EE8">
            <w:pPr>
              <w:pStyle w:val="SCCBanSummary"/>
              <w:rPr>
                <w:sz w:val="20"/>
                <w:szCs w:val="20"/>
                <w:lang w:val="fr-CA"/>
              </w:rPr>
            </w:pPr>
            <w:r w:rsidRPr="00B02A31">
              <w:rPr>
                <w:sz w:val="20"/>
                <w:szCs w:val="20"/>
                <w:lang w:val="fr-CA"/>
              </w:rPr>
              <w:t>(Ordonnance de non-publication dans le dossier)</w:t>
            </w:r>
          </w:p>
          <w:p w:rsidR="004A6EE8" w:rsidRPr="00B02A31" w:rsidRDefault="004A6EE8" w:rsidP="004A6EE8">
            <w:pPr>
              <w:jc w:val="both"/>
              <w:rPr>
                <w:sz w:val="20"/>
                <w:lang w:val="fr-CA"/>
              </w:rPr>
            </w:pPr>
          </w:p>
          <w:p w:rsidR="004A6EE8" w:rsidRPr="00B02A31" w:rsidRDefault="004A6EE8" w:rsidP="004A6EE8">
            <w:pPr>
              <w:jc w:val="both"/>
              <w:rPr>
                <w:sz w:val="20"/>
                <w:lang w:val="fr-CA"/>
              </w:rPr>
            </w:pPr>
            <w:r w:rsidRPr="00B02A31">
              <w:rPr>
                <w:sz w:val="20"/>
                <w:lang w:val="fr-CA"/>
              </w:rPr>
              <w:t xml:space="preserve">Droit criminel — Adolescents — Détermination de la peine — Délinquants dangereux — Peine indéterminée — Ordonnance d’évaluation — Le par. 74(1) de la </w:t>
            </w:r>
            <w:r w:rsidRPr="00B02A31">
              <w:rPr>
                <w:i/>
                <w:sz w:val="20"/>
                <w:lang w:val="fr-CA"/>
              </w:rPr>
              <w:t>Loi sur le système de justice pénale pour les adolescents</w:t>
            </w:r>
            <w:r w:rsidRPr="00B02A31">
              <w:rPr>
                <w:sz w:val="20"/>
                <w:lang w:val="fr-CA"/>
              </w:rPr>
              <w:t xml:space="preserve"> qui permet l’application des parties XXIII et XXIV du </w:t>
            </w:r>
            <w:r w:rsidRPr="00B02A31">
              <w:rPr>
                <w:i/>
                <w:sz w:val="20"/>
                <w:lang w:val="fr-CA"/>
              </w:rPr>
              <w:t>Code criminel</w:t>
            </w:r>
            <w:r w:rsidRPr="00B02A31">
              <w:rPr>
                <w:sz w:val="20"/>
                <w:lang w:val="fr-CA"/>
              </w:rPr>
              <w:t xml:space="preserve"> à l’adolescent assujetti à une peine applicable aux adultes contrevient-il aux articles 7, 12 et 15(1) de la </w:t>
            </w:r>
            <w:r w:rsidRPr="00B02A31">
              <w:rPr>
                <w:i/>
                <w:sz w:val="20"/>
                <w:lang w:val="fr-CA"/>
              </w:rPr>
              <w:t>Charte</w:t>
            </w:r>
            <w:r w:rsidRPr="00B02A31">
              <w:rPr>
                <w:sz w:val="20"/>
                <w:lang w:val="fr-CA"/>
              </w:rPr>
              <w:t xml:space="preserve">? — Dans l’affirmative, les violations sont-elles sauvegardées par l’article premier? — La déclaration de délinquant dangereux et la de détention pour une période indéterminée imposées à un jeune contrevenant assujetti à une peine pour adulte et par la suite alors qu’il a à peine atteint l’âge de la majorité sont-elles déraisonnables? — Les juges de première instance avaient-ils le pouvoir d’émettre une ordonnance d’évaluation en vertu de l’article 752.1 </w:t>
            </w:r>
            <w:r w:rsidRPr="00B02A31">
              <w:rPr>
                <w:i/>
                <w:sz w:val="20"/>
                <w:lang w:val="fr-CA"/>
              </w:rPr>
              <w:t>C.cr.</w:t>
            </w:r>
            <w:r w:rsidRPr="00B02A31">
              <w:rPr>
                <w:sz w:val="20"/>
                <w:lang w:val="fr-CA"/>
              </w:rPr>
              <w:t xml:space="preserve"> étant donné l’entrée en vigueur du nouvel article 752.01 </w:t>
            </w:r>
            <w:r w:rsidRPr="00B02A31">
              <w:rPr>
                <w:i/>
                <w:sz w:val="20"/>
                <w:lang w:val="fr-CA"/>
              </w:rPr>
              <w:t>C.cr.</w:t>
            </w:r>
            <w:r w:rsidRPr="00B02A31">
              <w:rPr>
                <w:sz w:val="20"/>
                <w:lang w:val="fr-CA"/>
              </w:rPr>
              <w:t xml:space="preserve">? — La Cour d’appel du Québec a-t-elle commis une erreur de droit en indiquant à la toute fin de son jugement que sa décision aurait pu être différente si elle avait été informée de la situation actualisée du demandeur depuis son incarcération au pénitencier? — </w:t>
            </w:r>
            <w:r w:rsidRPr="00B02A31">
              <w:rPr>
                <w:i/>
                <w:sz w:val="20"/>
                <w:lang w:val="fr-CA"/>
              </w:rPr>
              <w:t>Loi sur le système de justice pénale pour les adolescents</w:t>
            </w:r>
            <w:r w:rsidRPr="00B02A31">
              <w:rPr>
                <w:sz w:val="20"/>
                <w:lang w:val="fr-CA"/>
              </w:rPr>
              <w:t xml:space="preserve">, L.C. 2002, ch. 1, par. 74(1) — </w:t>
            </w:r>
            <w:r w:rsidRPr="00B02A31">
              <w:rPr>
                <w:i/>
                <w:sz w:val="20"/>
                <w:lang w:val="fr-CA"/>
              </w:rPr>
              <w:t>Code criminel</w:t>
            </w:r>
            <w:r w:rsidRPr="00B02A31">
              <w:rPr>
                <w:sz w:val="20"/>
                <w:lang w:val="fr-CA"/>
              </w:rPr>
              <w:t>, L.R.C. 1985, c. C-46, art. 752.01, 752.1.</w:t>
            </w:r>
          </w:p>
        </w:tc>
      </w:tr>
      <w:tr w:rsidR="004A6EE8" w:rsidRPr="00C33138" w:rsidTr="00E95A6A">
        <w:tc>
          <w:tcPr>
            <w:tcW w:w="5000" w:type="pct"/>
            <w:gridSpan w:val="4"/>
          </w:tcPr>
          <w:p w:rsidR="004A6EE8" w:rsidRPr="00B02A31" w:rsidRDefault="004A6EE8" w:rsidP="004A6EE8">
            <w:pPr>
              <w:jc w:val="both"/>
              <w:rPr>
                <w:sz w:val="20"/>
                <w:lang w:val="fr-CA"/>
              </w:rPr>
            </w:pPr>
          </w:p>
        </w:tc>
      </w:tr>
      <w:tr w:rsidR="004A6EE8" w:rsidRPr="00B02A31" w:rsidTr="00E95A6A">
        <w:tc>
          <w:tcPr>
            <w:tcW w:w="5000" w:type="pct"/>
            <w:gridSpan w:val="4"/>
          </w:tcPr>
          <w:p w:rsidR="004A6EE8" w:rsidRPr="00B02A31" w:rsidRDefault="004A6EE8" w:rsidP="004A6EE8">
            <w:pPr>
              <w:jc w:val="both"/>
              <w:rPr>
                <w:sz w:val="20"/>
                <w:lang w:val="fr-CA"/>
              </w:rPr>
            </w:pPr>
            <w:r w:rsidRPr="00B02A31">
              <w:rPr>
                <w:sz w:val="20"/>
                <w:lang w:val="fr-CA"/>
              </w:rPr>
              <w:t xml:space="preserve">Le 8 mai 2008, le juge Hurtubise de la Cour du Québec (Chambre de la jeunesse) déclare le demandeur coupable d’avoir participé à une agression sexuelle avec d’autres personnes et d’avoir séquestré la victime. Le même jour, il déclare le demandeur coupable de deux autres agressions sexuelles sur deux victimes mineures différentes et d’avoir menacé l’une d’elles de lui </w:t>
            </w:r>
            <w:proofErr w:type="gramStart"/>
            <w:r w:rsidRPr="00B02A31">
              <w:rPr>
                <w:sz w:val="20"/>
                <w:lang w:val="fr-CA"/>
              </w:rPr>
              <w:t>causer</w:t>
            </w:r>
            <w:proofErr w:type="gramEnd"/>
            <w:r w:rsidRPr="00B02A31">
              <w:rPr>
                <w:sz w:val="20"/>
                <w:lang w:val="fr-CA"/>
              </w:rPr>
              <w:t xml:space="preserve"> des lésions corporelles. Le demandeur fait l’objet d’une demande par la poursuite d’assujettissement à une peine pour adulte, ce qu’il ne conteste pas.</w:t>
            </w:r>
          </w:p>
          <w:p w:rsidR="004A6EE8" w:rsidRPr="00B02A31" w:rsidRDefault="004A6EE8" w:rsidP="004A6EE8">
            <w:pPr>
              <w:jc w:val="both"/>
              <w:rPr>
                <w:sz w:val="20"/>
                <w:lang w:val="fr-CA"/>
              </w:rPr>
            </w:pPr>
          </w:p>
          <w:p w:rsidR="004A6EE8" w:rsidRPr="00B02A31" w:rsidRDefault="004A6EE8" w:rsidP="004A6EE8">
            <w:pPr>
              <w:jc w:val="both"/>
              <w:rPr>
                <w:sz w:val="20"/>
                <w:lang w:val="fr-CA"/>
              </w:rPr>
            </w:pPr>
            <w:r w:rsidRPr="00B02A31">
              <w:rPr>
                <w:sz w:val="20"/>
                <w:lang w:val="fr-CA"/>
              </w:rPr>
              <w:t>Le 24 septembre 2008, le juge Boisvert de la Cour du Québec (Chambre criminelle et pénale) déclare le demandeur coupable de s’être introduit dans une maison d’habitation et d’y avoir commis une agression sexuelle et d’avoir commis une séquestration.</w:t>
            </w:r>
          </w:p>
          <w:p w:rsidR="004A6EE8" w:rsidRPr="00B02A31" w:rsidRDefault="004A6EE8" w:rsidP="004A6EE8">
            <w:pPr>
              <w:jc w:val="both"/>
              <w:rPr>
                <w:sz w:val="20"/>
                <w:lang w:val="fr-CA"/>
              </w:rPr>
            </w:pPr>
          </w:p>
          <w:p w:rsidR="004A6EE8" w:rsidRPr="00B02A31" w:rsidRDefault="004A6EE8" w:rsidP="004A6EE8">
            <w:pPr>
              <w:jc w:val="both"/>
              <w:rPr>
                <w:sz w:val="20"/>
                <w:lang w:val="fr-CA"/>
              </w:rPr>
            </w:pPr>
            <w:r w:rsidRPr="00B02A31">
              <w:rPr>
                <w:sz w:val="20"/>
                <w:lang w:val="fr-CA"/>
              </w:rPr>
              <w:t>Le 30 septembre 2009, le juge Hurtubise déclare le demandeur délinquant dangereux et lui impose une peine d’emprisonnement à durée indéterminée pour les infractions commises alors qu’il était adolescent. Le 15 octobre 2009, le juge Boisvert déclare le demandeur délinquant dangereux et lui impose une peine d’emprisonnement à durée indéterminée pour les infractions commises alors qu’il avait atteint l’âge adulte.</w:t>
            </w:r>
          </w:p>
          <w:p w:rsidR="004A6EE8" w:rsidRPr="00B02A31" w:rsidRDefault="004A6EE8" w:rsidP="004A6EE8">
            <w:pPr>
              <w:jc w:val="both"/>
              <w:rPr>
                <w:sz w:val="20"/>
                <w:lang w:val="fr-CA"/>
              </w:rPr>
            </w:pPr>
          </w:p>
          <w:p w:rsidR="004A6EE8" w:rsidRPr="00B02A31" w:rsidRDefault="004A6EE8" w:rsidP="004A6EE8">
            <w:pPr>
              <w:jc w:val="both"/>
              <w:rPr>
                <w:sz w:val="20"/>
              </w:rPr>
            </w:pPr>
            <w:r w:rsidRPr="00B02A31">
              <w:rPr>
                <w:sz w:val="20"/>
                <w:lang w:val="fr-CA"/>
              </w:rPr>
              <w:t xml:space="preserve">Le demandeur porte en appel les deux déclarations de délinquant dangereux. </w:t>
            </w:r>
            <w:r w:rsidRPr="00B02A31">
              <w:rPr>
                <w:sz w:val="20"/>
              </w:rPr>
              <w:t>La Cour d’appel rejette les appels.</w:t>
            </w:r>
          </w:p>
          <w:p w:rsidR="004A6EE8" w:rsidRPr="00B02A31" w:rsidRDefault="004A6EE8" w:rsidP="004A6EE8">
            <w:pPr>
              <w:jc w:val="both"/>
              <w:rPr>
                <w:sz w:val="20"/>
              </w:rPr>
            </w:pPr>
          </w:p>
        </w:tc>
      </w:tr>
      <w:tr w:rsidR="004A6EE8" w:rsidRPr="00C33138" w:rsidTr="00E95A6A">
        <w:tc>
          <w:tcPr>
            <w:tcW w:w="2427" w:type="pct"/>
            <w:gridSpan w:val="2"/>
          </w:tcPr>
          <w:p w:rsidR="004A6EE8" w:rsidRPr="00B02A31" w:rsidRDefault="004A6EE8" w:rsidP="004A6EE8">
            <w:pPr>
              <w:jc w:val="both"/>
              <w:rPr>
                <w:sz w:val="20"/>
                <w:lang w:val="fr-CA"/>
              </w:rPr>
            </w:pPr>
            <w:r w:rsidRPr="00B02A31">
              <w:rPr>
                <w:sz w:val="20"/>
                <w:lang w:val="fr-CA"/>
              </w:rPr>
              <w:t>Le 30 septembre 2009</w:t>
            </w:r>
          </w:p>
          <w:p w:rsidR="004A6EE8" w:rsidRPr="00B02A31" w:rsidRDefault="004A6EE8" w:rsidP="004A6EE8">
            <w:pPr>
              <w:jc w:val="both"/>
              <w:rPr>
                <w:sz w:val="20"/>
                <w:lang w:val="fr-CA"/>
              </w:rPr>
            </w:pPr>
            <w:r w:rsidRPr="00B02A31">
              <w:rPr>
                <w:sz w:val="20"/>
                <w:lang w:val="fr-CA"/>
              </w:rPr>
              <w:t>Cour du Québec</w:t>
            </w:r>
          </w:p>
          <w:p w:rsidR="004A6EE8" w:rsidRPr="00B02A31" w:rsidRDefault="004A6EE8" w:rsidP="004A6EE8">
            <w:pPr>
              <w:jc w:val="both"/>
              <w:rPr>
                <w:sz w:val="20"/>
                <w:lang w:val="fr-CA"/>
              </w:rPr>
            </w:pPr>
            <w:r w:rsidRPr="00B02A31">
              <w:rPr>
                <w:sz w:val="20"/>
                <w:lang w:val="fr-CA"/>
              </w:rPr>
              <w:t>(Le juge Hurtubise)</w:t>
            </w:r>
          </w:p>
          <w:p w:rsidR="004A6EE8" w:rsidRPr="00B02A31" w:rsidRDefault="00C33138" w:rsidP="004A6EE8">
            <w:pPr>
              <w:jc w:val="both"/>
              <w:rPr>
                <w:sz w:val="20"/>
              </w:rPr>
            </w:pPr>
            <w:hyperlink r:id="rId13" w:history="1">
              <w:r w:rsidR="004A6EE8" w:rsidRPr="00B02A31">
                <w:rPr>
                  <w:rStyle w:val="Hyperlink"/>
                  <w:sz w:val="20"/>
                </w:rPr>
                <w:t>2009 QCCQ 16660</w:t>
              </w:r>
            </w:hyperlink>
          </w:p>
          <w:p w:rsidR="004A6EE8" w:rsidRPr="00B02A31" w:rsidRDefault="004A6EE8" w:rsidP="004A6EE8">
            <w:pPr>
              <w:jc w:val="both"/>
              <w:rPr>
                <w:sz w:val="20"/>
              </w:rPr>
            </w:pPr>
          </w:p>
        </w:tc>
        <w:tc>
          <w:tcPr>
            <w:tcW w:w="243" w:type="pct"/>
          </w:tcPr>
          <w:p w:rsidR="004A6EE8" w:rsidRPr="00B02A31" w:rsidRDefault="004A6EE8" w:rsidP="004A6EE8">
            <w:pPr>
              <w:jc w:val="both"/>
              <w:rPr>
                <w:sz w:val="20"/>
              </w:rPr>
            </w:pPr>
          </w:p>
        </w:tc>
        <w:tc>
          <w:tcPr>
            <w:tcW w:w="2330" w:type="pct"/>
          </w:tcPr>
          <w:p w:rsidR="004A6EE8" w:rsidRPr="00B02A31" w:rsidRDefault="004A6EE8" w:rsidP="004A6EE8">
            <w:pPr>
              <w:jc w:val="both"/>
              <w:rPr>
                <w:sz w:val="20"/>
                <w:lang w:val="fr-CA"/>
              </w:rPr>
            </w:pPr>
            <w:r w:rsidRPr="00B02A31">
              <w:rPr>
                <w:sz w:val="20"/>
                <w:lang w:val="fr-CA"/>
              </w:rPr>
              <w:t>Demandeur déclaré délinquant dangereux; ordonnance d’emprisonnement d’une durée indéterminée.</w:t>
            </w:r>
          </w:p>
        </w:tc>
      </w:tr>
      <w:tr w:rsidR="004A6EE8" w:rsidRPr="00C33138" w:rsidTr="00E95A6A">
        <w:tc>
          <w:tcPr>
            <w:tcW w:w="2427" w:type="pct"/>
            <w:gridSpan w:val="2"/>
          </w:tcPr>
          <w:p w:rsidR="004A6EE8" w:rsidRPr="00B02A31" w:rsidRDefault="004A6EE8" w:rsidP="004A6EE8">
            <w:pPr>
              <w:jc w:val="both"/>
              <w:rPr>
                <w:sz w:val="20"/>
                <w:lang w:val="fr-CA"/>
              </w:rPr>
            </w:pPr>
            <w:r w:rsidRPr="00B02A31">
              <w:rPr>
                <w:sz w:val="20"/>
                <w:lang w:val="fr-CA"/>
              </w:rPr>
              <w:t>Le 15 octobre 2009</w:t>
            </w:r>
          </w:p>
          <w:p w:rsidR="004A6EE8" w:rsidRPr="00B02A31" w:rsidRDefault="004A6EE8" w:rsidP="004A6EE8">
            <w:pPr>
              <w:jc w:val="both"/>
              <w:rPr>
                <w:sz w:val="20"/>
                <w:lang w:val="fr-CA"/>
              </w:rPr>
            </w:pPr>
            <w:r w:rsidRPr="00B02A31">
              <w:rPr>
                <w:sz w:val="20"/>
                <w:lang w:val="fr-CA"/>
              </w:rPr>
              <w:t>Cour du Québec</w:t>
            </w:r>
          </w:p>
          <w:p w:rsidR="004A6EE8" w:rsidRPr="00B02A31" w:rsidRDefault="004A6EE8" w:rsidP="004A6EE8">
            <w:pPr>
              <w:jc w:val="both"/>
              <w:rPr>
                <w:sz w:val="20"/>
                <w:lang w:val="fr-CA"/>
              </w:rPr>
            </w:pPr>
            <w:r w:rsidRPr="00B02A31">
              <w:rPr>
                <w:sz w:val="20"/>
                <w:lang w:val="fr-CA"/>
              </w:rPr>
              <w:t>(Le juge Boisvert)</w:t>
            </w:r>
          </w:p>
          <w:p w:rsidR="004A6EE8" w:rsidRPr="00B02A31" w:rsidRDefault="004A6EE8" w:rsidP="004A6EE8">
            <w:pPr>
              <w:jc w:val="both"/>
              <w:rPr>
                <w:sz w:val="20"/>
              </w:rPr>
            </w:pPr>
            <w:r w:rsidRPr="00B02A31">
              <w:rPr>
                <w:sz w:val="20"/>
              </w:rPr>
              <w:t>500-01-004354-079</w:t>
            </w:r>
          </w:p>
          <w:p w:rsidR="004A6EE8" w:rsidRPr="00B02A31" w:rsidRDefault="004A6EE8" w:rsidP="004A6EE8">
            <w:pPr>
              <w:jc w:val="both"/>
              <w:rPr>
                <w:sz w:val="20"/>
              </w:rPr>
            </w:pPr>
          </w:p>
        </w:tc>
        <w:tc>
          <w:tcPr>
            <w:tcW w:w="243" w:type="pct"/>
          </w:tcPr>
          <w:p w:rsidR="004A6EE8" w:rsidRPr="00B02A31" w:rsidRDefault="004A6EE8" w:rsidP="004A6EE8">
            <w:pPr>
              <w:jc w:val="both"/>
              <w:rPr>
                <w:sz w:val="20"/>
              </w:rPr>
            </w:pPr>
          </w:p>
        </w:tc>
        <w:tc>
          <w:tcPr>
            <w:tcW w:w="2330" w:type="pct"/>
          </w:tcPr>
          <w:p w:rsidR="004A6EE8" w:rsidRPr="00B02A31" w:rsidRDefault="004A6EE8" w:rsidP="004A6EE8">
            <w:pPr>
              <w:jc w:val="both"/>
              <w:rPr>
                <w:sz w:val="20"/>
                <w:lang w:val="fr-CA"/>
              </w:rPr>
            </w:pPr>
            <w:r w:rsidRPr="00B02A31">
              <w:rPr>
                <w:sz w:val="20"/>
                <w:lang w:val="fr-CA"/>
              </w:rPr>
              <w:t>Demandeur déclaré délinquant dangereux; ordonnance d’emprisonnement d’une durée indéterminée.</w:t>
            </w:r>
          </w:p>
        </w:tc>
      </w:tr>
      <w:tr w:rsidR="004A6EE8" w:rsidRPr="00B02A31" w:rsidTr="00E95A6A">
        <w:tc>
          <w:tcPr>
            <w:tcW w:w="2427" w:type="pct"/>
            <w:gridSpan w:val="2"/>
          </w:tcPr>
          <w:p w:rsidR="004A6EE8" w:rsidRPr="00B02A31" w:rsidRDefault="004A6EE8" w:rsidP="004A6EE8">
            <w:pPr>
              <w:jc w:val="both"/>
              <w:rPr>
                <w:sz w:val="20"/>
                <w:lang w:val="fr-CA"/>
              </w:rPr>
            </w:pPr>
            <w:r w:rsidRPr="00B02A31">
              <w:rPr>
                <w:sz w:val="20"/>
                <w:lang w:val="fr-CA"/>
              </w:rPr>
              <w:t>Le 17 février 2014</w:t>
            </w:r>
          </w:p>
          <w:p w:rsidR="004A6EE8" w:rsidRPr="00B02A31" w:rsidRDefault="004A6EE8" w:rsidP="004A6EE8">
            <w:pPr>
              <w:jc w:val="both"/>
              <w:rPr>
                <w:sz w:val="20"/>
                <w:lang w:val="fr-CA"/>
              </w:rPr>
            </w:pPr>
            <w:r w:rsidRPr="00B02A31">
              <w:rPr>
                <w:sz w:val="20"/>
                <w:lang w:val="fr-CA"/>
              </w:rPr>
              <w:t>Cour d’appel du Québec (Montréal)</w:t>
            </w:r>
          </w:p>
          <w:p w:rsidR="004A6EE8" w:rsidRPr="00B02A31" w:rsidRDefault="004A6EE8" w:rsidP="004A6EE8">
            <w:pPr>
              <w:jc w:val="both"/>
              <w:rPr>
                <w:sz w:val="20"/>
                <w:lang w:val="fr-CA"/>
              </w:rPr>
            </w:pPr>
            <w:r w:rsidRPr="00B02A31">
              <w:rPr>
                <w:sz w:val="20"/>
                <w:lang w:val="fr-CA"/>
              </w:rPr>
              <w:t>(Les juges Bich, Gagnon et Savard)</w:t>
            </w:r>
          </w:p>
          <w:p w:rsidR="004A6EE8" w:rsidRPr="00B02A31" w:rsidRDefault="00C33138" w:rsidP="004A6EE8">
            <w:pPr>
              <w:jc w:val="both"/>
              <w:rPr>
                <w:sz w:val="20"/>
              </w:rPr>
            </w:pPr>
            <w:hyperlink r:id="rId14" w:history="1">
              <w:r w:rsidR="004A6EE8" w:rsidRPr="00B02A31">
                <w:rPr>
                  <w:rStyle w:val="Hyperlink"/>
                  <w:sz w:val="20"/>
                </w:rPr>
                <w:t>2014 QCCA 303</w:t>
              </w:r>
            </w:hyperlink>
          </w:p>
          <w:p w:rsidR="004A6EE8" w:rsidRPr="00B02A31" w:rsidRDefault="004A6EE8" w:rsidP="004A6EE8">
            <w:pPr>
              <w:jc w:val="both"/>
              <w:rPr>
                <w:sz w:val="20"/>
              </w:rPr>
            </w:pPr>
          </w:p>
        </w:tc>
        <w:tc>
          <w:tcPr>
            <w:tcW w:w="243" w:type="pct"/>
          </w:tcPr>
          <w:p w:rsidR="004A6EE8" w:rsidRPr="00B02A31" w:rsidRDefault="004A6EE8" w:rsidP="004A6EE8">
            <w:pPr>
              <w:jc w:val="both"/>
              <w:rPr>
                <w:sz w:val="20"/>
              </w:rPr>
            </w:pPr>
          </w:p>
        </w:tc>
        <w:tc>
          <w:tcPr>
            <w:tcW w:w="2330" w:type="pct"/>
          </w:tcPr>
          <w:p w:rsidR="004A6EE8" w:rsidRPr="00B02A31" w:rsidRDefault="004A6EE8" w:rsidP="004A6EE8">
            <w:pPr>
              <w:jc w:val="both"/>
              <w:rPr>
                <w:sz w:val="20"/>
              </w:rPr>
            </w:pPr>
            <w:r w:rsidRPr="00B02A31">
              <w:rPr>
                <w:sz w:val="20"/>
              </w:rPr>
              <w:t>Appel rejeté.</w:t>
            </w:r>
          </w:p>
          <w:p w:rsidR="004A6EE8" w:rsidRPr="00B02A31" w:rsidRDefault="004A6EE8" w:rsidP="004A6EE8">
            <w:pPr>
              <w:jc w:val="both"/>
              <w:rPr>
                <w:sz w:val="20"/>
              </w:rPr>
            </w:pPr>
          </w:p>
        </w:tc>
      </w:tr>
      <w:tr w:rsidR="004A6EE8" w:rsidRPr="00C33138" w:rsidTr="00E95A6A">
        <w:tc>
          <w:tcPr>
            <w:tcW w:w="2427" w:type="pct"/>
            <w:gridSpan w:val="2"/>
          </w:tcPr>
          <w:p w:rsidR="004A6EE8" w:rsidRPr="00B02A31" w:rsidRDefault="004A6EE8" w:rsidP="004A6EE8">
            <w:pPr>
              <w:jc w:val="both"/>
              <w:rPr>
                <w:sz w:val="20"/>
                <w:lang w:val="fr-CA"/>
              </w:rPr>
            </w:pPr>
            <w:r w:rsidRPr="00B02A31">
              <w:rPr>
                <w:sz w:val="20"/>
                <w:lang w:val="fr-CA"/>
              </w:rPr>
              <w:t>Le 12 septembre 2022</w:t>
            </w:r>
          </w:p>
          <w:p w:rsidR="004A6EE8" w:rsidRPr="00B02A31" w:rsidRDefault="004A6EE8" w:rsidP="004A6EE8">
            <w:pPr>
              <w:jc w:val="both"/>
              <w:rPr>
                <w:sz w:val="20"/>
                <w:lang w:val="fr-CA"/>
              </w:rPr>
            </w:pPr>
            <w:r w:rsidRPr="00B02A31">
              <w:rPr>
                <w:sz w:val="20"/>
                <w:lang w:val="fr-CA"/>
              </w:rPr>
              <w:t>Cour suprême du Canada</w:t>
            </w:r>
          </w:p>
          <w:p w:rsidR="004A6EE8" w:rsidRPr="00B02A31" w:rsidRDefault="004A6EE8" w:rsidP="004A6EE8">
            <w:pPr>
              <w:jc w:val="both"/>
              <w:rPr>
                <w:sz w:val="20"/>
                <w:lang w:val="fr-CA"/>
              </w:rPr>
            </w:pPr>
          </w:p>
        </w:tc>
        <w:tc>
          <w:tcPr>
            <w:tcW w:w="243" w:type="pct"/>
          </w:tcPr>
          <w:p w:rsidR="004A6EE8" w:rsidRPr="00B02A31" w:rsidRDefault="004A6EE8" w:rsidP="004A6EE8">
            <w:pPr>
              <w:jc w:val="both"/>
              <w:rPr>
                <w:sz w:val="20"/>
                <w:lang w:val="fr-CA"/>
              </w:rPr>
            </w:pPr>
          </w:p>
        </w:tc>
        <w:tc>
          <w:tcPr>
            <w:tcW w:w="2330" w:type="pct"/>
          </w:tcPr>
          <w:p w:rsidR="004A6EE8" w:rsidRPr="00B02A31" w:rsidRDefault="004A6EE8" w:rsidP="004A6EE8">
            <w:pPr>
              <w:jc w:val="both"/>
              <w:rPr>
                <w:sz w:val="20"/>
                <w:lang w:val="fr-CA"/>
              </w:rPr>
            </w:pPr>
            <w:r w:rsidRPr="00B02A31">
              <w:rPr>
                <w:sz w:val="20"/>
                <w:lang w:val="fr-CA"/>
              </w:rPr>
              <w:t xml:space="preserve">Demande d'autorisation d'appel et requête en prorogation du délai pour signifier et déposer la demande d’autorisation </w:t>
            </w:r>
            <w:proofErr w:type="gramStart"/>
            <w:r w:rsidRPr="00B02A31">
              <w:rPr>
                <w:sz w:val="20"/>
                <w:lang w:val="fr-CA"/>
              </w:rPr>
              <w:t>d’appel déposées</w:t>
            </w:r>
            <w:proofErr w:type="gramEnd"/>
            <w:r w:rsidRPr="00B02A31">
              <w:rPr>
                <w:sz w:val="20"/>
                <w:lang w:val="fr-CA"/>
              </w:rPr>
              <w:t>.</w:t>
            </w:r>
          </w:p>
        </w:tc>
      </w:tr>
    </w:tbl>
    <w:p w:rsidR="004A6EE8" w:rsidRPr="00B02A31" w:rsidRDefault="004A6EE8" w:rsidP="004A6EE8">
      <w:pPr>
        <w:jc w:val="both"/>
        <w:rPr>
          <w:sz w:val="20"/>
          <w:lang w:val="fr-CA"/>
        </w:rPr>
      </w:pPr>
    </w:p>
    <w:p w:rsidR="00B02A31" w:rsidRPr="00B02A31" w:rsidRDefault="00C33138" w:rsidP="004A6EE8">
      <w:pPr>
        <w:jc w:val="both"/>
        <w:rPr>
          <w:sz w:val="20"/>
          <w:lang w:val="fr-CA"/>
        </w:rPr>
      </w:pPr>
      <w:r>
        <w:rPr>
          <w:sz w:val="20"/>
        </w:rPr>
        <w:pict>
          <v:rect id="_x0000_i1028" style="width:2in;height:1pt" o:hrpct="0" o:hralign="center" o:hrstd="t" o:hrnoshade="t" o:hr="t" fillcolor="black [3213]" stroked="f"/>
        </w:pict>
      </w:r>
    </w:p>
    <w:p w:rsidR="00B02A31" w:rsidRPr="00B02A31" w:rsidRDefault="00B02A31" w:rsidP="004A6EE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A6EE8" w:rsidRPr="00B02A31" w:rsidTr="00E95A6A">
        <w:tc>
          <w:tcPr>
            <w:tcW w:w="543" w:type="pct"/>
          </w:tcPr>
          <w:p w:rsidR="004A6EE8" w:rsidRPr="00B02A31" w:rsidRDefault="004A6EE8" w:rsidP="004A6EE8">
            <w:pPr>
              <w:jc w:val="both"/>
              <w:rPr>
                <w:sz w:val="20"/>
              </w:rPr>
            </w:pPr>
            <w:r w:rsidRPr="00B02A31">
              <w:rPr>
                <w:rStyle w:val="SCCFileNumberChar"/>
                <w:sz w:val="20"/>
                <w:szCs w:val="20"/>
              </w:rPr>
              <w:t>40531</w:t>
            </w:r>
          </w:p>
        </w:tc>
        <w:tc>
          <w:tcPr>
            <w:tcW w:w="4457" w:type="pct"/>
            <w:gridSpan w:val="3"/>
          </w:tcPr>
          <w:p w:rsidR="004A6EE8" w:rsidRPr="00B02A31" w:rsidRDefault="004A6EE8" w:rsidP="004A6EE8">
            <w:pPr>
              <w:pStyle w:val="SCCLsocParty"/>
              <w:jc w:val="both"/>
              <w:rPr>
                <w:b/>
                <w:sz w:val="20"/>
                <w:szCs w:val="20"/>
                <w:lang w:val="en-US"/>
              </w:rPr>
            </w:pPr>
            <w:r w:rsidRPr="00B02A31">
              <w:rPr>
                <w:b/>
                <w:sz w:val="20"/>
                <w:szCs w:val="20"/>
                <w:lang w:val="en-US"/>
              </w:rPr>
              <w:t>Emmanuel Laurin v. His Majesty the King</w:t>
            </w:r>
          </w:p>
          <w:p w:rsidR="004A6EE8" w:rsidRPr="00B02A31" w:rsidRDefault="004A6EE8" w:rsidP="004A6EE8">
            <w:pPr>
              <w:jc w:val="both"/>
              <w:rPr>
                <w:sz w:val="20"/>
              </w:rPr>
            </w:pPr>
            <w:r w:rsidRPr="00B02A31">
              <w:rPr>
                <w:sz w:val="20"/>
              </w:rPr>
              <w:t>(Que.) (Criminal) (By Leave)</w:t>
            </w:r>
          </w:p>
        </w:tc>
      </w:tr>
      <w:tr w:rsidR="004A6EE8" w:rsidRPr="00B02A31" w:rsidTr="00E95A6A">
        <w:tc>
          <w:tcPr>
            <w:tcW w:w="5000" w:type="pct"/>
            <w:gridSpan w:val="4"/>
          </w:tcPr>
          <w:p w:rsidR="004A6EE8" w:rsidRPr="00B02A31" w:rsidRDefault="004A6EE8" w:rsidP="004A6EE8">
            <w:pPr>
              <w:jc w:val="both"/>
              <w:rPr>
                <w:sz w:val="20"/>
              </w:rPr>
            </w:pPr>
            <w:r w:rsidRPr="00B02A31">
              <w:rPr>
                <w:sz w:val="20"/>
              </w:rPr>
              <w:t xml:space="preserve">Criminal law — Jurisdiction — Motions for leave to appeal and for extension of time to appeal from seven convictions entered by provincial court and municipal court — Court of Appeal dismissing motions on ground that it had no jurisdiction over five of seven cases and that applicant could appeal as of right in other two cases but not had filed notice of appeal — Whether Court of Appeal erred in law in dismissing appeal without considering substance but only considering form and in stating that criteria for leave were not properly met — Whether trial judges erred in law in entering multiple convictions without defining consideration of case from moment of charge — Whether guilty pleas were valid — Whether Court of Appeal should have realized that self-represented applicant did not have criminal law knowledge required — Whether courts at all levels are able to recognize peremptory interdisciplinary impact of civil law on criminal law, inversely and otherwise than when this “fits” with prosecution — Impact of common law on civil law — Whether rule of law principle affirms that all laws are effective unless there is clause in this regard, clearly explained and without prejudice — </w:t>
            </w:r>
            <w:r w:rsidRPr="00B02A31">
              <w:rPr>
                <w:i/>
                <w:sz w:val="20"/>
              </w:rPr>
              <w:t>Criminal Code</w:t>
            </w:r>
            <w:r w:rsidRPr="00B02A31">
              <w:rPr>
                <w:sz w:val="20"/>
              </w:rPr>
              <w:t xml:space="preserve">, R.S.C. 1985, c. C-46, ss. 813, 815 — </w:t>
            </w:r>
            <w:r w:rsidRPr="00B02A31">
              <w:rPr>
                <w:i/>
                <w:sz w:val="20"/>
              </w:rPr>
              <w:t>Code of Penal Procedure</w:t>
            </w:r>
            <w:r w:rsidRPr="00B02A31">
              <w:rPr>
                <w:sz w:val="20"/>
              </w:rPr>
              <w:t>, CQLR, c. C-25.1, art. 270.</w:t>
            </w:r>
          </w:p>
        </w:tc>
      </w:tr>
      <w:tr w:rsidR="004A6EE8" w:rsidRPr="00B02A31" w:rsidTr="00E95A6A">
        <w:tc>
          <w:tcPr>
            <w:tcW w:w="5000" w:type="pct"/>
            <w:gridSpan w:val="4"/>
          </w:tcPr>
          <w:p w:rsidR="004A6EE8" w:rsidRPr="00B02A31" w:rsidRDefault="004A6EE8" w:rsidP="004A6EE8">
            <w:pPr>
              <w:jc w:val="both"/>
              <w:rPr>
                <w:sz w:val="20"/>
              </w:rPr>
            </w:pPr>
          </w:p>
          <w:p w:rsidR="004A6EE8" w:rsidRPr="00B02A31" w:rsidRDefault="004A6EE8" w:rsidP="004A6EE8">
            <w:pPr>
              <w:jc w:val="both"/>
              <w:rPr>
                <w:sz w:val="20"/>
              </w:rPr>
            </w:pPr>
            <w:r w:rsidRPr="00B02A31">
              <w:rPr>
                <w:sz w:val="20"/>
              </w:rPr>
              <w:t xml:space="preserve">In 2018 and 2019, seven criminal convictions were entered against the applicant, Emmanuel Laurin, by the Court of Québec and the Municipal Court of Sherbrooke (File Nos. 450-01-110294-183, 750-01-052977-186, 450-01-106511-186, 450-01-105650-183, 450-01-105599-182, CM 17-04117-6 and CM 17-04118-8). Wishing to appeal the judgments, Mr. Laurin filed a motion for leave to appeal in the Quebec Court of Appeal as well as a motion for an extension of time to appeal. The Quebec Court of Appeal unanimously dismissed both motions. </w:t>
            </w:r>
          </w:p>
        </w:tc>
      </w:tr>
      <w:tr w:rsidR="004A6EE8" w:rsidRPr="00B02A31" w:rsidTr="00E95A6A">
        <w:tc>
          <w:tcPr>
            <w:tcW w:w="5000" w:type="pct"/>
            <w:gridSpan w:val="4"/>
          </w:tcPr>
          <w:p w:rsidR="004A6EE8" w:rsidRPr="00B02A31" w:rsidRDefault="004A6EE8" w:rsidP="004A6EE8">
            <w:pPr>
              <w:jc w:val="both"/>
              <w:rPr>
                <w:sz w:val="20"/>
              </w:rPr>
            </w:pPr>
          </w:p>
          <w:p w:rsidR="004A6EE8" w:rsidRPr="00B02A31" w:rsidRDefault="004A6EE8" w:rsidP="004A6EE8">
            <w:pPr>
              <w:jc w:val="both"/>
              <w:rPr>
                <w:sz w:val="20"/>
              </w:rPr>
            </w:pPr>
          </w:p>
        </w:tc>
      </w:tr>
      <w:tr w:rsidR="004A6EE8" w:rsidRPr="00B02A31" w:rsidTr="00E95A6A">
        <w:tc>
          <w:tcPr>
            <w:tcW w:w="2427" w:type="pct"/>
            <w:gridSpan w:val="2"/>
          </w:tcPr>
          <w:p w:rsidR="004A6EE8" w:rsidRPr="00B02A31" w:rsidRDefault="004A6EE8" w:rsidP="004A6EE8">
            <w:pPr>
              <w:jc w:val="both"/>
              <w:rPr>
                <w:sz w:val="20"/>
              </w:rPr>
            </w:pPr>
            <w:r w:rsidRPr="00B02A31">
              <w:rPr>
                <w:sz w:val="20"/>
              </w:rPr>
              <w:t>March 10, 2020</w:t>
            </w:r>
          </w:p>
          <w:p w:rsidR="004A6EE8" w:rsidRPr="00B02A31" w:rsidRDefault="004A6EE8" w:rsidP="004A6EE8">
            <w:pPr>
              <w:jc w:val="both"/>
              <w:rPr>
                <w:sz w:val="20"/>
              </w:rPr>
            </w:pPr>
            <w:r w:rsidRPr="00B02A31">
              <w:rPr>
                <w:sz w:val="20"/>
              </w:rPr>
              <w:t>Quebec Court of Appeal (Montréal)</w:t>
            </w:r>
          </w:p>
          <w:p w:rsidR="004A6EE8" w:rsidRPr="00B02A31" w:rsidRDefault="004A6EE8" w:rsidP="004A6EE8">
            <w:pPr>
              <w:jc w:val="both"/>
              <w:rPr>
                <w:sz w:val="20"/>
              </w:rPr>
            </w:pPr>
            <w:r w:rsidRPr="00B02A31">
              <w:rPr>
                <w:sz w:val="20"/>
              </w:rPr>
              <w:t>(Schrager, Healy and Fournier JJ.A.)</w:t>
            </w:r>
          </w:p>
          <w:p w:rsidR="004A6EE8" w:rsidRPr="00B02A31" w:rsidRDefault="004A6EE8" w:rsidP="004A6EE8">
            <w:pPr>
              <w:jc w:val="both"/>
              <w:rPr>
                <w:sz w:val="20"/>
              </w:rPr>
            </w:pPr>
            <w:r w:rsidRPr="00B02A31">
              <w:rPr>
                <w:sz w:val="20"/>
              </w:rPr>
              <w:t xml:space="preserve">Neutral citation: </w:t>
            </w:r>
            <w:hyperlink r:id="rId15" w:history="1">
              <w:r w:rsidRPr="00B02A31">
                <w:rPr>
                  <w:rStyle w:val="Hyperlink"/>
                  <w:sz w:val="20"/>
                </w:rPr>
                <w:t>2020 QCCA 403</w:t>
              </w:r>
            </w:hyperlink>
          </w:p>
          <w:p w:rsidR="004A6EE8" w:rsidRPr="00B02A31" w:rsidRDefault="004A6EE8" w:rsidP="004A6EE8">
            <w:pPr>
              <w:jc w:val="both"/>
              <w:rPr>
                <w:sz w:val="20"/>
              </w:rPr>
            </w:pPr>
          </w:p>
        </w:tc>
        <w:tc>
          <w:tcPr>
            <w:tcW w:w="243" w:type="pct"/>
          </w:tcPr>
          <w:p w:rsidR="004A6EE8" w:rsidRPr="00B02A31" w:rsidRDefault="004A6EE8" w:rsidP="004A6EE8">
            <w:pPr>
              <w:jc w:val="both"/>
              <w:rPr>
                <w:sz w:val="20"/>
              </w:rPr>
            </w:pPr>
          </w:p>
        </w:tc>
        <w:tc>
          <w:tcPr>
            <w:tcW w:w="2330" w:type="pct"/>
          </w:tcPr>
          <w:p w:rsidR="004A6EE8" w:rsidRPr="00B02A31" w:rsidRDefault="004A6EE8" w:rsidP="004A6EE8">
            <w:pPr>
              <w:jc w:val="both"/>
              <w:rPr>
                <w:sz w:val="20"/>
              </w:rPr>
            </w:pPr>
            <w:r w:rsidRPr="00B02A31">
              <w:rPr>
                <w:sz w:val="20"/>
              </w:rPr>
              <w:t>Motion for extension of time to appeal dismissed;</w:t>
            </w:r>
          </w:p>
          <w:p w:rsidR="004A6EE8" w:rsidRPr="00B02A31" w:rsidRDefault="004A6EE8" w:rsidP="004A6EE8">
            <w:pPr>
              <w:jc w:val="both"/>
              <w:rPr>
                <w:sz w:val="20"/>
              </w:rPr>
            </w:pPr>
            <w:r w:rsidRPr="00B02A31">
              <w:rPr>
                <w:sz w:val="20"/>
              </w:rPr>
              <w:t>Motion for leave to appeal from convictions dismissed</w:t>
            </w:r>
          </w:p>
          <w:p w:rsidR="004A6EE8" w:rsidRPr="00B02A31" w:rsidRDefault="004A6EE8" w:rsidP="004A6EE8">
            <w:pPr>
              <w:jc w:val="both"/>
              <w:rPr>
                <w:sz w:val="20"/>
              </w:rPr>
            </w:pPr>
          </w:p>
        </w:tc>
      </w:tr>
      <w:tr w:rsidR="004A6EE8" w:rsidRPr="00B02A31" w:rsidTr="00E95A6A">
        <w:tc>
          <w:tcPr>
            <w:tcW w:w="2427" w:type="pct"/>
            <w:gridSpan w:val="2"/>
          </w:tcPr>
          <w:p w:rsidR="004A6EE8" w:rsidRPr="00B02A31" w:rsidRDefault="004A6EE8" w:rsidP="004A6EE8">
            <w:pPr>
              <w:jc w:val="both"/>
              <w:rPr>
                <w:sz w:val="20"/>
              </w:rPr>
            </w:pPr>
            <w:r w:rsidRPr="00B02A31">
              <w:rPr>
                <w:sz w:val="20"/>
              </w:rPr>
              <w:t>October 21, 2022</w:t>
            </w:r>
          </w:p>
          <w:p w:rsidR="004A6EE8" w:rsidRPr="00B02A31" w:rsidRDefault="004A6EE8" w:rsidP="004A6EE8">
            <w:pPr>
              <w:jc w:val="both"/>
              <w:rPr>
                <w:sz w:val="20"/>
              </w:rPr>
            </w:pPr>
            <w:r w:rsidRPr="00B02A31">
              <w:rPr>
                <w:sz w:val="20"/>
              </w:rPr>
              <w:t>Supreme Court of Canada</w:t>
            </w:r>
          </w:p>
        </w:tc>
        <w:tc>
          <w:tcPr>
            <w:tcW w:w="243" w:type="pct"/>
          </w:tcPr>
          <w:p w:rsidR="004A6EE8" w:rsidRPr="00B02A31" w:rsidRDefault="004A6EE8" w:rsidP="004A6EE8">
            <w:pPr>
              <w:jc w:val="both"/>
              <w:rPr>
                <w:sz w:val="20"/>
              </w:rPr>
            </w:pPr>
          </w:p>
        </w:tc>
        <w:tc>
          <w:tcPr>
            <w:tcW w:w="2330" w:type="pct"/>
          </w:tcPr>
          <w:p w:rsidR="004A6EE8" w:rsidRPr="00B02A31" w:rsidRDefault="004A6EE8" w:rsidP="004A6EE8">
            <w:pPr>
              <w:jc w:val="both"/>
              <w:rPr>
                <w:sz w:val="20"/>
              </w:rPr>
            </w:pPr>
            <w:r w:rsidRPr="00B02A31">
              <w:rPr>
                <w:sz w:val="20"/>
              </w:rPr>
              <w:t>Application for leave to appeal filed</w:t>
            </w:r>
          </w:p>
          <w:p w:rsidR="004A6EE8" w:rsidRPr="00B02A31" w:rsidRDefault="004A6EE8" w:rsidP="004A6EE8">
            <w:pPr>
              <w:jc w:val="both"/>
              <w:rPr>
                <w:sz w:val="20"/>
              </w:rPr>
            </w:pPr>
          </w:p>
        </w:tc>
      </w:tr>
    </w:tbl>
    <w:p w:rsidR="004A6EE8" w:rsidRPr="00B02A31" w:rsidRDefault="004A6EE8" w:rsidP="004A6EE8">
      <w:pPr>
        <w:jc w:val="both"/>
        <w:rPr>
          <w:sz w:val="20"/>
        </w:rPr>
      </w:pPr>
    </w:p>
    <w:p w:rsidR="00B02A31" w:rsidRPr="00B02A31" w:rsidRDefault="00C33138" w:rsidP="004A6EE8">
      <w:pPr>
        <w:jc w:val="both"/>
        <w:rPr>
          <w:sz w:val="20"/>
        </w:rPr>
      </w:pPr>
      <w:r>
        <w:rPr>
          <w:sz w:val="20"/>
        </w:rPr>
        <w:pict>
          <v:rect id="_x0000_i1029" style="width:2in;height:1pt" o:hrpct="0" o:hralign="center" o:hrstd="t" o:hrnoshade="t" o:hr="t" fillcolor="black [3213]" stroked="f"/>
        </w:pict>
      </w:r>
    </w:p>
    <w:p w:rsidR="00B02A31" w:rsidRPr="00B02A31" w:rsidRDefault="00B02A31" w:rsidP="004A6EE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A6EE8" w:rsidRPr="00B02A31" w:rsidTr="00E95A6A">
        <w:tc>
          <w:tcPr>
            <w:tcW w:w="543" w:type="pct"/>
          </w:tcPr>
          <w:p w:rsidR="004A6EE8" w:rsidRPr="00B02A31" w:rsidRDefault="004A6EE8" w:rsidP="004A6EE8">
            <w:pPr>
              <w:jc w:val="both"/>
              <w:rPr>
                <w:sz w:val="20"/>
              </w:rPr>
            </w:pPr>
            <w:r w:rsidRPr="00B02A31">
              <w:rPr>
                <w:rStyle w:val="SCCFileNumberChar"/>
                <w:sz w:val="20"/>
                <w:szCs w:val="20"/>
              </w:rPr>
              <w:t>40531</w:t>
            </w:r>
          </w:p>
        </w:tc>
        <w:tc>
          <w:tcPr>
            <w:tcW w:w="4457" w:type="pct"/>
            <w:gridSpan w:val="3"/>
          </w:tcPr>
          <w:p w:rsidR="004A6EE8" w:rsidRPr="00B02A31" w:rsidRDefault="004A6EE8" w:rsidP="004A6EE8">
            <w:pPr>
              <w:pStyle w:val="SCCLsocParty"/>
              <w:jc w:val="both"/>
              <w:rPr>
                <w:b/>
                <w:sz w:val="20"/>
                <w:szCs w:val="20"/>
              </w:rPr>
            </w:pPr>
            <w:r w:rsidRPr="00B02A31">
              <w:rPr>
                <w:b/>
                <w:sz w:val="20"/>
                <w:szCs w:val="20"/>
              </w:rPr>
              <w:t>Emmanuel Laurin c. Sa Majesté le Roi</w:t>
            </w:r>
          </w:p>
          <w:p w:rsidR="004A6EE8" w:rsidRPr="00B02A31" w:rsidRDefault="004A6EE8" w:rsidP="004A6EE8">
            <w:pPr>
              <w:jc w:val="both"/>
              <w:rPr>
                <w:sz w:val="20"/>
              </w:rPr>
            </w:pPr>
            <w:r w:rsidRPr="00B02A31">
              <w:rPr>
                <w:sz w:val="20"/>
              </w:rPr>
              <w:t>(Qc) (Criminelle) (Autorisation)</w:t>
            </w:r>
          </w:p>
        </w:tc>
      </w:tr>
      <w:tr w:rsidR="004A6EE8" w:rsidRPr="00B02A31" w:rsidTr="00E95A6A">
        <w:tc>
          <w:tcPr>
            <w:tcW w:w="5000" w:type="pct"/>
            <w:gridSpan w:val="4"/>
          </w:tcPr>
          <w:p w:rsidR="004A6EE8" w:rsidRPr="00B02A31" w:rsidRDefault="004A6EE8" w:rsidP="004A6EE8">
            <w:pPr>
              <w:jc w:val="both"/>
              <w:rPr>
                <w:sz w:val="20"/>
                <w:lang w:val="fr-CA"/>
              </w:rPr>
            </w:pPr>
            <w:r w:rsidRPr="00B02A31">
              <w:rPr>
                <w:sz w:val="20"/>
                <w:lang w:val="fr-CA"/>
              </w:rPr>
              <w:t xml:space="preserve">Droit criminel — Compétence — Requêtes en permission d’appel et en prorogation du délai d’appel de sept déclarations de culpabilité devant une cour provinciale et une cour municipale — Cour d’appel rejetant les requêtes au motif qu’elle n’avait pas compétence sur cinq des sept dossiers, et que le demandeur détenait un appel de plein droit dans les deux autres dossiers mais n’avait pas déposé d’avis d’appel — La Cour d’appel a-t-elle erré en droit en rejetant un appel sans considération sur le fond mais seulement sur la forme et déclarant ne pas répondre convenablement aux critères d’autorisation? — Les juges de première instance ont-ils erré en droit en émettant des déclarations de culpabilité multiples sans définir l’étude du dossier dès l’accusation? — Les plaidoyers de culpabilités étaient-ils valide? — La Cour d’appel aurait-elle dû apercevoir que le demandeur non représenté n’avait pas les connaissances criminalistes requises? — Les cours de toutes instances sont-elles en mesures de reconnaitre la portée péremptoire interdisciplinaire du droit civil sur le droit criminel, inversement et autrement qu'en l’occasion ou cela « s'accorde » avec la poursuite? — Quels sont les effets de la Common Law sur le droit civil? — Est-ce que le principe de « Rule-of-Law » affirme que toutes les lois sont effectives à moins d’une clause prévue en ce sens, clairement motivé et sans préjudice? — </w:t>
            </w:r>
            <w:r w:rsidRPr="00B02A31">
              <w:rPr>
                <w:i/>
                <w:sz w:val="20"/>
                <w:lang w:val="fr-CA"/>
              </w:rPr>
              <w:t>Code criminel</w:t>
            </w:r>
            <w:r w:rsidRPr="00B02A31">
              <w:rPr>
                <w:sz w:val="20"/>
                <w:lang w:val="fr-CA"/>
              </w:rPr>
              <w:t xml:space="preserve">, L.R.C. 1985, ch. C-46, art. 813, 815 — </w:t>
            </w:r>
            <w:r w:rsidRPr="00B02A31">
              <w:rPr>
                <w:i/>
                <w:sz w:val="20"/>
                <w:lang w:val="fr-CA"/>
              </w:rPr>
              <w:t>Code de procédure pénale</w:t>
            </w:r>
            <w:r w:rsidRPr="00B02A31">
              <w:rPr>
                <w:sz w:val="20"/>
                <w:lang w:val="fr-CA"/>
              </w:rPr>
              <w:t>, RLRQ, ch. 25, art. 270.</w:t>
            </w:r>
          </w:p>
        </w:tc>
      </w:tr>
      <w:tr w:rsidR="004A6EE8" w:rsidRPr="00C33138" w:rsidTr="00E95A6A">
        <w:tc>
          <w:tcPr>
            <w:tcW w:w="5000" w:type="pct"/>
            <w:gridSpan w:val="4"/>
          </w:tcPr>
          <w:p w:rsidR="004A6EE8" w:rsidRPr="00B02A31" w:rsidRDefault="004A6EE8" w:rsidP="004A6EE8">
            <w:pPr>
              <w:jc w:val="both"/>
              <w:rPr>
                <w:sz w:val="20"/>
                <w:lang w:val="fr-CA"/>
              </w:rPr>
            </w:pPr>
          </w:p>
          <w:p w:rsidR="004A6EE8" w:rsidRPr="00B02A31" w:rsidRDefault="004A6EE8" w:rsidP="004A6EE8">
            <w:pPr>
              <w:jc w:val="both"/>
              <w:rPr>
                <w:sz w:val="20"/>
                <w:lang w:val="fr-CA"/>
              </w:rPr>
            </w:pPr>
            <w:r w:rsidRPr="00B02A31">
              <w:rPr>
                <w:sz w:val="20"/>
                <w:lang w:val="fr-CA"/>
              </w:rPr>
              <w:t xml:space="preserve">Entre 2018 et 2019, le demandeur, Emmanuel Laurin, fait l’objet de sept déclarations de culpabilité criminelle par la Cour du Québec et la Cour municipale de Sherbrooke (les </w:t>
            </w:r>
            <w:proofErr w:type="spellStart"/>
            <w:r w:rsidRPr="00B02A31">
              <w:rPr>
                <w:sz w:val="20"/>
                <w:lang w:val="fr-CA"/>
              </w:rPr>
              <w:t>n</w:t>
            </w:r>
            <w:r w:rsidRPr="00B02A31">
              <w:rPr>
                <w:sz w:val="20"/>
                <w:vertAlign w:val="superscript"/>
                <w:lang w:val="fr-CA"/>
              </w:rPr>
              <w:t>os</w:t>
            </w:r>
            <w:proofErr w:type="spellEnd"/>
            <w:r w:rsidRPr="00B02A31">
              <w:rPr>
                <w:sz w:val="20"/>
                <w:lang w:val="fr-CA"/>
              </w:rPr>
              <w:t xml:space="preserve"> de dossier 450-01-110294-183, 750-01-052977-186, 450-01-106511-186, 450-01-105650-183, 450-01-105599-182, CM 17-04117-6 et CM 17-04118-8). Souhaitant se pourvoir en appel contre ces jugements, M. Laurin dépose une requête en autorisation d’appel devant la Cour d’appel du Québec, ainsi qu’une requête en prorogation de délai pour interjeter un appel. La Cour d’appel du Québec rejette les deux requêtes à l’unanimité. </w:t>
            </w:r>
          </w:p>
        </w:tc>
      </w:tr>
      <w:tr w:rsidR="004A6EE8" w:rsidRPr="00C33138" w:rsidTr="00E95A6A">
        <w:tc>
          <w:tcPr>
            <w:tcW w:w="5000" w:type="pct"/>
            <w:gridSpan w:val="4"/>
          </w:tcPr>
          <w:p w:rsidR="004A6EE8" w:rsidRPr="00B02A31" w:rsidRDefault="004A6EE8" w:rsidP="004A6EE8">
            <w:pPr>
              <w:jc w:val="both"/>
              <w:rPr>
                <w:sz w:val="20"/>
                <w:lang w:val="fr-CA"/>
              </w:rPr>
            </w:pPr>
          </w:p>
        </w:tc>
      </w:tr>
      <w:tr w:rsidR="004A6EE8" w:rsidRPr="00C33138" w:rsidTr="00E95A6A">
        <w:tc>
          <w:tcPr>
            <w:tcW w:w="2427" w:type="pct"/>
            <w:gridSpan w:val="2"/>
          </w:tcPr>
          <w:p w:rsidR="004A6EE8" w:rsidRPr="00B02A31" w:rsidRDefault="004A6EE8" w:rsidP="004A6EE8">
            <w:pPr>
              <w:jc w:val="both"/>
              <w:rPr>
                <w:sz w:val="20"/>
                <w:lang w:val="fr-CA"/>
              </w:rPr>
            </w:pPr>
            <w:r w:rsidRPr="00B02A31">
              <w:rPr>
                <w:sz w:val="20"/>
                <w:lang w:val="fr-CA"/>
              </w:rPr>
              <w:t>Le 10 mars 2020</w:t>
            </w:r>
          </w:p>
          <w:p w:rsidR="004A6EE8" w:rsidRPr="00B02A31" w:rsidRDefault="004A6EE8" w:rsidP="004A6EE8">
            <w:pPr>
              <w:jc w:val="both"/>
              <w:rPr>
                <w:sz w:val="20"/>
                <w:lang w:val="fr-CA"/>
              </w:rPr>
            </w:pPr>
            <w:r w:rsidRPr="00B02A31">
              <w:rPr>
                <w:sz w:val="20"/>
                <w:lang w:val="fr-CA"/>
              </w:rPr>
              <w:t>Cour d’appel du Québec (Montréal)</w:t>
            </w:r>
          </w:p>
          <w:p w:rsidR="004A6EE8" w:rsidRPr="00B02A31" w:rsidRDefault="004A6EE8" w:rsidP="004A6EE8">
            <w:pPr>
              <w:jc w:val="both"/>
              <w:rPr>
                <w:sz w:val="20"/>
                <w:lang w:val="fr-CA"/>
              </w:rPr>
            </w:pPr>
            <w:r w:rsidRPr="00B02A31">
              <w:rPr>
                <w:sz w:val="20"/>
                <w:lang w:val="fr-CA"/>
              </w:rPr>
              <w:t>(les juges Schrager, Healy et Fournier)</w:t>
            </w:r>
          </w:p>
          <w:p w:rsidR="004A6EE8" w:rsidRPr="00B02A31" w:rsidRDefault="004A6EE8" w:rsidP="004A6EE8">
            <w:pPr>
              <w:jc w:val="both"/>
              <w:rPr>
                <w:sz w:val="20"/>
              </w:rPr>
            </w:pPr>
            <w:r w:rsidRPr="00B02A31">
              <w:rPr>
                <w:sz w:val="20"/>
              </w:rPr>
              <w:t xml:space="preserve">Référence neutre : </w:t>
            </w:r>
            <w:hyperlink r:id="rId16" w:history="1">
              <w:r w:rsidRPr="00B02A31">
                <w:rPr>
                  <w:rStyle w:val="Hyperlink"/>
                  <w:sz w:val="20"/>
                </w:rPr>
                <w:t>2020 QCCA 403</w:t>
              </w:r>
            </w:hyperlink>
          </w:p>
          <w:p w:rsidR="004A6EE8" w:rsidRPr="00B02A31" w:rsidRDefault="004A6EE8" w:rsidP="004A6EE8">
            <w:pPr>
              <w:jc w:val="both"/>
              <w:rPr>
                <w:sz w:val="20"/>
              </w:rPr>
            </w:pPr>
          </w:p>
        </w:tc>
        <w:tc>
          <w:tcPr>
            <w:tcW w:w="243" w:type="pct"/>
          </w:tcPr>
          <w:p w:rsidR="004A6EE8" w:rsidRPr="00B02A31" w:rsidRDefault="004A6EE8" w:rsidP="004A6EE8">
            <w:pPr>
              <w:jc w:val="both"/>
              <w:rPr>
                <w:sz w:val="20"/>
              </w:rPr>
            </w:pPr>
          </w:p>
        </w:tc>
        <w:tc>
          <w:tcPr>
            <w:tcW w:w="2330" w:type="pct"/>
          </w:tcPr>
          <w:p w:rsidR="004A6EE8" w:rsidRPr="00B02A31" w:rsidRDefault="004A6EE8" w:rsidP="004A6EE8">
            <w:pPr>
              <w:jc w:val="both"/>
              <w:rPr>
                <w:sz w:val="20"/>
                <w:lang w:val="fr-CA"/>
              </w:rPr>
            </w:pPr>
            <w:r w:rsidRPr="00B02A31">
              <w:rPr>
                <w:sz w:val="20"/>
                <w:lang w:val="fr-CA"/>
              </w:rPr>
              <w:t>Requête en prorogation du délai d’appel — rejetée;</w:t>
            </w:r>
          </w:p>
          <w:p w:rsidR="004A6EE8" w:rsidRPr="00B02A31" w:rsidRDefault="004A6EE8" w:rsidP="004A6EE8">
            <w:pPr>
              <w:jc w:val="both"/>
              <w:rPr>
                <w:sz w:val="20"/>
                <w:lang w:val="fr-CA"/>
              </w:rPr>
            </w:pPr>
            <w:r w:rsidRPr="00B02A31">
              <w:rPr>
                <w:sz w:val="20"/>
                <w:lang w:val="fr-CA"/>
              </w:rPr>
              <w:t>Requête en autorisation d’appel de déclarations de culpabilité — rejetée</w:t>
            </w:r>
          </w:p>
          <w:p w:rsidR="004A6EE8" w:rsidRPr="00B02A31" w:rsidRDefault="004A6EE8" w:rsidP="004A6EE8">
            <w:pPr>
              <w:jc w:val="both"/>
              <w:rPr>
                <w:sz w:val="20"/>
                <w:lang w:val="fr-CA"/>
              </w:rPr>
            </w:pPr>
          </w:p>
        </w:tc>
      </w:tr>
      <w:tr w:rsidR="004A6EE8" w:rsidRPr="00B02A31" w:rsidTr="00E95A6A">
        <w:tc>
          <w:tcPr>
            <w:tcW w:w="2427" w:type="pct"/>
            <w:gridSpan w:val="2"/>
          </w:tcPr>
          <w:p w:rsidR="004A6EE8" w:rsidRPr="00B02A31" w:rsidRDefault="004A6EE8" w:rsidP="004A6EE8">
            <w:pPr>
              <w:jc w:val="both"/>
              <w:rPr>
                <w:sz w:val="20"/>
                <w:lang w:val="fr-CA"/>
              </w:rPr>
            </w:pPr>
            <w:r w:rsidRPr="00B02A31">
              <w:rPr>
                <w:sz w:val="20"/>
                <w:lang w:val="fr-CA"/>
              </w:rPr>
              <w:t>Le 21 octobre 2022</w:t>
            </w:r>
          </w:p>
          <w:p w:rsidR="004A6EE8" w:rsidRPr="00B02A31" w:rsidRDefault="004A6EE8" w:rsidP="004A6EE8">
            <w:pPr>
              <w:jc w:val="both"/>
              <w:rPr>
                <w:sz w:val="20"/>
                <w:lang w:val="fr-CA"/>
              </w:rPr>
            </w:pPr>
            <w:r w:rsidRPr="00B02A31">
              <w:rPr>
                <w:sz w:val="20"/>
                <w:lang w:val="fr-CA"/>
              </w:rPr>
              <w:t>Cour suprême du Canada</w:t>
            </w:r>
          </w:p>
        </w:tc>
        <w:tc>
          <w:tcPr>
            <w:tcW w:w="243" w:type="pct"/>
          </w:tcPr>
          <w:p w:rsidR="004A6EE8" w:rsidRPr="00B02A31" w:rsidRDefault="004A6EE8" w:rsidP="004A6EE8">
            <w:pPr>
              <w:jc w:val="both"/>
              <w:rPr>
                <w:sz w:val="20"/>
                <w:lang w:val="fr-CA"/>
              </w:rPr>
            </w:pPr>
          </w:p>
        </w:tc>
        <w:tc>
          <w:tcPr>
            <w:tcW w:w="2330" w:type="pct"/>
          </w:tcPr>
          <w:p w:rsidR="004A6EE8" w:rsidRPr="00B02A31" w:rsidRDefault="004A6EE8" w:rsidP="004A6EE8">
            <w:pPr>
              <w:jc w:val="both"/>
              <w:rPr>
                <w:sz w:val="20"/>
              </w:rPr>
            </w:pPr>
            <w:r w:rsidRPr="00B02A31">
              <w:rPr>
                <w:sz w:val="20"/>
              </w:rPr>
              <w:t>Demande d’autorisation d’appel déposée</w:t>
            </w:r>
          </w:p>
          <w:p w:rsidR="004A6EE8" w:rsidRPr="00B02A31" w:rsidRDefault="004A6EE8" w:rsidP="004A6EE8">
            <w:pPr>
              <w:jc w:val="both"/>
              <w:rPr>
                <w:sz w:val="20"/>
              </w:rPr>
            </w:pPr>
          </w:p>
        </w:tc>
      </w:tr>
    </w:tbl>
    <w:p w:rsidR="004A6EE8" w:rsidRPr="00B02A31" w:rsidRDefault="004A6EE8" w:rsidP="004A6EE8">
      <w:pPr>
        <w:jc w:val="both"/>
        <w:rPr>
          <w:sz w:val="20"/>
        </w:rPr>
      </w:pPr>
    </w:p>
    <w:p w:rsidR="00B02A31" w:rsidRPr="00B02A31" w:rsidRDefault="00C33138" w:rsidP="004A6EE8">
      <w:pPr>
        <w:jc w:val="both"/>
        <w:rPr>
          <w:sz w:val="20"/>
        </w:rPr>
      </w:pPr>
      <w:r>
        <w:rPr>
          <w:sz w:val="20"/>
        </w:rPr>
        <w:pict>
          <v:rect id="_x0000_i1030" style="width:2in;height:1pt" o:hrpct="0" o:hralign="center" o:hrstd="t" o:hrnoshade="t" o:hr="t" fillcolor="black [3213]" stroked="f"/>
        </w:pict>
      </w:r>
    </w:p>
    <w:p w:rsidR="00B02A31" w:rsidRPr="00B02A31" w:rsidRDefault="00B02A31" w:rsidP="004A6EE8">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4A6EE8" w:rsidRPr="00B02A31" w:rsidTr="00514D6E">
        <w:trPr>
          <w:gridAfter w:val="1"/>
          <w:wAfter w:w="48" w:type="pct"/>
        </w:trPr>
        <w:tc>
          <w:tcPr>
            <w:tcW w:w="537" w:type="pct"/>
          </w:tcPr>
          <w:p w:rsidR="004A6EE8" w:rsidRPr="00B02A31" w:rsidRDefault="004A6EE8" w:rsidP="004A6EE8">
            <w:pPr>
              <w:jc w:val="both"/>
              <w:rPr>
                <w:sz w:val="20"/>
              </w:rPr>
            </w:pPr>
            <w:r w:rsidRPr="00B02A31">
              <w:rPr>
                <w:rStyle w:val="SCCFileNumberChar"/>
                <w:sz w:val="20"/>
                <w:szCs w:val="20"/>
              </w:rPr>
              <w:t>40293</w:t>
            </w:r>
          </w:p>
        </w:tc>
        <w:tc>
          <w:tcPr>
            <w:tcW w:w="4415" w:type="pct"/>
            <w:gridSpan w:val="3"/>
          </w:tcPr>
          <w:p w:rsidR="004A6EE8" w:rsidRPr="00B02A31" w:rsidRDefault="004A6EE8" w:rsidP="004A6EE8">
            <w:pPr>
              <w:pStyle w:val="SCCLsocParty"/>
              <w:jc w:val="both"/>
              <w:rPr>
                <w:b/>
                <w:sz w:val="20"/>
                <w:szCs w:val="20"/>
                <w:lang w:val="en-US"/>
              </w:rPr>
            </w:pPr>
            <w:r w:rsidRPr="00B02A31">
              <w:rPr>
                <w:b/>
                <w:sz w:val="20"/>
                <w:szCs w:val="20"/>
                <w:lang w:val="en-US"/>
              </w:rPr>
              <w:t>Mei Sun also known as Sun Mei v. Teefy Developments (Bathurst Glen) Limited</w:t>
            </w:r>
          </w:p>
          <w:p w:rsidR="004A6EE8" w:rsidRPr="00B02A31" w:rsidRDefault="004A6EE8" w:rsidP="004A6EE8">
            <w:pPr>
              <w:jc w:val="both"/>
              <w:rPr>
                <w:sz w:val="20"/>
              </w:rPr>
            </w:pPr>
            <w:r w:rsidRPr="00B02A31">
              <w:rPr>
                <w:sz w:val="20"/>
              </w:rPr>
              <w:t>(Ont.) (Civil) (By Leave)</w:t>
            </w:r>
          </w:p>
        </w:tc>
      </w:tr>
      <w:tr w:rsidR="004A6EE8" w:rsidRPr="00B02A31" w:rsidTr="00514D6E">
        <w:trPr>
          <w:gridAfter w:val="1"/>
          <w:wAfter w:w="48" w:type="pct"/>
        </w:trPr>
        <w:tc>
          <w:tcPr>
            <w:tcW w:w="4952" w:type="pct"/>
            <w:gridSpan w:val="4"/>
          </w:tcPr>
          <w:p w:rsidR="004A6EE8" w:rsidRPr="00B02A31" w:rsidRDefault="004A6EE8" w:rsidP="004A6EE8">
            <w:pPr>
              <w:jc w:val="both"/>
              <w:rPr>
                <w:sz w:val="20"/>
              </w:rPr>
            </w:pPr>
            <w:r w:rsidRPr="00B02A31">
              <w:rPr>
                <w:sz w:val="20"/>
              </w:rPr>
              <w:t xml:space="preserve">Civil procedure </w:t>
            </w:r>
            <w:r w:rsidRPr="00B02A31">
              <w:rPr>
                <w:iCs/>
                <w:color w:val="000000"/>
                <w:sz w:val="20"/>
              </w:rPr>
              <w:t>— Appeals — Extension of time to appeal judgment — Applicant unsuccessfully moving to extend period in which judgment may be appealed — Does the application for leave to appeal raise an issue of public importance?</w:t>
            </w:r>
          </w:p>
        </w:tc>
      </w:tr>
      <w:tr w:rsidR="004A6EE8" w:rsidRPr="00B02A31" w:rsidTr="00514D6E">
        <w:trPr>
          <w:gridAfter w:val="1"/>
          <w:wAfter w:w="48" w:type="pct"/>
        </w:trPr>
        <w:tc>
          <w:tcPr>
            <w:tcW w:w="4952" w:type="pct"/>
            <w:gridSpan w:val="4"/>
          </w:tcPr>
          <w:p w:rsidR="004A6EE8" w:rsidRPr="00B02A31" w:rsidRDefault="004A6EE8" w:rsidP="004A6EE8">
            <w:pPr>
              <w:jc w:val="both"/>
              <w:rPr>
                <w:sz w:val="20"/>
              </w:rPr>
            </w:pPr>
          </w:p>
          <w:p w:rsidR="004A6EE8" w:rsidRPr="00B02A31" w:rsidRDefault="004A6EE8" w:rsidP="004A6EE8">
            <w:pPr>
              <w:jc w:val="both"/>
              <w:rPr>
                <w:sz w:val="20"/>
              </w:rPr>
            </w:pPr>
            <w:r w:rsidRPr="00B02A31">
              <w:rPr>
                <w:sz w:val="20"/>
              </w:rPr>
              <w:t>In 2016, the respondent Teefy Developments (Bathurst Glen) Limited (“Teefy”), was building a subdivision in the City of Vaughan and retained a brokerage for the sale of the new homes. The applicant, Ms. Sun, purchased a property through the brokerage, but was not in a position to close on the transaction for want of funds. After a number of extensions, Teefy terminated the Agreement of Purchase and Sale, without prejudice to its right to claim damages, which it sought before the courts of Ontario. In 2021, the Superior Court granted Teefy its damages as claimed on summary judgment. In so doing, it did not accept Ms. Sun’s pretentions of vulnerability, mental pressure, undue pressure and compulsion in entering into the agreement. A single judge of the Court of Appeal dismissed Ms. Sun’s motion to extend time to appeal the judgment, and a panel of the Court of Appeal declined to review the extension decision and dismissed Ms. Sun’s motion to admit fresh evidence. It noted that as an exercise of discretion, the extension decision is entitled to deference on review, absent a demonstrated error in principle or misapprehension of material evidence.</w:t>
            </w:r>
          </w:p>
        </w:tc>
      </w:tr>
      <w:tr w:rsidR="004A6EE8" w:rsidRPr="00B02A31" w:rsidTr="00514D6E">
        <w:trPr>
          <w:gridAfter w:val="1"/>
          <w:wAfter w:w="48" w:type="pct"/>
        </w:trPr>
        <w:tc>
          <w:tcPr>
            <w:tcW w:w="4952" w:type="pct"/>
            <w:gridSpan w:val="4"/>
          </w:tcPr>
          <w:p w:rsidR="004A6EE8" w:rsidRPr="00B02A31" w:rsidRDefault="004A6EE8" w:rsidP="004A6EE8">
            <w:pPr>
              <w:jc w:val="both"/>
              <w:rPr>
                <w:sz w:val="20"/>
              </w:rPr>
            </w:pPr>
          </w:p>
        </w:tc>
      </w:tr>
      <w:tr w:rsidR="004A6EE8" w:rsidRPr="00B02A31" w:rsidTr="00514D6E">
        <w:tblPrEx>
          <w:tblCellMar>
            <w:bottom w:w="0" w:type="dxa"/>
          </w:tblCellMar>
        </w:tblPrEx>
        <w:tc>
          <w:tcPr>
            <w:tcW w:w="2367" w:type="pct"/>
            <w:gridSpan w:val="2"/>
          </w:tcPr>
          <w:p w:rsidR="004A6EE8" w:rsidRPr="00B02A31" w:rsidRDefault="004A6EE8" w:rsidP="004A6EE8">
            <w:pPr>
              <w:jc w:val="both"/>
              <w:rPr>
                <w:sz w:val="20"/>
              </w:rPr>
            </w:pPr>
            <w:r w:rsidRPr="00B02A31">
              <w:rPr>
                <w:sz w:val="20"/>
              </w:rPr>
              <w:t>February 2, 2021</w:t>
            </w:r>
          </w:p>
          <w:p w:rsidR="004A6EE8" w:rsidRPr="00B02A31" w:rsidRDefault="004A6EE8" w:rsidP="004A6EE8">
            <w:pPr>
              <w:jc w:val="both"/>
              <w:rPr>
                <w:sz w:val="20"/>
              </w:rPr>
            </w:pPr>
            <w:r w:rsidRPr="00B02A31">
              <w:rPr>
                <w:sz w:val="20"/>
              </w:rPr>
              <w:t>Ontario Superior Court of Justice</w:t>
            </w:r>
          </w:p>
          <w:p w:rsidR="004A6EE8" w:rsidRPr="00B02A31" w:rsidRDefault="004A6EE8" w:rsidP="004A6EE8">
            <w:pPr>
              <w:jc w:val="both"/>
              <w:rPr>
                <w:sz w:val="20"/>
              </w:rPr>
            </w:pPr>
            <w:r w:rsidRPr="00B02A31">
              <w:rPr>
                <w:sz w:val="20"/>
              </w:rPr>
              <w:t>(Lemon J.)</w:t>
            </w:r>
          </w:p>
          <w:p w:rsidR="004A6EE8" w:rsidRPr="00B02A31" w:rsidRDefault="00C33138" w:rsidP="004A6EE8">
            <w:pPr>
              <w:jc w:val="both"/>
              <w:rPr>
                <w:sz w:val="20"/>
              </w:rPr>
            </w:pPr>
            <w:hyperlink r:id="rId17" w:history="1">
              <w:r w:rsidR="004A6EE8" w:rsidRPr="00B02A31">
                <w:rPr>
                  <w:rStyle w:val="Hyperlink"/>
                  <w:sz w:val="20"/>
                </w:rPr>
                <w:t>2021 ONSC 853</w:t>
              </w:r>
            </w:hyperlink>
          </w:p>
          <w:p w:rsidR="004A6EE8" w:rsidRPr="00B02A31" w:rsidRDefault="004A6EE8" w:rsidP="004A6EE8">
            <w:pPr>
              <w:jc w:val="both"/>
              <w:rPr>
                <w:sz w:val="20"/>
              </w:rPr>
            </w:pPr>
          </w:p>
        </w:tc>
        <w:tc>
          <w:tcPr>
            <w:tcW w:w="267" w:type="pct"/>
          </w:tcPr>
          <w:p w:rsidR="004A6EE8" w:rsidRPr="00B02A31" w:rsidRDefault="004A6EE8" w:rsidP="004A6EE8">
            <w:pPr>
              <w:jc w:val="both"/>
              <w:rPr>
                <w:sz w:val="20"/>
              </w:rPr>
            </w:pPr>
          </w:p>
        </w:tc>
        <w:tc>
          <w:tcPr>
            <w:tcW w:w="2366" w:type="pct"/>
            <w:gridSpan w:val="2"/>
          </w:tcPr>
          <w:p w:rsidR="004A6EE8" w:rsidRPr="00B02A31" w:rsidRDefault="004A6EE8" w:rsidP="004A6EE8">
            <w:pPr>
              <w:jc w:val="both"/>
              <w:rPr>
                <w:sz w:val="20"/>
              </w:rPr>
            </w:pPr>
            <w:r w:rsidRPr="00B02A31">
              <w:rPr>
                <w:sz w:val="20"/>
              </w:rPr>
              <w:t xml:space="preserve">Summary judgment granted in favor of respondent for damages </w:t>
            </w:r>
          </w:p>
          <w:p w:rsidR="004A6EE8" w:rsidRPr="00B02A31" w:rsidRDefault="004A6EE8" w:rsidP="004A6EE8">
            <w:pPr>
              <w:jc w:val="both"/>
              <w:rPr>
                <w:sz w:val="20"/>
              </w:rPr>
            </w:pPr>
          </w:p>
        </w:tc>
      </w:tr>
      <w:tr w:rsidR="004A6EE8" w:rsidRPr="00B02A31" w:rsidTr="00514D6E">
        <w:tblPrEx>
          <w:tblCellMar>
            <w:bottom w:w="0" w:type="dxa"/>
          </w:tblCellMar>
        </w:tblPrEx>
        <w:tc>
          <w:tcPr>
            <w:tcW w:w="2367" w:type="pct"/>
            <w:gridSpan w:val="2"/>
          </w:tcPr>
          <w:p w:rsidR="004A6EE8" w:rsidRPr="00B02A31" w:rsidRDefault="004A6EE8" w:rsidP="004A6EE8">
            <w:pPr>
              <w:jc w:val="both"/>
              <w:rPr>
                <w:sz w:val="20"/>
              </w:rPr>
            </w:pPr>
            <w:r w:rsidRPr="00B02A31">
              <w:rPr>
                <w:sz w:val="20"/>
              </w:rPr>
              <w:t>December 6, 2021</w:t>
            </w:r>
          </w:p>
          <w:p w:rsidR="004A6EE8" w:rsidRPr="00B02A31" w:rsidRDefault="004A6EE8" w:rsidP="004A6EE8">
            <w:pPr>
              <w:jc w:val="both"/>
              <w:rPr>
                <w:sz w:val="20"/>
              </w:rPr>
            </w:pPr>
            <w:r w:rsidRPr="00B02A31">
              <w:rPr>
                <w:sz w:val="20"/>
              </w:rPr>
              <w:t>Court of Appeal for Ontario</w:t>
            </w:r>
          </w:p>
          <w:p w:rsidR="004A6EE8" w:rsidRPr="00B02A31" w:rsidRDefault="004A6EE8" w:rsidP="004A6EE8">
            <w:pPr>
              <w:jc w:val="both"/>
              <w:rPr>
                <w:sz w:val="20"/>
              </w:rPr>
            </w:pPr>
            <w:r w:rsidRPr="00B02A31">
              <w:rPr>
                <w:sz w:val="20"/>
              </w:rPr>
              <w:t>(Nordheimer J.A.)</w:t>
            </w:r>
          </w:p>
          <w:p w:rsidR="004A6EE8" w:rsidRPr="00B02A31" w:rsidRDefault="00C33138" w:rsidP="004A6EE8">
            <w:pPr>
              <w:jc w:val="both"/>
              <w:rPr>
                <w:rStyle w:val="Hyperlink"/>
                <w:color w:val="auto"/>
                <w:sz w:val="20"/>
                <w:u w:val="none"/>
              </w:rPr>
            </w:pPr>
            <w:hyperlink r:id="rId18" w:history="1">
              <w:r w:rsidR="004A6EE8" w:rsidRPr="00B02A31">
                <w:rPr>
                  <w:rStyle w:val="Hyperlink"/>
                  <w:sz w:val="20"/>
                </w:rPr>
                <w:t>2021 ONCA 870</w:t>
              </w:r>
            </w:hyperlink>
          </w:p>
          <w:p w:rsidR="004A6EE8" w:rsidRPr="00B02A31" w:rsidRDefault="004A6EE8" w:rsidP="004A6EE8">
            <w:pPr>
              <w:jc w:val="both"/>
              <w:rPr>
                <w:sz w:val="20"/>
              </w:rPr>
            </w:pPr>
          </w:p>
        </w:tc>
        <w:tc>
          <w:tcPr>
            <w:tcW w:w="267" w:type="pct"/>
          </w:tcPr>
          <w:p w:rsidR="004A6EE8" w:rsidRPr="00B02A31" w:rsidRDefault="004A6EE8" w:rsidP="004A6EE8">
            <w:pPr>
              <w:jc w:val="both"/>
              <w:rPr>
                <w:sz w:val="20"/>
              </w:rPr>
            </w:pPr>
          </w:p>
        </w:tc>
        <w:tc>
          <w:tcPr>
            <w:tcW w:w="2366" w:type="pct"/>
            <w:gridSpan w:val="2"/>
          </w:tcPr>
          <w:p w:rsidR="004A6EE8" w:rsidRPr="00B02A31" w:rsidRDefault="004A6EE8" w:rsidP="004A6EE8">
            <w:pPr>
              <w:jc w:val="both"/>
              <w:rPr>
                <w:sz w:val="20"/>
              </w:rPr>
            </w:pPr>
            <w:r w:rsidRPr="00B02A31">
              <w:rPr>
                <w:sz w:val="20"/>
              </w:rPr>
              <w:t>Motion for order extending time to appeal judgment dismissed</w:t>
            </w:r>
          </w:p>
        </w:tc>
      </w:tr>
      <w:tr w:rsidR="004A6EE8" w:rsidRPr="00B02A31" w:rsidTr="00514D6E">
        <w:tblPrEx>
          <w:tblCellMar>
            <w:bottom w:w="0" w:type="dxa"/>
          </w:tblCellMar>
        </w:tblPrEx>
        <w:tc>
          <w:tcPr>
            <w:tcW w:w="2367" w:type="pct"/>
            <w:gridSpan w:val="2"/>
          </w:tcPr>
          <w:p w:rsidR="004A6EE8" w:rsidRPr="00B02A31" w:rsidRDefault="004A6EE8" w:rsidP="004A6EE8">
            <w:pPr>
              <w:jc w:val="both"/>
              <w:rPr>
                <w:sz w:val="20"/>
              </w:rPr>
            </w:pPr>
            <w:r w:rsidRPr="00B02A31">
              <w:rPr>
                <w:sz w:val="20"/>
              </w:rPr>
              <w:t>May 27, 2022</w:t>
            </w:r>
          </w:p>
          <w:p w:rsidR="004A6EE8" w:rsidRPr="00B02A31" w:rsidRDefault="004A6EE8" w:rsidP="004A6EE8">
            <w:pPr>
              <w:jc w:val="both"/>
              <w:rPr>
                <w:sz w:val="20"/>
              </w:rPr>
            </w:pPr>
            <w:r w:rsidRPr="00B02A31">
              <w:rPr>
                <w:sz w:val="20"/>
              </w:rPr>
              <w:t>Court of Appeal for Ontario</w:t>
            </w:r>
          </w:p>
          <w:p w:rsidR="004A6EE8" w:rsidRPr="00B02A31" w:rsidRDefault="004A6EE8" w:rsidP="004A6EE8">
            <w:pPr>
              <w:jc w:val="both"/>
              <w:rPr>
                <w:sz w:val="20"/>
              </w:rPr>
            </w:pPr>
            <w:r w:rsidRPr="00B02A31">
              <w:rPr>
                <w:sz w:val="20"/>
              </w:rPr>
              <w:t>(</w:t>
            </w:r>
            <w:proofErr w:type="gramStart"/>
            <w:r w:rsidRPr="00B02A31">
              <w:rPr>
                <w:sz w:val="20"/>
              </w:rPr>
              <w:t>van</w:t>
            </w:r>
            <w:proofErr w:type="gramEnd"/>
            <w:r w:rsidRPr="00B02A31">
              <w:rPr>
                <w:sz w:val="20"/>
              </w:rPr>
              <w:t xml:space="preserve"> Rensburg, Harvison Young and Copeland JJ.A.)</w:t>
            </w:r>
          </w:p>
          <w:p w:rsidR="004A6EE8" w:rsidRPr="00B02A31" w:rsidRDefault="004A6EE8" w:rsidP="004A6EE8">
            <w:pPr>
              <w:jc w:val="both"/>
              <w:rPr>
                <w:sz w:val="20"/>
              </w:rPr>
            </w:pPr>
            <w:r w:rsidRPr="00B02A31">
              <w:rPr>
                <w:sz w:val="20"/>
              </w:rPr>
              <w:t>No. M53032</w:t>
            </w:r>
          </w:p>
          <w:p w:rsidR="004A6EE8" w:rsidRPr="00B02A31" w:rsidRDefault="00C33138" w:rsidP="004A6EE8">
            <w:pPr>
              <w:jc w:val="both"/>
              <w:rPr>
                <w:sz w:val="20"/>
              </w:rPr>
            </w:pPr>
            <w:hyperlink r:id="rId19" w:history="1">
              <w:r w:rsidR="004A6EE8" w:rsidRPr="00B02A31">
                <w:rPr>
                  <w:rStyle w:val="Hyperlink"/>
                  <w:sz w:val="20"/>
                </w:rPr>
                <w:t>2022 ONCA 422</w:t>
              </w:r>
            </w:hyperlink>
          </w:p>
          <w:p w:rsidR="004A6EE8" w:rsidRPr="00B02A31" w:rsidRDefault="004A6EE8" w:rsidP="004A6EE8">
            <w:pPr>
              <w:jc w:val="both"/>
              <w:rPr>
                <w:sz w:val="20"/>
              </w:rPr>
            </w:pPr>
          </w:p>
        </w:tc>
        <w:tc>
          <w:tcPr>
            <w:tcW w:w="267" w:type="pct"/>
          </w:tcPr>
          <w:p w:rsidR="004A6EE8" w:rsidRPr="00B02A31" w:rsidRDefault="004A6EE8" w:rsidP="004A6EE8">
            <w:pPr>
              <w:jc w:val="both"/>
              <w:rPr>
                <w:sz w:val="20"/>
              </w:rPr>
            </w:pPr>
          </w:p>
        </w:tc>
        <w:tc>
          <w:tcPr>
            <w:tcW w:w="2366" w:type="pct"/>
            <w:gridSpan w:val="2"/>
          </w:tcPr>
          <w:p w:rsidR="004A6EE8" w:rsidRPr="00B02A31" w:rsidRDefault="004A6EE8" w:rsidP="004A6EE8">
            <w:pPr>
              <w:jc w:val="both"/>
              <w:rPr>
                <w:sz w:val="20"/>
              </w:rPr>
            </w:pPr>
            <w:r w:rsidRPr="00B02A31">
              <w:rPr>
                <w:sz w:val="20"/>
              </w:rPr>
              <w:t>Motion for panel review of order of single judge and for admission of fresh evidence dismissed</w:t>
            </w:r>
          </w:p>
        </w:tc>
      </w:tr>
      <w:tr w:rsidR="004A6EE8" w:rsidRPr="00B02A31" w:rsidTr="00514D6E">
        <w:tblPrEx>
          <w:tblCellMar>
            <w:bottom w:w="0" w:type="dxa"/>
          </w:tblCellMar>
        </w:tblPrEx>
        <w:tc>
          <w:tcPr>
            <w:tcW w:w="2367" w:type="pct"/>
            <w:gridSpan w:val="2"/>
          </w:tcPr>
          <w:p w:rsidR="004A6EE8" w:rsidRPr="00B02A31" w:rsidRDefault="004A6EE8" w:rsidP="004A6EE8">
            <w:pPr>
              <w:jc w:val="both"/>
              <w:rPr>
                <w:sz w:val="20"/>
              </w:rPr>
            </w:pPr>
            <w:r w:rsidRPr="00B02A31">
              <w:rPr>
                <w:sz w:val="20"/>
              </w:rPr>
              <w:t>July 26, 2022</w:t>
            </w:r>
          </w:p>
          <w:p w:rsidR="004A6EE8" w:rsidRPr="00B02A31" w:rsidRDefault="004A6EE8" w:rsidP="00B02A31">
            <w:pPr>
              <w:jc w:val="both"/>
              <w:rPr>
                <w:sz w:val="20"/>
              </w:rPr>
            </w:pPr>
            <w:r w:rsidRPr="00B02A31">
              <w:rPr>
                <w:sz w:val="20"/>
              </w:rPr>
              <w:t>Supreme Court of Canada</w:t>
            </w:r>
          </w:p>
        </w:tc>
        <w:tc>
          <w:tcPr>
            <w:tcW w:w="267" w:type="pct"/>
          </w:tcPr>
          <w:p w:rsidR="004A6EE8" w:rsidRPr="00B02A31" w:rsidRDefault="004A6EE8" w:rsidP="004A6EE8">
            <w:pPr>
              <w:jc w:val="both"/>
              <w:rPr>
                <w:sz w:val="20"/>
              </w:rPr>
            </w:pPr>
          </w:p>
        </w:tc>
        <w:tc>
          <w:tcPr>
            <w:tcW w:w="2366" w:type="pct"/>
            <w:gridSpan w:val="2"/>
          </w:tcPr>
          <w:p w:rsidR="004A6EE8" w:rsidRPr="00B02A31" w:rsidRDefault="004A6EE8" w:rsidP="004A6EE8">
            <w:pPr>
              <w:jc w:val="both"/>
              <w:rPr>
                <w:sz w:val="20"/>
              </w:rPr>
            </w:pPr>
            <w:r w:rsidRPr="00B02A31">
              <w:rPr>
                <w:sz w:val="20"/>
              </w:rPr>
              <w:t>Application for leave to appeal filed</w:t>
            </w:r>
          </w:p>
          <w:p w:rsidR="004A6EE8" w:rsidRPr="00B02A31" w:rsidRDefault="004A6EE8" w:rsidP="004A6EE8">
            <w:pPr>
              <w:jc w:val="both"/>
              <w:rPr>
                <w:sz w:val="20"/>
              </w:rPr>
            </w:pPr>
          </w:p>
        </w:tc>
      </w:tr>
    </w:tbl>
    <w:p w:rsidR="004A6EE8" w:rsidRPr="00B02A31" w:rsidRDefault="004A6EE8" w:rsidP="004A6EE8">
      <w:pPr>
        <w:jc w:val="both"/>
        <w:rPr>
          <w:sz w:val="20"/>
        </w:rPr>
      </w:pPr>
    </w:p>
    <w:p w:rsidR="00B02A31" w:rsidRPr="00B02A31" w:rsidRDefault="00C33138" w:rsidP="004A6EE8">
      <w:pPr>
        <w:jc w:val="both"/>
        <w:rPr>
          <w:sz w:val="20"/>
        </w:rPr>
      </w:pPr>
      <w:r>
        <w:rPr>
          <w:sz w:val="20"/>
        </w:rPr>
        <w:pict>
          <v:rect id="_x0000_i1031" style="width:2in;height:1pt" o:hrpct="0" o:hralign="center" o:hrstd="t" o:hrnoshade="t" o:hr="t" fillcolor="black [3213]" stroked="f"/>
        </w:pict>
      </w:r>
    </w:p>
    <w:p w:rsidR="00B02A31" w:rsidRPr="00B02A31" w:rsidRDefault="00B02A31" w:rsidP="004A6EE8">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4A6EE8" w:rsidRPr="00B02A31" w:rsidTr="00514D6E">
        <w:trPr>
          <w:gridAfter w:val="1"/>
          <w:wAfter w:w="48" w:type="pct"/>
        </w:trPr>
        <w:tc>
          <w:tcPr>
            <w:tcW w:w="537" w:type="pct"/>
          </w:tcPr>
          <w:p w:rsidR="004A6EE8" w:rsidRPr="00B02A31" w:rsidRDefault="004A6EE8" w:rsidP="004A6EE8">
            <w:pPr>
              <w:jc w:val="both"/>
              <w:rPr>
                <w:sz w:val="20"/>
                <w:lang w:val="fr-CA"/>
              </w:rPr>
            </w:pPr>
            <w:r w:rsidRPr="00B02A31">
              <w:rPr>
                <w:rStyle w:val="SCCFileNumberChar"/>
                <w:sz w:val="20"/>
                <w:szCs w:val="20"/>
                <w:lang w:val="fr-CA"/>
              </w:rPr>
              <w:t>40293</w:t>
            </w:r>
          </w:p>
        </w:tc>
        <w:tc>
          <w:tcPr>
            <w:tcW w:w="4415" w:type="pct"/>
            <w:gridSpan w:val="3"/>
          </w:tcPr>
          <w:p w:rsidR="004A6EE8" w:rsidRPr="00B02A31" w:rsidRDefault="004A6EE8" w:rsidP="004A6EE8">
            <w:pPr>
              <w:pStyle w:val="SCCLsocParty"/>
              <w:jc w:val="both"/>
              <w:rPr>
                <w:b/>
                <w:sz w:val="20"/>
                <w:szCs w:val="20"/>
              </w:rPr>
            </w:pPr>
            <w:r w:rsidRPr="00B02A31">
              <w:rPr>
                <w:b/>
                <w:sz w:val="20"/>
                <w:szCs w:val="20"/>
              </w:rPr>
              <w:t>Mei Sun, aussi connue sous le nom de Sun Mei c. Teefy Developments (Bathurst Glen) Limited</w:t>
            </w:r>
          </w:p>
          <w:p w:rsidR="004A6EE8" w:rsidRPr="00B02A31" w:rsidRDefault="004A6EE8" w:rsidP="004A6EE8">
            <w:pPr>
              <w:jc w:val="both"/>
              <w:rPr>
                <w:sz w:val="20"/>
                <w:lang w:val="fr-CA"/>
              </w:rPr>
            </w:pPr>
            <w:r w:rsidRPr="00B02A31">
              <w:rPr>
                <w:sz w:val="20"/>
                <w:lang w:val="fr-CA"/>
              </w:rPr>
              <w:t>(Ont.) (Civile) (Sur autorisation)</w:t>
            </w:r>
          </w:p>
        </w:tc>
      </w:tr>
      <w:tr w:rsidR="004A6EE8" w:rsidRPr="00C33138" w:rsidTr="00514D6E">
        <w:trPr>
          <w:gridAfter w:val="1"/>
          <w:wAfter w:w="48" w:type="pct"/>
        </w:trPr>
        <w:tc>
          <w:tcPr>
            <w:tcW w:w="4952" w:type="pct"/>
            <w:gridSpan w:val="4"/>
          </w:tcPr>
          <w:p w:rsidR="004A6EE8" w:rsidRPr="00B02A31" w:rsidRDefault="004A6EE8" w:rsidP="004A6EE8">
            <w:pPr>
              <w:jc w:val="both"/>
              <w:rPr>
                <w:sz w:val="20"/>
                <w:lang w:val="fr-CA"/>
              </w:rPr>
            </w:pPr>
            <w:r w:rsidRPr="00B02A31">
              <w:rPr>
                <w:sz w:val="20"/>
                <w:lang w:val="fr-CA"/>
              </w:rPr>
              <w:t xml:space="preserve">Procédure civile </w:t>
            </w:r>
            <w:r w:rsidRPr="00B02A31">
              <w:rPr>
                <w:iCs/>
                <w:color w:val="000000"/>
                <w:sz w:val="20"/>
                <w:lang w:val="fr-CA"/>
              </w:rPr>
              <w:t xml:space="preserve">— Appels — Prorogation du délai pour interjeter appel d’un jugement — Demanderesse sollicitant sans succès le prolongement de la période à l’intérieur de laquelle il était possible d’interjeter appel du jugement — La demande d’autorisation d’appel soulève-t-elle une question importante pour le public? </w:t>
            </w:r>
          </w:p>
        </w:tc>
      </w:tr>
      <w:tr w:rsidR="004A6EE8" w:rsidRPr="00C33138" w:rsidTr="00514D6E">
        <w:trPr>
          <w:gridAfter w:val="1"/>
          <w:wAfter w:w="48" w:type="pct"/>
        </w:trPr>
        <w:tc>
          <w:tcPr>
            <w:tcW w:w="4952" w:type="pct"/>
            <w:gridSpan w:val="4"/>
          </w:tcPr>
          <w:p w:rsidR="004A6EE8" w:rsidRPr="00B02A31" w:rsidRDefault="004A6EE8" w:rsidP="004A6EE8">
            <w:pPr>
              <w:jc w:val="both"/>
              <w:rPr>
                <w:sz w:val="20"/>
                <w:lang w:val="fr-CA"/>
              </w:rPr>
            </w:pPr>
          </w:p>
          <w:p w:rsidR="004A6EE8" w:rsidRPr="00B02A31" w:rsidRDefault="004A6EE8" w:rsidP="004A6EE8">
            <w:pPr>
              <w:jc w:val="both"/>
              <w:rPr>
                <w:sz w:val="20"/>
                <w:lang w:val="fr-CA"/>
              </w:rPr>
            </w:pPr>
            <w:r w:rsidRPr="00B02A31">
              <w:rPr>
                <w:sz w:val="20"/>
                <w:lang w:val="fr-CA"/>
              </w:rPr>
              <w:t>En 2016, l’intimée, Teefy Developments (Bathurst Glen) Limited (« Teefy »), construisait des immeubles sur un lotissement dans la ville de Vaughan et elle a retenu les services d’une firme de courtage pour la vente des nouvelles habitations. La demanderesse, M</w:t>
            </w:r>
            <w:r w:rsidRPr="00B02A31">
              <w:rPr>
                <w:sz w:val="20"/>
                <w:vertAlign w:val="superscript"/>
                <w:lang w:val="fr-CA"/>
              </w:rPr>
              <w:t>me</w:t>
            </w:r>
            <w:r w:rsidRPr="00B02A31">
              <w:rPr>
                <w:sz w:val="20"/>
                <w:lang w:val="fr-CA"/>
              </w:rPr>
              <w:t> Sun, a acheté un immeuble par l’entremise de la firme de courtage, mais elle n’a pas été en mesure de conclure la transaction en raison d’un manque de fonds. Après un certain nombre de prorogations de délai, Teefy a résolu le contrat de vente, et ce, sans préjudice de son droit de réclamer des dommages-intérêts, ce qu’elle a fait par la suite devant les tribunaux ontariens. En 2021, la Cour supérieure a accordé à Teefy les dommages-intérêts qu’elle avait réclamés par voie de jugement sommaire. Ce faisant, la cour a rejeté les prétentions de M</w:t>
            </w:r>
            <w:r w:rsidRPr="00B02A31">
              <w:rPr>
                <w:sz w:val="20"/>
                <w:vertAlign w:val="superscript"/>
                <w:lang w:val="fr-CA"/>
              </w:rPr>
              <w:t>me</w:t>
            </w:r>
            <w:r w:rsidRPr="00B02A31">
              <w:rPr>
                <w:sz w:val="20"/>
                <w:lang w:val="fr-CA"/>
              </w:rPr>
              <w:t> Sun concernant sa vulnérabilité ainsi que la pression psychologique, l’incitation pressante et la contrainte qu’elle aurait subies lors de la signature du contrat. Un juge de la Cour d’appel siégeant seul a rejeté la motion par laquelle M</w:t>
            </w:r>
            <w:r w:rsidRPr="00B02A31">
              <w:rPr>
                <w:sz w:val="20"/>
                <w:vertAlign w:val="superscript"/>
                <w:lang w:val="fr-CA"/>
              </w:rPr>
              <w:t>me</w:t>
            </w:r>
            <w:r w:rsidRPr="00B02A31">
              <w:rPr>
                <w:sz w:val="20"/>
                <w:lang w:val="fr-CA"/>
              </w:rPr>
              <w:t> Sun demandait que soit prorogé le délai pour interjeter appel du jugement de la juridiction inférieure, puis une formation de juges de la même cour a ensuite refusé de réviser la décision relative à la prorogation et rejeté la motion M</w:t>
            </w:r>
            <w:r w:rsidRPr="00B02A31">
              <w:rPr>
                <w:sz w:val="20"/>
                <w:vertAlign w:val="superscript"/>
                <w:lang w:val="fr-CA"/>
              </w:rPr>
              <w:t>me</w:t>
            </w:r>
            <w:r w:rsidRPr="00B02A31">
              <w:rPr>
                <w:sz w:val="20"/>
                <w:lang w:val="fr-CA"/>
              </w:rPr>
              <w:t xml:space="preserve"> Sun demandant l’admission de nouveaux éléments de preuve. La formation a fait remarquer que la décision relative à la prorogation découlait de l’exercice d’un pouvoir discrétionnaire et qu’elle commandait la déférence en contrôle, à moins qu’il soit démontré que le juge l’ayant rendue avait commis une erreur de principe ou avait mal interprété des éléments de preuve importants. </w:t>
            </w:r>
          </w:p>
        </w:tc>
      </w:tr>
      <w:tr w:rsidR="004A6EE8" w:rsidRPr="00C33138" w:rsidTr="00514D6E">
        <w:trPr>
          <w:gridAfter w:val="1"/>
          <w:wAfter w:w="48" w:type="pct"/>
        </w:trPr>
        <w:tc>
          <w:tcPr>
            <w:tcW w:w="4952" w:type="pct"/>
            <w:gridSpan w:val="4"/>
          </w:tcPr>
          <w:p w:rsidR="004A6EE8" w:rsidRPr="00B02A31" w:rsidRDefault="004A6EE8" w:rsidP="004A6EE8">
            <w:pPr>
              <w:jc w:val="both"/>
              <w:rPr>
                <w:sz w:val="20"/>
                <w:lang w:val="fr-CA"/>
              </w:rPr>
            </w:pPr>
          </w:p>
        </w:tc>
      </w:tr>
      <w:tr w:rsidR="004A6EE8" w:rsidRPr="00C33138" w:rsidTr="00514D6E">
        <w:tblPrEx>
          <w:tblCellMar>
            <w:bottom w:w="0" w:type="dxa"/>
          </w:tblCellMar>
        </w:tblPrEx>
        <w:tc>
          <w:tcPr>
            <w:tcW w:w="2367" w:type="pct"/>
            <w:gridSpan w:val="2"/>
          </w:tcPr>
          <w:p w:rsidR="004A6EE8" w:rsidRPr="00B02A31" w:rsidRDefault="004A6EE8" w:rsidP="004A6EE8">
            <w:pPr>
              <w:jc w:val="both"/>
              <w:rPr>
                <w:sz w:val="20"/>
                <w:lang w:val="fr-CA"/>
              </w:rPr>
            </w:pPr>
            <w:r w:rsidRPr="00B02A31">
              <w:rPr>
                <w:sz w:val="20"/>
                <w:lang w:val="fr-CA"/>
              </w:rPr>
              <w:t>2 février 2021</w:t>
            </w:r>
          </w:p>
          <w:p w:rsidR="004A6EE8" w:rsidRPr="00B02A31" w:rsidRDefault="004A6EE8" w:rsidP="004A6EE8">
            <w:pPr>
              <w:jc w:val="both"/>
              <w:rPr>
                <w:sz w:val="20"/>
                <w:lang w:val="fr-CA"/>
              </w:rPr>
            </w:pPr>
            <w:r w:rsidRPr="00B02A31">
              <w:rPr>
                <w:sz w:val="20"/>
                <w:lang w:val="fr-CA"/>
              </w:rPr>
              <w:t>Cour supérieure de justice de l’Ontario</w:t>
            </w:r>
          </w:p>
          <w:p w:rsidR="004A6EE8" w:rsidRPr="00B02A31" w:rsidRDefault="004A6EE8" w:rsidP="004A6EE8">
            <w:pPr>
              <w:jc w:val="both"/>
              <w:rPr>
                <w:sz w:val="20"/>
                <w:lang w:val="fr-CA"/>
              </w:rPr>
            </w:pPr>
            <w:r w:rsidRPr="00B02A31">
              <w:rPr>
                <w:sz w:val="20"/>
                <w:lang w:val="fr-CA"/>
              </w:rPr>
              <w:t>(Juge Lemon)</w:t>
            </w:r>
          </w:p>
          <w:p w:rsidR="004A6EE8" w:rsidRPr="00B02A31" w:rsidRDefault="00C33138" w:rsidP="004A6EE8">
            <w:pPr>
              <w:jc w:val="both"/>
              <w:rPr>
                <w:sz w:val="20"/>
                <w:lang w:val="fr-CA"/>
              </w:rPr>
            </w:pPr>
            <w:hyperlink r:id="rId20" w:history="1">
              <w:r w:rsidR="004A6EE8" w:rsidRPr="00B02A31">
                <w:rPr>
                  <w:rStyle w:val="Hyperlink"/>
                  <w:sz w:val="20"/>
                  <w:lang w:val="fr-CA"/>
                </w:rPr>
                <w:t>2021 ONSC 853</w:t>
              </w:r>
            </w:hyperlink>
          </w:p>
          <w:p w:rsidR="004A6EE8" w:rsidRPr="00B02A31" w:rsidRDefault="004A6EE8" w:rsidP="004A6EE8">
            <w:pPr>
              <w:jc w:val="both"/>
              <w:rPr>
                <w:sz w:val="20"/>
                <w:lang w:val="fr-CA"/>
              </w:rPr>
            </w:pPr>
          </w:p>
        </w:tc>
        <w:tc>
          <w:tcPr>
            <w:tcW w:w="267" w:type="pct"/>
          </w:tcPr>
          <w:p w:rsidR="004A6EE8" w:rsidRPr="00B02A31" w:rsidRDefault="004A6EE8" w:rsidP="004A6EE8">
            <w:pPr>
              <w:jc w:val="both"/>
              <w:rPr>
                <w:sz w:val="20"/>
                <w:lang w:val="fr-CA"/>
              </w:rPr>
            </w:pPr>
          </w:p>
        </w:tc>
        <w:tc>
          <w:tcPr>
            <w:tcW w:w="2366" w:type="pct"/>
            <w:gridSpan w:val="2"/>
          </w:tcPr>
          <w:p w:rsidR="004A6EE8" w:rsidRPr="00B02A31" w:rsidRDefault="004A6EE8" w:rsidP="004A6EE8">
            <w:pPr>
              <w:jc w:val="both"/>
              <w:rPr>
                <w:sz w:val="20"/>
                <w:lang w:val="fr-CA"/>
              </w:rPr>
            </w:pPr>
            <w:r w:rsidRPr="00B02A31">
              <w:rPr>
                <w:sz w:val="20"/>
                <w:lang w:val="fr-CA"/>
              </w:rPr>
              <w:t xml:space="preserve">Jugement sommaire accordé en faveur de l’intimée pour dommages-intérêts. </w:t>
            </w:r>
          </w:p>
          <w:p w:rsidR="004A6EE8" w:rsidRPr="00B02A31" w:rsidRDefault="004A6EE8" w:rsidP="004A6EE8">
            <w:pPr>
              <w:jc w:val="both"/>
              <w:rPr>
                <w:sz w:val="20"/>
                <w:lang w:val="fr-CA"/>
              </w:rPr>
            </w:pPr>
          </w:p>
        </w:tc>
      </w:tr>
      <w:tr w:rsidR="004A6EE8" w:rsidRPr="00C33138" w:rsidTr="00514D6E">
        <w:tblPrEx>
          <w:tblCellMar>
            <w:bottom w:w="0" w:type="dxa"/>
          </w:tblCellMar>
        </w:tblPrEx>
        <w:tc>
          <w:tcPr>
            <w:tcW w:w="2367" w:type="pct"/>
            <w:gridSpan w:val="2"/>
          </w:tcPr>
          <w:p w:rsidR="004A6EE8" w:rsidRPr="00B02A31" w:rsidRDefault="004A6EE8" w:rsidP="004A6EE8">
            <w:pPr>
              <w:jc w:val="both"/>
              <w:rPr>
                <w:sz w:val="20"/>
                <w:lang w:val="fr-CA"/>
              </w:rPr>
            </w:pPr>
            <w:r w:rsidRPr="00B02A31">
              <w:rPr>
                <w:sz w:val="20"/>
                <w:lang w:val="fr-CA"/>
              </w:rPr>
              <w:t>6 décembre 2021</w:t>
            </w:r>
          </w:p>
          <w:p w:rsidR="004A6EE8" w:rsidRPr="00B02A31" w:rsidRDefault="004A6EE8" w:rsidP="004A6EE8">
            <w:pPr>
              <w:jc w:val="both"/>
              <w:rPr>
                <w:sz w:val="20"/>
                <w:lang w:val="fr-CA"/>
              </w:rPr>
            </w:pPr>
            <w:r w:rsidRPr="00B02A31">
              <w:rPr>
                <w:sz w:val="20"/>
                <w:lang w:val="fr-CA"/>
              </w:rPr>
              <w:t>Cour d’appel de l’Ontario</w:t>
            </w:r>
          </w:p>
          <w:p w:rsidR="004A6EE8" w:rsidRPr="00B02A31" w:rsidRDefault="004A6EE8" w:rsidP="004A6EE8">
            <w:pPr>
              <w:jc w:val="both"/>
              <w:rPr>
                <w:sz w:val="20"/>
                <w:lang w:val="fr-CA"/>
              </w:rPr>
            </w:pPr>
            <w:r w:rsidRPr="00B02A31">
              <w:rPr>
                <w:sz w:val="20"/>
                <w:lang w:val="fr-CA"/>
              </w:rPr>
              <w:t>(Juge Nordheimer)</w:t>
            </w:r>
          </w:p>
          <w:p w:rsidR="004A6EE8" w:rsidRPr="00B02A31" w:rsidRDefault="00C33138" w:rsidP="004A6EE8">
            <w:pPr>
              <w:jc w:val="both"/>
              <w:rPr>
                <w:rStyle w:val="Hyperlink"/>
                <w:color w:val="auto"/>
                <w:sz w:val="20"/>
                <w:u w:val="none"/>
                <w:lang w:val="fr-CA"/>
              </w:rPr>
            </w:pPr>
            <w:hyperlink r:id="rId21" w:history="1">
              <w:r w:rsidR="004A6EE8" w:rsidRPr="00B02A31">
                <w:rPr>
                  <w:rStyle w:val="Hyperlink"/>
                  <w:sz w:val="20"/>
                  <w:lang w:val="fr-CA"/>
                </w:rPr>
                <w:t>2021 ONCA 870</w:t>
              </w:r>
            </w:hyperlink>
          </w:p>
          <w:p w:rsidR="004A6EE8" w:rsidRPr="00B02A31" w:rsidRDefault="004A6EE8" w:rsidP="004A6EE8">
            <w:pPr>
              <w:jc w:val="both"/>
              <w:rPr>
                <w:sz w:val="20"/>
                <w:lang w:val="fr-CA"/>
              </w:rPr>
            </w:pPr>
          </w:p>
        </w:tc>
        <w:tc>
          <w:tcPr>
            <w:tcW w:w="267" w:type="pct"/>
          </w:tcPr>
          <w:p w:rsidR="004A6EE8" w:rsidRPr="00B02A31" w:rsidRDefault="004A6EE8" w:rsidP="004A6EE8">
            <w:pPr>
              <w:jc w:val="both"/>
              <w:rPr>
                <w:sz w:val="20"/>
                <w:lang w:val="fr-CA"/>
              </w:rPr>
            </w:pPr>
          </w:p>
        </w:tc>
        <w:tc>
          <w:tcPr>
            <w:tcW w:w="2366" w:type="pct"/>
            <w:gridSpan w:val="2"/>
          </w:tcPr>
          <w:p w:rsidR="004A6EE8" w:rsidRPr="00B02A31" w:rsidRDefault="004A6EE8" w:rsidP="004A6EE8">
            <w:pPr>
              <w:jc w:val="both"/>
              <w:rPr>
                <w:sz w:val="20"/>
                <w:lang w:val="fr-CA"/>
              </w:rPr>
            </w:pPr>
            <w:r w:rsidRPr="00B02A31">
              <w:rPr>
                <w:sz w:val="20"/>
                <w:lang w:val="fr-CA"/>
              </w:rPr>
              <w:t xml:space="preserve">Rejet de la motion en prorogation du délai pour interjeter appel du jugement. </w:t>
            </w:r>
          </w:p>
        </w:tc>
      </w:tr>
      <w:tr w:rsidR="004A6EE8" w:rsidRPr="00C33138" w:rsidTr="00514D6E">
        <w:tblPrEx>
          <w:tblCellMar>
            <w:bottom w:w="0" w:type="dxa"/>
          </w:tblCellMar>
        </w:tblPrEx>
        <w:tc>
          <w:tcPr>
            <w:tcW w:w="2367" w:type="pct"/>
            <w:gridSpan w:val="2"/>
          </w:tcPr>
          <w:p w:rsidR="004A6EE8" w:rsidRPr="00B02A31" w:rsidRDefault="004A6EE8" w:rsidP="004A6EE8">
            <w:pPr>
              <w:jc w:val="both"/>
              <w:rPr>
                <w:sz w:val="20"/>
                <w:lang w:val="fr-CA"/>
              </w:rPr>
            </w:pPr>
            <w:r w:rsidRPr="00B02A31">
              <w:rPr>
                <w:sz w:val="20"/>
                <w:lang w:val="fr-CA"/>
              </w:rPr>
              <w:t>27 mai 2022</w:t>
            </w:r>
          </w:p>
          <w:p w:rsidR="004A6EE8" w:rsidRPr="00B02A31" w:rsidRDefault="004A6EE8" w:rsidP="004A6EE8">
            <w:pPr>
              <w:jc w:val="both"/>
              <w:rPr>
                <w:sz w:val="20"/>
                <w:lang w:val="fr-CA"/>
              </w:rPr>
            </w:pPr>
            <w:r w:rsidRPr="00B02A31">
              <w:rPr>
                <w:sz w:val="20"/>
                <w:lang w:val="fr-CA"/>
              </w:rPr>
              <w:t>Cour d’appel de l’Ontario</w:t>
            </w:r>
          </w:p>
          <w:p w:rsidR="004A6EE8" w:rsidRPr="00B02A31" w:rsidRDefault="004A6EE8" w:rsidP="004A6EE8">
            <w:pPr>
              <w:jc w:val="both"/>
              <w:rPr>
                <w:sz w:val="20"/>
                <w:lang w:val="fr-CA"/>
              </w:rPr>
            </w:pPr>
            <w:r w:rsidRPr="00B02A31">
              <w:rPr>
                <w:sz w:val="20"/>
                <w:lang w:val="fr-CA"/>
              </w:rPr>
              <w:t>(Juges van Rensburg, Harvison Young et Copeland)</w:t>
            </w:r>
          </w:p>
          <w:p w:rsidR="004A6EE8" w:rsidRPr="00B02A31" w:rsidRDefault="004A6EE8" w:rsidP="004A6EE8">
            <w:pPr>
              <w:jc w:val="both"/>
              <w:rPr>
                <w:sz w:val="20"/>
                <w:lang w:val="fr-CA"/>
              </w:rPr>
            </w:pPr>
            <w:r w:rsidRPr="00B02A31">
              <w:rPr>
                <w:sz w:val="20"/>
                <w:lang w:val="fr-CA"/>
              </w:rPr>
              <w:t>N</w:t>
            </w:r>
            <w:r w:rsidRPr="00B02A31">
              <w:rPr>
                <w:sz w:val="20"/>
                <w:vertAlign w:val="superscript"/>
                <w:lang w:val="fr-CA"/>
              </w:rPr>
              <w:t>o</w:t>
            </w:r>
            <w:r w:rsidRPr="00B02A31">
              <w:rPr>
                <w:sz w:val="20"/>
                <w:lang w:val="fr-CA"/>
              </w:rPr>
              <w:t xml:space="preserve"> M53032</w:t>
            </w:r>
          </w:p>
          <w:p w:rsidR="004A6EE8" w:rsidRPr="00B02A31" w:rsidRDefault="00C33138" w:rsidP="004A6EE8">
            <w:pPr>
              <w:jc w:val="both"/>
              <w:rPr>
                <w:sz w:val="20"/>
                <w:lang w:val="fr-CA"/>
              </w:rPr>
            </w:pPr>
            <w:hyperlink r:id="rId22" w:history="1">
              <w:r w:rsidR="004A6EE8" w:rsidRPr="00B02A31">
                <w:rPr>
                  <w:rStyle w:val="Hyperlink"/>
                  <w:sz w:val="20"/>
                  <w:lang w:val="fr-CA"/>
                </w:rPr>
                <w:t>2022 ONCA 422</w:t>
              </w:r>
            </w:hyperlink>
          </w:p>
          <w:p w:rsidR="004A6EE8" w:rsidRPr="00B02A31" w:rsidRDefault="004A6EE8" w:rsidP="004A6EE8">
            <w:pPr>
              <w:jc w:val="both"/>
              <w:rPr>
                <w:sz w:val="20"/>
                <w:lang w:val="fr-CA"/>
              </w:rPr>
            </w:pPr>
          </w:p>
        </w:tc>
        <w:tc>
          <w:tcPr>
            <w:tcW w:w="267" w:type="pct"/>
          </w:tcPr>
          <w:p w:rsidR="004A6EE8" w:rsidRPr="00B02A31" w:rsidRDefault="004A6EE8" w:rsidP="004A6EE8">
            <w:pPr>
              <w:jc w:val="both"/>
              <w:rPr>
                <w:sz w:val="20"/>
                <w:lang w:val="fr-CA"/>
              </w:rPr>
            </w:pPr>
          </w:p>
        </w:tc>
        <w:tc>
          <w:tcPr>
            <w:tcW w:w="2366" w:type="pct"/>
            <w:gridSpan w:val="2"/>
          </w:tcPr>
          <w:p w:rsidR="004A6EE8" w:rsidRPr="00B02A31" w:rsidRDefault="004A6EE8" w:rsidP="004A6EE8">
            <w:pPr>
              <w:jc w:val="both"/>
              <w:rPr>
                <w:sz w:val="20"/>
                <w:lang w:val="fr-CA"/>
              </w:rPr>
            </w:pPr>
            <w:r w:rsidRPr="00B02A31">
              <w:rPr>
                <w:sz w:val="20"/>
                <w:lang w:val="fr-CA"/>
              </w:rPr>
              <w:t xml:space="preserve">Rejet de la motion visant la révision d’une ordonnance rendue par un seul juge et l’admission de nouveaux éléments de preuve. </w:t>
            </w:r>
          </w:p>
        </w:tc>
      </w:tr>
      <w:tr w:rsidR="004A6EE8" w:rsidRPr="00B02A31" w:rsidTr="00514D6E">
        <w:tblPrEx>
          <w:tblCellMar>
            <w:bottom w:w="0" w:type="dxa"/>
          </w:tblCellMar>
        </w:tblPrEx>
        <w:tc>
          <w:tcPr>
            <w:tcW w:w="2367" w:type="pct"/>
            <w:gridSpan w:val="2"/>
          </w:tcPr>
          <w:p w:rsidR="004A6EE8" w:rsidRPr="00B02A31" w:rsidRDefault="004A6EE8" w:rsidP="004A6EE8">
            <w:pPr>
              <w:jc w:val="both"/>
              <w:rPr>
                <w:sz w:val="20"/>
                <w:lang w:val="fr-CA"/>
              </w:rPr>
            </w:pPr>
            <w:r w:rsidRPr="00B02A31">
              <w:rPr>
                <w:sz w:val="20"/>
                <w:lang w:val="fr-CA"/>
              </w:rPr>
              <w:t>26 juillet 2022</w:t>
            </w:r>
          </w:p>
          <w:p w:rsidR="004A6EE8" w:rsidRPr="00B02A31" w:rsidRDefault="004A6EE8" w:rsidP="004A6EE8">
            <w:pPr>
              <w:jc w:val="both"/>
              <w:rPr>
                <w:sz w:val="20"/>
                <w:lang w:val="fr-CA"/>
              </w:rPr>
            </w:pPr>
            <w:r w:rsidRPr="00B02A31">
              <w:rPr>
                <w:sz w:val="20"/>
                <w:lang w:val="fr-CA"/>
              </w:rPr>
              <w:t>Cour suprême du Canada</w:t>
            </w:r>
          </w:p>
        </w:tc>
        <w:tc>
          <w:tcPr>
            <w:tcW w:w="267" w:type="pct"/>
          </w:tcPr>
          <w:p w:rsidR="004A6EE8" w:rsidRPr="00B02A31" w:rsidRDefault="004A6EE8" w:rsidP="004A6EE8">
            <w:pPr>
              <w:jc w:val="both"/>
              <w:rPr>
                <w:sz w:val="20"/>
                <w:lang w:val="fr-CA"/>
              </w:rPr>
            </w:pPr>
          </w:p>
        </w:tc>
        <w:tc>
          <w:tcPr>
            <w:tcW w:w="2366" w:type="pct"/>
            <w:gridSpan w:val="2"/>
          </w:tcPr>
          <w:p w:rsidR="004A6EE8" w:rsidRPr="00B02A31" w:rsidRDefault="004A6EE8" w:rsidP="004A6EE8">
            <w:pPr>
              <w:jc w:val="both"/>
              <w:rPr>
                <w:sz w:val="20"/>
                <w:lang w:val="fr-CA"/>
              </w:rPr>
            </w:pPr>
            <w:r w:rsidRPr="00B02A31">
              <w:rPr>
                <w:sz w:val="20"/>
                <w:lang w:val="fr-CA"/>
              </w:rPr>
              <w:t xml:space="preserve">Demande d’autorisation d’appel déposée. </w:t>
            </w:r>
          </w:p>
          <w:p w:rsidR="004A6EE8" w:rsidRPr="00B02A31" w:rsidRDefault="004A6EE8" w:rsidP="004A6EE8">
            <w:pPr>
              <w:jc w:val="both"/>
              <w:rPr>
                <w:sz w:val="20"/>
                <w:lang w:val="fr-CA"/>
              </w:rPr>
            </w:pPr>
          </w:p>
        </w:tc>
      </w:tr>
    </w:tbl>
    <w:p w:rsidR="004A6EE8" w:rsidRPr="00B02A31" w:rsidRDefault="004A6EE8" w:rsidP="004A6EE8">
      <w:pPr>
        <w:jc w:val="both"/>
        <w:rPr>
          <w:sz w:val="20"/>
          <w:lang w:val="fr-CA"/>
        </w:rPr>
      </w:pPr>
    </w:p>
    <w:p w:rsidR="00B02A31" w:rsidRPr="00B02A31" w:rsidRDefault="00C33138" w:rsidP="004A6EE8">
      <w:pPr>
        <w:jc w:val="both"/>
        <w:rPr>
          <w:sz w:val="20"/>
          <w:lang w:val="fr-CA"/>
        </w:rPr>
      </w:pPr>
      <w:r>
        <w:rPr>
          <w:sz w:val="20"/>
        </w:rPr>
        <w:pict>
          <v:rect id="_x0000_i1032" style="width:2in;height:1pt" o:hrpct="0" o:hralign="center" o:hrstd="t" o:hrnoshade="t" o:hr="t" fillcolor="black [3213]" stroked="f"/>
        </w:pict>
      </w:r>
    </w:p>
    <w:p w:rsidR="00B02A31" w:rsidRPr="00B02A31" w:rsidRDefault="00B02A31" w:rsidP="004A6EE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A6EE8" w:rsidRPr="00B02A31" w:rsidTr="00E95A6A">
        <w:tc>
          <w:tcPr>
            <w:tcW w:w="543" w:type="pct"/>
          </w:tcPr>
          <w:p w:rsidR="004A6EE8" w:rsidRPr="00B02A31" w:rsidRDefault="004A6EE8" w:rsidP="004A6EE8">
            <w:pPr>
              <w:jc w:val="both"/>
              <w:rPr>
                <w:sz w:val="20"/>
              </w:rPr>
            </w:pPr>
            <w:bookmarkStart w:id="1" w:name="_GoBack"/>
            <w:bookmarkEnd w:id="1"/>
            <w:r w:rsidRPr="00B02A31">
              <w:rPr>
                <w:rStyle w:val="SCCFileNumberChar"/>
                <w:sz w:val="20"/>
                <w:szCs w:val="20"/>
              </w:rPr>
              <w:t>40547</w:t>
            </w:r>
          </w:p>
        </w:tc>
        <w:tc>
          <w:tcPr>
            <w:tcW w:w="4457" w:type="pct"/>
            <w:gridSpan w:val="3"/>
          </w:tcPr>
          <w:p w:rsidR="004A6EE8" w:rsidRPr="00B02A31" w:rsidRDefault="004A6EE8" w:rsidP="004A6EE8">
            <w:pPr>
              <w:pStyle w:val="SCCLsocParty"/>
              <w:jc w:val="both"/>
              <w:rPr>
                <w:b/>
                <w:sz w:val="20"/>
                <w:szCs w:val="20"/>
                <w:lang w:val="en-US"/>
              </w:rPr>
            </w:pPr>
            <w:r w:rsidRPr="00B02A31">
              <w:rPr>
                <w:b/>
                <w:sz w:val="20"/>
                <w:szCs w:val="20"/>
                <w:lang w:val="en-US"/>
              </w:rPr>
              <w:t>Dmytro Firsov v. Canada (Attorney General)</w:t>
            </w:r>
          </w:p>
          <w:p w:rsidR="004A6EE8" w:rsidRPr="00B02A31" w:rsidRDefault="004A6EE8" w:rsidP="00B02A31">
            <w:pPr>
              <w:jc w:val="both"/>
              <w:rPr>
                <w:sz w:val="20"/>
              </w:rPr>
            </w:pPr>
            <w:r w:rsidRPr="00B02A31">
              <w:rPr>
                <w:sz w:val="20"/>
              </w:rPr>
              <w:t>(F</w:t>
            </w:r>
            <w:r w:rsidR="00B02A31" w:rsidRPr="00B02A31">
              <w:rPr>
                <w:sz w:val="20"/>
              </w:rPr>
              <w:t>.C</w:t>
            </w:r>
            <w:r w:rsidRPr="00B02A31">
              <w:rPr>
                <w:sz w:val="20"/>
              </w:rPr>
              <w:t>.) (Civil) (By Leave)</w:t>
            </w:r>
          </w:p>
        </w:tc>
      </w:tr>
      <w:tr w:rsidR="004A6EE8" w:rsidRPr="00B02A31" w:rsidTr="00E95A6A">
        <w:tc>
          <w:tcPr>
            <w:tcW w:w="5000" w:type="pct"/>
            <w:gridSpan w:val="4"/>
          </w:tcPr>
          <w:p w:rsidR="004A6EE8" w:rsidRPr="00B02A31" w:rsidRDefault="004A6EE8" w:rsidP="004A6EE8">
            <w:pPr>
              <w:jc w:val="both"/>
              <w:rPr>
                <w:sz w:val="20"/>
              </w:rPr>
            </w:pPr>
            <w:r w:rsidRPr="00B02A31">
              <w:rPr>
                <w:sz w:val="20"/>
              </w:rPr>
              <w:t>Administrative law — Judicial review — Officer found to have contravened RCMP Code of Conduct — Application for judicial review of conduct decision dismissed — Whether lower courts erred in their reasoning and decisions — Whether application for leave to appeal raises issues of national or public importance.</w:t>
            </w:r>
          </w:p>
        </w:tc>
      </w:tr>
      <w:tr w:rsidR="004A6EE8" w:rsidRPr="00B02A31" w:rsidTr="00E95A6A">
        <w:tc>
          <w:tcPr>
            <w:tcW w:w="5000" w:type="pct"/>
            <w:gridSpan w:val="4"/>
          </w:tcPr>
          <w:p w:rsidR="004A6EE8" w:rsidRPr="00B02A31" w:rsidRDefault="004A6EE8" w:rsidP="004A6EE8">
            <w:pPr>
              <w:jc w:val="both"/>
              <w:rPr>
                <w:sz w:val="20"/>
              </w:rPr>
            </w:pPr>
          </w:p>
          <w:p w:rsidR="004A6EE8" w:rsidRPr="00B02A31" w:rsidRDefault="004A6EE8" w:rsidP="004A6EE8">
            <w:pPr>
              <w:jc w:val="both"/>
              <w:rPr>
                <w:sz w:val="20"/>
              </w:rPr>
            </w:pPr>
            <w:r w:rsidRPr="00B02A31">
              <w:rPr>
                <w:sz w:val="20"/>
              </w:rPr>
              <w:t>The applicant was the subject of a Code of Conduct investigation into four allegations that he contravened s. 4.2 of the RCMP Code of Conduct which requires that “[m]embers are diligent in the performance of their duties and the carrying out of their responsibilities, including taking appropriate action to aid any person who is exposed to potential, imminent or actual danger.”</w:t>
            </w:r>
          </w:p>
          <w:p w:rsidR="004A6EE8" w:rsidRPr="00B02A31" w:rsidRDefault="004A6EE8" w:rsidP="004A6EE8">
            <w:pPr>
              <w:jc w:val="both"/>
              <w:rPr>
                <w:sz w:val="20"/>
              </w:rPr>
            </w:pPr>
          </w:p>
          <w:p w:rsidR="004A6EE8" w:rsidRPr="00B02A31" w:rsidRDefault="004A6EE8" w:rsidP="004A6EE8">
            <w:pPr>
              <w:jc w:val="both"/>
              <w:rPr>
                <w:sz w:val="20"/>
              </w:rPr>
            </w:pPr>
            <w:r w:rsidRPr="00B02A31">
              <w:rPr>
                <w:sz w:val="20"/>
              </w:rPr>
              <w:t>A Code of Conduct investigation occurred and two of the four alleged conduct violations were found to be established. The Conduct Adjudicator upheld the conduct review decision and dismissed the appeal. The application for judicial review at the Federal Court was dismissed. The Federal Court of Appeal dismissed the subsequent appeal.</w:t>
            </w:r>
          </w:p>
        </w:tc>
      </w:tr>
      <w:tr w:rsidR="004A6EE8" w:rsidRPr="00B02A31" w:rsidTr="00E95A6A">
        <w:tc>
          <w:tcPr>
            <w:tcW w:w="5000" w:type="pct"/>
            <w:gridSpan w:val="4"/>
          </w:tcPr>
          <w:p w:rsidR="004A6EE8" w:rsidRPr="00B02A31" w:rsidRDefault="004A6EE8" w:rsidP="004A6EE8">
            <w:pPr>
              <w:jc w:val="both"/>
              <w:rPr>
                <w:sz w:val="20"/>
              </w:rPr>
            </w:pPr>
          </w:p>
        </w:tc>
      </w:tr>
      <w:tr w:rsidR="004A6EE8" w:rsidRPr="00B02A31" w:rsidTr="00E95A6A">
        <w:tc>
          <w:tcPr>
            <w:tcW w:w="2427" w:type="pct"/>
            <w:gridSpan w:val="2"/>
          </w:tcPr>
          <w:p w:rsidR="004A6EE8" w:rsidRPr="00B02A31" w:rsidRDefault="004A6EE8" w:rsidP="004A6EE8">
            <w:pPr>
              <w:jc w:val="both"/>
              <w:rPr>
                <w:sz w:val="20"/>
              </w:rPr>
            </w:pPr>
            <w:r w:rsidRPr="00B02A31">
              <w:rPr>
                <w:sz w:val="20"/>
              </w:rPr>
              <w:t>October 12, 2017</w:t>
            </w:r>
          </w:p>
          <w:p w:rsidR="004A6EE8" w:rsidRPr="00B02A31" w:rsidRDefault="004A6EE8" w:rsidP="004A6EE8">
            <w:pPr>
              <w:jc w:val="both"/>
              <w:rPr>
                <w:sz w:val="20"/>
              </w:rPr>
            </w:pPr>
            <w:r w:rsidRPr="00B02A31">
              <w:rPr>
                <w:sz w:val="20"/>
              </w:rPr>
              <w:t xml:space="preserve">Royal Canadian Mounted Police Code of </w:t>
            </w:r>
          </w:p>
          <w:p w:rsidR="004A6EE8" w:rsidRPr="00B02A31" w:rsidRDefault="004A6EE8" w:rsidP="004A6EE8">
            <w:pPr>
              <w:jc w:val="both"/>
              <w:rPr>
                <w:sz w:val="20"/>
              </w:rPr>
            </w:pPr>
            <w:r w:rsidRPr="00B02A31">
              <w:rPr>
                <w:sz w:val="20"/>
              </w:rPr>
              <w:t>Conduct Investigation Report</w:t>
            </w:r>
          </w:p>
          <w:p w:rsidR="004A6EE8" w:rsidRPr="00B02A31" w:rsidRDefault="004A6EE8" w:rsidP="004A6EE8">
            <w:pPr>
              <w:jc w:val="both"/>
              <w:rPr>
                <w:sz w:val="20"/>
              </w:rPr>
            </w:pPr>
            <w:r w:rsidRPr="00B02A31">
              <w:rPr>
                <w:sz w:val="20"/>
              </w:rPr>
              <w:t>(Inspector D. Warr)</w:t>
            </w:r>
          </w:p>
          <w:p w:rsidR="004A6EE8" w:rsidRPr="00B02A31" w:rsidRDefault="004A6EE8" w:rsidP="004A6EE8">
            <w:pPr>
              <w:jc w:val="both"/>
              <w:rPr>
                <w:sz w:val="20"/>
              </w:rPr>
            </w:pPr>
          </w:p>
        </w:tc>
        <w:tc>
          <w:tcPr>
            <w:tcW w:w="243" w:type="pct"/>
          </w:tcPr>
          <w:p w:rsidR="004A6EE8" w:rsidRPr="00B02A31" w:rsidRDefault="004A6EE8" w:rsidP="004A6EE8">
            <w:pPr>
              <w:jc w:val="both"/>
              <w:rPr>
                <w:sz w:val="20"/>
              </w:rPr>
            </w:pPr>
          </w:p>
        </w:tc>
        <w:tc>
          <w:tcPr>
            <w:tcW w:w="2330" w:type="pct"/>
          </w:tcPr>
          <w:p w:rsidR="004A6EE8" w:rsidRPr="00B02A31" w:rsidRDefault="004A6EE8" w:rsidP="004A6EE8">
            <w:pPr>
              <w:jc w:val="both"/>
              <w:rPr>
                <w:sz w:val="20"/>
              </w:rPr>
            </w:pPr>
            <w:r w:rsidRPr="00B02A31">
              <w:rPr>
                <w:sz w:val="20"/>
              </w:rPr>
              <w:t>Two of four conduct allegations against applicant established and conduct measures ordered.</w:t>
            </w:r>
          </w:p>
        </w:tc>
      </w:tr>
      <w:tr w:rsidR="004A6EE8" w:rsidRPr="00B02A31" w:rsidTr="00E95A6A">
        <w:tc>
          <w:tcPr>
            <w:tcW w:w="2427" w:type="pct"/>
            <w:gridSpan w:val="2"/>
          </w:tcPr>
          <w:p w:rsidR="004A6EE8" w:rsidRPr="00B02A31" w:rsidRDefault="004A6EE8" w:rsidP="004A6EE8">
            <w:pPr>
              <w:jc w:val="both"/>
              <w:rPr>
                <w:sz w:val="20"/>
              </w:rPr>
            </w:pPr>
            <w:r w:rsidRPr="00B02A31">
              <w:rPr>
                <w:sz w:val="20"/>
              </w:rPr>
              <w:t>March 26, 2020</w:t>
            </w:r>
          </w:p>
          <w:p w:rsidR="004A6EE8" w:rsidRPr="00B02A31" w:rsidRDefault="004A6EE8" w:rsidP="004A6EE8">
            <w:pPr>
              <w:jc w:val="both"/>
              <w:rPr>
                <w:sz w:val="20"/>
              </w:rPr>
            </w:pPr>
            <w:r w:rsidRPr="00B02A31">
              <w:rPr>
                <w:sz w:val="20"/>
              </w:rPr>
              <w:t xml:space="preserve">Royal Canadian Mounted Police Conduct </w:t>
            </w:r>
          </w:p>
          <w:p w:rsidR="004A6EE8" w:rsidRPr="00B02A31" w:rsidRDefault="004A6EE8" w:rsidP="004A6EE8">
            <w:pPr>
              <w:jc w:val="both"/>
              <w:rPr>
                <w:sz w:val="20"/>
              </w:rPr>
            </w:pPr>
            <w:r w:rsidRPr="00B02A31">
              <w:rPr>
                <w:sz w:val="20"/>
              </w:rPr>
              <w:t>Appeal Decision</w:t>
            </w:r>
          </w:p>
          <w:p w:rsidR="004A6EE8" w:rsidRPr="00B02A31" w:rsidRDefault="004A6EE8" w:rsidP="004A6EE8">
            <w:pPr>
              <w:jc w:val="both"/>
              <w:rPr>
                <w:sz w:val="20"/>
              </w:rPr>
            </w:pPr>
            <w:r w:rsidRPr="00B02A31">
              <w:rPr>
                <w:sz w:val="20"/>
              </w:rPr>
              <w:t>(Inspector C. Miller)</w:t>
            </w:r>
          </w:p>
          <w:p w:rsidR="004A6EE8" w:rsidRPr="00B02A31" w:rsidRDefault="004A6EE8" w:rsidP="004A6EE8">
            <w:pPr>
              <w:jc w:val="both"/>
              <w:rPr>
                <w:sz w:val="20"/>
              </w:rPr>
            </w:pPr>
          </w:p>
        </w:tc>
        <w:tc>
          <w:tcPr>
            <w:tcW w:w="243" w:type="pct"/>
          </w:tcPr>
          <w:p w:rsidR="004A6EE8" w:rsidRPr="00B02A31" w:rsidRDefault="004A6EE8" w:rsidP="004A6EE8">
            <w:pPr>
              <w:jc w:val="both"/>
              <w:rPr>
                <w:sz w:val="20"/>
              </w:rPr>
            </w:pPr>
          </w:p>
        </w:tc>
        <w:tc>
          <w:tcPr>
            <w:tcW w:w="2330" w:type="pct"/>
          </w:tcPr>
          <w:p w:rsidR="004A6EE8" w:rsidRPr="00B02A31" w:rsidRDefault="004A6EE8" w:rsidP="004A6EE8">
            <w:pPr>
              <w:jc w:val="both"/>
              <w:rPr>
                <w:sz w:val="20"/>
              </w:rPr>
            </w:pPr>
            <w:r w:rsidRPr="00B02A31">
              <w:rPr>
                <w:sz w:val="20"/>
              </w:rPr>
              <w:t>Internal administrative appeal of Conduct Investigation Report dismissed.</w:t>
            </w:r>
          </w:p>
        </w:tc>
      </w:tr>
      <w:tr w:rsidR="004A6EE8" w:rsidRPr="00B02A31" w:rsidTr="00E95A6A">
        <w:tc>
          <w:tcPr>
            <w:tcW w:w="2427" w:type="pct"/>
            <w:gridSpan w:val="2"/>
          </w:tcPr>
          <w:p w:rsidR="004A6EE8" w:rsidRPr="00B02A31" w:rsidRDefault="004A6EE8" w:rsidP="004A6EE8">
            <w:pPr>
              <w:jc w:val="both"/>
              <w:rPr>
                <w:sz w:val="20"/>
              </w:rPr>
            </w:pPr>
            <w:r w:rsidRPr="00B02A31">
              <w:rPr>
                <w:sz w:val="20"/>
              </w:rPr>
              <w:t>August 25, 2021</w:t>
            </w:r>
          </w:p>
          <w:p w:rsidR="004A6EE8" w:rsidRPr="00B02A31" w:rsidRDefault="004A6EE8" w:rsidP="004A6EE8">
            <w:pPr>
              <w:jc w:val="both"/>
              <w:rPr>
                <w:sz w:val="20"/>
              </w:rPr>
            </w:pPr>
            <w:r w:rsidRPr="00B02A31">
              <w:rPr>
                <w:sz w:val="20"/>
              </w:rPr>
              <w:t>Federal Court</w:t>
            </w:r>
          </w:p>
          <w:p w:rsidR="004A6EE8" w:rsidRPr="00B02A31" w:rsidRDefault="004A6EE8" w:rsidP="004A6EE8">
            <w:pPr>
              <w:jc w:val="both"/>
              <w:rPr>
                <w:sz w:val="20"/>
              </w:rPr>
            </w:pPr>
            <w:r w:rsidRPr="00B02A31">
              <w:rPr>
                <w:sz w:val="20"/>
              </w:rPr>
              <w:t>(Elliott J.)</w:t>
            </w:r>
          </w:p>
          <w:p w:rsidR="004A6EE8" w:rsidRPr="00B02A31" w:rsidRDefault="00C33138" w:rsidP="004A6EE8">
            <w:pPr>
              <w:jc w:val="both"/>
              <w:rPr>
                <w:sz w:val="20"/>
              </w:rPr>
            </w:pPr>
            <w:hyperlink r:id="rId23" w:history="1">
              <w:r w:rsidR="004A6EE8" w:rsidRPr="00B02A31">
                <w:rPr>
                  <w:rStyle w:val="Hyperlink"/>
                  <w:sz w:val="20"/>
                </w:rPr>
                <w:t>2021 FC 877</w:t>
              </w:r>
            </w:hyperlink>
          </w:p>
          <w:p w:rsidR="004A6EE8" w:rsidRPr="00B02A31" w:rsidRDefault="004A6EE8" w:rsidP="004A6EE8">
            <w:pPr>
              <w:jc w:val="both"/>
              <w:rPr>
                <w:sz w:val="20"/>
              </w:rPr>
            </w:pPr>
          </w:p>
        </w:tc>
        <w:tc>
          <w:tcPr>
            <w:tcW w:w="243" w:type="pct"/>
          </w:tcPr>
          <w:p w:rsidR="004A6EE8" w:rsidRPr="00B02A31" w:rsidRDefault="004A6EE8" w:rsidP="004A6EE8">
            <w:pPr>
              <w:jc w:val="both"/>
              <w:rPr>
                <w:sz w:val="20"/>
              </w:rPr>
            </w:pPr>
          </w:p>
        </w:tc>
        <w:tc>
          <w:tcPr>
            <w:tcW w:w="2330" w:type="pct"/>
          </w:tcPr>
          <w:p w:rsidR="004A6EE8" w:rsidRPr="00B02A31" w:rsidRDefault="004A6EE8" w:rsidP="004A6EE8">
            <w:pPr>
              <w:jc w:val="both"/>
              <w:rPr>
                <w:sz w:val="20"/>
              </w:rPr>
            </w:pPr>
            <w:r w:rsidRPr="00B02A31">
              <w:rPr>
                <w:sz w:val="20"/>
              </w:rPr>
              <w:t>Application for judicial review dismissed.</w:t>
            </w:r>
          </w:p>
          <w:p w:rsidR="004A6EE8" w:rsidRPr="00B02A31" w:rsidRDefault="004A6EE8" w:rsidP="004A6EE8">
            <w:pPr>
              <w:jc w:val="both"/>
              <w:rPr>
                <w:sz w:val="20"/>
              </w:rPr>
            </w:pPr>
          </w:p>
        </w:tc>
      </w:tr>
      <w:tr w:rsidR="004A6EE8" w:rsidRPr="00B02A31" w:rsidTr="00E95A6A">
        <w:tc>
          <w:tcPr>
            <w:tcW w:w="2427" w:type="pct"/>
            <w:gridSpan w:val="2"/>
          </w:tcPr>
          <w:p w:rsidR="004A6EE8" w:rsidRPr="00B02A31" w:rsidRDefault="004A6EE8" w:rsidP="004A6EE8">
            <w:pPr>
              <w:jc w:val="both"/>
              <w:rPr>
                <w:sz w:val="20"/>
              </w:rPr>
            </w:pPr>
            <w:r w:rsidRPr="00B02A31">
              <w:rPr>
                <w:sz w:val="20"/>
              </w:rPr>
              <w:t>November 8, 2022</w:t>
            </w:r>
          </w:p>
          <w:p w:rsidR="004A6EE8" w:rsidRPr="00B02A31" w:rsidRDefault="004A6EE8" w:rsidP="004A6EE8">
            <w:pPr>
              <w:jc w:val="both"/>
              <w:rPr>
                <w:sz w:val="20"/>
              </w:rPr>
            </w:pPr>
            <w:r w:rsidRPr="00B02A31">
              <w:rPr>
                <w:sz w:val="20"/>
              </w:rPr>
              <w:t>Federal Court of Appeal</w:t>
            </w:r>
          </w:p>
          <w:p w:rsidR="004A6EE8" w:rsidRPr="00B02A31" w:rsidRDefault="004A6EE8" w:rsidP="004A6EE8">
            <w:pPr>
              <w:jc w:val="both"/>
              <w:rPr>
                <w:sz w:val="20"/>
              </w:rPr>
            </w:pPr>
            <w:r w:rsidRPr="00B02A31">
              <w:rPr>
                <w:sz w:val="20"/>
              </w:rPr>
              <w:t>(Gleason, Mactavish and Monaghan JJ.A.)</w:t>
            </w:r>
          </w:p>
          <w:p w:rsidR="004A6EE8" w:rsidRPr="00B02A31" w:rsidRDefault="00C33138" w:rsidP="004A6EE8">
            <w:pPr>
              <w:jc w:val="both"/>
              <w:rPr>
                <w:sz w:val="20"/>
              </w:rPr>
            </w:pPr>
            <w:hyperlink r:id="rId24" w:history="1">
              <w:r w:rsidR="004A6EE8" w:rsidRPr="00B02A31">
                <w:rPr>
                  <w:rStyle w:val="Hyperlink"/>
                  <w:sz w:val="20"/>
                </w:rPr>
                <w:t>2022 FCA 191</w:t>
              </w:r>
            </w:hyperlink>
            <w:r w:rsidR="004A6EE8" w:rsidRPr="00B02A31">
              <w:rPr>
                <w:sz w:val="20"/>
              </w:rPr>
              <w:t xml:space="preserve"> </w:t>
            </w:r>
          </w:p>
          <w:p w:rsidR="004A6EE8" w:rsidRPr="00B02A31" w:rsidRDefault="004A6EE8" w:rsidP="004A6EE8">
            <w:pPr>
              <w:jc w:val="both"/>
              <w:rPr>
                <w:sz w:val="20"/>
              </w:rPr>
            </w:pPr>
            <w:r w:rsidRPr="00B02A31">
              <w:rPr>
                <w:sz w:val="20"/>
              </w:rPr>
              <w:t>File No.: A-253-21</w:t>
            </w:r>
          </w:p>
          <w:p w:rsidR="004A6EE8" w:rsidRPr="00B02A31" w:rsidRDefault="004A6EE8" w:rsidP="004A6EE8">
            <w:pPr>
              <w:jc w:val="both"/>
              <w:rPr>
                <w:sz w:val="20"/>
              </w:rPr>
            </w:pPr>
          </w:p>
        </w:tc>
        <w:tc>
          <w:tcPr>
            <w:tcW w:w="243" w:type="pct"/>
          </w:tcPr>
          <w:p w:rsidR="004A6EE8" w:rsidRPr="00B02A31" w:rsidRDefault="004A6EE8" w:rsidP="004A6EE8">
            <w:pPr>
              <w:jc w:val="both"/>
              <w:rPr>
                <w:sz w:val="20"/>
              </w:rPr>
            </w:pPr>
          </w:p>
        </w:tc>
        <w:tc>
          <w:tcPr>
            <w:tcW w:w="2330" w:type="pct"/>
          </w:tcPr>
          <w:p w:rsidR="004A6EE8" w:rsidRPr="00B02A31" w:rsidRDefault="004A6EE8" w:rsidP="004A6EE8">
            <w:pPr>
              <w:jc w:val="both"/>
              <w:rPr>
                <w:sz w:val="20"/>
              </w:rPr>
            </w:pPr>
            <w:r w:rsidRPr="00B02A31">
              <w:rPr>
                <w:sz w:val="20"/>
              </w:rPr>
              <w:t>Appeal dismissed.</w:t>
            </w:r>
          </w:p>
          <w:p w:rsidR="004A6EE8" w:rsidRPr="00B02A31" w:rsidRDefault="004A6EE8" w:rsidP="004A6EE8">
            <w:pPr>
              <w:jc w:val="both"/>
              <w:rPr>
                <w:sz w:val="20"/>
              </w:rPr>
            </w:pPr>
          </w:p>
        </w:tc>
      </w:tr>
      <w:tr w:rsidR="004A6EE8" w:rsidRPr="00B02A31" w:rsidTr="00E95A6A">
        <w:tc>
          <w:tcPr>
            <w:tcW w:w="2427" w:type="pct"/>
            <w:gridSpan w:val="2"/>
          </w:tcPr>
          <w:p w:rsidR="004A6EE8" w:rsidRPr="00B02A31" w:rsidRDefault="004A6EE8" w:rsidP="004A6EE8">
            <w:pPr>
              <w:jc w:val="both"/>
              <w:rPr>
                <w:sz w:val="20"/>
              </w:rPr>
            </w:pPr>
            <w:r w:rsidRPr="00B02A31">
              <w:rPr>
                <w:sz w:val="20"/>
              </w:rPr>
              <w:t>January 9, 2023</w:t>
            </w:r>
          </w:p>
          <w:p w:rsidR="004A6EE8" w:rsidRPr="00B02A31" w:rsidRDefault="004A6EE8" w:rsidP="004A6EE8">
            <w:pPr>
              <w:jc w:val="both"/>
              <w:rPr>
                <w:sz w:val="20"/>
              </w:rPr>
            </w:pPr>
            <w:r w:rsidRPr="00B02A31">
              <w:rPr>
                <w:sz w:val="20"/>
              </w:rPr>
              <w:t>Supreme Court of Canada</w:t>
            </w:r>
          </w:p>
        </w:tc>
        <w:tc>
          <w:tcPr>
            <w:tcW w:w="243" w:type="pct"/>
          </w:tcPr>
          <w:p w:rsidR="004A6EE8" w:rsidRPr="00B02A31" w:rsidRDefault="004A6EE8" w:rsidP="004A6EE8">
            <w:pPr>
              <w:jc w:val="both"/>
              <w:rPr>
                <w:sz w:val="20"/>
              </w:rPr>
            </w:pPr>
          </w:p>
        </w:tc>
        <w:tc>
          <w:tcPr>
            <w:tcW w:w="2330" w:type="pct"/>
          </w:tcPr>
          <w:p w:rsidR="004A6EE8" w:rsidRPr="00B02A31" w:rsidRDefault="004A6EE8" w:rsidP="004A6EE8">
            <w:pPr>
              <w:jc w:val="both"/>
              <w:rPr>
                <w:sz w:val="20"/>
              </w:rPr>
            </w:pPr>
            <w:r w:rsidRPr="00B02A31">
              <w:rPr>
                <w:sz w:val="20"/>
              </w:rPr>
              <w:t>Application for leave to appeal filed.</w:t>
            </w:r>
          </w:p>
          <w:p w:rsidR="004A6EE8" w:rsidRPr="00B02A31" w:rsidRDefault="004A6EE8" w:rsidP="004A6EE8">
            <w:pPr>
              <w:jc w:val="both"/>
              <w:rPr>
                <w:sz w:val="20"/>
              </w:rPr>
            </w:pPr>
          </w:p>
        </w:tc>
      </w:tr>
    </w:tbl>
    <w:p w:rsidR="004A6EE8" w:rsidRPr="00B02A31" w:rsidRDefault="004A6EE8" w:rsidP="004A6EE8">
      <w:pPr>
        <w:jc w:val="both"/>
        <w:rPr>
          <w:sz w:val="20"/>
        </w:rPr>
      </w:pPr>
    </w:p>
    <w:p w:rsidR="00B02A31" w:rsidRPr="00B02A31" w:rsidRDefault="00C33138" w:rsidP="004A6EE8">
      <w:pPr>
        <w:jc w:val="both"/>
        <w:rPr>
          <w:sz w:val="20"/>
        </w:rPr>
      </w:pPr>
      <w:r>
        <w:rPr>
          <w:sz w:val="20"/>
        </w:rPr>
        <w:pict>
          <v:rect id="_x0000_i1035" style="width:2in;height:1pt" o:hrpct="0" o:hralign="center" o:hrstd="t" o:hrnoshade="t" o:hr="t" fillcolor="black [3213]" stroked="f"/>
        </w:pict>
      </w:r>
    </w:p>
    <w:p w:rsidR="00B02A31" w:rsidRPr="00B02A31" w:rsidRDefault="00B02A31" w:rsidP="004A6EE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A6EE8" w:rsidRPr="00B02A31" w:rsidTr="00E64459">
        <w:tc>
          <w:tcPr>
            <w:tcW w:w="543" w:type="pct"/>
          </w:tcPr>
          <w:p w:rsidR="004A6EE8" w:rsidRPr="00B02A31" w:rsidRDefault="004A6EE8" w:rsidP="004A6EE8">
            <w:pPr>
              <w:jc w:val="both"/>
              <w:rPr>
                <w:sz w:val="20"/>
                <w:lang w:val="fr-CA"/>
              </w:rPr>
            </w:pPr>
            <w:r w:rsidRPr="00B02A31">
              <w:rPr>
                <w:rStyle w:val="SCCFileNumberChar"/>
                <w:sz w:val="20"/>
                <w:szCs w:val="20"/>
                <w:lang w:val="fr-CA"/>
              </w:rPr>
              <w:t>40547</w:t>
            </w:r>
          </w:p>
        </w:tc>
        <w:tc>
          <w:tcPr>
            <w:tcW w:w="4457" w:type="pct"/>
            <w:gridSpan w:val="3"/>
          </w:tcPr>
          <w:p w:rsidR="004A6EE8" w:rsidRPr="00B02A31" w:rsidRDefault="004A6EE8" w:rsidP="004A6EE8">
            <w:pPr>
              <w:pStyle w:val="SCCLsocParty"/>
              <w:jc w:val="both"/>
              <w:rPr>
                <w:b/>
                <w:sz w:val="20"/>
                <w:szCs w:val="20"/>
              </w:rPr>
            </w:pPr>
            <w:r w:rsidRPr="00B02A31">
              <w:rPr>
                <w:b/>
                <w:sz w:val="20"/>
                <w:szCs w:val="20"/>
              </w:rPr>
              <w:t>Dmytro Firsov c. Canada (Procureur général)</w:t>
            </w:r>
          </w:p>
          <w:p w:rsidR="004A6EE8" w:rsidRPr="00B02A31" w:rsidRDefault="004A6EE8" w:rsidP="00B02A31">
            <w:pPr>
              <w:jc w:val="both"/>
              <w:rPr>
                <w:sz w:val="20"/>
                <w:lang w:val="fr-CA"/>
              </w:rPr>
            </w:pPr>
            <w:r w:rsidRPr="00B02A31">
              <w:rPr>
                <w:sz w:val="20"/>
                <w:lang w:val="fr-CA"/>
              </w:rPr>
              <w:t>(</w:t>
            </w:r>
            <w:r w:rsidR="00B02A31" w:rsidRPr="00B02A31">
              <w:rPr>
                <w:sz w:val="20"/>
                <w:lang w:val="fr-CA"/>
              </w:rPr>
              <w:t>C.F.</w:t>
            </w:r>
            <w:r w:rsidRPr="00B02A31">
              <w:rPr>
                <w:sz w:val="20"/>
                <w:lang w:val="fr-CA"/>
              </w:rPr>
              <w:t>) (Civile) (Autorisation)</w:t>
            </w:r>
          </w:p>
        </w:tc>
      </w:tr>
      <w:tr w:rsidR="004A6EE8" w:rsidRPr="00C33138" w:rsidTr="00E64459">
        <w:tc>
          <w:tcPr>
            <w:tcW w:w="5000" w:type="pct"/>
            <w:gridSpan w:val="4"/>
          </w:tcPr>
          <w:p w:rsidR="004A6EE8" w:rsidRPr="00B02A31" w:rsidRDefault="004A6EE8" w:rsidP="004A6EE8">
            <w:pPr>
              <w:jc w:val="both"/>
              <w:rPr>
                <w:sz w:val="20"/>
                <w:lang w:val="fr-CA"/>
              </w:rPr>
            </w:pPr>
            <w:r w:rsidRPr="00B02A31">
              <w:rPr>
                <w:sz w:val="20"/>
                <w:lang w:val="fr-CA"/>
              </w:rPr>
              <w:t>Droit administratif — Contrôle judiciaire — Conclusion suivant laquelle le gendarme a contrevenu au Code de déontologie de la GRC — Rejet de la demande de contrôle judiciaire de la décision disciplinaire — Les juridictions inférieures ont</w:t>
            </w:r>
            <w:r w:rsidRPr="00B02A31">
              <w:rPr>
                <w:sz w:val="20"/>
                <w:lang w:val="fr-CA"/>
              </w:rPr>
              <w:noBreakHyphen/>
              <w:t xml:space="preserve">elles commis des erreurs dans leurs analyses et leurs décisions? — La demande d’autorisation d’appel soulève-t-elle des questions d’intérêt national ou des questions importantes pour le public? </w:t>
            </w:r>
          </w:p>
        </w:tc>
      </w:tr>
      <w:tr w:rsidR="004A6EE8" w:rsidRPr="00B02A31" w:rsidTr="00E64459">
        <w:tc>
          <w:tcPr>
            <w:tcW w:w="5000" w:type="pct"/>
            <w:gridSpan w:val="4"/>
          </w:tcPr>
          <w:p w:rsidR="004A6EE8" w:rsidRPr="00B02A31" w:rsidRDefault="004A6EE8" w:rsidP="004A6EE8">
            <w:pPr>
              <w:jc w:val="both"/>
              <w:rPr>
                <w:sz w:val="20"/>
                <w:lang w:val="fr-CA"/>
              </w:rPr>
            </w:pPr>
          </w:p>
          <w:p w:rsidR="004A6EE8" w:rsidRPr="00B02A31" w:rsidRDefault="004A6EE8" w:rsidP="004A6EE8">
            <w:pPr>
              <w:jc w:val="both"/>
              <w:rPr>
                <w:sz w:val="20"/>
                <w:lang w:val="fr-CA"/>
              </w:rPr>
            </w:pPr>
            <w:r w:rsidRPr="00B02A31">
              <w:rPr>
                <w:sz w:val="20"/>
                <w:lang w:val="fr-CA"/>
              </w:rPr>
              <w:t xml:space="preserve">Le demandeur a fait l’objet d’une enquête relative au Code de déontologie concernant quatre allégations selon lesquelles il avait contrevenu à l’art. 4.2 du Code de déontologie de la GRC </w:t>
            </w:r>
            <w:proofErr w:type="gramStart"/>
            <w:r w:rsidRPr="00B02A31">
              <w:rPr>
                <w:sz w:val="20"/>
                <w:lang w:val="fr-CA"/>
              </w:rPr>
              <w:t>qui dispose</w:t>
            </w:r>
            <w:proofErr w:type="gramEnd"/>
            <w:r w:rsidRPr="00B02A31">
              <w:rPr>
                <w:sz w:val="20"/>
                <w:lang w:val="fr-CA"/>
              </w:rPr>
              <w:t xml:space="preserve"> que les « membres font preuve de diligence dans l’exercice de leurs fonctions et de leurs responsabilités, notamment en prenant les mesures appropriées afin de prêter assistance à toute personne exposée à un danger réel, imminent ou potentiel ».</w:t>
            </w:r>
          </w:p>
          <w:p w:rsidR="004A6EE8" w:rsidRPr="00B02A31" w:rsidRDefault="004A6EE8" w:rsidP="004A6EE8">
            <w:pPr>
              <w:jc w:val="both"/>
              <w:rPr>
                <w:sz w:val="20"/>
                <w:lang w:val="fr-CA"/>
              </w:rPr>
            </w:pPr>
          </w:p>
          <w:p w:rsidR="004A6EE8" w:rsidRPr="00B02A31" w:rsidRDefault="004A6EE8" w:rsidP="00B02A31">
            <w:pPr>
              <w:jc w:val="both"/>
              <w:rPr>
                <w:sz w:val="20"/>
                <w:lang w:val="fr-CA"/>
              </w:rPr>
            </w:pPr>
            <w:r w:rsidRPr="00B02A31">
              <w:rPr>
                <w:sz w:val="20"/>
                <w:lang w:val="fr-CA"/>
              </w:rPr>
              <w:t>Une enquête relative au Code de déontologie a eu lieu et deux des quatre contraventions avancées ont été déclarées établies. L’arbitre a maintenu la décision de l’autorité disciplinaire et a rejeté l’appel. La demande de contrôle judiciaire présentée à la Cour fédérale a été rejetée. La Cour d’appel fédérale a rejeté l’appel subséquent.</w:t>
            </w:r>
          </w:p>
        </w:tc>
      </w:tr>
      <w:tr w:rsidR="004A6EE8" w:rsidRPr="00B02A31" w:rsidTr="00E64459">
        <w:tc>
          <w:tcPr>
            <w:tcW w:w="5000" w:type="pct"/>
            <w:gridSpan w:val="4"/>
          </w:tcPr>
          <w:p w:rsidR="004A6EE8" w:rsidRPr="00B02A31" w:rsidRDefault="004A6EE8" w:rsidP="004A6EE8">
            <w:pPr>
              <w:jc w:val="both"/>
              <w:rPr>
                <w:sz w:val="20"/>
                <w:lang w:val="fr-CA"/>
              </w:rPr>
            </w:pPr>
          </w:p>
        </w:tc>
      </w:tr>
      <w:tr w:rsidR="004A6EE8" w:rsidRPr="00C33138" w:rsidTr="00E64459">
        <w:tc>
          <w:tcPr>
            <w:tcW w:w="2427" w:type="pct"/>
            <w:gridSpan w:val="2"/>
          </w:tcPr>
          <w:p w:rsidR="004A6EE8" w:rsidRPr="00B02A31" w:rsidRDefault="004A6EE8" w:rsidP="004A6EE8">
            <w:pPr>
              <w:jc w:val="both"/>
              <w:rPr>
                <w:sz w:val="20"/>
                <w:lang w:val="fr-CA"/>
              </w:rPr>
            </w:pPr>
            <w:r w:rsidRPr="00B02A31">
              <w:rPr>
                <w:sz w:val="20"/>
                <w:lang w:val="fr-CA"/>
              </w:rPr>
              <w:t>12 octobre 2017</w:t>
            </w:r>
          </w:p>
          <w:p w:rsidR="004A6EE8" w:rsidRPr="00B02A31" w:rsidRDefault="004A6EE8" w:rsidP="004A6EE8">
            <w:pPr>
              <w:jc w:val="both"/>
              <w:rPr>
                <w:sz w:val="20"/>
                <w:lang w:val="fr-CA"/>
              </w:rPr>
            </w:pPr>
            <w:r w:rsidRPr="00B02A31">
              <w:rPr>
                <w:sz w:val="20"/>
                <w:lang w:val="fr-CA"/>
              </w:rPr>
              <w:t xml:space="preserve">Rapport d’enquête relative au Code de déontologie de la Gendarmerie Royale du Canada </w:t>
            </w:r>
          </w:p>
          <w:p w:rsidR="004A6EE8" w:rsidRPr="00B02A31" w:rsidRDefault="004A6EE8" w:rsidP="004A6EE8">
            <w:pPr>
              <w:jc w:val="both"/>
              <w:rPr>
                <w:sz w:val="20"/>
                <w:lang w:val="fr-CA"/>
              </w:rPr>
            </w:pPr>
            <w:r w:rsidRPr="00B02A31">
              <w:rPr>
                <w:sz w:val="20"/>
                <w:lang w:val="fr-CA"/>
              </w:rPr>
              <w:t>(Inspecteur D. Warr)</w:t>
            </w:r>
          </w:p>
        </w:tc>
        <w:tc>
          <w:tcPr>
            <w:tcW w:w="243" w:type="pct"/>
          </w:tcPr>
          <w:p w:rsidR="004A6EE8" w:rsidRPr="00B02A31" w:rsidRDefault="004A6EE8" w:rsidP="004A6EE8">
            <w:pPr>
              <w:jc w:val="both"/>
              <w:rPr>
                <w:sz w:val="20"/>
                <w:lang w:val="fr-CA"/>
              </w:rPr>
            </w:pPr>
          </w:p>
        </w:tc>
        <w:tc>
          <w:tcPr>
            <w:tcW w:w="2330" w:type="pct"/>
          </w:tcPr>
          <w:p w:rsidR="004A6EE8" w:rsidRPr="00B02A31" w:rsidRDefault="004A6EE8" w:rsidP="004A6EE8">
            <w:pPr>
              <w:jc w:val="both"/>
              <w:rPr>
                <w:sz w:val="20"/>
                <w:lang w:val="fr-CA"/>
              </w:rPr>
            </w:pPr>
            <w:r w:rsidRPr="00B02A31">
              <w:rPr>
                <w:sz w:val="20"/>
                <w:lang w:val="fr-CA"/>
              </w:rPr>
              <w:t>Deux des quatre allégations en matière disciplinaire portées contre le demandeur ont été établies et des mesures disciplinaires ont été adoptées</w:t>
            </w:r>
          </w:p>
        </w:tc>
      </w:tr>
      <w:tr w:rsidR="004A6EE8" w:rsidRPr="00C33138" w:rsidTr="00E64459">
        <w:tc>
          <w:tcPr>
            <w:tcW w:w="2427" w:type="pct"/>
            <w:gridSpan w:val="2"/>
          </w:tcPr>
          <w:p w:rsidR="004A6EE8" w:rsidRPr="00B02A31" w:rsidRDefault="004A6EE8" w:rsidP="004A6EE8">
            <w:pPr>
              <w:jc w:val="both"/>
              <w:rPr>
                <w:sz w:val="20"/>
                <w:lang w:val="fr-CA"/>
              </w:rPr>
            </w:pPr>
            <w:r w:rsidRPr="00B02A31">
              <w:rPr>
                <w:sz w:val="20"/>
                <w:lang w:val="fr-CA"/>
              </w:rPr>
              <w:t>26 mars 2020</w:t>
            </w:r>
          </w:p>
          <w:p w:rsidR="004A6EE8" w:rsidRPr="00B02A31" w:rsidRDefault="004A6EE8" w:rsidP="004A6EE8">
            <w:pPr>
              <w:jc w:val="both"/>
              <w:rPr>
                <w:sz w:val="20"/>
                <w:lang w:val="fr-CA"/>
              </w:rPr>
            </w:pPr>
            <w:r w:rsidRPr="00B02A31">
              <w:rPr>
                <w:sz w:val="20"/>
                <w:lang w:val="fr-CA"/>
              </w:rPr>
              <w:t xml:space="preserve">Décision d’appel en matière disciplinaire de la Gendarmerie Royale du Canada </w:t>
            </w:r>
          </w:p>
          <w:p w:rsidR="004A6EE8" w:rsidRPr="00B02A31" w:rsidRDefault="004A6EE8" w:rsidP="004A6EE8">
            <w:pPr>
              <w:jc w:val="both"/>
              <w:rPr>
                <w:sz w:val="20"/>
                <w:lang w:val="fr-CA"/>
              </w:rPr>
            </w:pPr>
            <w:r w:rsidRPr="00B02A31">
              <w:rPr>
                <w:sz w:val="20"/>
                <w:lang w:val="fr-CA"/>
              </w:rPr>
              <w:t>(Inspecteur C. Miller)</w:t>
            </w:r>
          </w:p>
          <w:p w:rsidR="004A6EE8" w:rsidRPr="00B02A31" w:rsidRDefault="004A6EE8" w:rsidP="004A6EE8">
            <w:pPr>
              <w:jc w:val="both"/>
              <w:rPr>
                <w:sz w:val="20"/>
                <w:lang w:val="fr-CA"/>
              </w:rPr>
            </w:pPr>
          </w:p>
        </w:tc>
        <w:tc>
          <w:tcPr>
            <w:tcW w:w="243" w:type="pct"/>
          </w:tcPr>
          <w:p w:rsidR="004A6EE8" w:rsidRPr="00B02A31" w:rsidRDefault="004A6EE8" w:rsidP="004A6EE8">
            <w:pPr>
              <w:jc w:val="both"/>
              <w:rPr>
                <w:sz w:val="20"/>
                <w:lang w:val="fr-CA"/>
              </w:rPr>
            </w:pPr>
          </w:p>
        </w:tc>
        <w:tc>
          <w:tcPr>
            <w:tcW w:w="2330" w:type="pct"/>
          </w:tcPr>
          <w:p w:rsidR="004A6EE8" w:rsidRPr="00B02A31" w:rsidRDefault="004A6EE8" w:rsidP="004A6EE8">
            <w:pPr>
              <w:jc w:val="both"/>
              <w:rPr>
                <w:sz w:val="20"/>
                <w:lang w:val="fr-CA"/>
              </w:rPr>
            </w:pPr>
            <w:r w:rsidRPr="00B02A31">
              <w:rPr>
                <w:sz w:val="20"/>
                <w:lang w:val="fr-CA"/>
              </w:rPr>
              <w:t>Rejet de l’appel administratif interne portant sur le rapport de l’enquête disciplinaire.</w:t>
            </w:r>
          </w:p>
        </w:tc>
      </w:tr>
      <w:tr w:rsidR="004A6EE8" w:rsidRPr="00C33138" w:rsidTr="00E64459">
        <w:tc>
          <w:tcPr>
            <w:tcW w:w="2427" w:type="pct"/>
            <w:gridSpan w:val="2"/>
          </w:tcPr>
          <w:p w:rsidR="004A6EE8" w:rsidRPr="00B02A31" w:rsidRDefault="004A6EE8" w:rsidP="004A6EE8">
            <w:pPr>
              <w:jc w:val="both"/>
              <w:rPr>
                <w:sz w:val="20"/>
                <w:lang w:val="fr-CA"/>
              </w:rPr>
            </w:pPr>
            <w:r w:rsidRPr="00B02A31">
              <w:rPr>
                <w:sz w:val="20"/>
                <w:lang w:val="fr-CA"/>
              </w:rPr>
              <w:t>25 août 2021</w:t>
            </w:r>
          </w:p>
          <w:p w:rsidR="004A6EE8" w:rsidRPr="00B02A31" w:rsidRDefault="004A6EE8" w:rsidP="004A6EE8">
            <w:pPr>
              <w:jc w:val="both"/>
              <w:rPr>
                <w:sz w:val="20"/>
                <w:lang w:val="fr-CA"/>
              </w:rPr>
            </w:pPr>
            <w:r w:rsidRPr="00B02A31">
              <w:rPr>
                <w:sz w:val="20"/>
                <w:lang w:val="fr-CA"/>
              </w:rPr>
              <w:t>Cour fédérale</w:t>
            </w:r>
          </w:p>
          <w:p w:rsidR="004A6EE8" w:rsidRPr="00B02A31" w:rsidRDefault="004A6EE8" w:rsidP="004A6EE8">
            <w:pPr>
              <w:jc w:val="both"/>
              <w:rPr>
                <w:sz w:val="20"/>
                <w:lang w:val="fr-CA"/>
              </w:rPr>
            </w:pPr>
            <w:r w:rsidRPr="00B02A31">
              <w:rPr>
                <w:sz w:val="20"/>
                <w:lang w:val="fr-CA"/>
              </w:rPr>
              <w:t>(juge Elliott)</w:t>
            </w:r>
          </w:p>
          <w:p w:rsidR="004A6EE8" w:rsidRPr="00B02A31" w:rsidRDefault="00C33138" w:rsidP="004A6EE8">
            <w:pPr>
              <w:jc w:val="both"/>
              <w:rPr>
                <w:sz w:val="20"/>
                <w:lang w:val="fr-CA"/>
              </w:rPr>
            </w:pPr>
            <w:hyperlink r:id="rId25" w:history="1">
              <w:r w:rsidR="004A6EE8" w:rsidRPr="00B02A31">
                <w:rPr>
                  <w:rStyle w:val="Hyperlink"/>
                  <w:sz w:val="20"/>
                  <w:lang w:val="fr-CA"/>
                </w:rPr>
                <w:t>2021 CF 877</w:t>
              </w:r>
            </w:hyperlink>
          </w:p>
          <w:p w:rsidR="004A6EE8" w:rsidRPr="00B02A31" w:rsidRDefault="004A6EE8" w:rsidP="004A6EE8">
            <w:pPr>
              <w:jc w:val="both"/>
              <w:rPr>
                <w:sz w:val="20"/>
                <w:lang w:val="fr-CA"/>
              </w:rPr>
            </w:pPr>
          </w:p>
        </w:tc>
        <w:tc>
          <w:tcPr>
            <w:tcW w:w="243" w:type="pct"/>
          </w:tcPr>
          <w:p w:rsidR="004A6EE8" w:rsidRPr="00B02A31" w:rsidRDefault="004A6EE8" w:rsidP="004A6EE8">
            <w:pPr>
              <w:jc w:val="both"/>
              <w:rPr>
                <w:sz w:val="20"/>
                <w:lang w:val="fr-CA"/>
              </w:rPr>
            </w:pPr>
          </w:p>
        </w:tc>
        <w:tc>
          <w:tcPr>
            <w:tcW w:w="2330" w:type="pct"/>
          </w:tcPr>
          <w:p w:rsidR="004A6EE8" w:rsidRPr="00B02A31" w:rsidRDefault="004A6EE8" w:rsidP="004A6EE8">
            <w:pPr>
              <w:jc w:val="both"/>
              <w:rPr>
                <w:sz w:val="20"/>
                <w:lang w:val="fr-CA"/>
              </w:rPr>
            </w:pPr>
            <w:r w:rsidRPr="00B02A31">
              <w:rPr>
                <w:sz w:val="20"/>
                <w:lang w:val="fr-CA"/>
              </w:rPr>
              <w:t>Demande de contrôle judiciaire rejetée.</w:t>
            </w:r>
          </w:p>
          <w:p w:rsidR="004A6EE8" w:rsidRPr="00B02A31" w:rsidRDefault="004A6EE8" w:rsidP="004A6EE8">
            <w:pPr>
              <w:jc w:val="both"/>
              <w:rPr>
                <w:sz w:val="20"/>
                <w:lang w:val="fr-CA"/>
              </w:rPr>
            </w:pPr>
          </w:p>
        </w:tc>
      </w:tr>
      <w:tr w:rsidR="004A6EE8" w:rsidRPr="00B02A31" w:rsidTr="00E64459">
        <w:tc>
          <w:tcPr>
            <w:tcW w:w="2427" w:type="pct"/>
            <w:gridSpan w:val="2"/>
          </w:tcPr>
          <w:p w:rsidR="004A6EE8" w:rsidRPr="00B02A31" w:rsidRDefault="004A6EE8" w:rsidP="004A6EE8">
            <w:pPr>
              <w:jc w:val="both"/>
              <w:rPr>
                <w:sz w:val="20"/>
                <w:lang w:val="fr-CA"/>
              </w:rPr>
            </w:pPr>
            <w:r w:rsidRPr="00B02A31">
              <w:rPr>
                <w:sz w:val="20"/>
                <w:lang w:val="fr-CA"/>
              </w:rPr>
              <w:t>8 novembre 2022</w:t>
            </w:r>
          </w:p>
          <w:p w:rsidR="004A6EE8" w:rsidRPr="00B02A31" w:rsidRDefault="004A6EE8" w:rsidP="004A6EE8">
            <w:pPr>
              <w:jc w:val="both"/>
              <w:rPr>
                <w:sz w:val="20"/>
                <w:lang w:val="fr-CA"/>
              </w:rPr>
            </w:pPr>
            <w:r w:rsidRPr="00B02A31">
              <w:rPr>
                <w:sz w:val="20"/>
                <w:lang w:val="fr-CA"/>
              </w:rPr>
              <w:t>Cour d’appel fédérale</w:t>
            </w:r>
          </w:p>
          <w:p w:rsidR="004A6EE8" w:rsidRPr="00B02A31" w:rsidRDefault="004A6EE8" w:rsidP="004A6EE8">
            <w:pPr>
              <w:jc w:val="both"/>
              <w:rPr>
                <w:sz w:val="20"/>
                <w:lang w:val="fr-CA"/>
              </w:rPr>
            </w:pPr>
            <w:r w:rsidRPr="00B02A31">
              <w:rPr>
                <w:sz w:val="20"/>
                <w:lang w:val="fr-CA"/>
              </w:rPr>
              <w:t>(juges Gleason, Mactavish et Monaghan)</w:t>
            </w:r>
          </w:p>
          <w:p w:rsidR="004A6EE8" w:rsidRPr="00B02A31" w:rsidRDefault="00C33138" w:rsidP="004A6EE8">
            <w:pPr>
              <w:jc w:val="both"/>
              <w:rPr>
                <w:sz w:val="20"/>
                <w:lang w:val="fr-CA"/>
              </w:rPr>
            </w:pPr>
            <w:hyperlink r:id="rId26" w:history="1">
              <w:r w:rsidR="004A6EE8" w:rsidRPr="00B02A31">
                <w:rPr>
                  <w:rStyle w:val="Hyperlink"/>
                  <w:sz w:val="20"/>
                  <w:lang w:val="fr-CA"/>
                </w:rPr>
                <w:t>2022 FCA 191</w:t>
              </w:r>
            </w:hyperlink>
            <w:r w:rsidR="004A6EE8" w:rsidRPr="00B02A31">
              <w:rPr>
                <w:sz w:val="20"/>
                <w:lang w:val="fr-CA"/>
              </w:rPr>
              <w:t xml:space="preserve"> </w:t>
            </w:r>
          </w:p>
          <w:p w:rsidR="004A6EE8" w:rsidRPr="00B02A31" w:rsidRDefault="004A6EE8" w:rsidP="004A6EE8">
            <w:pPr>
              <w:jc w:val="both"/>
              <w:rPr>
                <w:sz w:val="20"/>
                <w:lang w:val="fr-CA"/>
              </w:rPr>
            </w:pPr>
            <w:r w:rsidRPr="00B02A31">
              <w:rPr>
                <w:sz w:val="20"/>
                <w:lang w:val="fr-CA"/>
              </w:rPr>
              <w:t>Dossier n</w:t>
            </w:r>
            <w:r w:rsidRPr="00B02A31">
              <w:rPr>
                <w:sz w:val="20"/>
                <w:vertAlign w:val="superscript"/>
                <w:lang w:val="fr-CA"/>
              </w:rPr>
              <w:t>o</w:t>
            </w:r>
            <w:r w:rsidRPr="00B02A31">
              <w:rPr>
                <w:sz w:val="20"/>
                <w:lang w:val="fr-CA"/>
              </w:rPr>
              <w:t> : A-253-21</w:t>
            </w:r>
          </w:p>
          <w:p w:rsidR="004A6EE8" w:rsidRPr="00B02A31" w:rsidRDefault="004A6EE8" w:rsidP="004A6EE8">
            <w:pPr>
              <w:jc w:val="both"/>
              <w:rPr>
                <w:sz w:val="20"/>
                <w:lang w:val="fr-CA"/>
              </w:rPr>
            </w:pPr>
          </w:p>
        </w:tc>
        <w:tc>
          <w:tcPr>
            <w:tcW w:w="243" w:type="pct"/>
          </w:tcPr>
          <w:p w:rsidR="004A6EE8" w:rsidRPr="00B02A31" w:rsidRDefault="004A6EE8" w:rsidP="004A6EE8">
            <w:pPr>
              <w:jc w:val="both"/>
              <w:rPr>
                <w:sz w:val="20"/>
                <w:lang w:val="fr-CA"/>
              </w:rPr>
            </w:pPr>
          </w:p>
        </w:tc>
        <w:tc>
          <w:tcPr>
            <w:tcW w:w="2330" w:type="pct"/>
          </w:tcPr>
          <w:p w:rsidR="004A6EE8" w:rsidRPr="00B02A31" w:rsidRDefault="004A6EE8" w:rsidP="004A6EE8">
            <w:pPr>
              <w:jc w:val="both"/>
              <w:rPr>
                <w:sz w:val="20"/>
                <w:lang w:val="fr-CA"/>
              </w:rPr>
            </w:pPr>
            <w:r w:rsidRPr="00B02A31">
              <w:rPr>
                <w:sz w:val="20"/>
                <w:lang w:val="fr-CA"/>
              </w:rPr>
              <w:t>Appel rejeté.</w:t>
            </w:r>
          </w:p>
          <w:p w:rsidR="004A6EE8" w:rsidRPr="00B02A31" w:rsidRDefault="004A6EE8" w:rsidP="004A6EE8">
            <w:pPr>
              <w:jc w:val="both"/>
              <w:rPr>
                <w:sz w:val="20"/>
                <w:lang w:val="fr-CA"/>
              </w:rPr>
            </w:pPr>
          </w:p>
        </w:tc>
      </w:tr>
      <w:tr w:rsidR="004A6EE8" w:rsidRPr="00B02A31" w:rsidTr="00E64459">
        <w:tc>
          <w:tcPr>
            <w:tcW w:w="2427" w:type="pct"/>
            <w:gridSpan w:val="2"/>
          </w:tcPr>
          <w:p w:rsidR="004A6EE8" w:rsidRPr="00B02A31" w:rsidRDefault="004A6EE8" w:rsidP="004A6EE8">
            <w:pPr>
              <w:jc w:val="both"/>
              <w:rPr>
                <w:sz w:val="20"/>
                <w:lang w:val="fr-CA"/>
              </w:rPr>
            </w:pPr>
            <w:r w:rsidRPr="00B02A31">
              <w:rPr>
                <w:sz w:val="20"/>
                <w:lang w:val="fr-CA"/>
              </w:rPr>
              <w:t>9 janvier 2023</w:t>
            </w:r>
          </w:p>
          <w:p w:rsidR="004A6EE8" w:rsidRPr="00B02A31" w:rsidRDefault="004A6EE8" w:rsidP="004A6EE8">
            <w:pPr>
              <w:jc w:val="both"/>
              <w:rPr>
                <w:sz w:val="20"/>
                <w:lang w:val="fr-CA"/>
              </w:rPr>
            </w:pPr>
            <w:r w:rsidRPr="00B02A31">
              <w:rPr>
                <w:sz w:val="20"/>
                <w:lang w:val="fr-CA"/>
              </w:rPr>
              <w:t>Cour suprême du Canada</w:t>
            </w:r>
          </w:p>
        </w:tc>
        <w:tc>
          <w:tcPr>
            <w:tcW w:w="243" w:type="pct"/>
          </w:tcPr>
          <w:p w:rsidR="004A6EE8" w:rsidRPr="00B02A31" w:rsidRDefault="004A6EE8" w:rsidP="004A6EE8">
            <w:pPr>
              <w:jc w:val="both"/>
              <w:rPr>
                <w:sz w:val="20"/>
                <w:lang w:val="fr-CA"/>
              </w:rPr>
            </w:pPr>
          </w:p>
        </w:tc>
        <w:tc>
          <w:tcPr>
            <w:tcW w:w="2330" w:type="pct"/>
          </w:tcPr>
          <w:p w:rsidR="004A6EE8" w:rsidRPr="00B02A31" w:rsidRDefault="004A6EE8" w:rsidP="004A6EE8">
            <w:pPr>
              <w:jc w:val="both"/>
              <w:rPr>
                <w:sz w:val="20"/>
                <w:lang w:val="fr-CA"/>
              </w:rPr>
            </w:pPr>
            <w:r w:rsidRPr="00B02A31">
              <w:rPr>
                <w:sz w:val="20"/>
                <w:lang w:val="fr-CA"/>
              </w:rPr>
              <w:t>Demande d’autorisation d’appel déposée.</w:t>
            </w:r>
          </w:p>
          <w:p w:rsidR="004A6EE8" w:rsidRPr="00B02A31" w:rsidRDefault="004A6EE8" w:rsidP="004A6EE8">
            <w:pPr>
              <w:jc w:val="both"/>
              <w:rPr>
                <w:sz w:val="20"/>
                <w:lang w:val="fr-CA"/>
              </w:rPr>
            </w:pPr>
          </w:p>
        </w:tc>
      </w:tr>
    </w:tbl>
    <w:p w:rsidR="00FC0780" w:rsidRPr="00B02A31" w:rsidRDefault="00FC0780" w:rsidP="00FC0780">
      <w:pPr>
        <w:jc w:val="both"/>
        <w:rPr>
          <w:sz w:val="20"/>
          <w:lang w:val="fr-CA"/>
        </w:rPr>
      </w:pPr>
    </w:p>
    <w:p w:rsidR="002D3AC0" w:rsidRPr="00B02A31" w:rsidRDefault="00C33138" w:rsidP="00142166">
      <w:pPr>
        <w:widowControl w:val="0"/>
        <w:jc w:val="both"/>
        <w:rPr>
          <w:sz w:val="20"/>
        </w:rPr>
      </w:pPr>
      <w:r>
        <w:rPr>
          <w:sz w:val="20"/>
        </w:rPr>
        <w:pict>
          <v:rect id="_x0000_i1036" style="width:2in;height:1pt" o:hrpct="0" o:hralign="center" o:hrstd="t" o:hrnoshade="t" o:hr="t" fillcolor="black [3213]" stroked="f"/>
        </w:pict>
      </w:r>
    </w:p>
    <w:p w:rsidR="00311655" w:rsidRPr="00B02A31" w:rsidRDefault="00311655" w:rsidP="00350651">
      <w:pPr>
        <w:ind w:left="142" w:hanging="142"/>
        <w:jc w:val="both"/>
        <w:rPr>
          <w:sz w:val="20"/>
        </w:rPr>
      </w:pPr>
    </w:p>
    <w:p w:rsidR="008F2F11" w:rsidRPr="00B02A31" w:rsidRDefault="008F2F11" w:rsidP="00350651">
      <w:pPr>
        <w:ind w:left="142" w:hanging="142"/>
        <w:jc w:val="both"/>
        <w:rPr>
          <w:sz w:val="20"/>
        </w:rPr>
      </w:pPr>
    </w:p>
    <w:p w:rsidR="008F2F11" w:rsidRPr="00B02A31" w:rsidRDefault="008F2F11" w:rsidP="00350651">
      <w:pPr>
        <w:ind w:left="142" w:hanging="142"/>
        <w:jc w:val="both"/>
        <w:rPr>
          <w:sz w:val="20"/>
        </w:rPr>
      </w:pPr>
    </w:p>
    <w:p w:rsidR="00D3344A" w:rsidRPr="00B02A31" w:rsidRDefault="00D3344A" w:rsidP="00D3344A">
      <w:pPr>
        <w:widowControl w:val="0"/>
        <w:outlineLvl w:val="0"/>
        <w:rPr>
          <w:sz w:val="20"/>
        </w:rPr>
      </w:pPr>
      <w:r w:rsidRPr="00B02A31">
        <w:rPr>
          <w:sz w:val="20"/>
        </w:rPr>
        <w:t>Supreme Court of Canada / Cour suprême du Canad</w:t>
      </w:r>
      <w:r w:rsidR="00EE289F" w:rsidRPr="00B02A31">
        <w:rPr>
          <w:sz w:val="20"/>
        </w:rPr>
        <w:t>a</w:t>
      </w:r>
      <w:r w:rsidRPr="00B02A31">
        <w:rPr>
          <w:sz w:val="20"/>
        </w:rPr>
        <w:t xml:space="preserve"> :</w:t>
      </w:r>
    </w:p>
    <w:p w:rsidR="00D3344A" w:rsidRPr="00B02A31" w:rsidRDefault="00C33138" w:rsidP="00D3344A">
      <w:pPr>
        <w:widowControl w:val="0"/>
        <w:outlineLvl w:val="0"/>
        <w:rPr>
          <w:sz w:val="20"/>
          <w:u w:val="single"/>
        </w:rPr>
      </w:pPr>
      <w:hyperlink r:id="rId27" w:history="1">
        <w:r w:rsidR="009B7391" w:rsidRPr="00B02A31">
          <w:rPr>
            <w:rStyle w:val="Hyperlink"/>
            <w:sz w:val="20"/>
          </w:rPr>
          <w:t>comments-commentaires@scc-csc.ca</w:t>
        </w:r>
      </w:hyperlink>
    </w:p>
    <w:p w:rsidR="00D3344A" w:rsidRPr="00B02A31" w:rsidRDefault="0065588C" w:rsidP="00D3344A">
      <w:pPr>
        <w:widowControl w:val="0"/>
        <w:outlineLvl w:val="0"/>
        <w:rPr>
          <w:sz w:val="20"/>
        </w:rPr>
      </w:pPr>
      <w:r w:rsidRPr="00B02A31">
        <w:rPr>
          <w:sz w:val="20"/>
        </w:rPr>
        <w:t>613-</w:t>
      </w:r>
      <w:r w:rsidR="00D3344A" w:rsidRPr="00B02A31">
        <w:rPr>
          <w:sz w:val="20"/>
        </w:rPr>
        <w:t>995-4330</w:t>
      </w:r>
    </w:p>
    <w:p w:rsidR="00497B5E" w:rsidRPr="00B02A31" w:rsidRDefault="00497B5E" w:rsidP="00497B5E">
      <w:pPr>
        <w:widowControl w:val="0"/>
        <w:rPr>
          <w:sz w:val="20"/>
        </w:rPr>
      </w:pPr>
    </w:p>
    <w:p w:rsidR="00F6251B" w:rsidRPr="007607A2" w:rsidRDefault="003F43E6" w:rsidP="00F6251B">
      <w:pPr>
        <w:pStyle w:val="Footer"/>
        <w:jc w:val="center"/>
        <w:rPr>
          <w:sz w:val="20"/>
        </w:rPr>
      </w:pPr>
      <w:r w:rsidRPr="00B02A31">
        <w:rPr>
          <w:sz w:val="20"/>
        </w:rPr>
        <w:t>- 30 -</w:t>
      </w:r>
    </w:p>
    <w:sectPr w:rsidR="00F6251B" w:rsidRPr="007607A2" w:rsidSect="00E62F93">
      <w:headerReference w:type="even" r:id="rId28"/>
      <w:headerReference w:type="default" r:id="rId29"/>
      <w:footerReference w:type="even" r:id="rId30"/>
      <w:footerReference w:type="default" r:id="rId31"/>
      <w:headerReference w:type="first" r:id="rId32"/>
      <w:footerReference w:type="first" r:id="rId33"/>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67F" w:rsidRDefault="0072667F" w:rsidP="0034178A">
      <w:r>
        <w:separator/>
      </w:r>
    </w:p>
  </w:endnote>
  <w:endnote w:type="continuationSeparator" w:id="0">
    <w:p w:rsidR="0072667F" w:rsidRDefault="0072667F"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Default="007266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Pr="009F77F0" w:rsidRDefault="0072667F"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Default="00726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67F" w:rsidRDefault="0072667F" w:rsidP="0034178A">
      <w:r>
        <w:separator/>
      </w:r>
    </w:p>
  </w:footnote>
  <w:footnote w:type="continuationSeparator" w:id="0">
    <w:p w:rsidR="0072667F" w:rsidRDefault="0072667F"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Default="007266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Default="007266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Default="007266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D513A"/>
    <w:multiLevelType w:val="hybridMultilevel"/>
    <w:tmpl w:val="A40CEA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92D64"/>
    <w:multiLevelType w:val="hybridMultilevel"/>
    <w:tmpl w:val="0602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63E64"/>
    <w:multiLevelType w:val="hybridMultilevel"/>
    <w:tmpl w:val="BBC884B8"/>
    <w:lvl w:ilvl="0" w:tplc="E52C5A6C">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66C9C"/>
    <w:multiLevelType w:val="hybridMultilevel"/>
    <w:tmpl w:val="7DB636C2"/>
    <w:lvl w:ilvl="0" w:tplc="0778EF4E">
      <w:start w:val="1"/>
      <w:numFmt w:val="decimal"/>
      <w:lvlText w:val="%1."/>
      <w:lvlJc w:val="left"/>
      <w:pPr>
        <w:ind w:left="754" w:hanging="360"/>
      </w:pPr>
      <w:rPr>
        <w:rFonts w:hint="default"/>
        <w:b w:val="0"/>
        <w:i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5"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7D4454"/>
    <w:multiLevelType w:val="hybridMultilevel"/>
    <w:tmpl w:val="23A6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A7D59"/>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31D002A"/>
    <w:multiLevelType w:val="hybridMultilevel"/>
    <w:tmpl w:val="1BECB7B0"/>
    <w:lvl w:ilvl="0" w:tplc="48B0FD6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EC71F9"/>
    <w:multiLevelType w:val="hybridMultilevel"/>
    <w:tmpl w:val="3850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D90904"/>
    <w:multiLevelType w:val="hybridMultilevel"/>
    <w:tmpl w:val="5C50ED74"/>
    <w:lvl w:ilvl="0" w:tplc="1B468E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830CF2"/>
    <w:multiLevelType w:val="hybridMultilevel"/>
    <w:tmpl w:val="24CAD906"/>
    <w:lvl w:ilvl="0" w:tplc="0C3CBEA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E24C2F"/>
    <w:multiLevelType w:val="hybridMultilevel"/>
    <w:tmpl w:val="A77E2B42"/>
    <w:lvl w:ilvl="0" w:tplc="06CE837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BD2780"/>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05701B"/>
    <w:multiLevelType w:val="hybridMultilevel"/>
    <w:tmpl w:val="2B0E1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4927CF"/>
    <w:multiLevelType w:val="hybridMultilevel"/>
    <w:tmpl w:val="F320B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5"/>
  </w:num>
  <w:num w:numId="3">
    <w:abstractNumId w:val="38"/>
  </w:num>
  <w:num w:numId="4">
    <w:abstractNumId w:val="16"/>
  </w:num>
  <w:num w:numId="5">
    <w:abstractNumId w:val="12"/>
  </w:num>
  <w:num w:numId="6">
    <w:abstractNumId w:val="33"/>
  </w:num>
  <w:num w:numId="7">
    <w:abstractNumId w:val="30"/>
  </w:num>
  <w:num w:numId="8">
    <w:abstractNumId w:val="35"/>
  </w:num>
  <w:num w:numId="9">
    <w:abstractNumId w:val="4"/>
  </w:num>
  <w:num w:numId="10">
    <w:abstractNumId w:val="9"/>
  </w:num>
  <w:num w:numId="11">
    <w:abstractNumId w:val="1"/>
  </w:num>
  <w:num w:numId="12">
    <w:abstractNumId w:val="32"/>
  </w:num>
  <w:num w:numId="13">
    <w:abstractNumId w:val="2"/>
  </w:num>
  <w:num w:numId="14">
    <w:abstractNumId w:val="15"/>
  </w:num>
  <w:num w:numId="15">
    <w:abstractNumId w:val="6"/>
  </w:num>
  <w:num w:numId="16">
    <w:abstractNumId w:val="10"/>
  </w:num>
  <w:num w:numId="17">
    <w:abstractNumId w:val="36"/>
  </w:num>
  <w:num w:numId="18">
    <w:abstractNumId w:val="21"/>
  </w:num>
  <w:num w:numId="19">
    <w:abstractNumId w:val="13"/>
  </w:num>
  <w:num w:numId="20">
    <w:abstractNumId w:val="28"/>
  </w:num>
  <w:num w:numId="21">
    <w:abstractNumId w:val="8"/>
  </w:num>
  <w:num w:numId="22">
    <w:abstractNumId w:val="34"/>
  </w:num>
  <w:num w:numId="23">
    <w:abstractNumId w:val="27"/>
  </w:num>
  <w:num w:numId="24">
    <w:abstractNumId w:val="19"/>
  </w:num>
  <w:num w:numId="25">
    <w:abstractNumId w:val="24"/>
  </w:num>
  <w:num w:numId="26">
    <w:abstractNumId w:val="31"/>
  </w:num>
  <w:num w:numId="27">
    <w:abstractNumId w:val="18"/>
  </w:num>
  <w:num w:numId="28">
    <w:abstractNumId w:val="5"/>
  </w:num>
  <w:num w:numId="29">
    <w:abstractNumId w:val="26"/>
  </w:num>
  <w:num w:numId="30">
    <w:abstractNumId w:val="17"/>
  </w:num>
  <w:num w:numId="31">
    <w:abstractNumId w:val="7"/>
  </w:num>
  <w:num w:numId="32">
    <w:abstractNumId w:val="22"/>
  </w:num>
  <w:num w:numId="33">
    <w:abstractNumId w:val="3"/>
  </w:num>
  <w:num w:numId="34">
    <w:abstractNumId w:val="0"/>
  </w:num>
  <w:num w:numId="35">
    <w:abstractNumId w:val="14"/>
  </w:num>
  <w:num w:numId="36">
    <w:abstractNumId w:val="37"/>
  </w:num>
  <w:num w:numId="37">
    <w:abstractNumId w:val="20"/>
  </w:num>
  <w:num w:numId="38">
    <w:abstractNumId w:val="23"/>
  </w:num>
  <w:num w:numId="39">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789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4B23"/>
    <w:rsid w:val="00006057"/>
    <w:rsid w:val="00006648"/>
    <w:rsid w:val="00006868"/>
    <w:rsid w:val="0000743E"/>
    <w:rsid w:val="000076E7"/>
    <w:rsid w:val="00010A38"/>
    <w:rsid w:val="00011795"/>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758"/>
    <w:rsid w:val="0004298B"/>
    <w:rsid w:val="00042E94"/>
    <w:rsid w:val="000437B4"/>
    <w:rsid w:val="00043A5E"/>
    <w:rsid w:val="00043D20"/>
    <w:rsid w:val="00043FDE"/>
    <w:rsid w:val="00044AEB"/>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665F"/>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3DB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392"/>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490"/>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A0E"/>
    <w:rsid w:val="000A0F64"/>
    <w:rsid w:val="000A152E"/>
    <w:rsid w:val="000A1691"/>
    <w:rsid w:val="000A1891"/>
    <w:rsid w:val="000A1E61"/>
    <w:rsid w:val="000A20B0"/>
    <w:rsid w:val="000A245A"/>
    <w:rsid w:val="000A2C8D"/>
    <w:rsid w:val="000A397A"/>
    <w:rsid w:val="000A4311"/>
    <w:rsid w:val="000A43F5"/>
    <w:rsid w:val="000A4752"/>
    <w:rsid w:val="000A4D7E"/>
    <w:rsid w:val="000A4E95"/>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683"/>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A85"/>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E794E"/>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33C7"/>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4C1"/>
    <w:rsid w:val="00141591"/>
    <w:rsid w:val="0014172A"/>
    <w:rsid w:val="0014187A"/>
    <w:rsid w:val="00141FBC"/>
    <w:rsid w:val="00142166"/>
    <w:rsid w:val="001422C9"/>
    <w:rsid w:val="0014243F"/>
    <w:rsid w:val="0014294E"/>
    <w:rsid w:val="00142C72"/>
    <w:rsid w:val="001432CD"/>
    <w:rsid w:val="001432DF"/>
    <w:rsid w:val="00143447"/>
    <w:rsid w:val="00143519"/>
    <w:rsid w:val="00143522"/>
    <w:rsid w:val="001437C9"/>
    <w:rsid w:val="00143B74"/>
    <w:rsid w:val="00143E7A"/>
    <w:rsid w:val="00144111"/>
    <w:rsid w:val="0014490F"/>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790"/>
    <w:rsid w:val="00157B04"/>
    <w:rsid w:val="00157BD4"/>
    <w:rsid w:val="00160284"/>
    <w:rsid w:val="0016057A"/>
    <w:rsid w:val="00160866"/>
    <w:rsid w:val="0016091C"/>
    <w:rsid w:val="00160E97"/>
    <w:rsid w:val="00161774"/>
    <w:rsid w:val="00161E40"/>
    <w:rsid w:val="00161F83"/>
    <w:rsid w:val="0016224D"/>
    <w:rsid w:val="001624EB"/>
    <w:rsid w:val="0016346F"/>
    <w:rsid w:val="00163837"/>
    <w:rsid w:val="00163A54"/>
    <w:rsid w:val="00164559"/>
    <w:rsid w:val="00164791"/>
    <w:rsid w:val="00165CA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150"/>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3D6"/>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3AD"/>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C77A5"/>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0580"/>
    <w:rsid w:val="001E184B"/>
    <w:rsid w:val="001E1EE3"/>
    <w:rsid w:val="001E1F20"/>
    <w:rsid w:val="001E26B5"/>
    <w:rsid w:val="001E2AA6"/>
    <w:rsid w:val="001E30F0"/>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4D9F"/>
    <w:rsid w:val="0022536E"/>
    <w:rsid w:val="002258F4"/>
    <w:rsid w:val="00225A53"/>
    <w:rsid w:val="00225C88"/>
    <w:rsid w:val="002262C4"/>
    <w:rsid w:val="002264F4"/>
    <w:rsid w:val="002277F0"/>
    <w:rsid w:val="00227A81"/>
    <w:rsid w:val="00230A52"/>
    <w:rsid w:val="00230B9E"/>
    <w:rsid w:val="00231427"/>
    <w:rsid w:val="00231B27"/>
    <w:rsid w:val="00231FE3"/>
    <w:rsid w:val="002321FB"/>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47CAD"/>
    <w:rsid w:val="0025030E"/>
    <w:rsid w:val="002503B8"/>
    <w:rsid w:val="00250F72"/>
    <w:rsid w:val="002514CA"/>
    <w:rsid w:val="00252675"/>
    <w:rsid w:val="002526B6"/>
    <w:rsid w:val="00252803"/>
    <w:rsid w:val="00252FDB"/>
    <w:rsid w:val="0025369C"/>
    <w:rsid w:val="00254AAA"/>
    <w:rsid w:val="0025559A"/>
    <w:rsid w:val="00255E07"/>
    <w:rsid w:val="002567CD"/>
    <w:rsid w:val="00257287"/>
    <w:rsid w:val="00257322"/>
    <w:rsid w:val="002574ED"/>
    <w:rsid w:val="002576AD"/>
    <w:rsid w:val="002576B5"/>
    <w:rsid w:val="0025785E"/>
    <w:rsid w:val="00257D1B"/>
    <w:rsid w:val="00257ECF"/>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5B6"/>
    <w:rsid w:val="002728FA"/>
    <w:rsid w:val="0027369C"/>
    <w:rsid w:val="00273706"/>
    <w:rsid w:val="00273FF3"/>
    <w:rsid w:val="002741BE"/>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346"/>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2C2E"/>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A7E"/>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536"/>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3AC0"/>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1625"/>
    <w:rsid w:val="002F2385"/>
    <w:rsid w:val="002F25C3"/>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5D"/>
    <w:rsid w:val="003070B7"/>
    <w:rsid w:val="00307309"/>
    <w:rsid w:val="003075BC"/>
    <w:rsid w:val="00307E7E"/>
    <w:rsid w:val="003100F2"/>
    <w:rsid w:val="003101EC"/>
    <w:rsid w:val="003104EE"/>
    <w:rsid w:val="003106DE"/>
    <w:rsid w:val="00311655"/>
    <w:rsid w:val="00311663"/>
    <w:rsid w:val="00311B59"/>
    <w:rsid w:val="00311E2D"/>
    <w:rsid w:val="00311E4C"/>
    <w:rsid w:val="00311F52"/>
    <w:rsid w:val="0031227B"/>
    <w:rsid w:val="003127F4"/>
    <w:rsid w:val="00312A20"/>
    <w:rsid w:val="00312A92"/>
    <w:rsid w:val="003133C7"/>
    <w:rsid w:val="00313652"/>
    <w:rsid w:val="0031376D"/>
    <w:rsid w:val="00313D2A"/>
    <w:rsid w:val="00313D36"/>
    <w:rsid w:val="003140ED"/>
    <w:rsid w:val="00314899"/>
    <w:rsid w:val="003151B5"/>
    <w:rsid w:val="00315AF8"/>
    <w:rsid w:val="00315C91"/>
    <w:rsid w:val="003168A7"/>
    <w:rsid w:val="00316D90"/>
    <w:rsid w:val="003175F3"/>
    <w:rsid w:val="00317835"/>
    <w:rsid w:val="00317A71"/>
    <w:rsid w:val="00317C72"/>
    <w:rsid w:val="00320ED9"/>
    <w:rsid w:val="00321275"/>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5ED9"/>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4A8B"/>
    <w:rsid w:val="003658BD"/>
    <w:rsid w:val="00365B5F"/>
    <w:rsid w:val="00365DC3"/>
    <w:rsid w:val="0036633C"/>
    <w:rsid w:val="003666ED"/>
    <w:rsid w:val="00366CA4"/>
    <w:rsid w:val="00366CC9"/>
    <w:rsid w:val="0036763E"/>
    <w:rsid w:val="00367773"/>
    <w:rsid w:val="00367C14"/>
    <w:rsid w:val="00367E02"/>
    <w:rsid w:val="0037013D"/>
    <w:rsid w:val="0037029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0732"/>
    <w:rsid w:val="0038103C"/>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2EE2"/>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0DD6"/>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070"/>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3B04"/>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464"/>
    <w:rsid w:val="00407F30"/>
    <w:rsid w:val="00410ECC"/>
    <w:rsid w:val="004116DA"/>
    <w:rsid w:val="004117D6"/>
    <w:rsid w:val="00411834"/>
    <w:rsid w:val="00411963"/>
    <w:rsid w:val="00411B1C"/>
    <w:rsid w:val="00411C7A"/>
    <w:rsid w:val="00412A1B"/>
    <w:rsid w:val="00412A23"/>
    <w:rsid w:val="004149DA"/>
    <w:rsid w:val="00414A2E"/>
    <w:rsid w:val="00415755"/>
    <w:rsid w:val="00415B3D"/>
    <w:rsid w:val="004161DE"/>
    <w:rsid w:val="00416211"/>
    <w:rsid w:val="004162D1"/>
    <w:rsid w:val="004167B1"/>
    <w:rsid w:val="00416DC5"/>
    <w:rsid w:val="0042035D"/>
    <w:rsid w:val="00420604"/>
    <w:rsid w:val="00420841"/>
    <w:rsid w:val="004211F0"/>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4D9"/>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54CA"/>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9"/>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67A"/>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65E"/>
    <w:rsid w:val="004A0C7E"/>
    <w:rsid w:val="004A1416"/>
    <w:rsid w:val="004A224A"/>
    <w:rsid w:val="004A275E"/>
    <w:rsid w:val="004A28DD"/>
    <w:rsid w:val="004A2F02"/>
    <w:rsid w:val="004A3074"/>
    <w:rsid w:val="004A32DD"/>
    <w:rsid w:val="004A41C2"/>
    <w:rsid w:val="004A570E"/>
    <w:rsid w:val="004A59B2"/>
    <w:rsid w:val="004A60ED"/>
    <w:rsid w:val="004A6E51"/>
    <w:rsid w:val="004A6EE8"/>
    <w:rsid w:val="004A74F3"/>
    <w:rsid w:val="004A79D9"/>
    <w:rsid w:val="004A7BC1"/>
    <w:rsid w:val="004A7CEC"/>
    <w:rsid w:val="004B00A4"/>
    <w:rsid w:val="004B06E1"/>
    <w:rsid w:val="004B129A"/>
    <w:rsid w:val="004B24A3"/>
    <w:rsid w:val="004B24F7"/>
    <w:rsid w:val="004B26C7"/>
    <w:rsid w:val="004B28AF"/>
    <w:rsid w:val="004B2A91"/>
    <w:rsid w:val="004B2F98"/>
    <w:rsid w:val="004B31C7"/>
    <w:rsid w:val="004B3838"/>
    <w:rsid w:val="004B4BDC"/>
    <w:rsid w:val="004B4D42"/>
    <w:rsid w:val="004B4E10"/>
    <w:rsid w:val="004B60AB"/>
    <w:rsid w:val="004B612C"/>
    <w:rsid w:val="004B618B"/>
    <w:rsid w:val="004B62A5"/>
    <w:rsid w:val="004B645F"/>
    <w:rsid w:val="004B6816"/>
    <w:rsid w:val="004B6BC5"/>
    <w:rsid w:val="004B702E"/>
    <w:rsid w:val="004B7E3E"/>
    <w:rsid w:val="004C0165"/>
    <w:rsid w:val="004C0544"/>
    <w:rsid w:val="004C07ED"/>
    <w:rsid w:val="004C1AF9"/>
    <w:rsid w:val="004C1C4F"/>
    <w:rsid w:val="004C1C62"/>
    <w:rsid w:val="004C1CE3"/>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1AC"/>
    <w:rsid w:val="004D25B5"/>
    <w:rsid w:val="004D31BD"/>
    <w:rsid w:val="004D31CA"/>
    <w:rsid w:val="004D44D7"/>
    <w:rsid w:val="004D47B9"/>
    <w:rsid w:val="004D489C"/>
    <w:rsid w:val="004D49C8"/>
    <w:rsid w:val="004D4B5F"/>
    <w:rsid w:val="004D5428"/>
    <w:rsid w:val="004D5D5C"/>
    <w:rsid w:val="004D5FBA"/>
    <w:rsid w:val="004D6E67"/>
    <w:rsid w:val="004D752E"/>
    <w:rsid w:val="004D7F43"/>
    <w:rsid w:val="004E00B4"/>
    <w:rsid w:val="004E02BD"/>
    <w:rsid w:val="004E0745"/>
    <w:rsid w:val="004E0963"/>
    <w:rsid w:val="004E0B2F"/>
    <w:rsid w:val="004E0CCF"/>
    <w:rsid w:val="004E1B3F"/>
    <w:rsid w:val="004E21ED"/>
    <w:rsid w:val="004E2A8E"/>
    <w:rsid w:val="004E2CF0"/>
    <w:rsid w:val="004E4559"/>
    <w:rsid w:val="004E458C"/>
    <w:rsid w:val="004E65D9"/>
    <w:rsid w:val="004E6C7C"/>
    <w:rsid w:val="004E70F1"/>
    <w:rsid w:val="004E714B"/>
    <w:rsid w:val="004E723C"/>
    <w:rsid w:val="004E7825"/>
    <w:rsid w:val="004E7930"/>
    <w:rsid w:val="004F000D"/>
    <w:rsid w:val="004F0497"/>
    <w:rsid w:val="004F06CC"/>
    <w:rsid w:val="004F0EC9"/>
    <w:rsid w:val="004F0F77"/>
    <w:rsid w:val="004F224B"/>
    <w:rsid w:val="004F27DD"/>
    <w:rsid w:val="004F29F9"/>
    <w:rsid w:val="004F40AB"/>
    <w:rsid w:val="004F47F7"/>
    <w:rsid w:val="004F4C76"/>
    <w:rsid w:val="004F5491"/>
    <w:rsid w:val="004F5AD4"/>
    <w:rsid w:val="004F5E74"/>
    <w:rsid w:val="004F5ED2"/>
    <w:rsid w:val="004F75BE"/>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2590"/>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7C7"/>
    <w:rsid w:val="00523A16"/>
    <w:rsid w:val="00523D2D"/>
    <w:rsid w:val="00524432"/>
    <w:rsid w:val="00524822"/>
    <w:rsid w:val="00524C26"/>
    <w:rsid w:val="0052534A"/>
    <w:rsid w:val="005256BB"/>
    <w:rsid w:val="005256DB"/>
    <w:rsid w:val="00525AC4"/>
    <w:rsid w:val="00525B79"/>
    <w:rsid w:val="005264A5"/>
    <w:rsid w:val="00526754"/>
    <w:rsid w:val="00526A8A"/>
    <w:rsid w:val="00526D01"/>
    <w:rsid w:val="00526D9F"/>
    <w:rsid w:val="00527335"/>
    <w:rsid w:val="00527A69"/>
    <w:rsid w:val="0053032E"/>
    <w:rsid w:val="00530860"/>
    <w:rsid w:val="00531932"/>
    <w:rsid w:val="00531C3D"/>
    <w:rsid w:val="005325E8"/>
    <w:rsid w:val="005326BA"/>
    <w:rsid w:val="0053277C"/>
    <w:rsid w:val="00532EB0"/>
    <w:rsid w:val="00533230"/>
    <w:rsid w:val="005335BC"/>
    <w:rsid w:val="005336CE"/>
    <w:rsid w:val="00533CD5"/>
    <w:rsid w:val="00533FD5"/>
    <w:rsid w:val="00534621"/>
    <w:rsid w:val="00534871"/>
    <w:rsid w:val="00534CCB"/>
    <w:rsid w:val="00534F33"/>
    <w:rsid w:val="00535069"/>
    <w:rsid w:val="00535A60"/>
    <w:rsid w:val="005368AB"/>
    <w:rsid w:val="005372AF"/>
    <w:rsid w:val="00537F74"/>
    <w:rsid w:val="00540D5C"/>
    <w:rsid w:val="00540EBB"/>
    <w:rsid w:val="005414C4"/>
    <w:rsid w:val="005417CB"/>
    <w:rsid w:val="00541971"/>
    <w:rsid w:val="00541FF9"/>
    <w:rsid w:val="005432F7"/>
    <w:rsid w:val="005442DE"/>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8DC"/>
    <w:rsid w:val="00572D19"/>
    <w:rsid w:val="0057370B"/>
    <w:rsid w:val="00573C76"/>
    <w:rsid w:val="0057402C"/>
    <w:rsid w:val="00574672"/>
    <w:rsid w:val="005748A1"/>
    <w:rsid w:val="00575001"/>
    <w:rsid w:val="0057532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5FA3"/>
    <w:rsid w:val="005A64FE"/>
    <w:rsid w:val="005A6943"/>
    <w:rsid w:val="005A6C46"/>
    <w:rsid w:val="005A71E5"/>
    <w:rsid w:val="005A7B6B"/>
    <w:rsid w:val="005B0AAB"/>
    <w:rsid w:val="005B0EC1"/>
    <w:rsid w:val="005B2C50"/>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043"/>
    <w:rsid w:val="005C03A5"/>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2337"/>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776"/>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57926"/>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C2E"/>
    <w:rsid w:val="00675D53"/>
    <w:rsid w:val="006767DB"/>
    <w:rsid w:val="00676BB6"/>
    <w:rsid w:val="00676FCA"/>
    <w:rsid w:val="00677279"/>
    <w:rsid w:val="006773D9"/>
    <w:rsid w:val="00677979"/>
    <w:rsid w:val="0067798B"/>
    <w:rsid w:val="00680232"/>
    <w:rsid w:val="00680316"/>
    <w:rsid w:val="006803A0"/>
    <w:rsid w:val="00680A85"/>
    <w:rsid w:val="00680AC2"/>
    <w:rsid w:val="00680D95"/>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48F"/>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18B"/>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6FE9"/>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498"/>
    <w:rsid w:val="006D4512"/>
    <w:rsid w:val="006D4676"/>
    <w:rsid w:val="006D46C7"/>
    <w:rsid w:val="006D4C04"/>
    <w:rsid w:val="006D4E80"/>
    <w:rsid w:val="006D5A07"/>
    <w:rsid w:val="006D5DCC"/>
    <w:rsid w:val="006D5E38"/>
    <w:rsid w:val="006D614A"/>
    <w:rsid w:val="006D61AF"/>
    <w:rsid w:val="006D65EC"/>
    <w:rsid w:val="006D6B5E"/>
    <w:rsid w:val="006D6C4C"/>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D38"/>
    <w:rsid w:val="006E3E4E"/>
    <w:rsid w:val="006E4019"/>
    <w:rsid w:val="006E43D2"/>
    <w:rsid w:val="006E4462"/>
    <w:rsid w:val="006E465C"/>
    <w:rsid w:val="006E48B7"/>
    <w:rsid w:val="006E4B08"/>
    <w:rsid w:val="006E4EB7"/>
    <w:rsid w:val="006E4F94"/>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3CCB"/>
    <w:rsid w:val="006F4502"/>
    <w:rsid w:val="006F5439"/>
    <w:rsid w:val="006F5EA6"/>
    <w:rsid w:val="006F6761"/>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9CA"/>
    <w:rsid w:val="00710A96"/>
    <w:rsid w:val="00710C0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6BAC"/>
    <w:rsid w:val="007172B6"/>
    <w:rsid w:val="0071779F"/>
    <w:rsid w:val="00717CD9"/>
    <w:rsid w:val="00717E41"/>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5CA0"/>
    <w:rsid w:val="007263B7"/>
    <w:rsid w:val="0072662D"/>
    <w:rsid w:val="0072667F"/>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08A"/>
    <w:rsid w:val="007404A0"/>
    <w:rsid w:val="007406D2"/>
    <w:rsid w:val="00740D8C"/>
    <w:rsid w:val="00740FC0"/>
    <w:rsid w:val="00741002"/>
    <w:rsid w:val="00741637"/>
    <w:rsid w:val="007418D4"/>
    <w:rsid w:val="00741E81"/>
    <w:rsid w:val="00742121"/>
    <w:rsid w:val="00742CE6"/>
    <w:rsid w:val="00743353"/>
    <w:rsid w:val="00743655"/>
    <w:rsid w:val="00743FDA"/>
    <w:rsid w:val="00744036"/>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11"/>
    <w:rsid w:val="007607A2"/>
    <w:rsid w:val="00760A78"/>
    <w:rsid w:val="007618B2"/>
    <w:rsid w:val="0076209C"/>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0B1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6E55"/>
    <w:rsid w:val="00777ECC"/>
    <w:rsid w:val="00780317"/>
    <w:rsid w:val="00780E1B"/>
    <w:rsid w:val="007810BC"/>
    <w:rsid w:val="007813B2"/>
    <w:rsid w:val="00781EB4"/>
    <w:rsid w:val="007823D7"/>
    <w:rsid w:val="00782941"/>
    <w:rsid w:val="00782E96"/>
    <w:rsid w:val="007834C7"/>
    <w:rsid w:val="007844DE"/>
    <w:rsid w:val="007848DA"/>
    <w:rsid w:val="00784A3D"/>
    <w:rsid w:val="00784B70"/>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2D22"/>
    <w:rsid w:val="00792D8C"/>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998"/>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AD"/>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0DE"/>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575"/>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1B8"/>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813"/>
    <w:rsid w:val="00824ABF"/>
    <w:rsid w:val="00824E32"/>
    <w:rsid w:val="00825246"/>
    <w:rsid w:val="00825B9C"/>
    <w:rsid w:val="00827EFF"/>
    <w:rsid w:val="008301C6"/>
    <w:rsid w:val="0083049A"/>
    <w:rsid w:val="00830846"/>
    <w:rsid w:val="008319DA"/>
    <w:rsid w:val="00831D1D"/>
    <w:rsid w:val="008321A6"/>
    <w:rsid w:val="00832A5F"/>
    <w:rsid w:val="00832C7E"/>
    <w:rsid w:val="00833300"/>
    <w:rsid w:val="00833393"/>
    <w:rsid w:val="0083380F"/>
    <w:rsid w:val="00833A60"/>
    <w:rsid w:val="00833C3B"/>
    <w:rsid w:val="00833D2C"/>
    <w:rsid w:val="00834398"/>
    <w:rsid w:val="00834B4D"/>
    <w:rsid w:val="00835CF4"/>
    <w:rsid w:val="00835FCE"/>
    <w:rsid w:val="008368DE"/>
    <w:rsid w:val="0083696A"/>
    <w:rsid w:val="00840BCC"/>
    <w:rsid w:val="00840E25"/>
    <w:rsid w:val="00840EBC"/>
    <w:rsid w:val="0084161A"/>
    <w:rsid w:val="00841962"/>
    <w:rsid w:val="008424BB"/>
    <w:rsid w:val="00842B3A"/>
    <w:rsid w:val="00843613"/>
    <w:rsid w:val="0084383C"/>
    <w:rsid w:val="0084456D"/>
    <w:rsid w:val="00844729"/>
    <w:rsid w:val="008461B4"/>
    <w:rsid w:val="008465CB"/>
    <w:rsid w:val="00846695"/>
    <w:rsid w:val="00846A62"/>
    <w:rsid w:val="00846B1B"/>
    <w:rsid w:val="0085007E"/>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57FDD"/>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31C"/>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96C73"/>
    <w:rsid w:val="008A04B2"/>
    <w:rsid w:val="008A0D44"/>
    <w:rsid w:val="008A1084"/>
    <w:rsid w:val="008A1C2F"/>
    <w:rsid w:val="008A1DA7"/>
    <w:rsid w:val="008A29BC"/>
    <w:rsid w:val="008A3884"/>
    <w:rsid w:val="008A3A4B"/>
    <w:rsid w:val="008A41DE"/>
    <w:rsid w:val="008A49EA"/>
    <w:rsid w:val="008A4ABF"/>
    <w:rsid w:val="008A5519"/>
    <w:rsid w:val="008A5C44"/>
    <w:rsid w:val="008A6614"/>
    <w:rsid w:val="008A739F"/>
    <w:rsid w:val="008A7517"/>
    <w:rsid w:val="008A790C"/>
    <w:rsid w:val="008B0108"/>
    <w:rsid w:val="008B0CD7"/>
    <w:rsid w:val="008B1123"/>
    <w:rsid w:val="008B18E3"/>
    <w:rsid w:val="008B1DE5"/>
    <w:rsid w:val="008B2BE6"/>
    <w:rsid w:val="008B3670"/>
    <w:rsid w:val="008B392A"/>
    <w:rsid w:val="008B3E82"/>
    <w:rsid w:val="008B4157"/>
    <w:rsid w:val="008B4445"/>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3E35"/>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7B9"/>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76D"/>
    <w:rsid w:val="009119D3"/>
    <w:rsid w:val="00911F66"/>
    <w:rsid w:val="00911FE6"/>
    <w:rsid w:val="00913377"/>
    <w:rsid w:val="0091344B"/>
    <w:rsid w:val="00913491"/>
    <w:rsid w:val="009136AF"/>
    <w:rsid w:val="00913C85"/>
    <w:rsid w:val="00913DCC"/>
    <w:rsid w:val="0091409A"/>
    <w:rsid w:val="00914378"/>
    <w:rsid w:val="00914F27"/>
    <w:rsid w:val="00916333"/>
    <w:rsid w:val="00916B50"/>
    <w:rsid w:val="00917AC7"/>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761"/>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739"/>
    <w:rsid w:val="009468E9"/>
    <w:rsid w:val="00946910"/>
    <w:rsid w:val="00946D18"/>
    <w:rsid w:val="00947C38"/>
    <w:rsid w:val="00947E63"/>
    <w:rsid w:val="009514F0"/>
    <w:rsid w:val="00951718"/>
    <w:rsid w:val="00951817"/>
    <w:rsid w:val="00952BA2"/>
    <w:rsid w:val="00952CCB"/>
    <w:rsid w:val="00952D2C"/>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6B11"/>
    <w:rsid w:val="00957342"/>
    <w:rsid w:val="009574F2"/>
    <w:rsid w:val="00957921"/>
    <w:rsid w:val="009579D9"/>
    <w:rsid w:val="00957A1E"/>
    <w:rsid w:val="00957A76"/>
    <w:rsid w:val="00957C00"/>
    <w:rsid w:val="00960719"/>
    <w:rsid w:val="00960E56"/>
    <w:rsid w:val="00960F89"/>
    <w:rsid w:val="009616B6"/>
    <w:rsid w:val="0096190B"/>
    <w:rsid w:val="00961984"/>
    <w:rsid w:val="009619CF"/>
    <w:rsid w:val="00962255"/>
    <w:rsid w:val="00962B2A"/>
    <w:rsid w:val="00963502"/>
    <w:rsid w:val="00963B1E"/>
    <w:rsid w:val="00963C96"/>
    <w:rsid w:val="009648EF"/>
    <w:rsid w:val="009649FF"/>
    <w:rsid w:val="00965DC9"/>
    <w:rsid w:val="00966B53"/>
    <w:rsid w:val="00967433"/>
    <w:rsid w:val="00967539"/>
    <w:rsid w:val="009700F8"/>
    <w:rsid w:val="00970584"/>
    <w:rsid w:val="00970A1A"/>
    <w:rsid w:val="00970F04"/>
    <w:rsid w:val="009710FB"/>
    <w:rsid w:val="0097114B"/>
    <w:rsid w:val="00971224"/>
    <w:rsid w:val="00971F36"/>
    <w:rsid w:val="009720C3"/>
    <w:rsid w:val="009729B4"/>
    <w:rsid w:val="0097319E"/>
    <w:rsid w:val="009733B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5C3C"/>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0CD8"/>
    <w:rsid w:val="009B121B"/>
    <w:rsid w:val="009B144A"/>
    <w:rsid w:val="009B14F4"/>
    <w:rsid w:val="009B177F"/>
    <w:rsid w:val="009B17DB"/>
    <w:rsid w:val="009B26EE"/>
    <w:rsid w:val="009B3199"/>
    <w:rsid w:val="009B38BC"/>
    <w:rsid w:val="009B4EC5"/>
    <w:rsid w:val="009B50CC"/>
    <w:rsid w:val="009B51A4"/>
    <w:rsid w:val="009B520B"/>
    <w:rsid w:val="009B5A4A"/>
    <w:rsid w:val="009B5ACD"/>
    <w:rsid w:val="009B5E21"/>
    <w:rsid w:val="009B67B3"/>
    <w:rsid w:val="009B70C2"/>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0A0C"/>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0FDF"/>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56FF"/>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5D9C"/>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37CAA"/>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9E2"/>
    <w:rsid w:val="00A43F0E"/>
    <w:rsid w:val="00A44228"/>
    <w:rsid w:val="00A44C41"/>
    <w:rsid w:val="00A44D2E"/>
    <w:rsid w:val="00A44E81"/>
    <w:rsid w:val="00A45529"/>
    <w:rsid w:val="00A461E4"/>
    <w:rsid w:val="00A466AC"/>
    <w:rsid w:val="00A47031"/>
    <w:rsid w:val="00A4765E"/>
    <w:rsid w:val="00A50604"/>
    <w:rsid w:val="00A50E26"/>
    <w:rsid w:val="00A51518"/>
    <w:rsid w:val="00A518B0"/>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49E"/>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3EC"/>
    <w:rsid w:val="00A745D3"/>
    <w:rsid w:val="00A7462D"/>
    <w:rsid w:val="00A748DB"/>
    <w:rsid w:val="00A7498A"/>
    <w:rsid w:val="00A750A1"/>
    <w:rsid w:val="00A7549A"/>
    <w:rsid w:val="00A773EC"/>
    <w:rsid w:val="00A77966"/>
    <w:rsid w:val="00A77A0F"/>
    <w:rsid w:val="00A77E09"/>
    <w:rsid w:val="00A77F4A"/>
    <w:rsid w:val="00A80025"/>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9C3"/>
    <w:rsid w:val="00A96F3E"/>
    <w:rsid w:val="00A97B41"/>
    <w:rsid w:val="00A97DC4"/>
    <w:rsid w:val="00A97F0C"/>
    <w:rsid w:val="00A97F93"/>
    <w:rsid w:val="00AA0147"/>
    <w:rsid w:val="00AA0E4D"/>
    <w:rsid w:val="00AA219A"/>
    <w:rsid w:val="00AA25C5"/>
    <w:rsid w:val="00AA2964"/>
    <w:rsid w:val="00AA2B8B"/>
    <w:rsid w:val="00AA2C6E"/>
    <w:rsid w:val="00AA2CAE"/>
    <w:rsid w:val="00AA3079"/>
    <w:rsid w:val="00AA3E2B"/>
    <w:rsid w:val="00AA3F84"/>
    <w:rsid w:val="00AA46DD"/>
    <w:rsid w:val="00AA4886"/>
    <w:rsid w:val="00AA509E"/>
    <w:rsid w:val="00AA53A0"/>
    <w:rsid w:val="00AA53AC"/>
    <w:rsid w:val="00AA5933"/>
    <w:rsid w:val="00AA5DEA"/>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27D7"/>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0D97"/>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813"/>
    <w:rsid w:val="00AF5C96"/>
    <w:rsid w:val="00AF63E5"/>
    <w:rsid w:val="00AF67F3"/>
    <w:rsid w:val="00AF7083"/>
    <w:rsid w:val="00AF71D2"/>
    <w:rsid w:val="00B000F2"/>
    <w:rsid w:val="00B00325"/>
    <w:rsid w:val="00B00478"/>
    <w:rsid w:val="00B01410"/>
    <w:rsid w:val="00B01544"/>
    <w:rsid w:val="00B01BCB"/>
    <w:rsid w:val="00B01DF0"/>
    <w:rsid w:val="00B026D2"/>
    <w:rsid w:val="00B02A31"/>
    <w:rsid w:val="00B02B12"/>
    <w:rsid w:val="00B02B2E"/>
    <w:rsid w:val="00B02C5B"/>
    <w:rsid w:val="00B02DE3"/>
    <w:rsid w:val="00B037AA"/>
    <w:rsid w:val="00B03A9D"/>
    <w:rsid w:val="00B053DD"/>
    <w:rsid w:val="00B054BA"/>
    <w:rsid w:val="00B05BA4"/>
    <w:rsid w:val="00B06804"/>
    <w:rsid w:val="00B07533"/>
    <w:rsid w:val="00B0782C"/>
    <w:rsid w:val="00B07908"/>
    <w:rsid w:val="00B07ADC"/>
    <w:rsid w:val="00B1005C"/>
    <w:rsid w:val="00B11469"/>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CBB"/>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3F77"/>
    <w:rsid w:val="00B4461F"/>
    <w:rsid w:val="00B4481E"/>
    <w:rsid w:val="00B44DF4"/>
    <w:rsid w:val="00B44F9D"/>
    <w:rsid w:val="00B4516E"/>
    <w:rsid w:val="00B455D4"/>
    <w:rsid w:val="00B45B27"/>
    <w:rsid w:val="00B45D33"/>
    <w:rsid w:val="00B46233"/>
    <w:rsid w:val="00B467ED"/>
    <w:rsid w:val="00B46CB0"/>
    <w:rsid w:val="00B47A4F"/>
    <w:rsid w:val="00B50983"/>
    <w:rsid w:val="00B50BD3"/>
    <w:rsid w:val="00B5139A"/>
    <w:rsid w:val="00B51669"/>
    <w:rsid w:val="00B517DA"/>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A8"/>
    <w:rsid w:val="00B72ED7"/>
    <w:rsid w:val="00B7320C"/>
    <w:rsid w:val="00B73271"/>
    <w:rsid w:val="00B73752"/>
    <w:rsid w:val="00B73779"/>
    <w:rsid w:val="00B749EC"/>
    <w:rsid w:val="00B74DA0"/>
    <w:rsid w:val="00B74DFD"/>
    <w:rsid w:val="00B76FDE"/>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239"/>
    <w:rsid w:val="00B902FD"/>
    <w:rsid w:val="00B90370"/>
    <w:rsid w:val="00B907B5"/>
    <w:rsid w:val="00B90F3B"/>
    <w:rsid w:val="00B91053"/>
    <w:rsid w:val="00B91270"/>
    <w:rsid w:val="00B916F3"/>
    <w:rsid w:val="00B91DE9"/>
    <w:rsid w:val="00B92397"/>
    <w:rsid w:val="00B92EB5"/>
    <w:rsid w:val="00B92EEB"/>
    <w:rsid w:val="00B9309E"/>
    <w:rsid w:val="00B93415"/>
    <w:rsid w:val="00B93544"/>
    <w:rsid w:val="00B946DE"/>
    <w:rsid w:val="00B94A45"/>
    <w:rsid w:val="00B9547B"/>
    <w:rsid w:val="00B955E4"/>
    <w:rsid w:val="00B957C1"/>
    <w:rsid w:val="00B95994"/>
    <w:rsid w:val="00B95A58"/>
    <w:rsid w:val="00B95A9E"/>
    <w:rsid w:val="00B95C39"/>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296E"/>
    <w:rsid w:val="00BA33A9"/>
    <w:rsid w:val="00BA3460"/>
    <w:rsid w:val="00BA39C2"/>
    <w:rsid w:val="00BA441A"/>
    <w:rsid w:val="00BA49AF"/>
    <w:rsid w:val="00BA4B61"/>
    <w:rsid w:val="00BA5BDA"/>
    <w:rsid w:val="00BA5EB3"/>
    <w:rsid w:val="00BA5F1E"/>
    <w:rsid w:val="00BA5F89"/>
    <w:rsid w:val="00BA60D2"/>
    <w:rsid w:val="00BA6D44"/>
    <w:rsid w:val="00BA6D95"/>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3F39"/>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5FF1"/>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B6F"/>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48D2"/>
    <w:rsid w:val="00BF5160"/>
    <w:rsid w:val="00BF6E43"/>
    <w:rsid w:val="00BF72CB"/>
    <w:rsid w:val="00BF7494"/>
    <w:rsid w:val="00BF763F"/>
    <w:rsid w:val="00BF7FF6"/>
    <w:rsid w:val="00C00270"/>
    <w:rsid w:val="00C00650"/>
    <w:rsid w:val="00C00E23"/>
    <w:rsid w:val="00C012C4"/>
    <w:rsid w:val="00C014C3"/>
    <w:rsid w:val="00C01507"/>
    <w:rsid w:val="00C021BB"/>
    <w:rsid w:val="00C026F9"/>
    <w:rsid w:val="00C028E5"/>
    <w:rsid w:val="00C02BBE"/>
    <w:rsid w:val="00C02ED5"/>
    <w:rsid w:val="00C03148"/>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1853"/>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825"/>
    <w:rsid w:val="00C30F83"/>
    <w:rsid w:val="00C31069"/>
    <w:rsid w:val="00C3126C"/>
    <w:rsid w:val="00C312F5"/>
    <w:rsid w:val="00C31354"/>
    <w:rsid w:val="00C3135E"/>
    <w:rsid w:val="00C319FB"/>
    <w:rsid w:val="00C31C5A"/>
    <w:rsid w:val="00C31EAC"/>
    <w:rsid w:val="00C325F4"/>
    <w:rsid w:val="00C3269C"/>
    <w:rsid w:val="00C32836"/>
    <w:rsid w:val="00C33138"/>
    <w:rsid w:val="00C335C6"/>
    <w:rsid w:val="00C342CA"/>
    <w:rsid w:val="00C34515"/>
    <w:rsid w:val="00C34A03"/>
    <w:rsid w:val="00C34D9A"/>
    <w:rsid w:val="00C34ECA"/>
    <w:rsid w:val="00C350DE"/>
    <w:rsid w:val="00C35396"/>
    <w:rsid w:val="00C3552E"/>
    <w:rsid w:val="00C35A85"/>
    <w:rsid w:val="00C35B4B"/>
    <w:rsid w:val="00C35C26"/>
    <w:rsid w:val="00C360A1"/>
    <w:rsid w:val="00C36498"/>
    <w:rsid w:val="00C36C08"/>
    <w:rsid w:val="00C36CF8"/>
    <w:rsid w:val="00C36FF2"/>
    <w:rsid w:val="00C36FF4"/>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564"/>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1FC"/>
    <w:rsid w:val="00C66A35"/>
    <w:rsid w:val="00C66BB7"/>
    <w:rsid w:val="00C67D33"/>
    <w:rsid w:val="00C70135"/>
    <w:rsid w:val="00C7067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570"/>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4EAB"/>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1FF"/>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6F60"/>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CF7BD2"/>
    <w:rsid w:val="00D00533"/>
    <w:rsid w:val="00D00540"/>
    <w:rsid w:val="00D006AF"/>
    <w:rsid w:val="00D0083A"/>
    <w:rsid w:val="00D0094E"/>
    <w:rsid w:val="00D009A8"/>
    <w:rsid w:val="00D00AA4"/>
    <w:rsid w:val="00D00E4F"/>
    <w:rsid w:val="00D00F77"/>
    <w:rsid w:val="00D01406"/>
    <w:rsid w:val="00D015A7"/>
    <w:rsid w:val="00D015CB"/>
    <w:rsid w:val="00D01ABC"/>
    <w:rsid w:val="00D01D87"/>
    <w:rsid w:val="00D0250E"/>
    <w:rsid w:val="00D038C0"/>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2819"/>
    <w:rsid w:val="00D1308F"/>
    <w:rsid w:val="00D130E2"/>
    <w:rsid w:val="00D13678"/>
    <w:rsid w:val="00D1460D"/>
    <w:rsid w:val="00D148E4"/>
    <w:rsid w:val="00D14B1E"/>
    <w:rsid w:val="00D14DCC"/>
    <w:rsid w:val="00D150F9"/>
    <w:rsid w:val="00D152F0"/>
    <w:rsid w:val="00D1550B"/>
    <w:rsid w:val="00D15858"/>
    <w:rsid w:val="00D165A5"/>
    <w:rsid w:val="00D166CC"/>
    <w:rsid w:val="00D17531"/>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9DD"/>
    <w:rsid w:val="00D32B0E"/>
    <w:rsid w:val="00D3344A"/>
    <w:rsid w:val="00D3355A"/>
    <w:rsid w:val="00D33A8B"/>
    <w:rsid w:val="00D33AB7"/>
    <w:rsid w:val="00D34CA3"/>
    <w:rsid w:val="00D35402"/>
    <w:rsid w:val="00D35AA2"/>
    <w:rsid w:val="00D35BC0"/>
    <w:rsid w:val="00D36218"/>
    <w:rsid w:val="00D362BE"/>
    <w:rsid w:val="00D36BE9"/>
    <w:rsid w:val="00D3722A"/>
    <w:rsid w:val="00D37579"/>
    <w:rsid w:val="00D379CE"/>
    <w:rsid w:val="00D37FEC"/>
    <w:rsid w:val="00D4006F"/>
    <w:rsid w:val="00D404B4"/>
    <w:rsid w:val="00D4068D"/>
    <w:rsid w:val="00D40B0A"/>
    <w:rsid w:val="00D41EC7"/>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0C"/>
    <w:rsid w:val="00D47282"/>
    <w:rsid w:val="00D4779F"/>
    <w:rsid w:val="00D47829"/>
    <w:rsid w:val="00D47B29"/>
    <w:rsid w:val="00D47E7C"/>
    <w:rsid w:val="00D47EF5"/>
    <w:rsid w:val="00D50AD1"/>
    <w:rsid w:val="00D517BD"/>
    <w:rsid w:val="00D5195C"/>
    <w:rsid w:val="00D52781"/>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08"/>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0A3"/>
    <w:rsid w:val="00D76A1F"/>
    <w:rsid w:val="00D77016"/>
    <w:rsid w:val="00D77153"/>
    <w:rsid w:val="00D77953"/>
    <w:rsid w:val="00D77B31"/>
    <w:rsid w:val="00D77D62"/>
    <w:rsid w:val="00D800A0"/>
    <w:rsid w:val="00D8028D"/>
    <w:rsid w:val="00D80B5C"/>
    <w:rsid w:val="00D81BB1"/>
    <w:rsid w:val="00D81C4F"/>
    <w:rsid w:val="00D83392"/>
    <w:rsid w:val="00D83554"/>
    <w:rsid w:val="00D84D29"/>
    <w:rsid w:val="00D84F6A"/>
    <w:rsid w:val="00D8506B"/>
    <w:rsid w:val="00D855D0"/>
    <w:rsid w:val="00D85A8B"/>
    <w:rsid w:val="00D86ADC"/>
    <w:rsid w:val="00D876CD"/>
    <w:rsid w:val="00D90124"/>
    <w:rsid w:val="00D90791"/>
    <w:rsid w:val="00D90A08"/>
    <w:rsid w:val="00D90A11"/>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2FA2"/>
    <w:rsid w:val="00DC3655"/>
    <w:rsid w:val="00DC49A0"/>
    <w:rsid w:val="00DC4AAB"/>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9CE"/>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575"/>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325"/>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033"/>
    <w:rsid w:val="00E24847"/>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079"/>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47F46"/>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945"/>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046"/>
    <w:rsid w:val="00E926FF"/>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0DC"/>
    <w:rsid w:val="00EA1578"/>
    <w:rsid w:val="00EA224E"/>
    <w:rsid w:val="00EA3A54"/>
    <w:rsid w:val="00EA3FF6"/>
    <w:rsid w:val="00EA5683"/>
    <w:rsid w:val="00EA5D0E"/>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A94"/>
    <w:rsid w:val="00EB4BE5"/>
    <w:rsid w:val="00EB5234"/>
    <w:rsid w:val="00EB52CC"/>
    <w:rsid w:val="00EB610E"/>
    <w:rsid w:val="00EB6335"/>
    <w:rsid w:val="00EB722E"/>
    <w:rsid w:val="00EB733C"/>
    <w:rsid w:val="00EB7781"/>
    <w:rsid w:val="00EB7C4F"/>
    <w:rsid w:val="00EC01CB"/>
    <w:rsid w:val="00EC091F"/>
    <w:rsid w:val="00EC0E72"/>
    <w:rsid w:val="00EC1196"/>
    <w:rsid w:val="00EC12AF"/>
    <w:rsid w:val="00EC1BE7"/>
    <w:rsid w:val="00EC2028"/>
    <w:rsid w:val="00EC2317"/>
    <w:rsid w:val="00EC25BA"/>
    <w:rsid w:val="00EC2990"/>
    <w:rsid w:val="00EC2A4D"/>
    <w:rsid w:val="00EC3301"/>
    <w:rsid w:val="00EC340D"/>
    <w:rsid w:val="00EC348F"/>
    <w:rsid w:val="00EC376C"/>
    <w:rsid w:val="00EC3CE7"/>
    <w:rsid w:val="00EC42CE"/>
    <w:rsid w:val="00EC43F0"/>
    <w:rsid w:val="00EC4BBD"/>
    <w:rsid w:val="00EC4E0E"/>
    <w:rsid w:val="00EC4EC1"/>
    <w:rsid w:val="00EC4FBB"/>
    <w:rsid w:val="00EC55F9"/>
    <w:rsid w:val="00EC6001"/>
    <w:rsid w:val="00EC61A8"/>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DCE"/>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B2"/>
    <w:rsid w:val="00EE76C8"/>
    <w:rsid w:val="00EF0066"/>
    <w:rsid w:val="00EF14B9"/>
    <w:rsid w:val="00EF176E"/>
    <w:rsid w:val="00EF1864"/>
    <w:rsid w:val="00EF26B4"/>
    <w:rsid w:val="00EF2732"/>
    <w:rsid w:val="00EF2A9D"/>
    <w:rsid w:val="00EF2BB9"/>
    <w:rsid w:val="00EF3131"/>
    <w:rsid w:val="00EF33BF"/>
    <w:rsid w:val="00EF41F1"/>
    <w:rsid w:val="00EF491E"/>
    <w:rsid w:val="00EF50F3"/>
    <w:rsid w:val="00EF5D14"/>
    <w:rsid w:val="00EF6828"/>
    <w:rsid w:val="00EF6D4F"/>
    <w:rsid w:val="00EF6E6D"/>
    <w:rsid w:val="00EF6EAC"/>
    <w:rsid w:val="00EF775A"/>
    <w:rsid w:val="00EF7A66"/>
    <w:rsid w:val="00EF7D2B"/>
    <w:rsid w:val="00F00020"/>
    <w:rsid w:val="00F00B05"/>
    <w:rsid w:val="00F00DA4"/>
    <w:rsid w:val="00F01152"/>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0E43"/>
    <w:rsid w:val="00F2115A"/>
    <w:rsid w:val="00F222EC"/>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17F"/>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49C7"/>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850"/>
    <w:rsid w:val="00F76A83"/>
    <w:rsid w:val="00F773EF"/>
    <w:rsid w:val="00F774C8"/>
    <w:rsid w:val="00F802C8"/>
    <w:rsid w:val="00F813B4"/>
    <w:rsid w:val="00F81D96"/>
    <w:rsid w:val="00F81F18"/>
    <w:rsid w:val="00F826E7"/>
    <w:rsid w:val="00F827AA"/>
    <w:rsid w:val="00F82C6C"/>
    <w:rsid w:val="00F83978"/>
    <w:rsid w:val="00F83ED3"/>
    <w:rsid w:val="00F83F3F"/>
    <w:rsid w:val="00F83FE2"/>
    <w:rsid w:val="00F840B9"/>
    <w:rsid w:val="00F84C15"/>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BAB"/>
    <w:rsid w:val="00FA6C96"/>
    <w:rsid w:val="00FA7214"/>
    <w:rsid w:val="00FA7226"/>
    <w:rsid w:val="00FA7547"/>
    <w:rsid w:val="00FB00F7"/>
    <w:rsid w:val="00FB0311"/>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780"/>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93A"/>
    <w:rsid w:val="00FE6DE2"/>
    <w:rsid w:val="00FE6E80"/>
    <w:rsid w:val="00FF02E4"/>
    <w:rsid w:val="00FF0677"/>
    <w:rsid w:val="00FF0DA9"/>
    <w:rsid w:val="00FF10F1"/>
    <w:rsid w:val="00FF12F2"/>
    <w:rsid w:val="00FF2986"/>
    <w:rsid w:val="00FF2F3F"/>
    <w:rsid w:val="00FF31DD"/>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9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 w:type="character" w:styleId="Strong">
    <w:name w:val="Strong"/>
    <w:basedOn w:val="DefaultParagraphFont"/>
    <w:uiPriority w:val="22"/>
    <w:qFormat/>
    <w:rsid w:val="00D81C4F"/>
    <w:rPr>
      <w:b/>
      <w:bCs/>
    </w:rPr>
  </w:style>
  <w:style w:type="paragraph" w:styleId="NormalWeb">
    <w:name w:val="Normal (Web)"/>
    <w:basedOn w:val="Normal"/>
    <w:uiPriority w:val="99"/>
    <w:unhideWhenUsed/>
    <w:rsid w:val="00DF69CE"/>
    <w:pPr>
      <w:spacing w:before="100" w:beforeAutospacing="1" w:after="100" w:afterAutospacing="1"/>
    </w:pPr>
    <w:rPr>
      <w:szCs w:val="24"/>
      <w:lang w:val="en-CA" w:eastAsia="en-CA"/>
    </w:rPr>
  </w:style>
  <w:style w:type="character" w:customStyle="1" w:styleId="fontstyle01">
    <w:name w:val="fontstyle01"/>
    <w:basedOn w:val="DefaultParagraphFont"/>
    <w:rsid w:val="00716BAC"/>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716BAC"/>
    <w:rPr>
      <w:rFonts w:ascii="TimesNewRomanPS-ItalicMT" w:hAnsi="TimesNewRomanPS-ItalicMT" w:hint="default"/>
      <w:b w:val="0"/>
      <w:bCs w:val="0"/>
      <w:i/>
      <w:iCs/>
      <w:color w:val="000000"/>
      <w:sz w:val="24"/>
      <w:szCs w:val="24"/>
    </w:rPr>
  </w:style>
  <w:style w:type="paragraph" w:customStyle="1" w:styleId="citation">
    <w:name w:val="citation"/>
    <w:basedOn w:val="Normal"/>
    <w:rsid w:val="005442DE"/>
    <w:pPr>
      <w:spacing w:before="100" w:beforeAutospacing="1" w:after="100" w:afterAutospacing="1"/>
    </w:pPr>
    <w:rPr>
      <w:szCs w:val="24"/>
      <w:lang w:val="en-CA" w:eastAsia="en-CA"/>
    </w:rPr>
  </w:style>
  <w:style w:type="character" w:customStyle="1" w:styleId="ui-provider">
    <w:name w:val="ui-provider"/>
    <w:basedOn w:val="DefaultParagraphFont"/>
    <w:rsid w:val="006C6FE9"/>
  </w:style>
  <w:style w:type="paragraph" w:customStyle="1" w:styleId="felskynumbering12">
    <w:name w:val="felskynumbering12"/>
    <w:basedOn w:val="Normal"/>
    <w:rsid w:val="00FC0780"/>
    <w:pPr>
      <w:spacing w:before="100" w:beforeAutospacing="1" w:after="100" w:afterAutospacing="1"/>
    </w:pPr>
    <w:rPr>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40357" TargetMode="External"/><Relationship Id="rId13" Type="http://schemas.openxmlformats.org/officeDocument/2006/relationships/hyperlink" Target="https://canlii.ca/t/28vdl" TargetMode="External"/><Relationship Id="rId18" Type="http://schemas.openxmlformats.org/officeDocument/2006/relationships/hyperlink" Target="https://www.canlii.org/en/on/onca/doc/2021/2021onca870/2021onca870.html" TargetMode="External"/><Relationship Id="rId26" Type="http://schemas.openxmlformats.org/officeDocument/2006/relationships/hyperlink" Target="https://www.canlii.org/en/ca/fca/doc/2022/2022fca191/2022fca191.html?autocompleteStr=2022%20FCA%20191%20&amp;autocompletePos=1" TargetMode="External"/><Relationship Id="rId3" Type="http://schemas.openxmlformats.org/officeDocument/2006/relationships/styles" Target="styles.xml"/><Relationship Id="rId21" Type="http://schemas.openxmlformats.org/officeDocument/2006/relationships/hyperlink" Target="https://www.canlii.org/en/on/onca/doc/2021/2021onca870/2021onca870.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nlii.ca/t/2dvfz" TargetMode="External"/><Relationship Id="rId17" Type="http://schemas.openxmlformats.org/officeDocument/2006/relationships/hyperlink" Target="https://www.canlii.org/en/on/onsc/doc/2021/2021onsc853/2021onsc853.html" TargetMode="External"/><Relationship Id="rId25" Type="http://schemas.openxmlformats.org/officeDocument/2006/relationships/hyperlink" Target="https://www.canlii.org/fr/ca/cfpi/doc/2021/2021cf877/2021cf877.htm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canlii.org/fr/qc/qcca/doc/2020/2020qcca403/2020qcca403.html?resultIndex=1" TargetMode="External"/><Relationship Id="rId20" Type="http://schemas.openxmlformats.org/officeDocument/2006/relationships/hyperlink" Target="https://www.canlii.org/en/on/onsc/doc/2021/2021onsc853/2021onsc853.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547" TargetMode="External"/><Relationship Id="rId24" Type="http://schemas.openxmlformats.org/officeDocument/2006/relationships/hyperlink" Target="https://www.canlii.org/en/ca/fca/doc/2022/2022fca191/2022fca191.html?autocompleteStr=2022%20FCA%20191%20&amp;autocompletePos=1"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anlii.org/fr/qc/qcca/doc/2020/2020qcca403/2020qcca403.html?resultIndex=1" TargetMode="External"/><Relationship Id="rId23" Type="http://schemas.openxmlformats.org/officeDocument/2006/relationships/hyperlink" Target="https://www.canlii.org/en/ca/fct/doc/2021/2021fc877/2021fc877.html?autocompleteStr=2021%20FC%20877&amp;autocompletePos=1" TargetMode="External"/><Relationship Id="rId28" Type="http://schemas.openxmlformats.org/officeDocument/2006/relationships/header" Target="header1.xml"/><Relationship Id="rId10" Type="http://schemas.openxmlformats.org/officeDocument/2006/relationships/hyperlink" Target="https://www.scc-csc.ca/case-dossier/info/sum-som-eng.aspx?cas=40293" TargetMode="External"/><Relationship Id="rId19" Type="http://schemas.openxmlformats.org/officeDocument/2006/relationships/hyperlink" Target="https://www.canlii.org/en/on/onca/doc/2022/2022onca422/2022onca422.html?autocompleteStr=2022%20ONCA%20422&amp;autocompletePos=1"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c-csc.ca/case-dossier/info/sum-som-fra.aspx?cas=40531" TargetMode="External"/><Relationship Id="rId14" Type="http://schemas.openxmlformats.org/officeDocument/2006/relationships/hyperlink" Target="https://canlii.ca/t/g35f0" TargetMode="External"/><Relationship Id="rId22" Type="http://schemas.openxmlformats.org/officeDocument/2006/relationships/hyperlink" Target="https://www.canlii.org/en/on/onca/doc/2022/2022onca422/2022onca422.html?autocompleteStr=2022%20ONCA%20422&amp;autocompletePos=1" TargetMode="External"/><Relationship Id="rId27" Type="http://schemas.openxmlformats.org/officeDocument/2006/relationships/hyperlink" Target="mailto:comments-commentaires@scc-csc.ca"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5D22E-1E91-40B1-9BB0-222C5195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3409</Words>
  <Characters>19435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22799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2023-03-29T13:38:00Z</dcterms:created>
  <dcterms:modified xsi:type="dcterms:W3CDTF">2023-05-16T13:03:00Z</dcterms:modified>
</cp:coreProperties>
</file>