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582F2E" w:rsidRDefault="00A41431" w:rsidP="00A41431">
      <w:pPr>
        <w:pStyle w:val="Header"/>
        <w:jc w:val="center"/>
        <w:rPr>
          <w:b/>
          <w:sz w:val="32"/>
        </w:rPr>
      </w:pPr>
      <w:r w:rsidRPr="00582F2E">
        <w:rPr>
          <w:b/>
          <w:sz w:val="32"/>
        </w:rPr>
        <w:t>Supreme Court of Canada / Cour suprême du Canada</w:t>
      </w:r>
    </w:p>
    <w:p w:rsidR="00A41431" w:rsidRPr="00582F2E" w:rsidRDefault="00A41431" w:rsidP="00A41431">
      <w:pPr>
        <w:widowControl w:val="0"/>
        <w:rPr>
          <w:i/>
        </w:rPr>
      </w:pPr>
    </w:p>
    <w:p w:rsidR="00A41431" w:rsidRPr="00582F2E" w:rsidRDefault="00A41431" w:rsidP="00A41431">
      <w:pPr>
        <w:widowControl w:val="0"/>
        <w:rPr>
          <w:i/>
        </w:rPr>
      </w:pPr>
    </w:p>
    <w:p w:rsidR="00DF33A9" w:rsidRPr="00582F2E" w:rsidRDefault="00DF33A9" w:rsidP="00DF33A9">
      <w:pPr>
        <w:widowControl w:val="0"/>
        <w:rPr>
          <w:i/>
          <w:sz w:val="20"/>
          <w:lang w:val="fr-CA"/>
        </w:rPr>
      </w:pPr>
      <w:r w:rsidRPr="00582F2E">
        <w:rPr>
          <w:i/>
          <w:sz w:val="20"/>
          <w:lang w:val="fr-CA"/>
        </w:rPr>
        <w:t>(</w:t>
      </w:r>
      <w:r w:rsidR="00167C53" w:rsidRPr="00582F2E">
        <w:rPr>
          <w:i/>
          <w:sz w:val="20"/>
          <w:lang w:val="fr-CA"/>
        </w:rPr>
        <w:t>Le</w:t>
      </w:r>
      <w:r w:rsidRPr="00582F2E">
        <w:rPr>
          <w:i/>
          <w:sz w:val="20"/>
          <w:lang w:val="fr-CA"/>
        </w:rPr>
        <w:t xml:space="preserve"> français suit)</w:t>
      </w:r>
    </w:p>
    <w:p w:rsidR="00DF33A9" w:rsidRPr="00582F2E" w:rsidRDefault="00DF33A9" w:rsidP="00DF33A9">
      <w:pPr>
        <w:widowControl w:val="0"/>
        <w:rPr>
          <w:lang w:val="fr-CA"/>
        </w:rPr>
      </w:pPr>
    </w:p>
    <w:bookmarkStart w:id="0" w:name="_GoBack"/>
    <w:bookmarkEnd w:id="0"/>
    <w:p w:rsidR="00DF33A9" w:rsidRPr="00582F2E" w:rsidRDefault="001E2235" w:rsidP="00DF33A9">
      <w:pPr>
        <w:widowControl w:val="0"/>
        <w:jc w:val="center"/>
        <w:rPr>
          <w:b/>
          <w:lang w:val="fr-CA"/>
        </w:rPr>
      </w:pPr>
      <w:r w:rsidRPr="00582F2E">
        <w:fldChar w:fldCharType="begin"/>
      </w:r>
      <w:r w:rsidR="00DF33A9" w:rsidRPr="00582F2E">
        <w:rPr>
          <w:lang w:val="fr-CA"/>
        </w:rPr>
        <w:instrText xml:space="preserve"> SEQ CHAPTER \h \r 1</w:instrText>
      </w:r>
      <w:r w:rsidRPr="00582F2E">
        <w:fldChar w:fldCharType="end"/>
      </w:r>
      <w:r w:rsidR="00DF33A9" w:rsidRPr="00582F2E">
        <w:rPr>
          <w:b/>
          <w:lang w:val="fr-CA"/>
        </w:rPr>
        <w:t>JUDGMENT</w:t>
      </w:r>
      <w:r w:rsidR="00777096" w:rsidRPr="00582F2E">
        <w:rPr>
          <w:b/>
          <w:lang w:val="fr-CA"/>
        </w:rPr>
        <w:t xml:space="preserve"> </w:t>
      </w:r>
      <w:r w:rsidR="00DF33A9" w:rsidRPr="00582F2E">
        <w:rPr>
          <w:b/>
          <w:lang w:val="fr-CA"/>
        </w:rPr>
        <w:t>IN APPEA</w:t>
      </w:r>
      <w:r w:rsidR="00671A3B" w:rsidRPr="00582F2E">
        <w:rPr>
          <w:b/>
          <w:lang w:val="fr-CA"/>
        </w:rPr>
        <w:t>L</w:t>
      </w:r>
    </w:p>
    <w:p w:rsidR="00DF33A9" w:rsidRPr="00582F2E" w:rsidRDefault="00DF33A9" w:rsidP="0050239F">
      <w:pPr>
        <w:widowControl w:val="0"/>
        <w:rPr>
          <w:lang w:val="fr-CA"/>
        </w:rPr>
      </w:pPr>
    </w:p>
    <w:p w:rsidR="00DF33A9" w:rsidRPr="00582F2E" w:rsidRDefault="004A6E44" w:rsidP="00DF33A9">
      <w:pPr>
        <w:widowControl w:val="0"/>
      </w:pPr>
      <w:r w:rsidRPr="00582F2E">
        <w:rPr>
          <w:b/>
        </w:rPr>
        <w:t>May</w:t>
      </w:r>
      <w:r w:rsidR="006E047B" w:rsidRPr="00582F2E">
        <w:rPr>
          <w:b/>
        </w:rPr>
        <w:t xml:space="preserve"> </w:t>
      </w:r>
      <w:r w:rsidRPr="00582F2E">
        <w:rPr>
          <w:b/>
        </w:rPr>
        <w:t>1</w:t>
      </w:r>
      <w:r w:rsidR="00032F55" w:rsidRPr="00582F2E">
        <w:rPr>
          <w:b/>
        </w:rPr>
        <w:t>9</w:t>
      </w:r>
      <w:r w:rsidR="00425D2C" w:rsidRPr="00582F2E">
        <w:rPr>
          <w:b/>
        </w:rPr>
        <w:t>, 20</w:t>
      </w:r>
      <w:r w:rsidR="009C1BB4" w:rsidRPr="00582F2E">
        <w:rPr>
          <w:b/>
        </w:rPr>
        <w:t>2</w:t>
      </w:r>
      <w:r w:rsidR="00486C69" w:rsidRPr="00582F2E">
        <w:rPr>
          <w:b/>
        </w:rPr>
        <w:t>3</w:t>
      </w:r>
    </w:p>
    <w:p w:rsidR="00DF33A9" w:rsidRPr="00582F2E" w:rsidRDefault="00DF33A9" w:rsidP="00DF33A9">
      <w:pPr>
        <w:widowControl w:val="0"/>
        <w:rPr>
          <w:b/>
        </w:rPr>
      </w:pPr>
      <w:r w:rsidRPr="00582F2E">
        <w:rPr>
          <w:b/>
        </w:rPr>
        <w:t>For immediate release</w:t>
      </w:r>
    </w:p>
    <w:p w:rsidR="00DF33A9" w:rsidRPr="00582F2E" w:rsidRDefault="00DF33A9" w:rsidP="00DF33A9">
      <w:pPr>
        <w:widowControl w:val="0"/>
      </w:pPr>
    </w:p>
    <w:p w:rsidR="00DF33A9" w:rsidRPr="00582F2E" w:rsidRDefault="00DF33A9" w:rsidP="00167C53">
      <w:pPr>
        <w:widowControl w:val="0"/>
      </w:pPr>
      <w:r w:rsidRPr="00582F2E">
        <w:rPr>
          <w:b/>
        </w:rPr>
        <w:t>OTTAWA</w:t>
      </w:r>
      <w:r w:rsidRPr="00582F2E">
        <w:t xml:space="preserve"> – The Supreme Court of Canada has today deposited with the Registrar </w:t>
      </w:r>
      <w:r w:rsidR="004972A6" w:rsidRPr="00582F2E">
        <w:t>judgmen</w:t>
      </w:r>
      <w:r w:rsidR="00167671" w:rsidRPr="00582F2E">
        <w:t>t</w:t>
      </w:r>
      <w:r w:rsidR="004972A6" w:rsidRPr="00582F2E">
        <w:t xml:space="preserve"> in the following appeal</w:t>
      </w:r>
      <w:r w:rsidRPr="00582F2E">
        <w:t>.</w:t>
      </w:r>
      <w:r w:rsidR="00167C53" w:rsidRPr="00582F2E">
        <w:t xml:space="preserve"> </w:t>
      </w:r>
      <w:r w:rsidR="0050239F" w:rsidRPr="00582F2E">
        <w:t xml:space="preserve">The </w:t>
      </w:r>
      <w:hyperlink r:id="rId7" w:history="1">
        <w:r w:rsidR="0050239F" w:rsidRPr="00582F2E">
          <w:rPr>
            <w:rStyle w:val="Hyperlink"/>
          </w:rPr>
          <w:t>r</w:t>
        </w:r>
        <w:r w:rsidRPr="00582F2E">
          <w:rPr>
            <w:rStyle w:val="Hyperlink"/>
          </w:rPr>
          <w:t>easons for judgmen</w:t>
        </w:r>
        <w:r w:rsidR="00350DBC" w:rsidRPr="00582F2E">
          <w:rPr>
            <w:rStyle w:val="Hyperlink"/>
          </w:rPr>
          <w:t>t</w:t>
        </w:r>
      </w:hyperlink>
      <w:r w:rsidRPr="00582F2E">
        <w:t xml:space="preserve"> </w:t>
      </w:r>
      <w:r w:rsidR="00C4360A" w:rsidRPr="00582F2E">
        <w:t xml:space="preserve">and the </w:t>
      </w:r>
      <w:hyperlink r:id="rId8" w:history="1">
        <w:r w:rsidR="00C4360A" w:rsidRPr="00582F2E">
          <w:rPr>
            <w:rStyle w:val="Hyperlink"/>
          </w:rPr>
          <w:t>Cas</w:t>
        </w:r>
        <w:r w:rsidR="00E41EA7" w:rsidRPr="00582F2E">
          <w:rPr>
            <w:rStyle w:val="Hyperlink"/>
          </w:rPr>
          <w:t>e</w:t>
        </w:r>
        <w:r w:rsidR="00C4360A" w:rsidRPr="00582F2E">
          <w:rPr>
            <w:rStyle w:val="Hyperlink"/>
          </w:rPr>
          <w:t xml:space="preserve"> in Brief</w:t>
        </w:r>
      </w:hyperlink>
      <w:r w:rsidR="00C4360A" w:rsidRPr="00582F2E">
        <w:t xml:space="preserve"> </w:t>
      </w:r>
      <w:r w:rsidRPr="00582F2E">
        <w:t>will be available shortly</w:t>
      </w:r>
      <w:r w:rsidR="006E047B" w:rsidRPr="00582F2E">
        <w:rPr>
          <w:rStyle w:val="Hyperlink"/>
          <w:color w:val="auto"/>
          <w:u w:val="none"/>
        </w:rPr>
        <w:t>.</w:t>
      </w:r>
    </w:p>
    <w:p w:rsidR="00DA7E05" w:rsidRPr="00582F2E" w:rsidRDefault="00DA7E05" w:rsidP="00DF33A9">
      <w:pPr>
        <w:widowControl w:val="0"/>
      </w:pPr>
    </w:p>
    <w:p w:rsidR="00AA2A9D" w:rsidRPr="00582F2E" w:rsidRDefault="00AA2A9D" w:rsidP="00DF33A9">
      <w:pPr>
        <w:widowControl w:val="0"/>
      </w:pPr>
    </w:p>
    <w:p w:rsidR="00DF33A9" w:rsidRPr="00582F2E" w:rsidRDefault="00DF33A9" w:rsidP="00DF33A9">
      <w:pPr>
        <w:widowControl w:val="0"/>
        <w:jc w:val="center"/>
        <w:rPr>
          <w:lang w:val="fr-CA"/>
        </w:rPr>
      </w:pPr>
      <w:r w:rsidRPr="00582F2E">
        <w:rPr>
          <w:b/>
          <w:lang w:val="fr-CA"/>
        </w:rPr>
        <w:t>JUGEMENT SUR APPEL</w:t>
      </w:r>
    </w:p>
    <w:p w:rsidR="00DF33A9" w:rsidRPr="00582F2E" w:rsidRDefault="00DF33A9" w:rsidP="00DF33A9">
      <w:pPr>
        <w:widowControl w:val="0"/>
        <w:rPr>
          <w:lang w:val="fr-CA"/>
        </w:rPr>
      </w:pPr>
    </w:p>
    <w:p w:rsidR="00DF33A9" w:rsidRPr="00582F2E" w:rsidRDefault="00DF33A9" w:rsidP="00DF33A9">
      <w:pPr>
        <w:widowControl w:val="0"/>
        <w:rPr>
          <w:lang w:val="fr-CA"/>
        </w:rPr>
      </w:pPr>
      <w:r w:rsidRPr="00582F2E">
        <w:rPr>
          <w:b/>
          <w:lang w:val="fr-CA"/>
        </w:rPr>
        <w:t xml:space="preserve">Le </w:t>
      </w:r>
      <w:r w:rsidR="004A6E44" w:rsidRPr="00582F2E">
        <w:rPr>
          <w:b/>
          <w:lang w:val="fr-CA"/>
        </w:rPr>
        <w:t>1</w:t>
      </w:r>
      <w:r w:rsidR="00032F55" w:rsidRPr="00582F2E">
        <w:rPr>
          <w:b/>
          <w:lang w:val="fr-CA"/>
        </w:rPr>
        <w:t>9</w:t>
      </w:r>
      <w:r w:rsidR="000F3D01" w:rsidRPr="00582F2E">
        <w:rPr>
          <w:b/>
          <w:lang w:val="fr-CA"/>
        </w:rPr>
        <w:t xml:space="preserve"> </w:t>
      </w:r>
      <w:r w:rsidR="004A6E44" w:rsidRPr="00582F2E">
        <w:rPr>
          <w:b/>
          <w:lang w:val="fr-CA"/>
        </w:rPr>
        <w:t>mai</w:t>
      </w:r>
      <w:r w:rsidR="00BB1936" w:rsidRPr="00582F2E">
        <w:rPr>
          <w:b/>
          <w:lang w:val="fr-CA"/>
        </w:rPr>
        <w:t xml:space="preserve"> </w:t>
      </w:r>
      <w:r w:rsidR="007B36C2" w:rsidRPr="00582F2E">
        <w:rPr>
          <w:b/>
          <w:lang w:val="fr-CA"/>
        </w:rPr>
        <w:t>20</w:t>
      </w:r>
      <w:r w:rsidR="009C1BB4" w:rsidRPr="00582F2E">
        <w:rPr>
          <w:b/>
          <w:lang w:val="fr-CA"/>
        </w:rPr>
        <w:t>2</w:t>
      </w:r>
      <w:r w:rsidR="00486C69" w:rsidRPr="00582F2E">
        <w:rPr>
          <w:b/>
          <w:lang w:val="fr-CA"/>
        </w:rPr>
        <w:t>3</w:t>
      </w:r>
    </w:p>
    <w:p w:rsidR="00DF33A9" w:rsidRPr="00582F2E" w:rsidRDefault="00DF33A9" w:rsidP="00DF33A9">
      <w:pPr>
        <w:widowControl w:val="0"/>
        <w:rPr>
          <w:b/>
          <w:lang w:val="fr-CA"/>
        </w:rPr>
      </w:pPr>
      <w:r w:rsidRPr="00582F2E">
        <w:rPr>
          <w:b/>
          <w:lang w:val="fr-CA"/>
        </w:rPr>
        <w:t>Pour diffusion immédiate</w:t>
      </w:r>
    </w:p>
    <w:p w:rsidR="00DF33A9" w:rsidRPr="00582F2E" w:rsidRDefault="00DF33A9" w:rsidP="00DF33A9">
      <w:pPr>
        <w:widowControl w:val="0"/>
        <w:rPr>
          <w:lang w:val="fr-CA"/>
        </w:rPr>
      </w:pPr>
    </w:p>
    <w:p w:rsidR="00DF33A9" w:rsidRPr="00582F2E" w:rsidRDefault="00DF33A9" w:rsidP="00167C53">
      <w:pPr>
        <w:widowControl w:val="0"/>
        <w:rPr>
          <w:rStyle w:val="Hyperlink"/>
          <w:color w:val="auto"/>
          <w:u w:val="none"/>
          <w:lang w:val="fr-CA"/>
        </w:rPr>
      </w:pPr>
      <w:r w:rsidRPr="00582F2E">
        <w:rPr>
          <w:b/>
          <w:lang w:val="fr-CA"/>
        </w:rPr>
        <w:t>OTTAWA</w:t>
      </w:r>
      <w:r w:rsidRPr="00582F2E">
        <w:rPr>
          <w:lang w:val="fr-CA"/>
        </w:rPr>
        <w:t xml:space="preserve"> – La Cour suprême du Canada a déposé aujourd’hui auprès du registraire</w:t>
      </w:r>
      <w:r w:rsidR="004972A6" w:rsidRPr="00582F2E">
        <w:rPr>
          <w:lang w:val="fr-CA"/>
        </w:rPr>
        <w:t xml:space="preserve"> le jugement dans l'appel suivant.</w:t>
      </w:r>
      <w:r w:rsidR="00167C53" w:rsidRPr="00582F2E">
        <w:rPr>
          <w:lang w:val="fr-CA"/>
        </w:rPr>
        <w:t xml:space="preserve"> </w:t>
      </w:r>
      <w:r w:rsidR="0050239F" w:rsidRPr="00582F2E">
        <w:rPr>
          <w:lang w:val="fr-CA"/>
        </w:rPr>
        <w:t xml:space="preserve">Les </w:t>
      </w:r>
      <w:hyperlink r:id="rId9" w:history="1">
        <w:r w:rsidR="0050239F" w:rsidRPr="00582F2E">
          <w:rPr>
            <w:rStyle w:val="Hyperlink"/>
            <w:lang w:val="fr-CA"/>
          </w:rPr>
          <w:t>m</w:t>
        </w:r>
        <w:r w:rsidRPr="00582F2E">
          <w:rPr>
            <w:rStyle w:val="Hyperlink"/>
            <w:lang w:val="fr-CA"/>
          </w:rPr>
          <w:t>otifs de jugemen</w:t>
        </w:r>
        <w:r w:rsidR="00350DBC" w:rsidRPr="00582F2E">
          <w:rPr>
            <w:rStyle w:val="Hyperlink"/>
            <w:lang w:val="fr-CA"/>
          </w:rPr>
          <w:t>t</w:t>
        </w:r>
      </w:hyperlink>
      <w:r w:rsidRPr="00582F2E">
        <w:rPr>
          <w:lang w:val="fr-CA"/>
        </w:rPr>
        <w:t xml:space="preserve"> </w:t>
      </w:r>
      <w:r w:rsidR="00C4360A" w:rsidRPr="00582F2E">
        <w:rPr>
          <w:lang w:val="fr-CA"/>
        </w:rPr>
        <w:t xml:space="preserve">et </w:t>
      </w:r>
      <w:hyperlink r:id="rId10" w:history="1">
        <w:r w:rsidR="00C4360A" w:rsidRPr="00582F2E">
          <w:rPr>
            <w:rStyle w:val="Hyperlink"/>
            <w:i/>
            <w:lang w:val="fr-CA"/>
          </w:rPr>
          <w:t>La cause en bref</w:t>
        </w:r>
      </w:hyperlink>
      <w:r w:rsidR="00C4360A" w:rsidRPr="00582F2E">
        <w:rPr>
          <w:lang w:val="fr-CA"/>
        </w:rPr>
        <w:t xml:space="preserve"> </w:t>
      </w:r>
      <w:r w:rsidR="0050239F" w:rsidRPr="00582F2E">
        <w:rPr>
          <w:lang w:val="fr-CA"/>
        </w:rPr>
        <w:t xml:space="preserve">seront </w:t>
      </w:r>
      <w:r w:rsidRPr="00582F2E">
        <w:rPr>
          <w:lang w:val="fr-CA"/>
        </w:rPr>
        <w:t>disponibles sous peu</w:t>
      </w:r>
      <w:r w:rsidR="0050239F" w:rsidRPr="00582F2E">
        <w:rPr>
          <w:lang w:val="fr-CA"/>
        </w:rPr>
        <w:t>.</w:t>
      </w:r>
    </w:p>
    <w:p w:rsidR="00DA7E05" w:rsidRPr="00582F2E"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B92F8C" w:rsidRPr="00582F2E" w:rsidRDefault="00582F2E" w:rsidP="00DF33A9">
      <w:pPr>
        <w:tabs>
          <w:tab w:val="left" w:pos="720"/>
          <w:tab w:val="left" w:pos="1296"/>
          <w:tab w:val="left" w:pos="2160"/>
          <w:tab w:val="left" w:pos="2880"/>
          <w:tab w:val="left" w:pos="4320"/>
          <w:tab w:val="left" w:pos="10224"/>
          <w:tab w:val="left" w:pos="11376"/>
        </w:tabs>
        <w:jc w:val="both"/>
        <w:rPr>
          <w:szCs w:val="24"/>
          <w:lang w:val="fr-CA"/>
        </w:rPr>
      </w:pPr>
      <w:r w:rsidRPr="00582F2E">
        <w:rPr>
          <w:sz w:val="20"/>
        </w:rPr>
        <w:pict>
          <v:rect id="_x0000_i1025" style="width:2in;height:1pt" o:hrpct="0" o:hralign="center" o:hrstd="t" o:hrnoshade="t" o:hr="t" fillcolor="black [3213]" stroked="f"/>
        </w:pict>
      </w:r>
    </w:p>
    <w:p w:rsidR="00A579AD" w:rsidRPr="00582F2E" w:rsidRDefault="00A579AD" w:rsidP="00A579AD">
      <w:pPr>
        <w:jc w:val="both"/>
        <w:outlineLvl w:val="0"/>
        <w:rPr>
          <w:szCs w:val="24"/>
          <w:lang w:val="fr-CA"/>
        </w:rPr>
      </w:pPr>
    </w:p>
    <w:p w:rsidR="00A579AD" w:rsidRPr="00582F2E" w:rsidRDefault="00864B36" w:rsidP="001944C0">
      <w:pPr>
        <w:ind w:left="1440" w:hanging="1440"/>
        <w:jc w:val="both"/>
        <w:rPr>
          <w:rFonts w:eastAsiaTheme="minorHAnsi" w:cstheme="minorBidi"/>
          <w:sz w:val="20"/>
        </w:rPr>
      </w:pPr>
      <w:r w:rsidRPr="00582F2E">
        <w:rPr>
          <w:b/>
          <w:sz w:val="20"/>
        </w:rPr>
        <w:t>39</w:t>
      </w:r>
      <w:r w:rsidR="00032F55" w:rsidRPr="00582F2E">
        <w:rPr>
          <w:b/>
          <w:sz w:val="20"/>
        </w:rPr>
        <w:t>796</w:t>
      </w:r>
      <w:r w:rsidR="00A579AD" w:rsidRPr="00582F2E">
        <w:rPr>
          <w:b/>
          <w:sz w:val="20"/>
        </w:rPr>
        <w:fldChar w:fldCharType="begin"/>
      </w:r>
      <w:r w:rsidR="00A579AD" w:rsidRPr="00582F2E">
        <w:rPr>
          <w:b/>
          <w:sz w:val="20"/>
        </w:rPr>
        <w:instrText xml:space="preserve"> SEQ CHAPTER \h \r 1</w:instrText>
      </w:r>
      <w:r w:rsidR="00A579AD" w:rsidRPr="00582F2E">
        <w:rPr>
          <w:b/>
          <w:sz w:val="20"/>
        </w:rPr>
        <w:fldChar w:fldCharType="end"/>
      </w:r>
      <w:r w:rsidR="00A579AD" w:rsidRPr="00582F2E">
        <w:rPr>
          <w:color w:val="FF0000"/>
          <w:sz w:val="20"/>
        </w:rPr>
        <w:tab/>
      </w:r>
      <w:r w:rsidR="00032F55" w:rsidRPr="00582F2E">
        <w:rPr>
          <w:rFonts w:eastAsiaTheme="minorHAnsi" w:cstheme="minorBidi"/>
          <w:b/>
          <w:sz w:val="20"/>
        </w:rPr>
        <w:t xml:space="preserve">Glen Hansman </w:t>
      </w:r>
      <w:r w:rsidR="008D0DC3" w:rsidRPr="00582F2E">
        <w:rPr>
          <w:rFonts w:eastAsiaTheme="minorHAnsi" w:cstheme="minorBidi"/>
          <w:b/>
          <w:sz w:val="20"/>
        </w:rPr>
        <w:t>v</w:t>
      </w:r>
      <w:r w:rsidR="00486C69" w:rsidRPr="00582F2E">
        <w:rPr>
          <w:rFonts w:eastAsiaTheme="minorHAnsi" w:cstheme="minorBidi"/>
          <w:b/>
          <w:sz w:val="20"/>
        </w:rPr>
        <w:t xml:space="preserve">. </w:t>
      </w:r>
      <w:r w:rsidR="00032F55" w:rsidRPr="00582F2E">
        <w:rPr>
          <w:rFonts w:eastAsiaTheme="minorHAnsi" w:cstheme="minorBidi"/>
          <w:b/>
          <w:sz w:val="20"/>
        </w:rPr>
        <w:t xml:space="preserve">Barry Neufeld - and - </w:t>
      </w:r>
      <w:r w:rsidR="00D0032E" w:rsidRPr="00582F2E">
        <w:rPr>
          <w:rFonts w:eastAsiaTheme="minorHAnsi" w:cstheme="minorBidi"/>
          <w:b/>
          <w:sz w:val="20"/>
        </w:rPr>
        <w:t>Attorney General of British Columbia, QMUNITY, Skipping Stone Scholarship Foundation, Canadian Human Rights Commission, Canadian Civil Liberties Association, Community-Based Research Centre, Canadian Centre for Gender &amp; Sexual Diversity, West Coast Legal Education and Action Fund, B.C. General Employees’ Union, Egale Canada and Centre for Free Expression</w:t>
      </w:r>
      <w:r w:rsidR="00032F55" w:rsidRPr="00582F2E">
        <w:rPr>
          <w:rFonts w:eastAsiaTheme="minorHAnsi" w:cstheme="minorBidi"/>
          <w:b/>
          <w:sz w:val="20"/>
        </w:rPr>
        <w:t xml:space="preserve"> </w:t>
      </w:r>
      <w:r w:rsidR="00A579AD" w:rsidRPr="00582F2E">
        <w:rPr>
          <w:rFonts w:eastAsiaTheme="minorHAnsi" w:cstheme="minorBidi"/>
          <w:iCs/>
          <w:sz w:val="20"/>
        </w:rPr>
        <w:t>(</w:t>
      </w:r>
      <w:r w:rsidR="00032F55" w:rsidRPr="00582F2E">
        <w:rPr>
          <w:rFonts w:eastAsiaTheme="minorHAnsi" w:cstheme="minorBidi"/>
          <w:iCs/>
          <w:sz w:val="20"/>
        </w:rPr>
        <w:t>B.C</w:t>
      </w:r>
      <w:r w:rsidR="008D0DC3" w:rsidRPr="00582F2E">
        <w:rPr>
          <w:rFonts w:eastAsiaTheme="minorHAnsi" w:cstheme="minorBidi"/>
          <w:iCs/>
          <w:sz w:val="20"/>
        </w:rPr>
        <w:t>.)</w:t>
      </w:r>
    </w:p>
    <w:p w:rsidR="00A579AD" w:rsidRPr="00582F2E"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582F2E">
        <w:rPr>
          <w:rFonts w:eastAsiaTheme="minorHAnsi" w:cstheme="minorBidi"/>
          <w:b/>
          <w:sz w:val="20"/>
        </w:rPr>
        <w:t>20</w:t>
      </w:r>
      <w:r w:rsidR="009C1BB4" w:rsidRPr="00582F2E">
        <w:rPr>
          <w:rFonts w:eastAsiaTheme="minorHAnsi" w:cstheme="minorBidi"/>
          <w:b/>
          <w:sz w:val="20"/>
        </w:rPr>
        <w:t>2</w:t>
      </w:r>
      <w:r w:rsidR="00486C69" w:rsidRPr="00582F2E">
        <w:rPr>
          <w:rFonts w:eastAsiaTheme="minorHAnsi" w:cstheme="minorBidi"/>
          <w:b/>
          <w:sz w:val="20"/>
        </w:rPr>
        <w:t>3</w:t>
      </w:r>
      <w:r w:rsidRPr="00582F2E">
        <w:rPr>
          <w:rFonts w:eastAsiaTheme="minorHAnsi" w:cstheme="minorBidi"/>
          <w:b/>
          <w:sz w:val="20"/>
        </w:rPr>
        <w:t xml:space="preserve"> SCC </w:t>
      </w:r>
      <w:r w:rsidR="00C61018" w:rsidRPr="00582F2E">
        <w:rPr>
          <w:rFonts w:eastAsiaTheme="minorHAnsi" w:cstheme="minorBidi"/>
          <w:b/>
          <w:sz w:val="20"/>
        </w:rPr>
        <w:t>1</w:t>
      </w:r>
      <w:r w:rsidR="00D0032E" w:rsidRPr="00582F2E">
        <w:rPr>
          <w:rFonts w:eastAsiaTheme="minorHAnsi" w:cstheme="minorBidi"/>
          <w:b/>
          <w:sz w:val="20"/>
        </w:rPr>
        <w:t>4</w:t>
      </w:r>
      <w:r w:rsidR="00465672" w:rsidRPr="00582F2E">
        <w:rPr>
          <w:rFonts w:eastAsiaTheme="minorHAnsi" w:cstheme="minorBidi"/>
          <w:b/>
          <w:sz w:val="20"/>
        </w:rPr>
        <w:t xml:space="preserve"> </w:t>
      </w:r>
      <w:r w:rsidRPr="00582F2E">
        <w:rPr>
          <w:rFonts w:eastAsiaTheme="minorHAnsi" w:cstheme="minorBidi"/>
          <w:b/>
          <w:sz w:val="20"/>
        </w:rPr>
        <w:t>/ 20</w:t>
      </w:r>
      <w:r w:rsidR="009C1BB4" w:rsidRPr="00582F2E">
        <w:rPr>
          <w:rFonts w:eastAsiaTheme="minorHAnsi" w:cstheme="minorBidi"/>
          <w:b/>
          <w:sz w:val="20"/>
        </w:rPr>
        <w:t>2</w:t>
      </w:r>
      <w:r w:rsidR="00486C69" w:rsidRPr="00582F2E">
        <w:rPr>
          <w:rFonts w:eastAsiaTheme="minorHAnsi" w:cstheme="minorBidi"/>
          <w:b/>
          <w:sz w:val="20"/>
        </w:rPr>
        <w:t>3</w:t>
      </w:r>
      <w:r w:rsidRPr="00582F2E">
        <w:rPr>
          <w:rFonts w:eastAsiaTheme="minorHAnsi" w:cstheme="minorBidi"/>
          <w:b/>
          <w:sz w:val="20"/>
        </w:rPr>
        <w:t xml:space="preserve"> CSC </w:t>
      </w:r>
      <w:r w:rsidR="00C61018" w:rsidRPr="00582F2E">
        <w:rPr>
          <w:rFonts w:eastAsiaTheme="minorHAnsi" w:cstheme="minorBidi"/>
          <w:b/>
          <w:sz w:val="20"/>
        </w:rPr>
        <w:t>1</w:t>
      </w:r>
      <w:r w:rsidR="00D0032E" w:rsidRPr="00582F2E">
        <w:rPr>
          <w:rFonts w:eastAsiaTheme="minorHAnsi" w:cstheme="minorBidi"/>
          <w:b/>
          <w:sz w:val="20"/>
        </w:rPr>
        <w:t>4</w:t>
      </w:r>
    </w:p>
    <w:p w:rsidR="00A579AD" w:rsidRPr="00582F2E" w:rsidRDefault="00A579AD" w:rsidP="00A579AD">
      <w:pPr>
        <w:ind w:left="1440" w:hanging="1440"/>
        <w:jc w:val="both"/>
        <w:rPr>
          <w:sz w:val="20"/>
        </w:rPr>
      </w:pPr>
    </w:p>
    <w:p w:rsidR="008E74BB" w:rsidRPr="00582F2E" w:rsidRDefault="00A579AD" w:rsidP="008E74BB">
      <w:pPr>
        <w:ind w:left="1440" w:hanging="1440"/>
        <w:rPr>
          <w:sz w:val="20"/>
        </w:rPr>
      </w:pPr>
      <w:r w:rsidRPr="00582F2E">
        <w:rPr>
          <w:sz w:val="20"/>
        </w:rPr>
        <w:t>Coram:</w:t>
      </w:r>
      <w:r w:rsidRPr="00582F2E">
        <w:rPr>
          <w:sz w:val="20"/>
        </w:rPr>
        <w:tab/>
      </w:r>
      <w:r w:rsidR="00032F55" w:rsidRPr="00582F2E">
        <w:rPr>
          <w:sz w:val="20"/>
        </w:rPr>
        <w:t>Wagner C.J. and Karakatsanis, Côté, Rowe, Martin, Jamal and O’Bonsawin JJ.</w:t>
      </w:r>
    </w:p>
    <w:p w:rsidR="00F230D5" w:rsidRPr="00582F2E" w:rsidRDefault="00F230D5" w:rsidP="008E74BB">
      <w:pPr>
        <w:ind w:left="1440" w:hanging="1440"/>
        <w:rPr>
          <w:sz w:val="20"/>
        </w:rPr>
      </w:pPr>
    </w:p>
    <w:p w:rsidR="00D0032E" w:rsidRPr="00582F2E" w:rsidRDefault="00D0032E" w:rsidP="00D0032E">
      <w:pPr>
        <w:jc w:val="both"/>
        <w:rPr>
          <w:sz w:val="20"/>
          <w:lang w:val="fr-CA"/>
        </w:rPr>
      </w:pPr>
      <w:r w:rsidRPr="00582F2E">
        <w:rPr>
          <w:sz w:val="20"/>
        </w:rPr>
        <w:t xml:space="preserve">The appeal from the judgment </w:t>
      </w:r>
      <w:bookmarkStart w:id="1" w:name="BM_1_"/>
      <w:bookmarkEnd w:id="1"/>
      <w:r w:rsidRPr="00582F2E">
        <w:rPr>
          <w:sz w:val="20"/>
        </w:rPr>
        <w:t xml:space="preserve">of the Court of Appeal for British Columbia (Vancouver), Number CA46586, 2021 BCCA 222, dated June 9, 2021, heard on October 11, 2022, is allowed. The order of the Court of Appeal is set aside and the order of the chambers judge dismissing the defamation action is restored. Costs are awarded in favour of the appellant on a party and party basis in this Court, on an ordinary costs basis in the Court of Appeal, and on a full indemnity basis in the Supreme Court of British Columbia pursuant to s. 7(1) of the </w:t>
      </w:r>
      <w:r w:rsidRPr="00582F2E">
        <w:rPr>
          <w:i/>
          <w:sz w:val="20"/>
        </w:rPr>
        <w:t>Protection of Public Participation Act</w:t>
      </w:r>
      <w:r w:rsidRPr="00582F2E">
        <w:rPr>
          <w:sz w:val="20"/>
        </w:rPr>
        <w:t xml:space="preserve">, S.B.C. 2019, </w:t>
      </w:r>
      <w:proofErr w:type="gramStart"/>
      <w:r w:rsidRPr="00582F2E">
        <w:rPr>
          <w:sz w:val="20"/>
        </w:rPr>
        <w:t>c</w:t>
      </w:r>
      <w:proofErr w:type="gramEnd"/>
      <w:r w:rsidRPr="00582F2E">
        <w:rPr>
          <w:sz w:val="20"/>
        </w:rPr>
        <w:t xml:space="preserve">. 3.  </w:t>
      </w:r>
      <w:r w:rsidRPr="00582F2E">
        <w:rPr>
          <w:sz w:val="20"/>
          <w:lang w:val="fr-CA"/>
        </w:rPr>
        <w:t>Côté J. dissents.</w:t>
      </w:r>
    </w:p>
    <w:p w:rsidR="008E74BB" w:rsidRPr="00582F2E" w:rsidRDefault="008E74BB" w:rsidP="00A579AD">
      <w:pPr>
        <w:widowControl w:val="0"/>
        <w:jc w:val="both"/>
        <w:outlineLvl w:val="0"/>
        <w:rPr>
          <w:sz w:val="20"/>
          <w:lang w:val="fr-CA"/>
        </w:rPr>
      </w:pPr>
    </w:p>
    <w:p w:rsidR="00D0032E" w:rsidRPr="00582F2E" w:rsidRDefault="00D0032E" w:rsidP="00D0032E">
      <w:pPr>
        <w:jc w:val="both"/>
        <w:rPr>
          <w:sz w:val="20"/>
          <w:lang w:val="fr-CA"/>
        </w:rPr>
      </w:pPr>
      <w:r w:rsidRPr="00582F2E">
        <w:rPr>
          <w:sz w:val="20"/>
          <w:lang w:val="fr-CA"/>
        </w:rPr>
        <w:t>L’appel interjeté contre l’arrêt de la Cour d’appel de la Colombie-Britannique (Vancouver), numéro CA46586, 2021 BCCA 222, daté du 9 juin 2021, entendu le 11 octobre 2022, est accueilli.  L’ordonnance de la Cour d’appel est annulée et l’ordonnance du juge en cabinet rejetant l’action en diffamation est rétablie. Les dépens entre parties devant la Cour, les dépens ordinaires devant la Cour d’appel, et les dépens sur une base d’indemnisation intégrale devant la Cour suprême de la Colombie</w:t>
      </w:r>
      <w:r w:rsidRPr="00582F2E">
        <w:rPr>
          <w:sz w:val="20"/>
          <w:lang w:val="fr-CA"/>
        </w:rPr>
        <w:noBreakHyphen/>
        <w:t xml:space="preserve">Britannique, conformément au </w:t>
      </w:r>
      <w:proofErr w:type="spellStart"/>
      <w:r w:rsidRPr="00582F2E">
        <w:rPr>
          <w:sz w:val="20"/>
          <w:lang w:val="fr-CA"/>
        </w:rPr>
        <w:t>par</w:t>
      </w:r>
      <w:proofErr w:type="spellEnd"/>
      <w:r w:rsidRPr="00582F2E">
        <w:rPr>
          <w:sz w:val="20"/>
          <w:lang w:val="fr-CA"/>
        </w:rPr>
        <w:t xml:space="preserve">. 7(1) de la </w:t>
      </w:r>
      <w:r w:rsidRPr="00582F2E">
        <w:rPr>
          <w:i/>
          <w:sz w:val="20"/>
          <w:lang w:val="fr-CA"/>
        </w:rPr>
        <w:t>Protection of Public Participation Act</w:t>
      </w:r>
      <w:r w:rsidRPr="00582F2E">
        <w:rPr>
          <w:sz w:val="20"/>
          <w:lang w:val="fr-CA"/>
        </w:rPr>
        <w:t>, S.B.C. 2019, c. 3, sont adjugés à l’appelant. La juge Côté est dissidente.</w:t>
      </w:r>
    </w:p>
    <w:p w:rsidR="008D0DC3" w:rsidRPr="00582F2E" w:rsidRDefault="008D0DC3" w:rsidP="00A579AD">
      <w:pPr>
        <w:widowControl w:val="0"/>
        <w:jc w:val="both"/>
        <w:outlineLvl w:val="0"/>
        <w:rPr>
          <w:sz w:val="20"/>
          <w:lang w:val="fr-CA"/>
        </w:rPr>
      </w:pPr>
    </w:p>
    <w:p w:rsidR="00B92F8C" w:rsidRPr="00582F2E" w:rsidRDefault="00582F2E" w:rsidP="00A579AD">
      <w:pPr>
        <w:widowControl w:val="0"/>
        <w:jc w:val="both"/>
        <w:outlineLvl w:val="0"/>
        <w:rPr>
          <w:sz w:val="20"/>
          <w:lang w:val="fr-CA"/>
        </w:rPr>
      </w:pPr>
      <w:r w:rsidRPr="00582F2E">
        <w:rPr>
          <w:sz w:val="20"/>
        </w:rPr>
        <w:pict>
          <v:rect id="_x0000_i1026" style="width:2in;height:1pt" o:hrpct="0" o:hralign="center" o:hrstd="t" o:hrnoshade="t" o:hr="t" fillcolor="black [3213]" stroked="f"/>
        </w:pict>
      </w:r>
    </w:p>
    <w:p w:rsidR="00AD168A" w:rsidRPr="00582F2E" w:rsidRDefault="00AD168A" w:rsidP="00F71561">
      <w:pPr>
        <w:widowControl w:val="0"/>
        <w:jc w:val="both"/>
        <w:outlineLvl w:val="0"/>
        <w:rPr>
          <w:sz w:val="20"/>
          <w:lang w:val="fr-CA"/>
        </w:rPr>
      </w:pPr>
    </w:p>
    <w:p w:rsidR="00A52DFE" w:rsidRPr="00582F2E" w:rsidRDefault="00A52DFE" w:rsidP="00F71561">
      <w:pPr>
        <w:widowControl w:val="0"/>
        <w:jc w:val="both"/>
        <w:outlineLvl w:val="0"/>
        <w:rPr>
          <w:sz w:val="20"/>
          <w:lang w:val="fr-CA"/>
        </w:rPr>
      </w:pPr>
    </w:p>
    <w:p w:rsidR="00BD2FF5" w:rsidRPr="00582F2E" w:rsidRDefault="00BD2FF5" w:rsidP="00F71561">
      <w:pPr>
        <w:widowControl w:val="0"/>
        <w:jc w:val="both"/>
        <w:outlineLvl w:val="0"/>
        <w:rPr>
          <w:sz w:val="20"/>
          <w:lang w:val="fr-CA"/>
        </w:rPr>
      </w:pPr>
    </w:p>
    <w:p w:rsidR="00DF33A9" w:rsidRPr="00582F2E" w:rsidRDefault="00DF33A9" w:rsidP="00DF33A9">
      <w:pPr>
        <w:widowControl w:val="0"/>
        <w:outlineLvl w:val="0"/>
      </w:pPr>
      <w:r w:rsidRPr="00582F2E">
        <w:t xml:space="preserve">Supreme Court of Canada / Cour suprême du Canada : </w:t>
      </w:r>
    </w:p>
    <w:p w:rsidR="00DF33A9" w:rsidRPr="00582F2E" w:rsidRDefault="00582F2E" w:rsidP="00DF33A9">
      <w:pPr>
        <w:widowControl w:val="0"/>
        <w:outlineLvl w:val="0"/>
      </w:pPr>
      <w:hyperlink r:id="rId11" w:history="1">
        <w:r w:rsidR="00DF33A9" w:rsidRPr="00582F2E">
          <w:rPr>
            <w:rStyle w:val="Hyperlink"/>
          </w:rPr>
          <w:t>comments-commentaires@scc-csc.ca</w:t>
        </w:r>
      </w:hyperlink>
    </w:p>
    <w:p w:rsidR="00DF33A9" w:rsidRPr="00582F2E" w:rsidRDefault="00DF33A9" w:rsidP="00DF33A9">
      <w:pPr>
        <w:widowControl w:val="0"/>
        <w:outlineLvl w:val="0"/>
      </w:pPr>
      <w:r w:rsidRPr="00582F2E">
        <w:lastRenderedPageBreak/>
        <w:t>613</w:t>
      </w:r>
      <w:r w:rsidR="004A6E44" w:rsidRPr="00582F2E">
        <w:t>-</w:t>
      </w:r>
      <w:r w:rsidRPr="00582F2E">
        <w:t>995-4330</w:t>
      </w:r>
    </w:p>
    <w:p w:rsidR="00DF33A9" w:rsidRPr="00582F2E" w:rsidRDefault="00DF33A9" w:rsidP="00DF33A9">
      <w:pPr>
        <w:widowControl w:val="0"/>
        <w:rPr>
          <w:sz w:val="20"/>
        </w:rPr>
      </w:pPr>
    </w:p>
    <w:p w:rsidR="00DF33A9" w:rsidRPr="00582F2E" w:rsidRDefault="00DF33A9" w:rsidP="00DF33A9">
      <w:pPr>
        <w:widowControl w:val="0"/>
        <w:rPr>
          <w:sz w:val="20"/>
        </w:rPr>
      </w:pPr>
    </w:p>
    <w:p w:rsidR="00C12722" w:rsidRPr="009753CD" w:rsidRDefault="00DF33A9" w:rsidP="00456B0F">
      <w:pPr>
        <w:pStyle w:val="Footer"/>
        <w:jc w:val="center"/>
        <w:rPr>
          <w:lang w:val="en-CA"/>
        </w:rPr>
      </w:pPr>
      <w:r w:rsidRPr="00582F2E">
        <w:rPr>
          <w:lang w:val="en-CA"/>
        </w:rPr>
        <w:t>- 30 -</w:t>
      </w:r>
    </w:p>
    <w:sectPr w:rsidR="00C12722" w:rsidRPr="009753CD"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DB" w:rsidRDefault="003171DB" w:rsidP="0034178A">
      <w:r>
        <w:separator/>
      </w:r>
    </w:p>
  </w:endnote>
  <w:endnote w:type="continuationSeparator" w:id="0">
    <w:p w:rsidR="003171DB" w:rsidRDefault="003171DB"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DB" w:rsidRDefault="003171DB" w:rsidP="0034178A">
      <w:r>
        <w:separator/>
      </w:r>
    </w:p>
  </w:footnote>
  <w:footnote w:type="continuationSeparator" w:id="0">
    <w:p w:rsidR="003171DB" w:rsidRDefault="003171DB"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510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1E6E"/>
    <w:rsid w:val="000028DC"/>
    <w:rsid w:val="000043C3"/>
    <w:rsid w:val="00005DC9"/>
    <w:rsid w:val="00006BC2"/>
    <w:rsid w:val="00010F78"/>
    <w:rsid w:val="00012498"/>
    <w:rsid w:val="000128A2"/>
    <w:rsid w:val="000136CC"/>
    <w:rsid w:val="00013E55"/>
    <w:rsid w:val="00014C19"/>
    <w:rsid w:val="000164DB"/>
    <w:rsid w:val="00016D65"/>
    <w:rsid w:val="00020797"/>
    <w:rsid w:val="00020816"/>
    <w:rsid w:val="00020F12"/>
    <w:rsid w:val="0002267C"/>
    <w:rsid w:val="00024962"/>
    <w:rsid w:val="00025CEB"/>
    <w:rsid w:val="000276EE"/>
    <w:rsid w:val="00032F55"/>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261D"/>
    <w:rsid w:val="000574D3"/>
    <w:rsid w:val="000577D9"/>
    <w:rsid w:val="000616BC"/>
    <w:rsid w:val="000627A2"/>
    <w:rsid w:val="00063389"/>
    <w:rsid w:val="00064640"/>
    <w:rsid w:val="00065F8F"/>
    <w:rsid w:val="00066B80"/>
    <w:rsid w:val="00067F50"/>
    <w:rsid w:val="00070298"/>
    <w:rsid w:val="00070830"/>
    <w:rsid w:val="00073252"/>
    <w:rsid w:val="00073DB1"/>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64E7"/>
    <w:rsid w:val="000B163F"/>
    <w:rsid w:val="000B1CC1"/>
    <w:rsid w:val="000B209D"/>
    <w:rsid w:val="000B7258"/>
    <w:rsid w:val="000C0E20"/>
    <w:rsid w:val="000C14E9"/>
    <w:rsid w:val="000C182C"/>
    <w:rsid w:val="000C18EC"/>
    <w:rsid w:val="000C3667"/>
    <w:rsid w:val="000C4004"/>
    <w:rsid w:val="000C5A95"/>
    <w:rsid w:val="000D0506"/>
    <w:rsid w:val="000D0522"/>
    <w:rsid w:val="000D0DD5"/>
    <w:rsid w:val="000D3129"/>
    <w:rsid w:val="000E13A5"/>
    <w:rsid w:val="000E17BD"/>
    <w:rsid w:val="000E35CD"/>
    <w:rsid w:val="000E3872"/>
    <w:rsid w:val="000E50F2"/>
    <w:rsid w:val="000E5407"/>
    <w:rsid w:val="000E6114"/>
    <w:rsid w:val="000E6C87"/>
    <w:rsid w:val="000E7DD1"/>
    <w:rsid w:val="000F1250"/>
    <w:rsid w:val="000F3D01"/>
    <w:rsid w:val="000F419D"/>
    <w:rsid w:val="000F525E"/>
    <w:rsid w:val="000F5781"/>
    <w:rsid w:val="001004C5"/>
    <w:rsid w:val="001004CC"/>
    <w:rsid w:val="00100C7A"/>
    <w:rsid w:val="00100CEE"/>
    <w:rsid w:val="00101E4B"/>
    <w:rsid w:val="00102F8F"/>
    <w:rsid w:val="001068F5"/>
    <w:rsid w:val="00107219"/>
    <w:rsid w:val="0011164C"/>
    <w:rsid w:val="00112091"/>
    <w:rsid w:val="0011420C"/>
    <w:rsid w:val="001148D2"/>
    <w:rsid w:val="00117AF3"/>
    <w:rsid w:val="0012101A"/>
    <w:rsid w:val="00123976"/>
    <w:rsid w:val="00124DEC"/>
    <w:rsid w:val="00131B01"/>
    <w:rsid w:val="00132635"/>
    <w:rsid w:val="001354E7"/>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0C87"/>
    <w:rsid w:val="001716F7"/>
    <w:rsid w:val="0017316D"/>
    <w:rsid w:val="00173B3A"/>
    <w:rsid w:val="00174655"/>
    <w:rsid w:val="00176790"/>
    <w:rsid w:val="001813C3"/>
    <w:rsid w:val="00181D1E"/>
    <w:rsid w:val="00185355"/>
    <w:rsid w:val="001866BF"/>
    <w:rsid w:val="00186884"/>
    <w:rsid w:val="0019030D"/>
    <w:rsid w:val="00190C7A"/>
    <w:rsid w:val="00190F7F"/>
    <w:rsid w:val="00191629"/>
    <w:rsid w:val="001920B7"/>
    <w:rsid w:val="00192277"/>
    <w:rsid w:val="00193A8F"/>
    <w:rsid w:val="00193BAE"/>
    <w:rsid w:val="001944C0"/>
    <w:rsid w:val="001947C1"/>
    <w:rsid w:val="00194F2A"/>
    <w:rsid w:val="00195873"/>
    <w:rsid w:val="001971DC"/>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E6C"/>
    <w:rsid w:val="001D0423"/>
    <w:rsid w:val="001D05E5"/>
    <w:rsid w:val="001D235D"/>
    <w:rsid w:val="001D2499"/>
    <w:rsid w:val="001D2555"/>
    <w:rsid w:val="001D3C98"/>
    <w:rsid w:val="001D4921"/>
    <w:rsid w:val="001D57BE"/>
    <w:rsid w:val="001D612A"/>
    <w:rsid w:val="001E090B"/>
    <w:rsid w:val="001E2235"/>
    <w:rsid w:val="001E3BCD"/>
    <w:rsid w:val="001F27B1"/>
    <w:rsid w:val="001F3C41"/>
    <w:rsid w:val="001F5B11"/>
    <w:rsid w:val="001F5DAF"/>
    <w:rsid w:val="001F6780"/>
    <w:rsid w:val="002006F9"/>
    <w:rsid w:val="002007F1"/>
    <w:rsid w:val="00200E8D"/>
    <w:rsid w:val="00200F31"/>
    <w:rsid w:val="00201914"/>
    <w:rsid w:val="002020FB"/>
    <w:rsid w:val="0020221F"/>
    <w:rsid w:val="00203AEA"/>
    <w:rsid w:val="00205051"/>
    <w:rsid w:val="002065A2"/>
    <w:rsid w:val="0020794A"/>
    <w:rsid w:val="00207C7F"/>
    <w:rsid w:val="00212962"/>
    <w:rsid w:val="00213641"/>
    <w:rsid w:val="00217135"/>
    <w:rsid w:val="0022132D"/>
    <w:rsid w:val="00222CAE"/>
    <w:rsid w:val="00223B83"/>
    <w:rsid w:val="0022525B"/>
    <w:rsid w:val="00225A53"/>
    <w:rsid w:val="002264F4"/>
    <w:rsid w:val="00231427"/>
    <w:rsid w:val="00233057"/>
    <w:rsid w:val="00234A3D"/>
    <w:rsid w:val="00235DB1"/>
    <w:rsid w:val="00237F34"/>
    <w:rsid w:val="002407C6"/>
    <w:rsid w:val="0024227A"/>
    <w:rsid w:val="00244CDD"/>
    <w:rsid w:val="00245D73"/>
    <w:rsid w:val="00246C0E"/>
    <w:rsid w:val="0024725C"/>
    <w:rsid w:val="002514CA"/>
    <w:rsid w:val="002517D5"/>
    <w:rsid w:val="00252FDB"/>
    <w:rsid w:val="00253790"/>
    <w:rsid w:val="00254A42"/>
    <w:rsid w:val="0025566A"/>
    <w:rsid w:val="002567CD"/>
    <w:rsid w:val="0025713A"/>
    <w:rsid w:val="002613AC"/>
    <w:rsid w:val="00261D3C"/>
    <w:rsid w:val="00262C42"/>
    <w:rsid w:val="0026349D"/>
    <w:rsid w:val="00263F8E"/>
    <w:rsid w:val="00266E08"/>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194F"/>
    <w:rsid w:val="002A345E"/>
    <w:rsid w:val="002A3BF3"/>
    <w:rsid w:val="002A5245"/>
    <w:rsid w:val="002A55D1"/>
    <w:rsid w:val="002A5C41"/>
    <w:rsid w:val="002A7D81"/>
    <w:rsid w:val="002B2A78"/>
    <w:rsid w:val="002B2FCA"/>
    <w:rsid w:val="002B5525"/>
    <w:rsid w:val="002B6AFE"/>
    <w:rsid w:val="002C10D1"/>
    <w:rsid w:val="002C4A02"/>
    <w:rsid w:val="002C6C8C"/>
    <w:rsid w:val="002D0C49"/>
    <w:rsid w:val="002D2553"/>
    <w:rsid w:val="002D2F15"/>
    <w:rsid w:val="002D417C"/>
    <w:rsid w:val="002D43A1"/>
    <w:rsid w:val="002D6680"/>
    <w:rsid w:val="002D7A54"/>
    <w:rsid w:val="002E30C3"/>
    <w:rsid w:val="002E3911"/>
    <w:rsid w:val="002E3F26"/>
    <w:rsid w:val="002E519A"/>
    <w:rsid w:val="002F06D0"/>
    <w:rsid w:val="002F2850"/>
    <w:rsid w:val="002F3830"/>
    <w:rsid w:val="002F3FF9"/>
    <w:rsid w:val="002F402B"/>
    <w:rsid w:val="002F4929"/>
    <w:rsid w:val="002F6C34"/>
    <w:rsid w:val="002F7DDE"/>
    <w:rsid w:val="002F7E97"/>
    <w:rsid w:val="003012A2"/>
    <w:rsid w:val="00301AF7"/>
    <w:rsid w:val="00306369"/>
    <w:rsid w:val="00306DE6"/>
    <w:rsid w:val="0031127B"/>
    <w:rsid w:val="00312710"/>
    <w:rsid w:val="00313652"/>
    <w:rsid w:val="003151B5"/>
    <w:rsid w:val="003171DB"/>
    <w:rsid w:val="00320D5D"/>
    <w:rsid w:val="0032224C"/>
    <w:rsid w:val="003232A2"/>
    <w:rsid w:val="003235CC"/>
    <w:rsid w:val="00325668"/>
    <w:rsid w:val="00327996"/>
    <w:rsid w:val="003306F3"/>
    <w:rsid w:val="0033241A"/>
    <w:rsid w:val="0033535C"/>
    <w:rsid w:val="00340D7B"/>
    <w:rsid w:val="0034178A"/>
    <w:rsid w:val="003509E6"/>
    <w:rsid w:val="00350D4E"/>
    <w:rsid w:val="00350DBC"/>
    <w:rsid w:val="00351946"/>
    <w:rsid w:val="00351AC9"/>
    <w:rsid w:val="00352802"/>
    <w:rsid w:val="003535EF"/>
    <w:rsid w:val="00355684"/>
    <w:rsid w:val="003567B8"/>
    <w:rsid w:val="00360FCE"/>
    <w:rsid w:val="00362E82"/>
    <w:rsid w:val="00363B2D"/>
    <w:rsid w:val="00364001"/>
    <w:rsid w:val="0037013D"/>
    <w:rsid w:val="00370960"/>
    <w:rsid w:val="003710CD"/>
    <w:rsid w:val="00372FD5"/>
    <w:rsid w:val="003738E2"/>
    <w:rsid w:val="003742F5"/>
    <w:rsid w:val="003761B2"/>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58BA"/>
    <w:rsid w:val="003A6B5E"/>
    <w:rsid w:val="003B0718"/>
    <w:rsid w:val="003B11E2"/>
    <w:rsid w:val="003B1455"/>
    <w:rsid w:val="003B2AC6"/>
    <w:rsid w:val="003B39D7"/>
    <w:rsid w:val="003B516F"/>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1963"/>
    <w:rsid w:val="003E3957"/>
    <w:rsid w:val="003F0D17"/>
    <w:rsid w:val="003F1E6F"/>
    <w:rsid w:val="003F3BC1"/>
    <w:rsid w:val="003F43E6"/>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3774C"/>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5672"/>
    <w:rsid w:val="004672B7"/>
    <w:rsid w:val="00467391"/>
    <w:rsid w:val="00467D46"/>
    <w:rsid w:val="00472190"/>
    <w:rsid w:val="00473D0C"/>
    <w:rsid w:val="00473DE2"/>
    <w:rsid w:val="00474D9B"/>
    <w:rsid w:val="00474F77"/>
    <w:rsid w:val="00475A01"/>
    <w:rsid w:val="00475E8C"/>
    <w:rsid w:val="00480E44"/>
    <w:rsid w:val="00481888"/>
    <w:rsid w:val="00486C69"/>
    <w:rsid w:val="00487662"/>
    <w:rsid w:val="00490DDC"/>
    <w:rsid w:val="00491D60"/>
    <w:rsid w:val="00492A9B"/>
    <w:rsid w:val="00494450"/>
    <w:rsid w:val="00494CD1"/>
    <w:rsid w:val="004957BA"/>
    <w:rsid w:val="004970C9"/>
    <w:rsid w:val="004972A6"/>
    <w:rsid w:val="00497B5E"/>
    <w:rsid w:val="004A054B"/>
    <w:rsid w:val="004A0FCB"/>
    <w:rsid w:val="004A224A"/>
    <w:rsid w:val="004A3074"/>
    <w:rsid w:val="004A4A49"/>
    <w:rsid w:val="004A6E44"/>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45B7"/>
    <w:rsid w:val="004E0B2F"/>
    <w:rsid w:val="004E1486"/>
    <w:rsid w:val="004E1883"/>
    <w:rsid w:val="004E1B3F"/>
    <w:rsid w:val="004E33C5"/>
    <w:rsid w:val="004E74DD"/>
    <w:rsid w:val="004F0EC9"/>
    <w:rsid w:val="004F1980"/>
    <w:rsid w:val="004F205F"/>
    <w:rsid w:val="004F27DD"/>
    <w:rsid w:val="004F36D6"/>
    <w:rsid w:val="004F3A64"/>
    <w:rsid w:val="004F40AB"/>
    <w:rsid w:val="0050239F"/>
    <w:rsid w:val="00502F3E"/>
    <w:rsid w:val="00503196"/>
    <w:rsid w:val="00503B5E"/>
    <w:rsid w:val="00504706"/>
    <w:rsid w:val="00510E2F"/>
    <w:rsid w:val="00511877"/>
    <w:rsid w:val="00511E62"/>
    <w:rsid w:val="00514F2E"/>
    <w:rsid w:val="005153EB"/>
    <w:rsid w:val="005205FC"/>
    <w:rsid w:val="005208AC"/>
    <w:rsid w:val="00521EFA"/>
    <w:rsid w:val="00523BD2"/>
    <w:rsid w:val="0052512E"/>
    <w:rsid w:val="00525193"/>
    <w:rsid w:val="00525B79"/>
    <w:rsid w:val="00525C66"/>
    <w:rsid w:val="00530398"/>
    <w:rsid w:val="00530F99"/>
    <w:rsid w:val="00532EB0"/>
    <w:rsid w:val="00534AC7"/>
    <w:rsid w:val="00535069"/>
    <w:rsid w:val="00535A60"/>
    <w:rsid w:val="00535D04"/>
    <w:rsid w:val="00535F7C"/>
    <w:rsid w:val="00536C2E"/>
    <w:rsid w:val="00541412"/>
    <w:rsid w:val="00541A32"/>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24C7"/>
    <w:rsid w:val="00582F2E"/>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A7E"/>
    <w:rsid w:val="005B3E75"/>
    <w:rsid w:val="005B432D"/>
    <w:rsid w:val="005B4E7A"/>
    <w:rsid w:val="005B4EB8"/>
    <w:rsid w:val="005C196C"/>
    <w:rsid w:val="005C2CA2"/>
    <w:rsid w:val="005C3064"/>
    <w:rsid w:val="005C4B1B"/>
    <w:rsid w:val="005C7BBF"/>
    <w:rsid w:val="005D019B"/>
    <w:rsid w:val="005D0DE0"/>
    <w:rsid w:val="005D3069"/>
    <w:rsid w:val="005D3159"/>
    <w:rsid w:val="005D3730"/>
    <w:rsid w:val="005E2F89"/>
    <w:rsid w:val="005E3E28"/>
    <w:rsid w:val="005E73A1"/>
    <w:rsid w:val="005F17E5"/>
    <w:rsid w:val="005F3093"/>
    <w:rsid w:val="005F4197"/>
    <w:rsid w:val="005F5163"/>
    <w:rsid w:val="005F5CD8"/>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42C8"/>
    <w:rsid w:val="00644D76"/>
    <w:rsid w:val="00644F7A"/>
    <w:rsid w:val="0064571B"/>
    <w:rsid w:val="0065238E"/>
    <w:rsid w:val="006548B2"/>
    <w:rsid w:val="00655090"/>
    <w:rsid w:val="00662B7E"/>
    <w:rsid w:val="00664E1D"/>
    <w:rsid w:val="00666AB5"/>
    <w:rsid w:val="00666BA1"/>
    <w:rsid w:val="00670A91"/>
    <w:rsid w:val="00671A3B"/>
    <w:rsid w:val="006721DF"/>
    <w:rsid w:val="00672A20"/>
    <w:rsid w:val="00674808"/>
    <w:rsid w:val="00674CE6"/>
    <w:rsid w:val="00675EF6"/>
    <w:rsid w:val="0067721C"/>
    <w:rsid w:val="00677979"/>
    <w:rsid w:val="0068314C"/>
    <w:rsid w:val="00683770"/>
    <w:rsid w:val="006849D2"/>
    <w:rsid w:val="00686A7E"/>
    <w:rsid w:val="00690509"/>
    <w:rsid w:val="00690ABC"/>
    <w:rsid w:val="00690B95"/>
    <w:rsid w:val="00691648"/>
    <w:rsid w:val="00693585"/>
    <w:rsid w:val="00693751"/>
    <w:rsid w:val="00693795"/>
    <w:rsid w:val="00693CE6"/>
    <w:rsid w:val="00693EFD"/>
    <w:rsid w:val="006941FB"/>
    <w:rsid w:val="006965DF"/>
    <w:rsid w:val="006972A1"/>
    <w:rsid w:val="006A09A4"/>
    <w:rsid w:val="006A21CC"/>
    <w:rsid w:val="006A3856"/>
    <w:rsid w:val="006A503A"/>
    <w:rsid w:val="006A7FB8"/>
    <w:rsid w:val="006B0212"/>
    <w:rsid w:val="006B1C34"/>
    <w:rsid w:val="006B293F"/>
    <w:rsid w:val="006B29A6"/>
    <w:rsid w:val="006B40C1"/>
    <w:rsid w:val="006B6A20"/>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D45"/>
    <w:rsid w:val="006E27D1"/>
    <w:rsid w:val="006E3984"/>
    <w:rsid w:val="006E4B08"/>
    <w:rsid w:val="006E4EB7"/>
    <w:rsid w:val="006E52E6"/>
    <w:rsid w:val="006E7F81"/>
    <w:rsid w:val="006F0042"/>
    <w:rsid w:val="006F1057"/>
    <w:rsid w:val="006F2579"/>
    <w:rsid w:val="006F5667"/>
    <w:rsid w:val="006F719B"/>
    <w:rsid w:val="0070251F"/>
    <w:rsid w:val="00704CDE"/>
    <w:rsid w:val="0070582E"/>
    <w:rsid w:val="00706495"/>
    <w:rsid w:val="00710FE2"/>
    <w:rsid w:val="007209A6"/>
    <w:rsid w:val="007226F3"/>
    <w:rsid w:val="007240C3"/>
    <w:rsid w:val="007243CC"/>
    <w:rsid w:val="007276A7"/>
    <w:rsid w:val="007301CB"/>
    <w:rsid w:val="00733EF3"/>
    <w:rsid w:val="007356BB"/>
    <w:rsid w:val="00735BED"/>
    <w:rsid w:val="007363D9"/>
    <w:rsid w:val="0073666D"/>
    <w:rsid w:val="0073669E"/>
    <w:rsid w:val="0073707B"/>
    <w:rsid w:val="00737D1D"/>
    <w:rsid w:val="00737F76"/>
    <w:rsid w:val="00741002"/>
    <w:rsid w:val="00741637"/>
    <w:rsid w:val="00741761"/>
    <w:rsid w:val="00743E35"/>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FEC"/>
    <w:rsid w:val="00776D7F"/>
    <w:rsid w:val="00777096"/>
    <w:rsid w:val="007771AF"/>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7EB6"/>
    <w:rsid w:val="008115B8"/>
    <w:rsid w:val="00811EE9"/>
    <w:rsid w:val="00812315"/>
    <w:rsid w:val="008146B9"/>
    <w:rsid w:val="00815443"/>
    <w:rsid w:val="00815D1B"/>
    <w:rsid w:val="00816C1F"/>
    <w:rsid w:val="00816FD3"/>
    <w:rsid w:val="0082143F"/>
    <w:rsid w:val="00823610"/>
    <w:rsid w:val="00824D6B"/>
    <w:rsid w:val="00825196"/>
    <w:rsid w:val="00826842"/>
    <w:rsid w:val="00827314"/>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42D7"/>
    <w:rsid w:val="0085543E"/>
    <w:rsid w:val="00860C38"/>
    <w:rsid w:val="00861CAB"/>
    <w:rsid w:val="008623C5"/>
    <w:rsid w:val="008626FB"/>
    <w:rsid w:val="008640FA"/>
    <w:rsid w:val="0086414E"/>
    <w:rsid w:val="00864B36"/>
    <w:rsid w:val="00865274"/>
    <w:rsid w:val="00866A27"/>
    <w:rsid w:val="00867D70"/>
    <w:rsid w:val="0087081B"/>
    <w:rsid w:val="0087225F"/>
    <w:rsid w:val="00874308"/>
    <w:rsid w:val="008762F7"/>
    <w:rsid w:val="00877B13"/>
    <w:rsid w:val="008836A7"/>
    <w:rsid w:val="00883CB5"/>
    <w:rsid w:val="00887DB0"/>
    <w:rsid w:val="00892AE2"/>
    <w:rsid w:val="00894683"/>
    <w:rsid w:val="008951E9"/>
    <w:rsid w:val="008A1084"/>
    <w:rsid w:val="008A2932"/>
    <w:rsid w:val="008A3884"/>
    <w:rsid w:val="008A3A7E"/>
    <w:rsid w:val="008A3D3D"/>
    <w:rsid w:val="008A4220"/>
    <w:rsid w:val="008A4ABF"/>
    <w:rsid w:val="008A64F5"/>
    <w:rsid w:val="008B0108"/>
    <w:rsid w:val="008B041B"/>
    <w:rsid w:val="008B1ACD"/>
    <w:rsid w:val="008B1DE3"/>
    <w:rsid w:val="008B2BC6"/>
    <w:rsid w:val="008B3670"/>
    <w:rsid w:val="008B4157"/>
    <w:rsid w:val="008B4A24"/>
    <w:rsid w:val="008B5AFF"/>
    <w:rsid w:val="008B5E0B"/>
    <w:rsid w:val="008B7CD2"/>
    <w:rsid w:val="008C12F3"/>
    <w:rsid w:val="008C57E3"/>
    <w:rsid w:val="008D0DC3"/>
    <w:rsid w:val="008D31B1"/>
    <w:rsid w:val="008D6E43"/>
    <w:rsid w:val="008E74BB"/>
    <w:rsid w:val="008E7C23"/>
    <w:rsid w:val="008E7F8D"/>
    <w:rsid w:val="008F1E66"/>
    <w:rsid w:val="008F282C"/>
    <w:rsid w:val="008F2850"/>
    <w:rsid w:val="008F302C"/>
    <w:rsid w:val="008F3455"/>
    <w:rsid w:val="008F3FD2"/>
    <w:rsid w:val="008F52BF"/>
    <w:rsid w:val="008F6541"/>
    <w:rsid w:val="0090233E"/>
    <w:rsid w:val="009023D9"/>
    <w:rsid w:val="009035A2"/>
    <w:rsid w:val="009114A6"/>
    <w:rsid w:val="009119D0"/>
    <w:rsid w:val="0091251D"/>
    <w:rsid w:val="00914720"/>
    <w:rsid w:val="00923C11"/>
    <w:rsid w:val="00923E69"/>
    <w:rsid w:val="009255DE"/>
    <w:rsid w:val="0092567B"/>
    <w:rsid w:val="00926B39"/>
    <w:rsid w:val="009340AB"/>
    <w:rsid w:val="0093600D"/>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9A2"/>
    <w:rsid w:val="00963C43"/>
    <w:rsid w:val="00965EAB"/>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B7C3C"/>
    <w:rsid w:val="009C1BB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6B7"/>
    <w:rsid w:val="00A23A8D"/>
    <w:rsid w:val="00A242EA"/>
    <w:rsid w:val="00A2504D"/>
    <w:rsid w:val="00A265DD"/>
    <w:rsid w:val="00A26E72"/>
    <w:rsid w:val="00A36736"/>
    <w:rsid w:val="00A41431"/>
    <w:rsid w:val="00A41B5E"/>
    <w:rsid w:val="00A41B76"/>
    <w:rsid w:val="00A42042"/>
    <w:rsid w:val="00A4281A"/>
    <w:rsid w:val="00A466AC"/>
    <w:rsid w:val="00A50604"/>
    <w:rsid w:val="00A50E26"/>
    <w:rsid w:val="00A5101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2CAD"/>
    <w:rsid w:val="00B13787"/>
    <w:rsid w:val="00B1445B"/>
    <w:rsid w:val="00B1644E"/>
    <w:rsid w:val="00B23415"/>
    <w:rsid w:val="00B245B8"/>
    <w:rsid w:val="00B24ABA"/>
    <w:rsid w:val="00B25FB2"/>
    <w:rsid w:val="00B2776C"/>
    <w:rsid w:val="00B3015D"/>
    <w:rsid w:val="00B30861"/>
    <w:rsid w:val="00B33FC9"/>
    <w:rsid w:val="00B34385"/>
    <w:rsid w:val="00B34E1F"/>
    <w:rsid w:val="00B35194"/>
    <w:rsid w:val="00B36C97"/>
    <w:rsid w:val="00B37AAA"/>
    <w:rsid w:val="00B37C41"/>
    <w:rsid w:val="00B4078C"/>
    <w:rsid w:val="00B4191E"/>
    <w:rsid w:val="00B42C6D"/>
    <w:rsid w:val="00B4516E"/>
    <w:rsid w:val="00B45B27"/>
    <w:rsid w:val="00B50047"/>
    <w:rsid w:val="00B506D3"/>
    <w:rsid w:val="00B5139A"/>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2F8C"/>
    <w:rsid w:val="00B9309E"/>
    <w:rsid w:val="00B9707A"/>
    <w:rsid w:val="00B9752D"/>
    <w:rsid w:val="00BA01C1"/>
    <w:rsid w:val="00BA06FA"/>
    <w:rsid w:val="00BA0A23"/>
    <w:rsid w:val="00BA3460"/>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45E1"/>
    <w:rsid w:val="00BC471A"/>
    <w:rsid w:val="00BC52D2"/>
    <w:rsid w:val="00BC6090"/>
    <w:rsid w:val="00BC6F58"/>
    <w:rsid w:val="00BC7496"/>
    <w:rsid w:val="00BD07C7"/>
    <w:rsid w:val="00BD14CE"/>
    <w:rsid w:val="00BD216A"/>
    <w:rsid w:val="00BD2FF5"/>
    <w:rsid w:val="00BD459D"/>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FB"/>
    <w:rsid w:val="00C31C5A"/>
    <w:rsid w:val="00C3269C"/>
    <w:rsid w:val="00C342CA"/>
    <w:rsid w:val="00C34515"/>
    <w:rsid w:val="00C34D9A"/>
    <w:rsid w:val="00C36C08"/>
    <w:rsid w:val="00C36FF2"/>
    <w:rsid w:val="00C412AD"/>
    <w:rsid w:val="00C419F7"/>
    <w:rsid w:val="00C4360A"/>
    <w:rsid w:val="00C45F01"/>
    <w:rsid w:val="00C4698C"/>
    <w:rsid w:val="00C47729"/>
    <w:rsid w:val="00C478AB"/>
    <w:rsid w:val="00C5207F"/>
    <w:rsid w:val="00C52D21"/>
    <w:rsid w:val="00C559C0"/>
    <w:rsid w:val="00C5629E"/>
    <w:rsid w:val="00C573B1"/>
    <w:rsid w:val="00C61018"/>
    <w:rsid w:val="00C64192"/>
    <w:rsid w:val="00C64E75"/>
    <w:rsid w:val="00C65FD6"/>
    <w:rsid w:val="00C717C9"/>
    <w:rsid w:val="00C726AE"/>
    <w:rsid w:val="00C7351D"/>
    <w:rsid w:val="00C75878"/>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F2D"/>
    <w:rsid w:val="00CC1DF1"/>
    <w:rsid w:val="00CC3391"/>
    <w:rsid w:val="00CC759C"/>
    <w:rsid w:val="00CD0159"/>
    <w:rsid w:val="00CD0363"/>
    <w:rsid w:val="00CD171A"/>
    <w:rsid w:val="00CD1AAB"/>
    <w:rsid w:val="00CD4F9A"/>
    <w:rsid w:val="00CD6CD1"/>
    <w:rsid w:val="00CD751E"/>
    <w:rsid w:val="00CE051C"/>
    <w:rsid w:val="00CE113C"/>
    <w:rsid w:val="00CE1D5A"/>
    <w:rsid w:val="00CE314D"/>
    <w:rsid w:val="00CE3F71"/>
    <w:rsid w:val="00CE4498"/>
    <w:rsid w:val="00CE6C1C"/>
    <w:rsid w:val="00CE7B3F"/>
    <w:rsid w:val="00CF0B55"/>
    <w:rsid w:val="00CF0EF2"/>
    <w:rsid w:val="00CF732A"/>
    <w:rsid w:val="00CF753F"/>
    <w:rsid w:val="00D0032E"/>
    <w:rsid w:val="00D0250E"/>
    <w:rsid w:val="00D0665D"/>
    <w:rsid w:val="00D07526"/>
    <w:rsid w:val="00D1308F"/>
    <w:rsid w:val="00D207B2"/>
    <w:rsid w:val="00D2269C"/>
    <w:rsid w:val="00D23582"/>
    <w:rsid w:val="00D240C0"/>
    <w:rsid w:val="00D24A6C"/>
    <w:rsid w:val="00D25A76"/>
    <w:rsid w:val="00D27486"/>
    <w:rsid w:val="00D308D8"/>
    <w:rsid w:val="00D3248D"/>
    <w:rsid w:val="00D32B2A"/>
    <w:rsid w:val="00D3344A"/>
    <w:rsid w:val="00D36BE9"/>
    <w:rsid w:val="00D3722A"/>
    <w:rsid w:val="00D43F58"/>
    <w:rsid w:val="00D44F04"/>
    <w:rsid w:val="00D460FC"/>
    <w:rsid w:val="00D47829"/>
    <w:rsid w:val="00D50416"/>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E1F"/>
    <w:rsid w:val="00DA6D82"/>
    <w:rsid w:val="00DA7E05"/>
    <w:rsid w:val="00DB1591"/>
    <w:rsid w:val="00DB169C"/>
    <w:rsid w:val="00DB180E"/>
    <w:rsid w:val="00DB2195"/>
    <w:rsid w:val="00DB27AF"/>
    <w:rsid w:val="00DB292F"/>
    <w:rsid w:val="00DB3966"/>
    <w:rsid w:val="00DB3F0F"/>
    <w:rsid w:val="00DB48D0"/>
    <w:rsid w:val="00DB50AC"/>
    <w:rsid w:val="00DB5A3F"/>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CEA"/>
    <w:rsid w:val="00E03D4F"/>
    <w:rsid w:val="00E03F7A"/>
    <w:rsid w:val="00E05B90"/>
    <w:rsid w:val="00E06224"/>
    <w:rsid w:val="00E114D9"/>
    <w:rsid w:val="00E134A9"/>
    <w:rsid w:val="00E150E0"/>
    <w:rsid w:val="00E2108D"/>
    <w:rsid w:val="00E21F9F"/>
    <w:rsid w:val="00E220EA"/>
    <w:rsid w:val="00E23054"/>
    <w:rsid w:val="00E237A8"/>
    <w:rsid w:val="00E251EC"/>
    <w:rsid w:val="00E25852"/>
    <w:rsid w:val="00E27D8C"/>
    <w:rsid w:val="00E31BA9"/>
    <w:rsid w:val="00E3334D"/>
    <w:rsid w:val="00E337E8"/>
    <w:rsid w:val="00E34AA2"/>
    <w:rsid w:val="00E35269"/>
    <w:rsid w:val="00E37FAF"/>
    <w:rsid w:val="00E4087E"/>
    <w:rsid w:val="00E40FF8"/>
    <w:rsid w:val="00E41EA7"/>
    <w:rsid w:val="00E42B30"/>
    <w:rsid w:val="00E42DA2"/>
    <w:rsid w:val="00E4337B"/>
    <w:rsid w:val="00E4536C"/>
    <w:rsid w:val="00E45906"/>
    <w:rsid w:val="00E45B17"/>
    <w:rsid w:val="00E45E6B"/>
    <w:rsid w:val="00E5097C"/>
    <w:rsid w:val="00E51BD8"/>
    <w:rsid w:val="00E5361B"/>
    <w:rsid w:val="00E54925"/>
    <w:rsid w:val="00E550C7"/>
    <w:rsid w:val="00E61029"/>
    <w:rsid w:val="00E6173D"/>
    <w:rsid w:val="00E61C4E"/>
    <w:rsid w:val="00E630C6"/>
    <w:rsid w:val="00E64CEE"/>
    <w:rsid w:val="00E65A41"/>
    <w:rsid w:val="00E65B53"/>
    <w:rsid w:val="00E67355"/>
    <w:rsid w:val="00E70748"/>
    <w:rsid w:val="00E710C9"/>
    <w:rsid w:val="00E724E4"/>
    <w:rsid w:val="00E73312"/>
    <w:rsid w:val="00E735D4"/>
    <w:rsid w:val="00E76439"/>
    <w:rsid w:val="00E80317"/>
    <w:rsid w:val="00E80D2E"/>
    <w:rsid w:val="00E843F9"/>
    <w:rsid w:val="00E858D9"/>
    <w:rsid w:val="00E862F4"/>
    <w:rsid w:val="00E87479"/>
    <w:rsid w:val="00E9032B"/>
    <w:rsid w:val="00E9115E"/>
    <w:rsid w:val="00E91691"/>
    <w:rsid w:val="00E92DE1"/>
    <w:rsid w:val="00E943A6"/>
    <w:rsid w:val="00E96873"/>
    <w:rsid w:val="00E975F3"/>
    <w:rsid w:val="00EA38AD"/>
    <w:rsid w:val="00EA3A1F"/>
    <w:rsid w:val="00EA3DD8"/>
    <w:rsid w:val="00EA4548"/>
    <w:rsid w:val="00EB6251"/>
    <w:rsid w:val="00EB6411"/>
    <w:rsid w:val="00EB73A5"/>
    <w:rsid w:val="00EC0E72"/>
    <w:rsid w:val="00EC11AB"/>
    <w:rsid w:val="00EC2317"/>
    <w:rsid w:val="00EC2990"/>
    <w:rsid w:val="00EC2A4D"/>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C6"/>
    <w:rsid w:val="00EE6985"/>
    <w:rsid w:val="00EF1864"/>
    <w:rsid w:val="00EF26B4"/>
    <w:rsid w:val="00EF56BC"/>
    <w:rsid w:val="00EF6C26"/>
    <w:rsid w:val="00EF7C0F"/>
    <w:rsid w:val="00F02E36"/>
    <w:rsid w:val="00F04707"/>
    <w:rsid w:val="00F04ACD"/>
    <w:rsid w:val="00F110F6"/>
    <w:rsid w:val="00F11FC7"/>
    <w:rsid w:val="00F122E7"/>
    <w:rsid w:val="00F1508E"/>
    <w:rsid w:val="00F152B2"/>
    <w:rsid w:val="00F22AFE"/>
    <w:rsid w:val="00F230D5"/>
    <w:rsid w:val="00F265C2"/>
    <w:rsid w:val="00F265F6"/>
    <w:rsid w:val="00F26990"/>
    <w:rsid w:val="00F26D91"/>
    <w:rsid w:val="00F27291"/>
    <w:rsid w:val="00F31FC0"/>
    <w:rsid w:val="00F32560"/>
    <w:rsid w:val="00F32569"/>
    <w:rsid w:val="00F3366B"/>
    <w:rsid w:val="00F35C22"/>
    <w:rsid w:val="00F36550"/>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3B9C"/>
    <w:rsid w:val="00F83ED3"/>
    <w:rsid w:val="00F8475B"/>
    <w:rsid w:val="00F857B4"/>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15AF"/>
    <w:rsid w:val="00FD2C4D"/>
    <w:rsid w:val="00FD2F1A"/>
    <w:rsid w:val="00FD446A"/>
    <w:rsid w:val="00FD5B13"/>
    <w:rsid w:val="00FD76D1"/>
    <w:rsid w:val="00FD7F01"/>
    <w:rsid w:val="00FE38F2"/>
    <w:rsid w:val="00FE44CF"/>
    <w:rsid w:val="00FE471B"/>
    <w:rsid w:val="00FE4721"/>
    <w:rsid w:val="00FE4D2A"/>
    <w:rsid w:val="00FE4FD0"/>
    <w:rsid w:val="00FF0DAF"/>
    <w:rsid w:val="00FF184B"/>
    <w:rsid w:val="00FF3A0A"/>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0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link w:val="ParaNoNdepar-AltNChar"/>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CSsocChar">
    <w:name w:val="SCC.Ssoc Char"/>
    <w:basedOn w:val="DefaultParagraphFont"/>
    <w:link w:val="SCCSsoc"/>
    <w:locked/>
    <w:rsid w:val="008E74BB"/>
    <w:rPr>
      <w:i/>
      <w:iCs/>
    </w:rPr>
  </w:style>
  <w:style w:type="paragraph" w:customStyle="1" w:styleId="SCCSsoc">
    <w:name w:val="SCC.Ssoc"/>
    <w:basedOn w:val="Normal"/>
    <w:link w:val="SCCSsocChar"/>
    <w:rsid w:val="008E74BB"/>
    <w:rPr>
      <w:rFonts w:ascii="Calibri" w:eastAsia="Calibri" w:hAnsi="Calibri"/>
      <w:i/>
      <w:iCs/>
      <w:sz w:val="20"/>
    </w:rPr>
  </w:style>
  <w:style w:type="character" w:customStyle="1" w:styleId="ParaNoNdepar-AltNChar">
    <w:name w:val="Para. No. / Nº de par. - Alt N Char"/>
    <w:basedOn w:val="DefaultParagraphFont"/>
    <w:link w:val="ParaNoNdepar-AltN"/>
    <w:rsid w:val="00DB48D0"/>
    <w:rPr>
      <w:rFonts w:ascii="Times New Roman" w:eastAsiaTheme="minorEastAsia" w:hAnsi="Times New Roman" w:cstheme="minorBidi"/>
      <w:sz w:val="24"/>
      <w:szCs w:val="22"/>
      <w:lang w:val="en-CA"/>
    </w:rPr>
  </w:style>
  <w:style w:type="paragraph" w:styleId="FootnoteText">
    <w:name w:val="footnote text"/>
    <w:basedOn w:val="Normal"/>
    <w:link w:val="FootnoteTextChar"/>
    <w:uiPriority w:val="99"/>
    <w:semiHidden/>
    <w:unhideWhenUsed/>
    <w:rsid w:val="008D0DC3"/>
    <w:rPr>
      <w:sz w:val="20"/>
      <w:lang w:val="en-CA" w:eastAsia="en-CA"/>
    </w:rPr>
  </w:style>
  <w:style w:type="character" w:customStyle="1" w:styleId="FootnoteTextChar">
    <w:name w:val="Footnote Text Char"/>
    <w:basedOn w:val="DefaultParagraphFont"/>
    <w:link w:val="FootnoteText"/>
    <w:uiPriority w:val="99"/>
    <w:semiHidden/>
    <w:rsid w:val="008D0DC3"/>
    <w:rPr>
      <w:rFonts w:ascii="Times New Roman" w:eastAsia="Times New Roman" w:hAnsi="Times New Roman"/>
      <w:lang w:val="en-CA" w:eastAsia="en-CA"/>
    </w:rPr>
  </w:style>
  <w:style w:type="character" w:styleId="FootnoteReference">
    <w:name w:val="footnote reference"/>
    <w:basedOn w:val="DefaultParagraphFont"/>
    <w:uiPriority w:val="99"/>
    <w:semiHidden/>
    <w:unhideWhenUsed/>
    <w:rsid w:val="008D0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nts-commentaires@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2851</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2022-03-04T16:12:00Z</dcterms:created>
  <dcterms:modified xsi:type="dcterms:W3CDTF">2023-05-18T18:38:00Z</dcterms:modified>
</cp:coreProperties>
</file>