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82351" w:rsidRDefault="000E391F" w:rsidP="000E391F">
      <w:pPr>
        <w:pStyle w:val="Header"/>
        <w:jc w:val="center"/>
        <w:rPr>
          <w:b/>
          <w:sz w:val="32"/>
          <w:szCs w:val="32"/>
        </w:rPr>
      </w:pPr>
      <w:r w:rsidRPr="00482351">
        <w:rPr>
          <w:b/>
          <w:sz w:val="32"/>
          <w:szCs w:val="32"/>
        </w:rPr>
        <w:t>Supreme Court of Canada / Cour suprême du Canada</w:t>
      </w:r>
    </w:p>
    <w:p w:rsidR="000E391F" w:rsidRPr="00482351" w:rsidRDefault="000E391F" w:rsidP="000E391F">
      <w:pPr>
        <w:widowControl w:val="0"/>
        <w:rPr>
          <w:sz w:val="20"/>
        </w:rPr>
      </w:pPr>
    </w:p>
    <w:p w:rsidR="000E391F" w:rsidRPr="00482351" w:rsidRDefault="000E391F" w:rsidP="000E391F">
      <w:pPr>
        <w:widowControl w:val="0"/>
        <w:rPr>
          <w:i/>
          <w:sz w:val="20"/>
        </w:rPr>
      </w:pPr>
    </w:p>
    <w:p w:rsidR="006F2579" w:rsidRPr="00482351" w:rsidRDefault="006F2579" w:rsidP="006F2579">
      <w:pPr>
        <w:widowControl w:val="0"/>
        <w:rPr>
          <w:i/>
          <w:sz w:val="20"/>
        </w:rPr>
      </w:pPr>
      <w:r w:rsidRPr="00482351">
        <w:rPr>
          <w:i/>
          <w:sz w:val="20"/>
        </w:rPr>
        <w:t>(</w:t>
      </w:r>
      <w:r w:rsidR="003240B6" w:rsidRPr="00482351">
        <w:rPr>
          <w:i/>
          <w:sz w:val="20"/>
        </w:rPr>
        <w:t>L</w:t>
      </w:r>
      <w:r w:rsidRPr="00482351">
        <w:rPr>
          <w:i/>
          <w:sz w:val="20"/>
        </w:rPr>
        <w:t>e français suit)</w:t>
      </w:r>
    </w:p>
    <w:p w:rsidR="006F2579" w:rsidRPr="00482351" w:rsidRDefault="006F2579" w:rsidP="006F2579">
      <w:pPr>
        <w:widowControl w:val="0"/>
        <w:rPr>
          <w:sz w:val="20"/>
        </w:rPr>
      </w:pPr>
    </w:p>
    <w:p w:rsidR="006F2579" w:rsidRPr="00482351" w:rsidRDefault="00B07908" w:rsidP="006F2579">
      <w:pPr>
        <w:widowControl w:val="0"/>
        <w:jc w:val="center"/>
        <w:rPr>
          <w:b/>
          <w:szCs w:val="24"/>
        </w:rPr>
      </w:pPr>
      <w:r w:rsidRPr="00482351">
        <w:rPr>
          <w:szCs w:val="24"/>
        </w:rPr>
        <w:fldChar w:fldCharType="begin"/>
      </w:r>
      <w:r w:rsidR="006F2579" w:rsidRPr="00482351">
        <w:rPr>
          <w:szCs w:val="24"/>
        </w:rPr>
        <w:instrText xml:space="preserve"> SEQ CHAPTER \h \r 1</w:instrText>
      </w:r>
      <w:r w:rsidRPr="00482351">
        <w:rPr>
          <w:szCs w:val="24"/>
        </w:rPr>
        <w:fldChar w:fldCharType="end"/>
      </w:r>
      <w:r w:rsidR="006F2579" w:rsidRPr="00482351">
        <w:rPr>
          <w:b/>
          <w:szCs w:val="24"/>
        </w:rPr>
        <w:t>JUDGMENT</w:t>
      </w:r>
      <w:r w:rsidR="004F5491" w:rsidRPr="00482351">
        <w:rPr>
          <w:b/>
          <w:szCs w:val="24"/>
        </w:rPr>
        <w:t>S</w:t>
      </w:r>
      <w:r w:rsidR="006F2579" w:rsidRPr="00482351">
        <w:rPr>
          <w:b/>
          <w:szCs w:val="24"/>
        </w:rPr>
        <w:t xml:space="preserve"> TO B</w:t>
      </w:r>
      <w:r w:rsidR="00001846" w:rsidRPr="00482351">
        <w:rPr>
          <w:b/>
          <w:szCs w:val="24"/>
        </w:rPr>
        <w:t>E RENDERED IN LE</w:t>
      </w:r>
      <w:r w:rsidR="00A0288A" w:rsidRPr="00482351">
        <w:rPr>
          <w:b/>
          <w:szCs w:val="24"/>
        </w:rPr>
        <w:t>A</w:t>
      </w:r>
      <w:r w:rsidR="00001846" w:rsidRPr="00482351">
        <w:rPr>
          <w:b/>
          <w:szCs w:val="24"/>
        </w:rPr>
        <w:t>VE APPLICATION</w:t>
      </w:r>
      <w:r w:rsidR="004F5491" w:rsidRPr="00482351">
        <w:rPr>
          <w:b/>
          <w:szCs w:val="24"/>
        </w:rPr>
        <w:t>S</w:t>
      </w:r>
    </w:p>
    <w:p w:rsidR="006F2579" w:rsidRPr="00482351" w:rsidRDefault="006F2579" w:rsidP="006F2579">
      <w:pPr>
        <w:widowControl w:val="0"/>
        <w:rPr>
          <w:szCs w:val="24"/>
        </w:rPr>
      </w:pPr>
    </w:p>
    <w:p w:rsidR="006F2579" w:rsidRPr="00482351" w:rsidRDefault="005364A6" w:rsidP="006F2579">
      <w:pPr>
        <w:widowControl w:val="0"/>
        <w:rPr>
          <w:szCs w:val="24"/>
        </w:rPr>
      </w:pPr>
      <w:r w:rsidRPr="00482351">
        <w:rPr>
          <w:b/>
          <w:szCs w:val="24"/>
        </w:rPr>
        <w:t>June</w:t>
      </w:r>
      <w:r w:rsidR="00A15B66" w:rsidRPr="00482351">
        <w:rPr>
          <w:b/>
          <w:szCs w:val="24"/>
        </w:rPr>
        <w:t xml:space="preserve"> </w:t>
      </w:r>
      <w:r w:rsidR="00E8168E" w:rsidRPr="00482351">
        <w:rPr>
          <w:b/>
          <w:szCs w:val="24"/>
        </w:rPr>
        <w:t>12</w:t>
      </w:r>
      <w:r w:rsidR="004441C7" w:rsidRPr="00482351">
        <w:rPr>
          <w:b/>
          <w:szCs w:val="24"/>
        </w:rPr>
        <w:t>,</w:t>
      </w:r>
      <w:r w:rsidR="006F2579" w:rsidRPr="00482351">
        <w:rPr>
          <w:b/>
          <w:szCs w:val="24"/>
        </w:rPr>
        <w:t xml:space="preserve"> </w:t>
      </w:r>
      <w:r w:rsidR="0054689F" w:rsidRPr="00482351">
        <w:rPr>
          <w:b/>
          <w:szCs w:val="24"/>
        </w:rPr>
        <w:t>20</w:t>
      </w:r>
      <w:r w:rsidR="00526754" w:rsidRPr="00482351">
        <w:rPr>
          <w:b/>
          <w:szCs w:val="24"/>
        </w:rPr>
        <w:t>2</w:t>
      </w:r>
      <w:r w:rsidR="00534CCB" w:rsidRPr="00482351">
        <w:rPr>
          <w:b/>
          <w:szCs w:val="24"/>
        </w:rPr>
        <w:t>3</w:t>
      </w:r>
    </w:p>
    <w:p w:rsidR="006F2579" w:rsidRPr="00482351" w:rsidRDefault="00674F39" w:rsidP="006F2579">
      <w:pPr>
        <w:widowControl w:val="0"/>
        <w:rPr>
          <w:b/>
          <w:szCs w:val="24"/>
        </w:rPr>
      </w:pPr>
      <w:r w:rsidRPr="00482351">
        <w:rPr>
          <w:b/>
          <w:szCs w:val="24"/>
        </w:rPr>
        <w:t>For immediate release</w:t>
      </w:r>
    </w:p>
    <w:p w:rsidR="006F2579" w:rsidRPr="00482351" w:rsidRDefault="006F2579" w:rsidP="006F2579">
      <w:pPr>
        <w:widowControl w:val="0"/>
        <w:rPr>
          <w:szCs w:val="24"/>
        </w:rPr>
      </w:pPr>
    </w:p>
    <w:p w:rsidR="006F2579" w:rsidRPr="00482351" w:rsidRDefault="006F2579" w:rsidP="006F2579">
      <w:pPr>
        <w:widowControl w:val="0"/>
        <w:rPr>
          <w:szCs w:val="24"/>
          <w:lang w:val="fr-CA"/>
        </w:rPr>
      </w:pPr>
      <w:r w:rsidRPr="00482351">
        <w:rPr>
          <w:b/>
          <w:szCs w:val="24"/>
        </w:rPr>
        <w:t>OTTAWA</w:t>
      </w:r>
      <w:r w:rsidRPr="00482351">
        <w:rPr>
          <w:szCs w:val="24"/>
        </w:rPr>
        <w:t xml:space="preserve"> – The Supreme Court of Canad</w:t>
      </w:r>
      <w:r w:rsidR="006246E4" w:rsidRPr="00482351">
        <w:rPr>
          <w:szCs w:val="24"/>
        </w:rPr>
        <w:t>a</w:t>
      </w:r>
      <w:r w:rsidRPr="00482351">
        <w:rPr>
          <w:szCs w:val="24"/>
        </w:rPr>
        <w:t xml:space="preserve"> announced today that judgment in the following </w:t>
      </w:r>
      <w:r w:rsidR="00DB6199" w:rsidRPr="00482351">
        <w:rPr>
          <w:szCs w:val="24"/>
        </w:rPr>
        <w:t>leave application</w:t>
      </w:r>
      <w:r w:rsidR="004F5491" w:rsidRPr="00482351">
        <w:rPr>
          <w:szCs w:val="24"/>
        </w:rPr>
        <w:t>s</w:t>
      </w:r>
      <w:r w:rsidR="00DB6199" w:rsidRPr="00482351">
        <w:rPr>
          <w:szCs w:val="24"/>
        </w:rPr>
        <w:t xml:space="preserve"> </w:t>
      </w:r>
      <w:r w:rsidRPr="00482351">
        <w:rPr>
          <w:szCs w:val="24"/>
        </w:rPr>
        <w:t>will be delivere</w:t>
      </w:r>
      <w:r w:rsidR="00CE2C5F" w:rsidRPr="00482351">
        <w:rPr>
          <w:szCs w:val="24"/>
        </w:rPr>
        <w:t>d</w:t>
      </w:r>
      <w:r w:rsidRPr="00482351">
        <w:rPr>
          <w:szCs w:val="24"/>
        </w:rPr>
        <w:t xml:space="preserve"> at 9:45 a.m. </w:t>
      </w:r>
      <w:r w:rsidR="00E05816" w:rsidRPr="00482351">
        <w:rPr>
          <w:szCs w:val="24"/>
        </w:rPr>
        <w:t>E</w:t>
      </w:r>
      <w:r w:rsidR="00A00FDF" w:rsidRPr="00482351">
        <w:rPr>
          <w:szCs w:val="24"/>
        </w:rPr>
        <w:t>D</w:t>
      </w:r>
      <w:r w:rsidR="00E05816" w:rsidRPr="00482351">
        <w:rPr>
          <w:szCs w:val="24"/>
        </w:rPr>
        <w:t>T</w:t>
      </w:r>
      <w:r w:rsidRPr="00482351">
        <w:rPr>
          <w:szCs w:val="24"/>
        </w:rPr>
        <w:t xml:space="preserve"> on </w:t>
      </w:r>
      <w:r w:rsidR="00322A9C" w:rsidRPr="00482351">
        <w:rPr>
          <w:szCs w:val="24"/>
        </w:rPr>
        <w:t>Thurs</w:t>
      </w:r>
      <w:r w:rsidR="00680A85" w:rsidRPr="00482351">
        <w:rPr>
          <w:szCs w:val="24"/>
        </w:rPr>
        <w:t>day</w:t>
      </w:r>
      <w:r w:rsidRPr="00482351">
        <w:rPr>
          <w:szCs w:val="24"/>
        </w:rPr>
        <w:t xml:space="preserve">, </w:t>
      </w:r>
      <w:r w:rsidR="00AD7A8F" w:rsidRPr="00482351">
        <w:rPr>
          <w:szCs w:val="24"/>
        </w:rPr>
        <w:t>June</w:t>
      </w:r>
      <w:r w:rsidR="00455912" w:rsidRPr="00482351">
        <w:rPr>
          <w:szCs w:val="24"/>
        </w:rPr>
        <w:t xml:space="preserve"> </w:t>
      </w:r>
      <w:r w:rsidR="00E8168E" w:rsidRPr="00482351">
        <w:rPr>
          <w:szCs w:val="24"/>
        </w:rPr>
        <w:t>15</w:t>
      </w:r>
      <w:r w:rsidR="007E112F" w:rsidRPr="00482351">
        <w:rPr>
          <w:szCs w:val="24"/>
        </w:rPr>
        <w:t>,</w:t>
      </w:r>
      <w:r w:rsidR="002F38D7" w:rsidRPr="00482351">
        <w:rPr>
          <w:szCs w:val="24"/>
        </w:rPr>
        <w:t xml:space="preserve"> </w:t>
      </w:r>
      <w:r w:rsidR="006648D1" w:rsidRPr="00482351">
        <w:rPr>
          <w:szCs w:val="24"/>
        </w:rPr>
        <w:t>20</w:t>
      </w:r>
      <w:r w:rsidR="00526754" w:rsidRPr="00482351">
        <w:rPr>
          <w:szCs w:val="24"/>
        </w:rPr>
        <w:t>2</w:t>
      </w:r>
      <w:r w:rsidR="00534CCB" w:rsidRPr="00482351">
        <w:rPr>
          <w:szCs w:val="24"/>
        </w:rPr>
        <w:t>3</w:t>
      </w:r>
      <w:r w:rsidRPr="00482351">
        <w:rPr>
          <w:szCs w:val="24"/>
        </w:rPr>
        <w:t xml:space="preserve">. </w:t>
      </w:r>
      <w:r w:rsidRPr="00482351">
        <w:rPr>
          <w:szCs w:val="24"/>
          <w:lang w:val="fr-CA"/>
        </w:rPr>
        <w:t>This list is subject to chang</w:t>
      </w:r>
      <w:r w:rsidR="00192F7F" w:rsidRPr="00482351">
        <w:rPr>
          <w:szCs w:val="24"/>
          <w:lang w:val="fr-CA"/>
        </w:rPr>
        <w:t>e</w:t>
      </w:r>
      <w:r w:rsidRPr="00482351">
        <w:rPr>
          <w:szCs w:val="24"/>
          <w:lang w:val="fr-CA"/>
        </w:rPr>
        <w:t>.</w:t>
      </w:r>
    </w:p>
    <w:p w:rsidR="00FF5AA4" w:rsidRPr="00482351" w:rsidRDefault="00FF5AA4" w:rsidP="006F2579">
      <w:pPr>
        <w:widowControl w:val="0"/>
        <w:rPr>
          <w:szCs w:val="24"/>
          <w:lang w:val="fr-CA"/>
        </w:rPr>
      </w:pPr>
      <w:bookmarkStart w:id="0" w:name="_GoBack"/>
      <w:bookmarkEnd w:id="0"/>
    </w:p>
    <w:p w:rsidR="00B43418" w:rsidRPr="00482351" w:rsidRDefault="00B43418" w:rsidP="006F2579">
      <w:pPr>
        <w:widowControl w:val="0"/>
        <w:rPr>
          <w:szCs w:val="24"/>
          <w:lang w:val="fr-CA"/>
        </w:rPr>
      </w:pPr>
    </w:p>
    <w:p w:rsidR="006F2579" w:rsidRPr="00482351" w:rsidRDefault="006F2579" w:rsidP="006F2579">
      <w:pPr>
        <w:widowControl w:val="0"/>
        <w:jc w:val="center"/>
        <w:rPr>
          <w:szCs w:val="24"/>
          <w:lang w:val="fr-CA"/>
        </w:rPr>
      </w:pPr>
      <w:r w:rsidRPr="00482351">
        <w:rPr>
          <w:b/>
          <w:szCs w:val="24"/>
          <w:lang w:val="fr-CA"/>
        </w:rPr>
        <w:t>PROCHAIN</w:t>
      </w:r>
      <w:r w:rsidR="004F5491" w:rsidRPr="00482351">
        <w:rPr>
          <w:b/>
          <w:szCs w:val="24"/>
          <w:lang w:val="fr-CA"/>
        </w:rPr>
        <w:t>S</w:t>
      </w:r>
      <w:r w:rsidRPr="00482351">
        <w:rPr>
          <w:b/>
          <w:szCs w:val="24"/>
          <w:lang w:val="fr-CA"/>
        </w:rPr>
        <w:t xml:space="preserve"> JUGEMENT</w:t>
      </w:r>
      <w:r w:rsidR="004F5491" w:rsidRPr="00482351">
        <w:rPr>
          <w:b/>
          <w:szCs w:val="24"/>
          <w:lang w:val="fr-CA"/>
        </w:rPr>
        <w:t>S</w:t>
      </w:r>
      <w:r w:rsidR="00001846" w:rsidRPr="00482351">
        <w:rPr>
          <w:b/>
          <w:szCs w:val="24"/>
          <w:lang w:val="fr-CA"/>
        </w:rPr>
        <w:t xml:space="preserve"> SUR DEMANDE</w:t>
      </w:r>
      <w:r w:rsidR="004F5491" w:rsidRPr="00482351">
        <w:rPr>
          <w:b/>
          <w:szCs w:val="24"/>
          <w:lang w:val="fr-CA"/>
        </w:rPr>
        <w:t>S</w:t>
      </w:r>
      <w:r w:rsidRPr="00482351">
        <w:rPr>
          <w:b/>
          <w:szCs w:val="24"/>
          <w:lang w:val="fr-CA"/>
        </w:rPr>
        <w:t xml:space="preserve"> D’AUTORISATION</w:t>
      </w:r>
    </w:p>
    <w:p w:rsidR="006F2579" w:rsidRPr="00482351" w:rsidRDefault="006F2579" w:rsidP="006F2579">
      <w:pPr>
        <w:widowControl w:val="0"/>
        <w:rPr>
          <w:szCs w:val="24"/>
          <w:lang w:val="fr-CA"/>
        </w:rPr>
      </w:pPr>
    </w:p>
    <w:p w:rsidR="006F2579" w:rsidRPr="00482351" w:rsidRDefault="006F2579" w:rsidP="006F2579">
      <w:pPr>
        <w:widowControl w:val="0"/>
        <w:rPr>
          <w:szCs w:val="24"/>
          <w:lang w:val="fr-CA"/>
        </w:rPr>
      </w:pPr>
      <w:r w:rsidRPr="00482351">
        <w:rPr>
          <w:b/>
          <w:szCs w:val="24"/>
          <w:lang w:val="fr-CA"/>
        </w:rPr>
        <w:t>Le</w:t>
      </w:r>
      <w:r w:rsidR="00957A76" w:rsidRPr="00482351">
        <w:rPr>
          <w:b/>
          <w:szCs w:val="24"/>
          <w:lang w:val="fr-CA"/>
        </w:rPr>
        <w:t xml:space="preserve"> </w:t>
      </w:r>
      <w:r w:rsidR="00E8168E" w:rsidRPr="00482351">
        <w:rPr>
          <w:b/>
          <w:szCs w:val="24"/>
          <w:lang w:val="fr-CA"/>
        </w:rPr>
        <w:t>12</w:t>
      </w:r>
      <w:r w:rsidR="00FA6BAB" w:rsidRPr="00482351">
        <w:rPr>
          <w:b/>
          <w:szCs w:val="24"/>
          <w:lang w:val="fr-CA"/>
        </w:rPr>
        <w:t xml:space="preserve"> </w:t>
      </w:r>
      <w:r w:rsidR="005364A6" w:rsidRPr="00482351">
        <w:rPr>
          <w:b/>
          <w:szCs w:val="24"/>
          <w:lang w:val="fr-CA"/>
        </w:rPr>
        <w:t>juin</w:t>
      </w:r>
      <w:r w:rsidR="00A151D1" w:rsidRPr="00482351">
        <w:rPr>
          <w:b/>
          <w:szCs w:val="24"/>
          <w:lang w:val="fr-CA"/>
        </w:rPr>
        <w:t xml:space="preserve"> 20</w:t>
      </w:r>
      <w:r w:rsidR="00526754" w:rsidRPr="00482351">
        <w:rPr>
          <w:b/>
          <w:szCs w:val="24"/>
          <w:lang w:val="fr-CA"/>
        </w:rPr>
        <w:t>2</w:t>
      </w:r>
      <w:r w:rsidR="00534CCB" w:rsidRPr="00482351">
        <w:rPr>
          <w:b/>
          <w:szCs w:val="24"/>
          <w:lang w:val="fr-CA"/>
        </w:rPr>
        <w:t>3</w:t>
      </w:r>
    </w:p>
    <w:p w:rsidR="006F2579" w:rsidRPr="00482351" w:rsidRDefault="006F2579" w:rsidP="006F2579">
      <w:pPr>
        <w:widowControl w:val="0"/>
        <w:rPr>
          <w:b/>
          <w:szCs w:val="24"/>
          <w:lang w:val="fr-CA"/>
        </w:rPr>
      </w:pPr>
      <w:r w:rsidRPr="00482351">
        <w:rPr>
          <w:b/>
          <w:szCs w:val="24"/>
          <w:lang w:val="fr-CA"/>
        </w:rPr>
        <w:t>Pour diffusion immédiate</w:t>
      </w:r>
    </w:p>
    <w:p w:rsidR="006F2579" w:rsidRPr="00482351" w:rsidRDefault="006F2579" w:rsidP="006F2579">
      <w:pPr>
        <w:widowControl w:val="0"/>
        <w:rPr>
          <w:szCs w:val="24"/>
          <w:lang w:val="fr-CA"/>
        </w:rPr>
      </w:pPr>
    </w:p>
    <w:p w:rsidR="006F2579" w:rsidRPr="00482351" w:rsidRDefault="006F2579" w:rsidP="006F2579">
      <w:pPr>
        <w:widowControl w:val="0"/>
        <w:rPr>
          <w:szCs w:val="24"/>
          <w:lang w:val="fr-CA"/>
        </w:rPr>
      </w:pPr>
      <w:r w:rsidRPr="00482351">
        <w:rPr>
          <w:b/>
          <w:szCs w:val="24"/>
          <w:lang w:val="fr-CA"/>
        </w:rPr>
        <w:t>OTTAWA</w:t>
      </w:r>
      <w:r w:rsidRPr="00482351">
        <w:rPr>
          <w:szCs w:val="24"/>
          <w:lang w:val="fr-CA"/>
        </w:rPr>
        <w:t xml:space="preserve"> – La Cour suprême du Canada annonce que jugement ser</w:t>
      </w:r>
      <w:r w:rsidR="004259F9" w:rsidRPr="00482351">
        <w:rPr>
          <w:szCs w:val="24"/>
          <w:lang w:val="fr-CA"/>
        </w:rPr>
        <w:t>a</w:t>
      </w:r>
      <w:r w:rsidRPr="00482351">
        <w:rPr>
          <w:szCs w:val="24"/>
          <w:lang w:val="fr-CA"/>
        </w:rPr>
        <w:t xml:space="preserve"> rendu dans l</w:t>
      </w:r>
      <w:r w:rsidR="004F5491" w:rsidRPr="00482351">
        <w:rPr>
          <w:szCs w:val="24"/>
          <w:lang w:val="fr-CA"/>
        </w:rPr>
        <w:t>es</w:t>
      </w:r>
      <w:r w:rsidRPr="00482351">
        <w:rPr>
          <w:szCs w:val="24"/>
          <w:lang w:val="fr-CA"/>
        </w:rPr>
        <w:t xml:space="preserve"> demande</w:t>
      </w:r>
      <w:r w:rsidR="004F5491" w:rsidRPr="00482351">
        <w:rPr>
          <w:szCs w:val="24"/>
          <w:lang w:val="fr-CA"/>
        </w:rPr>
        <w:t>s</w:t>
      </w:r>
      <w:r w:rsidRPr="00482351">
        <w:rPr>
          <w:szCs w:val="24"/>
          <w:lang w:val="fr-CA"/>
        </w:rPr>
        <w:t xml:space="preserve"> d</w:t>
      </w:r>
      <w:r w:rsidR="00001846" w:rsidRPr="00482351">
        <w:rPr>
          <w:szCs w:val="24"/>
          <w:lang w:val="fr-CA"/>
        </w:rPr>
        <w:t>’autorisation suivante</w:t>
      </w:r>
      <w:r w:rsidR="004F5491" w:rsidRPr="00482351">
        <w:rPr>
          <w:szCs w:val="24"/>
          <w:lang w:val="fr-CA"/>
        </w:rPr>
        <w:t>s</w:t>
      </w:r>
      <w:r w:rsidRPr="00482351">
        <w:rPr>
          <w:szCs w:val="24"/>
          <w:lang w:val="fr-CA"/>
        </w:rPr>
        <w:t xml:space="preserve"> le </w:t>
      </w:r>
      <w:r w:rsidR="00322A9C" w:rsidRPr="00482351">
        <w:rPr>
          <w:szCs w:val="24"/>
          <w:lang w:val="fr-CA"/>
        </w:rPr>
        <w:t>jeu</w:t>
      </w:r>
      <w:r w:rsidR="00680A85" w:rsidRPr="00482351">
        <w:rPr>
          <w:szCs w:val="24"/>
          <w:lang w:val="fr-CA"/>
        </w:rPr>
        <w:t>di</w:t>
      </w:r>
      <w:r w:rsidRPr="00482351">
        <w:rPr>
          <w:szCs w:val="24"/>
          <w:lang w:val="fr-CA"/>
        </w:rPr>
        <w:t xml:space="preserve"> </w:t>
      </w:r>
      <w:r w:rsidR="00E8168E" w:rsidRPr="00482351">
        <w:rPr>
          <w:szCs w:val="24"/>
          <w:lang w:val="fr-CA"/>
        </w:rPr>
        <w:t>15</w:t>
      </w:r>
      <w:r w:rsidR="00AD7A8F" w:rsidRPr="00482351">
        <w:rPr>
          <w:szCs w:val="24"/>
          <w:lang w:val="fr-CA"/>
        </w:rPr>
        <w:t xml:space="preserve"> juin</w:t>
      </w:r>
      <w:r w:rsidR="00694391" w:rsidRPr="00482351">
        <w:rPr>
          <w:szCs w:val="24"/>
          <w:lang w:val="fr-CA"/>
        </w:rPr>
        <w:t xml:space="preserve"> 2</w:t>
      </w:r>
      <w:r w:rsidR="006648D1" w:rsidRPr="00482351">
        <w:rPr>
          <w:szCs w:val="24"/>
          <w:lang w:val="fr-CA"/>
        </w:rPr>
        <w:t>0</w:t>
      </w:r>
      <w:r w:rsidR="00526754" w:rsidRPr="00482351">
        <w:rPr>
          <w:szCs w:val="24"/>
          <w:lang w:val="fr-CA"/>
        </w:rPr>
        <w:t>2</w:t>
      </w:r>
      <w:r w:rsidR="00534CCB" w:rsidRPr="00482351">
        <w:rPr>
          <w:szCs w:val="24"/>
          <w:lang w:val="fr-CA"/>
        </w:rPr>
        <w:t>3</w:t>
      </w:r>
      <w:r w:rsidRPr="00482351">
        <w:rPr>
          <w:szCs w:val="24"/>
          <w:lang w:val="fr-CA"/>
        </w:rPr>
        <w:t xml:space="preserve">, à 9 h 45 </w:t>
      </w:r>
      <w:r w:rsidR="000627A2" w:rsidRPr="00482351">
        <w:rPr>
          <w:szCs w:val="24"/>
          <w:lang w:val="fr-CA"/>
        </w:rPr>
        <w:t>H</w:t>
      </w:r>
      <w:r w:rsidR="00A00FDF" w:rsidRPr="00482351">
        <w:rPr>
          <w:szCs w:val="24"/>
          <w:lang w:val="fr-CA"/>
        </w:rPr>
        <w:t>A</w:t>
      </w:r>
      <w:r w:rsidRPr="00482351">
        <w:rPr>
          <w:szCs w:val="24"/>
          <w:lang w:val="fr-CA"/>
        </w:rPr>
        <w:t>E. Cette liste est sujette à modification</w:t>
      </w:r>
      <w:r w:rsidR="00130ADB" w:rsidRPr="00482351">
        <w:rPr>
          <w:szCs w:val="24"/>
          <w:lang w:val="fr-CA"/>
        </w:rPr>
        <w:t>s</w:t>
      </w:r>
      <w:r w:rsidRPr="00482351">
        <w:rPr>
          <w:szCs w:val="24"/>
          <w:lang w:val="fr-CA"/>
        </w:rPr>
        <w:t>.</w:t>
      </w:r>
    </w:p>
    <w:p w:rsidR="0080556B" w:rsidRPr="00482351" w:rsidRDefault="0080556B" w:rsidP="005F2A78">
      <w:pPr>
        <w:widowControl w:val="0"/>
        <w:tabs>
          <w:tab w:val="left" w:pos="3840"/>
        </w:tabs>
        <w:jc w:val="both"/>
        <w:rPr>
          <w:sz w:val="20"/>
          <w:lang w:val="fr-CA"/>
        </w:rPr>
      </w:pPr>
    </w:p>
    <w:p w:rsidR="00867C61" w:rsidRPr="00482351" w:rsidRDefault="00482351" w:rsidP="009B14F4">
      <w:pPr>
        <w:widowControl w:val="0"/>
        <w:jc w:val="both"/>
        <w:rPr>
          <w:sz w:val="20"/>
        </w:rPr>
      </w:pPr>
      <w:r w:rsidRPr="00482351">
        <w:rPr>
          <w:sz w:val="20"/>
        </w:rPr>
        <w:pict>
          <v:rect id="_x0000_i1025" style="width:2in;height:1pt" o:hrpct="0" o:hralign="center" o:hrstd="t" o:hrnoshade="t" o:hr="t" fillcolor="black [3213]" stroked="f"/>
        </w:pict>
      </w:r>
    </w:p>
    <w:p w:rsidR="004A6E51" w:rsidRPr="00482351" w:rsidRDefault="004A6E51" w:rsidP="009253F6">
      <w:pPr>
        <w:rPr>
          <w:sz w:val="20"/>
          <w:lang w:val="fr-CA"/>
        </w:rPr>
      </w:pPr>
    </w:p>
    <w:p w:rsidR="00BB2649" w:rsidRPr="00482351" w:rsidRDefault="00BB2649" w:rsidP="00BB2649">
      <w:pPr>
        <w:pStyle w:val="ListParagraph"/>
        <w:numPr>
          <w:ilvl w:val="0"/>
          <w:numId w:val="42"/>
        </w:numPr>
        <w:tabs>
          <w:tab w:val="left" w:pos="360"/>
        </w:tabs>
        <w:ind w:left="357" w:hanging="357"/>
        <w:rPr>
          <w:i/>
          <w:sz w:val="20"/>
        </w:rPr>
      </w:pPr>
      <w:r w:rsidRPr="00482351">
        <w:rPr>
          <w:i/>
          <w:sz w:val="20"/>
        </w:rPr>
        <w:t>Kelvin Kingsbury Purdy v. His Majesty the King</w:t>
      </w:r>
      <w:r w:rsidRPr="00482351">
        <w:rPr>
          <w:sz w:val="20"/>
        </w:rPr>
        <w:t xml:space="preserve"> (B.C.) (Criminal) (By Leave)</w:t>
      </w:r>
      <w:r w:rsidRPr="00482351">
        <w:rPr>
          <w:sz w:val="20"/>
        </w:rPr>
        <w:t xml:space="preserve"> </w:t>
      </w:r>
      <w:r w:rsidRPr="00482351">
        <w:rPr>
          <w:sz w:val="20"/>
        </w:rPr>
        <w:t>(</w:t>
      </w:r>
      <w:hyperlink r:id="rId8" w:history="1">
        <w:r w:rsidRPr="00482351">
          <w:rPr>
            <w:rStyle w:val="Hyperlink"/>
            <w:sz w:val="20"/>
            <w:szCs w:val="20"/>
          </w:rPr>
          <w:t>40</w:t>
        </w:r>
        <w:r w:rsidRPr="00482351">
          <w:rPr>
            <w:rStyle w:val="Hyperlink"/>
            <w:sz w:val="20"/>
            <w:szCs w:val="20"/>
          </w:rPr>
          <w:t>5</w:t>
        </w:r>
        <w:r w:rsidRPr="00482351">
          <w:rPr>
            <w:rStyle w:val="Hyperlink"/>
            <w:sz w:val="20"/>
            <w:szCs w:val="20"/>
          </w:rPr>
          <w:t>4</w:t>
        </w:r>
        <w:r w:rsidRPr="00482351">
          <w:rPr>
            <w:rStyle w:val="Hyperlink"/>
            <w:sz w:val="20"/>
            <w:szCs w:val="20"/>
          </w:rPr>
          <w:t>3</w:t>
        </w:r>
      </w:hyperlink>
      <w:r w:rsidRPr="00482351">
        <w:rPr>
          <w:sz w:val="20"/>
        </w:rPr>
        <w:t>)</w:t>
      </w:r>
    </w:p>
    <w:p w:rsidR="00BB2649" w:rsidRPr="00482351" w:rsidRDefault="00BB2649" w:rsidP="00BB2649">
      <w:pPr>
        <w:tabs>
          <w:tab w:val="left" w:pos="360"/>
        </w:tabs>
        <w:ind w:left="357" w:hanging="357"/>
        <w:rPr>
          <w:sz w:val="20"/>
        </w:rPr>
      </w:pPr>
    </w:p>
    <w:p w:rsidR="00BB2649" w:rsidRPr="00482351" w:rsidRDefault="00BB2649" w:rsidP="00BB2649">
      <w:pPr>
        <w:pStyle w:val="ListParagraph"/>
        <w:numPr>
          <w:ilvl w:val="0"/>
          <w:numId w:val="42"/>
        </w:numPr>
        <w:tabs>
          <w:tab w:val="left" w:pos="360"/>
        </w:tabs>
        <w:ind w:left="357" w:hanging="357"/>
        <w:rPr>
          <w:i/>
          <w:sz w:val="20"/>
        </w:rPr>
      </w:pPr>
      <w:r w:rsidRPr="00482351">
        <w:rPr>
          <w:i/>
          <w:sz w:val="20"/>
        </w:rPr>
        <w:t>Travelers Insurance Compa</w:t>
      </w:r>
      <w:r w:rsidRPr="00482351">
        <w:rPr>
          <w:i/>
          <w:sz w:val="20"/>
        </w:rPr>
        <w:t>ny of Canada v. Michael Beaudin</w:t>
      </w:r>
      <w:r w:rsidRPr="00482351">
        <w:rPr>
          <w:sz w:val="20"/>
        </w:rPr>
        <w:t xml:space="preserve"> (Ont.) (Civil) (By Leave)</w:t>
      </w:r>
      <w:r w:rsidRPr="00482351">
        <w:rPr>
          <w:sz w:val="20"/>
        </w:rPr>
        <w:t xml:space="preserve"> </w:t>
      </w:r>
      <w:r w:rsidRPr="00482351">
        <w:rPr>
          <w:sz w:val="20"/>
        </w:rPr>
        <w:t>(</w:t>
      </w:r>
      <w:hyperlink r:id="rId9" w:history="1">
        <w:r w:rsidRPr="00482351">
          <w:rPr>
            <w:rStyle w:val="Hyperlink"/>
            <w:sz w:val="20"/>
            <w:szCs w:val="20"/>
          </w:rPr>
          <w:t>40</w:t>
        </w:r>
        <w:r w:rsidRPr="00482351">
          <w:rPr>
            <w:rStyle w:val="Hyperlink"/>
            <w:sz w:val="20"/>
            <w:szCs w:val="20"/>
          </w:rPr>
          <w:t>56</w:t>
        </w:r>
        <w:r w:rsidRPr="00482351">
          <w:rPr>
            <w:rStyle w:val="Hyperlink"/>
            <w:sz w:val="20"/>
            <w:szCs w:val="20"/>
          </w:rPr>
          <w:t>8</w:t>
        </w:r>
      </w:hyperlink>
      <w:r w:rsidRPr="00482351">
        <w:rPr>
          <w:sz w:val="20"/>
        </w:rPr>
        <w:t>)</w:t>
      </w:r>
    </w:p>
    <w:p w:rsidR="005364A6" w:rsidRPr="00482351" w:rsidRDefault="005364A6" w:rsidP="00BB2649">
      <w:pPr>
        <w:ind w:left="357" w:hanging="357"/>
        <w:rPr>
          <w:sz w:val="20"/>
        </w:rPr>
      </w:pPr>
    </w:p>
    <w:p w:rsidR="00BB2649" w:rsidRPr="00482351" w:rsidRDefault="00BB2649" w:rsidP="00BB2649">
      <w:pPr>
        <w:pStyle w:val="SCCLsocParty"/>
        <w:numPr>
          <w:ilvl w:val="0"/>
          <w:numId w:val="42"/>
        </w:numPr>
        <w:ind w:left="357" w:hanging="357"/>
        <w:jc w:val="left"/>
        <w:rPr>
          <w:i/>
          <w:sz w:val="20"/>
          <w:szCs w:val="20"/>
          <w:lang w:val="en-US"/>
        </w:rPr>
      </w:pPr>
      <w:r w:rsidRPr="00482351">
        <w:rPr>
          <w:i/>
          <w:sz w:val="20"/>
          <w:szCs w:val="20"/>
          <w:lang w:val="en-US"/>
        </w:rPr>
        <w:t>Paul Sheppard v. His Majesty the King</w:t>
      </w:r>
      <w:r w:rsidRPr="00482351">
        <w:rPr>
          <w:sz w:val="20"/>
          <w:szCs w:val="20"/>
          <w:lang w:val="en-US"/>
        </w:rPr>
        <w:t xml:space="preserve"> (Alta.) (Criminal) (By Leave)</w:t>
      </w:r>
      <w:r w:rsidRPr="00482351">
        <w:rPr>
          <w:sz w:val="20"/>
          <w:szCs w:val="20"/>
          <w:lang w:val="en-US"/>
        </w:rPr>
        <w:t xml:space="preserve"> </w:t>
      </w:r>
      <w:r w:rsidRPr="00482351">
        <w:rPr>
          <w:sz w:val="20"/>
          <w:szCs w:val="20"/>
          <w:lang w:val="en-US"/>
        </w:rPr>
        <w:t>(</w:t>
      </w:r>
      <w:r w:rsidRPr="00482351">
        <w:rPr>
          <w:rStyle w:val="Hyperlink"/>
          <w:sz w:val="20"/>
          <w:szCs w:val="20"/>
        </w:rPr>
        <w:fldChar w:fldCharType="begin"/>
      </w:r>
      <w:r w:rsidRPr="00482351">
        <w:rPr>
          <w:rStyle w:val="Hyperlink"/>
          <w:sz w:val="20"/>
          <w:szCs w:val="20"/>
          <w:lang w:val="en-US"/>
        </w:rPr>
        <w:instrText>HYPERLINK "https://www.scc-csc.ca/case-dossier/info/sum-som-eng.aspx?cas=40643"</w:instrText>
      </w:r>
      <w:r w:rsidRPr="00482351">
        <w:rPr>
          <w:rStyle w:val="Hyperlink"/>
          <w:sz w:val="20"/>
          <w:szCs w:val="20"/>
        </w:rPr>
      </w:r>
      <w:r w:rsidRPr="00482351">
        <w:rPr>
          <w:rStyle w:val="Hyperlink"/>
          <w:sz w:val="20"/>
          <w:szCs w:val="20"/>
        </w:rPr>
        <w:fldChar w:fldCharType="separate"/>
      </w:r>
      <w:r w:rsidRPr="00482351">
        <w:rPr>
          <w:rStyle w:val="Hyperlink"/>
          <w:sz w:val="20"/>
          <w:szCs w:val="20"/>
          <w:lang w:val="en-US"/>
        </w:rPr>
        <w:t>40</w:t>
      </w:r>
      <w:r w:rsidRPr="00482351">
        <w:rPr>
          <w:rStyle w:val="Hyperlink"/>
          <w:sz w:val="20"/>
          <w:szCs w:val="20"/>
          <w:lang w:val="en-US"/>
        </w:rPr>
        <w:t>643</w:t>
      </w:r>
      <w:r w:rsidRPr="00482351">
        <w:rPr>
          <w:rStyle w:val="Hyperlink"/>
          <w:sz w:val="20"/>
          <w:szCs w:val="20"/>
        </w:rPr>
        <w:fldChar w:fldCharType="end"/>
      </w:r>
      <w:r w:rsidRPr="00482351">
        <w:rPr>
          <w:sz w:val="20"/>
          <w:szCs w:val="20"/>
          <w:lang w:val="en-US"/>
        </w:rPr>
        <w:t>)</w:t>
      </w:r>
    </w:p>
    <w:p w:rsidR="0074008A" w:rsidRPr="00482351" w:rsidRDefault="0074008A" w:rsidP="00142166">
      <w:pPr>
        <w:jc w:val="both"/>
        <w:rPr>
          <w:sz w:val="20"/>
        </w:rPr>
      </w:pPr>
    </w:p>
    <w:p w:rsidR="0057402C" w:rsidRPr="00482351" w:rsidRDefault="00482351" w:rsidP="00142166">
      <w:pPr>
        <w:widowControl w:val="0"/>
        <w:jc w:val="both"/>
        <w:rPr>
          <w:sz w:val="20"/>
        </w:rPr>
      </w:pPr>
      <w:r w:rsidRPr="00482351">
        <w:rPr>
          <w:sz w:val="20"/>
        </w:rPr>
        <w:pict>
          <v:rect id="_x0000_i1026" style="width:2in;height:1pt" o:hrpct="0" o:hralign="center" o:hrstd="t" o:hrnoshade="t" o:hr="t" fillcolor="black [3213]" stroked="f"/>
        </w:pict>
      </w:r>
    </w:p>
    <w:p w:rsidR="0014490F" w:rsidRPr="00482351" w:rsidRDefault="0014490F" w:rsidP="00A47D66">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82351" w:rsidRPr="00482351" w:rsidTr="00620740">
        <w:trPr>
          <w:gridAfter w:val="1"/>
          <w:wAfter w:w="48" w:type="pct"/>
        </w:trPr>
        <w:tc>
          <w:tcPr>
            <w:tcW w:w="537" w:type="pct"/>
          </w:tcPr>
          <w:p w:rsidR="00482351" w:rsidRPr="00482351" w:rsidRDefault="00482351" w:rsidP="00482351">
            <w:pPr>
              <w:jc w:val="both"/>
              <w:rPr>
                <w:sz w:val="20"/>
              </w:rPr>
            </w:pPr>
            <w:r w:rsidRPr="00482351">
              <w:rPr>
                <w:rStyle w:val="SCCFileNumberChar"/>
                <w:sz w:val="20"/>
                <w:szCs w:val="20"/>
              </w:rPr>
              <w:t>40543</w:t>
            </w:r>
          </w:p>
        </w:tc>
        <w:tc>
          <w:tcPr>
            <w:tcW w:w="4415" w:type="pct"/>
            <w:gridSpan w:val="3"/>
          </w:tcPr>
          <w:p w:rsidR="00482351" w:rsidRPr="00482351" w:rsidRDefault="00482351" w:rsidP="00482351">
            <w:pPr>
              <w:pStyle w:val="SCCLsocParty"/>
              <w:jc w:val="both"/>
              <w:rPr>
                <w:b/>
                <w:sz w:val="20"/>
                <w:szCs w:val="20"/>
                <w:lang w:val="en-US"/>
              </w:rPr>
            </w:pPr>
            <w:r w:rsidRPr="00482351">
              <w:rPr>
                <w:b/>
                <w:sz w:val="20"/>
                <w:szCs w:val="20"/>
                <w:lang w:val="en-US"/>
              </w:rPr>
              <w:t>Kelvin Kingsbury Purdy v. His Majesty the King</w:t>
            </w:r>
          </w:p>
          <w:p w:rsidR="00482351" w:rsidRPr="00482351" w:rsidRDefault="00482351" w:rsidP="00482351">
            <w:pPr>
              <w:jc w:val="both"/>
              <w:rPr>
                <w:sz w:val="20"/>
              </w:rPr>
            </w:pPr>
            <w:r w:rsidRPr="00482351">
              <w:rPr>
                <w:sz w:val="20"/>
              </w:rPr>
              <w:t>(B.C.) (Criminal) (By Leave)</w:t>
            </w:r>
          </w:p>
        </w:tc>
      </w:tr>
      <w:tr w:rsidR="00482351" w:rsidRPr="00482351" w:rsidTr="00620740">
        <w:trPr>
          <w:gridAfter w:val="1"/>
          <w:wAfter w:w="48" w:type="pct"/>
        </w:trPr>
        <w:tc>
          <w:tcPr>
            <w:tcW w:w="4952" w:type="pct"/>
            <w:gridSpan w:val="4"/>
          </w:tcPr>
          <w:p w:rsidR="00482351" w:rsidRPr="00482351" w:rsidRDefault="00482351" w:rsidP="00482351">
            <w:pPr>
              <w:jc w:val="both"/>
              <w:rPr>
                <w:sz w:val="20"/>
              </w:rPr>
            </w:pPr>
            <w:r w:rsidRPr="00482351">
              <w:rPr>
                <w:sz w:val="20"/>
              </w:rPr>
              <w:t xml:space="preserve">Charter of Rights — Right to life, liberty and security of the person — Fundamental justice — </w:t>
            </w:r>
            <w:r w:rsidRPr="00482351">
              <w:rPr>
                <w:i/>
                <w:sz w:val="20"/>
              </w:rPr>
              <w:t xml:space="preserve">Habeas corpus </w:t>
            </w:r>
            <w:r w:rsidRPr="00482351">
              <w:rPr>
                <w:sz w:val="20"/>
              </w:rPr>
              <w:t xml:space="preserve">— Right to be tried within a reasonable time — Presumption of innocence — Right to a fair hearing — Right to bail — Cruel and unusual treatment or punishment — Right to equality — Criminal law — Evidence — Wrongful conviction application — Bail — Applicant convicted of second-degree murder and sentenced to life imprisonment with no parole eligibility for 19 years — Court of Appeal dismissing appeals from conviction and from sentence — Application to re-open conviction appeal dismissed — Applicant seeking ministerial review of conviction, alleging miscarriage of justice — Application for bail pending decision on ministerial review dismissed — Whether application raises legal issue of sufficient public importance — </w:t>
            </w:r>
            <w:r w:rsidRPr="00482351">
              <w:rPr>
                <w:i/>
                <w:sz w:val="20"/>
              </w:rPr>
              <w:t>Canadian Charter of Rights and Freedoms</w:t>
            </w:r>
            <w:r w:rsidRPr="00482351">
              <w:rPr>
                <w:sz w:val="20"/>
              </w:rPr>
              <w:t xml:space="preserve">, ss. 7, 10, 11, 15 — </w:t>
            </w:r>
            <w:r w:rsidRPr="00482351">
              <w:rPr>
                <w:i/>
                <w:sz w:val="20"/>
              </w:rPr>
              <w:t>Criminal Code</w:t>
            </w:r>
            <w:r w:rsidRPr="00482351">
              <w:rPr>
                <w:sz w:val="20"/>
              </w:rPr>
              <w:t>, R.S.C. 1985, c. C-46, ss. 679, 680, 696.1-696.6.</w:t>
            </w:r>
          </w:p>
        </w:tc>
      </w:tr>
      <w:tr w:rsidR="00482351" w:rsidRPr="00482351" w:rsidTr="00620740">
        <w:trPr>
          <w:gridAfter w:val="1"/>
          <w:wAfter w:w="48" w:type="pct"/>
        </w:trPr>
        <w:tc>
          <w:tcPr>
            <w:tcW w:w="4952" w:type="pct"/>
            <w:gridSpan w:val="4"/>
          </w:tcPr>
          <w:p w:rsidR="00482351" w:rsidRPr="00482351" w:rsidRDefault="00482351" w:rsidP="00482351">
            <w:pPr>
              <w:jc w:val="both"/>
              <w:rPr>
                <w:sz w:val="20"/>
              </w:rPr>
            </w:pPr>
          </w:p>
        </w:tc>
      </w:tr>
      <w:tr w:rsidR="00482351" w:rsidRPr="00482351" w:rsidTr="00620740">
        <w:trPr>
          <w:gridAfter w:val="1"/>
          <w:wAfter w:w="48" w:type="pct"/>
        </w:trPr>
        <w:tc>
          <w:tcPr>
            <w:tcW w:w="4952" w:type="pct"/>
            <w:gridSpan w:val="4"/>
          </w:tcPr>
          <w:p w:rsidR="00482351" w:rsidRPr="00482351" w:rsidRDefault="00482351" w:rsidP="00482351">
            <w:pPr>
              <w:jc w:val="both"/>
              <w:rPr>
                <w:sz w:val="20"/>
              </w:rPr>
            </w:pPr>
            <w:r w:rsidRPr="00482351">
              <w:rPr>
                <w:sz w:val="20"/>
              </w:rPr>
              <w:t>The applicant, Kelvin Kingsbury Purdy, was convicted of second-degree murder, and sentenced to life imprisonment with no parole eligibility for 19 years. The Court of Appeal dismissed Mr. Purdy’s appeal from his conviction in 2008, and his appeal from his sentence in 2012. It also dismissed his application to re-open his conviction appeal in 2010; Mr. Purdy then filed an application for leave to appeal that decision before the Supreme Court of Canada, which was dismissed in 2012. Mr. Purdy then applied to the federal Minister of Justice for a review of his case, alleging a miscarriage of justice; his application for a wrongful conviction ministerial review was accepted in September 2018. In 2019, the B.C. Supreme Court dismissed Mr. Purdy’s application for bail pending a determination of the ministerial review process.</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October 14, 2005</w:t>
            </w:r>
          </w:p>
          <w:p w:rsidR="00482351" w:rsidRPr="00482351" w:rsidRDefault="00482351" w:rsidP="00482351">
            <w:pPr>
              <w:jc w:val="both"/>
              <w:rPr>
                <w:sz w:val="20"/>
              </w:rPr>
            </w:pPr>
            <w:r w:rsidRPr="00482351">
              <w:rPr>
                <w:sz w:val="20"/>
              </w:rPr>
              <w:t>Supreme Court of British Columbia</w:t>
            </w:r>
          </w:p>
          <w:p w:rsidR="00482351" w:rsidRPr="00482351" w:rsidRDefault="00482351" w:rsidP="00482351">
            <w:pPr>
              <w:jc w:val="both"/>
              <w:rPr>
                <w:sz w:val="20"/>
              </w:rPr>
            </w:pPr>
            <w:r w:rsidRPr="00482351">
              <w:rPr>
                <w:sz w:val="20"/>
              </w:rPr>
              <w:t xml:space="preserve">(trial by jury) (Nanaimo) </w:t>
            </w:r>
          </w:p>
          <w:p w:rsidR="00482351" w:rsidRPr="00482351" w:rsidRDefault="00482351" w:rsidP="00482351">
            <w:pPr>
              <w:jc w:val="both"/>
              <w:rPr>
                <w:sz w:val="20"/>
              </w:rPr>
            </w:pPr>
            <w:r w:rsidRPr="00482351">
              <w:rPr>
                <w:sz w:val="20"/>
              </w:rPr>
              <w:t>Docket number: 56040-4 (unreported)</w:t>
            </w:r>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Kelvin Kingsbury Purdy convicted of second-degree murder</w:t>
            </w: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November 25, 2005</w:t>
            </w:r>
          </w:p>
          <w:p w:rsidR="00482351" w:rsidRPr="00482351" w:rsidRDefault="00482351" w:rsidP="00482351">
            <w:pPr>
              <w:jc w:val="both"/>
              <w:rPr>
                <w:sz w:val="20"/>
              </w:rPr>
            </w:pPr>
            <w:r w:rsidRPr="00482351">
              <w:rPr>
                <w:sz w:val="20"/>
              </w:rPr>
              <w:t>Supreme Court of British Columbia</w:t>
            </w:r>
          </w:p>
          <w:p w:rsidR="00482351" w:rsidRPr="00482351" w:rsidRDefault="00482351" w:rsidP="00482351">
            <w:pPr>
              <w:jc w:val="both"/>
              <w:rPr>
                <w:sz w:val="20"/>
              </w:rPr>
            </w:pPr>
            <w:r w:rsidRPr="00482351">
              <w:rPr>
                <w:sz w:val="20"/>
              </w:rPr>
              <w:t>(Nanaimo)</w:t>
            </w:r>
          </w:p>
          <w:p w:rsidR="00482351" w:rsidRPr="00482351" w:rsidRDefault="00482351" w:rsidP="00482351">
            <w:pPr>
              <w:jc w:val="both"/>
              <w:rPr>
                <w:sz w:val="20"/>
              </w:rPr>
            </w:pPr>
            <w:r w:rsidRPr="00482351">
              <w:rPr>
                <w:sz w:val="20"/>
              </w:rPr>
              <w:t>Docket number: 56040-4 (unreported)</w:t>
            </w:r>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Mr. Purdy sentenced to life imprisonment with no eligibility for parole for 19 years</w:t>
            </w: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March 7, 2008</w:t>
            </w:r>
          </w:p>
          <w:p w:rsidR="00482351" w:rsidRPr="00482351" w:rsidRDefault="00482351" w:rsidP="00482351">
            <w:pPr>
              <w:jc w:val="both"/>
              <w:rPr>
                <w:sz w:val="20"/>
              </w:rPr>
            </w:pPr>
            <w:r w:rsidRPr="00482351">
              <w:rPr>
                <w:sz w:val="20"/>
              </w:rPr>
              <w:t>Court of Appeal for British Columbia</w:t>
            </w:r>
          </w:p>
          <w:p w:rsidR="00482351" w:rsidRPr="00482351" w:rsidRDefault="00482351" w:rsidP="00482351">
            <w:pPr>
              <w:jc w:val="both"/>
              <w:rPr>
                <w:sz w:val="20"/>
              </w:rPr>
            </w:pPr>
            <w:r w:rsidRPr="00482351">
              <w:rPr>
                <w:sz w:val="20"/>
              </w:rPr>
              <w:t>(Huddart, Mackenzie and Saunders JJ.A.)</w:t>
            </w:r>
          </w:p>
          <w:p w:rsidR="00482351" w:rsidRPr="00482351" w:rsidRDefault="00482351" w:rsidP="00482351">
            <w:pPr>
              <w:jc w:val="both"/>
              <w:rPr>
                <w:sz w:val="20"/>
              </w:rPr>
            </w:pPr>
            <w:r w:rsidRPr="00482351">
              <w:rPr>
                <w:sz w:val="20"/>
              </w:rPr>
              <w:t xml:space="preserve">Neutral citation: </w:t>
            </w:r>
            <w:hyperlink r:id="rId10" w:history="1">
              <w:r w:rsidRPr="00482351">
                <w:rPr>
                  <w:rStyle w:val="Hyperlink"/>
                  <w:sz w:val="20"/>
                </w:rPr>
                <w:t>2008 BCCA 95</w:t>
              </w:r>
            </w:hyperlink>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Appeal from conviction for second-degree murder — dismissed</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September 23, 2010</w:t>
            </w:r>
          </w:p>
          <w:p w:rsidR="00482351" w:rsidRPr="00482351" w:rsidRDefault="00482351" w:rsidP="00482351">
            <w:pPr>
              <w:jc w:val="both"/>
              <w:rPr>
                <w:sz w:val="20"/>
              </w:rPr>
            </w:pPr>
            <w:r w:rsidRPr="00482351">
              <w:rPr>
                <w:sz w:val="20"/>
              </w:rPr>
              <w:t>Court of Appeal for British Columbia</w:t>
            </w:r>
          </w:p>
          <w:p w:rsidR="00482351" w:rsidRPr="00482351" w:rsidRDefault="00482351" w:rsidP="00482351">
            <w:pPr>
              <w:jc w:val="both"/>
              <w:rPr>
                <w:sz w:val="20"/>
              </w:rPr>
            </w:pPr>
            <w:r w:rsidRPr="00482351">
              <w:rPr>
                <w:sz w:val="20"/>
              </w:rPr>
              <w:t>(Rowles, Saunders and Smith JJ.A.)</w:t>
            </w:r>
          </w:p>
          <w:p w:rsidR="00482351" w:rsidRPr="00482351" w:rsidRDefault="00482351" w:rsidP="00482351">
            <w:pPr>
              <w:jc w:val="both"/>
              <w:rPr>
                <w:sz w:val="20"/>
              </w:rPr>
            </w:pPr>
            <w:r w:rsidRPr="00482351">
              <w:rPr>
                <w:sz w:val="20"/>
              </w:rPr>
              <w:t xml:space="preserve">Neutral citation: </w:t>
            </w:r>
            <w:hyperlink r:id="rId11" w:history="1">
              <w:r w:rsidRPr="00482351">
                <w:rPr>
                  <w:rStyle w:val="Hyperlink"/>
                  <w:sz w:val="20"/>
                </w:rPr>
                <w:t>2010 BCCA 413</w:t>
              </w:r>
            </w:hyperlink>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Application to re-open appeal from conviction — dismissed</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February 2, 2012</w:t>
            </w:r>
          </w:p>
          <w:p w:rsidR="00482351" w:rsidRPr="00482351" w:rsidRDefault="00482351" w:rsidP="00482351">
            <w:pPr>
              <w:jc w:val="both"/>
              <w:rPr>
                <w:sz w:val="20"/>
              </w:rPr>
            </w:pPr>
            <w:r w:rsidRPr="00482351">
              <w:rPr>
                <w:sz w:val="20"/>
              </w:rPr>
              <w:t>Supreme Court of Canada</w:t>
            </w:r>
          </w:p>
          <w:p w:rsidR="00482351" w:rsidRPr="00482351" w:rsidRDefault="00482351" w:rsidP="00482351">
            <w:pPr>
              <w:jc w:val="both"/>
              <w:rPr>
                <w:sz w:val="20"/>
              </w:rPr>
            </w:pPr>
            <w:r w:rsidRPr="00482351">
              <w:rPr>
                <w:sz w:val="20"/>
              </w:rPr>
              <w:t xml:space="preserve">File number: </w:t>
            </w:r>
            <w:hyperlink r:id="rId12" w:history="1">
              <w:r w:rsidRPr="00482351">
                <w:rPr>
                  <w:rStyle w:val="Hyperlink"/>
                  <w:sz w:val="20"/>
                </w:rPr>
                <w:t>34391</w:t>
              </w:r>
            </w:hyperlink>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Application for leave to appeal from dismissal of application to re-open conviction appeal — dismissed</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June 21, 2012</w:t>
            </w:r>
          </w:p>
          <w:p w:rsidR="00482351" w:rsidRPr="00482351" w:rsidRDefault="00482351" w:rsidP="00482351">
            <w:pPr>
              <w:jc w:val="both"/>
              <w:rPr>
                <w:sz w:val="20"/>
              </w:rPr>
            </w:pPr>
            <w:r w:rsidRPr="00482351">
              <w:rPr>
                <w:sz w:val="20"/>
              </w:rPr>
              <w:t>Court of Appeal for British Columbia</w:t>
            </w:r>
          </w:p>
          <w:p w:rsidR="00482351" w:rsidRPr="00482351" w:rsidRDefault="00482351" w:rsidP="00482351">
            <w:pPr>
              <w:jc w:val="both"/>
              <w:rPr>
                <w:sz w:val="20"/>
              </w:rPr>
            </w:pPr>
            <w:r w:rsidRPr="00482351">
              <w:rPr>
                <w:sz w:val="20"/>
              </w:rPr>
              <w:t>(Garson, MacKenzie and Harris JJ.A.)</w:t>
            </w:r>
          </w:p>
          <w:p w:rsidR="00482351" w:rsidRPr="00482351" w:rsidRDefault="00482351" w:rsidP="00482351">
            <w:pPr>
              <w:jc w:val="both"/>
              <w:rPr>
                <w:rStyle w:val="Hyperlink"/>
                <w:color w:val="auto"/>
                <w:sz w:val="20"/>
                <w:u w:val="none"/>
              </w:rPr>
            </w:pPr>
            <w:r w:rsidRPr="00482351">
              <w:rPr>
                <w:sz w:val="20"/>
              </w:rPr>
              <w:t xml:space="preserve">Neutral citation: </w:t>
            </w:r>
            <w:hyperlink r:id="rId13" w:history="1">
              <w:r w:rsidRPr="00482351">
                <w:rPr>
                  <w:rStyle w:val="Hyperlink"/>
                  <w:sz w:val="20"/>
                </w:rPr>
                <w:t>2012 BCCA 272</w:t>
              </w:r>
            </w:hyperlink>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Appeal from sentence — dismissed</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December 19, 2019</w:t>
            </w:r>
          </w:p>
          <w:p w:rsidR="00482351" w:rsidRPr="00482351" w:rsidRDefault="00482351" w:rsidP="00482351">
            <w:pPr>
              <w:jc w:val="both"/>
              <w:rPr>
                <w:sz w:val="20"/>
              </w:rPr>
            </w:pPr>
            <w:r w:rsidRPr="00482351">
              <w:rPr>
                <w:sz w:val="20"/>
              </w:rPr>
              <w:t>Supreme Court of British Columbia</w:t>
            </w:r>
          </w:p>
          <w:p w:rsidR="00482351" w:rsidRPr="00482351" w:rsidRDefault="00482351" w:rsidP="00482351">
            <w:pPr>
              <w:jc w:val="both"/>
              <w:rPr>
                <w:sz w:val="20"/>
              </w:rPr>
            </w:pPr>
            <w:r w:rsidRPr="00482351">
              <w:rPr>
                <w:sz w:val="20"/>
              </w:rPr>
              <w:t>(Holmes J.) (Vancouver)</w:t>
            </w:r>
          </w:p>
          <w:p w:rsidR="00482351" w:rsidRPr="00482351" w:rsidRDefault="00482351" w:rsidP="00482351">
            <w:pPr>
              <w:jc w:val="both"/>
              <w:rPr>
                <w:sz w:val="20"/>
              </w:rPr>
            </w:pPr>
            <w:r w:rsidRPr="00482351">
              <w:rPr>
                <w:sz w:val="20"/>
              </w:rPr>
              <w:t>Docket number: 29400-1</w:t>
            </w:r>
          </w:p>
          <w:p w:rsidR="00482351" w:rsidRPr="00482351" w:rsidRDefault="00482351" w:rsidP="00482351">
            <w:pPr>
              <w:jc w:val="both"/>
              <w:rPr>
                <w:sz w:val="20"/>
              </w:rPr>
            </w:pPr>
            <w:r w:rsidRPr="00482351">
              <w:rPr>
                <w:sz w:val="20"/>
              </w:rPr>
              <w:t xml:space="preserve">Neutral citation: </w:t>
            </w:r>
            <w:hyperlink r:id="rId14" w:history="1">
              <w:r w:rsidRPr="00482351">
                <w:rPr>
                  <w:rStyle w:val="Hyperlink"/>
                  <w:sz w:val="20"/>
                </w:rPr>
                <w:t>2019 BCSC 2285</w:t>
              </w:r>
            </w:hyperlink>
          </w:p>
          <w:p w:rsidR="00482351" w:rsidRPr="00482351" w:rsidRDefault="00482351" w:rsidP="00482351">
            <w:pPr>
              <w:jc w:val="both"/>
              <w:rPr>
                <w:sz w:val="20"/>
              </w:rPr>
            </w:pP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Application for judicial interim release, pending determination of wrongful conviction review process — dismissed</w:t>
            </w:r>
          </w:p>
          <w:p w:rsidR="00482351" w:rsidRPr="00482351" w:rsidRDefault="00482351" w:rsidP="00482351">
            <w:pPr>
              <w:jc w:val="both"/>
              <w:rPr>
                <w:sz w:val="20"/>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rPr>
            </w:pPr>
            <w:r w:rsidRPr="00482351">
              <w:rPr>
                <w:sz w:val="20"/>
              </w:rPr>
              <w:t>August 22, 2022</w:t>
            </w:r>
          </w:p>
          <w:p w:rsidR="00482351" w:rsidRPr="00482351" w:rsidRDefault="00482351" w:rsidP="00482351">
            <w:pPr>
              <w:jc w:val="both"/>
              <w:rPr>
                <w:sz w:val="20"/>
              </w:rPr>
            </w:pPr>
            <w:r w:rsidRPr="00482351">
              <w:rPr>
                <w:sz w:val="20"/>
              </w:rPr>
              <w:t>Supreme Court of Canada</w:t>
            </w:r>
          </w:p>
        </w:tc>
        <w:tc>
          <w:tcPr>
            <w:tcW w:w="267" w:type="pct"/>
          </w:tcPr>
          <w:p w:rsidR="00482351" w:rsidRPr="00482351" w:rsidRDefault="00482351" w:rsidP="00482351">
            <w:pPr>
              <w:jc w:val="both"/>
              <w:rPr>
                <w:sz w:val="20"/>
              </w:rPr>
            </w:pPr>
          </w:p>
        </w:tc>
        <w:tc>
          <w:tcPr>
            <w:tcW w:w="2366" w:type="pct"/>
            <w:gridSpan w:val="2"/>
          </w:tcPr>
          <w:p w:rsidR="00482351" w:rsidRPr="00482351" w:rsidRDefault="00482351" w:rsidP="00482351">
            <w:pPr>
              <w:jc w:val="both"/>
              <w:rPr>
                <w:sz w:val="20"/>
              </w:rPr>
            </w:pPr>
            <w:r w:rsidRPr="00482351">
              <w:rPr>
                <w:sz w:val="20"/>
              </w:rPr>
              <w:t>Motion for extension of time in which to serve and file application for leave to appeal from bail application, and leave application, filed</w:t>
            </w:r>
          </w:p>
        </w:tc>
      </w:tr>
    </w:tbl>
    <w:p w:rsidR="00482351" w:rsidRPr="00482351" w:rsidRDefault="00482351" w:rsidP="00482351">
      <w:pPr>
        <w:jc w:val="both"/>
        <w:rPr>
          <w:sz w:val="20"/>
        </w:rPr>
      </w:pPr>
    </w:p>
    <w:p w:rsidR="00482351" w:rsidRPr="00482351" w:rsidRDefault="00482351" w:rsidP="00482351">
      <w:pPr>
        <w:jc w:val="both"/>
        <w:rPr>
          <w:sz w:val="20"/>
        </w:rPr>
      </w:pPr>
      <w:r w:rsidRPr="00482351">
        <w:rPr>
          <w:sz w:val="20"/>
        </w:rPr>
        <w:pict>
          <v:rect id="_x0000_i1030" style="width:2in;height:1pt" o:hrpct="0" o:hralign="center" o:hrstd="t" o:hrnoshade="t" o:hr="t" fillcolor="black [3213]" stroked="f"/>
        </w:pict>
      </w:r>
    </w:p>
    <w:p w:rsidR="00482351" w:rsidRPr="00482351" w:rsidRDefault="00482351" w:rsidP="0048235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82351" w:rsidRPr="00482351" w:rsidTr="00620740">
        <w:trPr>
          <w:gridAfter w:val="1"/>
          <w:wAfter w:w="48" w:type="pct"/>
        </w:trPr>
        <w:tc>
          <w:tcPr>
            <w:tcW w:w="537" w:type="pct"/>
          </w:tcPr>
          <w:p w:rsidR="00482351" w:rsidRPr="00482351" w:rsidRDefault="00482351" w:rsidP="00482351">
            <w:pPr>
              <w:jc w:val="both"/>
              <w:rPr>
                <w:sz w:val="20"/>
                <w:lang w:val="fr-CA"/>
              </w:rPr>
            </w:pPr>
            <w:r w:rsidRPr="00482351">
              <w:rPr>
                <w:rStyle w:val="SCCFileNumberChar"/>
                <w:sz w:val="20"/>
                <w:szCs w:val="20"/>
                <w:lang w:val="fr-CA"/>
              </w:rPr>
              <w:t>40543</w:t>
            </w:r>
          </w:p>
        </w:tc>
        <w:tc>
          <w:tcPr>
            <w:tcW w:w="4415" w:type="pct"/>
            <w:gridSpan w:val="3"/>
          </w:tcPr>
          <w:p w:rsidR="00482351" w:rsidRPr="00482351" w:rsidRDefault="00482351" w:rsidP="00482351">
            <w:pPr>
              <w:pStyle w:val="SCCLsocParty"/>
              <w:jc w:val="both"/>
              <w:rPr>
                <w:b/>
                <w:sz w:val="20"/>
                <w:szCs w:val="20"/>
              </w:rPr>
            </w:pPr>
            <w:r w:rsidRPr="00482351">
              <w:rPr>
                <w:b/>
                <w:sz w:val="20"/>
                <w:szCs w:val="20"/>
              </w:rPr>
              <w:t>Kelvin Kingsbury Purdy c. Sa Majesté le Roi</w:t>
            </w:r>
          </w:p>
          <w:p w:rsidR="00482351" w:rsidRPr="00482351" w:rsidRDefault="00482351" w:rsidP="00482351">
            <w:pPr>
              <w:jc w:val="both"/>
              <w:rPr>
                <w:sz w:val="20"/>
                <w:lang w:val="fr-CA"/>
              </w:rPr>
            </w:pPr>
            <w:r w:rsidRPr="00482351">
              <w:rPr>
                <w:sz w:val="20"/>
                <w:lang w:val="fr-CA"/>
              </w:rPr>
              <w:t>(C.-B.) (Criminelle) (Sur autorisation)</w:t>
            </w:r>
          </w:p>
        </w:tc>
      </w:tr>
      <w:tr w:rsidR="00482351" w:rsidRPr="00482351" w:rsidTr="00620740">
        <w:trPr>
          <w:gridAfter w:val="1"/>
          <w:wAfter w:w="48" w:type="pct"/>
        </w:trPr>
        <w:tc>
          <w:tcPr>
            <w:tcW w:w="4952" w:type="pct"/>
            <w:gridSpan w:val="4"/>
          </w:tcPr>
          <w:p w:rsidR="00482351" w:rsidRPr="00482351" w:rsidRDefault="00482351" w:rsidP="00482351">
            <w:pPr>
              <w:jc w:val="both"/>
              <w:rPr>
                <w:sz w:val="20"/>
                <w:lang w:val="fr-CA"/>
              </w:rPr>
            </w:pPr>
            <w:r w:rsidRPr="00482351">
              <w:rPr>
                <w:sz w:val="20"/>
                <w:lang w:val="fr-CA"/>
              </w:rPr>
              <w:t xml:space="preserve">Charte des droits — Droit à la vie, à la liberté et à la sécurité de la personne — Justice fondamentale — </w:t>
            </w:r>
            <w:r w:rsidRPr="00482351">
              <w:rPr>
                <w:i/>
                <w:sz w:val="20"/>
                <w:lang w:val="fr-CA"/>
              </w:rPr>
              <w:t>Habeas corpus</w:t>
            </w:r>
            <w:r w:rsidRPr="00482351">
              <w:rPr>
                <w:sz w:val="20"/>
                <w:lang w:val="fr-CA"/>
              </w:rPr>
              <w:t xml:space="preserve"> — Procès dans un délai raisonnable — Présomption d’innocence — Procès équitable — Droit à la mise en liberté sous caution — Traitements ou peines cruels et inusités — Droit à l’égalité — Droit criminel — Preuve — Demande de révision pour erreur judiciaire — Mise en liberté sous caution — Demandeur déclaré coupable de meurtre au second degré et condamné à l’emprisonnement à perpétuité sans possibilité de libération conditionnelle avant 19 ans — Rejet par la Cour d’appel des appels contre la déclaration de culpabilité et la peine — Demande de réouverture de l’appel contre la déclaration de culpabilité rejetée — Demandeur sollicitant une révision par le ministre de sa déclaration de culpabilité, alléguant une erreur judiciaire — Rejet de la demande de mise en liberté sous caution dans l’attente de la révision du ministre — La demande soulève-t-elle une question juridique ayant une importance publique suffisante? — </w:t>
            </w:r>
            <w:r w:rsidRPr="00482351">
              <w:rPr>
                <w:i/>
                <w:sz w:val="20"/>
                <w:lang w:val="fr-CA"/>
              </w:rPr>
              <w:t>Charte canadienne des droits et libertés</w:t>
            </w:r>
            <w:r w:rsidRPr="00482351">
              <w:rPr>
                <w:sz w:val="20"/>
                <w:lang w:val="fr-CA"/>
              </w:rPr>
              <w:t xml:space="preserve">, art. 7, 10, 11 et 15 — </w:t>
            </w:r>
            <w:r w:rsidRPr="00482351">
              <w:rPr>
                <w:i/>
                <w:sz w:val="20"/>
                <w:lang w:val="fr-CA"/>
              </w:rPr>
              <w:t>Code criminel</w:t>
            </w:r>
            <w:r w:rsidRPr="00482351">
              <w:rPr>
                <w:sz w:val="20"/>
                <w:lang w:val="fr-CA"/>
              </w:rPr>
              <w:t>, L.R.C. 1985, c. C-46, art. 679, 680, 696.1 à 696.6.</w:t>
            </w:r>
          </w:p>
          <w:p w:rsidR="00482351" w:rsidRPr="00482351" w:rsidRDefault="00482351" w:rsidP="00482351">
            <w:pPr>
              <w:jc w:val="both"/>
              <w:rPr>
                <w:sz w:val="20"/>
                <w:lang w:val="fr-CA"/>
              </w:rPr>
            </w:pPr>
          </w:p>
        </w:tc>
      </w:tr>
      <w:tr w:rsidR="00482351" w:rsidRPr="00482351" w:rsidTr="00620740">
        <w:trPr>
          <w:gridAfter w:val="1"/>
          <w:wAfter w:w="48" w:type="pct"/>
        </w:trPr>
        <w:tc>
          <w:tcPr>
            <w:tcW w:w="4952" w:type="pct"/>
            <w:gridSpan w:val="4"/>
          </w:tcPr>
          <w:p w:rsidR="00482351" w:rsidRPr="00482351" w:rsidRDefault="00482351" w:rsidP="00482351">
            <w:pPr>
              <w:jc w:val="both"/>
              <w:rPr>
                <w:sz w:val="20"/>
                <w:lang w:val="fr-CA"/>
              </w:rPr>
            </w:pPr>
          </w:p>
        </w:tc>
      </w:tr>
      <w:tr w:rsidR="00482351" w:rsidRPr="00482351" w:rsidTr="00620740">
        <w:trPr>
          <w:gridAfter w:val="1"/>
          <w:wAfter w:w="48" w:type="pct"/>
        </w:trPr>
        <w:tc>
          <w:tcPr>
            <w:tcW w:w="4952" w:type="pct"/>
            <w:gridSpan w:val="4"/>
          </w:tcPr>
          <w:p w:rsidR="00482351" w:rsidRPr="00482351" w:rsidRDefault="00482351" w:rsidP="00482351">
            <w:pPr>
              <w:jc w:val="both"/>
              <w:rPr>
                <w:sz w:val="20"/>
                <w:lang w:val="fr-CA"/>
              </w:rPr>
            </w:pPr>
            <w:r w:rsidRPr="00482351">
              <w:rPr>
                <w:sz w:val="20"/>
                <w:lang w:val="fr-CA"/>
              </w:rPr>
              <w:t>Le demandeur, Kelvin Kingsbury Purdy, a été déclaré coupable de meurtre au second degré et condamné à l’emprisonnement à perpétuité sans possibilité de libération conditionnelle avant 19 ans. La Cour d’appel a rejeté l’appel interjeté par M. Purdy contre sa déclaration de culpabilité en 2008, et l’appel contre sa peine en 2012. Elle a aussi rejeté sa demande de réouverture de l’appel contre sa déclaration de culpabilité en 2010; M. Purdy a ensuite déposé une demande d’autorisation d’appel contre cette décision à la Cour suprême du Canada, qui a été rejetée en 2012. Il a alors demandé au ministre fédéral de la Justice de réviser son dossier, au motif qu’il aurait été victime d’une erreur judiciaire. Sa demande de révision pour erreur judiciaire auprès du ministre a été accueillie en septembre 2018. En 2019, la Cour suprême de la C.-B. a rejeté la demande de M. Purdy visant sa mise en liberté sous caution dans l’attente d’une décision à l’issue du processus de révision du ministre.</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14 octobre 2005</w:t>
            </w:r>
          </w:p>
          <w:p w:rsidR="00482351" w:rsidRPr="00482351" w:rsidRDefault="00482351" w:rsidP="00482351">
            <w:pPr>
              <w:jc w:val="both"/>
              <w:rPr>
                <w:sz w:val="20"/>
                <w:lang w:val="fr-CA"/>
              </w:rPr>
            </w:pPr>
            <w:r w:rsidRPr="00482351">
              <w:rPr>
                <w:sz w:val="20"/>
                <w:lang w:val="fr-CA"/>
              </w:rPr>
              <w:t>Cour suprême de la Colombie-Britannique</w:t>
            </w:r>
          </w:p>
          <w:p w:rsidR="00482351" w:rsidRPr="00482351" w:rsidRDefault="00482351" w:rsidP="00482351">
            <w:pPr>
              <w:jc w:val="both"/>
              <w:rPr>
                <w:sz w:val="20"/>
                <w:lang w:val="fr-CA"/>
              </w:rPr>
            </w:pPr>
            <w:r w:rsidRPr="00482351">
              <w:rPr>
                <w:sz w:val="20"/>
                <w:lang w:val="fr-CA"/>
              </w:rPr>
              <w:t xml:space="preserve">(procès devant jury) (Nanaimo) </w:t>
            </w:r>
          </w:p>
          <w:p w:rsidR="00482351" w:rsidRPr="00482351" w:rsidRDefault="00482351" w:rsidP="00482351">
            <w:pPr>
              <w:jc w:val="both"/>
              <w:rPr>
                <w:sz w:val="20"/>
                <w:lang w:val="fr-CA"/>
              </w:rPr>
            </w:pPr>
            <w:r w:rsidRPr="00482351">
              <w:rPr>
                <w:sz w:val="20"/>
                <w:lang w:val="fr-CA"/>
              </w:rPr>
              <w:t>Numéro de dossier : 56040-4 (non publiée)</w:t>
            </w:r>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Kelvin Kingsbury Purdy déclaré coupable de meurtre au second degré</w:t>
            </w: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25 novembre 2005</w:t>
            </w:r>
          </w:p>
          <w:p w:rsidR="00482351" w:rsidRPr="00482351" w:rsidRDefault="00482351" w:rsidP="00482351">
            <w:pPr>
              <w:jc w:val="both"/>
              <w:rPr>
                <w:sz w:val="20"/>
                <w:lang w:val="fr-CA"/>
              </w:rPr>
            </w:pPr>
            <w:r w:rsidRPr="00482351">
              <w:rPr>
                <w:sz w:val="20"/>
                <w:lang w:val="fr-CA"/>
              </w:rPr>
              <w:t>Cour suprême de la Colombie-Britannique</w:t>
            </w:r>
          </w:p>
          <w:p w:rsidR="00482351" w:rsidRPr="00482351" w:rsidRDefault="00482351" w:rsidP="00482351">
            <w:pPr>
              <w:jc w:val="both"/>
              <w:rPr>
                <w:sz w:val="20"/>
                <w:lang w:val="fr-CA"/>
              </w:rPr>
            </w:pPr>
            <w:r w:rsidRPr="00482351">
              <w:rPr>
                <w:sz w:val="20"/>
                <w:lang w:val="fr-CA"/>
              </w:rPr>
              <w:t>(Nanaimo)</w:t>
            </w:r>
          </w:p>
          <w:p w:rsidR="00482351" w:rsidRPr="00482351" w:rsidRDefault="00482351" w:rsidP="00482351">
            <w:pPr>
              <w:jc w:val="both"/>
              <w:rPr>
                <w:sz w:val="20"/>
                <w:lang w:val="fr-CA"/>
              </w:rPr>
            </w:pPr>
            <w:r w:rsidRPr="00482351">
              <w:rPr>
                <w:sz w:val="20"/>
                <w:lang w:val="fr-CA"/>
              </w:rPr>
              <w:t>Numéro de dossier : 56040-4 (non publiée)</w:t>
            </w:r>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M. Purdy condamné à l’emprisonnement à perpétuité sans possibilité de libération conditionnelle avant 19 ans</w:t>
            </w: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7 mars 2008</w:t>
            </w:r>
          </w:p>
          <w:p w:rsidR="00482351" w:rsidRPr="00482351" w:rsidRDefault="00482351" w:rsidP="00482351">
            <w:pPr>
              <w:jc w:val="both"/>
              <w:rPr>
                <w:sz w:val="20"/>
                <w:lang w:val="fr-CA"/>
              </w:rPr>
            </w:pPr>
            <w:r w:rsidRPr="00482351">
              <w:rPr>
                <w:sz w:val="20"/>
                <w:lang w:val="fr-CA"/>
              </w:rPr>
              <w:t>Cour d’appel de la Colombie-Britannique</w:t>
            </w:r>
          </w:p>
          <w:p w:rsidR="00482351" w:rsidRPr="00482351" w:rsidRDefault="00482351" w:rsidP="00482351">
            <w:pPr>
              <w:jc w:val="both"/>
              <w:rPr>
                <w:sz w:val="20"/>
                <w:lang w:val="fr-CA"/>
              </w:rPr>
            </w:pPr>
            <w:r w:rsidRPr="00482351">
              <w:rPr>
                <w:sz w:val="20"/>
                <w:lang w:val="fr-CA"/>
              </w:rPr>
              <w:t>(Juges Huddart, Mackenzie et Saunders)</w:t>
            </w:r>
          </w:p>
          <w:p w:rsidR="00482351" w:rsidRPr="00482351" w:rsidRDefault="00482351" w:rsidP="00482351">
            <w:pPr>
              <w:jc w:val="both"/>
              <w:rPr>
                <w:sz w:val="20"/>
                <w:lang w:val="fr-CA"/>
              </w:rPr>
            </w:pPr>
            <w:r w:rsidRPr="00482351">
              <w:rPr>
                <w:sz w:val="20"/>
                <w:lang w:val="fr-CA"/>
              </w:rPr>
              <w:t xml:space="preserve">Citation neutre : </w:t>
            </w:r>
            <w:hyperlink r:id="rId15" w:history="1">
              <w:r w:rsidRPr="00482351">
                <w:rPr>
                  <w:rStyle w:val="Hyperlink"/>
                  <w:sz w:val="20"/>
                  <w:lang w:val="fr-CA"/>
                </w:rPr>
                <w:t>2008 BCCA 95</w:t>
              </w:r>
            </w:hyperlink>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Appel contre la déclaration de culpabilité pour meurtre au second degré — rejeté</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23 septembre 2010</w:t>
            </w:r>
          </w:p>
          <w:p w:rsidR="00482351" w:rsidRPr="00482351" w:rsidRDefault="00482351" w:rsidP="00482351">
            <w:pPr>
              <w:jc w:val="both"/>
              <w:rPr>
                <w:sz w:val="20"/>
                <w:lang w:val="fr-CA"/>
              </w:rPr>
            </w:pPr>
            <w:r w:rsidRPr="00482351">
              <w:rPr>
                <w:sz w:val="20"/>
                <w:lang w:val="fr-CA"/>
              </w:rPr>
              <w:t>Cour d’appel de la Colombie-Britannique</w:t>
            </w:r>
          </w:p>
          <w:p w:rsidR="00482351" w:rsidRPr="00482351" w:rsidRDefault="00482351" w:rsidP="00482351">
            <w:pPr>
              <w:jc w:val="both"/>
              <w:rPr>
                <w:sz w:val="20"/>
                <w:lang w:val="fr-CA"/>
              </w:rPr>
            </w:pPr>
            <w:r w:rsidRPr="00482351">
              <w:rPr>
                <w:sz w:val="20"/>
                <w:lang w:val="fr-CA"/>
              </w:rPr>
              <w:t>(Juges Rowles, Saunders et Smith)</w:t>
            </w:r>
          </w:p>
          <w:p w:rsidR="00482351" w:rsidRPr="00482351" w:rsidRDefault="00482351" w:rsidP="00482351">
            <w:pPr>
              <w:jc w:val="both"/>
              <w:rPr>
                <w:sz w:val="20"/>
                <w:lang w:val="fr-CA"/>
              </w:rPr>
            </w:pPr>
            <w:r w:rsidRPr="00482351">
              <w:rPr>
                <w:sz w:val="20"/>
                <w:lang w:val="fr-CA"/>
              </w:rPr>
              <w:t xml:space="preserve">Citation neutre : </w:t>
            </w:r>
            <w:hyperlink r:id="rId16" w:history="1">
              <w:r w:rsidRPr="00482351">
                <w:rPr>
                  <w:rStyle w:val="Hyperlink"/>
                  <w:sz w:val="20"/>
                  <w:lang w:val="fr-CA"/>
                </w:rPr>
                <w:t>2010 BCCA 413</w:t>
              </w:r>
            </w:hyperlink>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Demande de réouverture de l’appel contre la déclaration de culpabilité — rejetée</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2 février 2012</w:t>
            </w:r>
          </w:p>
          <w:p w:rsidR="00482351" w:rsidRPr="00482351" w:rsidRDefault="00482351" w:rsidP="00482351">
            <w:pPr>
              <w:jc w:val="both"/>
              <w:rPr>
                <w:sz w:val="20"/>
                <w:lang w:val="fr-CA"/>
              </w:rPr>
            </w:pPr>
            <w:r w:rsidRPr="00482351">
              <w:rPr>
                <w:sz w:val="20"/>
                <w:lang w:val="fr-CA"/>
              </w:rPr>
              <w:t>Cour suprême du Canada</w:t>
            </w:r>
          </w:p>
          <w:p w:rsidR="00482351" w:rsidRPr="00482351" w:rsidRDefault="00482351" w:rsidP="00482351">
            <w:pPr>
              <w:jc w:val="both"/>
              <w:rPr>
                <w:sz w:val="20"/>
                <w:lang w:val="fr-CA"/>
              </w:rPr>
            </w:pPr>
            <w:r w:rsidRPr="00482351">
              <w:rPr>
                <w:sz w:val="20"/>
                <w:lang w:val="fr-CA"/>
              </w:rPr>
              <w:t xml:space="preserve">Citation neutre : </w:t>
            </w:r>
            <w:hyperlink r:id="rId17" w:history="1">
              <w:r w:rsidRPr="00482351">
                <w:rPr>
                  <w:rStyle w:val="Hyperlink"/>
                  <w:sz w:val="20"/>
                  <w:lang w:val="fr-CA"/>
                </w:rPr>
                <w:t>34391</w:t>
              </w:r>
            </w:hyperlink>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Demande d’autorisation d’appel à l’égard du rejet de la demande de réouverture de l’appel contre la déclaration de culpabilité — rejetée</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21 juin 2012</w:t>
            </w:r>
          </w:p>
          <w:p w:rsidR="00482351" w:rsidRPr="00482351" w:rsidRDefault="00482351" w:rsidP="00482351">
            <w:pPr>
              <w:jc w:val="both"/>
              <w:rPr>
                <w:sz w:val="20"/>
                <w:lang w:val="fr-CA"/>
              </w:rPr>
            </w:pPr>
            <w:r w:rsidRPr="00482351">
              <w:rPr>
                <w:sz w:val="20"/>
                <w:lang w:val="fr-CA"/>
              </w:rPr>
              <w:t>Cour d’appel de la Colombie-Britannique</w:t>
            </w:r>
          </w:p>
          <w:p w:rsidR="00482351" w:rsidRPr="00482351" w:rsidRDefault="00482351" w:rsidP="00482351">
            <w:pPr>
              <w:jc w:val="both"/>
              <w:rPr>
                <w:sz w:val="20"/>
                <w:lang w:val="fr-CA"/>
              </w:rPr>
            </w:pPr>
            <w:r w:rsidRPr="00482351">
              <w:rPr>
                <w:sz w:val="20"/>
                <w:lang w:val="fr-CA"/>
              </w:rPr>
              <w:t>(Juges Garson, MacKenzie et Harris)</w:t>
            </w:r>
          </w:p>
          <w:p w:rsidR="00482351" w:rsidRPr="00482351" w:rsidRDefault="00482351" w:rsidP="00482351">
            <w:pPr>
              <w:jc w:val="both"/>
              <w:rPr>
                <w:rStyle w:val="Hyperlink"/>
                <w:color w:val="auto"/>
                <w:sz w:val="20"/>
                <w:u w:val="none"/>
                <w:lang w:val="fr-CA"/>
              </w:rPr>
            </w:pPr>
            <w:r w:rsidRPr="00482351">
              <w:rPr>
                <w:sz w:val="20"/>
                <w:lang w:val="fr-CA"/>
              </w:rPr>
              <w:t xml:space="preserve">Citation neutre : </w:t>
            </w:r>
            <w:hyperlink r:id="rId18" w:history="1">
              <w:r w:rsidRPr="00482351">
                <w:rPr>
                  <w:rStyle w:val="Hyperlink"/>
                  <w:sz w:val="20"/>
                  <w:lang w:val="fr-CA"/>
                </w:rPr>
                <w:t>2012 BCCA 272</w:t>
              </w:r>
            </w:hyperlink>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Appel contre la peine — rejeté</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19 décembre 2019</w:t>
            </w:r>
          </w:p>
          <w:p w:rsidR="00482351" w:rsidRPr="00482351" w:rsidRDefault="00482351" w:rsidP="00482351">
            <w:pPr>
              <w:jc w:val="both"/>
              <w:rPr>
                <w:sz w:val="20"/>
                <w:lang w:val="fr-CA"/>
              </w:rPr>
            </w:pPr>
            <w:r w:rsidRPr="00482351">
              <w:rPr>
                <w:sz w:val="20"/>
                <w:lang w:val="fr-CA"/>
              </w:rPr>
              <w:t>Cour suprême de la Colombie-Britannique</w:t>
            </w:r>
          </w:p>
          <w:p w:rsidR="00482351" w:rsidRPr="00482351" w:rsidRDefault="00482351" w:rsidP="00482351">
            <w:pPr>
              <w:jc w:val="both"/>
              <w:rPr>
                <w:sz w:val="20"/>
                <w:lang w:val="fr-CA"/>
              </w:rPr>
            </w:pPr>
            <w:r w:rsidRPr="00482351">
              <w:rPr>
                <w:sz w:val="20"/>
                <w:lang w:val="fr-CA"/>
              </w:rPr>
              <w:t>(Juge Holmes) (Vancouver)</w:t>
            </w:r>
          </w:p>
          <w:p w:rsidR="00482351" w:rsidRPr="00482351" w:rsidRDefault="00482351" w:rsidP="00482351">
            <w:pPr>
              <w:jc w:val="both"/>
              <w:rPr>
                <w:sz w:val="20"/>
                <w:lang w:val="fr-CA"/>
              </w:rPr>
            </w:pPr>
            <w:r w:rsidRPr="00482351">
              <w:rPr>
                <w:sz w:val="20"/>
                <w:lang w:val="fr-CA"/>
              </w:rPr>
              <w:t>Numéro de dossier : 29400-1</w:t>
            </w:r>
          </w:p>
          <w:p w:rsidR="00482351" w:rsidRPr="00482351" w:rsidRDefault="00482351" w:rsidP="00482351">
            <w:pPr>
              <w:jc w:val="both"/>
              <w:rPr>
                <w:sz w:val="20"/>
                <w:lang w:val="fr-CA"/>
              </w:rPr>
            </w:pPr>
            <w:r w:rsidRPr="00482351">
              <w:rPr>
                <w:sz w:val="20"/>
                <w:lang w:val="fr-CA"/>
              </w:rPr>
              <w:t xml:space="preserve">Citation neutre : </w:t>
            </w:r>
            <w:hyperlink r:id="rId19" w:history="1">
              <w:r w:rsidRPr="00482351">
                <w:rPr>
                  <w:rStyle w:val="Hyperlink"/>
                  <w:sz w:val="20"/>
                  <w:lang w:val="fr-CA"/>
                </w:rPr>
                <w:t>2019 BCSC 2285</w:t>
              </w:r>
            </w:hyperlink>
          </w:p>
          <w:p w:rsidR="00482351" w:rsidRPr="00482351" w:rsidRDefault="00482351" w:rsidP="00482351">
            <w:pPr>
              <w:jc w:val="both"/>
              <w:rPr>
                <w:sz w:val="20"/>
                <w:lang w:val="fr-CA"/>
              </w:rPr>
            </w:pP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Demande de mise en liberté provisoire, dans l’attente d’une décision à l’issue du processus de révision de l’erreur judiciaire — rejetée</w:t>
            </w:r>
          </w:p>
          <w:p w:rsidR="00482351" w:rsidRPr="00482351" w:rsidRDefault="00482351" w:rsidP="00482351">
            <w:pPr>
              <w:jc w:val="both"/>
              <w:rPr>
                <w:sz w:val="20"/>
                <w:lang w:val="fr-CA"/>
              </w:rPr>
            </w:pPr>
          </w:p>
        </w:tc>
      </w:tr>
      <w:tr w:rsidR="00482351" w:rsidRPr="00482351" w:rsidTr="00620740">
        <w:tblPrEx>
          <w:tblCellMar>
            <w:bottom w:w="0" w:type="dxa"/>
          </w:tblCellMar>
        </w:tblPrEx>
        <w:tc>
          <w:tcPr>
            <w:tcW w:w="2367" w:type="pct"/>
            <w:gridSpan w:val="2"/>
          </w:tcPr>
          <w:p w:rsidR="00482351" w:rsidRPr="00482351" w:rsidRDefault="00482351" w:rsidP="00482351">
            <w:pPr>
              <w:jc w:val="both"/>
              <w:rPr>
                <w:sz w:val="20"/>
                <w:lang w:val="fr-CA"/>
              </w:rPr>
            </w:pPr>
            <w:r w:rsidRPr="00482351">
              <w:rPr>
                <w:sz w:val="20"/>
                <w:lang w:val="fr-CA"/>
              </w:rPr>
              <w:t>22 août 2022</w:t>
            </w:r>
          </w:p>
          <w:p w:rsidR="00482351" w:rsidRPr="00482351" w:rsidRDefault="00482351" w:rsidP="00482351">
            <w:pPr>
              <w:jc w:val="both"/>
              <w:rPr>
                <w:sz w:val="20"/>
                <w:lang w:val="fr-CA"/>
              </w:rPr>
            </w:pPr>
            <w:r w:rsidRPr="00482351">
              <w:rPr>
                <w:sz w:val="20"/>
                <w:lang w:val="fr-CA"/>
              </w:rPr>
              <w:t>Cour suprême du Canada</w:t>
            </w:r>
          </w:p>
        </w:tc>
        <w:tc>
          <w:tcPr>
            <w:tcW w:w="267" w:type="pct"/>
          </w:tcPr>
          <w:p w:rsidR="00482351" w:rsidRPr="00482351" w:rsidRDefault="00482351" w:rsidP="00482351">
            <w:pPr>
              <w:jc w:val="both"/>
              <w:rPr>
                <w:sz w:val="20"/>
                <w:lang w:val="fr-CA"/>
              </w:rPr>
            </w:pPr>
          </w:p>
        </w:tc>
        <w:tc>
          <w:tcPr>
            <w:tcW w:w="2366" w:type="pct"/>
            <w:gridSpan w:val="2"/>
          </w:tcPr>
          <w:p w:rsidR="00482351" w:rsidRPr="00482351" w:rsidRDefault="00482351" w:rsidP="00482351">
            <w:pPr>
              <w:jc w:val="both"/>
              <w:rPr>
                <w:sz w:val="20"/>
                <w:lang w:val="fr-CA"/>
              </w:rPr>
            </w:pPr>
            <w:r w:rsidRPr="00482351">
              <w:rPr>
                <w:sz w:val="20"/>
                <w:lang w:val="fr-CA"/>
              </w:rPr>
              <w:t>Requête en prorogation de délai pour signifier et déposer une demande d’autorisation d’appel à l’égard de la demande de mise en liberté provisoire, et demande autorisation d’appel, déposées</w:t>
            </w:r>
          </w:p>
        </w:tc>
      </w:tr>
    </w:tbl>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rPr>
        <w:pict>
          <v:rect id="_x0000_i1031" style="width:2in;height:1pt" o:hrpct="0" o:hralign="center" o:hrstd="t" o:hrnoshade="t" o:hr="t" fillcolor="black [3213]" stroked="f"/>
        </w:pict>
      </w:r>
    </w:p>
    <w:p w:rsidR="00482351" w:rsidRPr="00482351" w:rsidRDefault="00482351" w:rsidP="004823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2351" w:rsidRPr="00482351" w:rsidTr="00E95A6A">
        <w:tc>
          <w:tcPr>
            <w:tcW w:w="543" w:type="pct"/>
          </w:tcPr>
          <w:p w:rsidR="00482351" w:rsidRPr="00482351" w:rsidRDefault="00482351" w:rsidP="00482351">
            <w:pPr>
              <w:jc w:val="both"/>
              <w:rPr>
                <w:sz w:val="20"/>
              </w:rPr>
            </w:pPr>
            <w:r w:rsidRPr="00482351">
              <w:rPr>
                <w:rStyle w:val="SCCFileNumberChar"/>
                <w:sz w:val="20"/>
                <w:szCs w:val="20"/>
              </w:rPr>
              <w:t>40568</w:t>
            </w:r>
          </w:p>
        </w:tc>
        <w:tc>
          <w:tcPr>
            <w:tcW w:w="4457" w:type="pct"/>
            <w:gridSpan w:val="3"/>
          </w:tcPr>
          <w:p w:rsidR="00482351" w:rsidRPr="00482351" w:rsidRDefault="00482351" w:rsidP="00482351">
            <w:pPr>
              <w:pStyle w:val="SCCLsocParty"/>
              <w:jc w:val="both"/>
              <w:rPr>
                <w:b/>
                <w:sz w:val="20"/>
                <w:szCs w:val="20"/>
                <w:lang w:val="en-US"/>
              </w:rPr>
            </w:pPr>
            <w:r w:rsidRPr="00482351">
              <w:rPr>
                <w:b/>
                <w:sz w:val="20"/>
                <w:szCs w:val="20"/>
                <w:lang w:val="en-US"/>
              </w:rPr>
              <w:t>Travelers Insurance Company of Canada v. Michael Beaudin</w:t>
            </w:r>
          </w:p>
          <w:p w:rsidR="00482351" w:rsidRPr="00482351" w:rsidRDefault="00482351" w:rsidP="00482351">
            <w:pPr>
              <w:jc w:val="both"/>
              <w:rPr>
                <w:sz w:val="20"/>
              </w:rPr>
            </w:pPr>
            <w:r w:rsidRPr="00482351">
              <w:rPr>
                <w:sz w:val="20"/>
              </w:rPr>
              <w:t>(Ont.) (Civil) (By Leave)</w:t>
            </w:r>
          </w:p>
        </w:tc>
      </w:tr>
      <w:tr w:rsidR="00482351" w:rsidRPr="00482351" w:rsidTr="00E95A6A">
        <w:tc>
          <w:tcPr>
            <w:tcW w:w="5000" w:type="pct"/>
            <w:gridSpan w:val="4"/>
          </w:tcPr>
          <w:p w:rsidR="00482351" w:rsidRPr="00482351" w:rsidRDefault="00482351" w:rsidP="00482351">
            <w:pPr>
              <w:jc w:val="both"/>
              <w:rPr>
                <w:sz w:val="20"/>
              </w:rPr>
            </w:pPr>
            <w:r w:rsidRPr="00482351">
              <w:rPr>
                <w:sz w:val="20"/>
              </w:rPr>
              <w:t xml:space="preserve">Insurance — Automobile insurance — Statutory accident benefits — How should Canadian courts read a statutory exemption to a mandatory insurance requirement? — Whether the legislature intended that all “closed course competitions” must be “sponsored by a motorcycle association” in the exemption from the requirement to insure off-road vehicles — Whether the purpose of the mandatory insurance exemptions is the promotion of universal coverage for all drivers of off-road vehicles, or to ensure safety on public roads, subject to exemptions for specified activities — Whether only “sponsored” closed course competitions should be exempt from the general requirement to insure off-road vehicles — </w:t>
            </w:r>
            <w:r w:rsidRPr="00482351">
              <w:rPr>
                <w:i/>
                <w:sz w:val="20"/>
              </w:rPr>
              <w:t>Insurance Act</w:t>
            </w:r>
            <w:r w:rsidRPr="00482351">
              <w:rPr>
                <w:sz w:val="20"/>
              </w:rPr>
              <w:t xml:space="preserve">, R.S.O. 1990, c. I.8, s. 224(1) — </w:t>
            </w:r>
            <w:r w:rsidRPr="00482351">
              <w:rPr>
                <w:i/>
                <w:sz w:val="20"/>
              </w:rPr>
              <w:t>Statutory Accident Benefits Schedule</w:t>
            </w:r>
            <w:r w:rsidRPr="00482351">
              <w:rPr>
                <w:sz w:val="20"/>
              </w:rPr>
              <w:t xml:space="preserve">, O. Reg. 34/10, ss. 2(4), 3(1) — </w:t>
            </w:r>
            <w:r w:rsidRPr="00482351">
              <w:rPr>
                <w:i/>
                <w:sz w:val="20"/>
              </w:rPr>
              <w:t>Off-Road Vehicles Act</w:t>
            </w:r>
            <w:r w:rsidRPr="00482351">
              <w:rPr>
                <w:sz w:val="20"/>
              </w:rPr>
              <w:t xml:space="preserve">, R.S.O. 1990, c. O.4, s. 15 — </w:t>
            </w:r>
            <w:bookmarkStart w:id="1" w:name="_Hlk134440938"/>
            <w:r w:rsidRPr="00482351">
              <w:rPr>
                <w:i/>
                <w:sz w:val="20"/>
              </w:rPr>
              <w:t>Off-Road Vehicles Act General Regulation</w:t>
            </w:r>
            <w:bookmarkEnd w:id="1"/>
            <w:r w:rsidRPr="00482351">
              <w:rPr>
                <w:sz w:val="20"/>
              </w:rPr>
              <w:t>, R.R.O. 1990, Reg. 863, s. 2(1).</w:t>
            </w:r>
          </w:p>
          <w:p w:rsidR="00482351" w:rsidRPr="00482351" w:rsidRDefault="00482351" w:rsidP="00482351">
            <w:pPr>
              <w:jc w:val="both"/>
              <w:rPr>
                <w:sz w:val="20"/>
              </w:rPr>
            </w:pPr>
          </w:p>
        </w:tc>
      </w:tr>
      <w:tr w:rsidR="00482351" w:rsidRPr="00482351" w:rsidTr="00E95A6A">
        <w:tc>
          <w:tcPr>
            <w:tcW w:w="5000" w:type="pct"/>
            <w:gridSpan w:val="4"/>
          </w:tcPr>
          <w:p w:rsidR="00482351" w:rsidRPr="00482351" w:rsidRDefault="00482351" w:rsidP="00482351">
            <w:pPr>
              <w:jc w:val="both"/>
              <w:rPr>
                <w:sz w:val="20"/>
              </w:rPr>
            </w:pPr>
            <w:r w:rsidRPr="00482351">
              <w:rPr>
                <w:sz w:val="20"/>
              </w:rPr>
              <w:t xml:space="preserve">Mr. Beaudin drove his dirt bike in a motocross competition and was severely injured. His automobile insurance company denied statutory accident benefits because the incident was not an “accident” as defined in the </w:t>
            </w:r>
            <w:r w:rsidRPr="00482351">
              <w:rPr>
                <w:i/>
                <w:sz w:val="20"/>
              </w:rPr>
              <w:t>Statutory Accident Benefits Schedule</w:t>
            </w:r>
            <w:r w:rsidRPr="00482351">
              <w:rPr>
                <w:sz w:val="20"/>
              </w:rPr>
              <w:t xml:space="preserve">, as his dirt bike was not an “automobile” within the meaning of the </w:t>
            </w:r>
            <w:r w:rsidRPr="00482351">
              <w:rPr>
                <w:i/>
                <w:sz w:val="20"/>
              </w:rPr>
              <w:t>Insurance Act</w:t>
            </w:r>
            <w:r w:rsidRPr="00482351">
              <w:rPr>
                <w:sz w:val="20"/>
              </w:rPr>
              <w:t>.</w:t>
            </w:r>
          </w:p>
          <w:p w:rsidR="00482351" w:rsidRPr="00482351" w:rsidRDefault="00482351" w:rsidP="00482351">
            <w:pPr>
              <w:jc w:val="both"/>
              <w:rPr>
                <w:sz w:val="20"/>
              </w:rPr>
            </w:pPr>
          </w:p>
          <w:p w:rsidR="00482351" w:rsidRPr="00482351" w:rsidRDefault="00482351" w:rsidP="00482351">
            <w:pPr>
              <w:jc w:val="both"/>
              <w:rPr>
                <w:sz w:val="20"/>
              </w:rPr>
            </w:pPr>
            <w:r w:rsidRPr="00482351">
              <w:rPr>
                <w:sz w:val="20"/>
              </w:rPr>
              <w:t xml:space="preserve">At the Licence Appeal Tribunal, the adjudicator found that Mr. Beaudin was not driving an “automobile” as defined under the </w:t>
            </w:r>
            <w:r w:rsidRPr="00482351">
              <w:rPr>
                <w:i/>
                <w:sz w:val="20"/>
              </w:rPr>
              <w:t>Act</w:t>
            </w:r>
            <w:r w:rsidRPr="00482351">
              <w:rPr>
                <w:sz w:val="20"/>
              </w:rPr>
              <w:t xml:space="preserve"> and was not entitled to statutory accident benefits. At a reconsideration hearing, the Associate Chair of the Tribunal set aside the adjudicator’s decision and held that Mr. Beaudin was driving an “automobile” and was eligible for statutory accident benefits. </w:t>
            </w:r>
          </w:p>
          <w:p w:rsidR="00482351" w:rsidRPr="00482351" w:rsidRDefault="00482351" w:rsidP="00482351">
            <w:pPr>
              <w:jc w:val="both"/>
              <w:rPr>
                <w:sz w:val="20"/>
              </w:rPr>
            </w:pPr>
          </w:p>
          <w:p w:rsidR="00482351" w:rsidRPr="00482351" w:rsidRDefault="00482351" w:rsidP="00482351">
            <w:pPr>
              <w:jc w:val="both"/>
              <w:rPr>
                <w:sz w:val="20"/>
              </w:rPr>
            </w:pPr>
            <w:r w:rsidRPr="00482351">
              <w:rPr>
                <w:sz w:val="20"/>
              </w:rPr>
              <w:t>The Ontario Superior Court of Justice and the Court of Appeal for Ontario dismissed the appeals.</w:t>
            </w:r>
          </w:p>
        </w:tc>
      </w:tr>
      <w:tr w:rsidR="00482351" w:rsidRPr="00482351" w:rsidTr="00E95A6A">
        <w:tc>
          <w:tcPr>
            <w:tcW w:w="5000" w:type="pct"/>
            <w:gridSpan w:val="4"/>
          </w:tcPr>
          <w:p w:rsidR="00482351" w:rsidRPr="00482351" w:rsidRDefault="00482351" w:rsidP="00482351">
            <w:pPr>
              <w:jc w:val="both"/>
              <w:rPr>
                <w:sz w:val="20"/>
              </w:rPr>
            </w:pPr>
          </w:p>
        </w:tc>
      </w:tr>
      <w:tr w:rsidR="00482351" w:rsidRPr="00482351" w:rsidTr="00E95A6A">
        <w:tc>
          <w:tcPr>
            <w:tcW w:w="2427" w:type="pct"/>
            <w:gridSpan w:val="2"/>
          </w:tcPr>
          <w:p w:rsidR="00482351" w:rsidRPr="00482351" w:rsidRDefault="00482351" w:rsidP="00482351">
            <w:pPr>
              <w:jc w:val="both"/>
              <w:rPr>
                <w:sz w:val="20"/>
              </w:rPr>
            </w:pPr>
            <w:r w:rsidRPr="00482351">
              <w:rPr>
                <w:sz w:val="20"/>
              </w:rPr>
              <w:t>February 26, 2021</w:t>
            </w:r>
          </w:p>
          <w:p w:rsidR="00482351" w:rsidRPr="00482351" w:rsidRDefault="00482351" w:rsidP="00482351">
            <w:pPr>
              <w:jc w:val="both"/>
              <w:rPr>
                <w:sz w:val="20"/>
              </w:rPr>
            </w:pPr>
            <w:bookmarkStart w:id="2" w:name="_Hlk134439922"/>
            <w:r w:rsidRPr="00482351">
              <w:rPr>
                <w:sz w:val="20"/>
              </w:rPr>
              <w:t>Ontario Superior Court of Justice, Divisional Court</w:t>
            </w:r>
          </w:p>
          <w:bookmarkEnd w:id="2"/>
          <w:p w:rsidR="00482351" w:rsidRPr="00482351" w:rsidRDefault="00482351" w:rsidP="00482351">
            <w:pPr>
              <w:jc w:val="both"/>
              <w:rPr>
                <w:sz w:val="20"/>
              </w:rPr>
            </w:pPr>
            <w:r w:rsidRPr="00482351">
              <w:rPr>
                <w:sz w:val="20"/>
              </w:rPr>
              <w:t>(Pattillo, Penny and Doyle JJ.)</w:t>
            </w:r>
          </w:p>
          <w:p w:rsidR="00482351" w:rsidRPr="00482351" w:rsidRDefault="00482351" w:rsidP="00482351">
            <w:pPr>
              <w:jc w:val="both"/>
              <w:rPr>
                <w:sz w:val="20"/>
              </w:rPr>
            </w:pPr>
            <w:hyperlink r:id="rId20" w:history="1">
              <w:r w:rsidRPr="00482351">
                <w:rPr>
                  <w:rStyle w:val="Hyperlink"/>
                  <w:sz w:val="20"/>
                </w:rPr>
                <w:t>2021 ONSC 1389</w:t>
              </w:r>
            </w:hyperlink>
            <w:r w:rsidRPr="00482351">
              <w:rPr>
                <w:sz w:val="20"/>
              </w:rPr>
              <w:t>, File No. DC-19-572</w:t>
            </w:r>
          </w:p>
          <w:p w:rsidR="00482351" w:rsidRPr="00482351" w:rsidRDefault="00482351" w:rsidP="00482351">
            <w:pPr>
              <w:jc w:val="both"/>
              <w:rPr>
                <w:sz w:val="20"/>
              </w:rPr>
            </w:pP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Appeal dismissed</w:t>
            </w:r>
          </w:p>
          <w:p w:rsidR="00482351" w:rsidRPr="00482351" w:rsidRDefault="00482351" w:rsidP="00482351">
            <w:pPr>
              <w:jc w:val="both"/>
              <w:rPr>
                <w:sz w:val="20"/>
              </w:rPr>
            </w:pPr>
          </w:p>
        </w:tc>
      </w:tr>
      <w:tr w:rsidR="00482351" w:rsidRPr="00482351" w:rsidTr="00E95A6A">
        <w:tc>
          <w:tcPr>
            <w:tcW w:w="2427" w:type="pct"/>
            <w:gridSpan w:val="2"/>
          </w:tcPr>
          <w:p w:rsidR="00482351" w:rsidRPr="00482351" w:rsidRDefault="00482351" w:rsidP="00482351">
            <w:pPr>
              <w:jc w:val="both"/>
              <w:rPr>
                <w:sz w:val="20"/>
              </w:rPr>
            </w:pPr>
            <w:r w:rsidRPr="00482351">
              <w:rPr>
                <w:sz w:val="20"/>
              </w:rPr>
              <w:t>November 23, 2022</w:t>
            </w:r>
          </w:p>
          <w:p w:rsidR="00482351" w:rsidRPr="00482351" w:rsidRDefault="00482351" w:rsidP="00482351">
            <w:pPr>
              <w:jc w:val="both"/>
              <w:rPr>
                <w:sz w:val="20"/>
              </w:rPr>
            </w:pPr>
            <w:bookmarkStart w:id="3" w:name="_Hlk134439950"/>
            <w:r w:rsidRPr="00482351">
              <w:rPr>
                <w:sz w:val="20"/>
              </w:rPr>
              <w:t>Court of Appeal for Ontario</w:t>
            </w:r>
          </w:p>
          <w:bookmarkEnd w:id="3"/>
          <w:p w:rsidR="00482351" w:rsidRPr="00482351" w:rsidRDefault="00482351" w:rsidP="00482351">
            <w:pPr>
              <w:jc w:val="both"/>
              <w:rPr>
                <w:sz w:val="20"/>
              </w:rPr>
            </w:pPr>
            <w:r w:rsidRPr="00482351">
              <w:rPr>
                <w:sz w:val="20"/>
              </w:rPr>
              <w:t>(Gillese, Miller and Coroza JJ.A.)</w:t>
            </w:r>
          </w:p>
          <w:p w:rsidR="00482351" w:rsidRPr="00482351" w:rsidRDefault="00482351" w:rsidP="00482351">
            <w:pPr>
              <w:tabs>
                <w:tab w:val="center" w:pos="2215"/>
              </w:tabs>
              <w:jc w:val="both"/>
              <w:rPr>
                <w:sz w:val="20"/>
              </w:rPr>
            </w:pPr>
            <w:hyperlink r:id="rId21" w:history="1">
              <w:r w:rsidRPr="00482351">
                <w:rPr>
                  <w:rStyle w:val="Hyperlink"/>
                  <w:sz w:val="20"/>
                </w:rPr>
                <w:t>2022 ONCA 806</w:t>
              </w:r>
            </w:hyperlink>
            <w:r w:rsidRPr="00482351">
              <w:rPr>
                <w:sz w:val="20"/>
              </w:rPr>
              <w:t>, Docket No. C69637</w:t>
            </w:r>
          </w:p>
          <w:p w:rsidR="00482351" w:rsidRPr="00482351" w:rsidRDefault="00482351" w:rsidP="00482351">
            <w:pPr>
              <w:jc w:val="both"/>
              <w:rPr>
                <w:sz w:val="20"/>
              </w:rPr>
            </w:pP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Appeal dismissed</w:t>
            </w:r>
          </w:p>
        </w:tc>
      </w:tr>
      <w:tr w:rsidR="00482351" w:rsidRPr="00482351" w:rsidTr="00E95A6A">
        <w:tc>
          <w:tcPr>
            <w:tcW w:w="2427" w:type="pct"/>
            <w:gridSpan w:val="2"/>
          </w:tcPr>
          <w:p w:rsidR="00482351" w:rsidRPr="00482351" w:rsidRDefault="00482351" w:rsidP="00482351">
            <w:pPr>
              <w:jc w:val="both"/>
              <w:rPr>
                <w:sz w:val="20"/>
              </w:rPr>
            </w:pPr>
            <w:r w:rsidRPr="00482351">
              <w:rPr>
                <w:sz w:val="20"/>
              </w:rPr>
              <w:t>January 20, 2023</w:t>
            </w:r>
          </w:p>
          <w:p w:rsidR="00482351" w:rsidRPr="00482351" w:rsidRDefault="00482351" w:rsidP="00482351">
            <w:pPr>
              <w:jc w:val="both"/>
              <w:rPr>
                <w:sz w:val="20"/>
              </w:rPr>
            </w:pPr>
            <w:r w:rsidRPr="00482351">
              <w:rPr>
                <w:sz w:val="20"/>
              </w:rPr>
              <w:t>Supreme Court of Canada</w:t>
            </w: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Application for leave to appeal filed</w:t>
            </w:r>
          </w:p>
          <w:p w:rsidR="00482351" w:rsidRPr="00482351" w:rsidRDefault="00482351" w:rsidP="00482351">
            <w:pPr>
              <w:jc w:val="both"/>
              <w:rPr>
                <w:sz w:val="20"/>
              </w:rPr>
            </w:pPr>
          </w:p>
        </w:tc>
      </w:tr>
    </w:tbl>
    <w:p w:rsidR="00482351" w:rsidRPr="00482351" w:rsidRDefault="00482351" w:rsidP="00482351">
      <w:pPr>
        <w:jc w:val="both"/>
        <w:rPr>
          <w:sz w:val="20"/>
        </w:rPr>
      </w:pPr>
    </w:p>
    <w:p w:rsidR="00482351" w:rsidRPr="00482351" w:rsidRDefault="00482351" w:rsidP="00482351">
      <w:pPr>
        <w:jc w:val="both"/>
        <w:rPr>
          <w:sz w:val="20"/>
        </w:rPr>
      </w:pPr>
      <w:r w:rsidRPr="00482351">
        <w:rPr>
          <w:sz w:val="20"/>
        </w:rPr>
        <w:pict>
          <v:rect id="_x0000_i1032" style="width:2in;height:1pt" o:hrpct="0" o:hralign="center" o:hrstd="t" o:hrnoshade="t" o:hr="t" fillcolor="black [3213]" stroked="f"/>
        </w:pict>
      </w:r>
    </w:p>
    <w:p w:rsidR="00482351" w:rsidRPr="00482351" w:rsidRDefault="00482351" w:rsidP="004823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2351" w:rsidRPr="00482351" w:rsidTr="00E95A6A">
        <w:tc>
          <w:tcPr>
            <w:tcW w:w="543" w:type="pct"/>
          </w:tcPr>
          <w:p w:rsidR="00482351" w:rsidRPr="00482351" w:rsidRDefault="00482351" w:rsidP="00482351">
            <w:pPr>
              <w:jc w:val="both"/>
              <w:rPr>
                <w:sz w:val="20"/>
                <w:lang w:val="fr-CA"/>
              </w:rPr>
            </w:pPr>
            <w:r w:rsidRPr="00482351">
              <w:rPr>
                <w:rStyle w:val="SCCFileNumberChar"/>
                <w:sz w:val="20"/>
                <w:szCs w:val="20"/>
                <w:lang w:val="fr-CA"/>
              </w:rPr>
              <w:t>40568</w:t>
            </w:r>
          </w:p>
        </w:tc>
        <w:tc>
          <w:tcPr>
            <w:tcW w:w="4457" w:type="pct"/>
            <w:gridSpan w:val="3"/>
          </w:tcPr>
          <w:p w:rsidR="00482351" w:rsidRPr="00482351" w:rsidRDefault="00482351" w:rsidP="00482351">
            <w:pPr>
              <w:pStyle w:val="SCCLsocParty"/>
              <w:jc w:val="both"/>
              <w:rPr>
                <w:b/>
                <w:sz w:val="20"/>
                <w:szCs w:val="20"/>
              </w:rPr>
            </w:pPr>
            <w:r w:rsidRPr="00482351">
              <w:rPr>
                <w:b/>
                <w:sz w:val="20"/>
                <w:szCs w:val="20"/>
              </w:rPr>
              <w:t>La Compagnie d’assurance Travelers du Canada c. Michael Beaudin</w:t>
            </w:r>
          </w:p>
          <w:p w:rsidR="00482351" w:rsidRPr="00482351" w:rsidRDefault="00482351" w:rsidP="00482351">
            <w:pPr>
              <w:jc w:val="both"/>
              <w:rPr>
                <w:sz w:val="20"/>
                <w:lang w:val="fr-CA"/>
              </w:rPr>
            </w:pPr>
            <w:r w:rsidRPr="00482351">
              <w:rPr>
                <w:sz w:val="20"/>
                <w:lang w:val="fr-CA"/>
              </w:rPr>
              <w:t>(Ont.) (Civile) (Sur autorisation)</w:t>
            </w:r>
          </w:p>
        </w:tc>
      </w:tr>
      <w:tr w:rsidR="00482351" w:rsidRPr="00482351" w:rsidTr="00E95A6A">
        <w:tc>
          <w:tcPr>
            <w:tcW w:w="5000" w:type="pct"/>
            <w:gridSpan w:val="4"/>
          </w:tcPr>
          <w:p w:rsidR="00482351" w:rsidRPr="00482351" w:rsidRDefault="00482351" w:rsidP="00482351">
            <w:pPr>
              <w:jc w:val="both"/>
              <w:rPr>
                <w:sz w:val="20"/>
                <w:lang w:val="fr-CA"/>
              </w:rPr>
            </w:pPr>
            <w:r w:rsidRPr="00482351">
              <w:rPr>
                <w:sz w:val="20"/>
                <w:lang w:val="fr-CA"/>
              </w:rPr>
              <w:t xml:space="preserve">Assurances — Assurance automobile — Indemnités prévues par la loi en cas d’accident — De quelle façon les tribunaux canadiens devraient-ils interpréter une exemption prévue par la loi à une exigence d’assurance obligatoire? — Le législateur provincial entendait-il que toutes « les courses en circuit fermé » soient « commanditée[s] par une association de motocyclistes » en ce qui a trait à l’exemption de l’exigence que les véhicules tout-terrain soient assurés? — L’objet des exemptions relatives à l’assurance obligatoire est-il de promouvoir la couverture universelle pour tous les conducteurs de véhicules tout-terrain, ou d’assurer la sécurité sur les chemins publics, sous réserve des exemptions visant des activités précises? — Est-ce que seules les courses en circuit fermé « commanditées » devraient être exemptées de l’exigence générale selon laquelle les véhicules tout-terrain doivent être assurés? — </w:t>
            </w:r>
            <w:r w:rsidRPr="00482351">
              <w:rPr>
                <w:i/>
                <w:sz w:val="20"/>
                <w:lang w:val="fr-CA"/>
              </w:rPr>
              <w:t>Loi sur les assurances</w:t>
            </w:r>
            <w:r w:rsidRPr="00482351">
              <w:rPr>
                <w:sz w:val="20"/>
                <w:lang w:val="fr-CA"/>
              </w:rPr>
              <w:t xml:space="preserve">, L.R.O. 1990, c. I.8, par. 224(1) — </w:t>
            </w:r>
            <w:r w:rsidRPr="00482351">
              <w:rPr>
                <w:i/>
                <w:sz w:val="20"/>
                <w:lang w:val="fr-CA"/>
              </w:rPr>
              <w:t>Annexe sur les indemnités d’accident légales</w:t>
            </w:r>
            <w:r w:rsidRPr="00482351">
              <w:rPr>
                <w:sz w:val="20"/>
                <w:lang w:val="fr-CA"/>
              </w:rPr>
              <w:t xml:space="preserve">, Règl. de l’Ont. 34/10, par. 2(4) et 3(1) — </w:t>
            </w:r>
            <w:r w:rsidRPr="00482351">
              <w:rPr>
                <w:i/>
                <w:sz w:val="20"/>
                <w:lang w:val="fr-CA"/>
              </w:rPr>
              <w:t xml:space="preserve">Loi sur </w:t>
            </w:r>
            <w:proofErr w:type="gramStart"/>
            <w:r w:rsidRPr="00482351">
              <w:rPr>
                <w:i/>
                <w:sz w:val="20"/>
                <w:lang w:val="fr-CA"/>
              </w:rPr>
              <w:t>les véhicules tout-terrain</w:t>
            </w:r>
            <w:proofErr w:type="gramEnd"/>
            <w:r w:rsidRPr="00482351">
              <w:rPr>
                <w:sz w:val="20"/>
                <w:lang w:val="fr-CA"/>
              </w:rPr>
              <w:t xml:space="preserve">, L.R.O. 1990, c. O.4, art. 15 — </w:t>
            </w:r>
            <w:r w:rsidRPr="00482351">
              <w:rPr>
                <w:i/>
                <w:sz w:val="20"/>
                <w:lang w:val="fr-CA"/>
              </w:rPr>
              <w:t>Dispositions générales</w:t>
            </w:r>
            <w:r w:rsidRPr="00482351">
              <w:rPr>
                <w:sz w:val="20"/>
                <w:lang w:val="fr-CA"/>
              </w:rPr>
              <w:t>, Règlement sur les véhicules tout-terrain, R.R.O. 1990, Règlement 863, par. 2(1).</w:t>
            </w:r>
          </w:p>
          <w:p w:rsidR="00482351" w:rsidRPr="00482351" w:rsidRDefault="00482351" w:rsidP="00482351">
            <w:pPr>
              <w:jc w:val="both"/>
              <w:rPr>
                <w:sz w:val="20"/>
                <w:lang w:val="fr-CA"/>
              </w:rPr>
            </w:pPr>
          </w:p>
        </w:tc>
      </w:tr>
      <w:tr w:rsidR="00482351" w:rsidRPr="00482351" w:rsidTr="00E95A6A">
        <w:tc>
          <w:tcPr>
            <w:tcW w:w="5000" w:type="pct"/>
            <w:gridSpan w:val="4"/>
          </w:tcPr>
          <w:p w:rsidR="00482351" w:rsidRPr="00482351" w:rsidRDefault="00482351" w:rsidP="00482351">
            <w:pPr>
              <w:jc w:val="both"/>
              <w:rPr>
                <w:sz w:val="20"/>
                <w:lang w:val="fr-CA"/>
              </w:rPr>
            </w:pPr>
            <w:r w:rsidRPr="00482351">
              <w:rPr>
                <w:sz w:val="20"/>
                <w:lang w:val="fr-CA"/>
              </w:rPr>
              <w:t xml:space="preserve">M. Beaudin a participé à une course de motocross avec sa moto </w:t>
            </w:r>
            <w:proofErr w:type="spellStart"/>
            <w:r w:rsidRPr="00482351">
              <w:rPr>
                <w:sz w:val="20"/>
                <w:lang w:val="fr-CA"/>
              </w:rPr>
              <w:t>tout-terrain</w:t>
            </w:r>
            <w:proofErr w:type="spellEnd"/>
            <w:r w:rsidRPr="00482351">
              <w:rPr>
                <w:sz w:val="20"/>
                <w:lang w:val="fr-CA"/>
              </w:rPr>
              <w:t xml:space="preserve"> et a été gravement blessé. Sa compagnie d’assurance automobile a refusé de lui accorder des prestations prévues par la loi en cas d’accident parce qu’il ne s’agissait pas d’un « accident » au sens de l’</w:t>
            </w:r>
            <w:r w:rsidRPr="00482351">
              <w:rPr>
                <w:i/>
                <w:sz w:val="20"/>
                <w:lang w:val="fr-CA"/>
              </w:rPr>
              <w:t>Annexe sur les indemnités d’accident légales</w:t>
            </w:r>
            <w:r w:rsidRPr="00482351">
              <w:rPr>
                <w:sz w:val="20"/>
                <w:lang w:val="fr-CA"/>
              </w:rPr>
              <w:t xml:space="preserve">, car sa moto </w:t>
            </w:r>
            <w:proofErr w:type="spellStart"/>
            <w:r w:rsidRPr="00482351">
              <w:rPr>
                <w:sz w:val="20"/>
                <w:lang w:val="fr-CA"/>
              </w:rPr>
              <w:t>tout-terrain</w:t>
            </w:r>
            <w:proofErr w:type="spellEnd"/>
            <w:r w:rsidRPr="00482351">
              <w:rPr>
                <w:sz w:val="20"/>
                <w:lang w:val="fr-CA"/>
              </w:rPr>
              <w:t xml:space="preserve"> n’était pas une « automobile » au sens de la </w:t>
            </w:r>
            <w:r w:rsidRPr="00482351">
              <w:rPr>
                <w:i/>
                <w:sz w:val="20"/>
                <w:lang w:val="fr-CA"/>
              </w:rPr>
              <w:t>Loi sur les assurances</w:t>
            </w:r>
            <w:r w:rsidRPr="00482351">
              <w:rPr>
                <w:sz w:val="20"/>
                <w:lang w:val="fr-CA"/>
              </w:rPr>
              <w:t>.</w:t>
            </w:r>
          </w:p>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lang w:val="fr-CA"/>
              </w:rPr>
              <w:t xml:space="preserve">Au Tribunal d’appel en matière de permis, l’arbitre a conclu que M. Beaudin ne conduisait pas une « automobile » au sens donné dans la Loi et n’avait donc pas droit aux indemnités d’accident légales. Lors d’une audience de réexamen, le président associé du Tribunal a écarté la décision de l’arbitre et a conclu que M. Beaudin conduisait une « automobile » et pouvait recevoir les indemnités d’accident légales. </w:t>
            </w:r>
          </w:p>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lang w:val="fr-CA"/>
              </w:rPr>
              <w:t>La Cour supérieure de justice de l’Ontario et la Cour d’appel de l’Ontario ont rejeté les appels.</w:t>
            </w:r>
          </w:p>
        </w:tc>
      </w:tr>
      <w:tr w:rsidR="00482351" w:rsidRPr="00482351" w:rsidTr="00E95A6A">
        <w:tc>
          <w:tcPr>
            <w:tcW w:w="5000" w:type="pct"/>
            <w:gridSpan w:val="4"/>
          </w:tcPr>
          <w:p w:rsidR="00482351" w:rsidRPr="00482351" w:rsidRDefault="00482351" w:rsidP="00482351">
            <w:pPr>
              <w:jc w:val="both"/>
              <w:rPr>
                <w:sz w:val="20"/>
                <w:lang w:val="fr-CA"/>
              </w:rPr>
            </w:pP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26 février 2021</w:t>
            </w:r>
          </w:p>
          <w:p w:rsidR="00482351" w:rsidRPr="00482351" w:rsidRDefault="00482351" w:rsidP="00482351">
            <w:pPr>
              <w:jc w:val="both"/>
              <w:rPr>
                <w:sz w:val="20"/>
                <w:lang w:val="fr-CA"/>
              </w:rPr>
            </w:pPr>
            <w:r w:rsidRPr="00482351">
              <w:rPr>
                <w:sz w:val="20"/>
                <w:lang w:val="fr-CA"/>
              </w:rPr>
              <w:t>Cour supérieure de justice de l’Ontario</w:t>
            </w:r>
          </w:p>
          <w:p w:rsidR="00482351" w:rsidRPr="00482351" w:rsidRDefault="00482351" w:rsidP="00482351">
            <w:pPr>
              <w:jc w:val="both"/>
              <w:rPr>
                <w:sz w:val="20"/>
                <w:lang w:val="fr-CA"/>
              </w:rPr>
            </w:pPr>
            <w:r w:rsidRPr="00482351">
              <w:rPr>
                <w:sz w:val="20"/>
                <w:lang w:val="fr-CA"/>
              </w:rPr>
              <w:t>(Juges Pattillo, Penny et Doyle)</w:t>
            </w:r>
          </w:p>
          <w:p w:rsidR="00482351" w:rsidRPr="00482351" w:rsidRDefault="00482351" w:rsidP="00482351">
            <w:pPr>
              <w:jc w:val="both"/>
              <w:rPr>
                <w:sz w:val="20"/>
                <w:lang w:val="fr-CA"/>
              </w:rPr>
            </w:pPr>
            <w:hyperlink r:id="rId22" w:history="1">
              <w:r w:rsidRPr="00482351">
                <w:rPr>
                  <w:rStyle w:val="Hyperlink"/>
                  <w:sz w:val="20"/>
                  <w:lang w:val="fr-CA"/>
                </w:rPr>
                <w:t>2021 ONSC 1389</w:t>
              </w:r>
            </w:hyperlink>
            <w:r w:rsidRPr="00482351">
              <w:rPr>
                <w:sz w:val="20"/>
                <w:lang w:val="fr-CA"/>
              </w:rPr>
              <w:t>, n</w:t>
            </w:r>
            <w:r w:rsidRPr="00482351">
              <w:rPr>
                <w:sz w:val="20"/>
                <w:vertAlign w:val="superscript"/>
                <w:lang w:val="fr-CA"/>
              </w:rPr>
              <w:t>o</w:t>
            </w:r>
            <w:r w:rsidRPr="00482351">
              <w:rPr>
                <w:sz w:val="20"/>
                <w:lang w:val="fr-CA"/>
              </w:rPr>
              <w:t xml:space="preserve"> de dossier DC-19-572</w:t>
            </w:r>
          </w:p>
          <w:p w:rsidR="00482351" w:rsidRPr="00482351" w:rsidRDefault="00482351" w:rsidP="00482351">
            <w:pPr>
              <w:jc w:val="both"/>
              <w:rPr>
                <w:sz w:val="20"/>
                <w:lang w:val="fr-CA"/>
              </w:rPr>
            </w:pP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Appel rejeté</w:t>
            </w:r>
          </w:p>
          <w:p w:rsidR="00482351" w:rsidRPr="00482351" w:rsidRDefault="00482351" w:rsidP="00482351">
            <w:pPr>
              <w:jc w:val="both"/>
              <w:rPr>
                <w:sz w:val="20"/>
                <w:lang w:val="fr-CA"/>
              </w:rPr>
            </w:pP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23 novembre 2022</w:t>
            </w:r>
          </w:p>
          <w:p w:rsidR="00482351" w:rsidRPr="00482351" w:rsidRDefault="00482351" w:rsidP="00482351">
            <w:pPr>
              <w:jc w:val="both"/>
              <w:rPr>
                <w:sz w:val="20"/>
                <w:lang w:val="fr-CA"/>
              </w:rPr>
            </w:pPr>
            <w:r w:rsidRPr="00482351">
              <w:rPr>
                <w:sz w:val="20"/>
                <w:lang w:val="fr-CA"/>
              </w:rPr>
              <w:t>Cour d’appel de l’Ontario</w:t>
            </w:r>
          </w:p>
          <w:p w:rsidR="00482351" w:rsidRPr="00482351" w:rsidRDefault="00482351" w:rsidP="00482351">
            <w:pPr>
              <w:jc w:val="both"/>
              <w:rPr>
                <w:sz w:val="20"/>
                <w:lang w:val="fr-CA"/>
              </w:rPr>
            </w:pPr>
            <w:r w:rsidRPr="00482351">
              <w:rPr>
                <w:sz w:val="20"/>
                <w:lang w:val="fr-CA"/>
              </w:rPr>
              <w:t>(Juges Gillese, Miller et Coroza)</w:t>
            </w:r>
          </w:p>
          <w:p w:rsidR="00482351" w:rsidRPr="00482351" w:rsidRDefault="00482351" w:rsidP="00482351">
            <w:pPr>
              <w:tabs>
                <w:tab w:val="center" w:pos="2215"/>
              </w:tabs>
              <w:jc w:val="both"/>
              <w:rPr>
                <w:sz w:val="20"/>
                <w:lang w:val="fr-CA"/>
              </w:rPr>
            </w:pPr>
            <w:hyperlink r:id="rId23" w:history="1">
              <w:r w:rsidRPr="00482351">
                <w:rPr>
                  <w:rStyle w:val="Hyperlink"/>
                  <w:sz w:val="20"/>
                  <w:lang w:val="fr-CA"/>
                </w:rPr>
                <w:t>2022 ONCA 806</w:t>
              </w:r>
            </w:hyperlink>
            <w:r w:rsidRPr="00482351">
              <w:rPr>
                <w:sz w:val="20"/>
                <w:lang w:val="fr-CA"/>
              </w:rPr>
              <w:t>, n</w:t>
            </w:r>
            <w:r w:rsidRPr="00482351">
              <w:rPr>
                <w:sz w:val="20"/>
                <w:vertAlign w:val="superscript"/>
                <w:lang w:val="fr-CA"/>
              </w:rPr>
              <w:t>o</w:t>
            </w:r>
            <w:r w:rsidRPr="00482351">
              <w:rPr>
                <w:sz w:val="20"/>
                <w:lang w:val="fr-CA"/>
              </w:rPr>
              <w:t xml:space="preserve"> de dossier C69637</w:t>
            </w:r>
          </w:p>
          <w:p w:rsidR="00482351" w:rsidRPr="00482351" w:rsidRDefault="00482351" w:rsidP="00482351">
            <w:pPr>
              <w:jc w:val="both"/>
              <w:rPr>
                <w:sz w:val="20"/>
                <w:lang w:val="fr-CA"/>
              </w:rPr>
            </w:pP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Appel rejeté</w:t>
            </w: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20 janvier 2023</w:t>
            </w:r>
          </w:p>
          <w:p w:rsidR="00482351" w:rsidRPr="00482351" w:rsidRDefault="00482351" w:rsidP="00482351">
            <w:pPr>
              <w:jc w:val="both"/>
              <w:rPr>
                <w:sz w:val="20"/>
                <w:lang w:val="fr-CA"/>
              </w:rPr>
            </w:pPr>
            <w:r w:rsidRPr="00482351">
              <w:rPr>
                <w:sz w:val="20"/>
                <w:lang w:val="fr-CA"/>
              </w:rPr>
              <w:t>Cour suprême du Canada</w:t>
            </w: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 xml:space="preserve">Demande d’autorisation d’appel déposée </w:t>
            </w:r>
          </w:p>
          <w:p w:rsidR="00482351" w:rsidRPr="00482351" w:rsidRDefault="00482351" w:rsidP="00482351">
            <w:pPr>
              <w:jc w:val="both"/>
              <w:rPr>
                <w:sz w:val="20"/>
                <w:lang w:val="fr-CA"/>
              </w:rPr>
            </w:pPr>
          </w:p>
        </w:tc>
      </w:tr>
    </w:tbl>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rPr>
        <w:pict>
          <v:rect id="_x0000_i1033" style="width:2in;height:1pt" o:hrpct="0" o:hralign="center" o:hrstd="t" o:hrnoshade="t" o:hr="t" fillcolor="black [3213]" stroked="f"/>
        </w:pict>
      </w:r>
    </w:p>
    <w:p w:rsidR="00482351" w:rsidRPr="00482351" w:rsidRDefault="00482351" w:rsidP="004823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2351" w:rsidRPr="00482351" w:rsidTr="00E95A6A">
        <w:tc>
          <w:tcPr>
            <w:tcW w:w="543" w:type="pct"/>
          </w:tcPr>
          <w:p w:rsidR="00482351" w:rsidRPr="00482351" w:rsidRDefault="00482351" w:rsidP="00482351">
            <w:pPr>
              <w:jc w:val="both"/>
              <w:rPr>
                <w:sz w:val="20"/>
              </w:rPr>
            </w:pPr>
            <w:r w:rsidRPr="00482351">
              <w:rPr>
                <w:rStyle w:val="SCCFileNumberChar"/>
                <w:sz w:val="20"/>
                <w:szCs w:val="20"/>
              </w:rPr>
              <w:t>40643</w:t>
            </w:r>
          </w:p>
        </w:tc>
        <w:tc>
          <w:tcPr>
            <w:tcW w:w="4457" w:type="pct"/>
            <w:gridSpan w:val="3"/>
          </w:tcPr>
          <w:p w:rsidR="00482351" w:rsidRPr="00482351" w:rsidRDefault="00482351" w:rsidP="00482351">
            <w:pPr>
              <w:pStyle w:val="SCCLsocParty"/>
              <w:jc w:val="both"/>
              <w:rPr>
                <w:b/>
                <w:sz w:val="20"/>
                <w:szCs w:val="20"/>
                <w:lang w:val="en-US"/>
              </w:rPr>
            </w:pPr>
            <w:r w:rsidRPr="00482351">
              <w:rPr>
                <w:b/>
                <w:sz w:val="20"/>
                <w:szCs w:val="20"/>
                <w:lang w:val="en-US"/>
              </w:rPr>
              <w:t>Paul Sheppard v. His Majesty the King</w:t>
            </w:r>
          </w:p>
          <w:p w:rsidR="00482351" w:rsidRPr="00482351" w:rsidRDefault="00482351" w:rsidP="00482351">
            <w:pPr>
              <w:jc w:val="both"/>
              <w:rPr>
                <w:sz w:val="20"/>
              </w:rPr>
            </w:pPr>
            <w:r w:rsidRPr="00482351">
              <w:rPr>
                <w:sz w:val="20"/>
              </w:rPr>
              <w:t>(Alta.) (Criminal) (By Leave)</w:t>
            </w:r>
          </w:p>
        </w:tc>
      </w:tr>
      <w:tr w:rsidR="00482351" w:rsidRPr="00482351" w:rsidTr="00E95A6A">
        <w:tc>
          <w:tcPr>
            <w:tcW w:w="5000" w:type="pct"/>
            <w:gridSpan w:val="4"/>
          </w:tcPr>
          <w:p w:rsidR="00482351" w:rsidRPr="00482351" w:rsidRDefault="00482351" w:rsidP="00482351">
            <w:pPr>
              <w:pStyle w:val="SCCBanSummary"/>
              <w:rPr>
                <w:sz w:val="20"/>
                <w:szCs w:val="20"/>
              </w:rPr>
            </w:pPr>
            <w:r w:rsidRPr="00482351">
              <w:rPr>
                <w:sz w:val="20"/>
                <w:szCs w:val="20"/>
              </w:rPr>
              <w:t>(Publication ban in case)</w:t>
            </w:r>
          </w:p>
          <w:p w:rsidR="00482351" w:rsidRPr="00482351" w:rsidRDefault="00482351" w:rsidP="00482351">
            <w:pPr>
              <w:jc w:val="both"/>
              <w:rPr>
                <w:sz w:val="20"/>
              </w:rPr>
            </w:pPr>
          </w:p>
          <w:p w:rsidR="00482351" w:rsidRPr="00482351" w:rsidRDefault="00482351" w:rsidP="00482351">
            <w:pPr>
              <w:jc w:val="both"/>
              <w:rPr>
                <w:sz w:val="20"/>
              </w:rPr>
            </w:pPr>
            <w:r w:rsidRPr="00482351">
              <w:rPr>
                <w:sz w:val="20"/>
              </w:rPr>
              <w:t xml:space="preserve">Criminal law — Evidence — Production — Has the approach to ordering production of records to the court under s. 278.5 of the </w:t>
            </w:r>
            <w:r w:rsidRPr="00482351">
              <w:rPr>
                <w:i/>
                <w:sz w:val="20"/>
              </w:rPr>
              <w:t>Criminal Code</w:t>
            </w:r>
            <w:r w:rsidRPr="00482351">
              <w:rPr>
                <w:sz w:val="20"/>
              </w:rPr>
              <w:t xml:space="preserve"> deviated from </w:t>
            </w:r>
            <w:r w:rsidRPr="00482351">
              <w:rPr>
                <w:i/>
                <w:sz w:val="20"/>
              </w:rPr>
              <w:t>R. v. Mills</w:t>
            </w:r>
            <w:r w:rsidRPr="00482351">
              <w:rPr>
                <w:sz w:val="20"/>
              </w:rPr>
              <w:t xml:space="preserve">, </w:t>
            </w:r>
            <w:r w:rsidRPr="00482351">
              <w:rPr>
                <w:color w:val="000000"/>
                <w:sz w:val="20"/>
              </w:rPr>
              <w:t xml:space="preserve">[1999] 3 S.C.R. 668, </w:t>
            </w:r>
            <w:r w:rsidRPr="00482351">
              <w:rPr>
                <w:sz w:val="20"/>
              </w:rPr>
              <w:t>in a way that imperils an accused’s right to make full answer and defence?</w:t>
            </w:r>
          </w:p>
        </w:tc>
      </w:tr>
      <w:tr w:rsidR="00482351" w:rsidRPr="00482351" w:rsidTr="00E95A6A">
        <w:tc>
          <w:tcPr>
            <w:tcW w:w="5000" w:type="pct"/>
            <w:gridSpan w:val="4"/>
          </w:tcPr>
          <w:p w:rsidR="00482351" w:rsidRPr="00482351" w:rsidRDefault="00482351" w:rsidP="00482351">
            <w:pPr>
              <w:jc w:val="both"/>
              <w:rPr>
                <w:sz w:val="20"/>
              </w:rPr>
            </w:pPr>
          </w:p>
          <w:p w:rsidR="00482351" w:rsidRPr="00482351" w:rsidRDefault="00482351" w:rsidP="00482351">
            <w:pPr>
              <w:jc w:val="both"/>
              <w:rPr>
                <w:sz w:val="20"/>
              </w:rPr>
            </w:pPr>
            <w:r w:rsidRPr="00482351">
              <w:rPr>
                <w:sz w:val="20"/>
              </w:rPr>
              <w:t xml:space="preserve">In 2017, a complainant alleged to police that Dr. Sheppard in 1993 and 1994 had committed multiple incidents of sexual misconduct including sexual touching, mutual masturbation and oral sex. A jury convicted Dr. Sheppard of </w:t>
            </w:r>
            <w:r w:rsidRPr="00482351">
              <w:rPr>
                <w:color w:val="000000"/>
                <w:sz w:val="20"/>
              </w:rPr>
              <w:t>sexual interference, invitation to sexual touching, and sexual assault. The Court of Appeal dismissed an appeal.</w:t>
            </w:r>
          </w:p>
        </w:tc>
      </w:tr>
      <w:tr w:rsidR="00482351" w:rsidRPr="00482351" w:rsidTr="00E95A6A">
        <w:tc>
          <w:tcPr>
            <w:tcW w:w="5000" w:type="pct"/>
            <w:gridSpan w:val="4"/>
          </w:tcPr>
          <w:p w:rsidR="00482351" w:rsidRPr="00482351" w:rsidRDefault="00482351" w:rsidP="00482351">
            <w:pPr>
              <w:jc w:val="both"/>
              <w:rPr>
                <w:sz w:val="20"/>
              </w:rPr>
            </w:pPr>
          </w:p>
        </w:tc>
      </w:tr>
      <w:tr w:rsidR="00482351" w:rsidRPr="00482351" w:rsidTr="00E95A6A">
        <w:tc>
          <w:tcPr>
            <w:tcW w:w="2427" w:type="pct"/>
            <w:gridSpan w:val="2"/>
          </w:tcPr>
          <w:p w:rsidR="00482351" w:rsidRPr="00482351" w:rsidRDefault="00482351" w:rsidP="00482351">
            <w:pPr>
              <w:jc w:val="both"/>
              <w:rPr>
                <w:sz w:val="20"/>
              </w:rPr>
            </w:pPr>
            <w:r w:rsidRPr="00482351">
              <w:rPr>
                <w:sz w:val="20"/>
              </w:rPr>
              <w:t>March 30, 2021</w:t>
            </w:r>
          </w:p>
          <w:p w:rsidR="00482351" w:rsidRPr="00482351" w:rsidRDefault="00482351" w:rsidP="00482351">
            <w:pPr>
              <w:jc w:val="both"/>
              <w:rPr>
                <w:spacing w:val="-4"/>
                <w:sz w:val="20"/>
              </w:rPr>
            </w:pPr>
            <w:r w:rsidRPr="00482351">
              <w:rPr>
                <w:sz w:val="20"/>
              </w:rPr>
              <w:t>Court</w:t>
            </w:r>
            <w:r w:rsidRPr="00482351">
              <w:rPr>
                <w:spacing w:val="-4"/>
                <w:sz w:val="20"/>
              </w:rPr>
              <w:t xml:space="preserve"> </w:t>
            </w:r>
            <w:r w:rsidRPr="00482351">
              <w:rPr>
                <w:sz w:val="20"/>
              </w:rPr>
              <w:t>of</w:t>
            </w:r>
            <w:r w:rsidRPr="00482351">
              <w:rPr>
                <w:spacing w:val="-4"/>
                <w:sz w:val="20"/>
              </w:rPr>
              <w:t xml:space="preserve"> </w:t>
            </w:r>
            <w:r w:rsidRPr="00482351">
              <w:rPr>
                <w:sz w:val="20"/>
              </w:rPr>
              <w:t>Queen’s</w:t>
            </w:r>
            <w:r w:rsidRPr="00482351">
              <w:rPr>
                <w:spacing w:val="-4"/>
                <w:sz w:val="20"/>
              </w:rPr>
              <w:t xml:space="preserve"> </w:t>
            </w:r>
            <w:r w:rsidRPr="00482351">
              <w:rPr>
                <w:sz w:val="20"/>
              </w:rPr>
              <w:t>Bench</w:t>
            </w:r>
            <w:r w:rsidRPr="00482351">
              <w:rPr>
                <w:spacing w:val="-4"/>
                <w:sz w:val="20"/>
              </w:rPr>
              <w:t xml:space="preserve"> </w:t>
            </w:r>
            <w:r w:rsidRPr="00482351">
              <w:rPr>
                <w:sz w:val="20"/>
              </w:rPr>
              <w:t>of Alberta</w:t>
            </w:r>
          </w:p>
          <w:p w:rsidR="00482351" w:rsidRPr="00482351" w:rsidRDefault="00482351" w:rsidP="00482351">
            <w:pPr>
              <w:jc w:val="both"/>
              <w:rPr>
                <w:sz w:val="20"/>
              </w:rPr>
            </w:pPr>
            <w:r w:rsidRPr="00482351">
              <w:rPr>
                <w:sz w:val="20"/>
              </w:rPr>
              <w:t>(Yungwirth J.)(Unreported)</w:t>
            </w:r>
          </w:p>
          <w:p w:rsidR="00482351" w:rsidRPr="00482351" w:rsidRDefault="00482351" w:rsidP="00482351">
            <w:pPr>
              <w:jc w:val="both"/>
              <w:rPr>
                <w:sz w:val="20"/>
              </w:rPr>
            </w:pPr>
            <w:hyperlink r:id="rId24" w:history="1">
              <w:r w:rsidRPr="00482351">
                <w:rPr>
                  <w:rStyle w:val="Hyperlink"/>
                  <w:sz w:val="20"/>
                </w:rPr>
                <w:t>2021 ABQB 795</w:t>
              </w:r>
            </w:hyperlink>
          </w:p>
          <w:p w:rsidR="00482351" w:rsidRPr="00482351" w:rsidRDefault="00482351" w:rsidP="00482351">
            <w:pPr>
              <w:jc w:val="both"/>
              <w:rPr>
                <w:sz w:val="20"/>
              </w:rPr>
            </w:pP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 xml:space="preserve">Convictions by jury for </w:t>
            </w:r>
            <w:r w:rsidRPr="00482351">
              <w:rPr>
                <w:color w:val="000000"/>
                <w:sz w:val="20"/>
              </w:rPr>
              <w:t>sexual interference, invitation to sexual touching, sexual assault</w:t>
            </w:r>
          </w:p>
        </w:tc>
      </w:tr>
      <w:tr w:rsidR="00482351" w:rsidRPr="00482351" w:rsidTr="00E95A6A">
        <w:tc>
          <w:tcPr>
            <w:tcW w:w="2427" w:type="pct"/>
            <w:gridSpan w:val="2"/>
          </w:tcPr>
          <w:p w:rsidR="00482351" w:rsidRPr="00482351" w:rsidRDefault="00482351" w:rsidP="00482351">
            <w:pPr>
              <w:jc w:val="both"/>
              <w:rPr>
                <w:sz w:val="20"/>
              </w:rPr>
            </w:pPr>
            <w:r w:rsidRPr="00482351">
              <w:rPr>
                <w:sz w:val="20"/>
              </w:rPr>
              <w:t>January 12, 2023</w:t>
            </w:r>
          </w:p>
          <w:p w:rsidR="00482351" w:rsidRPr="00482351" w:rsidRDefault="00482351" w:rsidP="00482351">
            <w:pPr>
              <w:jc w:val="both"/>
              <w:rPr>
                <w:sz w:val="20"/>
              </w:rPr>
            </w:pPr>
            <w:r w:rsidRPr="00482351">
              <w:rPr>
                <w:sz w:val="20"/>
              </w:rPr>
              <w:t>Court of Appeal of Alberta (Edmonton)</w:t>
            </w:r>
          </w:p>
          <w:p w:rsidR="00482351" w:rsidRPr="00482351" w:rsidRDefault="00482351" w:rsidP="00482351">
            <w:pPr>
              <w:jc w:val="both"/>
              <w:rPr>
                <w:sz w:val="20"/>
              </w:rPr>
            </w:pPr>
            <w:r w:rsidRPr="00482351">
              <w:rPr>
                <w:sz w:val="20"/>
              </w:rPr>
              <w:t>(Watson, Wakeling, Schutz JJ.A.)</w:t>
            </w:r>
          </w:p>
          <w:p w:rsidR="00482351" w:rsidRPr="00482351" w:rsidRDefault="00482351" w:rsidP="00482351">
            <w:pPr>
              <w:jc w:val="both"/>
              <w:rPr>
                <w:sz w:val="20"/>
              </w:rPr>
            </w:pPr>
            <w:hyperlink r:id="rId25" w:history="1">
              <w:r w:rsidRPr="00482351">
                <w:rPr>
                  <w:rStyle w:val="Hyperlink"/>
                  <w:sz w:val="20"/>
                </w:rPr>
                <w:t>2023 ABCA 10</w:t>
              </w:r>
            </w:hyperlink>
            <w:r w:rsidRPr="00482351">
              <w:rPr>
                <w:sz w:val="20"/>
              </w:rPr>
              <w:t xml:space="preserve">; </w:t>
            </w:r>
            <w:r w:rsidRPr="00482351">
              <w:rPr>
                <w:color w:val="000000"/>
                <w:sz w:val="20"/>
              </w:rPr>
              <w:t>2103-0197A</w:t>
            </w:r>
          </w:p>
          <w:p w:rsidR="00482351" w:rsidRPr="00482351" w:rsidRDefault="00482351" w:rsidP="00482351">
            <w:pPr>
              <w:jc w:val="both"/>
              <w:rPr>
                <w:sz w:val="20"/>
              </w:rPr>
            </w:pP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Appeal dismissed</w:t>
            </w:r>
          </w:p>
          <w:p w:rsidR="00482351" w:rsidRPr="00482351" w:rsidRDefault="00482351" w:rsidP="00482351">
            <w:pPr>
              <w:jc w:val="both"/>
              <w:rPr>
                <w:sz w:val="20"/>
              </w:rPr>
            </w:pPr>
          </w:p>
        </w:tc>
      </w:tr>
      <w:tr w:rsidR="00482351" w:rsidRPr="00482351" w:rsidTr="00E95A6A">
        <w:tc>
          <w:tcPr>
            <w:tcW w:w="2427" w:type="pct"/>
            <w:gridSpan w:val="2"/>
          </w:tcPr>
          <w:p w:rsidR="00482351" w:rsidRPr="00482351" w:rsidRDefault="00482351" w:rsidP="00482351">
            <w:pPr>
              <w:jc w:val="both"/>
              <w:rPr>
                <w:sz w:val="20"/>
              </w:rPr>
            </w:pPr>
            <w:r w:rsidRPr="00482351">
              <w:rPr>
                <w:sz w:val="20"/>
              </w:rPr>
              <w:t>March 13, 2023</w:t>
            </w:r>
          </w:p>
          <w:p w:rsidR="00482351" w:rsidRPr="00482351" w:rsidRDefault="00482351" w:rsidP="00482351">
            <w:pPr>
              <w:jc w:val="both"/>
              <w:rPr>
                <w:sz w:val="20"/>
              </w:rPr>
            </w:pPr>
            <w:r w:rsidRPr="00482351">
              <w:rPr>
                <w:sz w:val="20"/>
              </w:rPr>
              <w:t>Supreme Court of Canada</w:t>
            </w:r>
          </w:p>
        </w:tc>
        <w:tc>
          <w:tcPr>
            <w:tcW w:w="243" w:type="pct"/>
          </w:tcPr>
          <w:p w:rsidR="00482351" w:rsidRPr="00482351" w:rsidRDefault="00482351" w:rsidP="00482351">
            <w:pPr>
              <w:jc w:val="both"/>
              <w:rPr>
                <w:sz w:val="20"/>
              </w:rPr>
            </w:pPr>
          </w:p>
        </w:tc>
        <w:tc>
          <w:tcPr>
            <w:tcW w:w="2330" w:type="pct"/>
          </w:tcPr>
          <w:p w:rsidR="00482351" w:rsidRPr="00482351" w:rsidRDefault="00482351" w:rsidP="00482351">
            <w:pPr>
              <w:jc w:val="both"/>
              <w:rPr>
                <w:sz w:val="20"/>
              </w:rPr>
            </w:pPr>
            <w:r w:rsidRPr="00482351">
              <w:rPr>
                <w:sz w:val="20"/>
              </w:rPr>
              <w:t>Application for leave to appeal filed</w:t>
            </w:r>
          </w:p>
          <w:p w:rsidR="00482351" w:rsidRPr="00482351" w:rsidRDefault="00482351" w:rsidP="00482351">
            <w:pPr>
              <w:jc w:val="both"/>
              <w:rPr>
                <w:sz w:val="20"/>
              </w:rPr>
            </w:pPr>
          </w:p>
        </w:tc>
      </w:tr>
    </w:tbl>
    <w:p w:rsidR="00482351" w:rsidRPr="00482351" w:rsidRDefault="00482351" w:rsidP="00482351">
      <w:pPr>
        <w:jc w:val="both"/>
        <w:rPr>
          <w:sz w:val="20"/>
        </w:rPr>
      </w:pPr>
    </w:p>
    <w:p w:rsidR="00482351" w:rsidRPr="00482351" w:rsidRDefault="00482351" w:rsidP="00482351">
      <w:pPr>
        <w:jc w:val="both"/>
        <w:rPr>
          <w:sz w:val="20"/>
        </w:rPr>
      </w:pPr>
      <w:r w:rsidRPr="00482351">
        <w:rPr>
          <w:sz w:val="20"/>
        </w:rPr>
        <w:pict>
          <v:rect id="_x0000_i1034" style="width:2in;height:1pt" o:hrpct="0" o:hralign="center" o:hrstd="t" o:hrnoshade="t" o:hr="t" fillcolor="black [3213]" stroked="f"/>
        </w:pict>
      </w:r>
    </w:p>
    <w:p w:rsidR="00482351" w:rsidRPr="00482351" w:rsidRDefault="00482351" w:rsidP="004823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82351" w:rsidRPr="00482351" w:rsidTr="00E95A6A">
        <w:tc>
          <w:tcPr>
            <w:tcW w:w="543" w:type="pct"/>
          </w:tcPr>
          <w:p w:rsidR="00482351" w:rsidRPr="00482351" w:rsidRDefault="00482351" w:rsidP="00482351">
            <w:pPr>
              <w:jc w:val="both"/>
              <w:rPr>
                <w:sz w:val="20"/>
                <w:lang w:val="fr-CA"/>
              </w:rPr>
            </w:pPr>
            <w:r w:rsidRPr="00482351">
              <w:rPr>
                <w:rStyle w:val="SCCFileNumberChar"/>
                <w:sz w:val="20"/>
                <w:szCs w:val="20"/>
                <w:lang w:val="fr-CA"/>
              </w:rPr>
              <w:t>40643</w:t>
            </w:r>
          </w:p>
        </w:tc>
        <w:tc>
          <w:tcPr>
            <w:tcW w:w="4457" w:type="pct"/>
            <w:gridSpan w:val="3"/>
          </w:tcPr>
          <w:p w:rsidR="00482351" w:rsidRPr="00482351" w:rsidRDefault="00482351" w:rsidP="00482351">
            <w:pPr>
              <w:pStyle w:val="SCCLsocParty"/>
              <w:jc w:val="both"/>
              <w:rPr>
                <w:b/>
                <w:sz w:val="20"/>
                <w:szCs w:val="20"/>
              </w:rPr>
            </w:pPr>
            <w:r w:rsidRPr="00482351">
              <w:rPr>
                <w:b/>
                <w:sz w:val="20"/>
                <w:szCs w:val="20"/>
              </w:rPr>
              <w:t>Paul Sheppard c. Sa Majesté le Roi</w:t>
            </w:r>
          </w:p>
          <w:p w:rsidR="00482351" w:rsidRPr="00482351" w:rsidRDefault="00482351" w:rsidP="00482351">
            <w:pPr>
              <w:jc w:val="both"/>
              <w:rPr>
                <w:sz w:val="20"/>
                <w:lang w:val="fr-CA"/>
              </w:rPr>
            </w:pPr>
            <w:r w:rsidRPr="00482351">
              <w:rPr>
                <w:sz w:val="20"/>
                <w:lang w:val="fr-CA"/>
              </w:rPr>
              <w:t>(Alb.) (Criminelle) (Sur autorisation)</w:t>
            </w:r>
          </w:p>
        </w:tc>
      </w:tr>
      <w:tr w:rsidR="00482351" w:rsidRPr="00482351" w:rsidTr="00E95A6A">
        <w:tc>
          <w:tcPr>
            <w:tcW w:w="5000" w:type="pct"/>
            <w:gridSpan w:val="4"/>
          </w:tcPr>
          <w:p w:rsidR="00482351" w:rsidRPr="00482351" w:rsidRDefault="00482351" w:rsidP="00482351">
            <w:pPr>
              <w:pStyle w:val="SCCBanSummary"/>
              <w:rPr>
                <w:sz w:val="20"/>
                <w:szCs w:val="20"/>
                <w:lang w:val="fr-CA"/>
              </w:rPr>
            </w:pPr>
            <w:r w:rsidRPr="00482351">
              <w:rPr>
                <w:sz w:val="20"/>
                <w:szCs w:val="20"/>
                <w:lang w:val="fr-CA"/>
              </w:rPr>
              <w:t>(Ordonnance de non-publication dans le dossier)</w:t>
            </w:r>
          </w:p>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lang w:val="fr-CA"/>
              </w:rPr>
              <w:t xml:space="preserve">Droit criminel — Preuve — Communication — L’approche relative à l’ordonnance de communication de dossiers à un tribunal au titre de l’art. 278.5 du </w:t>
            </w:r>
            <w:r w:rsidRPr="00482351">
              <w:rPr>
                <w:i/>
                <w:sz w:val="20"/>
                <w:lang w:val="fr-CA"/>
              </w:rPr>
              <w:t>Code criminel</w:t>
            </w:r>
            <w:r w:rsidRPr="00482351">
              <w:rPr>
                <w:sz w:val="20"/>
                <w:lang w:val="fr-CA"/>
              </w:rPr>
              <w:t xml:space="preserve"> s’est-elle écartée de l’arrêt </w:t>
            </w:r>
            <w:r w:rsidRPr="00482351">
              <w:rPr>
                <w:i/>
                <w:sz w:val="20"/>
                <w:lang w:val="fr-CA"/>
              </w:rPr>
              <w:t>R. c. Mills</w:t>
            </w:r>
            <w:r w:rsidRPr="00482351">
              <w:rPr>
                <w:sz w:val="20"/>
                <w:lang w:val="fr-CA"/>
              </w:rPr>
              <w:t>, [1993] 3 R.C.S. 668, d’une façon qui met en péril le droit de l’accusé à une défense pleine et entière?</w:t>
            </w:r>
          </w:p>
        </w:tc>
      </w:tr>
      <w:tr w:rsidR="00482351" w:rsidRPr="00482351" w:rsidTr="00E95A6A">
        <w:tc>
          <w:tcPr>
            <w:tcW w:w="5000" w:type="pct"/>
            <w:gridSpan w:val="4"/>
          </w:tcPr>
          <w:p w:rsidR="00482351" w:rsidRPr="00482351" w:rsidRDefault="00482351" w:rsidP="00482351">
            <w:pPr>
              <w:jc w:val="both"/>
              <w:rPr>
                <w:sz w:val="20"/>
                <w:lang w:val="fr-CA"/>
              </w:rPr>
            </w:pPr>
          </w:p>
          <w:p w:rsidR="00482351" w:rsidRPr="00482351" w:rsidRDefault="00482351" w:rsidP="00482351">
            <w:pPr>
              <w:jc w:val="both"/>
              <w:rPr>
                <w:sz w:val="20"/>
                <w:lang w:val="fr-CA"/>
              </w:rPr>
            </w:pPr>
            <w:r w:rsidRPr="00482351">
              <w:rPr>
                <w:sz w:val="20"/>
                <w:lang w:val="fr-CA"/>
              </w:rPr>
              <w:t>En 2017, un plaignant a déclaré à la police qu’en 1993 et 1994, M. Sheppard avait commis de multiples incidents d’inconduite sexuelle; il se serait notamment livré à des attouchements sexuels, à la masturbation mutuelle et à des rapports sexuels oraux. Un jury a déclaré M. Sheppard coupable de contacts sexuels, d’invitation à des contacts sexuels et d’agression sexuelle. La Cour d’appel a rejeté l’appel.</w:t>
            </w:r>
          </w:p>
        </w:tc>
      </w:tr>
      <w:tr w:rsidR="00482351" w:rsidRPr="00482351" w:rsidTr="00E95A6A">
        <w:tc>
          <w:tcPr>
            <w:tcW w:w="5000" w:type="pct"/>
            <w:gridSpan w:val="4"/>
          </w:tcPr>
          <w:p w:rsidR="00482351" w:rsidRPr="00482351" w:rsidRDefault="00482351" w:rsidP="00482351">
            <w:pPr>
              <w:jc w:val="both"/>
              <w:rPr>
                <w:sz w:val="20"/>
                <w:lang w:val="fr-CA"/>
              </w:rPr>
            </w:pP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30 mars 2021</w:t>
            </w:r>
          </w:p>
          <w:p w:rsidR="00482351" w:rsidRPr="00482351" w:rsidRDefault="00482351" w:rsidP="00482351">
            <w:pPr>
              <w:jc w:val="both"/>
              <w:rPr>
                <w:spacing w:val="-4"/>
                <w:sz w:val="20"/>
                <w:lang w:val="fr-CA"/>
              </w:rPr>
            </w:pPr>
            <w:r w:rsidRPr="00482351">
              <w:rPr>
                <w:sz w:val="20"/>
                <w:lang w:val="fr-CA"/>
              </w:rPr>
              <w:t>Cour du Banc de la Reine de l’Alberta</w:t>
            </w:r>
          </w:p>
          <w:p w:rsidR="00482351" w:rsidRPr="00482351" w:rsidRDefault="00482351" w:rsidP="00482351">
            <w:pPr>
              <w:jc w:val="both"/>
              <w:rPr>
                <w:sz w:val="20"/>
                <w:lang w:val="fr-CA"/>
              </w:rPr>
            </w:pPr>
            <w:r w:rsidRPr="00482351">
              <w:rPr>
                <w:sz w:val="20"/>
                <w:lang w:val="fr-CA"/>
              </w:rPr>
              <w:t>(Juge Yungwirth) (non publiée)</w:t>
            </w:r>
          </w:p>
          <w:p w:rsidR="00482351" w:rsidRPr="00482351" w:rsidRDefault="00482351" w:rsidP="00482351">
            <w:pPr>
              <w:jc w:val="both"/>
              <w:rPr>
                <w:sz w:val="20"/>
                <w:lang w:val="fr-CA"/>
              </w:rPr>
            </w:pPr>
            <w:hyperlink r:id="rId26" w:history="1">
              <w:r w:rsidRPr="00482351">
                <w:rPr>
                  <w:rStyle w:val="Hyperlink"/>
                  <w:sz w:val="20"/>
                  <w:lang w:val="fr-CA"/>
                </w:rPr>
                <w:t>2021 ABQB 795</w:t>
              </w:r>
            </w:hyperlink>
          </w:p>
          <w:p w:rsidR="00482351" w:rsidRPr="00482351" w:rsidRDefault="00482351" w:rsidP="00482351">
            <w:pPr>
              <w:jc w:val="both"/>
              <w:rPr>
                <w:sz w:val="20"/>
                <w:lang w:val="fr-CA"/>
              </w:rPr>
            </w:pP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Déclarations de culpabilité rendues par un jury pour contacts sexuels, invitation à des contacts sexuels et agression sexuelle</w:t>
            </w:r>
          </w:p>
          <w:p w:rsidR="00482351" w:rsidRPr="00482351" w:rsidRDefault="00482351" w:rsidP="00482351">
            <w:pPr>
              <w:jc w:val="both"/>
              <w:rPr>
                <w:sz w:val="20"/>
                <w:lang w:val="fr-CA"/>
              </w:rPr>
            </w:pP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12 janvier 2023</w:t>
            </w:r>
          </w:p>
          <w:p w:rsidR="00482351" w:rsidRPr="00482351" w:rsidRDefault="00482351" w:rsidP="00482351">
            <w:pPr>
              <w:jc w:val="both"/>
              <w:rPr>
                <w:sz w:val="20"/>
                <w:lang w:val="fr-CA"/>
              </w:rPr>
            </w:pPr>
            <w:r w:rsidRPr="00482351">
              <w:rPr>
                <w:sz w:val="20"/>
                <w:lang w:val="fr-CA"/>
              </w:rPr>
              <w:t>Cour d’appel de l’Alberta (Edmonton)</w:t>
            </w:r>
          </w:p>
          <w:p w:rsidR="00482351" w:rsidRPr="00482351" w:rsidRDefault="00482351" w:rsidP="00482351">
            <w:pPr>
              <w:jc w:val="both"/>
              <w:rPr>
                <w:sz w:val="20"/>
                <w:lang w:val="fr-CA"/>
              </w:rPr>
            </w:pPr>
            <w:r w:rsidRPr="00482351">
              <w:rPr>
                <w:sz w:val="20"/>
                <w:lang w:val="fr-CA"/>
              </w:rPr>
              <w:t>(Juges Watson, Wakeling et Schutz)</w:t>
            </w:r>
          </w:p>
          <w:p w:rsidR="00482351" w:rsidRPr="00482351" w:rsidRDefault="00482351" w:rsidP="00482351">
            <w:pPr>
              <w:jc w:val="both"/>
              <w:rPr>
                <w:sz w:val="20"/>
                <w:lang w:val="fr-CA"/>
              </w:rPr>
            </w:pPr>
            <w:hyperlink r:id="rId27" w:history="1">
              <w:r w:rsidRPr="00482351">
                <w:rPr>
                  <w:rStyle w:val="Hyperlink"/>
                  <w:sz w:val="20"/>
                  <w:lang w:val="fr-CA"/>
                </w:rPr>
                <w:t>2023 ABCA 10</w:t>
              </w:r>
            </w:hyperlink>
            <w:r w:rsidRPr="00482351">
              <w:rPr>
                <w:sz w:val="20"/>
                <w:lang w:val="fr-CA"/>
              </w:rPr>
              <w:t xml:space="preserve">; </w:t>
            </w:r>
            <w:r w:rsidRPr="00482351">
              <w:rPr>
                <w:color w:val="000000"/>
                <w:sz w:val="20"/>
                <w:lang w:val="fr-CA"/>
              </w:rPr>
              <w:t>2103-0197A</w:t>
            </w:r>
          </w:p>
          <w:p w:rsidR="00482351" w:rsidRPr="00482351" w:rsidRDefault="00482351" w:rsidP="00482351">
            <w:pPr>
              <w:jc w:val="both"/>
              <w:rPr>
                <w:sz w:val="20"/>
                <w:lang w:val="fr-CA"/>
              </w:rPr>
            </w:pP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Appel rejeté</w:t>
            </w:r>
          </w:p>
          <w:p w:rsidR="00482351" w:rsidRPr="00482351" w:rsidRDefault="00482351" w:rsidP="00482351">
            <w:pPr>
              <w:jc w:val="both"/>
              <w:rPr>
                <w:sz w:val="20"/>
                <w:lang w:val="fr-CA"/>
              </w:rPr>
            </w:pPr>
          </w:p>
        </w:tc>
      </w:tr>
      <w:tr w:rsidR="00482351" w:rsidRPr="00482351" w:rsidTr="00E95A6A">
        <w:tc>
          <w:tcPr>
            <w:tcW w:w="2427" w:type="pct"/>
            <w:gridSpan w:val="2"/>
          </w:tcPr>
          <w:p w:rsidR="00482351" w:rsidRPr="00482351" w:rsidRDefault="00482351" w:rsidP="00482351">
            <w:pPr>
              <w:jc w:val="both"/>
              <w:rPr>
                <w:sz w:val="20"/>
                <w:lang w:val="fr-CA"/>
              </w:rPr>
            </w:pPr>
            <w:r w:rsidRPr="00482351">
              <w:rPr>
                <w:sz w:val="20"/>
                <w:lang w:val="fr-CA"/>
              </w:rPr>
              <w:t>13 mars 2023</w:t>
            </w:r>
          </w:p>
          <w:p w:rsidR="00482351" w:rsidRPr="00482351" w:rsidRDefault="00482351" w:rsidP="00482351">
            <w:pPr>
              <w:jc w:val="both"/>
              <w:rPr>
                <w:sz w:val="20"/>
                <w:lang w:val="fr-CA"/>
              </w:rPr>
            </w:pPr>
            <w:r w:rsidRPr="00482351">
              <w:rPr>
                <w:sz w:val="20"/>
                <w:lang w:val="fr-CA"/>
              </w:rPr>
              <w:t>Cour suprême du Canada</w:t>
            </w:r>
          </w:p>
        </w:tc>
        <w:tc>
          <w:tcPr>
            <w:tcW w:w="243" w:type="pct"/>
          </w:tcPr>
          <w:p w:rsidR="00482351" w:rsidRPr="00482351" w:rsidRDefault="00482351" w:rsidP="00482351">
            <w:pPr>
              <w:jc w:val="both"/>
              <w:rPr>
                <w:sz w:val="20"/>
                <w:lang w:val="fr-CA"/>
              </w:rPr>
            </w:pPr>
          </w:p>
        </w:tc>
        <w:tc>
          <w:tcPr>
            <w:tcW w:w="2330" w:type="pct"/>
          </w:tcPr>
          <w:p w:rsidR="00482351" w:rsidRPr="00482351" w:rsidRDefault="00482351" w:rsidP="00482351">
            <w:pPr>
              <w:jc w:val="both"/>
              <w:rPr>
                <w:sz w:val="20"/>
                <w:lang w:val="fr-CA"/>
              </w:rPr>
            </w:pPr>
            <w:r w:rsidRPr="00482351">
              <w:rPr>
                <w:sz w:val="20"/>
                <w:lang w:val="fr-CA"/>
              </w:rPr>
              <w:t>Demande d’autorisation d’appel déposée</w:t>
            </w:r>
          </w:p>
          <w:p w:rsidR="00482351" w:rsidRPr="00482351" w:rsidRDefault="00482351" w:rsidP="00482351">
            <w:pPr>
              <w:jc w:val="both"/>
              <w:rPr>
                <w:sz w:val="20"/>
                <w:lang w:val="fr-CA"/>
              </w:rPr>
            </w:pPr>
          </w:p>
        </w:tc>
      </w:tr>
    </w:tbl>
    <w:p w:rsidR="00FC0780" w:rsidRPr="00482351" w:rsidRDefault="00FC0780" w:rsidP="00FC0780">
      <w:pPr>
        <w:jc w:val="both"/>
        <w:rPr>
          <w:sz w:val="20"/>
          <w:lang w:val="fr-CA"/>
        </w:rPr>
      </w:pPr>
    </w:p>
    <w:p w:rsidR="002D3AC0" w:rsidRPr="00482351" w:rsidRDefault="00482351" w:rsidP="00142166">
      <w:pPr>
        <w:widowControl w:val="0"/>
        <w:jc w:val="both"/>
        <w:rPr>
          <w:sz w:val="20"/>
        </w:rPr>
      </w:pPr>
      <w:r w:rsidRPr="00482351">
        <w:rPr>
          <w:sz w:val="20"/>
        </w:rPr>
        <w:pict>
          <v:rect id="_x0000_i1027" style="width:2in;height:1pt" o:hrpct="0" o:hralign="center" o:hrstd="t" o:hrnoshade="t" o:hr="t" fillcolor="black [3213]" stroked="f"/>
        </w:pict>
      </w:r>
    </w:p>
    <w:p w:rsidR="00311655" w:rsidRPr="00482351" w:rsidRDefault="00311655" w:rsidP="00350651">
      <w:pPr>
        <w:ind w:left="142" w:hanging="142"/>
        <w:jc w:val="both"/>
        <w:rPr>
          <w:sz w:val="20"/>
        </w:rPr>
      </w:pPr>
    </w:p>
    <w:p w:rsidR="008F2F11" w:rsidRPr="00482351" w:rsidRDefault="008F2F11" w:rsidP="00350651">
      <w:pPr>
        <w:ind w:left="142" w:hanging="142"/>
        <w:jc w:val="both"/>
        <w:rPr>
          <w:sz w:val="20"/>
        </w:rPr>
      </w:pPr>
    </w:p>
    <w:p w:rsidR="008F2F11" w:rsidRPr="00482351" w:rsidRDefault="008F2F11" w:rsidP="00350651">
      <w:pPr>
        <w:ind w:left="142" w:hanging="142"/>
        <w:jc w:val="both"/>
        <w:rPr>
          <w:sz w:val="20"/>
        </w:rPr>
      </w:pPr>
    </w:p>
    <w:p w:rsidR="00D3344A" w:rsidRPr="00482351" w:rsidRDefault="00D3344A" w:rsidP="00D3344A">
      <w:pPr>
        <w:widowControl w:val="0"/>
        <w:outlineLvl w:val="0"/>
        <w:rPr>
          <w:sz w:val="20"/>
        </w:rPr>
      </w:pPr>
      <w:r w:rsidRPr="00482351">
        <w:rPr>
          <w:sz w:val="20"/>
        </w:rPr>
        <w:t>Supreme Court of Canada / Cour suprême du Canad</w:t>
      </w:r>
      <w:r w:rsidR="00EE289F" w:rsidRPr="00482351">
        <w:rPr>
          <w:sz w:val="20"/>
        </w:rPr>
        <w:t>a</w:t>
      </w:r>
      <w:r w:rsidRPr="00482351">
        <w:rPr>
          <w:sz w:val="20"/>
        </w:rPr>
        <w:t xml:space="preserve"> :</w:t>
      </w:r>
    </w:p>
    <w:p w:rsidR="00D3344A" w:rsidRPr="00482351" w:rsidRDefault="00482351" w:rsidP="00D3344A">
      <w:pPr>
        <w:widowControl w:val="0"/>
        <w:outlineLvl w:val="0"/>
        <w:rPr>
          <w:sz w:val="20"/>
          <w:u w:val="single"/>
        </w:rPr>
      </w:pPr>
      <w:hyperlink r:id="rId28" w:history="1">
        <w:r w:rsidR="009B7391" w:rsidRPr="00482351">
          <w:rPr>
            <w:rStyle w:val="Hyperlink"/>
            <w:sz w:val="20"/>
          </w:rPr>
          <w:t>comments-commentaires@scc-csc.ca</w:t>
        </w:r>
      </w:hyperlink>
    </w:p>
    <w:p w:rsidR="00D3344A" w:rsidRPr="00482351" w:rsidRDefault="0065588C" w:rsidP="00D3344A">
      <w:pPr>
        <w:widowControl w:val="0"/>
        <w:outlineLvl w:val="0"/>
        <w:rPr>
          <w:sz w:val="20"/>
        </w:rPr>
      </w:pPr>
      <w:r w:rsidRPr="00482351">
        <w:rPr>
          <w:sz w:val="20"/>
        </w:rPr>
        <w:t>613-</w:t>
      </w:r>
      <w:r w:rsidR="00D3344A" w:rsidRPr="00482351">
        <w:rPr>
          <w:sz w:val="20"/>
        </w:rPr>
        <w:t>995-4330</w:t>
      </w:r>
    </w:p>
    <w:p w:rsidR="00497B5E" w:rsidRPr="00482351" w:rsidRDefault="00497B5E" w:rsidP="00497B5E">
      <w:pPr>
        <w:widowControl w:val="0"/>
        <w:rPr>
          <w:sz w:val="20"/>
        </w:rPr>
      </w:pPr>
    </w:p>
    <w:p w:rsidR="00F6251B" w:rsidRPr="007607A2" w:rsidRDefault="003F43E6" w:rsidP="00F6251B">
      <w:pPr>
        <w:pStyle w:val="Footer"/>
        <w:jc w:val="center"/>
        <w:rPr>
          <w:sz w:val="20"/>
        </w:rPr>
      </w:pPr>
      <w:r w:rsidRPr="00482351">
        <w:rPr>
          <w:sz w:val="20"/>
        </w:rPr>
        <w:t>- 30 -</w:t>
      </w:r>
    </w:p>
    <w:sectPr w:rsidR="00F6251B" w:rsidRPr="007607A2" w:rsidSect="00E62F93">
      <w:headerReference w:type="even" r:id="rId29"/>
      <w:headerReference w:type="default" r:id="rId30"/>
      <w:footerReference w:type="even" r:id="rId31"/>
      <w:footerReference w:type="default" r:id="rId32"/>
      <w:headerReference w:type="first" r:id="rId33"/>
      <w:footerReference w:type="first" r:id="rId3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1A2253"/>
    <w:multiLevelType w:val="hybridMultilevel"/>
    <w:tmpl w:val="F7ECC0E2"/>
    <w:lvl w:ilvl="0" w:tplc="506211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024"/>
    <w:multiLevelType w:val="hybridMultilevel"/>
    <w:tmpl w:val="4A2CF0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41"/>
  </w:num>
  <w:num w:numId="4">
    <w:abstractNumId w:val="17"/>
  </w:num>
  <w:num w:numId="5">
    <w:abstractNumId w:val="13"/>
  </w:num>
  <w:num w:numId="6">
    <w:abstractNumId w:val="36"/>
  </w:num>
  <w:num w:numId="7">
    <w:abstractNumId w:val="33"/>
  </w:num>
  <w:num w:numId="8">
    <w:abstractNumId w:val="38"/>
  </w:num>
  <w:num w:numId="9">
    <w:abstractNumId w:val="5"/>
  </w:num>
  <w:num w:numId="10">
    <w:abstractNumId w:val="10"/>
  </w:num>
  <w:num w:numId="11">
    <w:abstractNumId w:val="2"/>
  </w:num>
  <w:num w:numId="12">
    <w:abstractNumId w:val="35"/>
  </w:num>
  <w:num w:numId="13">
    <w:abstractNumId w:val="3"/>
  </w:num>
  <w:num w:numId="14">
    <w:abstractNumId w:val="16"/>
  </w:num>
  <w:num w:numId="15">
    <w:abstractNumId w:val="7"/>
  </w:num>
  <w:num w:numId="16">
    <w:abstractNumId w:val="11"/>
  </w:num>
  <w:num w:numId="17">
    <w:abstractNumId w:val="39"/>
  </w:num>
  <w:num w:numId="18">
    <w:abstractNumId w:val="22"/>
  </w:num>
  <w:num w:numId="19">
    <w:abstractNumId w:val="14"/>
  </w:num>
  <w:num w:numId="20">
    <w:abstractNumId w:val="31"/>
  </w:num>
  <w:num w:numId="21">
    <w:abstractNumId w:val="9"/>
  </w:num>
  <w:num w:numId="22">
    <w:abstractNumId w:val="37"/>
  </w:num>
  <w:num w:numId="23">
    <w:abstractNumId w:val="30"/>
  </w:num>
  <w:num w:numId="24">
    <w:abstractNumId w:val="20"/>
  </w:num>
  <w:num w:numId="25">
    <w:abstractNumId w:val="25"/>
  </w:num>
  <w:num w:numId="26">
    <w:abstractNumId w:val="34"/>
  </w:num>
  <w:num w:numId="27">
    <w:abstractNumId w:val="19"/>
  </w:num>
  <w:num w:numId="28">
    <w:abstractNumId w:val="6"/>
  </w:num>
  <w:num w:numId="29">
    <w:abstractNumId w:val="29"/>
  </w:num>
  <w:num w:numId="30">
    <w:abstractNumId w:val="18"/>
  </w:num>
  <w:num w:numId="31">
    <w:abstractNumId w:val="8"/>
  </w:num>
  <w:num w:numId="32">
    <w:abstractNumId w:val="23"/>
  </w:num>
  <w:num w:numId="33">
    <w:abstractNumId w:val="4"/>
  </w:num>
  <w:num w:numId="34">
    <w:abstractNumId w:val="0"/>
  </w:num>
  <w:num w:numId="35">
    <w:abstractNumId w:val="15"/>
  </w:num>
  <w:num w:numId="36">
    <w:abstractNumId w:val="40"/>
  </w:num>
  <w:num w:numId="37">
    <w:abstractNumId w:val="21"/>
  </w:num>
  <w:num w:numId="38">
    <w:abstractNumId w:val="24"/>
  </w:num>
  <w:num w:numId="39">
    <w:abstractNumId w:val="32"/>
  </w:num>
  <w:num w:numId="40">
    <w:abstractNumId w:val="27"/>
  </w:num>
  <w:num w:numId="41">
    <w:abstractNumId w:val="28"/>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98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351"/>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649"/>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43" TargetMode="External"/><Relationship Id="rId13" Type="http://schemas.openxmlformats.org/officeDocument/2006/relationships/hyperlink" Target="https://www.canlii.org/en/bc/bcca/doc/2012/2012bcca272/2012bcca272.html" TargetMode="External"/><Relationship Id="rId18" Type="http://schemas.openxmlformats.org/officeDocument/2006/relationships/hyperlink" Target="https://www.canlii.org/en/bc/bcca/doc/2012/2012bcca272/2012bcca272.html" TargetMode="External"/><Relationship Id="rId26" Type="http://schemas.openxmlformats.org/officeDocument/2006/relationships/hyperlink" Target="https://www.canlii.org/en/ab/abqb/doc/2021/2021abqb705/2021abqb705.html?resultIndex=1" TargetMode="External"/><Relationship Id="rId3" Type="http://schemas.openxmlformats.org/officeDocument/2006/relationships/styles" Target="styles.xml"/><Relationship Id="rId21" Type="http://schemas.openxmlformats.org/officeDocument/2006/relationships/hyperlink" Target="https://canlii.ca/t/jt4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c-csc.lexum.com/scc-csc/scc-l-csc-a/en/item/11631/index.do?q=purdy" TargetMode="External"/><Relationship Id="rId17" Type="http://schemas.openxmlformats.org/officeDocument/2006/relationships/hyperlink" Target="https://scc-csc.lexum.com/scc-csc/scc-l-csc-a/en/item/11631/index.do?q=purdy" TargetMode="External"/><Relationship Id="rId25" Type="http://schemas.openxmlformats.org/officeDocument/2006/relationships/hyperlink" Target="https://www.canlii.org/en/ab/abca/doc/2023/2023abca10/2023abca10.html?resultIndex=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bc/bcca/doc/2010/2010bcca413/2010bcca413.html" TargetMode="External"/><Relationship Id="rId20" Type="http://schemas.openxmlformats.org/officeDocument/2006/relationships/hyperlink" Target="https://canlii.ca/t/jdg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ca/doc/2010/2010bcca413/2010bcca413.html" TargetMode="External"/><Relationship Id="rId24" Type="http://schemas.openxmlformats.org/officeDocument/2006/relationships/hyperlink" Target="https://www.canlii.org/en/ab/abqb/doc/2021/2021abqb705/2021abqb705.html?resultIndex=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bc/bcca/doc/2008/2008bcca95/2008bcca95.html?resultIndex=1" TargetMode="External"/><Relationship Id="rId23" Type="http://schemas.openxmlformats.org/officeDocument/2006/relationships/hyperlink" Target="https://canlii.ca/t/jt4tm"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www.canlii.org/en/bc/bcca/doc/2008/2008bcca95/2008bcca95.html?resultIndex=1" TargetMode="External"/><Relationship Id="rId19" Type="http://schemas.openxmlformats.org/officeDocument/2006/relationships/hyperlink" Target="https://www.canlii.org/en/bc/bcsc/doc/2019/2019bcsc2285/2019bcsc2285.html?resultIndex=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568" TargetMode="External"/><Relationship Id="rId14" Type="http://schemas.openxmlformats.org/officeDocument/2006/relationships/hyperlink" Target="https://www.canlii.org/en/bc/bcsc/doc/2019/2019bcsc2285/2019bcsc2285.html?resultIndex=1" TargetMode="External"/><Relationship Id="rId22" Type="http://schemas.openxmlformats.org/officeDocument/2006/relationships/hyperlink" Target="https://canlii.ca/t/jdgcs" TargetMode="External"/><Relationship Id="rId27" Type="http://schemas.openxmlformats.org/officeDocument/2006/relationships/hyperlink" Target="https://www.canlii.org/en/ab/abca/doc/2023/2023abca10/2023abca10.html?resultIndex=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210E-4D17-4BDE-A324-6CCEC99D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2023-05-29T12:33:00Z</dcterms:created>
  <dcterms:modified xsi:type="dcterms:W3CDTF">2023-06-06T14:03:00Z</dcterms:modified>
</cp:coreProperties>
</file>