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2E337B" w:rsidRDefault="000E391F" w:rsidP="000E391F">
      <w:pPr>
        <w:pStyle w:val="Header"/>
        <w:jc w:val="center"/>
        <w:rPr>
          <w:b/>
          <w:sz w:val="32"/>
          <w:szCs w:val="32"/>
        </w:rPr>
      </w:pPr>
      <w:r w:rsidRPr="002E337B">
        <w:rPr>
          <w:b/>
          <w:sz w:val="32"/>
          <w:szCs w:val="32"/>
        </w:rPr>
        <w:t>Supreme Court of Canada / Cour suprême du Canada</w:t>
      </w:r>
    </w:p>
    <w:p w:rsidR="000E391F" w:rsidRPr="002E337B" w:rsidRDefault="000E391F" w:rsidP="000E391F">
      <w:pPr>
        <w:widowControl w:val="0"/>
        <w:rPr>
          <w:sz w:val="20"/>
        </w:rPr>
      </w:pPr>
    </w:p>
    <w:p w:rsidR="000E391F" w:rsidRPr="002E337B" w:rsidRDefault="000E391F" w:rsidP="000E391F">
      <w:pPr>
        <w:widowControl w:val="0"/>
        <w:rPr>
          <w:i/>
          <w:sz w:val="20"/>
        </w:rPr>
      </w:pPr>
    </w:p>
    <w:p w:rsidR="006F2579" w:rsidRPr="002E337B" w:rsidRDefault="006F2579" w:rsidP="006F2579">
      <w:pPr>
        <w:widowControl w:val="0"/>
        <w:rPr>
          <w:i/>
          <w:sz w:val="20"/>
        </w:rPr>
      </w:pPr>
      <w:r w:rsidRPr="002E337B">
        <w:rPr>
          <w:i/>
          <w:sz w:val="20"/>
        </w:rPr>
        <w:t>(</w:t>
      </w:r>
      <w:r w:rsidR="003240B6" w:rsidRPr="002E337B">
        <w:rPr>
          <w:i/>
          <w:sz w:val="20"/>
        </w:rPr>
        <w:t>L</w:t>
      </w:r>
      <w:r w:rsidRPr="002E337B">
        <w:rPr>
          <w:i/>
          <w:sz w:val="20"/>
        </w:rPr>
        <w:t>e français suit)</w:t>
      </w:r>
    </w:p>
    <w:p w:rsidR="006F2579" w:rsidRPr="002E337B" w:rsidRDefault="006F2579" w:rsidP="006F2579">
      <w:pPr>
        <w:widowControl w:val="0"/>
        <w:rPr>
          <w:sz w:val="20"/>
        </w:rPr>
      </w:pPr>
    </w:p>
    <w:p w:rsidR="006F2579" w:rsidRPr="002E337B" w:rsidRDefault="00B07908" w:rsidP="006F2579">
      <w:pPr>
        <w:widowControl w:val="0"/>
        <w:jc w:val="center"/>
        <w:rPr>
          <w:b/>
          <w:szCs w:val="24"/>
        </w:rPr>
      </w:pPr>
      <w:r w:rsidRPr="002E337B">
        <w:rPr>
          <w:szCs w:val="24"/>
        </w:rPr>
        <w:fldChar w:fldCharType="begin"/>
      </w:r>
      <w:r w:rsidR="006F2579" w:rsidRPr="002E337B">
        <w:rPr>
          <w:szCs w:val="24"/>
        </w:rPr>
        <w:instrText xml:space="preserve"> SEQ CHAPTER \h \r 1</w:instrText>
      </w:r>
      <w:r w:rsidRPr="002E337B">
        <w:rPr>
          <w:szCs w:val="24"/>
        </w:rPr>
        <w:fldChar w:fldCharType="end"/>
      </w:r>
      <w:r w:rsidR="006F2579" w:rsidRPr="002E337B">
        <w:rPr>
          <w:b/>
          <w:szCs w:val="24"/>
        </w:rPr>
        <w:t>JUDGMENT</w:t>
      </w:r>
      <w:r w:rsidR="004F5491" w:rsidRPr="002E337B">
        <w:rPr>
          <w:b/>
          <w:szCs w:val="24"/>
        </w:rPr>
        <w:t>S</w:t>
      </w:r>
      <w:r w:rsidR="006F2579" w:rsidRPr="002E337B">
        <w:rPr>
          <w:b/>
          <w:szCs w:val="24"/>
        </w:rPr>
        <w:t xml:space="preserve"> TO B</w:t>
      </w:r>
      <w:r w:rsidR="00001846" w:rsidRPr="002E337B">
        <w:rPr>
          <w:b/>
          <w:szCs w:val="24"/>
        </w:rPr>
        <w:t>E RENDERED IN LE</w:t>
      </w:r>
      <w:r w:rsidR="00A0288A" w:rsidRPr="002E337B">
        <w:rPr>
          <w:b/>
          <w:szCs w:val="24"/>
        </w:rPr>
        <w:t>A</w:t>
      </w:r>
      <w:r w:rsidR="00001846" w:rsidRPr="002E337B">
        <w:rPr>
          <w:b/>
          <w:szCs w:val="24"/>
        </w:rPr>
        <w:t>VE APPLICATION</w:t>
      </w:r>
      <w:r w:rsidR="004F5491" w:rsidRPr="002E337B">
        <w:rPr>
          <w:b/>
          <w:szCs w:val="24"/>
        </w:rPr>
        <w:t>S</w:t>
      </w:r>
    </w:p>
    <w:p w:rsidR="006F2579" w:rsidRPr="002E337B" w:rsidRDefault="006F2579" w:rsidP="006F2579">
      <w:pPr>
        <w:widowControl w:val="0"/>
        <w:rPr>
          <w:szCs w:val="24"/>
        </w:rPr>
      </w:pPr>
    </w:p>
    <w:p w:rsidR="006F2579" w:rsidRPr="002E337B" w:rsidRDefault="005364A6" w:rsidP="006F2579">
      <w:pPr>
        <w:widowControl w:val="0"/>
        <w:rPr>
          <w:szCs w:val="24"/>
        </w:rPr>
      </w:pPr>
      <w:r w:rsidRPr="002E337B">
        <w:rPr>
          <w:b/>
          <w:szCs w:val="24"/>
        </w:rPr>
        <w:t>June</w:t>
      </w:r>
      <w:r w:rsidR="00A15B66" w:rsidRPr="002E337B">
        <w:rPr>
          <w:b/>
          <w:szCs w:val="24"/>
        </w:rPr>
        <w:t xml:space="preserve"> </w:t>
      </w:r>
      <w:r w:rsidR="005D6A19" w:rsidRPr="002E337B">
        <w:rPr>
          <w:b/>
          <w:szCs w:val="24"/>
        </w:rPr>
        <w:t>26</w:t>
      </w:r>
      <w:r w:rsidR="004441C7" w:rsidRPr="002E337B">
        <w:rPr>
          <w:b/>
          <w:szCs w:val="24"/>
        </w:rPr>
        <w:t>,</w:t>
      </w:r>
      <w:r w:rsidR="006F2579" w:rsidRPr="002E337B">
        <w:rPr>
          <w:b/>
          <w:szCs w:val="24"/>
        </w:rPr>
        <w:t xml:space="preserve"> </w:t>
      </w:r>
      <w:r w:rsidR="0054689F" w:rsidRPr="002E337B">
        <w:rPr>
          <w:b/>
          <w:szCs w:val="24"/>
        </w:rPr>
        <w:t>20</w:t>
      </w:r>
      <w:r w:rsidR="00526754" w:rsidRPr="002E337B">
        <w:rPr>
          <w:b/>
          <w:szCs w:val="24"/>
        </w:rPr>
        <w:t>2</w:t>
      </w:r>
      <w:r w:rsidR="00534CCB" w:rsidRPr="002E337B">
        <w:rPr>
          <w:b/>
          <w:szCs w:val="24"/>
        </w:rPr>
        <w:t>3</w:t>
      </w:r>
    </w:p>
    <w:p w:rsidR="006F2579" w:rsidRPr="002E337B" w:rsidRDefault="00674F39" w:rsidP="006F2579">
      <w:pPr>
        <w:widowControl w:val="0"/>
        <w:rPr>
          <w:b/>
          <w:szCs w:val="24"/>
        </w:rPr>
      </w:pPr>
      <w:r w:rsidRPr="002E337B">
        <w:rPr>
          <w:b/>
          <w:szCs w:val="24"/>
        </w:rPr>
        <w:t>For immediate release</w:t>
      </w:r>
    </w:p>
    <w:p w:rsidR="006F2579" w:rsidRPr="002E337B" w:rsidRDefault="006F2579" w:rsidP="006F2579">
      <w:pPr>
        <w:widowControl w:val="0"/>
        <w:rPr>
          <w:szCs w:val="24"/>
        </w:rPr>
      </w:pPr>
    </w:p>
    <w:p w:rsidR="006F2579" w:rsidRPr="002E337B" w:rsidRDefault="006F2579" w:rsidP="006F2579">
      <w:pPr>
        <w:widowControl w:val="0"/>
        <w:rPr>
          <w:szCs w:val="24"/>
          <w:lang w:val="fr-CA"/>
        </w:rPr>
      </w:pPr>
      <w:r w:rsidRPr="002E337B">
        <w:rPr>
          <w:b/>
          <w:szCs w:val="24"/>
        </w:rPr>
        <w:t>OTTAWA</w:t>
      </w:r>
      <w:r w:rsidRPr="002E337B">
        <w:rPr>
          <w:szCs w:val="24"/>
        </w:rPr>
        <w:t xml:space="preserve"> – The Supreme Court of Canad</w:t>
      </w:r>
      <w:r w:rsidR="006246E4" w:rsidRPr="002E337B">
        <w:rPr>
          <w:szCs w:val="24"/>
        </w:rPr>
        <w:t>a</w:t>
      </w:r>
      <w:r w:rsidRPr="002E337B">
        <w:rPr>
          <w:szCs w:val="24"/>
        </w:rPr>
        <w:t xml:space="preserve"> announced today that judgment in the following </w:t>
      </w:r>
      <w:r w:rsidR="00DB6199" w:rsidRPr="002E337B">
        <w:rPr>
          <w:szCs w:val="24"/>
        </w:rPr>
        <w:t>leave application</w:t>
      </w:r>
      <w:r w:rsidR="004F5491" w:rsidRPr="002E337B">
        <w:rPr>
          <w:szCs w:val="24"/>
        </w:rPr>
        <w:t>s</w:t>
      </w:r>
      <w:r w:rsidR="00DB6199" w:rsidRPr="002E337B">
        <w:rPr>
          <w:szCs w:val="24"/>
        </w:rPr>
        <w:t xml:space="preserve"> </w:t>
      </w:r>
      <w:r w:rsidRPr="002E337B">
        <w:rPr>
          <w:szCs w:val="24"/>
        </w:rPr>
        <w:t>will be delivere</w:t>
      </w:r>
      <w:r w:rsidR="00CE2C5F" w:rsidRPr="002E337B">
        <w:rPr>
          <w:szCs w:val="24"/>
        </w:rPr>
        <w:t>d</w:t>
      </w:r>
      <w:r w:rsidRPr="002E337B">
        <w:rPr>
          <w:szCs w:val="24"/>
        </w:rPr>
        <w:t xml:space="preserve"> at 9:45 a.m. </w:t>
      </w:r>
      <w:r w:rsidR="00E05816" w:rsidRPr="002E337B">
        <w:rPr>
          <w:szCs w:val="24"/>
        </w:rPr>
        <w:t>E</w:t>
      </w:r>
      <w:r w:rsidR="00A00FDF" w:rsidRPr="002E337B">
        <w:rPr>
          <w:szCs w:val="24"/>
        </w:rPr>
        <w:t>D</w:t>
      </w:r>
      <w:r w:rsidR="00E05816" w:rsidRPr="002E337B">
        <w:rPr>
          <w:szCs w:val="24"/>
        </w:rPr>
        <w:t>T</w:t>
      </w:r>
      <w:r w:rsidRPr="002E337B">
        <w:rPr>
          <w:szCs w:val="24"/>
        </w:rPr>
        <w:t xml:space="preserve"> on </w:t>
      </w:r>
      <w:r w:rsidR="00322A9C" w:rsidRPr="002E337B">
        <w:rPr>
          <w:szCs w:val="24"/>
        </w:rPr>
        <w:t>Thurs</w:t>
      </w:r>
      <w:r w:rsidR="00680A85" w:rsidRPr="002E337B">
        <w:rPr>
          <w:szCs w:val="24"/>
        </w:rPr>
        <w:t>day</w:t>
      </w:r>
      <w:r w:rsidRPr="002E337B">
        <w:rPr>
          <w:szCs w:val="24"/>
        </w:rPr>
        <w:t xml:space="preserve">, </w:t>
      </w:r>
      <w:r w:rsidR="00AD7A8F" w:rsidRPr="002E337B">
        <w:rPr>
          <w:szCs w:val="24"/>
        </w:rPr>
        <w:t>June</w:t>
      </w:r>
      <w:r w:rsidR="00455912" w:rsidRPr="002E337B">
        <w:rPr>
          <w:szCs w:val="24"/>
        </w:rPr>
        <w:t xml:space="preserve"> </w:t>
      </w:r>
      <w:r w:rsidR="00450D72" w:rsidRPr="002E337B">
        <w:rPr>
          <w:szCs w:val="24"/>
        </w:rPr>
        <w:t>2</w:t>
      </w:r>
      <w:r w:rsidR="005D6A19" w:rsidRPr="002E337B">
        <w:rPr>
          <w:szCs w:val="24"/>
        </w:rPr>
        <w:t>9</w:t>
      </w:r>
      <w:r w:rsidR="007E112F" w:rsidRPr="002E337B">
        <w:rPr>
          <w:szCs w:val="24"/>
        </w:rPr>
        <w:t>,</w:t>
      </w:r>
      <w:r w:rsidR="002F38D7" w:rsidRPr="002E337B">
        <w:rPr>
          <w:szCs w:val="24"/>
        </w:rPr>
        <w:t xml:space="preserve"> </w:t>
      </w:r>
      <w:r w:rsidR="006648D1" w:rsidRPr="002E337B">
        <w:rPr>
          <w:szCs w:val="24"/>
        </w:rPr>
        <w:t>20</w:t>
      </w:r>
      <w:r w:rsidR="00526754" w:rsidRPr="002E337B">
        <w:rPr>
          <w:szCs w:val="24"/>
        </w:rPr>
        <w:t>2</w:t>
      </w:r>
      <w:r w:rsidR="00534CCB" w:rsidRPr="002E337B">
        <w:rPr>
          <w:szCs w:val="24"/>
        </w:rPr>
        <w:t>3</w:t>
      </w:r>
      <w:r w:rsidRPr="002E337B">
        <w:rPr>
          <w:szCs w:val="24"/>
        </w:rPr>
        <w:t xml:space="preserve">. </w:t>
      </w:r>
      <w:r w:rsidRPr="002E337B">
        <w:rPr>
          <w:szCs w:val="24"/>
          <w:lang w:val="fr-CA"/>
        </w:rPr>
        <w:t>This list is subject to chang</w:t>
      </w:r>
      <w:r w:rsidR="00192F7F" w:rsidRPr="002E337B">
        <w:rPr>
          <w:szCs w:val="24"/>
          <w:lang w:val="fr-CA"/>
        </w:rPr>
        <w:t>e</w:t>
      </w:r>
      <w:r w:rsidRPr="002E337B">
        <w:rPr>
          <w:szCs w:val="24"/>
          <w:lang w:val="fr-CA"/>
        </w:rPr>
        <w:t>.</w:t>
      </w:r>
    </w:p>
    <w:p w:rsidR="00FF5AA4" w:rsidRPr="002E337B" w:rsidRDefault="00FF5AA4" w:rsidP="006F2579">
      <w:pPr>
        <w:widowControl w:val="0"/>
        <w:rPr>
          <w:szCs w:val="24"/>
          <w:lang w:val="fr-CA"/>
        </w:rPr>
      </w:pPr>
    </w:p>
    <w:p w:rsidR="00B43418" w:rsidRPr="002E337B" w:rsidRDefault="00B43418" w:rsidP="006F2579">
      <w:pPr>
        <w:widowControl w:val="0"/>
        <w:rPr>
          <w:szCs w:val="24"/>
          <w:lang w:val="fr-CA"/>
        </w:rPr>
      </w:pPr>
    </w:p>
    <w:p w:rsidR="006F2579" w:rsidRPr="002E337B" w:rsidRDefault="006F2579" w:rsidP="006F2579">
      <w:pPr>
        <w:widowControl w:val="0"/>
        <w:jc w:val="center"/>
        <w:rPr>
          <w:szCs w:val="24"/>
          <w:lang w:val="fr-CA"/>
        </w:rPr>
      </w:pPr>
      <w:r w:rsidRPr="002E337B">
        <w:rPr>
          <w:b/>
          <w:szCs w:val="24"/>
          <w:lang w:val="fr-CA"/>
        </w:rPr>
        <w:t>PROCHAIN</w:t>
      </w:r>
      <w:r w:rsidR="004F5491" w:rsidRPr="002E337B">
        <w:rPr>
          <w:b/>
          <w:szCs w:val="24"/>
          <w:lang w:val="fr-CA"/>
        </w:rPr>
        <w:t>S</w:t>
      </w:r>
      <w:r w:rsidRPr="002E337B">
        <w:rPr>
          <w:b/>
          <w:szCs w:val="24"/>
          <w:lang w:val="fr-CA"/>
        </w:rPr>
        <w:t xml:space="preserve"> JUGEMENT</w:t>
      </w:r>
      <w:r w:rsidR="004F5491" w:rsidRPr="002E337B">
        <w:rPr>
          <w:b/>
          <w:szCs w:val="24"/>
          <w:lang w:val="fr-CA"/>
        </w:rPr>
        <w:t>S</w:t>
      </w:r>
      <w:r w:rsidR="00001846" w:rsidRPr="002E337B">
        <w:rPr>
          <w:b/>
          <w:szCs w:val="24"/>
          <w:lang w:val="fr-CA"/>
        </w:rPr>
        <w:t xml:space="preserve"> SUR DEMANDE</w:t>
      </w:r>
      <w:r w:rsidR="004F5491" w:rsidRPr="002E337B">
        <w:rPr>
          <w:b/>
          <w:szCs w:val="24"/>
          <w:lang w:val="fr-CA"/>
        </w:rPr>
        <w:t>S</w:t>
      </w:r>
      <w:r w:rsidRPr="002E337B">
        <w:rPr>
          <w:b/>
          <w:szCs w:val="24"/>
          <w:lang w:val="fr-CA"/>
        </w:rPr>
        <w:t xml:space="preserve"> D’AUTORISATION</w:t>
      </w:r>
    </w:p>
    <w:p w:rsidR="006F2579" w:rsidRPr="002E337B" w:rsidRDefault="006F2579" w:rsidP="006F2579">
      <w:pPr>
        <w:widowControl w:val="0"/>
        <w:rPr>
          <w:szCs w:val="24"/>
          <w:lang w:val="fr-CA"/>
        </w:rPr>
      </w:pPr>
    </w:p>
    <w:p w:rsidR="006F2579" w:rsidRPr="002E337B" w:rsidRDefault="006F2579" w:rsidP="006F2579">
      <w:pPr>
        <w:widowControl w:val="0"/>
        <w:rPr>
          <w:szCs w:val="24"/>
          <w:lang w:val="fr-CA"/>
        </w:rPr>
      </w:pPr>
      <w:r w:rsidRPr="002E337B">
        <w:rPr>
          <w:b/>
          <w:szCs w:val="24"/>
          <w:lang w:val="fr-CA"/>
        </w:rPr>
        <w:t>Le</w:t>
      </w:r>
      <w:r w:rsidR="00957A76" w:rsidRPr="002E337B">
        <w:rPr>
          <w:b/>
          <w:szCs w:val="24"/>
          <w:lang w:val="fr-CA"/>
        </w:rPr>
        <w:t xml:space="preserve"> </w:t>
      </w:r>
      <w:r w:rsidR="005D6A19" w:rsidRPr="002E337B">
        <w:rPr>
          <w:b/>
          <w:szCs w:val="24"/>
          <w:lang w:val="fr-CA"/>
        </w:rPr>
        <w:t>26</w:t>
      </w:r>
      <w:r w:rsidR="00FA6BAB" w:rsidRPr="002E337B">
        <w:rPr>
          <w:b/>
          <w:szCs w:val="24"/>
          <w:lang w:val="fr-CA"/>
        </w:rPr>
        <w:t xml:space="preserve"> </w:t>
      </w:r>
      <w:r w:rsidR="005364A6" w:rsidRPr="002E337B">
        <w:rPr>
          <w:b/>
          <w:szCs w:val="24"/>
          <w:lang w:val="fr-CA"/>
        </w:rPr>
        <w:t>juin</w:t>
      </w:r>
      <w:r w:rsidR="00A151D1" w:rsidRPr="002E337B">
        <w:rPr>
          <w:b/>
          <w:szCs w:val="24"/>
          <w:lang w:val="fr-CA"/>
        </w:rPr>
        <w:t xml:space="preserve"> 20</w:t>
      </w:r>
      <w:r w:rsidR="00526754" w:rsidRPr="002E337B">
        <w:rPr>
          <w:b/>
          <w:szCs w:val="24"/>
          <w:lang w:val="fr-CA"/>
        </w:rPr>
        <w:t>2</w:t>
      </w:r>
      <w:r w:rsidR="00534CCB" w:rsidRPr="002E337B">
        <w:rPr>
          <w:b/>
          <w:szCs w:val="24"/>
          <w:lang w:val="fr-CA"/>
        </w:rPr>
        <w:t>3</w:t>
      </w:r>
    </w:p>
    <w:p w:rsidR="006F2579" w:rsidRPr="002E337B" w:rsidRDefault="006F2579" w:rsidP="006F2579">
      <w:pPr>
        <w:widowControl w:val="0"/>
        <w:rPr>
          <w:b/>
          <w:szCs w:val="24"/>
          <w:lang w:val="fr-CA"/>
        </w:rPr>
      </w:pPr>
      <w:r w:rsidRPr="002E337B">
        <w:rPr>
          <w:b/>
          <w:szCs w:val="24"/>
          <w:lang w:val="fr-CA"/>
        </w:rPr>
        <w:t>Pour diffusion immédiate</w:t>
      </w:r>
    </w:p>
    <w:p w:rsidR="006F2579" w:rsidRPr="002E337B" w:rsidRDefault="006F2579" w:rsidP="006F2579">
      <w:pPr>
        <w:widowControl w:val="0"/>
        <w:rPr>
          <w:szCs w:val="24"/>
          <w:lang w:val="fr-CA"/>
        </w:rPr>
      </w:pPr>
    </w:p>
    <w:p w:rsidR="006F2579" w:rsidRPr="002E337B" w:rsidRDefault="006F2579" w:rsidP="006F2579">
      <w:pPr>
        <w:widowControl w:val="0"/>
        <w:rPr>
          <w:szCs w:val="24"/>
          <w:lang w:val="fr-CA"/>
        </w:rPr>
      </w:pPr>
      <w:r w:rsidRPr="002E337B">
        <w:rPr>
          <w:b/>
          <w:szCs w:val="24"/>
          <w:lang w:val="fr-CA"/>
        </w:rPr>
        <w:t>OTTAWA</w:t>
      </w:r>
      <w:r w:rsidRPr="002E337B">
        <w:rPr>
          <w:szCs w:val="24"/>
          <w:lang w:val="fr-CA"/>
        </w:rPr>
        <w:t xml:space="preserve"> – La Cour suprême du Canada annonce que jugement ser</w:t>
      </w:r>
      <w:r w:rsidR="004259F9" w:rsidRPr="002E337B">
        <w:rPr>
          <w:szCs w:val="24"/>
          <w:lang w:val="fr-CA"/>
        </w:rPr>
        <w:t>a</w:t>
      </w:r>
      <w:r w:rsidRPr="002E337B">
        <w:rPr>
          <w:szCs w:val="24"/>
          <w:lang w:val="fr-CA"/>
        </w:rPr>
        <w:t xml:space="preserve"> rendu dans l</w:t>
      </w:r>
      <w:r w:rsidR="004F5491" w:rsidRPr="002E337B">
        <w:rPr>
          <w:szCs w:val="24"/>
          <w:lang w:val="fr-CA"/>
        </w:rPr>
        <w:t>es</w:t>
      </w:r>
      <w:r w:rsidRPr="002E337B">
        <w:rPr>
          <w:szCs w:val="24"/>
          <w:lang w:val="fr-CA"/>
        </w:rPr>
        <w:t xml:space="preserve"> demande</w:t>
      </w:r>
      <w:r w:rsidR="004F5491" w:rsidRPr="002E337B">
        <w:rPr>
          <w:szCs w:val="24"/>
          <w:lang w:val="fr-CA"/>
        </w:rPr>
        <w:t>s</w:t>
      </w:r>
      <w:r w:rsidRPr="002E337B">
        <w:rPr>
          <w:szCs w:val="24"/>
          <w:lang w:val="fr-CA"/>
        </w:rPr>
        <w:t xml:space="preserve"> d</w:t>
      </w:r>
      <w:r w:rsidR="00001846" w:rsidRPr="002E337B">
        <w:rPr>
          <w:szCs w:val="24"/>
          <w:lang w:val="fr-CA"/>
        </w:rPr>
        <w:t>’autorisation suivante</w:t>
      </w:r>
      <w:r w:rsidR="004F5491" w:rsidRPr="002E337B">
        <w:rPr>
          <w:szCs w:val="24"/>
          <w:lang w:val="fr-CA"/>
        </w:rPr>
        <w:t>s</w:t>
      </w:r>
      <w:r w:rsidRPr="002E337B">
        <w:rPr>
          <w:szCs w:val="24"/>
          <w:lang w:val="fr-CA"/>
        </w:rPr>
        <w:t xml:space="preserve"> le </w:t>
      </w:r>
      <w:r w:rsidR="00322A9C" w:rsidRPr="002E337B">
        <w:rPr>
          <w:szCs w:val="24"/>
          <w:lang w:val="fr-CA"/>
        </w:rPr>
        <w:t>jeu</w:t>
      </w:r>
      <w:r w:rsidR="00680A85" w:rsidRPr="002E337B">
        <w:rPr>
          <w:szCs w:val="24"/>
          <w:lang w:val="fr-CA"/>
        </w:rPr>
        <w:t>di</w:t>
      </w:r>
      <w:r w:rsidRPr="002E337B">
        <w:rPr>
          <w:szCs w:val="24"/>
          <w:lang w:val="fr-CA"/>
        </w:rPr>
        <w:t xml:space="preserve"> </w:t>
      </w:r>
      <w:r w:rsidR="00450D72" w:rsidRPr="002E337B">
        <w:rPr>
          <w:szCs w:val="24"/>
          <w:lang w:val="fr-CA"/>
        </w:rPr>
        <w:t>2</w:t>
      </w:r>
      <w:r w:rsidR="005D6A19" w:rsidRPr="002E337B">
        <w:rPr>
          <w:szCs w:val="24"/>
          <w:lang w:val="fr-CA"/>
        </w:rPr>
        <w:t>9</w:t>
      </w:r>
      <w:r w:rsidR="00AD7A8F" w:rsidRPr="002E337B">
        <w:rPr>
          <w:szCs w:val="24"/>
          <w:lang w:val="fr-CA"/>
        </w:rPr>
        <w:t xml:space="preserve"> juin</w:t>
      </w:r>
      <w:r w:rsidR="00694391" w:rsidRPr="002E337B">
        <w:rPr>
          <w:szCs w:val="24"/>
          <w:lang w:val="fr-CA"/>
        </w:rPr>
        <w:t xml:space="preserve"> 2</w:t>
      </w:r>
      <w:r w:rsidR="006648D1" w:rsidRPr="002E337B">
        <w:rPr>
          <w:szCs w:val="24"/>
          <w:lang w:val="fr-CA"/>
        </w:rPr>
        <w:t>0</w:t>
      </w:r>
      <w:r w:rsidR="00526754" w:rsidRPr="002E337B">
        <w:rPr>
          <w:szCs w:val="24"/>
          <w:lang w:val="fr-CA"/>
        </w:rPr>
        <w:t>2</w:t>
      </w:r>
      <w:r w:rsidR="00534CCB" w:rsidRPr="002E337B">
        <w:rPr>
          <w:szCs w:val="24"/>
          <w:lang w:val="fr-CA"/>
        </w:rPr>
        <w:t>3</w:t>
      </w:r>
      <w:r w:rsidRPr="002E337B">
        <w:rPr>
          <w:szCs w:val="24"/>
          <w:lang w:val="fr-CA"/>
        </w:rPr>
        <w:t xml:space="preserve">, à 9 h 45 </w:t>
      </w:r>
      <w:r w:rsidR="000627A2" w:rsidRPr="002E337B">
        <w:rPr>
          <w:szCs w:val="24"/>
          <w:lang w:val="fr-CA"/>
        </w:rPr>
        <w:t>H</w:t>
      </w:r>
      <w:r w:rsidR="00A00FDF" w:rsidRPr="002E337B">
        <w:rPr>
          <w:szCs w:val="24"/>
          <w:lang w:val="fr-CA"/>
        </w:rPr>
        <w:t>A</w:t>
      </w:r>
      <w:r w:rsidRPr="002E337B">
        <w:rPr>
          <w:szCs w:val="24"/>
          <w:lang w:val="fr-CA"/>
        </w:rPr>
        <w:t>E. Cette liste est sujette à modification</w:t>
      </w:r>
      <w:r w:rsidR="00130ADB" w:rsidRPr="002E337B">
        <w:rPr>
          <w:szCs w:val="24"/>
          <w:lang w:val="fr-CA"/>
        </w:rPr>
        <w:t>s</w:t>
      </w:r>
      <w:r w:rsidRPr="002E337B">
        <w:rPr>
          <w:szCs w:val="24"/>
          <w:lang w:val="fr-CA"/>
        </w:rPr>
        <w:t>.</w:t>
      </w:r>
    </w:p>
    <w:p w:rsidR="0080556B" w:rsidRPr="002E337B" w:rsidRDefault="0080556B" w:rsidP="005F2A78">
      <w:pPr>
        <w:widowControl w:val="0"/>
        <w:tabs>
          <w:tab w:val="left" w:pos="3840"/>
        </w:tabs>
        <w:jc w:val="both"/>
        <w:rPr>
          <w:sz w:val="20"/>
          <w:lang w:val="fr-CA"/>
        </w:rPr>
      </w:pPr>
    </w:p>
    <w:p w:rsidR="00867C61" w:rsidRPr="002E337B" w:rsidRDefault="002E337B" w:rsidP="009B14F4">
      <w:pPr>
        <w:widowControl w:val="0"/>
        <w:jc w:val="both"/>
        <w:rPr>
          <w:sz w:val="20"/>
        </w:rPr>
      </w:pPr>
      <w:r w:rsidRPr="002E337B">
        <w:rPr>
          <w:sz w:val="20"/>
        </w:rPr>
        <w:pict>
          <v:rect id="_x0000_i1025" style="width:2in;height:1pt" o:hrpct="0" o:hralign="center" o:hrstd="t" o:hrnoshade="t" o:hr="t" fillcolor="black [3213]" stroked="f"/>
        </w:pict>
      </w:r>
    </w:p>
    <w:p w:rsidR="004A6E51" w:rsidRPr="002E337B" w:rsidRDefault="004A6E51" w:rsidP="009253F6">
      <w:pPr>
        <w:rPr>
          <w:sz w:val="20"/>
          <w:lang w:val="fr-CA"/>
        </w:rPr>
      </w:pPr>
    </w:p>
    <w:p w:rsidR="00B84AFC" w:rsidRPr="002E337B" w:rsidRDefault="00B84AFC" w:rsidP="00CB5120">
      <w:pPr>
        <w:pStyle w:val="ListParagraph"/>
        <w:numPr>
          <w:ilvl w:val="0"/>
          <w:numId w:val="47"/>
        </w:numPr>
        <w:tabs>
          <w:tab w:val="left" w:pos="360"/>
        </w:tabs>
        <w:ind w:left="357" w:hanging="357"/>
        <w:rPr>
          <w:sz w:val="20"/>
          <w:lang w:val="fr-CA"/>
        </w:rPr>
      </w:pPr>
      <w:r w:rsidRPr="002E337B">
        <w:rPr>
          <w:i/>
          <w:sz w:val="20"/>
          <w:lang w:val="fr-CA"/>
        </w:rPr>
        <w:t>Nicolas Landry c. Sa Majesté le Roi</w:t>
      </w:r>
      <w:r w:rsidRPr="002E337B">
        <w:rPr>
          <w:sz w:val="20"/>
          <w:lang w:val="fr-CA"/>
        </w:rPr>
        <w:t xml:space="preserve"> (Qc) (Criminelle) (De plein droit / Autorisation) (</w:t>
      </w:r>
      <w:hyperlink r:id="rId8" w:history="1">
        <w:r w:rsidRPr="002E337B">
          <w:rPr>
            <w:rStyle w:val="Hyperlink"/>
            <w:sz w:val="20"/>
            <w:szCs w:val="20"/>
            <w:lang w:val="fr-CA"/>
          </w:rPr>
          <w:t>40</w:t>
        </w:r>
        <w:r w:rsidR="006E4E94" w:rsidRPr="002E337B">
          <w:rPr>
            <w:rStyle w:val="Hyperlink"/>
            <w:sz w:val="20"/>
            <w:szCs w:val="20"/>
            <w:lang w:val="fr-CA"/>
          </w:rPr>
          <w:t>394</w:t>
        </w:r>
      </w:hyperlink>
      <w:r w:rsidRPr="002E337B">
        <w:rPr>
          <w:sz w:val="20"/>
          <w:lang w:val="fr-CA"/>
        </w:rPr>
        <w:t>)</w:t>
      </w:r>
    </w:p>
    <w:p w:rsidR="00B84AFC" w:rsidRPr="002E337B" w:rsidRDefault="00B84AFC" w:rsidP="00CB5120">
      <w:pPr>
        <w:tabs>
          <w:tab w:val="left" w:pos="360"/>
        </w:tabs>
        <w:ind w:left="357" w:hanging="357"/>
        <w:rPr>
          <w:sz w:val="20"/>
          <w:lang w:val="fr-CA"/>
        </w:rPr>
      </w:pPr>
    </w:p>
    <w:p w:rsidR="00B84AFC" w:rsidRPr="002E337B" w:rsidRDefault="00B84AFC" w:rsidP="00CB5120">
      <w:pPr>
        <w:pStyle w:val="ListParagraph"/>
        <w:numPr>
          <w:ilvl w:val="0"/>
          <w:numId w:val="47"/>
        </w:numPr>
        <w:tabs>
          <w:tab w:val="left" w:pos="360"/>
        </w:tabs>
        <w:ind w:left="357" w:hanging="357"/>
        <w:rPr>
          <w:sz w:val="20"/>
          <w:lang w:val="en-CA"/>
        </w:rPr>
      </w:pPr>
      <w:r w:rsidRPr="002E337B">
        <w:rPr>
          <w:i/>
          <w:sz w:val="20"/>
        </w:rPr>
        <w:t xml:space="preserve">Benedict Agbakoba v. Director of Adult Forensic Psychiatric Services, </w:t>
      </w:r>
      <w:r w:rsidR="00827402" w:rsidRPr="002E337B">
        <w:rPr>
          <w:i/>
          <w:sz w:val="20"/>
        </w:rPr>
        <w:t>et al.</w:t>
      </w:r>
      <w:r w:rsidRPr="002E337B">
        <w:rPr>
          <w:sz w:val="20"/>
          <w:lang w:val="en-CA"/>
        </w:rPr>
        <w:t xml:space="preserve"> (B.C.) (Criminal) (By Leave) </w:t>
      </w:r>
      <w:r w:rsidRPr="002E337B">
        <w:rPr>
          <w:sz w:val="20"/>
        </w:rPr>
        <w:t>(</w:t>
      </w:r>
      <w:hyperlink r:id="rId9" w:history="1">
        <w:r w:rsidRPr="002E337B">
          <w:rPr>
            <w:rStyle w:val="Hyperlink"/>
            <w:sz w:val="20"/>
            <w:szCs w:val="20"/>
          </w:rPr>
          <w:t>40</w:t>
        </w:r>
        <w:r w:rsidR="00827402" w:rsidRPr="002E337B">
          <w:rPr>
            <w:rStyle w:val="Hyperlink"/>
            <w:sz w:val="20"/>
            <w:szCs w:val="20"/>
          </w:rPr>
          <w:t>481</w:t>
        </w:r>
      </w:hyperlink>
      <w:r w:rsidRPr="002E337B">
        <w:rPr>
          <w:sz w:val="20"/>
        </w:rPr>
        <w:t>)</w:t>
      </w:r>
    </w:p>
    <w:p w:rsidR="00B84AFC" w:rsidRPr="002E337B" w:rsidRDefault="00B84AFC" w:rsidP="00CB5120">
      <w:pPr>
        <w:tabs>
          <w:tab w:val="left" w:pos="360"/>
        </w:tabs>
        <w:ind w:left="357" w:hanging="357"/>
        <w:rPr>
          <w:sz w:val="20"/>
          <w:lang w:val="en-CA"/>
        </w:rPr>
      </w:pPr>
    </w:p>
    <w:p w:rsidR="00B84AFC" w:rsidRPr="002E337B" w:rsidRDefault="00B84AFC" w:rsidP="00CB5120">
      <w:pPr>
        <w:pStyle w:val="ListParagraph"/>
        <w:numPr>
          <w:ilvl w:val="0"/>
          <w:numId w:val="47"/>
        </w:numPr>
        <w:ind w:left="357" w:hanging="357"/>
        <w:rPr>
          <w:i/>
          <w:sz w:val="20"/>
          <w:lang w:val="en-CA"/>
        </w:rPr>
      </w:pPr>
      <w:r w:rsidRPr="002E337B">
        <w:rPr>
          <w:i/>
          <w:sz w:val="20"/>
          <w:lang w:val="en-CA"/>
        </w:rPr>
        <w:t>William Imona-Russell v. His Majesty the King</w:t>
      </w:r>
      <w:r w:rsidRPr="002E337B">
        <w:rPr>
          <w:sz w:val="20"/>
        </w:rPr>
        <w:t xml:space="preserve"> (Ont.) (Criminal) (By Leave) (</w:t>
      </w:r>
      <w:hyperlink r:id="rId10" w:history="1">
        <w:r w:rsidRPr="002E337B">
          <w:rPr>
            <w:rStyle w:val="Hyperlink"/>
            <w:sz w:val="20"/>
            <w:szCs w:val="20"/>
          </w:rPr>
          <w:t>4057</w:t>
        </w:r>
        <w:r w:rsidR="00B6762D" w:rsidRPr="002E337B">
          <w:rPr>
            <w:rStyle w:val="Hyperlink"/>
            <w:sz w:val="20"/>
            <w:szCs w:val="20"/>
          </w:rPr>
          <w:t>8</w:t>
        </w:r>
      </w:hyperlink>
      <w:r w:rsidRPr="002E337B">
        <w:rPr>
          <w:sz w:val="20"/>
        </w:rPr>
        <w:t>)</w:t>
      </w:r>
    </w:p>
    <w:p w:rsidR="00B84AFC" w:rsidRPr="002E337B" w:rsidRDefault="00B84AFC" w:rsidP="00CB5120">
      <w:pPr>
        <w:ind w:left="357" w:hanging="357"/>
        <w:rPr>
          <w:sz w:val="20"/>
          <w:lang w:val="en-CA"/>
        </w:rPr>
      </w:pPr>
    </w:p>
    <w:p w:rsidR="00B84AFC" w:rsidRPr="002E337B" w:rsidRDefault="00B84AFC" w:rsidP="00CB5120">
      <w:pPr>
        <w:pStyle w:val="ListParagraph"/>
        <w:numPr>
          <w:ilvl w:val="0"/>
          <w:numId w:val="47"/>
        </w:numPr>
        <w:tabs>
          <w:tab w:val="left" w:pos="360"/>
        </w:tabs>
        <w:ind w:left="357" w:hanging="357"/>
        <w:rPr>
          <w:sz w:val="20"/>
          <w:lang w:val="en-CA"/>
        </w:rPr>
      </w:pPr>
      <w:r w:rsidRPr="002E337B">
        <w:rPr>
          <w:i/>
          <w:sz w:val="20"/>
        </w:rPr>
        <w:t>Mensula Bancorp Inc. v. Halton Condominium Corporation No. 137</w:t>
      </w:r>
      <w:r w:rsidRPr="002E337B">
        <w:rPr>
          <w:sz w:val="20"/>
          <w:lang w:val="en-CA"/>
        </w:rPr>
        <w:t xml:space="preserve"> (Ont.) (Civil) (By Leave) </w:t>
      </w:r>
      <w:r w:rsidRPr="002E337B">
        <w:rPr>
          <w:sz w:val="20"/>
        </w:rPr>
        <w:t>(</w:t>
      </w:r>
      <w:hyperlink r:id="rId11" w:history="1">
        <w:r w:rsidRPr="002E337B">
          <w:rPr>
            <w:rStyle w:val="Hyperlink"/>
            <w:sz w:val="20"/>
            <w:szCs w:val="20"/>
          </w:rPr>
          <w:t>405</w:t>
        </w:r>
        <w:r w:rsidR="00DF3463" w:rsidRPr="002E337B">
          <w:rPr>
            <w:rStyle w:val="Hyperlink"/>
            <w:sz w:val="20"/>
            <w:szCs w:val="20"/>
          </w:rPr>
          <w:t>46</w:t>
        </w:r>
      </w:hyperlink>
      <w:r w:rsidRPr="002E337B">
        <w:rPr>
          <w:sz w:val="20"/>
        </w:rPr>
        <w:t>)</w:t>
      </w:r>
    </w:p>
    <w:p w:rsidR="00B84AFC" w:rsidRPr="002E337B" w:rsidRDefault="00B84AFC" w:rsidP="00CB5120">
      <w:pPr>
        <w:ind w:left="357" w:hanging="357"/>
        <w:rPr>
          <w:sz w:val="20"/>
        </w:rPr>
      </w:pPr>
    </w:p>
    <w:p w:rsidR="00B84AFC" w:rsidRPr="002E337B" w:rsidRDefault="00B84AFC" w:rsidP="00CB5120">
      <w:pPr>
        <w:pStyle w:val="ListParagraph"/>
        <w:numPr>
          <w:ilvl w:val="0"/>
          <w:numId w:val="47"/>
        </w:numPr>
        <w:tabs>
          <w:tab w:val="left" w:pos="360"/>
        </w:tabs>
        <w:ind w:left="357" w:hanging="357"/>
        <w:rPr>
          <w:sz w:val="20"/>
        </w:rPr>
      </w:pPr>
      <w:r w:rsidRPr="002E337B">
        <w:rPr>
          <w:i/>
          <w:sz w:val="20"/>
          <w:lang w:val="en-CA"/>
        </w:rPr>
        <w:t>Jeremy Leonard</w:t>
      </w:r>
      <w:r w:rsidR="00102205" w:rsidRPr="002E337B">
        <w:rPr>
          <w:i/>
          <w:sz w:val="20"/>
          <w:lang w:val="en-CA"/>
        </w:rPr>
        <w:t>, et al.</w:t>
      </w:r>
      <w:r w:rsidRPr="002E337B">
        <w:rPr>
          <w:i/>
          <w:sz w:val="20"/>
          <w:lang w:val="en-CA"/>
        </w:rPr>
        <w:t xml:space="preserve"> v. His Majesty the King</w:t>
      </w:r>
      <w:r w:rsidR="00182F94" w:rsidRPr="002E337B">
        <w:rPr>
          <w:i/>
          <w:sz w:val="20"/>
          <w:lang w:val="en-CA"/>
        </w:rPr>
        <w:t>, et al.</w:t>
      </w:r>
      <w:r w:rsidRPr="002E337B">
        <w:rPr>
          <w:sz w:val="20"/>
        </w:rPr>
        <w:t xml:space="preserve"> (F.C.) (Civil) (By Leave) (</w:t>
      </w:r>
      <w:hyperlink r:id="rId12" w:history="1">
        <w:r w:rsidRPr="002E337B">
          <w:rPr>
            <w:rStyle w:val="Hyperlink"/>
            <w:sz w:val="20"/>
            <w:szCs w:val="20"/>
          </w:rPr>
          <w:t>405</w:t>
        </w:r>
        <w:r w:rsidR="00102205" w:rsidRPr="002E337B">
          <w:rPr>
            <w:rStyle w:val="Hyperlink"/>
            <w:sz w:val="20"/>
            <w:szCs w:val="20"/>
          </w:rPr>
          <w:t>48</w:t>
        </w:r>
      </w:hyperlink>
      <w:r w:rsidRPr="002E337B">
        <w:rPr>
          <w:sz w:val="20"/>
        </w:rPr>
        <w:t>)</w:t>
      </w:r>
    </w:p>
    <w:p w:rsidR="00B84AFC" w:rsidRPr="002E337B" w:rsidRDefault="00B84AFC" w:rsidP="00CB5120">
      <w:pPr>
        <w:tabs>
          <w:tab w:val="left" w:pos="360"/>
        </w:tabs>
        <w:ind w:left="357" w:hanging="357"/>
        <w:rPr>
          <w:sz w:val="20"/>
          <w:lang w:val="en-CA"/>
        </w:rPr>
      </w:pPr>
    </w:p>
    <w:p w:rsidR="00B84AFC" w:rsidRPr="002E337B" w:rsidRDefault="00B84AFC" w:rsidP="00CB5120">
      <w:pPr>
        <w:pStyle w:val="ListParagraph"/>
        <w:numPr>
          <w:ilvl w:val="0"/>
          <w:numId w:val="47"/>
        </w:numPr>
        <w:tabs>
          <w:tab w:val="left" w:pos="360"/>
        </w:tabs>
        <w:ind w:left="357" w:hanging="357"/>
        <w:rPr>
          <w:sz w:val="20"/>
          <w:lang w:val="fr-CA"/>
        </w:rPr>
      </w:pPr>
      <w:r w:rsidRPr="002E337B">
        <w:rPr>
          <w:i/>
          <w:sz w:val="20"/>
          <w:lang w:val="fr-CA"/>
        </w:rPr>
        <w:t xml:space="preserve">A.B. c. S.S. </w:t>
      </w:r>
      <w:r w:rsidRPr="002E337B">
        <w:rPr>
          <w:sz w:val="20"/>
          <w:lang w:val="fr-CA"/>
        </w:rPr>
        <w:t>(Qc) (Civile) (Autorisation) (</w:t>
      </w:r>
      <w:hyperlink r:id="rId13" w:history="1">
        <w:r w:rsidRPr="002E337B">
          <w:rPr>
            <w:rStyle w:val="Hyperlink"/>
            <w:sz w:val="20"/>
            <w:szCs w:val="20"/>
            <w:lang w:val="fr-CA"/>
          </w:rPr>
          <w:t>40</w:t>
        </w:r>
        <w:r w:rsidR="00640111" w:rsidRPr="002E337B">
          <w:rPr>
            <w:rStyle w:val="Hyperlink"/>
            <w:sz w:val="20"/>
            <w:szCs w:val="20"/>
            <w:lang w:val="fr-CA"/>
          </w:rPr>
          <w:t>623</w:t>
        </w:r>
      </w:hyperlink>
      <w:r w:rsidRPr="002E337B">
        <w:rPr>
          <w:sz w:val="20"/>
          <w:lang w:val="fr-CA"/>
        </w:rPr>
        <w:t>)</w:t>
      </w:r>
    </w:p>
    <w:p w:rsidR="00B84AFC" w:rsidRPr="002E337B" w:rsidRDefault="00B84AFC" w:rsidP="00CB5120">
      <w:pPr>
        <w:tabs>
          <w:tab w:val="left" w:pos="360"/>
        </w:tabs>
        <w:ind w:left="357" w:hanging="357"/>
        <w:rPr>
          <w:sz w:val="20"/>
          <w:lang w:val="fr-CA"/>
        </w:rPr>
      </w:pPr>
    </w:p>
    <w:p w:rsidR="00B84AFC" w:rsidRPr="002E337B" w:rsidRDefault="00B84AFC" w:rsidP="00CB5120">
      <w:pPr>
        <w:pStyle w:val="ListParagraph"/>
        <w:numPr>
          <w:ilvl w:val="0"/>
          <w:numId w:val="47"/>
        </w:numPr>
        <w:tabs>
          <w:tab w:val="left" w:pos="360"/>
        </w:tabs>
        <w:ind w:left="357" w:hanging="357"/>
        <w:rPr>
          <w:i/>
          <w:color w:val="000000" w:themeColor="text1"/>
          <w:sz w:val="20"/>
        </w:rPr>
      </w:pPr>
      <w:r w:rsidRPr="002E337B">
        <w:rPr>
          <w:i/>
          <w:color w:val="000000" w:themeColor="text1"/>
          <w:sz w:val="20"/>
        </w:rPr>
        <w:t>Fabia Deluca v. Roberto Bucciarelli</w:t>
      </w:r>
      <w:r w:rsidR="00B230BD" w:rsidRPr="002E337B">
        <w:rPr>
          <w:i/>
          <w:color w:val="000000" w:themeColor="text1"/>
          <w:sz w:val="20"/>
        </w:rPr>
        <w:t>, et al.</w:t>
      </w:r>
      <w:r w:rsidRPr="002E337B">
        <w:rPr>
          <w:color w:val="000000" w:themeColor="text1"/>
          <w:sz w:val="20"/>
        </w:rPr>
        <w:t xml:space="preserve"> (Ont.) (Civil) (By Leave) </w:t>
      </w:r>
      <w:r w:rsidRPr="002E337B">
        <w:rPr>
          <w:sz w:val="20"/>
        </w:rPr>
        <w:t>(</w:t>
      </w:r>
      <w:hyperlink r:id="rId14" w:history="1">
        <w:r w:rsidRPr="002E337B">
          <w:rPr>
            <w:rStyle w:val="Hyperlink"/>
            <w:sz w:val="20"/>
            <w:szCs w:val="20"/>
          </w:rPr>
          <w:t>405</w:t>
        </w:r>
        <w:r w:rsidR="00B230BD" w:rsidRPr="002E337B">
          <w:rPr>
            <w:rStyle w:val="Hyperlink"/>
            <w:sz w:val="20"/>
            <w:szCs w:val="20"/>
          </w:rPr>
          <w:t>60</w:t>
        </w:r>
      </w:hyperlink>
      <w:r w:rsidRPr="002E337B">
        <w:rPr>
          <w:sz w:val="20"/>
        </w:rPr>
        <w:t>)</w:t>
      </w:r>
    </w:p>
    <w:p w:rsidR="00B84AFC" w:rsidRPr="002E337B" w:rsidRDefault="00B84AFC" w:rsidP="00CB5120">
      <w:pPr>
        <w:tabs>
          <w:tab w:val="left" w:pos="360"/>
        </w:tabs>
        <w:ind w:left="357" w:hanging="357"/>
        <w:rPr>
          <w:color w:val="000000" w:themeColor="text1"/>
          <w:sz w:val="20"/>
        </w:rPr>
      </w:pPr>
    </w:p>
    <w:p w:rsidR="00B84AFC" w:rsidRPr="002E337B" w:rsidRDefault="00B84AFC" w:rsidP="00CB5120">
      <w:pPr>
        <w:pStyle w:val="ListParagraph"/>
        <w:numPr>
          <w:ilvl w:val="0"/>
          <w:numId w:val="47"/>
        </w:numPr>
        <w:tabs>
          <w:tab w:val="left" w:pos="360"/>
        </w:tabs>
        <w:ind w:left="357" w:hanging="357"/>
        <w:rPr>
          <w:color w:val="000000" w:themeColor="text1"/>
          <w:sz w:val="20"/>
        </w:rPr>
      </w:pPr>
      <w:r w:rsidRPr="002E337B">
        <w:rPr>
          <w:i/>
          <w:color w:val="000000" w:themeColor="text1"/>
          <w:sz w:val="20"/>
        </w:rPr>
        <w:t>Haben Abrham Weldekidan v. His Majesty the King</w:t>
      </w:r>
      <w:r w:rsidRPr="002E337B">
        <w:rPr>
          <w:color w:val="000000" w:themeColor="text1"/>
          <w:sz w:val="20"/>
        </w:rPr>
        <w:t xml:space="preserve"> (Man.) (Criminal) (By Leave) </w:t>
      </w:r>
      <w:r w:rsidRPr="002E337B">
        <w:rPr>
          <w:sz w:val="20"/>
        </w:rPr>
        <w:t>(</w:t>
      </w:r>
      <w:hyperlink r:id="rId15" w:history="1">
        <w:r w:rsidRPr="002E337B">
          <w:rPr>
            <w:rStyle w:val="Hyperlink"/>
            <w:sz w:val="20"/>
            <w:szCs w:val="20"/>
          </w:rPr>
          <w:t>40</w:t>
        </w:r>
        <w:r w:rsidR="00605EAE" w:rsidRPr="002E337B">
          <w:rPr>
            <w:rStyle w:val="Hyperlink"/>
            <w:sz w:val="20"/>
            <w:szCs w:val="20"/>
          </w:rPr>
          <w:t>613</w:t>
        </w:r>
      </w:hyperlink>
      <w:r w:rsidRPr="002E337B">
        <w:rPr>
          <w:sz w:val="20"/>
        </w:rPr>
        <w:t>)</w:t>
      </w:r>
    </w:p>
    <w:p w:rsidR="00A3422A" w:rsidRPr="002E337B" w:rsidRDefault="00A3422A" w:rsidP="00CB5120">
      <w:pPr>
        <w:ind w:left="357" w:hanging="357"/>
        <w:rPr>
          <w:sz w:val="20"/>
        </w:rPr>
      </w:pPr>
    </w:p>
    <w:p w:rsidR="00A3422A" w:rsidRPr="002E337B" w:rsidRDefault="00A3422A" w:rsidP="00CB5120">
      <w:pPr>
        <w:pStyle w:val="ListParagraph"/>
        <w:numPr>
          <w:ilvl w:val="0"/>
          <w:numId w:val="47"/>
        </w:numPr>
        <w:ind w:left="357" w:hanging="357"/>
        <w:rPr>
          <w:sz w:val="20"/>
          <w:szCs w:val="20"/>
          <w:lang w:val="fr-CA"/>
        </w:rPr>
      </w:pPr>
      <w:r w:rsidRPr="002E337B">
        <w:rPr>
          <w:i/>
          <w:sz w:val="20"/>
          <w:szCs w:val="20"/>
          <w:lang w:val="fr-CA"/>
        </w:rPr>
        <w:t>9424-9356 Québec inc., et al. c. Québécor inc., et al.</w:t>
      </w:r>
      <w:r w:rsidRPr="002E337B">
        <w:rPr>
          <w:sz w:val="20"/>
          <w:szCs w:val="20"/>
          <w:lang w:val="fr-CA"/>
        </w:rPr>
        <w:t xml:space="preserve"> (Qc) (Civile) (Autorisation)</w:t>
      </w:r>
      <w:r w:rsidR="00CB5120" w:rsidRPr="002E337B">
        <w:rPr>
          <w:sz w:val="20"/>
          <w:lang w:val="fr-CA"/>
        </w:rPr>
        <w:t xml:space="preserve"> (</w:t>
      </w:r>
      <w:hyperlink r:id="rId16" w:history="1">
        <w:r w:rsidR="00CB5120" w:rsidRPr="002E337B">
          <w:rPr>
            <w:rStyle w:val="Hyperlink"/>
            <w:sz w:val="20"/>
            <w:lang w:val="fr-CA"/>
          </w:rPr>
          <w:t>40206</w:t>
        </w:r>
      </w:hyperlink>
      <w:r w:rsidR="00CB5120" w:rsidRPr="002E337B">
        <w:rPr>
          <w:sz w:val="20"/>
          <w:lang w:val="fr-CA"/>
        </w:rPr>
        <w:t>)</w:t>
      </w:r>
    </w:p>
    <w:p w:rsidR="00A3422A" w:rsidRPr="002E337B" w:rsidRDefault="00A3422A" w:rsidP="00CB5120">
      <w:pPr>
        <w:ind w:left="357" w:hanging="357"/>
        <w:rPr>
          <w:sz w:val="20"/>
          <w:lang w:val="fr-CA"/>
        </w:rPr>
      </w:pPr>
    </w:p>
    <w:p w:rsidR="00A3422A" w:rsidRPr="002E337B" w:rsidRDefault="00A3422A" w:rsidP="00CB5120">
      <w:pPr>
        <w:pStyle w:val="ListParagraph"/>
        <w:numPr>
          <w:ilvl w:val="0"/>
          <w:numId w:val="47"/>
        </w:numPr>
        <w:ind w:left="357" w:hanging="357"/>
      </w:pPr>
      <w:r w:rsidRPr="002E337B">
        <w:rPr>
          <w:i/>
          <w:sz w:val="20"/>
          <w:lang w:val="fr-CA"/>
        </w:rPr>
        <w:t>Alliance nationale de l’industrie musicale c. Conseil de la Radiodiffusion et des Télécommunications Canadiennes</w:t>
      </w:r>
      <w:r w:rsidRPr="002E337B">
        <w:rPr>
          <w:sz w:val="20"/>
          <w:lang w:val="fr-CA"/>
        </w:rPr>
        <w:t xml:space="preserve"> (</w:t>
      </w:r>
      <w:r w:rsidR="00CB5120" w:rsidRPr="002E337B">
        <w:rPr>
          <w:sz w:val="20"/>
          <w:lang w:val="fr-CA"/>
        </w:rPr>
        <w:t>C.F</w:t>
      </w:r>
      <w:r w:rsidRPr="002E337B">
        <w:rPr>
          <w:sz w:val="20"/>
          <w:lang w:val="fr-CA"/>
        </w:rPr>
        <w:t xml:space="preserve">.) </w:t>
      </w:r>
      <w:r w:rsidRPr="002E337B">
        <w:rPr>
          <w:sz w:val="20"/>
        </w:rPr>
        <w:t>(Civile) (Autorisation)</w:t>
      </w:r>
      <w:r w:rsidR="00CB5120" w:rsidRPr="002E337B">
        <w:rPr>
          <w:sz w:val="20"/>
        </w:rPr>
        <w:t xml:space="preserve"> (</w:t>
      </w:r>
      <w:hyperlink r:id="rId17" w:history="1">
        <w:r w:rsidR="00CB5120" w:rsidRPr="002E337B">
          <w:rPr>
            <w:rStyle w:val="Hyperlink"/>
            <w:sz w:val="20"/>
          </w:rPr>
          <w:t>40455</w:t>
        </w:r>
      </w:hyperlink>
      <w:r w:rsidR="00CB5120" w:rsidRPr="002E337B">
        <w:rPr>
          <w:sz w:val="20"/>
        </w:rPr>
        <w:t>)</w:t>
      </w:r>
    </w:p>
    <w:p w:rsidR="005D6A19" w:rsidRPr="002E337B" w:rsidRDefault="005D6A19" w:rsidP="00CB5120">
      <w:pPr>
        <w:ind w:left="357" w:hanging="357"/>
        <w:rPr>
          <w:sz w:val="20"/>
        </w:rPr>
      </w:pPr>
    </w:p>
    <w:p w:rsidR="00B84AFC" w:rsidRPr="002E337B" w:rsidRDefault="00B84AFC" w:rsidP="00CB5120">
      <w:pPr>
        <w:pStyle w:val="SCCLsocParty"/>
        <w:numPr>
          <w:ilvl w:val="0"/>
          <w:numId w:val="47"/>
        </w:numPr>
        <w:ind w:left="357" w:hanging="357"/>
        <w:jc w:val="left"/>
        <w:rPr>
          <w:i/>
          <w:sz w:val="20"/>
          <w:szCs w:val="20"/>
          <w:lang w:val="en-US"/>
        </w:rPr>
      </w:pPr>
      <w:r w:rsidRPr="002E337B">
        <w:rPr>
          <w:i/>
          <w:sz w:val="20"/>
          <w:szCs w:val="20"/>
          <w:lang w:val="en-US"/>
        </w:rPr>
        <w:t>C.M. v. His Majesty the King</w:t>
      </w:r>
      <w:r w:rsidRPr="002E337B">
        <w:rPr>
          <w:sz w:val="20"/>
          <w:szCs w:val="20"/>
          <w:lang w:val="en-US"/>
        </w:rPr>
        <w:t xml:space="preserve"> (Alta.) (Criminal) (By Leave) </w:t>
      </w:r>
      <w:r w:rsidRPr="002E337B">
        <w:rPr>
          <w:sz w:val="20"/>
          <w:lang w:val="en-US"/>
        </w:rPr>
        <w:t>(</w:t>
      </w:r>
      <w:hyperlink r:id="rId18" w:history="1">
        <w:r w:rsidR="00DE5208" w:rsidRPr="002E337B">
          <w:rPr>
            <w:rStyle w:val="Hyperlink"/>
            <w:sz w:val="20"/>
            <w:szCs w:val="20"/>
            <w:lang w:val="en-US"/>
          </w:rPr>
          <w:t>36987</w:t>
        </w:r>
      </w:hyperlink>
      <w:r w:rsidRPr="002E337B">
        <w:rPr>
          <w:sz w:val="20"/>
          <w:lang w:val="en-US"/>
        </w:rPr>
        <w:t>)</w:t>
      </w:r>
    </w:p>
    <w:p w:rsidR="00B84AFC" w:rsidRPr="002E337B" w:rsidRDefault="00B84AFC" w:rsidP="00CB5120">
      <w:pPr>
        <w:ind w:left="357" w:hanging="357"/>
        <w:rPr>
          <w:sz w:val="20"/>
          <w:lang w:val="en-CA"/>
        </w:rPr>
      </w:pPr>
    </w:p>
    <w:p w:rsidR="00B84AFC" w:rsidRPr="002E337B" w:rsidRDefault="00B84AFC" w:rsidP="00CB5120">
      <w:pPr>
        <w:pStyle w:val="SCCLsocParty"/>
        <w:numPr>
          <w:ilvl w:val="0"/>
          <w:numId w:val="47"/>
        </w:numPr>
        <w:ind w:left="357" w:hanging="357"/>
        <w:jc w:val="left"/>
        <w:rPr>
          <w:i/>
          <w:sz w:val="20"/>
          <w:szCs w:val="20"/>
          <w:lang w:val="en-US"/>
        </w:rPr>
      </w:pPr>
      <w:r w:rsidRPr="002E337B">
        <w:rPr>
          <w:i/>
          <w:sz w:val="20"/>
          <w:szCs w:val="20"/>
          <w:lang w:val="en-US"/>
        </w:rPr>
        <w:t>C.</w:t>
      </w:r>
      <w:r w:rsidR="001F7BBF" w:rsidRPr="002E337B">
        <w:rPr>
          <w:i/>
          <w:sz w:val="20"/>
          <w:szCs w:val="20"/>
          <w:lang w:val="en-US"/>
        </w:rPr>
        <w:t>G.</w:t>
      </w:r>
      <w:r w:rsidRPr="002E337B">
        <w:rPr>
          <w:i/>
          <w:sz w:val="20"/>
          <w:szCs w:val="20"/>
          <w:lang w:val="en-US"/>
        </w:rPr>
        <w:t>M. v. His Majesty the King</w:t>
      </w:r>
      <w:r w:rsidRPr="002E337B">
        <w:rPr>
          <w:sz w:val="20"/>
          <w:szCs w:val="20"/>
          <w:lang w:val="en-US"/>
        </w:rPr>
        <w:t xml:space="preserve"> (Alta.) (Criminal) (By Leave) </w:t>
      </w:r>
      <w:r w:rsidRPr="002E337B">
        <w:rPr>
          <w:sz w:val="20"/>
          <w:lang w:val="en-US"/>
        </w:rPr>
        <w:t>(</w:t>
      </w:r>
      <w:hyperlink r:id="rId19" w:history="1">
        <w:r w:rsidR="00DE5208" w:rsidRPr="002E337B">
          <w:rPr>
            <w:rStyle w:val="Hyperlink"/>
            <w:sz w:val="20"/>
            <w:szCs w:val="20"/>
            <w:lang w:val="en-US"/>
          </w:rPr>
          <w:t>39970</w:t>
        </w:r>
      </w:hyperlink>
      <w:r w:rsidRPr="002E337B">
        <w:rPr>
          <w:sz w:val="20"/>
          <w:lang w:val="en-US"/>
        </w:rPr>
        <w:t>)</w:t>
      </w:r>
    </w:p>
    <w:p w:rsidR="0074008A" w:rsidRPr="002E337B" w:rsidRDefault="0074008A" w:rsidP="00142166">
      <w:pPr>
        <w:jc w:val="both"/>
        <w:rPr>
          <w:sz w:val="20"/>
        </w:rPr>
      </w:pPr>
    </w:p>
    <w:p w:rsidR="0057402C" w:rsidRPr="002E337B" w:rsidRDefault="002E337B" w:rsidP="00142166">
      <w:pPr>
        <w:widowControl w:val="0"/>
        <w:jc w:val="both"/>
        <w:rPr>
          <w:sz w:val="20"/>
        </w:rPr>
      </w:pPr>
      <w:r w:rsidRPr="002E337B">
        <w:rPr>
          <w:sz w:val="20"/>
        </w:rPr>
        <w:pict>
          <v:rect id="_x0000_i1026" style="width:2in;height:1pt" o:hrpct="0" o:hralign="center" o:hrstd="t" o:hrnoshade="t" o:hr="t" fillcolor="black [3213]" stroked="f"/>
        </w:pict>
      </w:r>
    </w:p>
    <w:p w:rsidR="0014490F" w:rsidRPr="002E337B" w:rsidRDefault="0014490F" w:rsidP="00052598">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52598" w:rsidRPr="002E337B" w:rsidTr="00052598">
        <w:tc>
          <w:tcPr>
            <w:tcW w:w="543" w:type="pct"/>
          </w:tcPr>
          <w:p w:rsidR="00052598" w:rsidRPr="002E337B" w:rsidRDefault="00052598" w:rsidP="00052598">
            <w:pPr>
              <w:jc w:val="both"/>
              <w:rPr>
                <w:sz w:val="20"/>
                <w:lang w:val="en-CA"/>
              </w:rPr>
            </w:pPr>
            <w:r w:rsidRPr="002E337B">
              <w:rPr>
                <w:rStyle w:val="SCCFileNumberChar"/>
                <w:sz w:val="20"/>
                <w:szCs w:val="20"/>
              </w:rPr>
              <w:lastRenderedPageBreak/>
              <w:t>40394</w:t>
            </w:r>
          </w:p>
        </w:tc>
        <w:tc>
          <w:tcPr>
            <w:tcW w:w="4457" w:type="pct"/>
            <w:gridSpan w:val="3"/>
          </w:tcPr>
          <w:p w:rsidR="00052598" w:rsidRPr="002E337B" w:rsidRDefault="00052598" w:rsidP="00052598">
            <w:pPr>
              <w:pStyle w:val="SCCLsocParty"/>
              <w:jc w:val="both"/>
              <w:rPr>
                <w:b/>
                <w:sz w:val="20"/>
                <w:szCs w:val="20"/>
                <w:lang w:val="en-CA"/>
              </w:rPr>
            </w:pPr>
            <w:r w:rsidRPr="002E337B">
              <w:rPr>
                <w:b/>
                <w:sz w:val="20"/>
                <w:szCs w:val="20"/>
                <w:lang w:val="en-CA"/>
              </w:rPr>
              <w:t>Nicolas Landry v. His Majesty the King</w:t>
            </w:r>
          </w:p>
          <w:p w:rsidR="00052598" w:rsidRPr="002E337B" w:rsidRDefault="00052598" w:rsidP="00052598">
            <w:pPr>
              <w:jc w:val="both"/>
              <w:rPr>
                <w:sz w:val="20"/>
                <w:lang w:val="en-CA"/>
              </w:rPr>
            </w:pPr>
            <w:r w:rsidRPr="002E337B">
              <w:rPr>
                <w:sz w:val="20"/>
                <w:lang w:val="en-CA"/>
              </w:rPr>
              <w:t>(Que.) (Criminal) (As of Right / By Leave)</w:t>
            </w:r>
          </w:p>
        </w:tc>
      </w:tr>
      <w:tr w:rsidR="00052598" w:rsidRPr="002E337B" w:rsidTr="00052598">
        <w:tc>
          <w:tcPr>
            <w:tcW w:w="5000" w:type="pct"/>
            <w:gridSpan w:val="4"/>
          </w:tcPr>
          <w:p w:rsidR="00052598" w:rsidRPr="002E337B" w:rsidRDefault="00052598" w:rsidP="00052598">
            <w:pPr>
              <w:jc w:val="both"/>
              <w:rPr>
                <w:sz w:val="20"/>
                <w:lang w:val="en-CA"/>
              </w:rPr>
            </w:pPr>
            <w:r w:rsidRPr="002E337B">
              <w:rPr>
                <w:sz w:val="20"/>
                <w:lang w:val="en-CA"/>
              </w:rPr>
              <w:t xml:space="preserve">Criminal law — Offences — Elements of offence — Fraud — Deprivation — Concurrence between </w:t>
            </w:r>
            <w:r w:rsidRPr="002E337B">
              <w:rPr>
                <w:i/>
                <w:sz w:val="20"/>
                <w:lang w:val="en-CA"/>
              </w:rPr>
              <w:t>actus reus</w:t>
            </w:r>
            <w:r w:rsidRPr="002E337B">
              <w:rPr>
                <w:sz w:val="20"/>
                <w:lang w:val="en-CA"/>
              </w:rPr>
              <w:t xml:space="preserve"> and </w:t>
            </w:r>
            <w:r w:rsidRPr="002E337B">
              <w:rPr>
                <w:i/>
                <w:sz w:val="20"/>
                <w:lang w:val="en-CA"/>
              </w:rPr>
              <w:t>mens rea</w:t>
            </w:r>
            <w:r w:rsidRPr="002E337B">
              <w:rPr>
                <w:sz w:val="20"/>
                <w:lang w:val="en-CA"/>
              </w:rPr>
              <w:t xml:space="preserve"> — Proof of causation — Whether there is sufficient causal connection between accused’s dishonest acts and risk of prejudice to victim — Whether victim’s knowledge of risk to its patrimony prevents causal connection from being shown — Criminal Code, R.S.C. 1985, c. C‑46, s. 380(1).</w:t>
            </w:r>
          </w:p>
        </w:tc>
      </w:tr>
      <w:tr w:rsidR="00052598" w:rsidRPr="002E337B" w:rsidTr="00052598">
        <w:tc>
          <w:tcPr>
            <w:tcW w:w="5000" w:type="pct"/>
            <w:gridSpan w:val="4"/>
          </w:tcPr>
          <w:p w:rsidR="00052598" w:rsidRPr="002E337B" w:rsidRDefault="00052598" w:rsidP="00052598">
            <w:pPr>
              <w:jc w:val="both"/>
              <w:rPr>
                <w:sz w:val="20"/>
                <w:lang w:val="en-CA"/>
              </w:rPr>
            </w:pPr>
          </w:p>
          <w:p w:rsidR="00052598" w:rsidRPr="002E337B" w:rsidRDefault="00052598" w:rsidP="00052598">
            <w:pPr>
              <w:jc w:val="both"/>
              <w:rPr>
                <w:sz w:val="20"/>
                <w:lang w:val="en-CA"/>
              </w:rPr>
            </w:pPr>
            <w:r w:rsidRPr="002E337B">
              <w:rPr>
                <w:sz w:val="20"/>
                <w:lang w:val="en-CA"/>
              </w:rPr>
              <w:t xml:space="preserve">The applicant, a police officer, was temporarily off work because of medical problems. During a meeting with a physician-arbitrator who was to determine whether his disability was permanent, the applicant </w:t>
            </w:r>
            <w:bookmarkStart w:id="0" w:name="_Hlk135124987"/>
            <w:r w:rsidRPr="002E337B">
              <w:rPr>
                <w:sz w:val="20"/>
                <w:lang w:val="en-CA"/>
              </w:rPr>
              <w:t xml:space="preserve">misrepresented his work activities with his former spouse’s travel agencies. The physician-arbitrator found that his disability was permanent, and the applicant was therefore entitled to permanent disability benefits from his employer. The employer knew of the applicant’s work activities but did not </w:t>
            </w:r>
            <w:bookmarkEnd w:id="0"/>
            <w:r w:rsidRPr="002E337B">
              <w:rPr>
                <w:sz w:val="20"/>
                <w:lang w:val="en-CA"/>
              </w:rPr>
              <w:t xml:space="preserve">tell the physician-arbitrator about them. </w:t>
            </w:r>
          </w:p>
          <w:p w:rsidR="00052598" w:rsidRPr="002E337B" w:rsidRDefault="00052598" w:rsidP="00052598">
            <w:pPr>
              <w:jc w:val="both"/>
              <w:rPr>
                <w:sz w:val="20"/>
                <w:lang w:val="en-CA"/>
              </w:rPr>
            </w:pPr>
          </w:p>
          <w:p w:rsidR="00052598" w:rsidRPr="002E337B" w:rsidRDefault="00052598" w:rsidP="00052598">
            <w:pPr>
              <w:jc w:val="both"/>
              <w:rPr>
                <w:sz w:val="20"/>
                <w:lang w:val="en-CA"/>
              </w:rPr>
            </w:pPr>
            <w:r w:rsidRPr="002E337B">
              <w:rPr>
                <w:sz w:val="20"/>
                <w:lang w:val="en-CA"/>
              </w:rPr>
              <w:t xml:space="preserve">The trial judge found that all the elements of the offence of fraud over $5,000 </w:t>
            </w:r>
            <w:proofErr w:type="gramStart"/>
            <w:r w:rsidRPr="002E337B">
              <w:rPr>
                <w:sz w:val="20"/>
                <w:lang w:val="en-CA"/>
              </w:rPr>
              <w:t>had been established</w:t>
            </w:r>
            <w:proofErr w:type="gramEnd"/>
            <w:r w:rsidRPr="002E337B">
              <w:rPr>
                <w:sz w:val="20"/>
                <w:lang w:val="en-CA"/>
              </w:rPr>
              <w:t xml:space="preserve">. The applicant </w:t>
            </w:r>
            <w:proofErr w:type="gramStart"/>
            <w:r w:rsidRPr="002E337B">
              <w:rPr>
                <w:sz w:val="20"/>
                <w:lang w:val="en-CA"/>
              </w:rPr>
              <w:t>was convicted</w:t>
            </w:r>
            <w:proofErr w:type="gramEnd"/>
            <w:r w:rsidRPr="002E337B">
              <w:rPr>
                <w:sz w:val="20"/>
                <w:lang w:val="en-CA"/>
              </w:rPr>
              <w:t xml:space="preserve"> of one count of fraud. The majority of the Court of Appeal upheld the trial judge’s decision, while the minority would have substituted a verdict of attempted fraud.</w:t>
            </w:r>
          </w:p>
        </w:tc>
      </w:tr>
      <w:tr w:rsidR="00052598" w:rsidRPr="002E337B" w:rsidTr="00052598">
        <w:tc>
          <w:tcPr>
            <w:tcW w:w="5000" w:type="pct"/>
            <w:gridSpan w:val="4"/>
          </w:tcPr>
          <w:p w:rsidR="00052598" w:rsidRPr="002E337B" w:rsidRDefault="00052598" w:rsidP="00052598">
            <w:pPr>
              <w:jc w:val="both"/>
              <w:rPr>
                <w:sz w:val="20"/>
                <w:lang w:val="en-CA"/>
              </w:rPr>
            </w:pPr>
          </w:p>
        </w:tc>
      </w:tr>
      <w:tr w:rsidR="00052598" w:rsidRPr="002E337B" w:rsidTr="00052598">
        <w:tc>
          <w:tcPr>
            <w:tcW w:w="2427" w:type="pct"/>
            <w:gridSpan w:val="2"/>
          </w:tcPr>
          <w:p w:rsidR="00052598" w:rsidRPr="002E337B" w:rsidRDefault="00052598" w:rsidP="00052598">
            <w:pPr>
              <w:jc w:val="both"/>
              <w:rPr>
                <w:sz w:val="20"/>
                <w:lang w:val="en-CA"/>
              </w:rPr>
            </w:pPr>
            <w:r w:rsidRPr="002E337B">
              <w:rPr>
                <w:sz w:val="20"/>
                <w:lang w:val="en-CA"/>
              </w:rPr>
              <w:t>October 29, 2018</w:t>
            </w:r>
          </w:p>
          <w:p w:rsidR="00052598" w:rsidRPr="002E337B" w:rsidRDefault="00052598" w:rsidP="00052598">
            <w:pPr>
              <w:jc w:val="both"/>
              <w:rPr>
                <w:sz w:val="20"/>
                <w:lang w:val="en-CA"/>
              </w:rPr>
            </w:pPr>
            <w:r w:rsidRPr="002E337B">
              <w:rPr>
                <w:sz w:val="20"/>
                <w:lang w:val="en-CA"/>
              </w:rPr>
              <w:t>Court of Québec</w:t>
            </w:r>
          </w:p>
          <w:p w:rsidR="00052598" w:rsidRPr="002E337B" w:rsidRDefault="00052598" w:rsidP="00052598">
            <w:pPr>
              <w:jc w:val="both"/>
              <w:rPr>
                <w:sz w:val="20"/>
                <w:lang w:val="en-CA"/>
              </w:rPr>
            </w:pPr>
            <w:r w:rsidRPr="002E337B">
              <w:rPr>
                <w:sz w:val="20"/>
                <w:lang w:val="en-CA"/>
              </w:rPr>
              <w:t>(Judge Perreault)</w:t>
            </w:r>
          </w:p>
          <w:p w:rsidR="00052598" w:rsidRPr="002E337B" w:rsidRDefault="00052598" w:rsidP="00052598">
            <w:pPr>
              <w:jc w:val="both"/>
              <w:rPr>
                <w:sz w:val="20"/>
                <w:lang w:val="en-CA"/>
              </w:rPr>
            </w:pPr>
            <w:r w:rsidRPr="002E337B">
              <w:rPr>
                <w:sz w:val="20"/>
                <w:lang w:val="en-CA"/>
              </w:rPr>
              <w:t>No. 500-01-124881-151</w:t>
            </w:r>
          </w:p>
          <w:p w:rsidR="00052598" w:rsidRPr="002E337B" w:rsidRDefault="00052598" w:rsidP="00052598">
            <w:pPr>
              <w:jc w:val="both"/>
              <w:rPr>
                <w:sz w:val="20"/>
                <w:lang w:val="en-CA"/>
              </w:rPr>
            </w:pPr>
            <w:r w:rsidRPr="002E337B">
              <w:rPr>
                <w:sz w:val="20"/>
                <w:lang w:val="en-CA"/>
              </w:rPr>
              <w:t>(unreported)</w:t>
            </w:r>
          </w:p>
          <w:p w:rsidR="00052598" w:rsidRPr="002E337B" w:rsidRDefault="00052598" w:rsidP="00052598">
            <w:pPr>
              <w:jc w:val="both"/>
              <w:rPr>
                <w:sz w:val="20"/>
                <w:lang w:val="en-CA"/>
              </w:rPr>
            </w:pPr>
          </w:p>
        </w:tc>
        <w:tc>
          <w:tcPr>
            <w:tcW w:w="243" w:type="pct"/>
          </w:tcPr>
          <w:p w:rsidR="00052598" w:rsidRPr="002E337B" w:rsidRDefault="00052598" w:rsidP="00052598">
            <w:pPr>
              <w:jc w:val="both"/>
              <w:rPr>
                <w:sz w:val="20"/>
                <w:lang w:val="en-CA"/>
              </w:rPr>
            </w:pPr>
          </w:p>
        </w:tc>
        <w:tc>
          <w:tcPr>
            <w:tcW w:w="2330" w:type="pct"/>
          </w:tcPr>
          <w:p w:rsidR="00052598" w:rsidRPr="002E337B" w:rsidRDefault="00052598" w:rsidP="00052598">
            <w:pPr>
              <w:jc w:val="both"/>
              <w:rPr>
                <w:sz w:val="20"/>
                <w:lang w:val="en-CA"/>
              </w:rPr>
            </w:pPr>
            <w:r w:rsidRPr="002E337B">
              <w:rPr>
                <w:sz w:val="20"/>
                <w:lang w:val="en-CA"/>
              </w:rPr>
              <w:t>Applicant convicted of offence of fraud</w:t>
            </w:r>
          </w:p>
          <w:p w:rsidR="00052598" w:rsidRPr="002E337B" w:rsidRDefault="00052598" w:rsidP="00052598">
            <w:pPr>
              <w:jc w:val="both"/>
              <w:rPr>
                <w:sz w:val="20"/>
                <w:lang w:val="en-CA"/>
              </w:rPr>
            </w:pPr>
          </w:p>
        </w:tc>
      </w:tr>
      <w:tr w:rsidR="00052598" w:rsidRPr="002E337B" w:rsidTr="00052598">
        <w:tc>
          <w:tcPr>
            <w:tcW w:w="2427" w:type="pct"/>
            <w:gridSpan w:val="2"/>
          </w:tcPr>
          <w:p w:rsidR="00052598" w:rsidRPr="002E337B" w:rsidRDefault="00052598" w:rsidP="00052598">
            <w:pPr>
              <w:jc w:val="both"/>
              <w:rPr>
                <w:sz w:val="20"/>
                <w:lang w:val="en-CA"/>
              </w:rPr>
            </w:pPr>
            <w:r w:rsidRPr="002E337B">
              <w:rPr>
                <w:sz w:val="20"/>
                <w:lang w:val="en-CA"/>
              </w:rPr>
              <w:t>September 6, 2022</w:t>
            </w:r>
          </w:p>
          <w:p w:rsidR="00052598" w:rsidRPr="002E337B" w:rsidRDefault="00052598" w:rsidP="00052598">
            <w:pPr>
              <w:jc w:val="both"/>
              <w:rPr>
                <w:sz w:val="20"/>
                <w:lang w:val="en-CA"/>
              </w:rPr>
            </w:pPr>
            <w:r w:rsidRPr="002E337B">
              <w:rPr>
                <w:sz w:val="20"/>
                <w:lang w:val="en-CA"/>
              </w:rPr>
              <w:t>Quebec Court of Appeal (Montréal)</w:t>
            </w:r>
          </w:p>
          <w:p w:rsidR="00052598" w:rsidRPr="002E337B" w:rsidRDefault="00052598" w:rsidP="00052598">
            <w:pPr>
              <w:jc w:val="both"/>
              <w:rPr>
                <w:sz w:val="20"/>
                <w:lang w:val="en-CA"/>
              </w:rPr>
            </w:pPr>
            <w:r w:rsidRPr="002E337B">
              <w:rPr>
                <w:sz w:val="20"/>
                <w:lang w:val="en-CA"/>
              </w:rPr>
              <w:t xml:space="preserve">(Hogue, Cotnam [dissenting] and </w:t>
            </w:r>
          </w:p>
          <w:p w:rsidR="00052598" w:rsidRPr="002E337B" w:rsidRDefault="00052598" w:rsidP="00052598">
            <w:pPr>
              <w:jc w:val="both"/>
              <w:rPr>
                <w:sz w:val="20"/>
                <w:lang w:val="en-CA"/>
              </w:rPr>
            </w:pPr>
            <w:r w:rsidRPr="002E337B">
              <w:rPr>
                <w:sz w:val="20"/>
                <w:lang w:val="en-CA"/>
              </w:rPr>
              <w:t>Cournoyer JJ.A.)</w:t>
            </w:r>
          </w:p>
          <w:p w:rsidR="00052598" w:rsidRPr="002E337B" w:rsidRDefault="002E337B" w:rsidP="00052598">
            <w:pPr>
              <w:jc w:val="both"/>
              <w:rPr>
                <w:sz w:val="20"/>
                <w:lang w:val="en-CA"/>
              </w:rPr>
            </w:pPr>
            <w:hyperlink r:id="rId20" w:history="1">
              <w:r w:rsidR="00052598" w:rsidRPr="002E337B">
                <w:rPr>
                  <w:rStyle w:val="Hyperlink"/>
                  <w:sz w:val="20"/>
                  <w:lang w:val="en-CA"/>
                </w:rPr>
                <w:t>2022 QCCA 1186</w:t>
              </w:r>
            </w:hyperlink>
          </w:p>
          <w:p w:rsidR="00052598" w:rsidRPr="002E337B" w:rsidRDefault="00052598" w:rsidP="00052598">
            <w:pPr>
              <w:jc w:val="both"/>
              <w:rPr>
                <w:sz w:val="20"/>
                <w:lang w:val="en-CA"/>
              </w:rPr>
            </w:pPr>
          </w:p>
        </w:tc>
        <w:tc>
          <w:tcPr>
            <w:tcW w:w="243" w:type="pct"/>
          </w:tcPr>
          <w:p w:rsidR="00052598" w:rsidRPr="002E337B" w:rsidRDefault="00052598" w:rsidP="00052598">
            <w:pPr>
              <w:jc w:val="both"/>
              <w:rPr>
                <w:sz w:val="20"/>
                <w:lang w:val="en-CA"/>
              </w:rPr>
            </w:pPr>
          </w:p>
        </w:tc>
        <w:tc>
          <w:tcPr>
            <w:tcW w:w="2330" w:type="pct"/>
          </w:tcPr>
          <w:p w:rsidR="00052598" w:rsidRPr="002E337B" w:rsidRDefault="00052598" w:rsidP="00052598">
            <w:pPr>
              <w:jc w:val="both"/>
              <w:rPr>
                <w:sz w:val="20"/>
                <w:lang w:val="en-CA"/>
              </w:rPr>
            </w:pPr>
            <w:r w:rsidRPr="002E337B">
              <w:rPr>
                <w:sz w:val="20"/>
                <w:lang w:val="en-CA"/>
              </w:rPr>
              <w:t>Appeal dismissed; one judge would have substituted verdict of attempted fraud and reduced sentence imposed</w:t>
            </w:r>
          </w:p>
          <w:p w:rsidR="00052598" w:rsidRPr="002E337B" w:rsidRDefault="00052598" w:rsidP="00052598">
            <w:pPr>
              <w:jc w:val="both"/>
              <w:rPr>
                <w:sz w:val="20"/>
                <w:lang w:val="en-CA"/>
              </w:rPr>
            </w:pPr>
          </w:p>
        </w:tc>
      </w:tr>
      <w:tr w:rsidR="00052598" w:rsidRPr="002E337B" w:rsidTr="00052598">
        <w:tc>
          <w:tcPr>
            <w:tcW w:w="2427" w:type="pct"/>
            <w:gridSpan w:val="2"/>
          </w:tcPr>
          <w:p w:rsidR="00052598" w:rsidRPr="002E337B" w:rsidRDefault="00052598" w:rsidP="00052598">
            <w:pPr>
              <w:jc w:val="both"/>
              <w:rPr>
                <w:sz w:val="20"/>
                <w:lang w:val="en-CA"/>
              </w:rPr>
            </w:pPr>
            <w:r w:rsidRPr="002E337B">
              <w:rPr>
                <w:sz w:val="20"/>
                <w:lang w:val="en-CA"/>
              </w:rPr>
              <w:t>September 16, 2022</w:t>
            </w:r>
          </w:p>
          <w:p w:rsidR="00052598" w:rsidRPr="002E337B" w:rsidRDefault="00052598" w:rsidP="00052598">
            <w:pPr>
              <w:jc w:val="both"/>
              <w:rPr>
                <w:sz w:val="20"/>
                <w:lang w:val="en-CA"/>
              </w:rPr>
            </w:pPr>
            <w:r w:rsidRPr="002E337B">
              <w:rPr>
                <w:sz w:val="20"/>
                <w:lang w:val="en-CA"/>
              </w:rPr>
              <w:t>Supreme Court of Canada</w:t>
            </w:r>
          </w:p>
          <w:p w:rsidR="00052598" w:rsidRPr="002E337B" w:rsidRDefault="00052598" w:rsidP="00052598">
            <w:pPr>
              <w:jc w:val="both"/>
              <w:rPr>
                <w:sz w:val="20"/>
                <w:lang w:val="en-CA"/>
              </w:rPr>
            </w:pPr>
          </w:p>
        </w:tc>
        <w:tc>
          <w:tcPr>
            <w:tcW w:w="243" w:type="pct"/>
          </w:tcPr>
          <w:p w:rsidR="00052598" w:rsidRPr="002E337B" w:rsidRDefault="00052598" w:rsidP="00052598">
            <w:pPr>
              <w:jc w:val="both"/>
              <w:rPr>
                <w:sz w:val="20"/>
                <w:lang w:val="en-CA"/>
              </w:rPr>
            </w:pPr>
          </w:p>
        </w:tc>
        <w:tc>
          <w:tcPr>
            <w:tcW w:w="2330" w:type="pct"/>
          </w:tcPr>
          <w:p w:rsidR="00052598" w:rsidRPr="002E337B" w:rsidRDefault="00052598" w:rsidP="00052598">
            <w:pPr>
              <w:jc w:val="both"/>
              <w:rPr>
                <w:sz w:val="20"/>
                <w:lang w:val="en-CA"/>
              </w:rPr>
            </w:pPr>
            <w:r w:rsidRPr="002E337B">
              <w:rPr>
                <w:sz w:val="20"/>
                <w:lang w:val="en-CA"/>
              </w:rPr>
              <w:t>Notice of appeal filed</w:t>
            </w:r>
          </w:p>
          <w:p w:rsidR="00052598" w:rsidRPr="002E337B" w:rsidRDefault="00052598" w:rsidP="00052598">
            <w:pPr>
              <w:jc w:val="both"/>
              <w:rPr>
                <w:sz w:val="20"/>
                <w:lang w:val="en-CA"/>
              </w:rPr>
            </w:pPr>
          </w:p>
        </w:tc>
      </w:tr>
      <w:tr w:rsidR="00052598" w:rsidRPr="002E337B" w:rsidTr="00052598">
        <w:tc>
          <w:tcPr>
            <w:tcW w:w="2427" w:type="pct"/>
            <w:gridSpan w:val="2"/>
          </w:tcPr>
          <w:p w:rsidR="00052598" w:rsidRPr="002E337B" w:rsidRDefault="00052598" w:rsidP="00052598">
            <w:pPr>
              <w:jc w:val="both"/>
              <w:rPr>
                <w:sz w:val="20"/>
                <w:lang w:val="en-CA"/>
              </w:rPr>
            </w:pPr>
            <w:r w:rsidRPr="002E337B">
              <w:rPr>
                <w:sz w:val="20"/>
                <w:lang w:val="en-CA"/>
              </w:rPr>
              <w:t>March 21, 2023</w:t>
            </w:r>
          </w:p>
          <w:p w:rsidR="00052598" w:rsidRPr="002E337B" w:rsidRDefault="00052598" w:rsidP="00052598">
            <w:pPr>
              <w:jc w:val="both"/>
              <w:rPr>
                <w:sz w:val="20"/>
                <w:lang w:val="en-CA"/>
              </w:rPr>
            </w:pPr>
            <w:r w:rsidRPr="002E337B">
              <w:rPr>
                <w:sz w:val="20"/>
                <w:lang w:val="en-CA"/>
              </w:rPr>
              <w:t>Supreme Court of Canada</w:t>
            </w:r>
          </w:p>
        </w:tc>
        <w:tc>
          <w:tcPr>
            <w:tcW w:w="243" w:type="pct"/>
          </w:tcPr>
          <w:p w:rsidR="00052598" w:rsidRPr="002E337B" w:rsidRDefault="00052598" w:rsidP="00052598">
            <w:pPr>
              <w:jc w:val="both"/>
              <w:rPr>
                <w:sz w:val="20"/>
                <w:lang w:val="en-CA"/>
              </w:rPr>
            </w:pPr>
          </w:p>
        </w:tc>
        <w:tc>
          <w:tcPr>
            <w:tcW w:w="2330" w:type="pct"/>
          </w:tcPr>
          <w:p w:rsidR="00052598" w:rsidRPr="002E337B" w:rsidRDefault="00052598" w:rsidP="00052598">
            <w:pPr>
              <w:jc w:val="both"/>
              <w:rPr>
                <w:sz w:val="20"/>
                <w:lang w:val="en-CA"/>
              </w:rPr>
            </w:pPr>
            <w:r w:rsidRPr="002E337B">
              <w:rPr>
                <w:sz w:val="20"/>
                <w:lang w:val="en-CA"/>
              </w:rPr>
              <w:t>Application for leave to appeal filed</w:t>
            </w:r>
          </w:p>
          <w:p w:rsidR="00052598" w:rsidRPr="002E337B" w:rsidRDefault="00052598" w:rsidP="00052598">
            <w:pPr>
              <w:jc w:val="both"/>
              <w:rPr>
                <w:sz w:val="20"/>
                <w:lang w:val="en-CA"/>
              </w:rPr>
            </w:pPr>
          </w:p>
        </w:tc>
      </w:tr>
    </w:tbl>
    <w:p w:rsidR="00052598" w:rsidRPr="002E337B" w:rsidRDefault="00052598" w:rsidP="00052598">
      <w:pPr>
        <w:jc w:val="both"/>
        <w:rPr>
          <w:sz w:val="20"/>
          <w:lang w:val="en-CA"/>
        </w:rPr>
      </w:pPr>
    </w:p>
    <w:p w:rsidR="00052598" w:rsidRPr="002E337B" w:rsidRDefault="002E337B" w:rsidP="00052598">
      <w:pPr>
        <w:jc w:val="both"/>
        <w:rPr>
          <w:sz w:val="20"/>
          <w:lang w:val="en-CA"/>
        </w:rPr>
      </w:pPr>
      <w:r w:rsidRPr="002E337B">
        <w:rPr>
          <w:sz w:val="20"/>
        </w:rPr>
        <w:pict>
          <v:rect id="_x0000_i1027" style="width:2in;height:1pt" o:hrpct="0" o:hralign="center" o:hrstd="t" o:hrnoshade="t" o:hr="t" fillcolor="black [3213]" stroked="f"/>
        </w:pict>
      </w:r>
    </w:p>
    <w:p w:rsidR="00052598" w:rsidRPr="002E337B" w:rsidRDefault="00052598" w:rsidP="0005259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52598" w:rsidRPr="002E337B" w:rsidTr="00052598">
        <w:tc>
          <w:tcPr>
            <w:tcW w:w="543" w:type="pct"/>
          </w:tcPr>
          <w:p w:rsidR="00052598" w:rsidRPr="002E337B" w:rsidRDefault="00052598" w:rsidP="00052598">
            <w:pPr>
              <w:jc w:val="both"/>
              <w:rPr>
                <w:sz w:val="20"/>
              </w:rPr>
            </w:pPr>
            <w:r w:rsidRPr="002E337B">
              <w:rPr>
                <w:rStyle w:val="SCCFileNumberChar"/>
                <w:sz w:val="20"/>
                <w:szCs w:val="20"/>
              </w:rPr>
              <w:t>40394</w:t>
            </w:r>
          </w:p>
        </w:tc>
        <w:tc>
          <w:tcPr>
            <w:tcW w:w="4457" w:type="pct"/>
            <w:gridSpan w:val="3"/>
          </w:tcPr>
          <w:p w:rsidR="00052598" w:rsidRPr="002E337B" w:rsidRDefault="00052598" w:rsidP="00052598">
            <w:pPr>
              <w:pStyle w:val="SCCLsocParty"/>
              <w:jc w:val="both"/>
              <w:rPr>
                <w:b/>
                <w:sz w:val="20"/>
                <w:szCs w:val="20"/>
              </w:rPr>
            </w:pPr>
            <w:r w:rsidRPr="002E337B">
              <w:rPr>
                <w:b/>
                <w:sz w:val="20"/>
                <w:szCs w:val="20"/>
              </w:rPr>
              <w:t>Nicolas Landry c. Sa Majesté le Roi</w:t>
            </w:r>
          </w:p>
          <w:p w:rsidR="00052598" w:rsidRPr="002E337B" w:rsidRDefault="00052598" w:rsidP="00052598">
            <w:pPr>
              <w:jc w:val="both"/>
              <w:rPr>
                <w:sz w:val="20"/>
                <w:lang w:val="fr-CA"/>
              </w:rPr>
            </w:pPr>
            <w:r w:rsidRPr="002E337B">
              <w:rPr>
                <w:sz w:val="20"/>
                <w:lang w:val="fr-CA"/>
              </w:rPr>
              <w:t>(Qc) (Criminelle) (De plein droit / Autorisation)</w:t>
            </w:r>
          </w:p>
        </w:tc>
      </w:tr>
      <w:tr w:rsidR="00052598" w:rsidRPr="002E337B" w:rsidTr="00052598">
        <w:tc>
          <w:tcPr>
            <w:tcW w:w="5000" w:type="pct"/>
            <w:gridSpan w:val="4"/>
          </w:tcPr>
          <w:p w:rsidR="00052598" w:rsidRPr="002E337B" w:rsidRDefault="00052598" w:rsidP="00052598">
            <w:pPr>
              <w:jc w:val="both"/>
              <w:rPr>
                <w:sz w:val="20"/>
                <w:lang w:val="fr-CA"/>
              </w:rPr>
            </w:pPr>
            <w:r w:rsidRPr="002E337B">
              <w:rPr>
                <w:sz w:val="20"/>
                <w:lang w:val="fr-CA"/>
              </w:rPr>
              <w:t xml:space="preserve">Droit criminel — Infractions — Éléments de l’infraction — Fraude — Privation — Coïncidence de </w:t>
            </w:r>
            <w:proofErr w:type="gramStart"/>
            <w:r w:rsidRPr="002E337B">
              <w:rPr>
                <w:sz w:val="20"/>
                <w:lang w:val="fr-CA"/>
              </w:rPr>
              <w:t>l’</w:t>
            </w:r>
            <w:r w:rsidRPr="002E337B">
              <w:rPr>
                <w:i/>
                <w:sz w:val="20"/>
                <w:lang w:val="fr-CA"/>
              </w:rPr>
              <w:t>actus</w:t>
            </w:r>
            <w:proofErr w:type="gramEnd"/>
            <w:r w:rsidRPr="002E337B">
              <w:rPr>
                <w:i/>
                <w:sz w:val="20"/>
                <w:lang w:val="fr-CA"/>
              </w:rPr>
              <w:t xml:space="preserve"> reus </w:t>
            </w:r>
            <w:r w:rsidRPr="002E337B">
              <w:rPr>
                <w:sz w:val="20"/>
                <w:lang w:val="fr-CA"/>
              </w:rPr>
              <w:t xml:space="preserve">et de la </w:t>
            </w:r>
            <w:r w:rsidRPr="002E337B">
              <w:rPr>
                <w:i/>
                <w:sz w:val="20"/>
                <w:lang w:val="fr-CA"/>
              </w:rPr>
              <w:t>mens rea</w:t>
            </w:r>
            <w:r w:rsidRPr="002E337B">
              <w:rPr>
                <w:sz w:val="20"/>
                <w:lang w:val="fr-CA"/>
              </w:rPr>
              <w:t xml:space="preserve"> — Preuve de lien de causalité — Les actes malhonnêtes de l’accusé ont-ils un lien de causalité suffisant au risque de préjudice pour la victime? — La connaissance de la victime du risque à son patrimoine fait-elle échec à la démonstration du lien de causalité? — Code criminel, L.R.C. 1985, c. C‑46, art. 380(1).</w:t>
            </w:r>
          </w:p>
        </w:tc>
      </w:tr>
      <w:tr w:rsidR="00052598" w:rsidRPr="002E337B" w:rsidTr="00052598">
        <w:tc>
          <w:tcPr>
            <w:tcW w:w="5000" w:type="pct"/>
            <w:gridSpan w:val="4"/>
          </w:tcPr>
          <w:p w:rsidR="00052598" w:rsidRPr="002E337B" w:rsidRDefault="00052598" w:rsidP="00052598">
            <w:pPr>
              <w:jc w:val="both"/>
              <w:rPr>
                <w:sz w:val="20"/>
                <w:lang w:val="fr-CA"/>
              </w:rPr>
            </w:pPr>
          </w:p>
          <w:p w:rsidR="00052598" w:rsidRPr="002E337B" w:rsidRDefault="00052598" w:rsidP="00052598">
            <w:pPr>
              <w:jc w:val="both"/>
              <w:rPr>
                <w:sz w:val="20"/>
                <w:lang w:val="fr-CA"/>
              </w:rPr>
            </w:pPr>
            <w:r w:rsidRPr="002E337B">
              <w:rPr>
                <w:sz w:val="20"/>
                <w:lang w:val="fr-CA"/>
              </w:rPr>
              <w:t xml:space="preserve">Le demandeur, un policier, était en arrêt de travail temporaire en raison de troubles médicaux. Lors d’une réunion avec un médecin-arbitre qui devait déterminer si son incapacité est permanente, le demandeur dénature ses activités de travail auprès des agences de voyage de son ex-épouse. Le médecin-arbitre conclut à son incapacité permanente, et le demandeur a donc eu droit à une indemnité permanente d’invalidité de son employeur. L’employeur avait connaissance de ses activités de travail, mais il ne les a pas partagées avec le médecin-arbitre. </w:t>
            </w:r>
          </w:p>
          <w:p w:rsidR="00052598" w:rsidRPr="002E337B" w:rsidRDefault="00052598" w:rsidP="00052598">
            <w:pPr>
              <w:jc w:val="both"/>
              <w:rPr>
                <w:sz w:val="20"/>
                <w:lang w:val="fr-CA"/>
              </w:rPr>
            </w:pPr>
          </w:p>
          <w:p w:rsidR="00052598" w:rsidRPr="002E337B" w:rsidRDefault="00052598" w:rsidP="00052598">
            <w:pPr>
              <w:jc w:val="both"/>
              <w:rPr>
                <w:sz w:val="20"/>
                <w:lang w:val="fr-CA"/>
              </w:rPr>
            </w:pPr>
            <w:r w:rsidRPr="002E337B">
              <w:rPr>
                <w:sz w:val="20"/>
                <w:lang w:val="fr-CA"/>
              </w:rPr>
              <w:t>Le juge du procès conclut que tous les éléments de l’infraction de fraude dépassant 5 000 $ étaient établis. Le demandeur fut reconnu coupable d’un chef d’accusation de fraude. Une majorité de la Cour d’appel affirme la décision du juge de première instance. Une minorité de la Cour d’appel aurait substitué un verdict de tentative de fraude.</w:t>
            </w:r>
          </w:p>
        </w:tc>
      </w:tr>
      <w:tr w:rsidR="00052598" w:rsidRPr="002E337B" w:rsidTr="00052598">
        <w:tc>
          <w:tcPr>
            <w:tcW w:w="5000" w:type="pct"/>
            <w:gridSpan w:val="4"/>
          </w:tcPr>
          <w:p w:rsidR="00052598" w:rsidRPr="002E337B" w:rsidRDefault="00052598" w:rsidP="00052598">
            <w:pPr>
              <w:jc w:val="both"/>
              <w:rPr>
                <w:sz w:val="20"/>
                <w:lang w:val="fr-CA"/>
              </w:rPr>
            </w:pPr>
          </w:p>
        </w:tc>
      </w:tr>
      <w:tr w:rsidR="00052598" w:rsidRPr="002E337B" w:rsidTr="00052598">
        <w:tc>
          <w:tcPr>
            <w:tcW w:w="2427" w:type="pct"/>
            <w:gridSpan w:val="2"/>
          </w:tcPr>
          <w:p w:rsidR="00052598" w:rsidRPr="002E337B" w:rsidRDefault="00052598" w:rsidP="00052598">
            <w:pPr>
              <w:jc w:val="both"/>
              <w:rPr>
                <w:sz w:val="20"/>
                <w:lang w:val="fr-CA"/>
              </w:rPr>
            </w:pPr>
            <w:r w:rsidRPr="002E337B">
              <w:rPr>
                <w:sz w:val="20"/>
                <w:lang w:val="fr-CA"/>
              </w:rPr>
              <w:lastRenderedPageBreak/>
              <w:t>Le 29 octobre 2018</w:t>
            </w:r>
          </w:p>
          <w:p w:rsidR="00052598" w:rsidRPr="002E337B" w:rsidRDefault="00052598" w:rsidP="00052598">
            <w:pPr>
              <w:jc w:val="both"/>
              <w:rPr>
                <w:sz w:val="20"/>
                <w:lang w:val="fr-CA"/>
              </w:rPr>
            </w:pPr>
            <w:r w:rsidRPr="002E337B">
              <w:rPr>
                <w:sz w:val="20"/>
                <w:lang w:val="fr-CA"/>
              </w:rPr>
              <w:t>Cour du Québec</w:t>
            </w:r>
          </w:p>
          <w:p w:rsidR="00052598" w:rsidRPr="002E337B" w:rsidRDefault="00052598" w:rsidP="00052598">
            <w:pPr>
              <w:jc w:val="both"/>
              <w:rPr>
                <w:sz w:val="20"/>
                <w:lang w:val="fr-CA"/>
              </w:rPr>
            </w:pPr>
            <w:r w:rsidRPr="002E337B">
              <w:rPr>
                <w:sz w:val="20"/>
                <w:lang w:val="fr-CA"/>
              </w:rPr>
              <w:t>(le juge Perreault)</w:t>
            </w:r>
          </w:p>
          <w:p w:rsidR="00052598" w:rsidRPr="002E337B" w:rsidRDefault="00052598" w:rsidP="00052598">
            <w:pPr>
              <w:jc w:val="both"/>
              <w:rPr>
                <w:sz w:val="20"/>
              </w:rPr>
            </w:pPr>
            <w:r w:rsidRPr="002E337B">
              <w:rPr>
                <w:sz w:val="20"/>
              </w:rPr>
              <w:t>No. 500-01-124881-151</w:t>
            </w:r>
          </w:p>
          <w:p w:rsidR="00052598" w:rsidRPr="002E337B" w:rsidRDefault="00052598" w:rsidP="00052598">
            <w:pPr>
              <w:jc w:val="both"/>
              <w:rPr>
                <w:sz w:val="20"/>
              </w:rPr>
            </w:pPr>
            <w:r w:rsidRPr="002E337B">
              <w:rPr>
                <w:sz w:val="20"/>
              </w:rPr>
              <w:t>(non-publié)</w:t>
            </w:r>
          </w:p>
          <w:p w:rsidR="00052598" w:rsidRPr="002E337B" w:rsidRDefault="00052598" w:rsidP="00052598">
            <w:pPr>
              <w:jc w:val="both"/>
              <w:rPr>
                <w:sz w:val="20"/>
              </w:rPr>
            </w:pPr>
          </w:p>
        </w:tc>
        <w:tc>
          <w:tcPr>
            <w:tcW w:w="243" w:type="pct"/>
          </w:tcPr>
          <w:p w:rsidR="00052598" w:rsidRPr="002E337B" w:rsidRDefault="00052598" w:rsidP="00052598">
            <w:pPr>
              <w:jc w:val="both"/>
              <w:rPr>
                <w:sz w:val="20"/>
              </w:rPr>
            </w:pPr>
          </w:p>
        </w:tc>
        <w:tc>
          <w:tcPr>
            <w:tcW w:w="2330" w:type="pct"/>
          </w:tcPr>
          <w:p w:rsidR="00052598" w:rsidRPr="002E337B" w:rsidRDefault="00052598" w:rsidP="00052598">
            <w:pPr>
              <w:jc w:val="both"/>
              <w:rPr>
                <w:sz w:val="20"/>
                <w:lang w:val="fr-CA"/>
              </w:rPr>
            </w:pPr>
            <w:r w:rsidRPr="002E337B">
              <w:rPr>
                <w:sz w:val="20"/>
                <w:lang w:val="fr-CA"/>
              </w:rPr>
              <w:t>Le demandeur est reconnu coupable d’une infraction de fraude.</w:t>
            </w:r>
          </w:p>
          <w:p w:rsidR="00052598" w:rsidRPr="002E337B" w:rsidRDefault="00052598" w:rsidP="00052598">
            <w:pPr>
              <w:jc w:val="both"/>
              <w:rPr>
                <w:sz w:val="20"/>
                <w:lang w:val="fr-CA"/>
              </w:rPr>
            </w:pPr>
          </w:p>
        </w:tc>
      </w:tr>
      <w:tr w:rsidR="00052598" w:rsidRPr="002E337B" w:rsidTr="00052598">
        <w:tc>
          <w:tcPr>
            <w:tcW w:w="2427" w:type="pct"/>
            <w:gridSpan w:val="2"/>
          </w:tcPr>
          <w:p w:rsidR="00052598" w:rsidRPr="002E337B" w:rsidRDefault="00052598" w:rsidP="00052598">
            <w:pPr>
              <w:jc w:val="both"/>
              <w:rPr>
                <w:sz w:val="20"/>
                <w:lang w:val="fr-CA"/>
              </w:rPr>
            </w:pPr>
            <w:r w:rsidRPr="002E337B">
              <w:rPr>
                <w:sz w:val="20"/>
                <w:lang w:val="fr-CA"/>
              </w:rPr>
              <w:t>Le 6 septembre 2022</w:t>
            </w:r>
          </w:p>
          <w:p w:rsidR="00052598" w:rsidRPr="002E337B" w:rsidRDefault="00052598" w:rsidP="00052598">
            <w:pPr>
              <w:jc w:val="both"/>
              <w:rPr>
                <w:sz w:val="20"/>
                <w:lang w:val="fr-CA"/>
              </w:rPr>
            </w:pPr>
            <w:r w:rsidRPr="002E337B">
              <w:rPr>
                <w:sz w:val="20"/>
                <w:lang w:val="fr-CA"/>
              </w:rPr>
              <w:t>Cour d’appel du Québec (Montréal)</w:t>
            </w:r>
          </w:p>
          <w:p w:rsidR="00052598" w:rsidRPr="002E337B" w:rsidRDefault="00052598" w:rsidP="00052598">
            <w:pPr>
              <w:jc w:val="both"/>
              <w:rPr>
                <w:sz w:val="20"/>
                <w:lang w:val="fr-CA"/>
              </w:rPr>
            </w:pPr>
            <w:r w:rsidRPr="002E337B">
              <w:rPr>
                <w:sz w:val="20"/>
                <w:lang w:val="fr-CA"/>
              </w:rPr>
              <w:t xml:space="preserve">(les juges Hogue, Cotnam [dissidente], et </w:t>
            </w:r>
          </w:p>
          <w:p w:rsidR="00052598" w:rsidRPr="002E337B" w:rsidRDefault="00052598" w:rsidP="00052598">
            <w:pPr>
              <w:jc w:val="both"/>
              <w:rPr>
                <w:sz w:val="20"/>
              </w:rPr>
            </w:pPr>
            <w:r w:rsidRPr="002E337B">
              <w:rPr>
                <w:sz w:val="20"/>
              </w:rPr>
              <w:t>Cournoyer)</w:t>
            </w:r>
          </w:p>
          <w:p w:rsidR="00052598" w:rsidRPr="002E337B" w:rsidRDefault="002E337B" w:rsidP="00052598">
            <w:pPr>
              <w:jc w:val="both"/>
              <w:rPr>
                <w:sz w:val="20"/>
              </w:rPr>
            </w:pPr>
            <w:hyperlink r:id="rId21" w:history="1">
              <w:r w:rsidR="00052598" w:rsidRPr="002E337B">
                <w:rPr>
                  <w:rStyle w:val="Hyperlink"/>
                  <w:sz w:val="20"/>
                </w:rPr>
                <w:t>2022 QCCA 1186</w:t>
              </w:r>
            </w:hyperlink>
          </w:p>
          <w:p w:rsidR="00052598" w:rsidRPr="002E337B" w:rsidRDefault="00052598" w:rsidP="00052598">
            <w:pPr>
              <w:jc w:val="both"/>
              <w:rPr>
                <w:sz w:val="20"/>
              </w:rPr>
            </w:pPr>
          </w:p>
        </w:tc>
        <w:tc>
          <w:tcPr>
            <w:tcW w:w="243" w:type="pct"/>
          </w:tcPr>
          <w:p w:rsidR="00052598" w:rsidRPr="002E337B" w:rsidRDefault="00052598" w:rsidP="00052598">
            <w:pPr>
              <w:jc w:val="both"/>
              <w:rPr>
                <w:sz w:val="20"/>
              </w:rPr>
            </w:pPr>
          </w:p>
        </w:tc>
        <w:tc>
          <w:tcPr>
            <w:tcW w:w="2330" w:type="pct"/>
          </w:tcPr>
          <w:p w:rsidR="00052598" w:rsidRPr="002E337B" w:rsidRDefault="00052598" w:rsidP="00052598">
            <w:pPr>
              <w:jc w:val="both"/>
              <w:rPr>
                <w:sz w:val="20"/>
                <w:lang w:val="fr-CA"/>
              </w:rPr>
            </w:pPr>
            <w:r w:rsidRPr="002E337B">
              <w:rPr>
                <w:sz w:val="20"/>
                <w:lang w:val="fr-CA"/>
              </w:rPr>
              <w:t>Appel rejeté. Une juge aurait substitué un verdict de tentative de fraude et aurait réduit la peine imposée.</w:t>
            </w:r>
          </w:p>
          <w:p w:rsidR="00052598" w:rsidRPr="002E337B" w:rsidRDefault="00052598" w:rsidP="00052598">
            <w:pPr>
              <w:jc w:val="both"/>
              <w:rPr>
                <w:sz w:val="20"/>
                <w:lang w:val="fr-CA"/>
              </w:rPr>
            </w:pPr>
          </w:p>
        </w:tc>
      </w:tr>
      <w:tr w:rsidR="00052598" w:rsidRPr="002E337B" w:rsidTr="00052598">
        <w:tc>
          <w:tcPr>
            <w:tcW w:w="2427" w:type="pct"/>
            <w:gridSpan w:val="2"/>
          </w:tcPr>
          <w:p w:rsidR="00052598" w:rsidRPr="002E337B" w:rsidRDefault="00052598" w:rsidP="00052598">
            <w:pPr>
              <w:jc w:val="both"/>
              <w:rPr>
                <w:sz w:val="20"/>
                <w:lang w:val="fr-CA"/>
              </w:rPr>
            </w:pPr>
            <w:r w:rsidRPr="002E337B">
              <w:rPr>
                <w:sz w:val="20"/>
                <w:lang w:val="fr-CA"/>
              </w:rPr>
              <w:t>Le 16 septembre 2022</w:t>
            </w:r>
          </w:p>
          <w:p w:rsidR="00052598" w:rsidRPr="002E337B" w:rsidRDefault="00052598" w:rsidP="00052598">
            <w:pPr>
              <w:jc w:val="both"/>
              <w:rPr>
                <w:sz w:val="20"/>
                <w:lang w:val="fr-CA"/>
              </w:rPr>
            </w:pPr>
            <w:r w:rsidRPr="002E337B">
              <w:rPr>
                <w:sz w:val="20"/>
                <w:lang w:val="fr-CA"/>
              </w:rPr>
              <w:t>Cour suprême du Canada</w:t>
            </w:r>
          </w:p>
          <w:p w:rsidR="00052598" w:rsidRPr="002E337B" w:rsidRDefault="00052598" w:rsidP="00052598">
            <w:pPr>
              <w:jc w:val="both"/>
              <w:rPr>
                <w:sz w:val="20"/>
                <w:lang w:val="fr-CA"/>
              </w:rPr>
            </w:pPr>
          </w:p>
        </w:tc>
        <w:tc>
          <w:tcPr>
            <w:tcW w:w="243" w:type="pct"/>
          </w:tcPr>
          <w:p w:rsidR="00052598" w:rsidRPr="002E337B" w:rsidRDefault="00052598" w:rsidP="00052598">
            <w:pPr>
              <w:jc w:val="both"/>
              <w:rPr>
                <w:sz w:val="20"/>
                <w:lang w:val="fr-CA"/>
              </w:rPr>
            </w:pPr>
          </w:p>
        </w:tc>
        <w:tc>
          <w:tcPr>
            <w:tcW w:w="2330" w:type="pct"/>
          </w:tcPr>
          <w:p w:rsidR="00052598" w:rsidRPr="002E337B" w:rsidRDefault="00052598" w:rsidP="00052598">
            <w:pPr>
              <w:jc w:val="both"/>
              <w:rPr>
                <w:sz w:val="20"/>
              </w:rPr>
            </w:pPr>
            <w:r w:rsidRPr="002E337B">
              <w:rPr>
                <w:sz w:val="20"/>
              </w:rPr>
              <w:t>Avis d’appel déposé.</w:t>
            </w:r>
          </w:p>
          <w:p w:rsidR="00052598" w:rsidRPr="002E337B" w:rsidRDefault="00052598" w:rsidP="00052598">
            <w:pPr>
              <w:jc w:val="both"/>
              <w:rPr>
                <w:sz w:val="20"/>
              </w:rPr>
            </w:pPr>
          </w:p>
        </w:tc>
      </w:tr>
      <w:tr w:rsidR="00052598" w:rsidRPr="002E337B" w:rsidTr="00052598">
        <w:tc>
          <w:tcPr>
            <w:tcW w:w="2427" w:type="pct"/>
            <w:gridSpan w:val="2"/>
          </w:tcPr>
          <w:p w:rsidR="00052598" w:rsidRPr="002E337B" w:rsidRDefault="00052598" w:rsidP="00052598">
            <w:pPr>
              <w:jc w:val="both"/>
              <w:rPr>
                <w:sz w:val="20"/>
                <w:lang w:val="fr-CA"/>
              </w:rPr>
            </w:pPr>
            <w:r w:rsidRPr="002E337B">
              <w:rPr>
                <w:sz w:val="20"/>
                <w:lang w:val="fr-CA"/>
              </w:rPr>
              <w:t>Le 21 mars 2023</w:t>
            </w:r>
          </w:p>
          <w:p w:rsidR="00052598" w:rsidRPr="002E337B" w:rsidRDefault="00052598" w:rsidP="00052598">
            <w:pPr>
              <w:jc w:val="both"/>
              <w:rPr>
                <w:sz w:val="20"/>
                <w:lang w:val="fr-CA"/>
              </w:rPr>
            </w:pPr>
            <w:r w:rsidRPr="002E337B">
              <w:rPr>
                <w:sz w:val="20"/>
                <w:lang w:val="fr-CA"/>
              </w:rPr>
              <w:t>Cour suprême du Canada</w:t>
            </w:r>
          </w:p>
        </w:tc>
        <w:tc>
          <w:tcPr>
            <w:tcW w:w="243" w:type="pct"/>
          </w:tcPr>
          <w:p w:rsidR="00052598" w:rsidRPr="002E337B" w:rsidRDefault="00052598" w:rsidP="00052598">
            <w:pPr>
              <w:jc w:val="both"/>
              <w:rPr>
                <w:sz w:val="20"/>
                <w:lang w:val="fr-CA"/>
              </w:rPr>
            </w:pPr>
          </w:p>
        </w:tc>
        <w:tc>
          <w:tcPr>
            <w:tcW w:w="2330" w:type="pct"/>
          </w:tcPr>
          <w:p w:rsidR="00052598" w:rsidRPr="002E337B" w:rsidRDefault="00052598" w:rsidP="00052598">
            <w:pPr>
              <w:jc w:val="both"/>
              <w:rPr>
                <w:sz w:val="20"/>
              </w:rPr>
            </w:pPr>
            <w:r w:rsidRPr="002E337B">
              <w:rPr>
                <w:sz w:val="20"/>
              </w:rPr>
              <w:t>Demande d'autorisation d'appel déposée.</w:t>
            </w:r>
          </w:p>
          <w:p w:rsidR="00052598" w:rsidRPr="002E337B" w:rsidRDefault="00052598" w:rsidP="00052598">
            <w:pPr>
              <w:jc w:val="both"/>
              <w:rPr>
                <w:sz w:val="20"/>
              </w:rPr>
            </w:pPr>
          </w:p>
        </w:tc>
      </w:tr>
    </w:tbl>
    <w:p w:rsidR="00052598" w:rsidRPr="002E337B" w:rsidRDefault="00052598" w:rsidP="00052598">
      <w:pPr>
        <w:jc w:val="both"/>
        <w:rPr>
          <w:sz w:val="20"/>
        </w:rPr>
      </w:pPr>
    </w:p>
    <w:p w:rsidR="00052598" w:rsidRPr="002E337B" w:rsidRDefault="002E337B" w:rsidP="00052598">
      <w:pPr>
        <w:jc w:val="both"/>
        <w:rPr>
          <w:sz w:val="20"/>
        </w:rPr>
      </w:pPr>
      <w:r w:rsidRPr="002E337B">
        <w:rPr>
          <w:sz w:val="20"/>
        </w:rPr>
        <w:pict>
          <v:rect id="_x0000_i1028" style="width:2in;height:1pt" o:hrpct="0" o:hralign="center" o:hrstd="t" o:hrnoshade="t" o:hr="t" fillcolor="black [3213]" stroked="f"/>
        </w:pict>
      </w:r>
    </w:p>
    <w:p w:rsidR="00052598" w:rsidRPr="002E337B" w:rsidRDefault="00052598" w:rsidP="0005259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52598" w:rsidRPr="002E337B" w:rsidTr="00052598">
        <w:tc>
          <w:tcPr>
            <w:tcW w:w="543" w:type="pct"/>
          </w:tcPr>
          <w:p w:rsidR="00052598" w:rsidRPr="002E337B" w:rsidRDefault="00052598" w:rsidP="00052598">
            <w:pPr>
              <w:jc w:val="both"/>
              <w:rPr>
                <w:sz w:val="20"/>
              </w:rPr>
            </w:pPr>
            <w:r w:rsidRPr="002E337B">
              <w:rPr>
                <w:rStyle w:val="SCCFileNumberChar"/>
                <w:sz w:val="20"/>
                <w:szCs w:val="20"/>
              </w:rPr>
              <w:t>40481</w:t>
            </w:r>
          </w:p>
        </w:tc>
        <w:tc>
          <w:tcPr>
            <w:tcW w:w="4457" w:type="pct"/>
            <w:gridSpan w:val="3"/>
          </w:tcPr>
          <w:p w:rsidR="00052598" w:rsidRPr="002E337B" w:rsidRDefault="00052598" w:rsidP="00052598">
            <w:pPr>
              <w:pStyle w:val="SCCLsocParty"/>
              <w:jc w:val="both"/>
              <w:rPr>
                <w:b/>
                <w:sz w:val="20"/>
                <w:szCs w:val="20"/>
                <w:lang w:val="en-US"/>
              </w:rPr>
            </w:pPr>
            <w:r w:rsidRPr="002E337B">
              <w:rPr>
                <w:b/>
                <w:sz w:val="20"/>
                <w:szCs w:val="20"/>
                <w:lang w:val="en-US"/>
              </w:rPr>
              <w:t>Benedict Agbakoba v. The Director of Adult Forensic Psychiatric Services, Attorney General of British Columbia</w:t>
            </w:r>
          </w:p>
          <w:p w:rsidR="00052598" w:rsidRPr="002E337B" w:rsidRDefault="00052598" w:rsidP="00052598">
            <w:pPr>
              <w:jc w:val="both"/>
              <w:rPr>
                <w:sz w:val="20"/>
              </w:rPr>
            </w:pPr>
            <w:r w:rsidRPr="002E337B">
              <w:rPr>
                <w:sz w:val="20"/>
              </w:rPr>
              <w:t>(B.C.) (Criminal) (By Leave)</w:t>
            </w:r>
          </w:p>
        </w:tc>
      </w:tr>
      <w:tr w:rsidR="00052598" w:rsidRPr="002E337B" w:rsidTr="00052598">
        <w:tc>
          <w:tcPr>
            <w:tcW w:w="5000" w:type="pct"/>
            <w:gridSpan w:val="4"/>
          </w:tcPr>
          <w:p w:rsidR="00052598" w:rsidRPr="002E337B" w:rsidRDefault="00052598" w:rsidP="00052598">
            <w:pPr>
              <w:jc w:val="both"/>
              <w:rPr>
                <w:sz w:val="20"/>
              </w:rPr>
            </w:pPr>
            <w:r w:rsidRPr="002E337B">
              <w:rPr>
                <w:sz w:val="20"/>
              </w:rPr>
              <w:t xml:space="preserve">Criminal law — Mental disorder — Dispositions by review board — Immigration — Inadmissibility and removal — Whether the British Columbia Court of Appeal erred in law when it concluded that the British Columbia Review Board lacked jurisdiction under s. 672.54 of the </w:t>
            </w:r>
            <w:r w:rsidRPr="002E337B">
              <w:rPr>
                <w:i/>
                <w:sz w:val="20"/>
              </w:rPr>
              <w:t>Criminal Code</w:t>
            </w:r>
            <w:r w:rsidRPr="002E337B">
              <w:rPr>
                <w:sz w:val="20"/>
              </w:rPr>
              <w:t xml:space="preserve"> to include a term in its conditional discharge that would be directly contravened if the Minister of Public Safety enforced the applicant’s removal order — </w:t>
            </w:r>
            <w:r w:rsidRPr="002E337B">
              <w:rPr>
                <w:i/>
                <w:sz w:val="20"/>
              </w:rPr>
              <w:t>Criminal Code</w:t>
            </w:r>
            <w:r w:rsidRPr="002E337B">
              <w:rPr>
                <w:sz w:val="20"/>
              </w:rPr>
              <w:t xml:space="preserve">, R.S.C. 1985, c. C-46, s. 672.54 — </w:t>
            </w:r>
            <w:r w:rsidRPr="002E337B">
              <w:rPr>
                <w:bCs/>
                <w:i/>
                <w:sz w:val="20"/>
              </w:rPr>
              <w:t>Immigration and Refugee Protection Act</w:t>
            </w:r>
            <w:r w:rsidRPr="002E337B">
              <w:rPr>
                <w:bCs/>
                <w:sz w:val="20"/>
              </w:rPr>
              <w:t>, S.C. 2001, c. 27, s. 50.</w:t>
            </w:r>
          </w:p>
          <w:p w:rsidR="00052598" w:rsidRPr="002E337B" w:rsidRDefault="00052598" w:rsidP="00052598">
            <w:pPr>
              <w:jc w:val="both"/>
              <w:rPr>
                <w:sz w:val="20"/>
              </w:rPr>
            </w:pPr>
          </w:p>
        </w:tc>
      </w:tr>
      <w:tr w:rsidR="00052598" w:rsidRPr="002E337B" w:rsidTr="00052598">
        <w:tc>
          <w:tcPr>
            <w:tcW w:w="5000" w:type="pct"/>
            <w:gridSpan w:val="4"/>
          </w:tcPr>
          <w:p w:rsidR="00052598" w:rsidRPr="002E337B" w:rsidRDefault="00052598" w:rsidP="00052598">
            <w:pPr>
              <w:jc w:val="both"/>
              <w:rPr>
                <w:sz w:val="20"/>
              </w:rPr>
            </w:pPr>
            <w:r w:rsidRPr="002E337B">
              <w:rPr>
                <w:sz w:val="20"/>
              </w:rPr>
              <w:t xml:space="preserve">The applicant came to Canada from Nigeria in April 2014 on a student visa. By late 2016, his school performance had declined and he was no longer enrolled in college contrary to the requirements of his visa. In January 2017, he assaulted a neighbour using a weapon inflicting severe injuries, including multiple stab wounds. He was arrested and charged with an offence. A Canada Border Services Agency (“CBSA”) officer reported the applicant as inadmissible to Canada because of non-compliance with the terms of his visa and in February 2017, a removal order was issued against him under the </w:t>
            </w:r>
            <w:r w:rsidRPr="002E337B">
              <w:rPr>
                <w:i/>
                <w:sz w:val="20"/>
              </w:rPr>
              <w:t>Immigration and Refugee Protection Act</w:t>
            </w:r>
            <w:r w:rsidRPr="002E337B">
              <w:rPr>
                <w:sz w:val="20"/>
              </w:rPr>
              <w:t>, S.C. 2001, c. 27 (“</w:t>
            </w:r>
            <w:r w:rsidRPr="002E337B">
              <w:rPr>
                <w:i/>
                <w:sz w:val="20"/>
              </w:rPr>
              <w:t>IRPA</w:t>
            </w:r>
            <w:r w:rsidRPr="002E337B">
              <w:rPr>
                <w:sz w:val="20"/>
              </w:rPr>
              <w:t>”). The applicant did not seek to have the removal order judicially reviewed.</w:t>
            </w:r>
          </w:p>
          <w:p w:rsidR="00052598" w:rsidRPr="002E337B" w:rsidRDefault="00052598" w:rsidP="00052598">
            <w:pPr>
              <w:jc w:val="both"/>
              <w:rPr>
                <w:sz w:val="20"/>
              </w:rPr>
            </w:pPr>
          </w:p>
          <w:p w:rsidR="00052598" w:rsidRPr="002E337B" w:rsidRDefault="00052598" w:rsidP="00052598">
            <w:pPr>
              <w:jc w:val="both"/>
              <w:rPr>
                <w:sz w:val="20"/>
              </w:rPr>
            </w:pPr>
            <w:r w:rsidRPr="002E337B">
              <w:rPr>
                <w:sz w:val="20"/>
              </w:rPr>
              <w:t>In January 2018, the applicant was found not criminally responsible for aggravated assault on account of a mental disorder. In February 2018, the British Columbia Review Board (the “Review Board”) released him from the Forensic Psychiatric Hospital (“FPH”) on a conditional discharge which included a term that he not be detained or removed from British Columbia. In March 2018, the applicant returned to custody at the FPH following an altercation with a roommate and threatening conduct towards others. The following month, the Review Board ordered that the applicant remain in custody for 12 months. His custodial disposition was extended to February 2021 and in the meantime he was denied status as a convention refugee and a permanent resident. The applicant applied for judicial review of the denial of permanent resident status which was dismissed by the Federal Court in April 2021. In April 2022, the Review Board ordered that the applicant be conditionally discharged. The Review Board declined to include as part of the conditional discharge a term that the applicant not be detained or removed from British Columbia without prior notice to the Review Board and a hearing. The applicant’s appeal to the Court of Appeal was dismissed.</w:t>
            </w:r>
          </w:p>
          <w:p w:rsidR="00052598" w:rsidRPr="002E337B" w:rsidRDefault="00052598" w:rsidP="00052598">
            <w:pPr>
              <w:jc w:val="both"/>
              <w:rPr>
                <w:sz w:val="20"/>
              </w:rPr>
            </w:pPr>
          </w:p>
        </w:tc>
      </w:tr>
      <w:tr w:rsidR="00052598" w:rsidRPr="002E337B" w:rsidTr="00052598">
        <w:tc>
          <w:tcPr>
            <w:tcW w:w="2427" w:type="pct"/>
            <w:gridSpan w:val="2"/>
          </w:tcPr>
          <w:p w:rsidR="00052598" w:rsidRPr="002E337B" w:rsidRDefault="00052598" w:rsidP="00052598">
            <w:pPr>
              <w:jc w:val="both"/>
              <w:rPr>
                <w:sz w:val="20"/>
              </w:rPr>
            </w:pPr>
            <w:r w:rsidRPr="002E337B">
              <w:rPr>
                <w:sz w:val="20"/>
              </w:rPr>
              <w:t>April 13, 2022</w:t>
            </w:r>
          </w:p>
          <w:p w:rsidR="00052598" w:rsidRPr="002E337B" w:rsidRDefault="00052598" w:rsidP="00052598">
            <w:pPr>
              <w:jc w:val="both"/>
              <w:rPr>
                <w:sz w:val="20"/>
              </w:rPr>
            </w:pPr>
            <w:r w:rsidRPr="002E337B">
              <w:rPr>
                <w:sz w:val="20"/>
              </w:rPr>
              <w:t>British Columbia Review Board</w:t>
            </w:r>
          </w:p>
          <w:p w:rsidR="00052598" w:rsidRPr="002E337B" w:rsidRDefault="00052598" w:rsidP="00052598">
            <w:pPr>
              <w:jc w:val="both"/>
              <w:rPr>
                <w:sz w:val="20"/>
              </w:rPr>
            </w:pPr>
            <w:r w:rsidRPr="002E337B">
              <w:rPr>
                <w:sz w:val="20"/>
              </w:rPr>
              <w:t>(Edwards, chair; Smith and Cayley, members)</w:t>
            </w:r>
          </w:p>
          <w:p w:rsidR="00052598" w:rsidRPr="002E337B" w:rsidRDefault="00052598" w:rsidP="00052598">
            <w:pPr>
              <w:jc w:val="both"/>
              <w:rPr>
                <w:sz w:val="20"/>
              </w:rPr>
            </w:pPr>
          </w:p>
        </w:tc>
        <w:tc>
          <w:tcPr>
            <w:tcW w:w="243" w:type="pct"/>
          </w:tcPr>
          <w:p w:rsidR="00052598" w:rsidRPr="002E337B" w:rsidRDefault="00052598" w:rsidP="00052598">
            <w:pPr>
              <w:jc w:val="both"/>
              <w:rPr>
                <w:sz w:val="20"/>
              </w:rPr>
            </w:pPr>
          </w:p>
        </w:tc>
        <w:tc>
          <w:tcPr>
            <w:tcW w:w="2330" w:type="pct"/>
          </w:tcPr>
          <w:p w:rsidR="00052598" w:rsidRPr="002E337B" w:rsidRDefault="00052598" w:rsidP="00052598">
            <w:pPr>
              <w:jc w:val="both"/>
              <w:rPr>
                <w:sz w:val="20"/>
              </w:rPr>
            </w:pPr>
            <w:r w:rsidRPr="002E337B">
              <w:rPr>
                <w:sz w:val="20"/>
              </w:rPr>
              <w:t>Applicant granted conditional discharge for 12 months; Applicant’s request for order precluding his detention or removal from province without notice to and a hearing of the Review Board dismissed</w:t>
            </w:r>
          </w:p>
          <w:p w:rsidR="00052598" w:rsidRPr="002E337B" w:rsidRDefault="00052598" w:rsidP="00052598">
            <w:pPr>
              <w:jc w:val="both"/>
              <w:rPr>
                <w:sz w:val="20"/>
              </w:rPr>
            </w:pPr>
          </w:p>
        </w:tc>
      </w:tr>
      <w:tr w:rsidR="00052598" w:rsidRPr="002E337B" w:rsidTr="00052598">
        <w:tc>
          <w:tcPr>
            <w:tcW w:w="2427" w:type="pct"/>
            <w:gridSpan w:val="2"/>
          </w:tcPr>
          <w:p w:rsidR="00052598" w:rsidRPr="002E337B" w:rsidRDefault="00052598" w:rsidP="00052598">
            <w:pPr>
              <w:jc w:val="both"/>
              <w:rPr>
                <w:sz w:val="20"/>
              </w:rPr>
            </w:pPr>
            <w:r w:rsidRPr="002E337B">
              <w:rPr>
                <w:sz w:val="20"/>
              </w:rPr>
              <w:t>November 25, 2022</w:t>
            </w:r>
          </w:p>
          <w:p w:rsidR="00052598" w:rsidRPr="002E337B" w:rsidRDefault="00052598" w:rsidP="00052598">
            <w:pPr>
              <w:jc w:val="both"/>
              <w:rPr>
                <w:sz w:val="20"/>
              </w:rPr>
            </w:pPr>
            <w:r w:rsidRPr="002E337B">
              <w:rPr>
                <w:sz w:val="20"/>
              </w:rPr>
              <w:t>Court of Appeal for British Columbia</w:t>
            </w:r>
          </w:p>
          <w:p w:rsidR="00052598" w:rsidRPr="002E337B" w:rsidRDefault="00052598" w:rsidP="00052598">
            <w:pPr>
              <w:jc w:val="both"/>
              <w:rPr>
                <w:sz w:val="20"/>
              </w:rPr>
            </w:pPr>
            <w:r w:rsidRPr="002E337B">
              <w:rPr>
                <w:sz w:val="20"/>
              </w:rPr>
              <w:lastRenderedPageBreak/>
              <w:t>(Vancouver)</w:t>
            </w:r>
          </w:p>
          <w:p w:rsidR="00052598" w:rsidRPr="002E337B" w:rsidRDefault="00052598" w:rsidP="00052598">
            <w:pPr>
              <w:jc w:val="both"/>
              <w:rPr>
                <w:sz w:val="20"/>
              </w:rPr>
            </w:pPr>
            <w:r w:rsidRPr="002E337B">
              <w:rPr>
                <w:sz w:val="20"/>
              </w:rPr>
              <w:t>(Stromberg-Stein, Willcock and</w:t>
            </w:r>
          </w:p>
          <w:p w:rsidR="00052598" w:rsidRPr="002E337B" w:rsidRDefault="00052598" w:rsidP="00052598">
            <w:pPr>
              <w:jc w:val="both"/>
              <w:rPr>
                <w:sz w:val="20"/>
              </w:rPr>
            </w:pPr>
            <w:r w:rsidRPr="002E337B">
              <w:rPr>
                <w:sz w:val="20"/>
              </w:rPr>
              <w:t>DeWitt</w:t>
            </w:r>
            <w:r w:rsidRPr="002E337B">
              <w:rPr>
                <w:sz w:val="20"/>
              </w:rPr>
              <w:noBreakHyphen/>
              <w:t>Van Oosten JJ.A.)</w:t>
            </w:r>
          </w:p>
          <w:p w:rsidR="00052598" w:rsidRPr="002E337B" w:rsidRDefault="002E337B" w:rsidP="00052598">
            <w:pPr>
              <w:jc w:val="both"/>
              <w:rPr>
                <w:sz w:val="20"/>
              </w:rPr>
            </w:pPr>
            <w:hyperlink r:id="rId22" w:history="1">
              <w:r w:rsidR="00052598" w:rsidRPr="002E337B">
                <w:rPr>
                  <w:rStyle w:val="Hyperlink"/>
                  <w:sz w:val="20"/>
                </w:rPr>
                <w:t>2022 BCCA 394</w:t>
              </w:r>
            </w:hyperlink>
            <w:r w:rsidR="00052598" w:rsidRPr="002E337B">
              <w:rPr>
                <w:sz w:val="20"/>
              </w:rPr>
              <w:t xml:space="preserve">; CA48290 </w:t>
            </w:r>
          </w:p>
          <w:p w:rsidR="00052598" w:rsidRPr="002E337B" w:rsidRDefault="00052598" w:rsidP="00052598">
            <w:pPr>
              <w:jc w:val="both"/>
              <w:rPr>
                <w:sz w:val="20"/>
              </w:rPr>
            </w:pPr>
          </w:p>
        </w:tc>
        <w:tc>
          <w:tcPr>
            <w:tcW w:w="243" w:type="pct"/>
          </w:tcPr>
          <w:p w:rsidR="00052598" w:rsidRPr="002E337B" w:rsidRDefault="00052598" w:rsidP="00052598">
            <w:pPr>
              <w:jc w:val="both"/>
              <w:rPr>
                <w:sz w:val="20"/>
              </w:rPr>
            </w:pPr>
          </w:p>
        </w:tc>
        <w:tc>
          <w:tcPr>
            <w:tcW w:w="2330" w:type="pct"/>
          </w:tcPr>
          <w:p w:rsidR="00052598" w:rsidRPr="002E337B" w:rsidRDefault="00052598" w:rsidP="00052598">
            <w:pPr>
              <w:jc w:val="both"/>
              <w:rPr>
                <w:sz w:val="20"/>
              </w:rPr>
            </w:pPr>
            <w:r w:rsidRPr="002E337B">
              <w:rPr>
                <w:sz w:val="20"/>
              </w:rPr>
              <w:t>Appeal dismissed</w:t>
            </w:r>
          </w:p>
        </w:tc>
      </w:tr>
      <w:tr w:rsidR="00052598" w:rsidRPr="002E337B" w:rsidTr="00052598">
        <w:tc>
          <w:tcPr>
            <w:tcW w:w="2427" w:type="pct"/>
            <w:gridSpan w:val="2"/>
          </w:tcPr>
          <w:p w:rsidR="00052598" w:rsidRPr="002E337B" w:rsidRDefault="00052598" w:rsidP="00052598">
            <w:pPr>
              <w:jc w:val="both"/>
              <w:rPr>
                <w:sz w:val="20"/>
              </w:rPr>
            </w:pPr>
            <w:r w:rsidRPr="002E337B">
              <w:rPr>
                <w:sz w:val="20"/>
              </w:rPr>
              <w:t>January 9, 2023</w:t>
            </w:r>
          </w:p>
          <w:p w:rsidR="00052598" w:rsidRPr="002E337B" w:rsidRDefault="00052598" w:rsidP="00052598">
            <w:pPr>
              <w:jc w:val="both"/>
              <w:rPr>
                <w:sz w:val="20"/>
              </w:rPr>
            </w:pPr>
            <w:r w:rsidRPr="002E337B">
              <w:rPr>
                <w:sz w:val="20"/>
              </w:rPr>
              <w:t>Supreme Court of Canada</w:t>
            </w:r>
          </w:p>
        </w:tc>
        <w:tc>
          <w:tcPr>
            <w:tcW w:w="243" w:type="pct"/>
          </w:tcPr>
          <w:p w:rsidR="00052598" w:rsidRPr="002E337B" w:rsidRDefault="00052598" w:rsidP="00052598">
            <w:pPr>
              <w:jc w:val="both"/>
              <w:rPr>
                <w:sz w:val="20"/>
              </w:rPr>
            </w:pPr>
          </w:p>
        </w:tc>
        <w:tc>
          <w:tcPr>
            <w:tcW w:w="2330" w:type="pct"/>
          </w:tcPr>
          <w:p w:rsidR="00052598" w:rsidRPr="002E337B" w:rsidRDefault="00052598" w:rsidP="00052598">
            <w:pPr>
              <w:jc w:val="both"/>
              <w:rPr>
                <w:sz w:val="20"/>
              </w:rPr>
            </w:pPr>
            <w:r w:rsidRPr="002E337B">
              <w:rPr>
                <w:sz w:val="20"/>
              </w:rPr>
              <w:t>Application for leave to appeal filed</w:t>
            </w:r>
          </w:p>
          <w:p w:rsidR="00052598" w:rsidRPr="002E337B" w:rsidRDefault="00052598" w:rsidP="00052598">
            <w:pPr>
              <w:jc w:val="both"/>
              <w:rPr>
                <w:sz w:val="20"/>
              </w:rPr>
            </w:pPr>
          </w:p>
        </w:tc>
      </w:tr>
    </w:tbl>
    <w:p w:rsidR="00052598" w:rsidRPr="002E337B" w:rsidRDefault="00052598" w:rsidP="00052598">
      <w:pPr>
        <w:jc w:val="both"/>
        <w:rPr>
          <w:sz w:val="20"/>
        </w:rPr>
      </w:pPr>
    </w:p>
    <w:p w:rsidR="00052598" w:rsidRPr="002E337B" w:rsidRDefault="002E337B" w:rsidP="00052598">
      <w:pPr>
        <w:jc w:val="both"/>
        <w:rPr>
          <w:sz w:val="20"/>
        </w:rPr>
      </w:pPr>
      <w:r w:rsidRPr="002E337B">
        <w:rPr>
          <w:sz w:val="20"/>
        </w:rPr>
        <w:pict>
          <v:rect id="_x0000_i1029" style="width:2in;height:1pt" o:hrpct="0" o:hralign="center" o:hrstd="t" o:hrnoshade="t" o:hr="t" fillcolor="black [3213]" stroked="f"/>
        </w:pict>
      </w:r>
    </w:p>
    <w:p w:rsidR="00052598" w:rsidRPr="002E337B" w:rsidRDefault="00052598" w:rsidP="0005259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52598" w:rsidRPr="002E337B" w:rsidTr="00052598">
        <w:tc>
          <w:tcPr>
            <w:tcW w:w="543" w:type="pct"/>
          </w:tcPr>
          <w:p w:rsidR="00052598" w:rsidRPr="002E337B" w:rsidRDefault="00052598" w:rsidP="00052598">
            <w:pPr>
              <w:jc w:val="both"/>
              <w:rPr>
                <w:sz w:val="20"/>
                <w:lang w:val="fr-CA"/>
              </w:rPr>
            </w:pPr>
            <w:r w:rsidRPr="002E337B">
              <w:rPr>
                <w:rStyle w:val="SCCFileNumberChar"/>
                <w:sz w:val="20"/>
                <w:szCs w:val="20"/>
                <w:lang w:val="fr-CA"/>
              </w:rPr>
              <w:t>40481</w:t>
            </w:r>
          </w:p>
        </w:tc>
        <w:tc>
          <w:tcPr>
            <w:tcW w:w="4457" w:type="pct"/>
            <w:gridSpan w:val="3"/>
          </w:tcPr>
          <w:p w:rsidR="00052598" w:rsidRPr="002E337B" w:rsidRDefault="00052598" w:rsidP="00052598">
            <w:pPr>
              <w:pStyle w:val="SCCLsocParty"/>
              <w:jc w:val="both"/>
              <w:rPr>
                <w:b/>
                <w:sz w:val="20"/>
                <w:szCs w:val="20"/>
              </w:rPr>
            </w:pPr>
            <w:r w:rsidRPr="002E337B">
              <w:rPr>
                <w:b/>
                <w:sz w:val="20"/>
                <w:szCs w:val="20"/>
              </w:rPr>
              <w:t>Benedict Agbakoba c. Directeur des Adult Forensic Psychiatric Services, Procureur général de la Colombie</w:t>
            </w:r>
            <w:r w:rsidRPr="002E337B">
              <w:rPr>
                <w:b/>
                <w:sz w:val="20"/>
                <w:szCs w:val="20"/>
              </w:rPr>
              <w:noBreakHyphen/>
              <w:t>Britannique</w:t>
            </w:r>
          </w:p>
          <w:p w:rsidR="00052598" w:rsidRPr="002E337B" w:rsidRDefault="00052598" w:rsidP="00052598">
            <w:pPr>
              <w:jc w:val="both"/>
              <w:rPr>
                <w:sz w:val="20"/>
                <w:lang w:val="fr-CA"/>
              </w:rPr>
            </w:pPr>
            <w:r w:rsidRPr="002E337B">
              <w:rPr>
                <w:sz w:val="20"/>
                <w:lang w:val="fr-CA"/>
              </w:rPr>
              <w:t>(C</w:t>
            </w:r>
            <w:r w:rsidRPr="002E337B">
              <w:rPr>
                <w:sz w:val="20"/>
                <w:lang w:val="fr-CA"/>
              </w:rPr>
              <w:noBreakHyphen/>
              <w:t>B.) (Criminelle) (Autorisation)</w:t>
            </w:r>
          </w:p>
        </w:tc>
      </w:tr>
      <w:tr w:rsidR="00052598" w:rsidRPr="002E337B" w:rsidTr="00052598">
        <w:tc>
          <w:tcPr>
            <w:tcW w:w="5000" w:type="pct"/>
            <w:gridSpan w:val="4"/>
          </w:tcPr>
          <w:p w:rsidR="00052598" w:rsidRPr="002E337B" w:rsidRDefault="00052598" w:rsidP="00052598">
            <w:pPr>
              <w:jc w:val="both"/>
              <w:rPr>
                <w:sz w:val="20"/>
                <w:lang w:val="fr-CA"/>
              </w:rPr>
            </w:pPr>
            <w:r w:rsidRPr="002E337B">
              <w:rPr>
                <w:sz w:val="20"/>
                <w:lang w:val="fr-CA"/>
              </w:rPr>
              <w:t>Droit criminel — Troubles mentaux — Décision d’une commission d’examen — Immigration — Interdiction de territoire et renvoi — La Cour d’appel de la Colombie</w:t>
            </w:r>
            <w:r w:rsidRPr="002E337B">
              <w:rPr>
                <w:sz w:val="20"/>
                <w:lang w:val="fr-CA"/>
              </w:rPr>
              <w:noBreakHyphen/>
              <w:t xml:space="preserve">Britannique a-t-elle commis une erreur de droit lorsqu’elle a conclu que la British Columbia Review Board n’avait pas la compétence, en vertu de l’art. 672.54 du </w:t>
            </w:r>
            <w:r w:rsidRPr="002E337B">
              <w:rPr>
                <w:i/>
                <w:sz w:val="20"/>
                <w:lang w:val="fr-CA"/>
              </w:rPr>
              <w:t>Code criminel</w:t>
            </w:r>
            <w:r w:rsidRPr="002E337B">
              <w:rPr>
                <w:sz w:val="20"/>
                <w:lang w:val="fr-CA"/>
              </w:rPr>
              <w:t xml:space="preserve">, d’inclure une condition dans sa mise en liberté conditionnelle, qui serait directement enfreinte si le ministre de la Sécurité publique exécutait la mesure de renvoi visant le demandeur? — </w:t>
            </w:r>
            <w:r w:rsidRPr="002E337B">
              <w:rPr>
                <w:i/>
                <w:sz w:val="20"/>
                <w:lang w:val="fr-CA"/>
              </w:rPr>
              <w:t>Code criminel</w:t>
            </w:r>
            <w:r w:rsidRPr="002E337B">
              <w:rPr>
                <w:sz w:val="20"/>
                <w:lang w:val="fr-CA"/>
              </w:rPr>
              <w:t xml:space="preserve">, L.R.C. 1985, c. C-46, art. 672.54 — </w:t>
            </w:r>
            <w:r w:rsidRPr="002E337B">
              <w:rPr>
                <w:i/>
                <w:sz w:val="20"/>
                <w:lang w:val="fr-CA"/>
              </w:rPr>
              <w:t>Loi sur l’</w:t>
            </w:r>
            <w:r w:rsidRPr="002E337B">
              <w:rPr>
                <w:bCs/>
                <w:i/>
                <w:sz w:val="20"/>
                <w:lang w:val="fr-CA"/>
              </w:rPr>
              <w:t>immigration et la protection des réfugiés</w:t>
            </w:r>
            <w:r w:rsidRPr="002E337B">
              <w:rPr>
                <w:bCs/>
                <w:sz w:val="20"/>
                <w:lang w:val="fr-CA"/>
              </w:rPr>
              <w:t>, L.C. 2001, c. 27, art. 50.</w:t>
            </w:r>
          </w:p>
          <w:p w:rsidR="00052598" w:rsidRPr="002E337B" w:rsidRDefault="00052598" w:rsidP="00052598">
            <w:pPr>
              <w:jc w:val="both"/>
              <w:rPr>
                <w:sz w:val="20"/>
                <w:lang w:val="fr-CA"/>
              </w:rPr>
            </w:pPr>
          </w:p>
        </w:tc>
      </w:tr>
      <w:tr w:rsidR="00052598" w:rsidRPr="002E337B" w:rsidTr="00052598">
        <w:tc>
          <w:tcPr>
            <w:tcW w:w="5000" w:type="pct"/>
            <w:gridSpan w:val="4"/>
          </w:tcPr>
          <w:p w:rsidR="00052598" w:rsidRPr="002E337B" w:rsidRDefault="00052598" w:rsidP="00052598">
            <w:pPr>
              <w:jc w:val="both"/>
              <w:rPr>
                <w:sz w:val="20"/>
                <w:lang w:val="fr-CA"/>
              </w:rPr>
            </w:pPr>
            <w:r w:rsidRPr="002E337B">
              <w:rPr>
                <w:sz w:val="20"/>
                <w:lang w:val="fr-CA"/>
              </w:rPr>
              <w:t xml:space="preserve">Muni d’un visa d’étudiant, le demandeur est arrivé au Canada en provenance du Nigéria en avril 2014. Vers la fin de 2016, son rendement scolaire avait décliné et il n’était plus inscrit au collège, contrairement aux exigences de son visa. En janvier 2017, il a agressé un voisin à l’aide d’une arme, lui infligeant des blessures graves, y compris de nombreuses blessures dues à des coups de couteau. Il a été arrêté et inculpé d’une infraction. Un agent de l’Agence des services frontaliers du Canada (« ASFC ») a déclaré que le demandeur était interdit de territoire au Canada, parce qu’il ne respectait pas les conditions de son visa, et, en février 2017, une mesure de renvoi a été prise contre lui, en vertu de la </w:t>
            </w:r>
            <w:r w:rsidRPr="002E337B">
              <w:rPr>
                <w:i/>
                <w:sz w:val="20"/>
                <w:lang w:val="fr-CA"/>
              </w:rPr>
              <w:t>Loi sur l’immigration et la protection des réfugiés</w:t>
            </w:r>
            <w:r w:rsidRPr="002E337B">
              <w:rPr>
                <w:sz w:val="20"/>
                <w:lang w:val="fr-CA"/>
              </w:rPr>
              <w:t>, L.C. 2001, c. 27 (« LIPR »). Le demandeur n’a pas sollicité le contrôle judiciaire de la mesure de renvoi.</w:t>
            </w:r>
          </w:p>
          <w:p w:rsidR="00052598" w:rsidRPr="002E337B" w:rsidRDefault="00052598" w:rsidP="00052598">
            <w:pPr>
              <w:jc w:val="both"/>
              <w:rPr>
                <w:sz w:val="20"/>
                <w:lang w:val="fr-CA"/>
              </w:rPr>
            </w:pPr>
          </w:p>
          <w:p w:rsidR="00052598" w:rsidRPr="002E337B" w:rsidRDefault="00052598" w:rsidP="00052598">
            <w:pPr>
              <w:jc w:val="both"/>
              <w:rPr>
                <w:sz w:val="20"/>
                <w:lang w:val="fr-CA"/>
              </w:rPr>
            </w:pPr>
            <w:r w:rsidRPr="002E337B">
              <w:rPr>
                <w:sz w:val="20"/>
                <w:lang w:val="fr-CA"/>
              </w:rPr>
              <w:t>En janvier 2018, le demandeur a été déclaré non responsable criminellement de voies de fait graves, pour cause de troubles mentaux. En février 2018, la British Columbia Review Board (la « Commission d’examen ») l’a libéré du Forensic Psychiatric Hospital (« l’hôpital ») sous certaines conditions, lesquelles comprenaient une condition qu’il ne soit pas détenu en Colombie</w:t>
            </w:r>
            <w:r w:rsidRPr="002E337B">
              <w:rPr>
                <w:sz w:val="20"/>
                <w:lang w:val="fr-CA"/>
              </w:rPr>
              <w:noBreakHyphen/>
              <w:t>Britannique ou qu’il n’en soit pas renvoyé. En mars 2018, le demandeur est retourné sous la garde de l’hôpital, à la suite d’une altercation avec un colocataire et de conduite menaçante à l’égard d’autres personnes. Le mois suivant, la Commission d’examen a ordonné que le demandeur demeure sous garde pendant 12 mois. Sa décision de placement sous garde a été prorogée jusqu’en février 2021, et, entre</w:t>
            </w:r>
            <w:r w:rsidRPr="002E337B">
              <w:rPr>
                <w:sz w:val="20"/>
                <w:lang w:val="fr-CA"/>
              </w:rPr>
              <w:noBreakHyphen/>
              <w:t>temps, les statuts de réfugié au sens de la Convention et de résident permanent lui ont été refusés. Le demandeur a sollicité le contrôle judiciaire du refus de son statut de résident permanent; en avril 2021, la Cour fédérale a rejeté cette demande. En avril 2022, la Commission d’examen a ordonné que le demandeur soit remis en liberté sous conditions. La Commission d’examen a refusé d’inclure, comme partie à la libération conditionnelle, une condition selon laquelle le demandeur ne soit pas détenu en Colombie</w:t>
            </w:r>
            <w:r w:rsidRPr="002E337B">
              <w:rPr>
                <w:sz w:val="20"/>
                <w:lang w:val="fr-CA"/>
              </w:rPr>
              <w:noBreakHyphen/>
              <w:t>Britannique ou qu’il n’en soit pas renvoyé, sans avis préalable de la Commission d’examen et une audience devant celle</w:t>
            </w:r>
            <w:r w:rsidRPr="002E337B">
              <w:rPr>
                <w:sz w:val="20"/>
                <w:lang w:val="fr-CA"/>
              </w:rPr>
              <w:noBreakHyphen/>
              <w:t>ci. L’appel interjeté par le demandeur à la Cour d’appel a été rejeté.</w:t>
            </w:r>
          </w:p>
          <w:p w:rsidR="00052598" w:rsidRPr="002E337B" w:rsidRDefault="00052598" w:rsidP="00052598">
            <w:pPr>
              <w:jc w:val="both"/>
              <w:rPr>
                <w:sz w:val="20"/>
                <w:lang w:val="fr-CA"/>
              </w:rPr>
            </w:pPr>
          </w:p>
        </w:tc>
      </w:tr>
      <w:tr w:rsidR="00052598" w:rsidRPr="002E337B" w:rsidTr="00052598">
        <w:tc>
          <w:tcPr>
            <w:tcW w:w="2427" w:type="pct"/>
            <w:gridSpan w:val="2"/>
          </w:tcPr>
          <w:p w:rsidR="00052598" w:rsidRPr="002E337B" w:rsidRDefault="00052598" w:rsidP="00052598">
            <w:pPr>
              <w:jc w:val="both"/>
              <w:rPr>
                <w:sz w:val="20"/>
              </w:rPr>
            </w:pPr>
            <w:r w:rsidRPr="002E337B">
              <w:rPr>
                <w:sz w:val="20"/>
              </w:rPr>
              <w:t>13 avril 2022</w:t>
            </w:r>
          </w:p>
          <w:p w:rsidR="00052598" w:rsidRPr="002E337B" w:rsidRDefault="00052598" w:rsidP="00052598">
            <w:pPr>
              <w:jc w:val="both"/>
              <w:rPr>
                <w:sz w:val="20"/>
              </w:rPr>
            </w:pPr>
            <w:r w:rsidRPr="002E337B">
              <w:rPr>
                <w:sz w:val="20"/>
              </w:rPr>
              <w:t>British Columbia Review Board</w:t>
            </w:r>
          </w:p>
          <w:p w:rsidR="00052598" w:rsidRPr="002E337B" w:rsidRDefault="00052598" w:rsidP="00052598">
            <w:pPr>
              <w:jc w:val="both"/>
              <w:rPr>
                <w:sz w:val="20"/>
              </w:rPr>
            </w:pPr>
            <w:r w:rsidRPr="002E337B">
              <w:rPr>
                <w:sz w:val="20"/>
              </w:rPr>
              <w:t>(Edwards, présidente; Smith et Cayley, membres)</w:t>
            </w:r>
          </w:p>
          <w:p w:rsidR="00052598" w:rsidRPr="002E337B" w:rsidRDefault="00052598" w:rsidP="00052598">
            <w:pPr>
              <w:jc w:val="both"/>
              <w:rPr>
                <w:sz w:val="20"/>
              </w:rPr>
            </w:pPr>
          </w:p>
        </w:tc>
        <w:tc>
          <w:tcPr>
            <w:tcW w:w="243" w:type="pct"/>
          </w:tcPr>
          <w:p w:rsidR="00052598" w:rsidRPr="002E337B" w:rsidRDefault="00052598" w:rsidP="00052598">
            <w:pPr>
              <w:jc w:val="both"/>
              <w:rPr>
                <w:sz w:val="20"/>
              </w:rPr>
            </w:pPr>
          </w:p>
        </w:tc>
        <w:tc>
          <w:tcPr>
            <w:tcW w:w="2330" w:type="pct"/>
          </w:tcPr>
          <w:p w:rsidR="00052598" w:rsidRPr="002E337B" w:rsidRDefault="00052598" w:rsidP="00052598">
            <w:pPr>
              <w:jc w:val="both"/>
              <w:rPr>
                <w:sz w:val="20"/>
                <w:lang w:val="fr-CA"/>
              </w:rPr>
            </w:pPr>
            <w:r w:rsidRPr="002E337B">
              <w:rPr>
                <w:sz w:val="20"/>
                <w:lang w:val="fr-CA"/>
              </w:rPr>
              <w:t>Libération conditionnelle de 12 mois accordée au demandeur; rejet de la demande présentée par le demandeur en vue d’une ordonnance empêchant sa détention dans la province ou son renvoi de celle</w:t>
            </w:r>
            <w:r w:rsidRPr="002E337B">
              <w:rPr>
                <w:sz w:val="20"/>
                <w:lang w:val="fr-CA"/>
              </w:rPr>
              <w:noBreakHyphen/>
              <w:t>ci sans avis de la Commission de révision et sans une audience devant elle</w:t>
            </w:r>
          </w:p>
          <w:p w:rsidR="00052598" w:rsidRPr="002E337B" w:rsidRDefault="00052598" w:rsidP="00052598">
            <w:pPr>
              <w:jc w:val="both"/>
              <w:rPr>
                <w:sz w:val="20"/>
                <w:lang w:val="fr-CA"/>
              </w:rPr>
            </w:pPr>
          </w:p>
        </w:tc>
      </w:tr>
      <w:tr w:rsidR="00052598" w:rsidRPr="002E337B" w:rsidTr="00052598">
        <w:tc>
          <w:tcPr>
            <w:tcW w:w="2427" w:type="pct"/>
            <w:gridSpan w:val="2"/>
          </w:tcPr>
          <w:p w:rsidR="00052598" w:rsidRPr="002E337B" w:rsidRDefault="00052598" w:rsidP="00052598">
            <w:pPr>
              <w:jc w:val="both"/>
              <w:rPr>
                <w:sz w:val="20"/>
                <w:lang w:val="fr-CA"/>
              </w:rPr>
            </w:pPr>
            <w:r w:rsidRPr="002E337B">
              <w:rPr>
                <w:sz w:val="20"/>
                <w:lang w:val="fr-CA"/>
              </w:rPr>
              <w:t>25 novembre 2022</w:t>
            </w:r>
          </w:p>
          <w:p w:rsidR="00052598" w:rsidRPr="002E337B" w:rsidRDefault="00052598" w:rsidP="00052598">
            <w:pPr>
              <w:jc w:val="both"/>
              <w:rPr>
                <w:sz w:val="20"/>
                <w:lang w:val="fr-CA"/>
              </w:rPr>
            </w:pPr>
            <w:r w:rsidRPr="002E337B">
              <w:rPr>
                <w:sz w:val="20"/>
                <w:lang w:val="fr-CA"/>
              </w:rPr>
              <w:t>Cour d’appel de la Colombie</w:t>
            </w:r>
            <w:r w:rsidRPr="002E337B">
              <w:rPr>
                <w:sz w:val="20"/>
                <w:lang w:val="fr-CA"/>
              </w:rPr>
              <w:noBreakHyphen/>
              <w:t xml:space="preserve">Britannique </w:t>
            </w:r>
          </w:p>
          <w:p w:rsidR="00052598" w:rsidRPr="002E337B" w:rsidRDefault="00052598" w:rsidP="00052598">
            <w:pPr>
              <w:jc w:val="both"/>
              <w:rPr>
                <w:sz w:val="20"/>
                <w:lang w:val="fr-CA"/>
              </w:rPr>
            </w:pPr>
            <w:r w:rsidRPr="002E337B">
              <w:rPr>
                <w:sz w:val="20"/>
                <w:lang w:val="fr-CA"/>
              </w:rPr>
              <w:t>(Vancouver)</w:t>
            </w:r>
          </w:p>
          <w:p w:rsidR="00052598" w:rsidRPr="002E337B" w:rsidRDefault="00052598" w:rsidP="00052598">
            <w:pPr>
              <w:jc w:val="both"/>
              <w:rPr>
                <w:sz w:val="20"/>
                <w:lang w:val="fr-CA"/>
              </w:rPr>
            </w:pPr>
            <w:r w:rsidRPr="002E337B">
              <w:rPr>
                <w:sz w:val="20"/>
                <w:lang w:val="fr-CA"/>
              </w:rPr>
              <w:t>(juges Stromberg-Stein, Willcock et</w:t>
            </w:r>
          </w:p>
          <w:p w:rsidR="00052598" w:rsidRPr="002E337B" w:rsidRDefault="00052598" w:rsidP="00052598">
            <w:pPr>
              <w:jc w:val="both"/>
              <w:rPr>
                <w:sz w:val="20"/>
                <w:lang w:val="fr-CA"/>
              </w:rPr>
            </w:pPr>
            <w:r w:rsidRPr="002E337B">
              <w:rPr>
                <w:sz w:val="20"/>
                <w:lang w:val="fr-CA"/>
              </w:rPr>
              <w:t>DeWitt</w:t>
            </w:r>
            <w:r w:rsidRPr="002E337B">
              <w:rPr>
                <w:sz w:val="20"/>
                <w:lang w:val="fr-CA"/>
              </w:rPr>
              <w:noBreakHyphen/>
              <w:t>Van Oosten)</w:t>
            </w:r>
          </w:p>
          <w:p w:rsidR="00052598" w:rsidRPr="002E337B" w:rsidRDefault="002E337B" w:rsidP="00052598">
            <w:pPr>
              <w:jc w:val="both"/>
              <w:rPr>
                <w:sz w:val="20"/>
                <w:lang w:val="fr-CA"/>
              </w:rPr>
            </w:pPr>
            <w:hyperlink r:id="rId23" w:history="1">
              <w:r w:rsidR="00052598" w:rsidRPr="002E337B">
                <w:rPr>
                  <w:rStyle w:val="Hyperlink"/>
                  <w:sz w:val="20"/>
                  <w:lang w:val="fr-CA"/>
                </w:rPr>
                <w:t>2022 BCCA 394</w:t>
              </w:r>
            </w:hyperlink>
            <w:r w:rsidR="00052598" w:rsidRPr="002E337B">
              <w:rPr>
                <w:sz w:val="20"/>
                <w:lang w:val="fr-CA"/>
              </w:rPr>
              <w:t xml:space="preserve">; CA48290 </w:t>
            </w:r>
          </w:p>
          <w:p w:rsidR="00052598" w:rsidRPr="002E337B" w:rsidRDefault="00052598" w:rsidP="00052598">
            <w:pPr>
              <w:jc w:val="both"/>
              <w:rPr>
                <w:sz w:val="20"/>
                <w:lang w:val="fr-CA"/>
              </w:rPr>
            </w:pPr>
          </w:p>
        </w:tc>
        <w:tc>
          <w:tcPr>
            <w:tcW w:w="243" w:type="pct"/>
          </w:tcPr>
          <w:p w:rsidR="00052598" w:rsidRPr="002E337B" w:rsidRDefault="00052598" w:rsidP="00052598">
            <w:pPr>
              <w:jc w:val="both"/>
              <w:rPr>
                <w:sz w:val="20"/>
                <w:lang w:val="fr-CA"/>
              </w:rPr>
            </w:pPr>
          </w:p>
        </w:tc>
        <w:tc>
          <w:tcPr>
            <w:tcW w:w="2330" w:type="pct"/>
          </w:tcPr>
          <w:p w:rsidR="00052598" w:rsidRPr="002E337B" w:rsidRDefault="00052598" w:rsidP="00052598">
            <w:pPr>
              <w:jc w:val="both"/>
              <w:rPr>
                <w:sz w:val="20"/>
                <w:lang w:val="fr-CA"/>
              </w:rPr>
            </w:pPr>
            <w:r w:rsidRPr="002E337B">
              <w:rPr>
                <w:sz w:val="20"/>
                <w:lang w:val="fr-CA"/>
              </w:rPr>
              <w:t>Appel rejeté</w:t>
            </w:r>
          </w:p>
        </w:tc>
      </w:tr>
      <w:tr w:rsidR="00052598" w:rsidRPr="002E337B" w:rsidTr="00052598">
        <w:tc>
          <w:tcPr>
            <w:tcW w:w="2427" w:type="pct"/>
            <w:gridSpan w:val="2"/>
          </w:tcPr>
          <w:p w:rsidR="00052598" w:rsidRPr="002E337B" w:rsidRDefault="00052598" w:rsidP="00052598">
            <w:pPr>
              <w:jc w:val="both"/>
              <w:rPr>
                <w:sz w:val="20"/>
                <w:lang w:val="fr-CA"/>
              </w:rPr>
            </w:pPr>
            <w:r w:rsidRPr="002E337B">
              <w:rPr>
                <w:sz w:val="20"/>
                <w:lang w:val="fr-CA"/>
              </w:rPr>
              <w:t>9 janvier 2023</w:t>
            </w:r>
          </w:p>
          <w:p w:rsidR="00052598" w:rsidRPr="002E337B" w:rsidRDefault="00052598" w:rsidP="00052598">
            <w:pPr>
              <w:jc w:val="both"/>
              <w:rPr>
                <w:sz w:val="20"/>
                <w:lang w:val="fr-CA"/>
              </w:rPr>
            </w:pPr>
            <w:r w:rsidRPr="002E337B">
              <w:rPr>
                <w:sz w:val="20"/>
                <w:lang w:val="fr-CA"/>
              </w:rPr>
              <w:t>Cour suprême du Canada</w:t>
            </w:r>
          </w:p>
        </w:tc>
        <w:tc>
          <w:tcPr>
            <w:tcW w:w="243" w:type="pct"/>
          </w:tcPr>
          <w:p w:rsidR="00052598" w:rsidRPr="002E337B" w:rsidRDefault="00052598" w:rsidP="00052598">
            <w:pPr>
              <w:jc w:val="both"/>
              <w:rPr>
                <w:sz w:val="20"/>
                <w:lang w:val="fr-CA"/>
              </w:rPr>
            </w:pPr>
          </w:p>
        </w:tc>
        <w:tc>
          <w:tcPr>
            <w:tcW w:w="2330" w:type="pct"/>
          </w:tcPr>
          <w:p w:rsidR="00052598" w:rsidRPr="002E337B" w:rsidRDefault="00052598" w:rsidP="00052598">
            <w:pPr>
              <w:jc w:val="both"/>
              <w:rPr>
                <w:sz w:val="20"/>
                <w:lang w:val="fr-CA"/>
              </w:rPr>
            </w:pPr>
            <w:r w:rsidRPr="002E337B">
              <w:rPr>
                <w:sz w:val="20"/>
                <w:lang w:val="fr-CA"/>
              </w:rPr>
              <w:t>Demande d’autorisation d’appel déposée</w:t>
            </w:r>
          </w:p>
          <w:p w:rsidR="00052598" w:rsidRPr="002E337B" w:rsidRDefault="00052598" w:rsidP="00052598">
            <w:pPr>
              <w:jc w:val="both"/>
              <w:rPr>
                <w:sz w:val="20"/>
                <w:lang w:val="fr-CA"/>
              </w:rPr>
            </w:pPr>
          </w:p>
        </w:tc>
      </w:tr>
    </w:tbl>
    <w:p w:rsidR="00052598" w:rsidRPr="002E337B" w:rsidRDefault="00052598" w:rsidP="00052598">
      <w:pPr>
        <w:jc w:val="both"/>
        <w:rPr>
          <w:sz w:val="20"/>
          <w:lang w:val="fr-CA"/>
        </w:rPr>
      </w:pPr>
    </w:p>
    <w:p w:rsidR="00052598" w:rsidRPr="002E337B" w:rsidRDefault="002E337B" w:rsidP="00052598">
      <w:pPr>
        <w:jc w:val="both"/>
        <w:rPr>
          <w:sz w:val="20"/>
          <w:lang w:val="fr-CA"/>
        </w:rPr>
      </w:pPr>
      <w:r w:rsidRPr="002E337B">
        <w:rPr>
          <w:sz w:val="20"/>
        </w:rPr>
        <w:pict>
          <v:rect id="_x0000_i1030" style="width:2in;height:1pt" o:hrpct="0" o:hralign="center" o:hrstd="t" o:hrnoshade="t" o:hr="t" fillcolor="black [3213]" stroked="f"/>
        </w:pict>
      </w:r>
    </w:p>
    <w:p w:rsidR="00052598" w:rsidRPr="002E337B" w:rsidRDefault="00052598" w:rsidP="0005259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52598" w:rsidRPr="002E337B" w:rsidTr="00052598">
        <w:tc>
          <w:tcPr>
            <w:tcW w:w="543" w:type="pct"/>
          </w:tcPr>
          <w:p w:rsidR="00052598" w:rsidRPr="002E337B" w:rsidRDefault="00052598" w:rsidP="00052598">
            <w:pPr>
              <w:jc w:val="both"/>
              <w:rPr>
                <w:sz w:val="20"/>
              </w:rPr>
            </w:pPr>
            <w:r w:rsidRPr="002E337B">
              <w:rPr>
                <w:rStyle w:val="SCCFileNumberChar"/>
                <w:sz w:val="20"/>
                <w:szCs w:val="20"/>
              </w:rPr>
              <w:t>40578</w:t>
            </w:r>
          </w:p>
        </w:tc>
        <w:tc>
          <w:tcPr>
            <w:tcW w:w="4457" w:type="pct"/>
            <w:gridSpan w:val="3"/>
          </w:tcPr>
          <w:p w:rsidR="00052598" w:rsidRPr="002E337B" w:rsidRDefault="00052598" w:rsidP="00052598">
            <w:pPr>
              <w:pStyle w:val="SCCLsocParty"/>
              <w:jc w:val="both"/>
              <w:rPr>
                <w:b/>
                <w:sz w:val="20"/>
                <w:szCs w:val="20"/>
                <w:lang w:val="en-US"/>
              </w:rPr>
            </w:pPr>
            <w:r w:rsidRPr="002E337B">
              <w:rPr>
                <w:b/>
                <w:sz w:val="20"/>
                <w:szCs w:val="20"/>
                <w:lang w:val="en-US"/>
              </w:rPr>
              <w:t>William Imona-Russell v. His Majesty the King</w:t>
            </w:r>
          </w:p>
          <w:p w:rsidR="00052598" w:rsidRPr="002E337B" w:rsidRDefault="00052598" w:rsidP="00052598">
            <w:pPr>
              <w:jc w:val="both"/>
              <w:rPr>
                <w:sz w:val="20"/>
              </w:rPr>
            </w:pPr>
            <w:r w:rsidRPr="002E337B">
              <w:rPr>
                <w:sz w:val="20"/>
              </w:rPr>
              <w:t>(Ont.) (Criminal) (By Leave)</w:t>
            </w:r>
          </w:p>
        </w:tc>
      </w:tr>
      <w:tr w:rsidR="00052598" w:rsidRPr="002E337B" w:rsidTr="00052598">
        <w:tc>
          <w:tcPr>
            <w:tcW w:w="5000" w:type="pct"/>
            <w:gridSpan w:val="4"/>
          </w:tcPr>
          <w:p w:rsidR="00052598" w:rsidRPr="002E337B" w:rsidRDefault="00052598" w:rsidP="00052598">
            <w:pPr>
              <w:jc w:val="both"/>
              <w:rPr>
                <w:sz w:val="20"/>
              </w:rPr>
            </w:pPr>
            <w:r w:rsidRPr="002E337B">
              <w:rPr>
                <w:sz w:val="20"/>
              </w:rPr>
              <w:t xml:space="preserve">Criminal law — Classification of murder — When the classification of a murder as first degree murder depends on s. 231(5) of the </w:t>
            </w:r>
            <w:r w:rsidRPr="002E337B">
              <w:rPr>
                <w:i/>
                <w:sz w:val="20"/>
              </w:rPr>
              <w:t>Criminal Code</w:t>
            </w:r>
            <w:r w:rsidRPr="002E337B">
              <w:rPr>
                <w:sz w:val="20"/>
              </w:rPr>
              <w:t>, must the underlying offence include an element of domination by the accused?</w:t>
            </w:r>
          </w:p>
        </w:tc>
      </w:tr>
      <w:tr w:rsidR="00052598" w:rsidRPr="002E337B" w:rsidTr="00052598">
        <w:tc>
          <w:tcPr>
            <w:tcW w:w="5000" w:type="pct"/>
            <w:gridSpan w:val="4"/>
          </w:tcPr>
          <w:p w:rsidR="00052598" w:rsidRPr="002E337B" w:rsidRDefault="00052598" w:rsidP="00052598">
            <w:pPr>
              <w:jc w:val="both"/>
              <w:rPr>
                <w:sz w:val="20"/>
              </w:rPr>
            </w:pPr>
          </w:p>
          <w:p w:rsidR="00052598" w:rsidRPr="002E337B" w:rsidRDefault="00052598" w:rsidP="00052598">
            <w:pPr>
              <w:pStyle w:val="aparanumbering"/>
              <w:widowControl w:val="0"/>
              <w:spacing w:before="0" w:beforeAutospacing="0" w:after="0" w:afterAutospacing="0"/>
              <w:jc w:val="both"/>
              <w:rPr>
                <w:sz w:val="20"/>
                <w:szCs w:val="20"/>
              </w:rPr>
            </w:pPr>
            <w:r w:rsidRPr="002E337B">
              <w:rPr>
                <w:color w:val="000000"/>
                <w:sz w:val="20"/>
                <w:szCs w:val="20"/>
              </w:rPr>
              <w:t xml:space="preserve">Mr. Imona-Russell had sexual contact with a woman and stabbed her fatally with a pair of scissors. He was charged with murder. Mr. Imona-Russell is HIV positive and did not use a condom. The Crown submitted to the jury at trial that Mr. Imona-Russell used threats or violence to overcome resistance to sexual contact and then killed his victim as part of the same single transaction therefore the murder is first degree. Mr. Imona-Russell testified that they had consensual sexual intercourse after which the victim criticized his performance which caused him to stab her in an angry frenzy. The Crown submitted to the jury that if things happened as Mr. Imona-Russell testified, the murder would be first degree because Mr. Imona-Russell did not disclose to his victim that he was HIV positive and any consent was vitiated by fraud. </w:t>
            </w:r>
            <w:r w:rsidRPr="002E337B">
              <w:rPr>
                <w:sz w:val="20"/>
                <w:szCs w:val="20"/>
              </w:rPr>
              <w:t>The jury convicted Mr. Imona-Russell of first degree murder. The Court of Appeal dismissed an appeal.</w:t>
            </w:r>
          </w:p>
        </w:tc>
      </w:tr>
      <w:tr w:rsidR="00052598" w:rsidRPr="002E337B" w:rsidTr="00052598">
        <w:tc>
          <w:tcPr>
            <w:tcW w:w="5000" w:type="pct"/>
            <w:gridSpan w:val="4"/>
          </w:tcPr>
          <w:p w:rsidR="00052598" w:rsidRPr="002E337B" w:rsidRDefault="00052598" w:rsidP="00052598">
            <w:pPr>
              <w:jc w:val="both"/>
              <w:rPr>
                <w:sz w:val="20"/>
              </w:rPr>
            </w:pPr>
          </w:p>
        </w:tc>
      </w:tr>
      <w:tr w:rsidR="00052598" w:rsidRPr="002E337B" w:rsidTr="00052598">
        <w:tc>
          <w:tcPr>
            <w:tcW w:w="2427" w:type="pct"/>
            <w:gridSpan w:val="2"/>
          </w:tcPr>
          <w:p w:rsidR="00052598" w:rsidRPr="002E337B" w:rsidRDefault="00052598" w:rsidP="00052598">
            <w:pPr>
              <w:jc w:val="both"/>
              <w:rPr>
                <w:sz w:val="20"/>
              </w:rPr>
            </w:pPr>
            <w:r w:rsidRPr="002E337B">
              <w:rPr>
                <w:sz w:val="20"/>
              </w:rPr>
              <w:t>July 13, 2010</w:t>
            </w:r>
          </w:p>
          <w:p w:rsidR="00052598" w:rsidRPr="002E337B" w:rsidRDefault="00052598" w:rsidP="00052598">
            <w:pPr>
              <w:jc w:val="both"/>
              <w:rPr>
                <w:sz w:val="20"/>
              </w:rPr>
            </w:pPr>
            <w:r w:rsidRPr="002E337B">
              <w:rPr>
                <w:sz w:val="20"/>
              </w:rPr>
              <w:t>Ontario Superior Court of Justice</w:t>
            </w:r>
          </w:p>
          <w:p w:rsidR="00052598" w:rsidRPr="002E337B" w:rsidRDefault="00052598" w:rsidP="00052598">
            <w:pPr>
              <w:jc w:val="both"/>
              <w:rPr>
                <w:sz w:val="20"/>
              </w:rPr>
            </w:pPr>
            <w:r w:rsidRPr="002E337B">
              <w:rPr>
                <w:sz w:val="20"/>
              </w:rPr>
              <w:t>(Forestell J.)(Unreported)</w:t>
            </w:r>
          </w:p>
          <w:p w:rsidR="00052598" w:rsidRPr="002E337B" w:rsidRDefault="00052598" w:rsidP="00052598">
            <w:pPr>
              <w:jc w:val="both"/>
              <w:rPr>
                <w:sz w:val="20"/>
              </w:rPr>
            </w:pPr>
          </w:p>
        </w:tc>
        <w:tc>
          <w:tcPr>
            <w:tcW w:w="243" w:type="pct"/>
          </w:tcPr>
          <w:p w:rsidR="00052598" w:rsidRPr="002E337B" w:rsidRDefault="00052598" w:rsidP="00052598">
            <w:pPr>
              <w:jc w:val="both"/>
              <w:rPr>
                <w:sz w:val="20"/>
              </w:rPr>
            </w:pPr>
          </w:p>
        </w:tc>
        <w:tc>
          <w:tcPr>
            <w:tcW w:w="2330" w:type="pct"/>
          </w:tcPr>
          <w:p w:rsidR="00052598" w:rsidRPr="002E337B" w:rsidRDefault="00052598" w:rsidP="00052598">
            <w:pPr>
              <w:jc w:val="both"/>
              <w:rPr>
                <w:sz w:val="20"/>
              </w:rPr>
            </w:pPr>
            <w:r w:rsidRPr="002E337B">
              <w:rPr>
                <w:sz w:val="20"/>
              </w:rPr>
              <w:t>Conviction by jury of first degree murder</w:t>
            </w:r>
          </w:p>
          <w:p w:rsidR="00052598" w:rsidRPr="002E337B" w:rsidRDefault="00052598" w:rsidP="00052598">
            <w:pPr>
              <w:jc w:val="both"/>
              <w:rPr>
                <w:sz w:val="20"/>
              </w:rPr>
            </w:pPr>
          </w:p>
        </w:tc>
      </w:tr>
      <w:tr w:rsidR="00052598" w:rsidRPr="002E337B" w:rsidTr="00052598">
        <w:tc>
          <w:tcPr>
            <w:tcW w:w="2427" w:type="pct"/>
            <w:gridSpan w:val="2"/>
          </w:tcPr>
          <w:p w:rsidR="00052598" w:rsidRPr="002E337B" w:rsidRDefault="00052598" w:rsidP="00052598">
            <w:pPr>
              <w:jc w:val="both"/>
              <w:rPr>
                <w:sz w:val="20"/>
              </w:rPr>
            </w:pPr>
            <w:r w:rsidRPr="002E337B">
              <w:rPr>
                <w:sz w:val="20"/>
              </w:rPr>
              <w:t>June 27, 2018</w:t>
            </w:r>
          </w:p>
          <w:p w:rsidR="00052598" w:rsidRPr="002E337B" w:rsidRDefault="00052598" w:rsidP="00052598">
            <w:pPr>
              <w:jc w:val="both"/>
              <w:rPr>
                <w:sz w:val="20"/>
              </w:rPr>
            </w:pPr>
            <w:r w:rsidRPr="002E337B">
              <w:rPr>
                <w:sz w:val="20"/>
              </w:rPr>
              <w:t>Court of Appeal for Ontario</w:t>
            </w:r>
          </w:p>
          <w:p w:rsidR="00052598" w:rsidRPr="002E337B" w:rsidRDefault="00052598" w:rsidP="00052598">
            <w:pPr>
              <w:jc w:val="both"/>
              <w:rPr>
                <w:sz w:val="20"/>
              </w:rPr>
            </w:pPr>
            <w:r w:rsidRPr="002E337B">
              <w:rPr>
                <w:sz w:val="20"/>
              </w:rPr>
              <w:t>(Sharpe, Brown, Paciocco JJ.A.)</w:t>
            </w:r>
          </w:p>
          <w:p w:rsidR="00052598" w:rsidRPr="002E337B" w:rsidRDefault="002E337B" w:rsidP="00052598">
            <w:pPr>
              <w:jc w:val="both"/>
              <w:rPr>
                <w:sz w:val="20"/>
              </w:rPr>
            </w:pPr>
            <w:hyperlink r:id="rId24" w:history="1">
              <w:r w:rsidR="00052598" w:rsidRPr="002E337B">
                <w:rPr>
                  <w:rStyle w:val="Hyperlink"/>
                  <w:sz w:val="20"/>
                </w:rPr>
                <w:t>2018 ONCA 590</w:t>
              </w:r>
            </w:hyperlink>
            <w:r w:rsidR="00052598" w:rsidRPr="002E337B">
              <w:rPr>
                <w:sz w:val="20"/>
              </w:rPr>
              <w:t>; C53272</w:t>
            </w:r>
          </w:p>
          <w:p w:rsidR="00052598" w:rsidRPr="002E337B" w:rsidRDefault="00052598" w:rsidP="00052598">
            <w:pPr>
              <w:jc w:val="both"/>
              <w:rPr>
                <w:sz w:val="20"/>
              </w:rPr>
            </w:pPr>
          </w:p>
        </w:tc>
        <w:tc>
          <w:tcPr>
            <w:tcW w:w="243" w:type="pct"/>
          </w:tcPr>
          <w:p w:rsidR="00052598" w:rsidRPr="002E337B" w:rsidRDefault="00052598" w:rsidP="00052598">
            <w:pPr>
              <w:jc w:val="both"/>
              <w:rPr>
                <w:sz w:val="20"/>
              </w:rPr>
            </w:pPr>
          </w:p>
        </w:tc>
        <w:tc>
          <w:tcPr>
            <w:tcW w:w="2330" w:type="pct"/>
          </w:tcPr>
          <w:p w:rsidR="00052598" w:rsidRPr="002E337B" w:rsidRDefault="00052598" w:rsidP="00052598">
            <w:pPr>
              <w:jc w:val="both"/>
              <w:rPr>
                <w:sz w:val="20"/>
              </w:rPr>
            </w:pPr>
            <w:r w:rsidRPr="002E337B">
              <w:rPr>
                <w:sz w:val="20"/>
              </w:rPr>
              <w:t>Appeal dismissed</w:t>
            </w:r>
          </w:p>
          <w:p w:rsidR="00052598" w:rsidRPr="002E337B" w:rsidRDefault="00052598" w:rsidP="00052598">
            <w:pPr>
              <w:jc w:val="both"/>
              <w:rPr>
                <w:sz w:val="20"/>
              </w:rPr>
            </w:pPr>
          </w:p>
        </w:tc>
      </w:tr>
      <w:tr w:rsidR="00052598" w:rsidRPr="002E337B" w:rsidTr="00052598">
        <w:tc>
          <w:tcPr>
            <w:tcW w:w="2427" w:type="pct"/>
            <w:gridSpan w:val="2"/>
          </w:tcPr>
          <w:p w:rsidR="00052598" w:rsidRPr="002E337B" w:rsidRDefault="00052598" w:rsidP="00052598">
            <w:pPr>
              <w:jc w:val="both"/>
              <w:rPr>
                <w:sz w:val="20"/>
              </w:rPr>
            </w:pPr>
            <w:r w:rsidRPr="002E337B">
              <w:rPr>
                <w:sz w:val="20"/>
              </w:rPr>
              <w:t>January 26, 2023</w:t>
            </w:r>
          </w:p>
          <w:p w:rsidR="00052598" w:rsidRPr="002E337B" w:rsidRDefault="00052598" w:rsidP="00052598">
            <w:pPr>
              <w:jc w:val="both"/>
              <w:rPr>
                <w:sz w:val="20"/>
              </w:rPr>
            </w:pPr>
            <w:r w:rsidRPr="002E337B">
              <w:rPr>
                <w:sz w:val="20"/>
              </w:rPr>
              <w:t>Supreme Court of Canada</w:t>
            </w:r>
          </w:p>
          <w:p w:rsidR="00052598" w:rsidRPr="002E337B" w:rsidRDefault="00052598" w:rsidP="00052598">
            <w:pPr>
              <w:jc w:val="both"/>
              <w:rPr>
                <w:sz w:val="20"/>
              </w:rPr>
            </w:pPr>
          </w:p>
        </w:tc>
        <w:tc>
          <w:tcPr>
            <w:tcW w:w="243" w:type="pct"/>
          </w:tcPr>
          <w:p w:rsidR="00052598" w:rsidRPr="002E337B" w:rsidRDefault="00052598" w:rsidP="00052598">
            <w:pPr>
              <w:jc w:val="both"/>
              <w:rPr>
                <w:sz w:val="20"/>
              </w:rPr>
            </w:pPr>
          </w:p>
        </w:tc>
        <w:tc>
          <w:tcPr>
            <w:tcW w:w="2330" w:type="pct"/>
          </w:tcPr>
          <w:p w:rsidR="00052598" w:rsidRPr="002E337B" w:rsidRDefault="00052598" w:rsidP="00052598">
            <w:pPr>
              <w:jc w:val="both"/>
              <w:rPr>
                <w:sz w:val="20"/>
              </w:rPr>
            </w:pPr>
            <w:r w:rsidRPr="002E337B">
              <w:rPr>
                <w:sz w:val="20"/>
              </w:rPr>
              <w:t>Motion for extension of time to serve and file application for leave to appeal and application for leave to appeal filed</w:t>
            </w:r>
          </w:p>
        </w:tc>
      </w:tr>
    </w:tbl>
    <w:p w:rsidR="00052598" w:rsidRPr="002E337B" w:rsidRDefault="00052598" w:rsidP="00052598">
      <w:pPr>
        <w:jc w:val="both"/>
        <w:rPr>
          <w:sz w:val="20"/>
        </w:rPr>
      </w:pPr>
    </w:p>
    <w:p w:rsidR="00052598" w:rsidRPr="002E337B" w:rsidRDefault="002E337B" w:rsidP="00052598">
      <w:pPr>
        <w:jc w:val="both"/>
        <w:rPr>
          <w:sz w:val="20"/>
        </w:rPr>
      </w:pPr>
      <w:r w:rsidRPr="002E337B">
        <w:rPr>
          <w:sz w:val="20"/>
        </w:rPr>
        <w:pict>
          <v:rect id="_x0000_i1031" style="width:2in;height:1pt" o:hrpct="0" o:hralign="center" o:hrstd="t" o:hrnoshade="t" o:hr="t" fillcolor="black [3213]" stroked="f"/>
        </w:pict>
      </w:r>
    </w:p>
    <w:p w:rsidR="00052598" w:rsidRPr="002E337B" w:rsidRDefault="00052598" w:rsidP="0005259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52598" w:rsidRPr="002E337B" w:rsidTr="00052598">
        <w:tc>
          <w:tcPr>
            <w:tcW w:w="543" w:type="pct"/>
          </w:tcPr>
          <w:p w:rsidR="00052598" w:rsidRPr="002E337B" w:rsidRDefault="00052598" w:rsidP="00052598">
            <w:pPr>
              <w:jc w:val="both"/>
              <w:rPr>
                <w:sz w:val="20"/>
              </w:rPr>
            </w:pPr>
            <w:r w:rsidRPr="002E337B">
              <w:rPr>
                <w:rStyle w:val="SCCFileNumberChar"/>
                <w:sz w:val="20"/>
                <w:szCs w:val="20"/>
              </w:rPr>
              <w:t>40578</w:t>
            </w:r>
          </w:p>
        </w:tc>
        <w:tc>
          <w:tcPr>
            <w:tcW w:w="4457" w:type="pct"/>
            <w:gridSpan w:val="3"/>
          </w:tcPr>
          <w:p w:rsidR="00052598" w:rsidRPr="002E337B" w:rsidRDefault="00052598" w:rsidP="00052598">
            <w:pPr>
              <w:pStyle w:val="SCCLsocParty"/>
              <w:jc w:val="both"/>
              <w:rPr>
                <w:b/>
                <w:sz w:val="20"/>
                <w:szCs w:val="20"/>
              </w:rPr>
            </w:pPr>
            <w:r w:rsidRPr="002E337B">
              <w:rPr>
                <w:b/>
                <w:sz w:val="20"/>
                <w:szCs w:val="20"/>
              </w:rPr>
              <w:t>William Imona-Russell c. Sa Majesté le Roi</w:t>
            </w:r>
          </w:p>
          <w:p w:rsidR="00052598" w:rsidRPr="002E337B" w:rsidRDefault="00052598" w:rsidP="00052598">
            <w:pPr>
              <w:jc w:val="both"/>
              <w:rPr>
                <w:sz w:val="20"/>
              </w:rPr>
            </w:pPr>
            <w:r w:rsidRPr="002E337B">
              <w:rPr>
                <w:sz w:val="20"/>
              </w:rPr>
              <w:t>(Ont.) (Criminelle) (Sur autorisation)</w:t>
            </w:r>
          </w:p>
        </w:tc>
      </w:tr>
      <w:tr w:rsidR="00052598" w:rsidRPr="002E337B" w:rsidTr="00052598">
        <w:tc>
          <w:tcPr>
            <w:tcW w:w="5000" w:type="pct"/>
            <w:gridSpan w:val="4"/>
          </w:tcPr>
          <w:p w:rsidR="00052598" w:rsidRPr="002E337B" w:rsidRDefault="00052598" w:rsidP="00052598">
            <w:pPr>
              <w:jc w:val="both"/>
              <w:rPr>
                <w:sz w:val="20"/>
                <w:lang w:val="fr-CA"/>
              </w:rPr>
            </w:pPr>
            <w:r w:rsidRPr="002E337B">
              <w:rPr>
                <w:sz w:val="20"/>
                <w:lang w:val="fr-CA"/>
              </w:rPr>
              <w:t xml:space="preserve">Droit criminel — Classification du meurtre — Lorsque la classification d’un meurtre comme meurtre au premier degré dépend du par. 231(5) du </w:t>
            </w:r>
            <w:r w:rsidRPr="002E337B">
              <w:rPr>
                <w:i/>
                <w:sz w:val="20"/>
                <w:lang w:val="fr-CA"/>
              </w:rPr>
              <w:t>Code criminel</w:t>
            </w:r>
            <w:r w:rsidRPr="002E337B">
              <w:rPr>
                <w:sz w:val="20"/>
                <w:lang w:val="fr-CA"/>
              </w:rPr>
              <w:t xml:space="preserve">, l’infraction sous-jacente doit-elle comprendre un élément de domination de la part de l’accusé? </w:t>
            </w:r>
          </w:p>
        </w:tc>
      </w:tr>
      <w:tr w:rsidR="00052598" w:rsidRPr="002E337B" w:rsidTr="00052598">
        <w:tc>
          <w:tcPr>
            <w:tcW w:w="5000" w:type="pct"/>
            <w:gridSpan w:val="4"/>
          </w:tcPr>
          <w:p w:rsidR="00052598" w:rsidRPr="002E337B" w:rsidRDefault="00052598" w:rsidP="00052598">
            <w:pPr>
              <w:jc w:val="both"/>
              <w:rPr>
                <w:sz w:val="20"/>
                <w:lang w:val="fr-CA"/>
              </w:rPr>
            </w:pPr>
          </w:p>
          <w:p w:rsidR="00052598" w:rsidRPr="002E337B" w:rsidRDefault="00052598" w:rsidP="00052598">
            <w:pPr>
              <w:pStyle w:val="aparanumbering"/>
              <w:widowControl w:val="0"/>
              <w:spacing w:before="0" w:beforeAutospacing="0" w:after="0" w:afterAutospacing="0"/>
              <w:jc w:val="both"/>
              <w:rPr>
                <w:sz w:val="20"/>
                <w:szCs w:val="20"/>
              </w:rPr>
            </w:pPr>
            <w:r w:rsidRPr="002E337B">
              <w:rPr>
                <w:color w:val="000000"/>
                <w:sz w:val="20"/>
                <w:szCs w:val="20"/>
                <w:lang w:val="fr-CA"/>
              </w:rPr>
              <w:t>M. Imona-Russell a eu des contacts sexuels avec une femme et l’a poignardée à mort avec une paire de ciseaux. Il a été accusé de meurtre. M. Imona-Russell est séropositif et il n’a pas utilisé de condom. La Couronne a fait valoir au jury durant le procès que M. Imona-Russell a eu recours à des menaces ou de la violence pour vaincre la résistance à des contacts sexuels et a ensuite tué sa victime dans le cadre de la même opération. Le meurtre est donc un meurtre au premier degré. M. Imona-Russell a témoigné qu’ils avaient eu des relations sexuelles consensuelles après quoi la victime a critiqué sa performance, ce qui l’a amené à la poignardé dans un accès de colère. La Couronne a soutenu devant le jury que si les choses se sont passées comme le prétend M. Imona-Russell, le meurtre serait un meurtre au premier degré puisqu’il n’a pas informé sa victime de sa séropositivité et que le consentement de cette dernière était vicié par la fraude. Le jury a déclaré M. Imona-Russell coupable de meurtre au premier degré. La Cour d’appel a rejeté l’appel.</w:t>
            </w:r>
          </w:p>
        </w:tc>
      </w:tr>
      <w:tr w:rsidR="00052598" w:rsidRPr="002E337B" w:rsidTr="00052598">
        <w:tc>
          <w:tcPr>
            <w:tcW w:w="5000" w:type="pct"/>
            <w:gridSpan w:val="4"/>
          </w:tcPr>
          <w:p w:rsidR="00052598" w:rsidRPr="002E337B" w:rsidRDefault="00052598" w:rsidP="00052598">
            <w:pPr>
              <w:jc w:val="both"/>
              <w:rPr>
                <w:sz w:val="20"/>
              </w:rPr>
            </w:pPr>
          </w:p>
        </w:tc>
      </w:tr>
      <w:tr w:rsidR="00052598" w:rsidRPr="002E337B" w:rsidTr="00052598">
        <w:tc>
          <w:tcPr>
            <w:tcW w:w="2427" w:type="pct"/>
            <w:gridSpan w:val="2"/>
          </w:tcPr>
          <w:p w:rsidR="00052598" w:rsidRPr="002E337B" w:rsidRDefault="00052598" w:rsidP="00052598">
            <w:pPr>
              <w:jc w:val="both"/>
              <w:rPr>
                <w:sz w:val="20"/>
                <w:lang w:val="fr-CA"/>
              </w:rPr>
            </w:pPr>
            <w:r w:rsidRPr="002E337B">
              <w:rPr>
                <w:sz w:val="20"/>
                <w:lang w:val="fr-CA"/>
              </w:rPr>
              <w:t>13 juillet 2010</w:t>
            </w:r>
          </w:p>
          <w:p w:rsidR="00052598" w:rsidRPr="002E337B" w:rsidRDefault="00052598" w:rsidP="00052598">
            <w:pPr>
              <w:jc w:val="both"/>
              <w:rPr>
                <w:sz w:val="20"/>
                <w:lang w:val="fr-CA"/>
              </w:rPr>
            </w:pPr>
            <w:r w:rsidRPr="002E337B">
              <w:rPr>
                <w:sz w:val="20"/>
                <w:lang w:val="fr-CA"/>
              </w:rPr>
              <w:t xml:space="preserve">Cour supérieure de justice de l’Ontario </w:t>
            </w:r>
          </w:p>
          <w:p w:rsidR="00052598" w:rsidRPr="002E337B" w:rsidRDefault="00052598" w:rsidP="00052598">
            <w:pPr>
              <w:jc w:val="both"/>
              <w:rPr>
                <w:sz w:val="20"/>
              </w:rPr>
            </w:pPr>
            <w:r w:rsidRPr="002E337B">
              <w:rPr>
                <w:sz w:val="20"/>
              </w:rPr>
              <w:t>(Juge Forestell)(Non publiée)</w:t>
            </w:r>
          </w:p>
          <w:p w:rsidR="00052598" w:rsidRPr="002E337B" w:rsidRDefault="00052598" w:rsidP="00052598">
            <w:pPr>
              <w:jc w:val="both"/>
              <w:rPr>
                <w:sz w:val="20"/>
              </w:rPr>
            </w:pPr>
          </w:p>
        </w:tc>
        <w:tc>
          <w:tcPr>
            <w:tcW w:w="243" w:type="pct"/>
          </w:tcPr>
          <w:p w:rsidR="00052598" w:rsidRPr="002E337B" w:rsidRDefault="00052598" w:rsidP="00052598">
            <w:pPr>
              <w:jc w:val="both"/>
              <w:rPr>
                <w:sz w:val="20"/>
              </w:rPr>
            </w:pPr>
          </w:p>
        </w:tc>
        <w:tc>
          <w:tcPr>
            <w:tcW w:w="2330" w:type="pct"/>
          </w:tcPr>
          <w:p w:rsidR="00052598" w:rsidRPr="002E337B" w:rsidRDefault="00052598" w:rsidP="00052598">
            <w:pPr>
              <w:jc w:val="both"/>
              <w:rPr>
                <w:sz w:val="20"/>
                <w:lang w:val="fr-CA"/>
              </w:rPr>
            </w:pPr>
            <w:r w:rsidRPr="002E337B">
              <w:rPr>
                <w:sz w:val="20"/>
                <w:lang w:val="fr-CA"/>
              </w:rPr>
              <w:t>Déclaration de culpabilité pour meurtre au premier degré prononcée par un jury</w:t>
            </w:r>
          </w:p>
          <w:p w:rsidR="00052598" w:rsidRPr="002E337B" w:rsidRDefault="00052598" w:rsidP="00052598">
            <w:pPr>
              <w:jc w:val="both"/>
              <w:rPr>
                <w:sz w:val="20"/>
                <w:lang w:val="fr-CA"/>
              </w:rPr>
            </w:pPr>
          </w:p>
        </w:tc>
      </w:tr>
      <w:tr w:rsidR="00052598" w:rsidRPr="002E337B" w:rsidTr="00052598">
        <w:tc>
          <w:tcPr>
            <w:tcW w:w="2427" w:type="pct"/>
            <w:gridSpan w:val="2"/>
          </w:tcPr>
          <w:p w:rsidR="00052598" w:rsidRPr="002E337B" w:rsidRDefault="00052598" w:rsidP="00052598">
            <w:pPr>
              <w:jc w:val="both"/>
              <w:rPr>
                <w:sz w:val="20"/>
                <w:lang w:val="fr-CA"/>
              </w:rPr>
            </w:pPr>
            <w:r w:rsidRPr="002E337B">
              <w:rPr>
                <w:sz w:val="20"/>
                <w:lang w:val="fr-CA"/>
              </w:rPr>
              <w:t>27 juin 2018</w:t>
            </w:r>
          </w:p>
          <w:p w:rsidR="00052598" w:rsidRPr="002E337B" w:rsidRDefault="00052598" w:rsidP="00052598">
            <w:pPr>
              <w:jc w:val="both"/>
              <w:rPr>
                <w:sz w:val="20"/>
                <w:lang w:val="fr-CA"/>
              </w:rPr>
            </w:pPr>
            <w:r w:rsidRPr="002E337B">
              <w:rPr>
                <w:sz w:val="20"/>
                <w:lang w:val="fr-CA"/>
              </w:rPr>
              <w:t>Cour d’appel de l’Ontario</w:t>
            </w:r>
          </w:p>
          <w:p w:rsidR="00052598" w:rsidRPr="002E337B" w:rsidRDefault="00052598" w:rsidP="00052598">
            <w:pPr>
              <w:jc w:val="both"/>
              <w:rPr>
                <w:sz w:val="20"/>
                <w:lang w:val="fr-CA"/>
              </w:rPr>
            </w:pPr>
            <w:r w:rsidRPr="002E337B">
              <w:rPr>
                <w:sz w:val="20"/>
                <w:lang w:val="fr-CA"/>
              </w:rPr>
              <w:t>(Juges Sharpe, Brown et Paciocco)</w:t>
            </w:r>
          </w:p>
          <w:p w:rsidR="00052598" w:rsidRPr="002E337B" w:rsidRDefault="002E337B" w:rsidP="00052598">
            <w:pPr>
              <w:jc w:val="both"/>
              <w:rPr>
                <w:sz w:val="20"/>
              </w:rPr>
            </w:pPr>
            <w:hyperlink r:id="rId25" w:history="1">
              <w:r w:rsidR="00052598" w:rsidRPr="002E337B">
                <w:rPr>
                  <w:rStyle w:val="Hyperlink"/>
                  <w:sz w:val="20"/>
                </w:rPr>
                <w:t>2018 ONCA 590</w:t>
              </w:r>
            </w:hyperlink>
            <w:r w:rsidR="00052598" w:rsidRPr="002E337B">
              <w:rPr>
                <w:sz w:val="20"/>
              </w:rPr>
              <w:t>; C53272</w:t>
            </w:r>
          </w:p>
          <w:p w:rsidR="00052598" w:rsidRPr="002E337B" w:rsidRDefault="00052598" w:rsidP="00052598">
            <w:pPr>
              <w:jc w:val="both"/>
              <w:rPr>
                <w:sz w:val="20"/>
              </w:rPr>
            </w:pPr>
          </w:p>
        </w:tc>
        <w:tc>
          <w:tcPr>
            <w:tcW w:w="243" w:type="pct"/>
          </w:tcPr>
          <w:p w:rsidR="00052598" w:rsidRPr="002E337B" w:rsidRDefault="00052598" w:rsidP="00052598">
            <w:pPr>
              <w:jc w:val="both"/>
              <w:rPr>
                <w:sz w:val="20"/>
              </w:rPr>
            </w:pPr>
          </w:p>
        </w:tc>
        <w:tc>
          <w:tcPr>
            <w:tcW w:w="2330" w:type="pct"/>
          </w:tcPr>
          <w:p w:rsidR="00052598" w:rsidRPr="002E337B" w:rsidRDefault="00052598" w:rsidP="00052598">
            <w:pPr>
              <w:jc w:val="both"/>
              <w:rPr>
                <w:sz w:val="20"/>
              </w:rPr>
            </w:pPr>
            <w:r w:rsidRPr="002E337B">
              <w:rPr>
                <w:sz w:val="20"/>
              </w:rPr>
              <w:t>Appel rejeté</w:t>
            </w:r>
          </w:p>
          <w:p w:rsidR="00052598" w:rsidRPr="002E337B" w:rsidRDefault="00052598" w:rsidP="00052598">
            <w:pPr>
              <w:jc w:val="both"/>
              <w:rPr>
                <w:sz w:val="20"/>
              </w:rPr>
            </w:pPr>
          </w:p>
        </w:tc>
      </w:tr>
      <w:tr w:rsidR="00052598" w:rsidRPr="002E337B" w:rsidTr="00052598">
        <w:tc>
          <w:tcPr>
            <w:tcW w:w="2427" w:type="pct"/>
            <w:gridSpan w:val="2"/>
          </w:tcPr>
          <w:p w:rsidR="00052598" w:rsidRPr="002E337B" w:rsidRDefault="00052598" w:rsidP="00052598">
            <w:pPr>
              <w:jc w:val="both"/>
              <w:rPr>
                <w:sz w:val="20"/>
                <w:lang w:val="fr-CA"/>
              </w:rPr>
            </w:pPr>
            <w:r w:rsidRPr="002E337B">
              <w:rPr>
                <w:sz w:val="20"/>
                <w:lang w:val="fr-CA"/>
              </w:rPr>
              <w:t>26 janvier 2023</w:t>
            </w:r>
          </w:p>
          <w:p w:rsidR="00052598" w:rsidRPr="002E337B" w:rsidRDefault="00052598" w:rsidP="00052598">
            <w:pPr>
              <w:jc w:val="both"/>
              <w:rPr>
                <w:sz w:val="20"/>
                <w:lang w:val="fr-CA"/>
              </w:rPr>
            </w:pPr>
            <w:r w:rsidRPr="002E337B">
              <w:rPr>
                <w:sz w:val="20"/>
                <w:lang w:val="fr-CA"/>
              </w:rPr>
              <w:t>Cour suprême du Canada</w:t>
            </w:r>
          </w:p>
          <w:p w:rsidR="00052598" w:rsidRPr="002E337B" w:rsidRDefault="00052598" w:rsidP="00052598">
            <w:pPr>
              <w:jc w:val="both"/>
              <w:rPr>
                <w:sz w:val="20"/>
                <w:lang w:val="fr-CA"/>
              </w:rPr>
            </w:pPr>
          </w:p>
        </w:tc>
        <w:tc>
          <w:tcPr>
            <w:tcW w:w="243" w:type="pct"/>
          </w:tcPr>
          <w:p w:rsidR="00052598" w:rsidRPr="002E337B" w:rsidRDefault="00052598" w:rsidP="00052598">
            <w:pPr>
              <w:jc w:val="both"/>
              <w:rPr>
                <w:sz w:val="20"/>
                <w:lang w:val="fr-CA"/>
              </w:rPr>
            </w:pPr>
          </w:p>
        </w:tc>
        <w:tc>
          <w:tcPr>
            <w:tcW w:w="2330" w:type="pct"/>
          </w:tcPr>
          <w:p w:rsidR="00052598" w:rsidRPr="002E337B" w:rsidRDefault="00052598" w:rsidP="00052598">
            <w:pPr>
              <w:jc w:val="both"/>
              <w:rPr>
                <w:sz w:val="20"/>
                <w:lang w:val="fr-CA"/>
              </w:rPr>
            </w:pPr>
            <w:r w:rsidRPr="002E337B">
              <w:rPr>
                <w:sz w:val="20"/>
                <w:lang w:val="fr-CA"/>
              </w:rPr>
              <w:t xml:space="preserve">Requête en prorogation du délai pour signifier et déposer une demande d’autorisation d’appel et demande d’autorisation </w:t>
            </w:r>
            <w:proofErr w:type="gramStart"/>
            <w:r w:rsidRPr="002E337B">
              <w:rPr>
                <w:sz w:val="20"/>
                <w:lang w:val="fr-CA"/>
              </w:rPr>
              <w:t>d’appel déposées</w:t>
            </w:r>
            <w:proofErr w:type="gramEnd"/>
            <w:r w:rsidRPr="002E337B">
              <w:rPr>
                <w:sz w:val="20"/>
                <w:lang w:val="fr-CA"/>
              </w:rPr>
              <w:t xml:space="preserve"> </w:t>
            </w:r>
          </w:p>
        </w:tc>
      </w:tr>
    </w:tbl>
    <w:p w:rsidR="00052598" w:rsidRPr="002E337B" w:rsidRDefault="00052598" w:rsidP="00052598">
      <w:pPr>
        <w:jc w:val="both"/>
        <w:rPr>
          <w:sz w:val="20"/>
          <w:lang w:val="fr-CA"/>
        </w:rPr>
      </w:pPr>
    </w:p>
    <w:p w:rsidR="00052598" w:rsidRPr="002E337B" w:rsidRDefault="002E337B" w:rsidP="00052598">
      <w:pPr>
        <w:jc w:val="both"/>
        <w:rPr>
          <w:sz w:val="20"/>
          <w:lang w:val="fr-CA"/>
        </w:rPr>
      </w:pPr>
      <w:r w:rsidRPr="002E337B">
        <w:rPr>
          <w:sz w:val="20"/>
        </w:rPr>
        <w:pict>
          <v:rect id="_x0000_i1032" style="width:2in;height:1pt" o:hrpct="0" o:hralign="center" o:hrstd="t" o:hrnoshade="t" o:hr="t" fillcolor="black [3213]" stroked="f"/>
        </w:pict>
      </w:r>
    </w:p>
    <w:p w:rsidR="00052598" w:rsidRPr="002E337B" w:rsidRDefault="00052598" w:rsidP="0005259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52598" w:rsidRPr="002E337B" w:rsidTr="00052598">
        <w:tc>
          <w:tcPr>
            <w:tcW w:w="543" w:type="pct"/>
          </w:tcPr>
          <w:p w:rsidR="00052598" w:rsidRPr="002E337B" w:rsidRDefault="00052598" w:rsidP="00052598">
            <w:pPr>
              <w:jc w:val="both"/>
              <w:rPr>
                <w:sz w:val="20"/>
              </w:rPr>
            </w:pPr>
            <w:r w:rsidRPr="002E337B">
              <w:rPr>
                <w:rStyle w:val="SCCFileNumberChar"/>
                <w:sz w:val="20"/>
                <w:szCs w:val="20"/>
              </w:rPr>
              <w:t>40546</w:t>
            </w:r>
          </w:p>
        </w:tc>
        <w:tc>
          <w:tcPr>
            <w:tcW w:w="4457" w:type="pct"/>
            <w:gridSpan w:val="3"/>
          </w:tcPr>
          <w:p w:rsidR="00052598" w:rsidRPr="002E337B" w:rsidRDefault="00052598" w:rsidP="00052598">
            <w:pPr>
              <w:pStyle w:val="SCCLsocParty"/>
              <w:jc w:val="both"/>
              <w:rPr>
                <w:b/>
                <w:sz w:val="20"/>
                <w:szCs w:val="20"/>
                <w:lang w:val="en-US"/>
              </w:rPr>
            </w:pPr>
            <w:r w:rsidRPr="002E337B">
              <w:rPr>
                <w:b/>
                <w:sz w:val="20"/>
                <w:szCs w:val="20"/>
                <w:lang w:val="en-US"/>
              </w:rPr>
              <w:t>Mensula Bancorp Inc. v. Halton Condominium Corporation No. 137</w:t>
            </w:r>
          </w:p>
          <w:p w:rsidR="00052598" w:rsidRPr="002E337B" w:rsidRDefault="00052598" w:rsidP="00052598">
            <w:pPr>
              <w:jc w:val="both"/>
              <w:rPr>
                <w:sz w:val="20"/>
              </w:rPr>
            </w:pPr>
            <w:r w:rsidRPr="002E337B">
              <w:rPr>
                <w:sz w:val="20"/>
              </w:rPr>
              <w:t>(Ont.) (Civil) (By Leave)</w:t>
            </w:r>
          </w:p>
        </w:tc>
      </w:tr>
      <w:tr w:rsidR="00052598" w:rsidRPr="002E337B" w:rsidTr="00052598">
        <w:tc>
          <w:tcPr>
            <w:tcW w:w="5000" w:type="pct"/>
            <w:gridSpan w:val="4"/>
          </w:tcPr>
          <w:p w:rsidR="00052598" w:rsidRPr="002E337B" w:rsidRDefault="00052598" w:rsidP="00052598">
            <w:pPr>
              <w:jc w:val="both"/>
              <w:rPr>
                <w:sz w:val="20"/>
              </w:rPr>
            </w:pPr>
            <w:r w:rsidRPr="002E337B">
              <w:rPr>
                <w:sz w:val="20"/>
              </w:rPr>
              <w:t>Arbitration — Interpretation of instrument — Jurisdiction — Standard of review — When does an arbitrator substantively amend instrument, allowing the surrounding circumstances to overwhelm the plain language of the document — Extent of supervising court’s statutory jurisdiction in reviewing arbitral decisions and setting aside arbitral decisions — Standard of review on appeal from decision of reviewing court of first instance under arbitration statutes.</w:t>
            </w:r>
          </w:p>
        </w:tc>
      </w:tr>
      <w:tr w:rsidR="00052598" w:rsidRPr="002E337B" w:rsidTr="00052598">
        <w:tc>
          <w:tcPr>
            <w:tcW w:w="5000" w:type="pct"/>
            <w:gridSpan w:val="4"/>
          </w:tcPr>
          <w:p w:rsidR="00052598" w:rsidRPr="002E337B" w:rsidRDefault="00052598" w:rsidP="00052598">
            <w:pPr>
              <w:jc w:val="both"/>
              <w:rPr>
                <w:sz w:val="20"/>
              </w:rPr>
            </w:pPr>
          </w:p>
          <w:p w:rsidR="00052598" w:rsidRPr="002E337B" w:rsidRDefault="00052598" w:rsidP="00052598">
            <w:pPr>
              <w:jc w:val="both"/>
              <w:rPr>
                <w:sz w:val="20"/>
              </w:rPr>
            </w:pPr>
            <w:r w:rsidRPr="002E337B">
              <w:rPr>
                <w:sz w:val="20"/>
              </w:rPr>
              <w:t>Halton Condominium Corporation No. 137 and Mensula Bancorp Inc. disagreed about access to the 43 parking units Mensula owned in Halton’s parking garage. Mensula argued that its employees and visitors were entitled to get to the parking units by walking through the lobby and hallways of the condominium building; Halton argued that they could only access the parking units through an external staircase. The matter went to arbitration. The arbitrator concluded that the declaration allowed Mensula access through the external staircase only.</w:t>
            </w:r>
          </w:p>
          <w:p w:rsidR="00052598" w:rsidRPr="002E337B" w:rsidRDefault="00052598" w:rsidP="00052598">
            <w:pPr>
              <w:jc w:val="both"/>
              <w:rPr>
                <w:sz w:val="20"/>
              </w:rPr>
            </w:pPr>
          </w:p>
          <w:p w:rsidR="00052598" w:rsidRPr="002E337B" w:rsidRDefault="00052598" w:rsidP="00052598">
            <w:pPr>
              <w:jc w:val="both"/>
              <w:rPr>
                <w:sz w:val="20"/>
              </w:rPr>
            </w:pPr>
            <w:r w:rsidRPr="002E337B">
              <w:rPr>
                <w:sz w:val="20"/>
              </w:rPr>
              <w:t>The application judge set the arbitration decision aside because the arbitrator had “crossed the line between interpretation and correction/amendment”. Halton’s appeal was allowed.</w:t>
            </w:r>
          </w:p>
        </w:tc>
      </w:tr>
      <w:tr w:rsidR="00052598" w:rsidRPr="002E337B" w:rsidTr="00052598">
        <w:tc>
          <w:tcPr>
            <w:tcW w:w="5000" w:type="pct"/>
            <w:gridSpan w:val="4"/>
          </w:tcPr>
          <w:p w:rsidR="00052598" w:rsidRPr="002E337B" w:rsidRDefault="00052598" w:rsidP="00052598">
            <w:pPr>
              <w:jc w:val="both"/>
              <w:rPr>
                <w:sz w:val="20"/>
              </w:rPr>
            </w:pPr>
          </w:p>
        </w:tc>
      </w:tr>
      <w:tr w:rsidR="00052598" w:rsidRPr="002E337B" w:rsidTr="00052598">
        <w:tc>
          <w:tcPr>
            <w:tcW w:w="2427" w:type="pct"/>
            <w:gridSpan w:val="2"/>
          </w:tcPr>
          <w:p w:rsidR="00052598" w:rsidRPr="002E337B" w:rsidRDefault="00052598" w:rsidP="00052598">
            <w:pPr>
              <w:jc w:val="both"/>
              <w:rPr>
                <w:sz w:val="20"/>
              </w:rPr>
            </w:pPr>
            <w:r w:rsidRPr="002E337B">
              <w:rPr>
                <w:sz w:val="20"/>
              </w:rPr>
              <w:t>April 7, 2021</w:t>
            </w:r>
          </w:p>
          <w:p w:rsidR="00052598" w:rsidRPr="002E337B" w:rsidRDefault="00052598" w:rsidP="00052598">
            <w:pPr>
              <w:jc w:val="both"/>
              <w:rPr>
                <w:sz w:val="20"/>
              </w:rPr>
            </w:pPr>
            <w:r w:rsidRPr="002E337B">
              <w:rPr>
                <w:sz w:val="20"/>
              </w:rPr>
              <w:t>Ontario Superior Court of Justice</w:t>
            </w:r>
          </w:p>
          <w:p w:rsidR="00052598" w:rsidRPr="002E337B" w:rsidRDefault="00052598" w:rsidP="00052598">
            <w:pPr>
              <w:jc w:val="both"/>
              <w:rPr>
                <w:sz w:val="20"/>
              </w:rPr>
            </w:pPr>
            <w:r w:rsidRPr="002E337B">
              <w:rPr>
                <w:sz w:val="20"/>
              </w:rPr>
              <w:t>(Verbeem J.)</w:t>
            </w:r>
          </w:p>
          <w:p w:rsidR="00052598" w:rsidRPr="002E337B" w:rsidRDefault="002E337B" w:rsidP="00052598">
            <w:pPr>
              <w:jc w:val="both"/>
              <w:rPr>
                <w:sz w:val="20"/>
              </w:rPr>
            </w:pPr>
            <w:hyperlink r:id="rId26" w:history="1">
              <w:r w:rsidR="00052598" w:rsidRPr="002E337B">
                <w:rPr>
                  <w:rStyle w:val="Hyperlink"/>
                  <w:sz w:val="20"/>
                </w:rPr>
                <w:t>2021 ONSC 2575</w:t>
              </w:r>
            </w:hyperlink>
          </w:p>
          <w:p w:rsidR="00052598" w:rsidRPr="002E337B" w:rsidRDefault="00052598" w:rsidP="00052598">
            <w:pPr>
              <w:jc w:val="both"/>
              <w:rPr>
                <w:sz w:val="20"/>
              </w:rPr>
            </w:pPr>
          </w:p>
        </w:tc>
        <w:tc>
          <w:tcPr>
            <w:tcW w:w="243" w:type="pct"/>
          </w:tcPr>
          <w:p w:rsidR="00052598" w:rsidRPr="002E337B" w:rsidRDefault="00052598" w:rsidP="00052598">
            <w:pPr>
              <w:jc w:val="both"/>
              <w:rPr>
                <w:sz w:val="20"/>
              </w:rPr>
            </w:pPr>
          </w:p>
        </w:tc>
        <w:tc>
          <w:tcPr>
            <w:tcW w:w="2330" w:type="pct"/>
          </w:tcPr>
          <w:p w:rsidR="00052598" w:rsidRPr="002E337B" w:rsidRDefault="00052598" w:rsidP="00052598">
            <w:pPr>
              <w:jc w:val="both"/>
              <w:rPr>
                <w:sz w:val="20"/>
              </w:rPr>
            </w:pPr>
            <w:r w:rsidRPr="002E337B">
              <w:rPr>
                <w:sz w:val="20"/>
              </w:rPr>
              <w:t xml:space="preserve">Application to set aside part of arbitration award pursuant to </w:t>
            </w:r>
            <w:r w:rsidRPr="002E337B">
              <w:rPr>
                <w:i/>
                <w:sz w:val="20"/>
              </w:rPr>
              <w:t>Arbitration Act, 1991</w:t>
            </w:r>
            <w:r w:rsidRPr="002E337B">
              <w:rPr>
                <w:sz w:val="20"/>
              </w:rPr>
              <w:t>, S.O. 1991, c. 17, s. 46, granted</w:t>
            </w:r>
          </w:p>
        </w:tc>
      </w:tr>
      <w:tr w:rsidR="00052598" w:rsidRPr="002E337B" w:rsidTr="00052598">
        <w:tc>
          <w:tcPr>
            <w:tcW w:w="2427" w:type="pct"/>
            <w:gridSpan w:val="2"/>
          </w:tcPr>
          <w:p w:rsidR="00052598" w:rsidRPr="002E337B" w:rsidRDefault="00052598" w:rsidP="00052598">
            <w:pPr>
              <w:jc w:val="both"/>
              <w:rPr>
                <w:sz w:val="20"/>
              </w:rPr>
            </w:pPr>
            <w:r w:rsidRPr="002E337B">
              <w:rPr>
                <w:sz w:val="20"/>
              </w:rPr>
              <w:t>November 10, 2022</w:t>
            </w:r>
          </w:p>
          <w:p w:rsidR="00052598" w:rsidRPr="002E337B" w:rsidRDefault="00052598" w:rsidP="00052598">
            <w:pPr>
              <w:jc w:val="both"/>
              <w:rPr>
                <w:sz w:val="20"/>
              </w:rPr>
            </w:pPr>
            <w:r w:rsidRPr="002E337B">
              <w:rPr>
                <w:sz w:val="20"/>
              </w:rPr>
              <w:t>Court of Appeal for Ontario</w:t>
            </w:r>
          </w:p>
          <w:p w:rsidR="00052598" w:rsidRPr="002E337B" w:rsidRDefault="00052598" w:rsidP="00052598">
            <w:pPr>
              <w:jc w:val="both"/>
              <w:rPr>
                <w:sz w:val="20"/>
              </w:rPr>
            </w:pPr>
            <w:r w:rsidRPr="002E337B">
              <w:rPr>
                <w:sz w:val="20"/>
              </w:rPr>
              <w:t>(Benotto, Zarnett, Copeland JJ.A.)</w:t>
            </w:r>
          </w:p>
          <w:p w:rsidR="00052598" w:rsidRPr="002E337B" w:rsidRDefault="002E337B" w:rsidP="00052598">
            <w:pPr>
              <w:jc w:val="both"/>
              <w:rPr>
                <w:sz w:val="20"/>
              </w:rPr>
            </w:pPr>
            <w:hyperlink r:id="rId27" w:history="1">
              <w:r w:rsidR="00052598" w:rsidRPr="002E337B">
                <w:rPr>
                  <w:rStyle w:val="Hyperlink"/>
                  <w:sz w:val="20"/>
                </w:rPr>
                <w:t>2022 ONCA 769</w:t>
              </w:r>
            </w:hyperlink>
          </w:p>
          <w:p w:rsidR="00052598" w:rsidRPr="002E337B" w:rsidRDefault="00052598" w:rsidP="00052598">
            <w:pPr>
              <w:jc w:val="both"/>
              <w:rPr>
                <w:sz w:val="20"/>
              </w:rPr>
            </w:pPr>
          </w:p>
        </w:tc>
        <w:tc>
          <w:tcPr>
            <w:tcW w:w="243" w:type="pct"/>
          </w:tcPr>
          <w:p w:rsidR="00052598" w:rsidRPr="002E337B" w:rsidRDefault="00052598" w:rsidP="00052598">
            <w:pPr>
              <w:jc w:val="both"/>
              <w:rPr>
                <w:sz w:val="20"/>
              </w:rPr>
            </w:pPr>
          </w:p>
        </w:tc>
        <w:tc>
          <w:tcPr>
            <w:tcW w:w="2330" w:type="pct"/>
          </w:tcPr>
          <w:p w:rsidR="00052598" w:rsidRPr="002E337B" w:rsidRDefault="00052598" w:rsidP="00052598">
            <w:pPr>
              <w:jc w:val="both"/>
              <w:rPr>
                <w:sz w:val="20"/>
              </w:rPr>
            </w:pPr>
            <w:r w:rsidRPr="002E337B">
              <w:rPr>
                <w:sz w:val="20"/>
              </w:rPr>
              <w:t>Appeal allowed; arbitrator’s award reinstated</w:t>
            </w:r>
          </w:p>
        </w:tc>
      </w:tr>
      <w:tr w:rsidR="00052598" w:rsidRPr="002E337B" w:rsidTr="00052598">
        <w:tc>
          <w:tcPr>
            <w:tcW w:w="2427" w:type="pct"/>
            <w:gridSpan w:val="2"/>
          </w:tcPr>
          <w:p w:rsidR="00052598" w:rsidRPr="002E337B" w:rsidRDefault="00052598" w:rsidP="00052598">
            <w:pPr>
              <w:jc w:val="both"/>
              <w:rPr>
                <w:sz w:val="20"/>
              </w:rPr>
            </w:pPr>
            <w:r w:rsidRPr="002E337B">
              <w:rPr>
                <w:sz w:val="20"/>
              </w:rPr>
              <w:t>January 9, 2023</w:t>
            </w:r>
          </w:p>
          <w:p w:rsidR="00052598" w:rsidRPr="002E337B" w:rsidRDefault="00052598" w:rsidP="00052598">
            <w:pPr>
              <w:jc w:val="both"/>
              <w:rPr>
                <w:sz w:val="20"/>
              </w:rPr>
            </w:pPr>
            <w:r w:rsidRPr="002E337B">
              <w:rPr>
                <w:sz w:val="20"/>
              </w:rPr>
              <w:t>Supreme Court of Canada</w:t>
            </w:r>
          </w:p>
        </w:tc>
        <w:tc>
          <w:tcPr>
            <w:tcW w:w="243" w:type="pct"/>
          </w:tcPr>
          <w:p w:rsidR="00052598" w:rsidRPr="002E337B" w:rsidRDefault="00052598" w:rsidP="00052598">
            <w:pPr>
              <w:jc w:val="both"/>
              <w:rPr>
                <w:sz w:val="20"/>
              </w:rPr>
            </w:pPr>
          </w:p>
        </w:tc>
        <w:tc>
          <w:tcPr>
            <w:tcW w:w="2330" w:type="pct"/>
          </w:tcPr>
          <w:p w:rsidR="00052598" w:rsidRPr="002E337B" w:rsidRDefault="00052598" w:rsidP="00052598">
            <w:pPr>
              <w:jc w:val="both"/>
              <w:rPr>
                <w:sz w:val="20"/>
              </w:rPr>
            </w:pPr>
            <w:r w:rsidRPr="002E337B">
              <w:rPr>
                <w:sz w:val="20"/>
              </w:rPr>
              <w:t>Application for leave to appeal filed</w:t>
            </w:r>
          </w:p>
          <w:p w:rsidR="00052598" w:rsidRPr="002E337B" w:rsidRDefault="00052598" w:rsidP="00052598">
            <w:pPr>
              <w:jc w:val="both"/>
              <w:rPr>
                <w:sz w:val="20"/>
              </w:rPr>
            </w:pPr>
          </w:p>
        </w:tc>
      </w:tr>
    </w:tbl>
    <w:p w:rsidR="00052598" w:rsidRPr="002E337B" w:rsidRDefault="00052598" w:rsidP="00052598">
      <w:pPr>
        <w:jc w:val="both"/>
        <w:rPr>
          <w:sz w:val="20"/>
        </w:rPr>
      </w:pPr>
    </w:p>
    <w:p w:rsidR="00052598" w:rsidRPr="002E337B" w:rsidRDefault="002E337B" w:rsidP="00052598">
      <w:pPr>
        <w:jc w:val="both"/>
        <w:rPr>
          <w:sz w:val="20"/>
        </w:rPr>
      </w:pPr>
      <w:r w:rsidRPr="002E337B">
        <w:rPr>
          <w:sz w:val="20"/>
        </w:rPr>
        <w:pict>
          <v:rect id="_x0000_i1033" style="width:2in;height:1pt" o:hrpct="0" o:hralign="center" o:hrstd="t" o:hrnoshade="t" o:hr="t" fillcolor="black [3213]" stroked="f"/>
        </w:pict>
      </w:r>
    </w:p>
    <w:p w:rsidR="00052598" w:rsidRPr="002E337B" w:rsidRDefault="00052598" w:rsidP="0005259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52598" w:rsidRPr="002E337B" w:rsidTr="00052598">
        <w:tc>
          <w:tcPr>
            <w:tcW w:w="543" w:type="pct"/>
          </w:tcPr>
          <w:p w:rsidR="00052598" w:rsidRPr="002E337B" w:rsidRDefault="00052598" w:rsidP="00052598">
            <w:pPr>
              <w:jc w:val="both"/>
              <w:rPr>
                <w:sz w:val="20"/>
              </w:rPr>
            </w:pPr>
            <w:r w:rsidRPr="002E337B">
              <w:rPr>
                <w:rStyle w:val="SCCFileNumberChar"/>
                <w:sz w:val="20"/>
                <w:szCs w:val="20"/>
              </w:rPr>
              <w:t>40546</w:t>
            </w:r>
          </w:p>
        </w:tc>
        <w:tc>
          <w:tcPr>
            <w:tcW w:w="4457" w:type="pct"/>
            <w:gridSpan w:val="3"/>
          </w:tcPr>
          <w:p w:rsidR="00052598" w:rsidRPr="002E337B" w:rsidRDefault="00052598" w:rsidP="00052598">
            <w:pPr>
              <w:pStyle w:val="SCCLsocParty"/>
              <w:jc w:val="both"/>
              <w:rPr>
                <w:b/>
                <w:sz w:val="20"/>
                <w:szCs w:val="20"/>
                <w:lang w:val="en-US"/>
              </w:rPr>
            </w:pPr>
            <w:r w:rsidRPr="002E337B">
              <w:rPr>
                <w:b/>
                <w:sz w:val="20"/>
                <w:szCs w:val="20"/>
                <w:lang w:val="en-US"/>
              </w:rPr>
              <w:t>Mensula Bancorp Inc. c. Halton Condominium Corporation No. 137</w:t>
            </w:r>
          </w:p>
          <w:p w:rsidR="00052598" w:rsidRPr="002E337B" w:rsidRDefault="00052598" w:rsidP="00052598">
            <w:pPr>
              <w:jc w:val="both"/>
              <w:rPr>
                <w:sz w:val="20"/>
              </w:rPr>
            </w:pPr>
            <w:r w:rsidRPr="002E337B">
              <w:rPr>
                <w:sz w:val="20"/>
              </w:rPr>
              <w:t>(Ont.) (Civile) (Sur autorisation)</w:t>
            </w:r>
          </w:p>
        </w:tc>
      </w:tr>
      <w:tr w:rsidR="00052598" w:rsidRPr="002E337B" w:rsidTr="00052598">
        <w:tc>
          <w:tcPr>
            <w:tcW w:w="5000" w:type="pct"/>
            <w:gridSpan w:val="4"/>
          </w:tcPr>
          <w:p w:rsidR="00052598" w:rsidRPr="002E337B" w:rsidRDefault="00052598" w:rsidP="00052598">
            <w:pPr>
              <w:jc w:val="both"/>
              <w:rPr>
                <w:sz w:val="20"/>
                <w:lang w:val="fr-CA"/>
              </w:rPr>
            </w:pPr>
            <w:r w:rsidRPr="002E337B">
              <w:rPr>
                <w:sz w:val="20"/>
                <w:lang w:val="fr-CA"/>
              </w:rPr>
              <w:t>Arbitrage — Interprétation de document — Compétence — Norme de contrôle — Quand un arbitre modifie-t-il substantiellement un document, en donnant préséance aux circonstances environnantes sur le langage clair du document? — Étendue de la compétence conférée à la cour par la loi en ce qui a trait à l’examen des sentences et leur annulation? — Norme de contrôle applicable en appel de la décision de la cour de révision de première instance selon les lois en matière d’arbitrage.</w:t>
            </w:r>
          </w:p>
          <w:p w:rsidR="00052598" w:rsidRPr="002E337B" w:rsidRDefault="00052598" w:rsidP="00052598">
            <w:pPr>
              <w:jc w:val="both"/>
              <w:rPr>
                <w:sz w:val="20"/>
                <w:lang w:val="fr-CA"/>
              </w:rPr>
            </w:pPr>
          </w:p>
        </w:tc>
      </w:tr>
      <w:tr w:rsidR="00052598" w:rsidRPr="002E337B" w:rsidTr="00052598">
        <w:tc>
          <w:tcPr>
            <w:tcW w:w="5000" w:type="pct"/>
            <w:gridSpan w:val="4"/>
          </w:tcPr>
          <w:p w:rsidR="00052598" w:rsidRPr="002E337B" w:rsidRDefault="00052598" w:rsidP="00052598">
            <w:pPr>
              <w:jc w:val="both"/>
              <w:rPr>
                <w:sz w:val="20"/>
                <w:lang w:val="fr-CA"/>
              </w:rPr>
            </w:pPr>
            <w:r w:rsidRPr="002E337B">
              <w:rPr>
                <w:sz w:val="20"/>
                <w:lang w:val="fr-CA"/>
              </w:rPr>
              <w:t xml:space="preserve">Halton Condominium Corporation No. 137 et Mensula Bancorp Inc. ne s’entendaient pas sur l’accès aux 43 places de stationnement dont Mensula était propriétaire dans le garage Halton. Mensula a fait valoir que ses employés et visiteurs avaient le droit de se rendre jusqu’aux places de stationnement en passant </w:t>
            </w:r>
            <w:proofErr w:type="spellStart"/>
            <w:r w:rsidRPr="002E337B">
              <w:rPr>
                <w:sz w:val="20"/>
                <w:lang w:val="fr-CA"/>
              </w:rPr>
              <w:t>pas</w:t>
            </w:r>
            <w:proofErr w:type="spellEnd"/>
            <w:r w:rsidRPr="002E337B">
              <w:rPr>
                <w:sz w:val="20"/>
                <w:lang w:val="fr-CA"/>
              </w:rPr>
              <w:t xml:space="preserve"> le hall et les couloirs de l’immeuble en copropriété; Halton a plaidé qu’ils ne pouvaient y avoir accès que par l’escalier extérieur. La question a été soumise à l’arbitrage. L’arbitre a conclu que la déclaration donnait l’accès à Mensula uniquement par l’escalier extérieur. </w:t>
            </w:r>
          </w:p>
          <w:p w:rsidR="00052598" w:rsidRPr="002E337B" w:rsidRDefault="00052598" w:rsidP="00052598">
            <w:pPr>
              <w:jc w:val="both"/>
              <w:rPr>
                <w:sz w:val="20"/>
                <w:lang w:val="fr-CA"/>
              </w:rPr>
            </w:pPr>
          </w:p>
          <w:p w:rsidR="00052598" w:rsidRPr="002E337B" w:rsidRDefault="00052598" w:rsidP="00052598">
            <w:pPr>
              <w:jc w:val="both"/>
              <w:rPr>
                <w:sz w:val="20"/>
                <w:lang w:val="fr-CA"/>
              </w:rPr>
            </w:pPr>
            <w:r w:rsidRPr="002E337B">
              <w:rPr>
                <w:sz w:val="20"/>
                <w:lang w:val="fr-CA"/>
              </w:rPr>
              <w:t xml:space="preserve">Le juge saisi de la requête a annulé la sentence parce que l’arbitre avait [TRADUCTION] « franchi la ligne entre l’interprétation et la correction/modification ». L’appel interjeté par Halton a été accueilli. </w:t>
            </w:r>
          </w:p>
        </w:tc>
      </w:tr>
      <w:tr w:rsidR="00052598" w:rsidRPr="002E337B" w:rsidTr="00052598">
        <w:tc>
          <w:tcPr>
            <w:tcW w:w="5000" w:type="pct"/>
            <w:gridSpan w:val="4"/>
          </w:tcPr>
          <w:p w:rsidR="00052598" w:rsidRPr="002E337B" w:rsidRDefault="00052598" w:rsidP="00052598">
            <w:pPr>
              <w:jc w:val="both"/>
              <w:rPr>
                <w:sz w:val="20"/>
                <w:lang w:val="fr-CA"/>
              </w:rPr>
            </w:pPr>
          </w:p>
        </w:tc>
      </w:tr>
      <w:tr w:rsidR="00052598" w:rsidRPr="002E337B" w:rsidTr="00052598">
        <w:tc>
          <w:tcPr>
            <w:tcW w:w="2427" w:type="pct"/>
            <w:gridSpan w:val="2"/>
          </w:tcPr>
          <w:p w:rsidR="00052598" w:rsidRPr="002E337B" w:rsidRDefault="00052598" w:rsidP="00052598">
            <w:pPr>
              <w:jc w:val="both"/>
              <w:rPr>
                <w:sz w:val="20"/>
                <w:lang w:val="fr-CA"/>
              </w:rPr>
            </w:pPr>
            <w:r w:rsidRPr="002E337B">
              <w:rPr>
                <w:sz w:val="20"/>
                <w:lang w:val="fr-CA"/>
              </w:rPr>
              <w:t>7 avril 2021</w:t>
            </w:r>
          </w:p>
          <w:p w:rsidR="00052598" w:rsidRPr="002E337B" w:rsidRDefault="00052598" w:rsidP="00052598">
            <w:pPr>
              <w:jc w:val="both"/>
              <w:rPr>
                <w:sz w:val="20"/>
                <w:lang w:val="fr-CA"/>
              </w:rPr>
            </w:pPr>
            <w:r w:rsidRPr="002E337B">
              <w:rPr>
                <w:sz w:val="20"/>
                <w:lang w:val="fr-CA"/>
              </w:rPr>
              <w:t xml:space="preserve">Cour supérieure de justice de l’Ontario </w:t>
            </w:r>
          </w:p>
          <w:p w:rsidR="00052598" w:rsidRPr="002E337B" w:rsidRDefault="00052598" w:rsidP="00052598">
            <w:pPr>
              <w:jc w:val="both"/>
              <w:rPr>
                <w:sz w:val="20"/>
              </w:rPr>
            </w:pPr>
            <w:r w:rsidRPr="002E337B">
              <w:rPr>
                <w:sz w:val="20"/>
              </w:rPr>
              <w:t>(Juge Verbeem)</w:t>
            </w:r>
          </w:p>
          <w:p w:rsidR="00052598" w:rsidRPr="002E337B" w:rsidRDefault="002E337B" w:rsidP="00052598">
            <w:pPr>
              <w:jc w:val="both"/>
              <w:rPr>
                <w:sz w:val="20"/>
              </w:rPr>
            </w:pPr>
            <w:hyperlink r:id="rId28" w:history="1">
              <w:r w:rsidR="00052598" w:rsidRPr="002E337B">
                <w:rPr>
                  <w:rStyle w:val="Hyperlink"/>
                  <w:sz w:val="20"/>
                </w:rPr>
                <w:t>2021 ONSC 2575</w:t>
              </w:r>
            </w:hyperlink>
          </w:p>
          <w:p w:rsidR="00052598" w:rsidRPr="002E337B" w:rsidRDefault="00052598" w:rsidP="00052598">
            <w:pPr>
              <w:jc w:val="both"/>
              <w:rPr>
                <w:sz w:val="20"/>
              </w:rPr>
            </w:pPr>
          </w:p>
        </w:tc>
        <w:tc>
          <w:tcPr>
            <w:tcW w:w="243" w:type="pct"/>
          </w:tcPr>
          <w:p w:rsidR="00052598" w:rsidRPr="002E337B" w:rsidRDefault="00052598" w:rsidP="00052598">
            <w:pPr>
              <w:jc w:val="both"/>
              <w:rPr>
                <w:sz w:val="20"/>
              </w:rPr>
            </w:pPr>
          </w:p>
        </w:tc>
        <w:tc>
          <w:tcPr>
            <w:tcW w:w="2330" w:type="pct"/>
          </w:tcPr>
          <w:p w:rsidR="00052598" w:rsidRPr="002E337B" w:rsidRDefault="00052598" w:rsidP="00052598">
            <w:pPr>
              <w:jc w:val="both"/>
              <w:rPr>
                <w:sz w:val="20"/>
                <w:lang w:val="fr-CA"/>
              </w:rPr>
            </w:pPr>
            <w:r w:rsidRPr="002E337B">
              <w:rPr>
                <w:sz w:val="20"/>
                <w:lang w:val="fr-CA"/>
              </w:rPr>
              <w:t xml:space="preserve">Requête en annulation d’une portion de la sentence en vertu de la </w:t>
            </w:r>
            <w:r w:rsidRPr="002E337B">
              <w:rPr>
                <w:i/>
                <w:sz w:val="20"/>
                <w:lang w:val="fr-CA"/>
              </w:rPr>
              <w:t>Loi de 1991 sur l’arbitrage</w:t>
            </w:r>
            <w:r w:rsidRPr="002E337B">
              <w:rPr>
                <w:sz w:val="20"/>
                <w:lang w:val="fr-CA"/>
              </w:rPr>
              <w:t>, L.O. 1991, c. 17, art. 46, accueillie</w:t>
            </w:r>
          </w:p>
        </w:tc>
      </w:tr>
      <w:tr w:rsidR="00052598" w:rsidRPr="002E337B" w:rsidTr="00052598">
        <w:tc>
          <w:tcPr>
            <w:tcW w:w="2427" w:type="pct"/>
            <w:gridSpan w:val="2"/>
          </w:tcPr>
          <w:p w:rsidR="00052598" w:rsidRPr="002E337B" w:rsidRDefault="00052598" w:rsidP="00052598">
            <w:pPr>
              <w:jc w:val="both"/>
              <w:rPr>
                <w:sz w:val="20"/>
                <w:lang w:val="fr-CA"/>
              </w:rPr>
            </w:pPr>
            <w:r w:rsidRPr="002E337B">
              <w:rPr>
                <w:sz w:val="20"/>
                <w:lang w:val="fr-CA"/>
              </w:rPr>
              <w:t>10 novembre 2022</w:t>
            </w:r>
          </w:p>
          <w:p w:rsidR="00052598" w:rsidRPr="002E337B" w:rsidRDefault="00052598" w:rsidP="00052598">
            <w:pPr>
              <w:jc w:val="both"/>
              <w:rPr>
                <w:sz w:val="20"/>
                <w:lang w:val="fr-CA"/>
              </w:rPr>
            </w:pPr>
            <w:r w:rsidRPr="002E337B">
              <w:rPr>
                <w:sz w:val="20"/>
                <w:lang w:val="fr-CA"/>
              </w:rPr>
              <w:t>Cour d’appel de l’Ontario</w:t>
            </w:r>
          </w:p>
          <w:p w:rsidR="00052598" w:rsidRPr="002E337B" w:rsidRDefault="00052598" w:rsidP="00052598">
            <w:pPr>
              <w:jc w:val="both"/>
              <w:rPr>
                <w:sz w:val="20"/>
                <w:lang w:val="fr-CA"/>
              </w:rPr>
            </w:pPr>
            <w:r w:rsidRPr="002E337B">
              <w:rPr>
                <w:sz w:val="20"/>
                <w:lang w:val="fr-CA"/>
              </w:rPr>
              <w:t>(Juges Benotto, Zarnett et Copeland)</w:t>
            </w:r>
          </w:p>
          <w:p w:rsidR="00052598" w:rsidRPr="002E337B" w:rsidRDefault="002E337B" w:rsidP="00052598">
            <w:pPr>
              <w:jc w:val="both"/>
              <w:rPr>
                <w:sz w:val="20"/>
              </w:rPr>
            </w:pPr>
            <w:hyperlink r:id="rId29" w:history="1">
              <w:r w:rsidR="00052598" w:rsidRPr="002E337B">
                <w:rPr>
                  <w:rStyle w:val="Hyperlink"/>
                  <w:sz w:val="20"/>
                </w:rPr>
                <w:t>2022 ONCA 769</w:t>
              </w:r>
            </w:hyperlink>
          </w:p>
          <w:p w:rsidR="00052598" w:rsidRPr="002E337B" w:rsidRDefault="00052598" w:rsidP="00052598">
            <w:pPr>
              <w:jc w:val="both"/>
              <w:rPr>
                <w:sz w:val="20"/>
              </w:rPr>
            </w:pPr>
          </w:p>
        </w:tc>
        <w:tc>
          <w:tcPr>
            <w:tcW w:w="243" w:type="pct"/>
          </w:tcPr>
          <w:p w:rsidR="00052598" w:rsidRPr="002E337B" w:rsidRDefault="00052598" w:rsidP="00052598">
            <w:pPr>
              <w:jc w:val="both"/>
              <w:rPr>
                <w:sz w:val="20"/>
              </w:rPr>
            </w:pPr>
          </w:p>
        </w:tc>
        <w:tc>
          <w:tcPr>
            <w:tcW w:w="2330" w:type="pct"/>
          </w:tcPr>
          <w:p w:rsidR="00052598" w:rsidRPr="002E337B" w:rsidRDefault="00052598" w:rsidP="00052598">
            <w:pPr>
              <w:jc w:val="both"/>
              <w:rPr>
                <w:sz w:val="20"/>
                <w:lang w:val="fr-CA"/>
              </w:rPr>
            </w:pPr>
            <w:r w:rsidRPr="002E337B">
              <w:rPr>
                <w:sz w:val="20"/>
                <w:lang w:val="fr-CA"/>
              </w:rPr>
              <w:t>Appel accueilli; rétablissement de la sentence</w:t>
            </w:r>
          </w:p>
        </w:tc>
      </w:tr>
      <w:tr w:rsidR="00052598" w:rsidRPr="002E337B" w:rsidTr="00052598">
        <w:tc>
          <w:tcPr>
            <w:tcW w:w="2427" w:type="pct"/>
            <w:gridSpan w:val="2"/>
          </w:tcPr>
          <w:p w:rsidR="00052598" w:rsidRPr="002E337B" w:rsidRDefault="00052598" w:rsidP="00052598">
            <w:pPr>
              <w:jc w:val="both"/>
              <w:rPr>
                <w:sz w:val="20"/>
                <w:lang w:val="fr-CA"/>
              </w:rPr>
            </w:pPr>
            <w:r w:rsidRPr="002E337B">
              <w:rPr>
                <w:sz w:val="20"/>
                <w:lang w:val="fr-CA"/>
              </w:rPr>
              <w:t>9 janvier 2023</w:t>
            </w:r>
          </w:p>
          <w:p w:rsidR="00052598" w:rsidRPr="002E337B" w:rsidRDefault="00052598" w:rsidP="00052598">
            <w:pPr>
              <w:jc w:val="both"/>
              <w:rPr>
                <w:sz w:val="20"/>
                <w:lang w:val="fr-CA"/>
              </w:rPr>
            </w:pPr>
            <w:r w:rsidRPr="002E337B">
              <w:rPr>
                <w:sz w:val="20"/>
                <w:lang w:val="fr-CA"/>
              </w:rPr>
              <w:t>Cour suprême du Canada</w:t>
            </w:r>
          </w:p>
        </w:tc>
        <w:tc>
          <w:tcPr>
            <w:tcW w:w="243" w:type="pct"/>
          </w:tcPr>
          <w:p w:rsidR="00052598" w:rsidRPr="002E337B" w:rsidRDefault="00052598" w:rsidP="00052598">
            <w:pPr>
              <w:jc w:val="both"/>
              <w:rPr>
                <w:sz w:val="20"/>
                <w:lang w:val="fr-CA"/>
              </w:rPr>
            </w:pPr>
          </w:p>
        </w:tc>
        <w:tc>
          <w:tcPr>
            <w:tcW w:w="2330" w:type="pct"/>
          </w:tcPr>
          <w:p w:rsidR="00052598" w:rsidRPr="002E337B" w:rsidRDefault="00052598" w:rsidP="00052598">
            <w:pPr>
              <w:jc w:val="both"/>
              <w:rPr>
                <w:sz w:val="20"/>
              </w:rPr>
            </w:pPr>
            <w:r w:rsidRPr="002E337B">
              <w:rPr>
                <w:sz w:val="20"/>
              </w:rPr>
              <w:t>Demande d’autorisation d’appel déposée</w:t>
            </w:r>
          </w:p>
          <w:p w:rsidR="00052598" w:rsidRPr="002E337B" w:rsidRDefault="00052598" w:rsidP="00052598">
            <w:pPr>
              <w:jc w:val="both"/>
              <w:rPr>
                <w:sz w:val="20"/>
              </w:rPr>
            </w:pPr>
          </w:p>
        </w:tc>
      </w:tr>
    </w:tbl>
    <w:p w:rsidR="00052598" w:rsidRPr="002E337B" w:rsidRDefault="00052598" w:rsidP="00052598">
      <w:pPr>
        <w:jc w:val="both"/>
        <w:rPr>
          <w:sz w:val="20"/>
        </w:rPr>
      </w:pPr>
    </w:p>
    <w:p w:rsidR="00052598" w:rsidRPr="002E337B" w:rsidRDefault="002E337B" w:rsidP="00052598">
      <w:pPr>
        <w:jc w:val="both"/>
        <w:rPr>
          <w:sz w:val="20"/>
        </w:rPr>
      </w:pPr>
      <w:r w:rsidRPr="002E337B">
        <w:rPr>
          <w:sz w:val="20"/>
        </w:rPr>
        <w:pict>
          <v:rect id="_x0000_i1034" style="width:2in;height:1pt" o:hrpct="0" o:hralign="center" o:hrstd="t" o:hrnoshade="t" o:hr="t" fillcolor="black [3213]" stroked="f"/>
        </w:pict>
      </w:r>
    </w:p>
    <w:p w:rsidR="00052598" w:rsidRPr="002E337B" w:rsidRDefault="00052598" w:rsidP="0005259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52598" w:rsidRPr="002E337B" w:rsidTr="00052598">
        <w:tc>
          <w:tcPr>
            <w:tcW w:w="543" w:type="pct"/>
          </w:tcPr>
          <w:p w:rsidR="00052598" w:rsidRPr="002E337B" w:rsidRDefault="00052598" w:rsidP="00052598">
            <w:pPr>
              <w:jc w:val="both"/>
              <w:rPr>
                <w:sz w:val="20"/>
              </w:rPr>
            </w:pPr>
            <w:r w:rsidRPr="002E337B">
              <w:rPr>
                <w:rStyle w:val="SCCFileNumberChar"/>
                <w:sz w:val="20"/>
                <w:szCs w:val="20"/>
              </w:rPr>
              <w:t>40548</w:t>
            </w:r>
          </w:p>
        </w:tc>
        <w:tc>
          <w:tcPr>
            <w:tcW w:w="4457" w:type="pct"/>
            <w:gridSpan w:val="3"/>
          </w:tcPr>
          <w:p w:rsidR="00052598" w:rsidRPr="002E337B" w:rsidRDefault="00052598" w:rsidP="00052598">
            <w:pPr>
              <w:pStyle w:val="SCCLsocParty"/>
              <w:jc w:val="both"/>
              <w:rPr>
                <w:b/>
                <w:sz w:val="20"/>
                <w:szCs w:val="20"/>
                <w:lang w:val="en-US"/>
              </w:rPr>
            </w:pPr>
            <w:r w:rsidRPr="002E337B">
              <w:rPr>
                <w:b/>
                <w:sz w:val="20"/>
                <w:szCs w:val="20"/>
                <w:lang w:val="en-US"/>
              </w:rPr>
              <w:t>Jeremy Leonard v. His Majesty the King</w:t>
            </w:r>
          </w:p>
          <w:p w:rsidR="00052598" w:rsidRPr="002E337B" w:rsidRDefault="00052598" w:rsidP="00052598">
            <w:pPr>
              <w:pStyle w:val="SCCLsocSubfileSeparator"/>
              <w:rPr>
                <w:sz w:val="20"/>
                <w:szCs w:val="20"/>
              </w:rPr>
            </w:pPr>
            <w:r w:rsidRPr="002E337B">
              <w:rPr>
                <w:sz w:val="20"/>
                <w:szCs w:val="20"/>
              </w:rPr>
              <w:t>- and between -</w:t>
            </w:r>
          </w:p>
          <w:p w:rsidR="00052598" w:rsidRPr="002E337B" w:rsidRDefault="00052598" w:rsidP="00052598">
            <w:pPr>
              <w:pStyle w:val="SCCLsocParty"/>
              <w:jc w:val="both"/>
              <w:rPr>
                <w:b/>
                <w:sz w:val="20"/>
                <w:szCs w:val="20"/>
                <w:lang w:val="en-US"/>
              </w:rPr>
            </w:pPr>
            <w:r w:rsidRPr="002E337B">
              <w:rPr>
                <w:b/>
                <w:sz w:val="20"/>
                <w:szCs w:val="20"/>
                <w:lang w:val="en-US"/>
              </w:rPr>
              <w:t>Carol Tenney v. His Majesty the King</w:t>
            </w:r>
          </w:p>
          <w:p w:rsidR="00052598" w:rsidRPr="002E337B" w:rsidRDefault="00052598" w:rsidP="00052598">
            <w:pPr>
              <w:jc w:val="both"/>
              <w:rPr>
                <w:sz w:val="20"/>
              </w:rPr>
            </w:pPr>
            <w:r w:rsidRPr="002E337B">
              <w:rPr>
                <w:sz w:val="20"/>
              </w:rPr>
              <w:t>(Fed.) (Civil) (By Leave)</w:t>
            </w:r>
          </w:p>
        </w:tc>
      </w:tr>
      <w:tr w:rsidR="00052598" w:rsidRPr="002E337B" w:rsidTr="00052598">
        <w:tc>
          <w:tcPr>
            <w:tcW w:w="5000" w:type="pct"/>
            <w:gridSpan w:val="4"/>
          </w:tcPr>
          <w:p w:rsidR="00052598" w:rsidRPr="002E337B" w:rsidRDefault="00052598" w:rsidP="00052598">
            <w:pPr>
              <w:jc w:val="both"/>
              <w:rPr>
                <w:sz w:val="20"/>
              </w:rPr>
            </w:pPr>
            <w:r w:rsidRPr="002E337B">
              <w:rPr>
                <w:sz w:val="20"/>
              </w:rPr>
              <w:t>Taxation — Income tax — Assessment — Taxpayers claiming loss arising from certain transactions — Minister’s reassessments confirmed by Federal Court of Appeal — Whether Federal Court of Appeal erred in finding that formal admission in pleading can be conditional depending on which alternative argument is ultimately advanced — Whether real, admitted-to loss is negated in tax law because there is outstanding uncollected judgment which can theoretically be collected on.</w:t>
            </w:r>
          </w:p>
        </w:tc>
      </w:tr>
      <w:tr w:rsidR="00052598" w:rsidRPr="002E337B" w:rsidTr="00052598">
        <w:tc>
          <w:tcPr>
            <w:tcW w:w="5000" w:type="pct"/>
            <w:gridSpan w:val="4"/>
          </w:tcPr>
          <w:p w:rsidR="00052598" w:rsidRPr="002E337B" w:rsidRDefault="00052598" w:rsidP="00052598">
            <w:pPr>
              <w:jc w:val="both"/>
              <w:rPr>
                <w:sz w:val="20"/>
              </w:rPr>
            </w:pPr>
          </w:p>
        </w:tc>
      </w:tr>
      <w:tr w:rsidR="00052598" w:rsidRPr="002E337B" w:rsidTr="00052598">
        <w:tc>
          <w:tcPr>
            <w:tcW w:w="5000" w:type="pct"/>
            <w:gridSpan w:val="4"/>
          </w:tcPr>
          <w:p w:rsidR="00052598" w:rsidRPr="002E337B" w:rsidRDefault="00052598" w:rsidP="00052598">
            <w:pPr>
              <w:jc w:val="both"/>
              <w:rPr>
                <w:sz w:val="20"/>
              </w:rPr>
            </w:pPr>
            <w:r w:rsidRPr="002E337B">
              <w:rPr>
                <w:sz w:val="20"/>
              </w:rPr>
              <w:t xml:space="preserve">The applicant taxpayers appealed reassessments issued from the respondent Crown in respect of the 2011, 2012, 2013 and 2014 taxation years. The 2011 reassessment disallowed a claimed non-capital loss in the amount of $1,472,006, which had been reported on for the 2011 taxation year.  The reassessments for 2012, 2013 and 2014 disallowed the carry-forward of portions of the loss.  </w:t>
            </w:r>
          </w:p>
          <w:p w:rsidR="00052598" w:rsidRPr="002E337B" w:rsidRDefault="00052598" w:rsidP="00052598">
            <w:pPr>
              <w:jc w:val="both"/>
              <w:rPr>
                <w:sz w:val="20"/>
              </w:rPr>
            </w:pPr>
          </w:p>
          <w:p w:rsidR="00052598" w:rsidRPr="002E337B" w:rsidRDefault="00052598" w:rsidP="00052598">
            <w:pPr>
              <w:jc w:val="both"/>
              <w:rPr>
                <w:sz w:val="20"/>
              </w:rPr>
            </w:pPr>
            <w:r w:rsidRPr="002E337B">
              <w:rPr>
                <w:sz w:val="20"/>
              </w:rPr>
              <w:t>The Tax Court allowed the appeals and the reassessments were referred back to the Minister for reconsideration and reassessment. The Federal Court of Appeal dismissed the taxpayers’ appeals and allowed the Crown’s cross-appeals. The Tax Court decision was set aside and the appeals to the Tax Court would be dismissed.</w:t>
            </w:r>
          </w:p>
          <w:p w:rsidR="00052598" w:rsidRPr="002E337B" w:rsidRDefault="00052598" w:rsidP="00052598">
            <w:pPr>
              <w:jc w:val="both"/>
              <w:rPr>
                <w:sz w:val="20"/>
              </w:rPr>
            </w:pPr>
          </w:p>
        </w:tc>
      </w:tr>
      <w:tr w:rsidR="00052598" w:rsidRPr="002E337B" w:rsidTr="00052598">
        <w:tc>
          <w:tcPr>
            <w:tcW w:w="2427" w:type="pct"/>
            <w:gridSpan w:val="2"/>
          </w:tcPr>
          <w:p w:rsidR="00052598" w:rsidRPr="002E337B" w:rsidRDefault="00052598" w:rsidP="00052598">
            <w:pPr>
              <w:jc w:val="both"/>
              <w:rPr>
                <w:sz w:val="20"/>
              </w:rPr>
            </w:pPr>
            <w:r w:rsidRPr="002E337B">
              <w:rPr>
                <w:sz w:val="20"/>
              </w:rPr>
              <w:t>April 30, 2021</w:t>
            </w:r>
          </w:p>
          <w:p w:rsidR="00052598" w:rsidRPr="002E337B" w:rsidRDefault="00052598" w:rsidP="00052598">
            <w:pPr>
              <w:jc w:val="both"/>
              <w:rPr>
                <w:sz w:val="20"/>
              </w:rPr>
            </w:pPr>
            <w:r w:rsidRPr="002E337B">
              <w:rPr>
                <w:sz w:val="20"/>
              </w:rPr>
              <w:t>Tax Court of Canada</w:t>
            </w:r>
          </w:p>
          <w:p w:rsidR="00052598" w:rsidRPr="002E337B" w:rsidRDefault="00052598" w:rsidP="00052598">
            <w:pPr>
              <w:jc w:val="both"/>
              <w:rPr>
                <w:sz w:val="20"/>
              </w:rPr>
            </w:pPr>
            <w:r w:rsidRPr="002E337B">
              <w:rPr>
                <w:sz w:val="20"/>
              </w:rPr>
              <w:t>(Sommerfeldt J.)</w:t>
            </w:r>
          </w:p>
          <w:p w:rsidR="00052598" w:rsidRPr="002E337B" w:rsidRDefault="002E337B" w:rsidP="00052598">
            <w:pPr>
              <w:jc w:val="both"/>
              <w:rPr>
                <w:sz w:val="20"/>
              </w:rPr>
            </w:pPr>
            <w:hyperlink r:id="rId30" w:history="1">
              <w:r w:rsidR="00052598" w:rsidRPr="002E337B">
                <w:rPr>
                  <w:rStyle w:val="Hyperlink"/>
                  <w:sz w:val="20"/>
                </w:rPr>
                <w:t>2021 TCC 33</w:t>
              </w:r>
            </w:hyperlink>
          </w:p>
          <w:p w:rsidR="00052598" w:rsidRPr="002E337B" w:rsidRDefault="00052598" w:rsidP="00052598">
            <w:pPr>
              <w:jc w:val="both"/>
              <w:rPr>
                <w:sz w:val="20"/>
              </w:rPr>
            </w:pPr>
          </w:p>
        </w:tc>
        <w:tc>
          <w:tcPr>
            <w:tcW w:w="243" w:type="pct"/>
          </w:tcPr>
          <w:p w:rsidR="00052598" w:rsidRPr="002E337B" w:rsidRDefault="00052598" w:rsidP="00052598">
            <w:pPr>
              <w:jc w:val="both"/>
              <w:rPr>
                <w:sz w:val="20"/>
              </w:rPr>
            </w:pPr>
          </w:p>
        </w:tc>
        <w:tc>
          <w:tcPr>
            <w:tcW w:w="2330" w:type="pct"/>
          </w:tcPr>
          <w:p w:rsidR="00052598" w:rsidRPr="002E337B" w:rsidRDefault="00052598" w:rsidP="00052598">
            <w:pPr>
              <w:jc w:val="both"/>
              <w:rPr>
                <w:sz w:val="20"/>
              </w:rPr>
            </w:pPr>
            <w:r w:rsidRPr="002E337B">
              <w:rPr>
                <w:sz w:val="20"/>
              </w:rPr>
              <w:t>Appeals were allowed and reassessments were referred back to the Minister for reconsideration and reassessment subject to the parties needing to determine the extent to which the loss in the amount of $826,426 may be applied in respect of the four taxation years.</w:t>
            </w:r>
          </w:p>
          <w:p w:rsidR="00052598" w:rsidRPr="002E337B" w:rsidRDefault="00052598" w:rsidP="00052598">
            <w:pPr>
              <w:jc w:val="both"/>
              <w:rPr>
                <w:sz w:val="20"/>
              </w:rPr>
            </w:pPr>
          </w:p>
        </w:tc>
      </w:tr>
      <w:tr w:rsidR="00052598" w:rsidRPr="002E337B" w:rsidTr="00052598">
        <w:tc>
          <w:tcPr>
            <w:tcW w:w="2427" w:type="pct"/>
            <w:gridSpan w:val="2"/>
          </w:tcPr>
          <w:p w:rsidR="00052598" w:rsidRPr="002E337B" w:rsidRDefault="00052598" w:rsidP="00052598">
            <w:pPr>
              <w:jc w:val="both"/>
              <w:rPr>
                <w:sz w:val="20"/>
              </w:rPr>
            </w:pPr>
            <w:r w:rsidRPr="002E337B">
              <w:rPr>
                <w:sz w:val="20"/>
              </w:rPr>
              <w:t>November 10, 2022</w:t>
            </w:r>
          </w:p>
          <w:p w:rsidR="00052598" w:rsidRPr="002E337B" w:rsidRDefault="00052598" w:rsidP="00052598">
            <w:pPr>
              <w:jc w:val="both"/>
              <w:rPr>
                <w:sz w:val="20"/>
              </w:rPr>
            </w:pPr>
            <w:r w:rsidRPr="002E337B">
              <w:rPr>
                <w:sz w:val="20"/>
              </w:rPr>
              <w:t>Federal Court of Appeal</w:t>
            </w:r>
          </w:p>
          <w:p w:rsidR="00052598" w:rsidRPr="002E337B" w:rsidRDefault="00052598" w:rsidP="00052598">
            <w:pPr>
              <w:jc w:val="both"/>
              <w:rPr>
                <w:sz w:val="20"/>
              </w:rPr>
            </w:pPr>
            <w:r w:rsidRPr="002E337B">
              <w:rPr>
                <w:sz w:val="20"/>
              </w:rPr>
              <w:t>(Stratas, Webb and Rennie JJ.A.)</w:t>
            </w:r>
          </w:p>
          <w:p w:rsidR="00052598" w:rsidRPr="002E337B" w:rsidRDefault="002E337B" w:rsidP="00052598">
            <w:pPr>
              <w:jc w:val="both"/>
              <w:rPr>
                <w:sz w:val="20"/>
              </w:rPr>
            </w:pPr>
            <w:hyperlink r:id="rId31" w:history="1">
              <w:r w:rsidR="00052598" w:rsidRPr="002E337B">
                <w:rPr>
                  <w:rStyle w:val="Hyperlink"/>
                  <w:sz w:val="20"/>
                </w:rPr>
                <w:t>2022 FCA 195</w:t>
              </w:r>
            </w:hyperlink>
          </w:p>
          <w:p w:rsidR="00052598" w:rsidRPr="002E337B" w:rsidRDefault="00052598" w:rsidP="00052598">
            <w:pPr>
              <w:jc w:val="both"/>
              <w:rPr>
                <w:sz w:val="20"/>
              </w:rPr>
            </w:pPr>
            <w:r w:rsidRPr="002E337B">
              <w:rPr>
                <w:sz w:val="20"/>
              </w:rPr>
              <w:t>A-151-21</w:t>
            </w:r>
          </w:p>
          <w:p w:rsidR="00052598" w:rsidRPr="002E337B" w:rsidRDefault="00052598" w:rsidP="00052598">
            <w:pPr>
              <w:jc w:val="both"/>
              <w:rPr>
                <w:sz w:val="20"/>
              </w:rPr>
            </w:pPr>
          </w:p>
        </w:tc>
        <w:tc>
          <w:tcPr>
            <w:tcW w:w="243" w:type="pct"/>
          </w:tcPr>
          <w:p w:rsidR="00052598" w:rsidRPr="002E337B" w:rsidRDefault="00052598" w:rsidP="00052598">
            <w:pPr>
              <w:jc w:val="both"/>
              <w:rPr>
                <w:sz w:val="20"/>
              </w:rPr>
            </w:pPr>
          </w:p>
        </w:tc>
        <w:tc>
          <w:tcPr>
            <w:tcW w:w="2330" w:type="pct"/>
          </w:tcPr>
          <w:p w:rsidR="00052598" w:rsidRPr="002E337B" w:rsidRDefault="00052598" w:rsidP="00052598">
            <w:pPr>
              <w:jc w:val="both"/>
              <w:rPr>
                <w:sz w:val="20"/>
              </w:rPr>
            </w:pPr>
            <w:r w:rsidRPr="002E337B">
              <w:rPr>
                <w:sz w:val="20"/>
              </w:rPr>
              <w:t>Taxpayers’ appeals dismissed; Crown’s cross-appeals allowed. Tax Court decision was set aside and the appeals to the Tax Court would be dismissed.</w:t>
            </w:r>
          </w:p>
          <w:p w:rsidR="00052598" w:rsidRPr="002E337B" w:rsidRDefault="00052598" w:rsidP="00052598">
            <w:pPr>
              <w:jc w:val="both"/>
              <w:rPr>
                <w:sz w:val="20"/>
              </w:rPr>
            </w:pPr>
          </w:p>
        </w:tc>
      </w:tr>
      <w:tr w:rsidR="00052598" w:rsidRPr="002E337B" w:rsidTr="00052598">
        <w:tc>
          <w:tcPr>
            <w:tcW w:w="2427" w:type="pct"/>
            <w:gridSpan w:val="2"/>
          </w:tcPr>
          <w:p w:rsidR="00052598" w:rsidRPr="002E337B" w:rsidRDefault="00052598" w:rsidP="00052598">
            <w:pPr>
              <w:jc w:val="both"/>
              <w:rPr>
                <w:sz w:val="20"/>
              </w:rPr>
            </w:pPr>
            <w:r w:rsidRPr="002E337B">
              <w:rPr>
                <w:sz w:val="20"/>
              </w:rPr>
              <w:t>January 9, 2023</w:t>
            </w:r>
          </w:p>
          <w:p w:rsidR="00052598" w:rsidRPr="002E337B" w:rsidRDefault="00052598" w:rsidP="00052598">
            <w:pPr>
              <w:jc w:val="both"/>
              <w:rPr>
                <w:sz w:val="20"/>
              </w:rPr>
            </w:pPr>
            <w:r w:rsidRPr="002E337B">
              <w:rPr>
                <w:sz w:val="20"/>
              </w:rPr>
              <w:t>Supreme Court of Canada</w:t>
            </w:r>
          </w:p>
        </w:tc>
        <w:tc>
          <w:tcPr>
            <w:tcW w:w="243" w:type="pct"/>
          </w:tcPr>
          <w:p w:rsidR="00052598" w:rsidRPr="002E337B" w:rsidRDefault="00052598" w:rsidP="00052598">
            <w:pPr>
              <w:jc w:val="both"/>
              <w:rPr>
                <w:sz w:val="20"/>
              </w:rPr>
            </w:pPr>
          </w:p>
        </w:tc>
        <w:tc>
          <w:tcPr>
            <w:tcW w:w="2330" w:type="pct"/>
          </w:tcPr>
          <w:p w:rsidR="00052598" w:rsidRPr="002E337B" w:rsidRDefault="00052598" w:rsidP="00052598">
            <w:pPr>
              <w:jc w:val="both"/>
              <w:rPr>
                <w:sz w:val="20"/>
              </w:rPr>
            </w:pPr>
            <w:r w:rsidRPr="002E337B">
              <w:rPr>
                <w:sz w:val="20"/>
              </w:rPr>
              <w:t>Motion to join and application for leave to appeal filed.</w:t>
            </w:r>
          </w:p>
          <w:p w:rsidR="00052598" w:rsidRPr="002E337B" w:rsidRDefault="00052598" w:rsidP="00052598">
            <w:pPr>
              <w:jc w:val="both"/>
              <w:rPr>
                <w:sz w:val="20"/>
              </w:rPr>
            </w:pPr>
          </w:p>
        </w:tc>
      </w:tr>
    </w:tbl>
    <w:p w:rsidR="00052598" w:rsidRPr="002E337B" w:rsidRDefault="00052598" w:rsidP="00052598">
      <w:pPr>
        <w:jc w:val="both"/>
        <w:rPr>
          <w:sz w:val="20"/>
        </w:rPr>
      </w:pPr>
    </w:p>
    <w:p w:rsidR="00052598" w:rsidRPr="002E337B" w:rsidRDefault="002E337B" w:rsidP="00052598">
      <w:pPr>
        <w:jc w:val="both"/>
        <w:rPr>
          <w:sz w:val="20"/>
        </w:rPr>
      </w:pPr>
      <w:r w:rsidRPr="002E337B">
        <w:rPr>
          <w:sz w:val="20"/>
        </w:rPr>
        <w:pict>
          <v:rect id="_x0000_i1035" style="width:2in;height:1pt" o:hrpct="0" o:hralign="center" o:hrstd="t" o:hrnoshade="t" o:hr="t" fillcolor="black [3213]" stroked="f"/>
        </w:pict>
      </w:r>
    </w:p>
    <w:p w:rsidR="00052598" w:rsidRPr="002E337B" w:rsidRDefault="00052598" w:rsidP="0005259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52598" w:rsidRPr="002E337B" w:rsidTr="00052598">
        <w:tc>
          <w:tcPr>
            <w:tcW w:w="543" w:type="pct"/>
          </w:tcPr>
          <w:p w:rsidR="00052598" w:rsidRPr="002E337B" w:rsidRDefault="00052598" w:rsidP="00052598">
            <w:pPr>
              <w:jc w:val="both"/>
              <w:rPr>
                <w:sz w:val="20"/>
                <w:lang w:val="fr-CA"/>
              </w:rPr>
            </w:pPr>
            <w:r w:rsidRPr="002E337B">
              <w:rPr>
                <w:rStyle w:val="SCCFileNumberChar"/>
                <w:sz w:val="20"/>
                <w:szCs w:val="20"/>
                <w:lang w:val="fr-CA"/>
              </w:rPr>
              <w:t>40548</w:t>
            </w:r>
          </w:p>
        </w:tc>
        <w:tc>
          <w:tcPr>
            <w:tcW w:w="4457" w:type="pct"/>
            <w:gridSpan w:val="3"/>
          </w:tcPr>
          <w:p w:rsidR="00052598" w:rsidRPr="002E337B" w:rsidRDefault="00052598" w:rsidP="00052598">
            <w:pPr>
              <w:pStyle w:val="SCCLsocParty"/>
              <w:jc w:val="both"/>
              <w:rPr>
                <w:b/>
                <w:sz w:val="20"/>
                <w:szCs w:val="20"/>
              </w:rPr>
            </w:pPr>
            <w:r w:rsidRPr="002E337B">
              <w:rPr>
                <w:b/>
                <w:sz w:val="20"/>
                <w:szCs w:val="20"/>
              </w:rPr>
              <w:t>Jeremy Leonard c. Sa Majesté le Roi</w:t>
            </w:r>
          </w:p>
          <w:p w:rsidR="00052598" w:rsidRPr="002E337B" w:rsidRDefault="00052598" w:rsidP="00052598">
            <w:pPr>
              <w:pStyle w:val="SCCLsocSubfileSeparator"/>
              <w:rPr>
                <w:sz w:val="20"/>
                <w:szCs w:val="20"/>
                <w:lang w:val="fr-CA"/>
              </w:rPr>
            </w:pPr>
            <w:r w:rsidRPr="002E337B">
              <w:rPr>
                <w:sz w:val="20"/>
                <w:szCs w:val="20"/>
                <w:lang w:val="fr-CA"/>
              </w:rPr>
              <w:t>- et entre -</w:t>
            </w:r>
          </w:p>
          <w:p w:rsidR="00052598" w:rsidRPr="002E337B" w:rsidRDefault="00052598" w:rsidP="00052598">
            <w:pPr>
              <w:pStyle w:val="SCCLsocParty"/>
              <w:jc w:val="both"/>
              <w:rPr>
                <w:b/>
                <w:sz w:val="20"/>
                <w:szCs w:val="20"/>
              </w:rPr>
            </w:pPr>
            <w:r w:rsidRPr="002E337B">
              <w:rPr>
                <w:b/>
                <w:sz w:val="20"/>
                <w:szCs w:val="20"/>
              </w:rPr>
              <w:t>Carol Tenney c. Sa Majesté le Roi</w:t>
            </w:r>
          </w:p>
          <w:p w:rsidR="00052598" w:rsidRPr="002E337B" w:rsidRDefault="00052598" w:rsidP="00052598">
            <w:pPr>
              <w:jc w:val="both"/>
              <w:rPr>
                <w:sz w:val="20"/>
                <w:lang w:val="fr-CA"/>
              </w:rPr>
            </w:pPr>
            <w:r w:rsidRPr="002E337B">
              <w:rPr>
                <w:sz w:val="20"/>
                <w:lang w:val="fr-CA"/>
              </w:rPr>
              <w:t>(Féd.) (Civile) (Autorisation)</w:t>
            </w:r>
          </w:p>
        </w:tc>
      </w:tr>
      <w:tr w:rsidR="00052598" w:rsidRPr="002E337B" w:rsidTr="00052598">
        <w:tc>
          <w:tcPr>
            <w:tcW w:w="5000" w:type="pct"/>
            <w:gridSpan w:val="4"/>
          </w:tcPr>
          <w:p w:rsidR="00052598" w:rsidRPr="002E337B" w:rsidRDefault="00052598" w:rsidP="00052598">
            <w:pPr>
              <w:jc w:val="both"/>
              <w:rPr>
                <w:sz w:val="20"/>
                <w:lang w:val="fr-CA"/>
              </w:rPr>
            </w:pPr>
            <w:r w:rsidRPr="002E337B">
              <w:rPr>
                <w:sz w:val="20"/>
                <w:lang w:val="fr-CA"/>
              </w:rPr>
              <w:t>Droit fiscal — Impôt sur le revenu — Cotisation — Contribuables réclamant des pertes découlant de certaines transactions — Nouvelles cotisations du ministre confirmées par la Cour d’appel fédérale — La Cour d’appel fédérale a</w:t>
            </w:r>
            <w:r w:rsidRPr="002E337B">
              <w:rPr>
                <w:sz w:val="20"/>
                <w:lang w:val="fr-CA"/>
              </w:rPr>
              <w:noBreakHyphen/>
              <w:t>t</w:t>
            </w:r>
            <w:r w:rsidRPr="002E337B">
              <w:rPr>
                <w:sz w:val="20"/>
                <w:lang w:val="fr-CA"/>
              </w:rPr>
              <w:noBreakHyphen/>
              <w:t>elle commis une erreur en concluant qu’une admission formelle dans les plaidoiries peut être conditionnelle selon lequel des arguments subsidiaires est avancé en définitive — La véritable perte admise est</w:t>
            </w:r>
            <w:r w:rsidRPr="002E337B">
              <w:rPr>
                <w:sz w:val="20"/>
                <w:lang w:val="fr-CA"/>
              </w:rPr>
              <w:noBreakHyphen/>
              <w:t>elle niée en droit fiscal parce qu’il y a un jugement non encaissé en cours, qui peut en théorie être encaissé?</w:t>
            </w:r>
          </w:p>
        </w:tc>
      </w:tr>
      <w:tr w:rsidR="00052598" w:rsidRPr="002E337B" w:rsidTr="00052598">
        <w:tc>
          <w:tcPr>
            <w:tcW w:w="5000" w:type="pct"/>
            <w:gridSpan w:val="4"/>
          </w:tcPr>
          <w:p w:rsidR="00052598" w:rsidRPr="002E337B" w:rsidRDefault="00052598" w:rsidP="00052598">
            <w:pPr>
              <w:jc w:val="both"/>
              <w:rPr>
                <w:sz w:val="20"/>
                <w:lang w:val="fr-CA"/>
              </w:rPr>
            </w:pPr>
          </w:p>
        </w:tc>
      </w:tr>
      <w:tr w:rsidR="00052598" w:rsidRPr="002E337B" w:rsidTr="00052598">
        <w:tc>
          <w:tcPr>
            <w:tcW w:w="5000" w:type="pct"/>
            <w:gridSpan w:val="4"/>
          </w:tcPr>
          <w:p w:rsidR="00052598" w:rsidRPr="002E337B" w:rsidRDefault="00052598" w:rsidP="00052598">
            <w:pPr>
              <w:jc w:val="both"/>
              <w:rPr>
                <w:sz w:val="20"/>
                <w:lang w:val="fr-CA"/>
              </w:rPr>
            </w:pPr>
            <w:r w:rsidRPr="002E337B">
              <w:rPr>
                <w:sz w:val="20"/>
                <w:lang w:val="fr-CA"/>
              </w:rPr>
              <w:t xml:space="preserve">Les contribuables demandeurs interjettent appel des nouvelles cotisations établies par la Couronne, la défenderesse, relativement aux années d’imposition 2011, 2012, 2013 et 2014. </w:t>
            </w:r>
            <w:r w:rsidRPr="002E337B">
              <w:rPr>
                <w:sz w:val="20"/>
                <w:lang w:val="fr-CA" w:eastAsia="fr-CA"/>
              </w:rPr>
              <w:t>La nouvelle cotisation de 2011 a refusé une perte autre qu’en capital de 1 472 006 $ qui avait été déclarée pour l’année d’imposition de 2011.</w:t>
            </w:r>
            <w:r w:rsidRPr="002E337B">
              <w:rPr>
                <w:sz w:val="20"/>
                <w:lang w:val="fr-CA"/>
              </w:rPr>
              <w:t xml:space="preserve"> Les nouvelles cotisations pour 2012, 2013 et 2014 ont refusé le report d’une partie de la perte.</w:t>
            </w:r>
          </w:p>
          <w:p w:rsidR="00052598" w:rsidRPr="002E337B" w:rsidRDefault="00052598" w:rsidP="00052598">
            <w:pPr>
              <w:jc w:val="both"/>
              <w:rPr>
                <w:sz w:val="20"/>
                <w:lang w:val="fr-CA"/>
              </w:rPr>
            </w:pPr>
          </w:p>
          <w:p w:rsidR="00052598" w:rsidRPr="002E337B" w:rsidRDefault="00052598" w:rsidP="00052598">
            <w:pPr>
              <w:jc w:val="both"/>
              <w:rPr>
                <w:sz w:val="20"/>
                <w:lang w:val="fr-CA"/>
              </w:rPr>
            </w:pPr>
            <w:r w:rsidRPr="002E337B">
              <w:rPr>
                <w:sz w:val="20"/>
                <w:lang w:val="fr-CA"/>
              </w:rPr>
              <w:t>La cour de l’impôt a accueilli les appels et les nouvelles cotisations ont été renvoyées au Ministre aux fins de réexamen et d’établissement de nouvelles cotisations. La Cour d’appel fédérale a rejeté les appels interjetés par les contribuables et accueilli les appels incidents de la Couronne. La décision de la cour de l’impôt a été annulée et les appels interjetés à la cour de l’impôt seraient rejetés.</w:t>
            </w:r>
          </w:p>
          <w:p w:rsidR="00052598" w:rsidRPr="002E337B" w:rsidRDefault="00052598" w:rsidP="00052598">
            <w:pPr>
              <w:jc w:val="both"/>
              <w:rPr>
                <w:sz w:val="20"/>
                <w:lang w:val="fr-CA"/>
              </w:rPr>
            </w:pPr>
            <w:r w:rsidRPr="002E337B">
              <w:rPr>
                <w:sz w:val="20"/>
                <w:lang w:val="fr-CA"/>
              </w:rPr>
              <w:t xml:space="preserve"> </w:t>
            </w:r>
          </w:p>
        </w:tc>
      </w:tr>
      <w:tr w:rsidR="00052598" w:rsidRPr="002E337B" w:rsidTr="00052598">
        <w:tc>
          <w:tcPr>
            <w:tcW w:w="2427" w:type="pct"/>
            <w:gridSpan w:val="2"/>
          </w:tcPr>
          <w:p w:rsidR="00052598" w:rsidRPr="002E337B" w:rsidRDefault="00052598" w:rsidP="00052598">
            <w:pPr>
              <w:jc w:val="both"/>
              <w:rPr>
                <w:sz w:val="20"/>
                <w:lang w:val="fr-CA"/>
              </w:rPr>
            </w:pPr>
            <w:r w:rsidRPr="002E337B">
              <w:rPr>
                <w:sz w:val="20"/>
                <w:lang w:val="fr-CA"/>
              </w:rPr>
              <w:t>30 avril 2021</w:t>
            </w:r>
          </w:p>
          <w:p w:rsidR="00052598" w:rsidRPr="002E337B" w:rsidRDefault="00052598" w:rsidP="00052598">
            <w:pPr>
              <w:jc w:val="both"/>
              <w:rPr>
                <w:sz w:val="20"/>
                <w:lang w:val="fr-CA"/>
              </w:rPr>
            </w:pPr>
            <w:r w:rsidRPr="002E337B">
              <w:rPr>
                <w:sz w:val="20"/>
                <w:lang w:val="fr-CA"/>
              </w:rPr>
              <w:t>Cour canadienne de l’impôt</w:t>
            </w:r>
          </w:p>
          <w:p w:rsidR="00052598" w:rsidRPr="002E337B" w:rsidRDefault="00052598" w:rsidP="00052598">
            <w:pPr>
              <w:jc w:val="both"/>
              <w:rPr>
                <w:sz w:val="20"/>
                <w:lang w:val="fr-CA"/>
              </w:rPr>
            </w:pPr>
            <w:r w:rsidRPr="002E337B">
              <w:rPr>
                <w:sz w:val="20"/>
                <w:lang w:val="fr-CA"/>
              </w:rPr>
              <w:t>(juge Sommerfeldt)</w:t>
            </w:r>
          </w:p>
          <w:p w:rsidR="00052598" w:rsidRPr="002E337B" w:rsidRDefault="00052598" w:rsidP="00052598">
            <w:pPr>
              <w:jc w:val="both"/>
              <w:rPr>
                <w:rStyle w:val="Hyperlink"/>
                <w:sz w:val="20"/>
                <w:lang w:val="fr-CA"/>
              </w:rPr>
            </w:pPr>
            <w:r w:rsidRPr="002E337B">
              <w:rPr>
                <w:rStyle w:val="Hyperlink"/>
                <w:sz w:val="20"/>
                <w:lang w:val="fr-CA"/>
              </w:rPr>
              <w:fldChar w:fldCharType="begin"/>
            </w:r>
            <w:r w:rsidRPr="002E337B">
              <w:rPr>
                <w:rStyle w:val="Hyperlink"/>
                <w:sz w:val="20"/>
                <w:lang w:val="fr-CA"/>
              </w:rPr>
              <w:instrText xml:space="preserve"> HYPERLINK "https://www.canlii.org/fr/ca/cci/doc/2021/2021cci33/2021cci33.html" </w:instrText>
            </w:r>
            <w:r w:rsidRPr="002E337B">
              <w:rPr>
                <w:rStyle w:val="Hyperlink"/>
                <w:sz w:val="20"/>
                <w:lang w:val="fr-CA"/>
              </w:rPr>
              <w:fldChar w:fldCharType="separate"/>
            </w:r>
            <w:r w:rsidRPr="002E337B">
              <w:rPr>
                <w:rStyle w:val="Hyperlink"/>
                <w:sz w:val="20"/>
                <w:lang w:val="fr-CA"/>
              </w:rPr>
              <w:t>2021 CCI 33</w:t>
            </w:r>
          </w:p>
          <w:p w:rsidR="00052598" w:rsidRPr="002E337B" w:rsidRDefault="00052598" w:rsidP="00052598">
            <w:pPr>
              <w:jc w:val="both"/>
              <w:rPr>
                <w:sz w:val="20"/>
                <w:lang w:val="fr-CA"/>
              </w:rPr>
            </w:pPr>
            <w:r w:rsidRPr="002E337B">
              <w:rPr>
                <w:rStyle w:val="Hyperlink"/>
                <w:sz w:val="20"/>
                <w:lang w:val="fr-CA"/>
              </w:rPr>
              <w:fldChar w:fldCharType="end"/>
            </w:r>
          </w:p>
        </w:tc>
        <w:tc>
          <w:tcPr>
            <w:tcW w:w="243" w:type="pct"/>
          </w:tcPr>
          <w:p w:rsidR="00052598" w:rsidRPr="002E337B" w:rsidRDefault="00052598" w:rsidP="00052598">
            <w:pPr>
              <w:jc w:val="both"/>
              <w:rPr>
                <w:sz w:val="20"/>
                <w:lang w:val="fr-CA"/>
              </w:rPr>
            </w:pPr>
          </w:p>
        </w:tc>
        <w:tc>
          <w:tcPr>
            <w:tcW w:w="2330" w:type="pct"/>
          </w:tcPr>
          <w:p w:rsidR="00052598" w:rsidRPr="002E337B" w:rsidRDefault="00052598" w:rsidP="00052598">
            <w:pPr>
              <w:jc w:val="both"/>
              <w:rPr>
                <w:sz w:val="20"/>
                <w:lang w:val="fr-CA"/>
              </w:rPr>
            </w:pPr>
            <w:r w:rsidRPr="002E337B">
              <w:rPr>
                <w:sz w:val="20"/>
                <w:lang w:val="fr-CA"/>
              </w:rPr>
              <w:t>Appels accueillis et nouvelles cotisations renvoyées au Ministre aux fins de réexamen et d’établissement d’une nouvelle cotisation à condition que les parties puissent déterminer la mesure selon laquelle la perte de 826 426 $ peut être appliquée aux quatre années d’imposition.</w:t>
            </w:r>
          </w:p>
          <w:p w:rsidR="00052598" w:rsidRPr="002E337B" w:rsidRDefault="00052598" w:rsidP="00052598">
            <w:pPr>
              <w:jc w:val="both"/>
              <w:rPr>
                <w:sz w:val="20"/>
                <w:lang w:val="fr-CA"/>
              </w:rPr>
            </w:pPr>
          </w:p>
        </w:tc>
      </w:tr>
      <w:tr w:rsidR="00052598" w:rsidRPr="002E337B" w:rsidTr="00052598">
        <w:tc>
          <w:tcPr>
            <w:tcW w:w="2427" w:type="pct"/>
            <w:gridSpan w:val="2"/>
          </w:tcPr>
          <w:p w:rsidR="00052598" w:rsidRPr="002E337B" w:rsidRDefault="00052598" w:rsidP="00052598">
            <w:pPr>
              <w:jc w:val="both"/>
              <w:rPr>
                <w:sz w:val="20"/>
                <w:lang w:val="fr-CA"/>
              </w:rPr>
            </w:pPr>
            <w:r w:rsidRPr="002E337B">
              <w:rPr>
                <w:sz w:val="20"/>
                <w:lang w:val="fr-CA"/>
              </w:rPr>
              <w:t>10 novembre 2022</w:t>
            </w:r>
          </w:p>
          <w:p w:rsidR="00052598" w:rsidRPr="002E337B" w:rsidRDefault="00052598" w:rsidP="00052598">
            <w:pPr>
              <w:jc w:val="both"/>
              <w:rPr>
                <w:sz w:val="20"/>
                <w:lang w:val="fr-CA"/>
              </w:rPr>
            </w:pPr>
            <w:r w:rsidRPr="002E337B">
              <w:rPr>
                <w:sz w:val="20"/>
                <w:lang w:val="fr-CA"/>
              </w:rPr>
              <w:t xml:space="preserve">Cour d’appel fédérale </w:t>
            </w:r>
          </w:p>
          <w:p w:rsidR="00052598" w:rsidRPr="002E337B" w:rsidRDefault="00052598" w:rsidP="00052598">
            <w:pPr>
              <w:jc w:val="both"/>
              <w:rPr>
                <w:sz w:val="20"/>
                <w:lang w:val="fr-CA"/>
              </w:rPr>
            </w:pPr>
            <w:r w:rsidRPr="002E337B">
              <w:rPr>
                <w:sz w:val="20"/>
                <w:lang w:val="fr-CA"/>
              </w:rPr>
              <w:t>(juges Stratas, Webb et Rennie)</w:t>
            </w:r>
          </w:p>
          <w:p w:rsidR="00052598" w:rsidRPr="002E337B" w:rsidRDefault="002E337B" w:rsidP="00052598">
            <w:pPr>
              <w:jc w:val="both"/>
              <w:rPr>
                <w:sz w:val="20"/>
                <w:lang w:val="fr-CA"/>
              </w:rPr>
            </w:pPr>
            <w:hyperlink r:id="rId32" w:history="1">
              <w:r w:rsidR="00052598" w:rsidRPr="002E337B">
                <w:rPr>
                  <w:rStyle w:val="Hyperlink"/>
                  <w:sz w:val="20"/>
                  <w:lang w:val="fr-CA"/>
                </w:rPr>
                <w:t>2022 FCA 195</w:t>
              </w:r>
            </w:hyperlink>
          </w:p>
          <w:p w:rsidR="00052598" w:rsidRPr="002E337B" w:rsidRDefault="00052598" w:rsidP="00052598">
            <w:pPr>
              <w:jc w:val="both"/>
              <w:rPr>
                <w:sz w:val="20"/>
                <w:lang w:val="fr-CA"/>
              </w:rPr>
            </w:pPr>
            <w:r w:rsidRPr="002E337B">
              <w:rPr>
                <w:sz w:val="20"/>
                <w:lang w:val="fr-CA"/>
              </w:rPr>
              <w:t>A-151-21</w:t>
            </w:r>
          </w:p>
          <w:p w:rsidR="00052598" w:rsidRPr="002E337B" w:rsidRDefault="00052598" w:rsidP="00052598">
            <w:pPr>
              <w:jc w:val="both"/>
              <w:rPr>
                <w:sz w:val="20"/>
                <w:lang w:val="fr-CA"/>
              </w:rPr>
            </w:pPr>
          </w:p>
        </w:tc>
        <w:tc>
          <w:tcPr>
            <w:tcW w:w="243" w:type="pct"/>
          </w:tcPr>
          <w:p w:rsidR="00052598" w:rsidRPr="002E337B" w:rsidRDefault="00052598" w:rsidP="00052598">
            <w:pPr>
              <w:jc w:val="both"/>
              <w:rPr>
                <w:sz w:val="20"/>
                <w:lang w:val="fr-CA"/>
              </w:rPr>
            </w:pPr>
          </w:p>
        </w:tc>
        <w:tc>
          <w:tcPr>
            <w:tcW w:w="2330" w:type="pct"/>
          </w:tcPr>
          <w:p w:rsidR="00052598" w:rsidRPr="002E337B" w:rsidRDefault="00052598" w:rsidP="00052598">
            <w:pPr>
              <w:jc w:val="both"/>
              <w:rPr>
                <w:sz w:val="20"/>
                <w:lang w:val="fr-CA"/>
              </w:rPr>
            </w:pPr>
            <w:r w:rsidRPr="002E337B">
              <w:rPr>
                <w:sz w:val="20"/>
                <w:lang w:val="fr-CA"/>
              </w:rPr>
              <w:t>Appels des contribuables rejetés; appels incidents de la Couronne accueillis. La décision de la cour de l’impôt et les appels interjetés à la cour de l’impôt seraient rejetés.</w:t>
            </w:r>
          </w:p>
          <w:p w:rsidR="00052598" w:rsidRPr="002E337B" w:rsidRDefault="00052598" w:rsidP="00052598">
            <w:pPr>
              <w:jc w:val="both"/>
              <w:rPr>
                <w:sz w:val="20"/>
                <w:lang w:val="fr-CA"/>
              </w:rPr>
            </w:pPr>
          </w:p>
        </w:tc>
      </w:tr>
      <w:tr w:rsidR="00052598" w:rsidRPr="002E337B" w:rsidTr="00052598">
        <w:tc>
          <w:tcPr>
            <w:tcW w:w="2427" w:type="pct"/>
            <w:gridSpan w:val="2"/>
          </w:tcPr>
          <w:p w:rsidR="00052598" w:rsidRPr="002E337B" w:rsidRDefault="00052598" w:rsidP="00052598">
            <w:pPr>
              <w:jc w:val="both"/>
              <w:rPr>
                <w:sz w:val="20"/>
                <w:lang w:val="fr-CA"/>
              </w:rPr>
            </w:pPr>
            <w:r w:rsidRPr="002E337B">
              <w:rPr>
                <w:sz w:val="20"/>
                <w:lang w:val="fr-CA"/>
              </w:rPr>
              <w:t>9 janvier 2023</w:t>
            </w:r>
          </w:p>
          <w:p w:rsidR="00052598" w:rsidRPr="002E337B" w:rsidRDefault="00052598" w:rsidP="00052598">
            <w:pPr>
              <w:jc w:val="both"/>
              <w:rPr>
                <w:sz w:val="20"/>
                <w:lang w:val="fr-CA"/>
              </w:rPr>
            </w:pPr>
            <w:r w:rsidRPr="002E337B">
              <w:rPr>
                <w:sz w:val="20"/>
                <w:lang w:val="fr-CA"/>
              </w:rPr>
              <w:t>Cour suprême du Canada</w:t>
            </w:r>
          </w:p>
        </w:tc>
        <w:tc>
          <w:tcPr>
            <w:tcW w:w="243" w:type="pct"/>
          </w:tcPr>
          <w:p w:rsidR="00052598" w:rsidRPr="002E337B" w:rsidRDefault="00052598" w:rsidP="00052598">
            <w:pPr>
              <w:jc w:val="both"/>
              <w:rPr>
                <w:sz w:val="20"/>
                <w:lang w:val="fr-CA"/>
              </w:rPr>
            </w:pPr>
          </w:p>
        </w:tc>
        <w:tc>
          <w:tcPr>
            <w:tcW w:w="2330" w:type="pct"/>
          </w:tcPr>
          <w:p w:rsidR="00052598" w:rsidRPr="002E337B" w:rsidRDefault="00052598" w:rsidP="00052598">
            <w:pPr>
              <w:jc w:val="both"/>
              <w:rPr>
                <w:sz w:val="20"/>
                <w:lang w:val="fr-CA"/>
              </w:rPr>
            </w:pPr>
            <w:r w:rsidRPr="002E337B">
              <w:rPr>
                <w:sz w:val="20"/>
                <w:lang w:val="fr-CA"/>
              </w:rPr>
              <w:t xml:space="preserve">Requête en vue de la jonction des instances et demande d’autorisation </w:t>
            </w:r>
            <w:proofErr w:type="gramStart"/>
            <w:r w:rsidRPr="002E337B">
              <w:rPr>
                <w:sz w:val="20"/>
                <w:lang w:val="fr-CA"/>
              </w:rPr>
              <w:t>d’appel déposées</w:t>
            </w:r>
            <w:proofErr w:type="gramEnd"/>
            <w:r w:rsidRPr="002E337B">
              <w:rPr>
                <w:sz w:val="20"/>
                <w:lang w:val="fr-CA"/>
              </w:rPr>
              <w:t>.</w:t>
            </w:r>
          </w:p>
        </w:tc>
      </w:tr>
    </w:tbl>
    <w:p w:rsidR="00052598" w:rsidRPr="002E337B" w:rsidRDefault="00052598" w:rsidP="00052598">
      <w:pPr>
        <w:jc w:val="both"/>
        <w:rPr>
          <w:sz w:val="20"/>
          <w:lang w:val="fr-CA"/>
        </w:rPr>
      </w:pPr>
    </w:p>
    <w:p w:rsidR="00052598" w:rsidRPr="002E337B" w:rsidRDefault="002E337B" w:rsidP="00052598">
      <w:pPr>
        <w:jc w:val="both"/>
        <w:rPr>
          <w:sz w:val="20"/>
          <w:lang w:val="fr-CA"/>
        </w:rPr>
      </w:pPr>
      <w:r w:rsidRPr="002E337B">
        <w:rPr>
          <w:sz w:val="20"/>
        </w:rPr>
        <w:pict>
          <v:rect id="_x0000_i1036" style="width:2in;height:1pt" o:hrpct="0" o:hralign="center" o:hrstd="t" o:hrnoshade="t" o:hr="t" fillcolor="black [3213]" stroked="f"/>
        </w:pict>
      </w:r>
    </w:p>
    <w:p w:rsidR="00052598" w:rsidRPr="002E337B" w:rsidRDefault="00052598" w:rsidP="0005259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52598" w:rsidRPr="002E337B" w:rsidTr="00052598">
        <w:tc>
          <w:tcPr>
            <w:tcW w:w="543" w:type="pct"/>
          </w:tcPr>
          <w:p w:rsidR="00052598" w:rsidRPr="002E337B" w:rsidRDefault="00052598" w:rsidP="00052598">
            <w:pPr>
              <w:jc w:val="both"/>
              <w:rPr>
                <w:sz w:val="20"/>
                <w:lang w:val="en-CA"/>
              </w:rPr>
            </w:pPr>
            <w:r w:rsidRPr="002E337B">
              <w:rPr>
                <w:rStyle w:val="SCCFileNumberChar"/>
                <w:sz w:val="20"/>
                <w:szCs w:val="20"/>
              </w:rPr>
              <w:t>40623</w:t>
            </w:r>
          </w:p>
        </w:tc>
        <w:tc>
          <w:tcPr>
            <w:tcW w:w="4457" w:type="pct"/>
            <w:gridSpan w:val="3"/>
          </w:tcPr>
          <w:p w:rsidR="00052598" w:rsidRPr="002E337B" w:rsidRDefault="00052598" w:rsidP="00052598">
            <w:pPr>
              <w:pStyle w:val="SCCLsocParty"/>
              <w:jc w:val="both"/>
              <w:rPr>
                <w:b/>
                <w:sz w:val="20"/>
                <w:szCs w:val="20"/>
                <w:lang w:val="en-CA"/>
              </w:rPr>
            </w:pPr>
            <w:r w:rsidRPr="002E337B">
              <w:rPr>
                <w:b/>
                <w:sz w:val="20"/>
                <w:szCs w:val="20"/>
                <w:lang w:val="en-CA"/>
              </w:rPr>
              <w:t>A.B. v. S.S.</w:t>
            </w:r>
          </w:p>
          <w:p w:rsidR="00052598" w:rsidRPr="002E337B" w:rsidRDefault="00052598" w:rsidP="00052598">
            <w:pPr>
              <w:jc w:val="both"/>
              <w:rPr>
                <w:sz w:val="20"/>
                <w:lang w:val="en-CA"/>
              </w:rPr>
            </w:pPr>
            <w:r w:rsidRPr="002E337B">
              <w:rPr>
                <w:sz w:val="20"/>
                <w:lang w:val="en-CA"/>
              </w:rPr>
              <w:t>(Que.) (Civil) (By Leave)</w:t>
            </w:r>
          </w:p>
        </w:tc>
      </w:tr>
      <w:tr w:rsidR="00052598" w:rsidRPr="002E337B" w:rsidTr="00052598">
        <w:tc>
          <w:tcPr>
            <w:tcW w:w="5000" w:type="pct"/>
            <w:gridSpan w:val="4"/>
          </w:tcPr>
          <w:p w:rsidR="00052598" w:rsidRPr="002E337B" w:rsidRDefault="00052598" w:rsidP="00052598">
            <w:pPr>
              <w:pStyle w:val="SCCBanSummary"/>
              <w:rPr>
                <w:sz w:val="20"/>
                <w:szCs w:val="20"/>
              </w:rPr>
            </w:pPr>
            <w:r w:rsidRPr="002E337B">
              <w:rPr>
                <w:sz w:val="20"/>
                <w:szCs w:val="20"/>
              </w:rPr>
              <w:t>(Publication ban on party)</w:t>
            </w:r>
          </w:p>
          <w:p w:rsidR="00052598" w:rsidRPr="002E337B" w:rsidRDefault="00052598" w:rsidP="00052598">
            <w:pPr>
              <w:jc w:val="both"/>
              <w:rPr>
                <w:sz w:val="20"/>
                <w:lang w:val="en-CA"/>
              </w:rPr>
            </w:pPr>
          </w:p>
        </w:tc>
      </w:tr>
      <w:tr w:rsidR="00052598" w:rsidRPr="002E337B" w:rsidTr="00052598">
        <w:tc>
          <w:tcPr>
            <w:tcW w:w="5000" w:type="pct"/>
            <w:gridSpan w:val="4"/>
          </w:tcPr>
          <w:p w:rsidR="00052598" w:rsidRPr="002E337B" w:rsidRDefault="00052598" w:rsidP="00052598">
            <w:pPr>
              <w:jc w:val="both"/>
              <w:rPr>
                <w:sz w:val="20"/>
                <w:lang w:val="en-CA"/>
              </w:rPr>
            </w:pPr>
            <w:r w:rsidRPr="002E337B">
              <w:rPr>
                <w:sz w:val="20"/>
                <w:lang w:val="en-CA"/>
              </w:rPr>
              <w:t>Civil procedure — Appeals — Relevant and sufficient excerpts in appeal record — Whether Quebec Court of Appeal erred in law in dismissing applicant’s appeal.</w:t>
            </w:r>
          </w:p>
          <w:p w:rsidR="00052598" w:rsidRPr="002E337B" w:rsidRDefault="00052598" w:rsidP="00052598">
            <w:pPr>
              <w:jc w:val="both"/>
              <w:rPr>
                <w:sz w:val="20"/>
                <w:lang w:val="en-CA"/>
              </w:rPr>
            </w:pPr>
          </w:p>
        </w:tc>
      </w:tr>
      <w:tr w:rsidR="00052598" w:rsidRPr="002E337B" w:rsidTr="00052598">
        <w:tc>
          <w:tcPr>
            <w:tcW w:w="5000" w:type="pct"/>
            <w:gridSpan w:val="4"/>
          </w:tcPr>
          <w:p w:rsidR="00052598" w:rsidRPr="002E337B" w:rsidRDefault="00052598" w:rsidP="00052598">
            <w:pPr>
              <w:jc w:val="both"/>
              <w:rPr>
                <w:sz w:val="20"/>
                <w:lang w:val="en-CA"/>
              </w:rPr>
            </w:pPr>
            <w:r w:rsidRPr="002E337B">
              <w:rPr>
                <w:sz w:val="20"/>
                <w:lang w:val="en-CA"/>
              </w:rPr>
              <w:t>The parties had a child together. They moved separately from France to Canada. Following an incident in 2018, the parties broke off their relationship. Prior to that incident, the applicant had purchased two immovables and a car in her name only. The respondent claimed that the parties had a secret contract that provided for the partition of the immovables and the car.</w:t>
            </w:r>
          </w:p>
          <w:p w:rsidR="00052598" w:rsidRPr="002E337B" w:rsidRDefault="00052598" w:rsidP="00052598">
            <w:pPr>
              <w:jc w:val="both"/>
              <w:rPr>
                <w:sz w:val="20"/>
                <w:lang w:val="en-CA"/>
              </w:rPr>
            </w:pPr>
          </w:p>
          <w:p w:rsidR="00052598" w:rsidRPr="002E337B" w:rsidRDefault="00052598" w:rsidP="00052598">
            <w:pPr>
              <w:jc w:val="both"/>
              <w:rPr>
                <w:sz w:val="20"/>
                <w:lang w:val="en-CA"/>
              </w:rPr>
            </w:pPr>
            <w:r w:rsidRPr="002E337B">
              <w:rPr>
                <w:sz w:val="20"/>
                <w:lang w:val="en-CA"/>
              </w:rPr>
              <w:t>The Quebec Superior Court allowed in part the respondent’s application in simulation and declared him the co</w:t>
            </w:r>
            <w:r w:rsidRPr="002E337B">
              <w:rPr>
                <w:sz w:val="20"/>
                <w:lang w:val="en-CA"/>
              </w:rPr>
              <w:noBreakHyphen/>
              <w:t>owner of the immovables and the car. It did not vary the child custody order, but it determined the amount of child support and the arrears.</w:t>
            </w:r>
          </w:p>
          <w:p w:rsidR="00052598" w:rsidRPr="002E337B" w:rsidRDefault="00052598" w:rsidP="00052598">
            <w:pPr>
              <w:jc w:val="both"/>
              <w:rPr>
                <w:sz w:val="20"/>
                <w:lang w:val="en-CA"/>
              </w:rPr>
            </w:pPr>
          </w:p>
          <w:p w:rsidR="00052598" w:rsidRPr="002E337B" w:rsidRDefault="00052598" w:rsidP="00052598">
            <w:pPr>
              <w:jc w:val="both"/>
              <w:rPr>
                <w:sz w:val="20"/>
                <w:lang w:val="en-CA"/>
              </w:rPr>
            </w:pPr>
            <w:r w:rsidRPr="002E337B">
              <w:rPr>
                <w:sz w:val="20"/>
                <w:lang w:val="en-CA"/>
              </w:rPr>
              <w:t xml:space="preserve">The Quebec Court of Appeal dismissed the applicant’s appeal, mainly because the appeal record did not contain certain exhibits that </w:t>
            </w:r>
            <w:proofErr w:type="gramStart"/>
            <w:r w:rsidRPr="002E337B">
              <w:rPr>
                <w:sz w:val="20"/>
                <w:lang w:val="en-CA"/>
              </w:rPr>
              <w:t>had been filed</w:t>
            </w:r>
            <w:proofErr w:type="gramEnd"/>
            <w:r w:rsidRPr="002E337B">
              <w:rPr>
                <w:sz w:val="20"/>
                <w:lang w:val="en-CA"/>
              </w:rPr>
              <w:t xml:space="preserve"> in the Superior Court. The Court of Appeal did not identify any error made by the trial judge.</w:t>
            </w:r>
          </w:p>
          <w:p w:rsidR="00052598" w:rsidRPr="002E337B" w:rsidRDefault="00052598" w:rsidP="00052598">
            <w:pPr>
              <w:jc w:val="both"/>
              <w:rPr>
                <w:sz w:val="20"/>
                <w:lang w:val="en-CA"/>
              </w:rPr>
            </w:pPr>
          </w:p>
        </w:tc>
      </w:tr>
      <w:tr w:rsidR="00052598" w:rsidRPr="002E337B" w:rsidTr="00052598">
        <w:tc>
          <w:tcPr>
            <w:tcW w:w="2427" w:type="pct"/>
            <w:gridSpan w:val="2"/>
          </w:tcPr>
          <w:p w:rsidR="00052598" w:rsidRPr="002E337B" w:rsidRDefault="00052598" w:rsidP="00052598">
            <w:pPr>
              <w:jc w:val="both"/>
              <w:rPr>
                <w:sz w:val="20"/>
                <w:lang w:val="en-CA"/>
              </w:rPr>
            </w:pPr>
            <w:r w:rsidRPr="002E337B">
              <w:rPr>
                <w:sz w:val="20"/>
                <w:lang w:val="en-CA"/>
              </w:rPr>
              <w:t>January 22, 2021</w:t>
            </w:r>
          </w:p>
          <w:p w:rsidR="00052598" w:rsidRPr="002E337B" w:rsidRDefault="00052598" w:rsidP="00052598">
            <w:pPr>
              <w:jc w:val="both"/>
              <w:rPr>
                <w:sz w:val="20"/>
                <w:lang w:val="en-CA"/>
              </w:rPr>
            </w:pPr>
            <w:r w:rsidRPr="002E337B">
              <w:rPr>
                <w:sz w:val="20"/>
                <w:lang w:val="en-CA"/>
              </w:rPr>
              <w:t>Quebec Superior Court</w:t>
            </w:r>
          </w:p>
          <w:p w:rsidR="00052598" w:rsidRPr="002E337B" w:rsidRDefault="00052598" w:rsidP="00052598">
            <w:pPr>
              <w:jc w:val="both"/>
              <w:rPr>
                <w:sz w:val="20"/>
                <w:lang w:val="en-CA"/>
              </w:rPr>
            </w:pPr>
            <w:r w:rsidRPr="002E337B">
              <w:rPr>
                <w:sz w:val="20"/>
                <w:lang w:val="en-CA"/>
              </w:rPr>
              <w:t>(Faullem J.)</w:t>
            </w:r>
          </w:p>
          <w:p w:rsidR="00052598" w:rsidRPr="002E337B" w:rsidRDefault="00052598" w:rsidP="00052598">
            <w:pPr>
              <w:jc w:val="both"/>
              <w:rPr>
                <w:sz w:val="20"/>
                <w:lang w:val="en-CA"/>
              </w:rPr>
            </w:pPr>
            <w:r w:rsidRPr="002E337B">
              <w:rPr>
                <w:sz w:val="20"/>
                <w:lang w:val="en-CA"/>
              </w:rPr>
              <w:t>550-17-010518-189, 550-04-020044-182</w:t>
            </w:r>
          </w:p>
          <w:p w:rsidR="00052598" w:rsidRPr="002E337B" w:rsidRDefault="00052598" w:rsidP="00052598">
            <w:pPr>
              <w:jc w:val="both"/>
              <w:rPr>
                <w:sz w:val="20"/>
                <w:lang w:val="en-CA"/>
              </w:rPr>
            </w:pPr>
            <w:r w:rsidRPr="002E337B">
              <w:rPr>
                <w:sz w:val="20"/>
                <w:lang w:val="en-CA"/>
              </w:rPr>
              <w:t>[Unreported]</w:t>
            </w:r>
          </w:p>
          <w:p w:rsidR="00052598" w:rsidRPr="002E337B" w:rsidRDefault="00052598" w:rsidP="00052598">
            <w:pPr>
              <w:jc w:val="both"/>
              <w:rPr>
                <w:sz w:val="20"/>
                <w:lang w:val="en-CA"/>
              </w:rPr>
            </w:pPr>
          </w:p>
        </w:tc>
        <w:tc>
          <w:tcPr>
            <w:tcW w:w="243" w:type="pct"/>
          </w:tcPr>
          <w:p w:rsidR="00052598" w:rsidRPr="002E337B" w:rsidRDefault="00052598" w:rsidP="00052598">
            <w:pPr>
              <w:jc w:val="both"/>
              <w:rPr>
                <w:sz w:val="20"/>
                <w:lang w:val="en-CA"/>
              </w:rPr>
            </w:pPr>
          </w:p>
        </w:tc>
        <w:tc>
          <w:tcPr>
            <w:tcW w:w="2330" w:type="pct"/>
          </w:tcPr>
          <w:p w:rsidR="00052598" w:rsidRPr="002E337B" w:rsidRDefault="00052598" w:rsidP="00052598">
            <w:pPr>
              <w:jc w:val="both"/>
              <w:rPr>
                <w:sz w:val="20"/>
                <w:lang w:val="en-CA"/>
              </w:rPr>
            </w:pPr>
            <w:r w:rsidRPr="002E337B">
              <w:rPr>
                <w:sz w:val="20"/>
                <w:lang w:val="en-CA"/>
              </w:rPr>
              <w:t>S.S.’s application in simulation allowed in part, S.S. declared co</w:t>
            </w:r>
            <w:r w:rsidRPr="002E337B">
              <w:rPr>
                <w:sz w:val="20"/>
                <w:lang w:val="en-CA"/>
              </w:rPr>
              <w:noBreakHyphen/>
              <w:t xml:space="preserve">owner of two immovables and car with A.B., and amount of child support (and arrears) determined </w:t>
            </w:r>
          </w:p>
          <w:p w:rsidR="00052598" w:rsidRPr="002E337B" w:rsidRDefault="00052598" w:rsidP="00052598">
            <w:pPr>
              <w:jc w:val="both"/>
              <w:rPr>
                <w:sz w:val="20"/>
                <w:lang w:val="en-CA"/>
              </w:rPr>
            </w:pPr>
          </w:p>
        </w:tc>
      </w:tr>
      <w:tr w:rsidR="00052598" w:rsidRPr="002E337B" w:rsidTr="00052598">
        <w:tc>
          <w:tcPr>
            <w:tcW w:w="2427" w:type="pct"/>
            <w:gridSpan w:val="2"/>
          </w:tcPr>
          <w:p w:rsidR="00052598" w:rsidRPr="002E337B" w:rsidRDefault="00052598" w:rsidP="00052598">
            <w:pPr>
              <w:jc w:val="both"/>
              <w:rPr>
                <w:sz w:val="20"/>
                <w:lang w:val="en-CA"/>
              </w:rPr>
            </w:pPr>
            <w:r w:rsidRPr="002E337B">
              <w:rPr>
                <w:sz w:val="20"/>
                <w:lang w:val="en-CA"/>
              </w:rPr>
              <w:t>November 11, 2021</w:t>
            </w:r>
          </w:p>
          <w:p w:rsidR="00052598" w:rsidRPr="002E337B" w:rsidRDefault="00052598" w:rsidP="00052598">
            <w:pPr>
              <w:jc w:val="both"/>
              <w:rPr>
                <w:sz w:val="20"/>
                <w:lang w:val="en-CA"/>
              </w:rPr>
            </w:pPr>
            <w:r w:rsidRPr="002E337B">
              <w:rPr>
                <w:sz w:val="20"/>
                <w:lang w:val="en-CA"/>
              </w:rPr>
              <w:t>Quebec Court of Appeal (Montréal)</w:t>
            </w:r>
          </w:p>
          <w:p w:rsidR="00052598" w:rsidRPr="002E337B" w:rsidRDefault="00052598" w:rsidP="00052598">
            <w:pPr>
              <w:jc w:val="both"/>
              <w:rPr>
                <w:sz w:val="20"/>
                <w:lang w:val="fr-CA"/>
              </w:rPr>
            </w:pPr>
            <w:r w:rsidRPr="002E337B">
              <w:rPr>
                <w:sz w:val="20"/>
                <w:lang w:val="fr-CA"/>
              </w:rPr>
              <w:t>(Levesque, Rancourt and Sansfaçon JJ.A.)</w:t>
            </w:r>
          </w:p>
          <w:p w:rsidR="00052598" w:rsidRPr="002E337B" w:rsidRDefault="002E337B" w:rsidP="00052598">
            <w:pPr>
              <w:jc w:val="both"/>
              <w:rPr>
                <w:sz w:val="20"/>
                <w:lang w:val="en-CA"/>
              </w:rPr>
            </w:pPr>
            <w:hyperlink r:id="rId33" w:history="1">
              <w:r w:rsidR="00052598" w:rsidRPr="002E337B">
                <w:rPr>
                  <w:rStyle w:val="Hyperlink"/>
                  <w:sz w:val="20"/>
                  <w:lang w:val="en-CA"/>
                </w:rPr>
                <w:t>2021 QCCA 1724</w:t>
              </w:r>
            </w:hyperlink>
          </w:p>
          <w:p w:rsidR="00052598" w:rsidRPr="002E337B" w:rsidRDefault="00052598" w:rsidP="00052598">
            <w:pPr>
              <w:jc w:val="both"/>
              <w:rPr>
                <w:sz w:val="20"/>
                <w:lang w:val="en-CA"/>
              </w:rPr>
            </w:pPr>
          </w:p>
        </w:tc>
        <w:tc>
          <w:tcPr>
            <w:tcW w:w="243" w:type="pct"/>
          </w:tcPr>
          <w:p w:rsidR="00052598" w:rsidRPr="002E337B" w:rsidRDefault="00052598" w:rsidP="00052598">
            <w:pPr>
              <w:jc w:val="both"/>
              <w:rPr>
                <w:sz w:val="20"/>
                <w:lang w:val="en-CA"/>
              </w:rPr>
            </w:pPr>
          </w:p>
        </w:tc>
        <w:tc>
          <w:tcPr>
            <w:tcW w:w="2330" w:type="pct"/>
          </w:tcPr>
          <w:p w:rsidR="00052598" w:rsidRPr="002E337B" w:rsidRDefault="00052598" w:rsidP="00052598">
            <w:pPr>
              <w:jc w:val="both"/>
              <w:rPr>
                <w:sz w:val="20"/>
                <w:lang w:val="en-CA"/>
              </w:rPr>
            </w:pPr>
            <w:r w:rsidRPr="002E337B">
              <w:rPr>
                <w:sz w:val="20"/>
                <w:lang w:val="en-CA"/>
              </w:rPr>
              <w:t>Appeal dismissed</w:t>
            </w:r>
          </w:p>
          <w:p w:rsidR="00052598" w:rsidRPr="002E337B" w:rsidRDefault="00052598" w:rsidP="00052598">
            <w:pPr>
              <w:jc w:val="both"/>
              <w:rPr>
                <w:sz w:val="20"/>
                <w:lang w:val="en-CA"/>
              </w:rPr>
            </w:pPr>
          </w:p>
        </w:tc>
      </w:tr>
      <w:tr w:rsidR="00052598" w:rsidRPr="002E337B" w:rsidTr="00052598">
        <w:tc>
          <w:tcPr>
            <w:tcW w:w="2427" w:type="pct"/>
            <w:gridSpan w:val="2"/>
          </w:tcPr>
          <w:p w:rsidR="00052598" w:rsidRPr="002E337B" w:rsidRDefault="00052598" w:rsidP="00052598">
            <w:pPr>
              <w:jc w:val="both"/>
              <w:rPr>
                <w:sz w:val="20"/>
                <w:lang w:val="en-CA"/>
              </w:rPr>
            </w:pPr>
            <w:r w:rsidRPr="002E337B">
              <w:rPr>
                <w:sz w:val="20"/>
                <w:lang w:val="en-CA"/>
              </w:rPr>
              <w:t>January 26, 2023</w:t>
            </w:r>
          </w:p>
          <w:p w:rsidR="00052598" w:rsidRPr="002E337B" w:rsidRDefault="00052598" w:rsidP="007F6E43">
            <w:pPr>
              <w:jc w:val="both"/>
              <w:rPr>
                <w:sz w:val="20"/>
                <w:lang w:val="en-CA"/>
              </w:rPr>
            </w:pPr>
            <w:r w:rsidRPr="002E337B">
              <w:rPr>
                <w:sz w:val="20"/>
                <w:lang w:val="en-CA"/>
              </w:rPr>
              <w:t>Supreme Court of Canada</w:t>
            </w:r>
          </w:p>
        </w:tc>
        <w:tc>
          <w:tcPr>
            <w:tcW w:w="243" w:type="pct"/>
          </w:tcPr>
          <w:p w:rsidR="00052598" w:rsidRPr="002E337B" w:rsidRDefault="00052598" w:rsidP="00052598">
            <w:pPr>
              <w:jc w:val="both"/>
              <w:rPr>
                <w:sz w:val="20"/>
                <w:lang w:val="en-CA"/>
              </w:rPr>
            </w:pPr>
          </w:p>
        </w:tc>
        <w:tc>
          <w:tcPr>
            <w:tcW w:w="2330" w:type="pct"/>
          </w:tcPr>
          <w:p w:rsidR="00052598" w:rsidRPr="002E337B" w:rsidRDefault="00052598" w:rsidP="007F6E43">
            <w:pPr>
              <w:jc w:val="both"/>
              <w:rPr>
                <w:sz w:val="20"/>
                <w:lang w:val="en-CA"/>
              </w:rPr>
            </w:pPr>
            <w:r w:rsidRPr="002E337B">
              <w:rPr>
                <w:sz w:val="20"/>
                <w:lang w:val="en-CA"/>
              </w:rPr>
              <w:t>Motion to extend time and application for leave to appeal filed</w:t>
            </w:r>
          </w:p>
        </w:tc>
      </w:tr>
    </w:tbl>
    <w:p w:rsidR="00052598" w:rsidRPr="002E337B" w:rsidRDefault="00052598" w:rsidP="00052598">
      <w:pPr>
        <w:jc w:val="both"/>
        <w:rPr>
          <w:sz w:val="20"/>
          <w:lang w:val="en-CA"/>
        </w:rPr>
      </w:pPr>
    </w:p>
    <w:p w:rsidR="007F6E43" w:rsidRPr="002E337B" w:rsidRDefault="002E337B" w:rsidP="00052598">
      <w:pPr>
        <w:jc w:val="both"/>
        <w:rPr>
          <w:sz w:val="20"/>
          <w:lang w:val="en-CA"/>
        </w:rPr>
      </w:pPr>
      <w:r w:rsidRPr="002E337B">
        <w:rPr>
          <w:sz w:val="20"/>
        </w:rPr>
        <w:pict>
          <v:rect id="_x0000_i1037" style="width:2in;height:1pt" o:hrpct="0" o:hralign="center" o:hrstd="t" o:hrnoshade="t" o:hr="t" fillcolor="black [3213]" stroked="f"/>
        </w:pict>
      </w:r>
    </w:p>
    <w:p w:rsidR="007F6E43" w:rsidRPr="002E337B" w:rsidRDefault="007F6E43" w:rsidP="0005259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52598" w:rsidRPr="002E337B" w:rsidTr="00052598">
        <w:tc>
          <w:tcPr>
            <w:tcW w:w="543" w:type="pct"/>
          </w:tcPr>
          <w:p w:rsidR="00052598" w:rsidRPr="002E337B" w:rsidRDefault="00052598" w:rsidP="00052598">
            <w:pPr>
              <w:jc w:val="both"/>
              <w:rPr>
                <w:sz w:val="20"/>
              </w:rPr>
            </w:pPr>
            <w:r w:rsidRPr="002E337B">
              <w:rPr>
                <w:rStyle w:val="SCCFileNumberChar"/>
                <w:sz w:val="20"/>
                <w:szCs w:val="20"/>
              </w:rPr>
              <w:t>40623</w:t>
            </w:r>
          </w:p>
        </w:tc>
        <w:tc>
          <w:tcPr>
            <w:tcW w:w="4457" w:type="pct"/>
            <w:gridSpan w:val="3"/>
          </w:tcPr>
          <w:p w:rsidR="00052598" w:rsidRPr="002E337B" w:rsidRDefault="00052598" w:rsidP="00052598">
            <w:pPr>
              <w:pStyle w:val="SCCLsocParty"/>
              <w:jc w:val="both"/>
              <w:rPr>
                <w:b/>
                <w:sz w:val="20"/>
                <w:szCs w:val="20"/>
              </w:rPr>
            </w:pPr>
            <w:r w:rsidRPr="002E337B">
              <w:rPr>
                <w:b/>
                <w:sz w:val="20"/>
                <w:szCs w:val="20"/>
              </w:rPr>
              <w:t>A.B. c. S.S.</w:t>
            </w:r>
          </w:p>
          <w:p w:rsidR="00052598" w:rsidRPr="002E337B" w:rsidRDefault="00052598" w:rsidP="00052598">
            <w:pPr>
              <w:jc w:val="both"/>
              <w:rPr>
                <w:sz w:val="20"/>
                <w:lang w:val="fr-CA"/>
              </w:rPr>
            </w:pPr>
            <w:r w:rsidRPr="002E337B">
              <w:rPr>
                <w:sz w:val="20"/>
                <w:lang w:val="fr-CA"/>
              </w:rPr>
              <w:t>(Qc) (Civile) (Autorisation)</w:t>
            </w:r>
          </w:p>
        </w:tc>
      </w:tr>
      <w:tr w:rsidR="00052598" w:rsidRPr="002E337B" w:rsidTr="00052598">
        <w:tc>
          <w:tcPr>
            <w:tcW w:w="5000" w:type="pct"/>
            <w:gridSpan w:val="4"/>
          </w:tcPr>
          <w:p w:rsidR="00052598" w:rsidRPr="002E337B" w:rsidRDefault="00052598" w:rsidP="00052598">
            <w:pPr>
              <w:pStyle w:val="SCCBanSummary"/>
              <w:rPr>
                <w:sz w:val="20"/>
                <w:szCs w:val="20"/>
                <w:lang w:val="fr-CA"/>
              </w:rPr>
            </w:pPr>
            <w:r w:rsidRPr="002E337B">
              <w:rPr>
                <w:sz w:val="20"/>
                <w:szCs w:val="20"/>
                <w:lang w:val="fr-CA"/>
              </w:rPr>
              <w:t>(Ordonnance de non-publication visant une partie)</w:t>
            </w:r>
          </w:p>
          <w:p w:rsidR="00052598" w:rsidRPr="002E337B" w:rsidRDefault="00052598" w:rsidP="00052598">
            <w:pPr>
              <w:jc w:val="both"/>
              <w:rPr>
                <w:sz w:val="20"/>
                <w:lang w:val="fr-CA"/>
              </w:rPr>
            </w:pPr>
          </w:p>
        </w:tc>
      </w:tr>
      <w:tr w:rsidR="00052598" w:rsidRPr="002E337B" w:rsidTr="00052598">
        <w:tc>
          <w:tcPr>
            <w:tcW w:w="5000" w:type="pct"/>
            <w:gridSpan w:val="4"/>
          </w:tcPr>
          <w:p w:rsidR="00052598" w:rsidRPr="002E337B" w:rsidRDefault="00052598" w:rsidP="00052598">
            <w:pPr>
              <w:jc w:val="both"/>
              <w:rPr>
                <w:sz w:val="20"/>
                <w:lang w:val="fr-CA"/>
              </w:rPr>
            </w:pPr>
            <w:r w:rsidRPr="002E337B">
              <w:rPr>
                <w:sz w:val="20"/>
                <w:lang w:val="fr-CA"/>
              </w:rPr>
              <w:t>Procédure civile — Appels — Extraits pertinents et suffisants dans le dossier d’appel — La Cour d’appel du Québec a-t-elle erré en droit en rejetant l’appel de la demanderesse?</w:t>
            </w:r>
          </w:p>
          <w:p w:rsidR="00052598" w:rsidRPr="002E337B" w:rsidRDefault="00052598" w:rsidP="00052598">
            <w:pPr>
              <w:jc w:val="both"/>
              <w:rPr>
                <w:sz w:val="20"/>
                <w:lang w:val="fr-CA"/>
              </w:rPr>
            </w:pPr>
          </w:p>
        </w:tc>
      </w:tr>
      <w:tr w:rsidR="00052598" w:rsidRPr="002E337B" w:rsidTr="00052598">
        <w:tc>
          <w:tcPr>
            <w:tcW w:w="5000" w:type="pct"/>
            <w:gridSpan w:val="4"/>
          </w:tcPr>
          <w:p w:rsidR="00052598" w:rsidRPr="002E337B" w:rsidRDefault="00052598" w:rsidP="00052598">
            <w:pPr>
              <w:jc w:val="both"/>
              <w:rPr>
                <w:sz w:val="20"/>
                <w:lang w:val="fr-CA"/>
              </w:rPr>
            </w:pPr>
            <w:r w:rsidRPr="002E337B">
              <w:rPr>
                <w:sz w:val="20"/>
                <w:lang w:val="fr-CA"/>
              </w:rPr>
              <w:t>Les parties ont eu un enfant ensemble. Ils ont déménagé séparément de la France au Canada. À la suite d’un incident en 2018, il y a eu une rupture dans la relation des parties. Avant cet incident, la demanderesse avait acheté deux immeubles et une voiture à son nom seul. L’intimé prétend qu’il y avait un contrat secret entre les parties qui prévoit le partage des immeubles et de la voiture.</w:t>
            </w:r>
          </w:p>
          <w:p w:rsidR="00052598" w:rsidRPr="002E337B" w:rsidRDefault="00052598" w:rsidP="00052598">
            <w:pPr>
              <w:jc w:val="both"/>
              <w:rPr>
                <w:sz w:val="20"/>
                <w:lang w:val="fr-CA"/>
              </w:rPr>
            </w:pPr>
          </w:p>
          <w:p w:rsidR="00052598" w:rsidRPr="002E337B" w:rsidRDefault="00052598" w:rsidP="00052598">
            <w:pPr>
              <w:jc w:val="both"/>
              <w:rPr>
                <w:sz w:val="20"/>
                <w:lang w:val="fr-CA"/>
              </w:rPr>
            </w:pPr>
            <w:r w:rsidRPr="002E337B">
              <w:rPr>
                <w:sz w:val="20"/>
                <w:lang w:val="fr-CA"/>
              </w:rPr>
              <w:t>La Cour supérieure du Québec accueille partiellement la demande en simulation de l’intimé et le déclare copropriétaire des immeubles et de la voiture. Elle ne modifie pas l’ordonnance relative à la garde de l’enfant, mais elle fixe le montant de la pension alimentaire pour l’enfant et les arrérages.</w:t>
            </w:r>
          </w:p>
          <w:p w:rsidR="00052598" w:rsidRPr="002E337B" w:rsidRDefault="00052598" w:rsidP="00052598">
            <w:pPr>
              <w:jc w:val="both"/>
              <w:rPr>
                <w:sz w:val="20"/>
                <w:lang w:val="fr-CA"/>
              </w:rPr>
            </w:pPr>
          </w:p>
          <w:p w:rsidR="00052598" w:rsidRPr="002E337B" w:rsidRDefault="00052598" w:rsidP="00052598">
            <w:pPr>
              <w:jc w:val="both"/>
              <w:rPr>
                <w:sz w:val="20"/>
                <w:lang w:val="fr-CA"/>
              </w:rPr>
            </w:pPr>
            <w:r w:rsidRPr="002E337B">
              <w:rPr>
                <w:sz w:val="20"/>
                <w:lang w:val="fr-CA"/>
              </w:rPr>
              <w:t>La Cour d’appel du Québec rejette l’appel de la demanderesse, principalement en raison de l’absence du dossier d’appel de certaines pièces qui ont été déposées devant la Cour supérieure. La Cour d’appel n’a identifié aucune erreur commise par le juge de première instance.</w:t>
            </w:r>
          </w:p>
          <w:p w:rsidR="00052598" w:rsidRPr="002E337B" w:rsidRDefault="00052598" w:rsidP="00052598">
            <w:pPr>
              <w:jc w:val="both"/>
              <w:rPr>
                <w:sz w:val="20"/>
                <w:lang w:val="fr-CA"/>
              </w:rPr>
            </w:pPr>
          </w:p>
        </w:tc>
      </w:tr>
      <w:tr w:rsidR="00052598" w:rsidRPr="002E337B" w:rsidTr="00052598">
        <w:tc>
          <w:tcPr>
            <w:tcW w:w="2427" w:type="pct"/>
            <w:gridSpan w:val="2"/>
          </w:tcPr>
          <w:p w:rsidR="00052598" w:rsidRPr="002E337B" w:rsidRDefault="00052598" w:rsidP="00052598">
            <w:pPr>
              <w:jc w:val="both"/>
              <w:rPr>
                <w:sz w:val="20"/>
                <w:lang w:val="fr-CA"/>
              </w:rPr>
            </w:pPr>
            <w:r w:rsidRPr="002E337B">
              <w:rPr>
                <w:sz w:val="20"/>
                <w:lang w:val="fr-CA"/>
              </w:rPr>
              <w:t>Le 22 janvier 2021</w:t>
            </w:r>
          </w:p>
          <w:p w:rsidR="00052598" w:rsidRPr="002E337B" w:rsidRDefault="00052598" w:rsidP="00052598">
            <w:pPr>
              <w:jc w:val="both"/>
              <w:rPr>
                <w:sz w:val="20"/>
                <w:lang w:val="fr-CA"/>
              </w:rPr>
            </w:pPr>
            <w:r w:rsidRPr="002E337B">
              <w:rPr>
                <w:sz w:val="20"/>
                <w:lang w:val="fr-CA"/>
              </w:rPr>
              <w:t>Cour supérieure du Québec</w:t>
            </w:r>
          </w:p>
          <w:p w:rsidR="00052598" w:rsidRPr="002E337B" w:rsidRDefault="00052598" w:rsidP="00052598">
            <w:pPr>
              <w:jc w:val="both"/>
              <w:rPr>
                <w:sz w:val="20"/>
              </w:rPr>
            </w:pPr>
            <w:r w:rsidRPr="002E337B">
              <w:rPr>
                <w:sz w:val="20"/>
              </w:rPr>
              <w:t>(juge Faullem)</w:t>
            </w:r>
          </w:p>
          <w:p w:rsidR="00052598" w:rsidRPr="002E337B" w:rsidRDefault="00052598" w:rsidP="00052598">
            <w:pPr>
              <w:jc w:val="both"/>
              <w:rPr>
                <w:sz w:val="20"/>
              </w:rPr>
            </w:pPr>
            <w:r w:rsidRPr="002E337B">
              <w:rPr>
                <w:sz w:val="20"/>
              </w:rPr>
              <w:t>550-17-010518-189, 550-04-020044-182</w:t>
            </w:r>
          </w:p>
          <w:p w:rsidR="00052598" w:rsidRPr="002E337B" w:rsidRDefault="00052598" w:rsidP="00052598">
            <w:pPr>
              <w:jc w:val="both"/>
              <w:rPr>
                <w:sz w:val="20"/>
              </w:rPr>
            </w:pPr>
            <w:r w:rsidRPr="002E337B">
              <w:rPr>
                <w:sz w:val="20"/>
              </w:rPr>
              <w:t>[Non publiés]</w:t>
            </w:r>
          </w:p>
          <w:p w:rsidR="00052598" w:rsidRPr="002E337B" w:rsidRDefault="00052598" w:rsidP="00052598">
            <w:pPr>
              <w:jc w:val="both"/>
              <w:rPr>
                <w:sz w:val="20"/>
              </w:rPr>
            </w:pPr>
          </w:p>
        </w:tc>
        <w:tc>
          <w:tcPr>
            <w:tcW w:w="243" w:type="pct"/>
          </w:tcPr>
          <w:p w:rsidR="00052598" w:rsidRPr="002E337B" w:rsidRDefault="00052598" w:rsidP="00052598">
            <w:pPr>
              <w:jc w:val="both"/>
              <w:rPr>
                <w:sz w:val="20"/>
              </w:rPr>
            </w:pPr>
          </w:p>
        </w:tc>
        <w:tc>
          <w:tcPr>
            <w:tcW w:w="2330" w:type="pct"/>
          </w:tcPr>
          <w:p w:rsidR="00052598" w:rsidRPr="002E337B" w:rsidRDefault="00052598" w:rsidP="00052598">
            <w:pPr>
              <w:jc w:val="both"/>
              <w:rPr>
                <w:sz w:val="20"/>
                <w:lang w:val="fr-CA"/>
              </w:rPr>
            </w:pPr>
            <w:r w:rsidRPr="002E337B">
              <w:rPr>
                <w:sz w:val="20"/>
                <w:lang w:val="fr-CA"/>
              </w:rPr>
              <w:t xml:space="preserve">Demande en simulation de S.S. partiellement accueillie. S.S. est déclaré le copropriétaire de deux immeubles et une voiture avec A.B. Le montant de la pension alimentaire pour l’enfant (et les arrérages) est fixé. </w:t>
            </w:r>
          </w:p>
          <w:p w:rsidR="00052598" w:rsidRPr="002E337B" w:rsidRDefault="00052598" w:rsidP="00052598">
            <w:pPr>
              <w:jc w:val="both"/>
              <w:rPr>
                <w:sz w:val="20"/>
                <w:lang w:val="fr-CA"/>
              </w:rPr>
            </w:pPr>
          </w:p>
        </w:tc>
      </w:tr>
      <w:tr w:rsidR="00052598" w:rsidRPr="002E337B" w:rsidTr="00052598">
        <w:tc>
          <w:tcPr>
            <w:tcW w:w="2427" w:type="pct"/>
            <w:gridSpan w:val="2"/>
          </w:tcPr>
          <w:p w:rsidR="00052598" w:rsidRPr="002E337B" w:rsidRDefault="00052598" w:rsidP="00052598">
            <w:pPr>
              <w:jc w:val="both"/>
              <w:rPr>
                <w:sz w:val="20"/>
                <w:lang w:val="fr-CA"/>
              </w:rPr>
            </w:pPr>
            <w:r w:rsidRPr="002E337B">
              <w:rPr>
                <w:sz w:val="20"/>
                <w:lang w:val="fr-CA"/>
              </w:rPr>
              <w:t>Le 11 novembre 2021</w:t>
            </w:r>
          </w:p>
          <w:p w:rsidR="00052598" w:rsidRPr="002E337B" w:rsidRDefault="00052598" w:rsidP="00052598">
            <w:pPr>
              <w:jc w:val="both"/>
              <w:rPr>
                <w:sz w:val="20"/>
                <w:lang w:val="fr-CA"/>
              </w:rPr>
            </w:pPr>
            <w:r w:rsidRPr="002E337B">
              <w:rPr>
                <w:sz w:val="20"/>
                <w:lang w:val="fr-CA"/>
              </w:rPr>
              <w:t>Cour d’appel du Québec (Montréal)</w:t>
            </w:r>
          </w:p>
          <w:p w:rsidR="00052598" w:rsidRPr="002E337B" w:rsidRDefault="00052598" w:rsidP="00052598">
            <w:pPr>
              <w:jc w:val="both"/>
              <w:rPr>
                <w:sz w:val="20"/>
                <w:lang w:val="fr-CA"/>
              </w:rPr>
            </w:pPr>
            <w:r w:rsidRPr="002E337B">
              <w:rPr>
                <w:sz w:val="20"/>
                <w:lang w:val="fr-CA"/>
              </w:rPr>
              <w:t>(les juges Levesque, Rancourt, et Sansfaçon)</w:t>
            </w:r>
          </w:p>
          <w:p w:rsidR="00052598" w:rsidRPr="002E337B" w:rsidRDefault="002E337B" w:rsidP="00052598">
            <w:pPr>
              <w:jc w:val="both"/>
              <w:rPr>
                <w:sz w:val="20"/>
              </w:rPr>
            </w:pPr>
            <w:hyperlink r:id="rId34" w:history="1">
              <w:r w:rsidR="00052598" w:rsidRPr="002E337B">
                <w:rPr>
                  <w:rStyle w:val="Hyperlink"/>
                  <w:sz w:val="20"/>
                </w:rPr>
                <w:t>2021 QCCA 1724</w:t>
              </w:r>
            </w:hyperlink>
          </w:p>
          <w:p w:rsidR="00052598" w:rsidRPr="002E337B" w:rsidRDefault="00052598" w:rsidP="00052598">
            <w:pPr>
              <w:jc w:val="both"/>
              <w:rPr>
                <w:sz w:val="20"/>
              </w:rPr>
            </w:pPr>
          </w:p>
        </w:tc>
        <w:tc>
          <w:tcPr>
            <w:tcW w:w="243" w:type="pct"/>
          </w:tcPr>
          <w:p w:rsidR="00052598" w:rsidRPr="002E337B" w:rsidRDefault="00052598" w:rsidP="00052598">
            <w:pPr>
              <w:jc w:val="both"/>
              <w:rPr>
                <w:sz w:val="20"/>
              </w:rPr>
            </w:pPr>
          </w:p>
        </w:tc>
        <w:tc>
          <w:tcPr>
            <w:tcW w:w="2330" w:type="pct"/>
          </w:tcPr>
          <w:p w:rsidR="00052598" w:rsidRPr="002E337B" w:rsidRDefault="00052598" w:rsidP="00052598">
            <w:pPr>
              <w:jc w:val="both"/>
              <w:rPr>
                <w:sz w:val="20"/>
              </w:rPr>
            </w:pPr>
            <w:r w:rsidRPr="002E337B">
              <w:rPr>
                <w:sz w:val="20"/>
              </w:rPr>
              <w:t>Appel rejeté.</w:t>
            </w:r>
          </w:p>
          <w:p w:rsidR="00052598" w:rsidRPr="002E337B" w:rsidRDefault="00052598" w:rsidP="00052598">
            <w:pPr>
              <w:jc w:val="both"/>
              <w:rPr>
                <w:sz w:val="20"/>
              </w:rPr>
            </w:pPr>
          </w:p>
        </w:tc>
      </w:tr>
      <w:tr w:rsidR="00052598" w:rsidRPr="002E337B" w:rsidTr="00052598">
        <w:tc>
          <w:tcPr>
            <w:tcW w:w="2427" w:type="pct"/>
            <w:gridSpan w:val="2"/>
          </w:tcPr>
          <w:p w:rsidR="00052598" w:rsidRPr="002E337B" w:rsidRDefault="00052598" w:rsidP="00052598">
            <w:pPr>
              <w:jc w:val="both"/>
              <w:rPr>
                <w:sz w:val="20"/>
                <w:lang w:val="fr-CA"/>
              </w:rPr>
            </w:pPr>
            <w:r w:rsidRPr="002E337B">
              <w:rPr>
                <w:sz w:val="20"/>
                <w:lang w:val="fr-CA"/>
              </w:rPr>
              <w:t>Le 26 janvier 2023</w:t>
            </w:r>
          </w:p>
          <w:p w:rsidR="00052598" w:rsidRPr="002E337B" w:rsidRDefault="00052598" w:rsidP="007F6E43">
            <w:pPr>
              <w:jc w:val="both"/>
              <w:rPr>
                <w:sz w:val="20"/>
                <w:lang w:val="fr-CA"/>
              </w:rPr>
            </w:pPr>
            <w:r w:rsidRPr="002E337B">
              <w:rPr>
                <w:sz w:val="20"/>
                <w:lang w:val="fr-CA"/>
              </w:rPr>
              <w:t>Cour suprême du Canada</w:t>
            </w:r>
          </w:p>
        </w:tc>
        <w:tc>
          <w:tcPr>
            <w:tcW w:w="243" w:type="pct"/>
          </w:tcPr>
          <w:p w:rsidR="00052598" w:rsidRPr="002E337B" w:rsidRDefault="00052598" w:rsidP="00052598">
            <w:pPr>
              <w:jc w:val="both"/>
              <w:rPr>
                <w:sz w:val="20"/>
                <w:lang w:val="fr-CA"/>
              </w:rPr>
            </w:pPr>
          </w:p>
        </w:tc>
        <w:tc>
          <w:tcPr>
            <w:tcW w:w="2330" w:type="pct"/>
          </w:tcPr>
          <w:p w:rsidR="00052598" w:rsidRPr="002E337B" w:rsidRDefault="00052598" w:rsidP="007F6E43">
            <w:pPr>
              <w:jc w:val="both"/>
              <w:rPr>
                <w:sz w:val="20"/>
                <w:lang w:val="fr-CA"/>
              </w:rPr>
            </w:pPr>
            <w:r w:rsidRPr="002E337B">
              <w:rPr>
                <w:sz w:val="20"/>
                <w:lang w:val="fr-CA"/>
              </w:rPr>
              <w:t>Requête en prorogation du délai et demande d'autorisation d'appel déposées.</w:t>
            </w:r>
          </w:p>
        </w:tc>
      </w:tr>
    </w:tbl>
    <w:p w:rsidR="00052598" w:rsidRPr="002E337B" w:rsidRDefault="00052598" w:rsidP="00052598">
      <w:pPr>
        <w:jc w:val="both"/>
        <w:rPr>
          <w:sz w:val="20"/>
          <w:lang w:val="fr-CA"/>
        </w:rPr>
      </w:pPr>
    </w:p>
    <w:p w:rsidR="007F6E43" w:rsidRPr="002E337B" w:rsidRDefault="002E337B" w:rsidP="00052598">
      <w:pPr>
        <w:jc w:val="both"/>
        <w:rPr>
          <w:sz w:val="20"/>
          <w:lang w:val="fr-CA"/>
        </w:rPr>
      </w:pPr>
      <w:r w:rsidRPr="002E337B">
        <w:rPr>
          <w:sz w:val="20"/>
        </w:rPr>
        <w:pict>
          <v:rect id="_x0000_i1038" style="width:2in;height:1pt" o:hrpct="0" o:hralign="center" o:hrstd="t" o:hrnoshade="t" o:hr="t" fillcolor="black [3213]" stroked="f"/>
        </w:pict>
      </w:r>
    </w:p>
    <w:p w:rsidR="007F6E43" w:rsidRPr="002E337B" w:rsidRDefault="007F6E43" w:rsidP="0005259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52598" w:rsidRPr="002E337B" w:rsidTr="00052598">
        <w:tc>
          <w:tcPr>
            <w:tcW w:w="543" w:type="pct"/>
          </w:tcPr>
          <w:p w:rsidR="00052598" w:rsidRPr="002E337B" w:rsidRDefault="00052598" w:rsidP="00052598">
            <w:pPr>
              <w:jc w:val="both"/>
              <w:rPr>
                <w:sz w:val="20"/>
              </w:rPr>
            </w:pPr>
            <w:r w:rsidRPr="002E337B">
              <w:rPr>
                <w:rStyle w:val="SCCFileNumberChar"/>
                <w:sz w:val="20"/>
                <w:szCs w:val="20"/>
              </w:rPr>
              <w:t>40560</w:t>
            </w:r>
          </w:p>
        </w:tc>
        <w:tc>
          <w:tcPr>
            <w:tcW w:w="4457" w:type="pct"/>
            <w:gridSpan w:val="3"/>
          </w:tcPr>
          <w:p w:rsidR="00052598" w:rsidRPr="002E337B" w:rsidRDefault="00052598" w:rsidP="00052598">
            <w:pPr>
              <w:pStyle w:val="SCCLsocParty"/>
              <w:jc w:val="both"/>
              <w:rPr>
                <w:b/>
                <w:sz w:val="20"/>
                <w:szCs w:val="20"/>
                <w:lang w:val="en-US"/>
              </w:rPr>
            </w:pPr>
            <w:r w:rsidRPr="002E337B">
              <w:rPr>
                <w:b/>
                <w:sz w:val="20"/>
                <w:szCs w:val="20"/>
                <w:lang w:val="en-US"/>
              </w:rPr>
              <w:t>Fabia Deluca v. Roberto Bucciarelli and John Doe Accomplice</w:t>
            </w:r>
          </w:p>
          <w:p w:rsidR="00052598" w:rsidRPr="002E337B" w:rsidRDefault="00052598" w:rsidP="007F6E43">
            <w:pPr>
              <w:jc w:val="both"/>
              <w:rPr>
                <w:sz w:val="20"/>
              </w:rPr>
            </w:pPr>
            <w:r w:rsidRPr="002E337B">
              <w:rPr>
                <w:sz w:val="20"/>
              </w:rPr>
              <w:t>(Ont.) (Civil) (By Leave)</w:t>
            </w:r>
          </w:p>
        </w:tc>
      </w:tr>
      <w:tr w:rsidR="00052598" w:rsidRPr="002E337B" w:rsidTr="00052598">
        <w:tc>
          <w:tcPr>
            <w:tcW w:w="5000" w:type="pct"/>
            <w:gridSpan w:val="4"/>
          </w:tcPr>
          <w:p w:rsidR="00052598" w:rsidRPr="002E337B" w:rsidRDefault="00052598" w:rsidP="00052598">
            <w:pPr>
              <w:jc w:val="both"/>
              <w:rPr>
                <w:sz w:val="20"/>
              </w:rPr>
            </w:pPr>
            <w:r w:rsidRPr="002E337B">
              <w:rPr>
                <w:sz w:val="20"/>
              </w:rPr>
              <w:t xml:space="preserve">Torts — Intentional torts — Trespass to the person — Assault — Limitation of Actions — Summary judgment — Whether the tort of assault should have a different standard of imminence in the context of intimate partner violence than in other contexts — Whether the applicant’s claim was exempt from any limitation period because it was based on an assault committed by a partner while in an intimate relationship — </w:t>
            </w:r>
            <w:r w:rsidRPr="002E337B">
              <w:rPr>
                <w:i/>
                <w:sz w:val="20"/>
              </w:rPr>
              <w:t>Limitations Act, 2002</w:t>
            </w:r>
            <w:r w:rsidRPr="002E337B">
              <w:rPr>
                <w:sz w:val="20"/>
              </w:rPr>
              <w:t>, S.O. 2002, c. 24, Sch. B.</w:t>
            </w:r>
          </w:p>
        </w:tc>
      </w:tr>
      <w:tr w:rsidR="00052598" w:rsidRPr="002E337B" w:rsidTr="00052598">
        <w:tc>
          <w:tcPr>
            <w:tcW w:w="5000" w:type="pct"/>
            <w:gridSpan w:val="4"/>
          </w:tcPr>
          <w:p w:rsidR="00052598" w:rsidRPr="002E337B" w:rsidRDefault="00052598" w:rsidP="00052598">
            <w:pPr>
              <w:jc w:val="both"/>
              <w:rPr>
                <w:sz w:val="20"/>
              </w:rPr>
            </w:pPr>
          </w:p>
        </w:tc>
      </w:tr>
      <w:tr w:rsidR="00052598" w:rsidRPr="002E337B" w:rsidTr="00052598">
        <w:tc>
          <w:tcPr>
            <w:tcW w:w="5000" w:type="pct"/>
            <w:gridSpan w:val="4"/>
          </w:tcPr>
          <w:p w:rsidR="00052598" w:rsidRPr="002E337B" w:rsidRDefault="00052598" w:rsidP="00052598">
            <w:pPr>
              <w:jc w:val="both"/>
              <w:rPr>
                <w:sz w:val="20"/>
              </w:rPr>
            </w:pPr>
            <w:r w:rsidRPr="002E337B">
              <w:rPr>
                <w:sz w:val="20"/>
              </w:rPr>
              <w:t>Applicant Fabia Deluca and respondent Roberto Bucciarelli were formerly involved in a romantic relationship. That relationship ended in November 2010.</w:t>
            </w:r>
          </w:p>
          <w:p w:rsidR="00052598" w:rsidRPr="002E337B" w:rsidRDefault="00052598" w:rsidP="00052598">
            <w:pPr>
              <w:jc w:val="both"/>
              <w:rPr>
                <w:sz w:val="20"/>
              </w:rPr>
            </w:pPr>
          </w:p>
          <w:p w:rsidR="00052598" w:rsidRPr="002E337B" w:rsidRDefault="00052598" w:rsidP="00052598">
            <w:pPr>
              <w:jc w:val="both"/>
              <w:rPr>
                <w:sz w:val="20"/>
              </w:rPr>
            </w:pPr>
            <w:r w:rsidRPr="002E337B">
              <w:rPr>
                <w:sz w:val="20"/>
              </w:rPr>
              <w:t xml:space="preserve">In 2019 Ms. Deluca issued a statement of claim against Mr. Bucciarelli and respondent John Doe Accomplice, claiming damages for multiple causes of action — including assault — arising from Mr. Bucciarelli’s conduct between December 2010 and 2012. </w:t>
            </w:r>
          </w:p>
          <w:p w:rsidR="00052598" w:rsidRPr="002E337B" w:rsidRDefault="00052598" w:rsidP="00052598">
            <w:pPr>
              <w:jc w:val="both"/>
              <w:rPr>
                <w:sz w:val="20"/>
              </w:rPr>
            </w:pPr>
          </w:p>
          <w:p w:rsidR="00052598" w:rsidRPr="002E337B" w:rsidRDefault="00052598" w:rsidP="00052598">
            <w:pPr>
              <w:jc w:val="both"/>
              <w:rPr>
                <w:sz w:val="20"/>
              </w:rPr>
            </w:pPr>
            <w:r w:rsidRPr="002E337B">
              <w:rPr>
                <w:sz w:val="20"/>
              </w:rPr>
              <w:t>Mr. Bucciarelli brought a motion for summary judgment. The motion judge held that Ms. Deluca’s claim was statute-barred and there was no genuine issue requiring a trial of the matter. The motion judge granted summary judgment and dismissed the action. The Court of Appeal for Ontario dismissed Ms. Deluca’s appeal.</w:t>
            </w:r>
          </w:p>
          <w:p w:rsidR="00052598" w:rsidRPr="002E337B" w:rsidRDefault="00052598" w:rsidP="00052598">
            <w:pPr>
              <w:jc w:val="both"/>
              <w:rPr>
                <w:sz w:val="20"/>
              </w:rPr>
            </w:pPr>
          </w:p>
        </w:tc>
      </w:tr>
      <w:tr w:rsidR="00052598" w:rsidRPr="002E337B" w:rsidTr="00052598">
        <w:tc>
          <w:tcPr>
            <w:tcW w:w="2427" w:type="pct"/>
            <w:gridSpan w:val="2"/>
          </w:tcPr>
          <w:p w:rsidR="00052598" w:rsidRPr="002E337B" w:rsidRDefault="00052598" w:rsidP="00052598">
            <w:pPr>
              <w:jc w:val="both"/>
              <w:rPr>
                <w:sz w:val="20"/>
              </w:rPr>
            </w:pPr>
            <w:r w:rsidRPr="002E337B">
              <w:rPr>
                <w:sz w:val="20"/>
              </w:rPr>
              <w:t>November 10, 2021</w:t>
            </w:r>
          </w:p>
          <w:p w:rsidR="00052598" w:rsidRPr="002E337B" w:rsidRDefault="00052598" w:rsidP="00052598">
            <w:pPr>
              <w:jc w:val="both"/>
              <w:rPr>
                <w:sz w:val="20"/>
              </w:rPr>
            </w:pPr>
            <w:r w:rsidRPr="002E337B">
              <w:rPr>
                <w:sz w:val="20"/>
              </w:rPr>
              <w:t>Ontario Superior Court of Justice</w:t>
            </w:r>
          </w:p>
          <w:p w:rsidR="00052598" w:rsidRPr="002E337B" w:rsidRDefault="00052598" w:rsidP="00052598">
            <w:pPr>
              <w:jc w:val="both"/>
              <w:rPr>
                <w:sz w:val="20"/>
              </w:rPr>
            </w:pPr>
            <w:r w:rsidRPr="002E337B">
              <w:rPr>
                <w:sz w:val="20"/>
              </w:rPr>
              <w:t>(Standryk J.)</w:t>
            </w:r>
          </w:p>
          <w:p w:rsidR="00052598" w:rsidRPr="002E337B" w:rsidRDefault="002E337B" w:rsidP="00052598">
            <w:pPr>
              <w:jc w:val="both"/>
              <w:rPr>
                <w:sz w:val="20"/>
              </w:rPr>
            </w:pPr>
            <w:hyperlink r:id="rId35" w:history="1">
              <w:r w:rsidR="00052598" w:rsidRPr="002E337B">
                <w:rPr>
                  <w:rStyle w:val="Hyperlink"/>
                  <w:sz w:val="20"/>
                </w:rPr>
                <w:t>2021 ONSC 7094</w:t>
              </w:r>
            </w:hyperlink>
            <w:r w:rsidR="00052598" w:rsidRPr="002E337B">
              <w:rPr>
                <w:sz w:val="20"/>
              </w:rPr>
              <w:t>; 68128/19</w:t>
            </w:r>
          </w:p>
          <w:p w:rsidR="00052598" w:rsidRPr="002E337B" w:rsidRDefault="00052598" w:rsidP="00052598">
            <w:pPr>
              <w:jc w:val="both"/>
              <w:rPr>
                <w:sz w:val="20"/>
              </w:rPr>
            </w:pPr>
          </w:p>
        </w:tc>
        <w:tc>
          <w:tcPr>
            <w:tcW w:w="243" w:type="pct"/>
          </w:tcPr>
          <w:p w:rsidR="00052598" w:rsidRPr="002E337B" w:rsidRDefault="00052598" w:rsidP="00052598">
            <w:pPr>
              <w:jc w:val="both"/>
              <w:rPr>
                <w:sz w:val="20"/>
              </w:rPr>
            </w:pPr>
          </w:p>
        </w:tc>
        <w:tc>
          <w:tcPr>
            <w:tcW w:w="2330" w:type="pct"/>
          </w:tcPr>
          <w:p w:rsidR="00052598" w:rsidRPr="002E337B" w:rsidRDefault="00052598" w:rsidP="00052598">
            <w:pPr>
              <w:jc w:val="both"/>
              <w:rPr>
                <w:sz w:val="20"/>
              </w:rPr>
            </w:pPr>
            <w:r w:rsidRPr="002E337B">
              <w:rPr>
                <w:sz w:val="20"/>
              </w:rPr>
              <w:t>Motion for summary judgment granted</w:t>
            </w:r>
          </w:p>
          <w:p w:rsidR="00052598" w:rsidRPr="002E337B" w:rsidRDefault="00052598" w:rsidP="00052598">
            <w:pPr>
              <w:jc w:val="both"/>
              <w:rPr>
                <w:sz w:val="20"/>
              </w:rPr>
            </w:pPr>
          </w:p>
        </w:tc>
      </w:tr>
      <w:tr w:rsidR="00052598" w:rsidRPr="002E337B" w:rsidTr="00052598">
        <w:tc>
          <w:tcPr>
            <w:tcW w:w="2427" w:type="pct"/>
            <w:gridSpan w:val="2"/>
          </w:tcPr>
          <w:p w:rsidR="00052598" w:rsidRPr="002E337B" w:rsidRDefault="00052598" w:rsidP="00052598">
            <w:pPr>
              <w:jc w:val="both"/>
              <w:rPr>
                <w:sz w:val="20"/>
              </w:rPr>
            </w:pPr>
            <w:r w:rsidRPr="002E337B">
              <w:rPr>
                <w:sz w:val="20"/>
              </w:rPr>
              <w:t>November 15, 2022</w:t>
            </w:r>
          </w:p>
          <w:p w:rsidR="00052598" w:rsidRPr="002E337B" w:rsidRDefault="00052598" w:rsidP="00052598">
            <w:pPr>
              <w:jc w:val="both"/>
              <w:rPr>
                <w:sz w:val="20"/>
              </w:rPr>
            </w:pPr>
            <w:r w:rsidRPr="002E337B">
              <w:rPr>
                <w:sz w:val="20"/>
              </w:rPr>
              <w:t>Court of Appeal for Ontario</w:t>
            </w:r>
          </w:p>
          <w:p w:rsidR="00052598" w:rsidRPr="002E337B" w:rsidRDefault="00052598" w:rsidP="00052598">
            <w:pPr>
              <w:jc w:val="both"/>
              <w:rPr>
                <w:sz w:val="20"/>
              </w:rPr>
            </w:pPr>
            <w:r w:rsidRPr="002E337B">
              <w:rPr>
                <w:sz w:val="20"/>
              </w:rPr>
              <w:t>(Simmons, Benotto and Favreau JJ.A.)</w:t>
            </w:r>
          </w:p>
          <w:p w:rsidR="00052598" w:rsidRPr="002E337B" w:rsidRDefault="002E337B" w:rsidP="00052598">
            <w:pPr>
              <w:jc w:val="both"/>
              <w:rPr>
                <w:sz w:val="20"/>
              </w:rPr>
            </w:pPr>
            <w:hyperlink r:id="rId36" w:history="1">
              <w:r w:rsidR="00052598" w:rsidRPr="002E337B">
                <w:rPr>
                  <w:rStyle w:val="Hyperlink"/>
                  <w:sz w:val="20"/>
                </w:rPr>
                <w:t>2022 ONCA 774</w:t>
              </w:r>
            </w:hyperlink>
            <w:r w:rsidR="00052598" w:rsidRPr="002E337B">
              <w:rPr>
                <w:sz w:val="20"/>
              </w:rPr>
              <w:t>; C70103</w:t>
            </w:r>
          </w:p>
          <w:p w:rsidR="00052598" w:rsidRPr="002E337B" w:rsidRDefault="00052598" w:rsidP="00052598">
            <w:pPr>
              <w:jc w:val="both"/>
              <w:rPr>
                <w:sz w:val="20"/>
              </w:rPr>
            </w:pPr>
          </w:p>
        </w:tc>
        <w:tc>
          <w:tcPr>
            <w:tcW w:w="243" w:type="pct"/>
          </w:tcPr>
          <w:p w:rsidR="00052598" w:rsidRPr="002E337B" w:rsidRDefault="00052598" w:rsidP="00052598">
            <w:pPr>
              <w:jc w:val="both"/>
              <w:rPr>
                <w:sz w:val="20"/>
              </w:rPr>
            </w:pPr>
          </w:p>
        </w:tc>
        <w:tc>
          <w:tcPr>
            <w:tcW w:w="2330" w:type="pct"/>
          </w:tcPr>
          <w:p w:rsidR="00052598" w:rsidRPr="002E337B" w:rsidRDefault="00052598" w:rsidP="00052598">
            <w:pPr>
              <w:jc w:val="both"/>
              <w:rPr>
                <w:sz w:val="20"/>
              </w:rPr>
            </w:pPr>
            <w:r w:rsidRPr="002E337B">
              <w:rPr>
                <w:sz w:val="20"/>
              </w:rPr>
              <w:t>Appeal dismissed</w:t>
            </w:r>
          </w:p>
          <w:p w:rsidR="00052598" w:rsidRPr="002E337B" w:rsidRDefault="00052598" w:rsidP="00052598">
            <w:pPr>
              <w:jc w:val="both"/>
              <w:rPr>
                <w:sz w:val="20"/>
              </w:rPr>
            </w:pPr>
          </w:p>
        </w:tc>
      </w:tr>
      <w:tr w:rsidR="00052598" w:rsidRPr="002E337B" w:rsidTr="00052598">
        <w:tc>
          <w:tcPr>
            <w:tcW w:w="2427" w:type="pct"/>
            <w:gridSpan w:val="2"/>
          </w:tcPr>
          <w:p w:rsidR="00052598" w:rsidRPr="002E337B" w:rsidRDefault="00052598" w:rsidP="00052598">
            <w:pPr>
              <w:jc w:val="both"/>
              <w:rPr>
                <w:sz w:val="20"/>
              </w:rPr>
            </w:pPr>
            <w:r w:rsidRPr="002E337B">
              <w:rPr>
                <w:sz w:val="20"/>
              </w:rPr>
              <w:t>January 12, 2023</w:t>
            </w:r>
          </w:p>
          <w:p w:rsidR="00052598" w:rsidRPr="002E337B" w:rsidRDefault="00052598" w:rsidP="00052598">
            <w:pPr>
              <w:jc w:val="both"/>
              <w:rPr>
                <w:sz w:val="20"/>
              </w:rPr>
            </w:pPr>
            <w:r w:rsidRPr="002E337B">
              <w:rPr>
                <w:sz w:val="20"/>
              </w:rPr>
              <w:t>Supreme Court of Canada</w:t>
            </w:r>
          </w:p>
        </w:tc>
        <w:tc>
          <w:tcPr>
            <w:tcW w:w="243" w:type="pct"/>
          </w:tcPr>
          <w:p w:rsidR="00052598" w:rsidRPr="002E337B" w:rsidRDefault="00052598" w:rsidP="00052598">
            <w:pPr>
              <w:jc w:val="both"/>
              <w:rPr>
                <w:sz w:val="20"/>
              </w:rPr>
            </w:pPr>
          </w:p>
        </w:tc>
        <w:tc>
          <w:tcPr>
            <w:tcW w:w="2330" w:type="pct"/>
          </w:tcPr>
          <w:p w:rsidR="00052598" w:rsidRPr="002E337B" w:rsidRDefault="00052598" w:rsidP="00052598">
            <w:pPr>
              <w:jc w:val="both"/>
              <w:rPr>
                <w:sz w:val="20"/>
              </w:rPr>
            </w:pPr>
            <w:r w:rsidRPr="002E337B">
              <w:rPr>
                <w:sz w:val="20"/>
              </w:rPr>
              <w:t>Application for leave to appeal filed</w:t>
            </w:r>
          </w:p>
          <w:p w:rsidR="00052598" w:rsidRPr="002E337B" w:rsidRDefault="00052598" w:rsidP="00052598">
            <w:pPr>
              <w:jc w:val="both"/>
              <w:rPr>
                <w:sz w:val="20"/>
              </w:rPr>
            </w:pPr>
          </w:p>
        </w:tc>
      </w:tr>
    </w:tbl>
    <w:p w:rsidR="00052598" w:rsidRPr="002E337B" w:rsidRDefault="00052598" w:rsidP="00052598">
      <w:pPr>
        <w:jc w:val="both"/>
        <w:rPr>
          <w:sz w:val="20"/>
        </w:rPr>
      </w:pPr>
    </w:p>
    <w:p w:rsidR="007F6E43" w:rsidRPr="002E337B" w:rsidRDefault="002E337B" w:rsidP="00052598">
      <w:pPr>
        <w:jc w:val="both"/>
        <w:rPr>
          <w:sz w:val="20"/>
        </w:rPr>
      </w:pPr>
      <w:r w:rsidRPr="002E337B">
        <w:rPr>
          <w:sz w:val="20"/>
        </w:rPr>
        <w:pict>
          <v:rect id="_x0000_i1039" style="width:2in;height:1pt" o:hrpct="0" o:hralign="center" o:hrstd="t" o:hrnoshade="t" o:hr="t" fillcolor="black [3213]" stroked="f"/>
        </w:pict>
      </w:r>
    </w:p>
    <w:p w:rsidR="007F6E43" w:rsidRPr="002E337B" w:rsidRDefault="007F6E43" w:rsidP="0005259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52598" w:rsidRPr="002E337B" w:rsidTr="00052598">
        <w:tc>
          <w:tcPr>
            <w:tcW w:w="543" w:type="pct"/>
          </w:tcPr>
          <w:p w:rsidR="00052598" w:rsidRPr="002E337B" w:rsidRDefault="00052598" w:rsidP="00052598">
            <w:pPr>
              <w:jc w:val="both"/>
              <w:rPr>
                <w:sz w:val="20"/>
              </w:rPr>
            </w:pPr>
            <w:r w:rsidRPr="002E337B">
              <w:rPr>
                <w:rStyle w:val="SCCFileNumberChar"/>
                <w:sz w:val="20"/>
                <w:szCs w:val="20"/>
              </w:rPr>
              <w:t>40560</w:t>
            </w:r>
          </w:p>
        </w:tc>
        <w:tc>
          <w:tcPr>
            <w:tcW w:w="4457" w:type="pct"/>
            <w:gridSpan w:val="3"/>
          </w:tcPr>
          <w:p w:rsidR="00052598" w:rsidRPr="002E337B" w:rsidRDefault="00052598" w:rsidP="00052598">
            <w:pPr>
              <w:pStyle w:val="SCCLsocParty"/>
              <w:jc w:val="both"/>
              <w:rPr>
                <w:b/>
                <w:sz w:val="20"/>
                <w:szCs w:val="20"/>
              </w:rPr>
            </w:pPr>
            <w:r w:rsidRPr="002E337B">
              <w:rPr>
                <w:b/>
                <w:sz w:val="20"/>
                <w:szCs w:val="20"/>
              </w:rPr>
              <w:t>Fabia Deluca c. Roberto Bucciarelli et John Doe complice</w:t>
            </w:r>
          </w:p>
          <w:p w:rsidR="00052598" w:rsidRPr="002E337B" w:rsidRDefault="00052598" w:rsidP="007F6E43">
            <w:pPr>
              <w:jc w:val="both"/>
              <w:rPr>
                <w:sz w:val="20"/>
                <w:lang w:val="fr-CA"/>
              </w:rPr>
            </w:pPr>
            <w:r w:rsidRPr="002E337B">
              <w:rPr>
                <w:sz w:val="20"/>
                <w:lang w:val="fr-CA"/>
              </w:rPr>
              <w:t>(Ont.) (Civile) (Sur autorisation)</w:t>
            </w:r>
          </w:p>
        </w:tc>
      </w:tr>
      <w:tr w:rsidR="00052598" w:rsidRPr="002E337B" w:rsidTr="00052598">
        <w:tc>
          <w:tcPr>
            <w:tcW w:w="5000" w:type="pct"/>
            <w:gridSpan w:val="4"/>
          </w:tcPr>
          <w:p w:rsidR="00052598" w:rsidRPr="002E337B" w:rsidRDefault="00052598" w:rsidP="007F6E43">
            <w:pPr>
              <w:jc w:val="both"/>
              <w:rPr>
                <w:sz w:val="20"/>
                <w:lang w:val="fr-CA"/>
              </w:rPr>
            </w:pPr>
            <w:r w:rsidRPr="002E337B">
              <w:rPr>
                <w:sz w:val="20"/>
                <w:lang w:val="fr-CA"/>
              </w:rPr>
              <w:t xml:space="preserve">Responsabilité civile délictuelle — Délits intentionnels — Atteinte directe à la personne — Voie de fait délictuel — Prescription des actions — Jugement sommaire — Faudrait-il juger le délit de voies de fait en fonction d’une norme d’imminence différente dans le contexte de la violence entre partenaires intimes que dans d’autres contextes? — La réclamation de la demanderesse était-elle à l’abri de toute prescription parce qu’elle était fondée sur des voies de fait commises par un conjoint alors qu’ils entretenaient une relation intime? — </w:t>
            </w:r>
            <w:r w:rsidRPr="002E337B">
              <w:rPr>
                <w:i/>
                <w:sz w:val="20"/>
                <w:lang w:val="fr-CA"/>
              </w:rPr>
              <w:t>Loi de 2002 sur la prescription des actions</w:t>
            </w:r>
            <w:r w:rsidRPr="002E337B">
              <w:rPr>
                <w:sz w:val="20"/>
                <w:lang w:val="fr-CA"/>
              </w:rPr>
              <w:t>, L.O. 2002, c. 24, ann. B.</w:t>
            </w:r>
          </w:p>
        </w:tc>
      </w:tr>
      <w:tr w:rsidR="00052598" w:rsidRPr="002E337B" w:rsidTr="00052598">
        <w:tc>
          <w:tcPr>
            <w:tcW w:w="5000" w:type="pct"/>
            <w:gridSpan w:val="4"/>
          </w:tcPr>
          <w:p w:rsidR="00052598" w:rsidRPr="002E337B" w:rsidRDefault="00052598" w:rsidP="00052598">
            <w:pPr>
              <w:jc w:val="both"/>
              <w:rPr>
                <w:sz w:val="20"/>
                <w:lang w:val="fr-CA"/>
              </w:rPr>
            </w:pPr>
          </w:p>
        </w:tc>
      </w:tr>
      <w:tr w:rsidR="00052598" w:rsidRPr="002E337B" w:rsidTr="00052598">
        <w:tc>
          <w:tcPr>
            <w:tcW w:w="5000" w:type="pct"/>
            <w:gridSpan w:val="4"/>
          </w:tcPr>
          <w:p w:rsidR="00052598" w:rsidRPr="002E337B" w:rsidRDefault="00052598" w:rsidP="00052598">
            <w:pPr>
              <w:jc w:val="both"/>
              <w:rPr>
                <w:sz w:val="20"/>
                <w:lang w:val="fr-CA"/>
              </w:rPr>
            </w:pPr>
            <w:r w:rsidRPr="002E337B">
              <w:rPr>
                <w:sz w:val="20"/>
                <w:lang w:val="fr-CA"/>
              </w:rPr>
              <w:t>La demanderesse, Fabia Deluca, et l’intimé, Roberto Bucciarelli, ont entretenu une relation amoureuse dans le passé. La relation a pris fin en novembre 2010.</w:t>
            </w:r>
          </w:p>
          <w:p w:rsidR="00052598" w:rsidRPr="002E337B" w:rsidRDefault="00052598" w:rsidP="00052598">
            <w:pPr>
              <w:jc w:val="both"/>
              <w:rPr>
                <w:sz w:val="20"/>
                <w:lang w:val="fr-CA"/>
              </w:rPr>
            </w:pPr>
          </w:p>
          <w:p w:rsidR="00052598" w:rsidRPr="002E337B" w:rsidRDefault="00052598" w:rsidP="00052598">
            <w:pPr>
              <w:jc w:val="both"/>
              <w:rPr>
                <w:sz w:val="20"/>
                <w:lang w:val="fr-CA"/>
              </w:rPr>
            </w:pPr>
            <w:r w:rsidRPr="002E337B">
              <w:rPr>
                <w:sz w:val="20"/>
                <w:lang w:val="fr-CA"/>
              </w:rPr>
              <w:t>En 2019, M</w:t>
            </w:r>
            <w:r w:rsidRPr="002E337B">
              <w:rPr>
                <w:sz w:val="20"/>
                <w:vertAlign w:val="superscript"/>
                <w:lang w:val="fr-CA"/>
              </w:rPr>
              <w:t>me</w:t>
            </w:r>
            <w:r w:rsidRPr="002E337B">
              <w:rPr>
                <w:sz w:val="20"/>
                <w:lang w:val="fr-CA"/>
              </w:rPr>
              <w:t xml:space="preserve"> Deluca a présenté une déclaration contre M. Bucciarelli et l’intimé John Doe, un complice, réclamant des dommages-intérêts pour de multiples causes d’action — y compris voies de fait délictuelles — découlant de la conduite de M. Bucciarelli entre décembre 2010 et 2012. </w:t>
            </w:r>
          </w:p>
          <w:p w:rsidR="00052598" w:rsidRPr="002E337B" w:rsidRDefault="00052598" w:rsidP="00052598">
            <w:pPr>
              <w:jc w:val="both"/>
              <w:rPr>
                <w:sz w:val="20"/>
                <w:lang w:val="fr-CA"/>
              </w:rPr>
            </w:pPr>
          </w:p>
          <w:p w:rsidR="00052598" w:rsidRPr="002E337B" w:rsidRDefault="00052598" w:rsidP="00052598">
            <w:pPr>
              <w:jc w:val="both"/>
              <w:rPr>
                <w:sz w:val="20"/>
                <w:lang w:val="fr-CA"/>
              </w:rPr>
            </w:pPr>
            <w:r w:rsidRPr="002E337B">
              <w:rPr>
                <w:sz w:val="20"/>
                <w:lang w:val="fr-CA"/>
              </w:rPr>
              <w:t>M. Bucciarelli a présenté une motion pour jugement sommaire. La juge des motions a décidé que la réclamation de M</w:t>
            </w:r>
            <w:r w:rsidRPr="002E337B">
              <w:rPr>
                <w:sz w:val="20"/>
                <w:vertAlign w:val="superscript"/>
                <w:lang w:val="fr-CA"/>
              </w:rPr>
              <w:t>me</w:t>
            </w:r>
            <w:r w:rsidRPr="002E337B">
              <w:rPr>
                <w:sz w:val="20"/>
                <w:lang w:val="fr-CA"/>
              </w:rPr>
              <w:t> Deluca était prescrite et qu’il n’y avait pas de véritable question nécessitant la tenue d’un procès. La Cour d’appel de l’Ontario a rejeté l’appel de M</w:t>
            </w:r>
            <w:r w:rsidRPr="002E337B">
              <w:rPr>
                <w:sz w:val="20"/>
                <w:vertAlign w:val="superscript"/>
                <w:lang w:val="fr-CA"/>
              </w:rPr>
              <w:t>me</w:t>
            </w:r>
            <w:r w:rsidR="007F6E43" w:rsidRPr="002E337B">
              <w:rPr>
                <w:sz w:val="20"/>
                <w:lang w:val="fr-CA"/>
              </w:rPr>
              <w:t> Deluca.</w:t>
            </w:r>
          </w:p>
          <w:p w:rsidR="00052598" w:rsidRPr="002E337B" w:rsidRDefault="00052598" w:rsidP="00052598">
            <w:pPr>
              <w:jc w:val="both"/>
              <w:rPr>
                <w:sz w:val="20"/>
                <w:lang w:val="fr-CA"/>
              </w:rPr>
            </w:pPr>
          </w:p>
        </w:tc>
      </w:tr>
      <w:tr w:rsidR="00052598" w:rsidRPr="002E337B" w:rsidTr="00052598">
        <w:tc>
          <w:tcPr>
            <w:tcW w:w="2427" w:type="pct"/>
            <w:gridSpan w:val="2"/>
          </w:tcPr>
          <w:p w:rsidR="00052598" w:rsidRPr="002E337B" w:rsidRDefault="00052598" w:rsidP="00052598">
            <w:pPr>
              <w:jc w:val="both"/>
              <w:rPr>
                <w:sz w:val="20"/>
                <w:lang w:val="fr-CA"/>
              </w:rPr>
            </w:pPr>
            <w:r w:rsidRPr="002E337B">
              <w:rPr>
                <w:sz w:val="20"/>
                <w:lang w:val="fr-CA"/>
              </w:rPr>
              <w:t>10 novembre 2021</w:t>
            </w:r>
          </w:p>
          <w:p w:rsidR="00052598" w:rsidRPr="002E337B" w:rsidRDefault="00052598" w:rsidP="00052598">
            <w:pPr>
              <w:jc w:val="both"/>
              <w:rPr>
                <w:sz w:val="20"/>
                <w:lang w:val="fr-CA"/>
              </w:rPr>
            </w:pPr>
            <w:r w:rsidRPr="002E337B">
              <w:rPr>
                <w:sz w:val="20"/>
                <w:lang w:val="fr-CA"/>
              </w:rPr>
              <w:t xml:space="preserve">Cour supérieure de justice de l’Ontario </w:t>
            </w:r>
          </w:p>
          <w:p w:rsidR="00052598" w:rsidRPr="002E337B" w:rsidRDefault="00052598" w:rsidP="00052598">
            <w:pPr>
              <w:jc w:val="both"/>
              <w:rPr>
                <w:sz w:val="20"/>
              </w:rPr>
            </w:pPr>
            <w:r w:rsidRPr="002E337B">
              <w:rPr>
                <w:sz w:val="20"/>
              </w:rPr>
              <w:t>(Juge Standryk)</w:t>
            </w:r>
          </w:p>
          <w:p w:rsidR="00052598" w:rsidRPr="002E337B" w:rsidRDefault="002E337B" w:rsidP="00052598">
            <w:pPr>
              <w:jc w:val="both"/>
              <w:rPr>
                <w:sz w:val="20"/>
              </w:rPr>
            </w:pPr>
            <w:hyperlink r:id="rId37" w:history="1">
              <w:r w:rsidR="00052598" w:rsidRPr="002E337B">
                <w:rPr>
                  <w:rStyle w:val="Hyperlink"/>
                  <w:sz w:val="20"/>
                </w:rPr>
                <w:t>2021 ONSC 7094</w:t>
              </w:r>
            </w:hyperlink>
            <w:r w:rsidR="00052598" w:rsidRPr="002E337B">
              <w:rPr>
                <w:sz w:val="20"/>
              </w:rPr>
              <w:t>; 68128/19</w:t>
            </w:r>
          </w:p>
          <w:p w:rsidR="00052598" w:rsidRPr="002E337B" w:rsidRDefault="00052598" w:rsidP="00052598">
            <w:pPr>
              <w:jc w:val="both"/>
              <w:rPr>
                <w:sz w:val="20"/>
              </w:rPr>
            </w:pPr>
            <w:r w:rsidRPr="002E337B">
              <w:rPr>
                <w:sz w:val="20"/>
              </w:rPr>
              <w:t>genuine issue requiring a trial</w:t>
            </w:r>
          </w:p>
        </w:tc>
        <w:tc>
          <w:tcPr>
            <w:tcW w:w="243" w:type="pct"/>
          </w:tcPr>
          <w:p w:rsidR="00052598" w:rsidRPr="002E337B" w:rsidRDefault="00052598" w:rsidP="00052598">
            <w:pPr>
              <w:jc w:val="both"/>
              <w:rPr>
                <w:sz w:val="20"/>
              </w:rPr>
            </w:pPr>
          </w:p>
        </w:tc>
        <w:tc>
          <w:tcPr>
            <w:tcW w:w="2330" w:type="pct"/>
          </w:tcPr>
          <w:p w:rsidR="00052598" w:rsidRPr="002E337B" w:rsidRDefault="00052598" w:rsidP="00052598">
            <w:pPr>
              <w:jc w:val="both"/>
              <w:rPr>
                <w:sz w:val="20"/>
                <w:lang w:val="fr-CA"/>
              </w:rPr>
            </w:pPr>
            <w:r w:rsidRPr="002E337B">
              <w:rPr>
                <w:sz w:val="20"/>
                <w:lang w:val="fr-CA"/>
              </w:rPr>
              <w:t xml:space="preserve">Motion en jugement sommaire accueillie </w:t>
            </w:r>
          </w:p>
        </w:tc>
      </w:tr>
      <w:tr w:rsidR="00052598" w:rsidRPr="002E337B" w:rsidTr="00052598">
        <w:tc>
          <w:tcPr>
            <w:tcW w:w="2427" w:type="pct"/>
            <w:gridSpan w:val="2"/>
          </w:tcPr>
          <w:p w:rsidR="00052598" w:rsidRPr="002E337B" w:rsidRDefault="00052598" w:rsidP="00052598">
            <w:pPr>
              <w:jc w:val="both"/>
              <w:rPr>
                <w:sz w:val="20"/>
                <w:lang w:val="fr-CA"/>
              </w:rPr>
            </w:pPr>
            <w:r w:rsidRPr="002E337B">
              <w:rPr>
                <w:sz w:val="20"/>
                <w:lang w:val="fr-CA"/>
              </w:rPr>
              <w:t>15 novembre 2022</w:t>
            </w:r>
          </w:p>
          <w:p w:rsidR="00052598" w:rsidRPr="002E337B" w:rsidRDefault="00052598" w:rsidP="00052598">
            <w:pPr>
              <w:jc w:val="both"/>
              <w:rPr>
                <w:sz w:val="20"/>
                <w:lang w:val="fr-CA"/>
              </w:rPr>
            </w:pPr>
            <w:r w:rsidRPr="002E337B">
              <w:rPr>
                <w:sz w:val="20"/>
                <w:lang w:val="fr-CA"/>
              </w:rPr>
              <w:t>Cour d’appel de l’Ontario</w:t>
            </w:r>
          </w:p>
          <w:p w:rsidR="00052598" w:rsidRPr="002E337B" w:rsidRDefault="00052598" w:rsidP="00052598">
            <w:pPr>
              <w:jc w:val="both"/>
              <w:rPr>
                <w:sz w:val="20"/>
                <w:lang w:val="fr-CA"/>
              </w:rPr>
            </w:pPr>
            <w:r w:rsidRPr="002E337B">
              <w:rPr>
                <w:sz w:val="20"/>
                <w:lang w:val="fr-CA"/>
              </w:rPr>
              <w:t>(Juges Simmons, Benotto et Favreau)</w:t>
            </w:r>
          </w:p>
          <w:p w:rsidR="00052598" w:rsidRPr="002E337B" w:rsidRDefault="002E337B" w:rsidP="00052598">
            <w:pPr>
              <w:jc w:val="both"/>
              <w:rPr>
                <w:sz w:val="20"/>
              </w:rPr>
            </w:pPr>
            <w:hyperlink r:id="rId38" w:history="1">
              <w:r w:rsidR="00052598" w:rsidRPr="002E337B">
                <w:rPr>
                  <w:rStyle w:val="Hyperlink"/>
                  <w:sz w:val="20"/>
                </w:rPr>
                <w:t>2022 ONCA 774</w:t>
              </w:r>
            </w:hyperlink>
            <w:r w:rsidR="00052598" w:rsidRPr="002E337B">
              <w:rPr>
                <w:sz w:val="20"/>
              </w:rPr>
              <w:t>; C70103</w:t>
            </w:r>
          </w:p>
          <w:p w:rsidR="00052598" w:rsidRPr="002E337B" w:rsidRDefault="00052598" w:rsidP="00052598">
            <w:pPr>
              <w:jc w:val="both"/>
              <w:rPr>
                <w:sz w:val="20"/>
              </w:rPr>
            </w:pPr>
          </w:p>
        </w:tc>
        <w:tc>
          <w:tcPr>
            <w:tcW w:w="243" w:type="pct"/>
          </w:tcPr>
          <w:p w:rsidR="00052598" w:rsidRPr="002E337B" w:rsidRDefault="00052598" w:rsidP="00052598">
            <w:pPr>
              <w:jc w:val="both"/>
              <w:rPr>
                <w:sz w:val="20"/>
              </w:rPr>
            </w:pPr>
          </w:p>
        </w:tc>
        <w:tc>
          <w:tcPr>
            <w:tcW w:w="2330" w:type="pct"/>
          </w:tcPr>
          <w:p w:rsidR="00052598" w:rsidRPr="002E337B" w:rsidRDefault="00052598" w:rsidP="00052598">
            <w:pPr>
              <w:jc w:val="both"/>
              <w:rPr>
                <w:sz w:val="20"/>
              </w:rPr>
            </w:pPr>
            <w:r w:rsidRPr="002E337B">
              <w:rPr>
                <w:sz w:val="20"/>
              </w:rPr>
              <w:t>Appel rejeté</w:t>
            </w:r>
          </w:p>
          <w:p w:rsidR="00052598" w:rsidRPr="002E337B" w:rsidRDefault="00052598" w:rsidP="00052598">
            <w:pPr>
              <w:jc w:val="both"/>
              <w:rPr>
                <w:sz w:val="20"/>
              </w:rPr>
            </w:pPr>
          </w:p>
        </w:tc>
      </w:tr>
      <w:tr w:rsidR="00052598" w:rsidRPr="002E337B" w:rsidTr="00052598">
        <w:tc>
          <w:tcPr>
            <w:tcW w:w="2427" w:type="pct"/>
            <w:gridSpan w:val="2"/>
          </w:tcPr>
          <w:p w:rsidR="00052598" w:rsidRPr="002E337B" w:rsidRDefault="00052598" w:rsidP="00052598">
            <w:pPr>
              <w:jc w:val="both"/>
              <w:rPr>
                <w:sz w:val="20"/>
                <w:lang w:val="fr-CA"/>
              </w:rPr>
            </w:pPr>
            <w:r w:rsidRPr="002E337B">
              <w:rPr>
                <w:sz w:val="20"/>
                <w:lang w:val="fr-CA"/>
              </w:rPr>
              <w:t>12 janvier 2023</w:t>
            </w:r>
          </w:p>
          <w:p w:rsidR="00052598" w:rsidRPr="002E337B" w:rsidRDefault="00052598" w:rsidP="00052598">
            <w:pPr>
              <w:jc w:val="both"/>
              <w:rPr>
                <w:sz w:val="20"/>
                <w:lang w:val="fr-CA"/>
              </w:rPr>
            </w:pPr>
            <w:r w:rsidRPr="002E337B">
              <w:rPr>
                <w:sz w:val="20"/>
                <w:lang w:val="fr-CA"/>
              </w:rPr>
              <w:t>Cour suprême du Canada</w:t>
            </w:r>
          </w:p>
        </w:tc>
        <w:tc>
          <w:tcPr>
            <w:tcW w:w="243" w:type="pct"/>
          </w:tcPr>
          <w:p w:rsidR="00052598" w:rsidRPr="002E337B" w:rsidRDefault="00052598" w:rsidP="00052598">
            <w:pPr>
              <w:jc w:val="both"/>
              <w:rPr>
                <w:sz w:val="20"/>
                <w:lang w:val="fr-CA"/>
              </w:rPr>
            </w:pPr>
          </w:p>
        </w:tc>
        <w:tc>
          <w:tcPr>
            <w:tcW w:w="2330" w:type="pct"/>
          </w:tcPr>
          <w:p w:rsidR="00052598" w:rsidRPr="002E337B" w:rsidRDefault="00052598" w:rsidP="00052598">
            <w:pPr>
              <w:jc w:val="both"/>
              <w:rPr>
                <w:sz w:val="20"/>
              </w:rPr>
            </w:pPr>
            <w:r w:rsidRPr="002E337B">
              <w:rPr>
                <w:sz w:val="20"/>
              </w:rPr>
              <w:t xml:space="preserve">Demande d’autorisation d’appel déposée </w:t>
            </w:r>
          </w:p>
          <w:p w:rsidR="00052598" w:rsidRPr="002E337B" w:rsidRDefault="00052598" w:rsidP="00052598">
            <w:pPr>
              <w:jc w:val="both"/>
              <w:rPr>
                <w:sz w:val="20"/>
              </w:rPr>
            </w:pPr>
          </w:p>
        </w:tc>
      </w:tr>
    </w:tbl>
    <w:p w:rsidR="00052598" w:rsidRPr="002E337B" w:rsidRDefault="00052598" w:rsidP="00052598">
      <w:pPr>
        <w:jc w:val="both"/>
        <w:rPr>
          <w:sz w:val="20"/>
        </w:rPr>
      </w:pPr>
    </w:p>
    <w:p w:rsidR="007F6E43" w:rsidRPr="002E337B" w:rsidRDefault="002E337B" w:rsidP="00052598">
      <w:pPr>
        <w:jc w:val="both"/>
        <w:rPr>
          <w:sz w:val="20"/>
        </w:rPr>
      </w:pPr>
      <w:r w:rsidRPr="002E337B">
        <w:rPr>
          <w:sz w:val="20"/>
        </w:rPr>
        <w:pict>
          <v:rect id="_x0000_i1040" style="width:2in;height:1pt" o:hrpct="0" o:hralign="center" o:hrstd="t" o:hrnoshade="t" o:hr="t" fillcolor="black [3213]" stroked="f"/>
        </w:pict>
      </w:r>
    </w:p>
    <w:p w:rsidR="007F6E43" w:rsidRPr="002E337B" w:rsidRDefault="007F6E43" w:rsidP="0005259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52598" w:rsidRPr="002E337B" w:rsidTr="00052598">
        <w:tc>
          <w:tcPr>
            <w:tcW w:w="543" w:type="pct"/>
          </w:tcPr>
          <w:p w:rsidR="00052598" w:rsidRPr="002E337B" w:rsidRDefault="00052598" w:rsidP="00052598">
            <w:pPr>
              <w:jc w:val="both"/>
              <w:rPr>
                <w:sz w:val="20"/>
              </w:rPr>
            </w:pPr>
            <w:r w:rsidRPr="002E337B">
              <w:rPr>
                <w:rStyle w:val="SCCFileNumberChar"/>
                <w:sz w:val="20"/>
                <w:szCs w:val="20"/>
              </w:rPr>
              <w:t>40613</w:t>
            </w:r>
          </w:p>
        </w:tc>
        <w:tc>
          <w:tcPr>
            <w:tcW w:w="4457" w:type="pct"/>
            <w:gridSpan w:val="3"/>
          </w:tcPr>
          <w:p w:rsidR="00052598" w:rsidRPr="002E337B" w:rsidRDefault="00052598" w:rsidP="00052598">
            <w:pPr>
              <w:pStyle w:val="SCCLsocParty"/>
              <w:jc w:val="both"/>
              <w:rPr>
                <w:b/>
                <w:sz w:val="20"/>
                <w:szCs w:val="20"/>
                <w:lang w:val="en-US"/>
              </w:rPr>
            </w:pPr>
            <w:r w:rsidRPr="002E337B">
              <w:rPr>
                <w:b/>
                <w:sz w:val="20"/>
                <w:szCs w:val="20"/>
                <w:lang w:val="en-US"/>
              </w:rPr>
              <w:t>Haben Abrham Weldekidan v. His Majesty the King</w:t>
            </w:r>
          </w:p>
          <w:p w:rsidR="00052598" w:rsidRPr="002E337B" w:rsidRDefault="00052598" w:rsidP="00052598">
            <w:pPr>
              <w:jc w:val="both"/>
              <w:rPr>
                <w:sz w:val="20"/>
              </w:rPr>
            </w:pPr>
            <w:r w:rsidRPr="002E337B">
              <w:rPr>
                <w:sz w:val="20"/>
              </w:rPr>
              <w:t>(Man.) (Criminal) (By Leave)</w:t>
            </w:r>
          </w:p>
        </w:tc>
      </w:tr>
      <w:tr w:rsidR="00052598" w:rsidRPr="002E337B" w:rsidTr="00052598">
        <w:tc>
          <w:tcPr>
            <w:tcW w:w="5000" w:type="pct"/>
            <w:gridSpan w:val="4"/>
          </w:tcPr>
          <w:p w:rsidR="00052598" w:rsidRPr="002E337B" w:rsidRDefault="00052598" w:rsidP="00052598">
            <w:pPr>
              <w:jc w:val="both"/>
              <w:rPr>
                <w:sz w:val="20"/>
              </w:rPr>
            </w:pPr>
            <w:r w:rsidRPr="002E337B">
              <w:rPr>
                <w:sz w:val="20"/>
              </w:rPr>
              <w:t xml:space="preserve">Criminal law — Evidence — Admissibility — </w:t>
            </w:r>
            <w:r w:rsidRPr="002E337B">
              <w:rPr>
                <w:i/>
                <w:color w:val="000000"/>
                <w:sz w:val="20"/>
              </w:rPr>
              <w:t>Voir dire</w:t>
            </w:r>
            <w:r w:rsidRPr="002E337B">
              <w:rPr>
                <w:color w:val="000000"/>
                <w:sz w:val="20"/>
              </w:rPr>
              <w:t xml:space="preserve"> held regarding admissibility of videotaped statements of the victims </w:t>
            </w:r>
            <w:r w:rsidRPr="002E337B">
              <w:rPr>
                <w:sz w:val="20"/>
              </w:rPr>
              <w:t xml:space="preserve">— </w:t>
            </w:r>
            <w:r w:rsidRPr="002E337B">
              <w:rPr>
                <w:color w:val="000000"/>
                <w:sz w:val="20"/>
              </w:rPr>
              <w:t xml:space="preserve">Threshold reliability of victims’ statements established — Ultimate reliability of all statements confirmed by trial judge </w:t>
            </w:r>
            <w:r w:rsidRPr="002E337B">
              <w:rPr>
                <w:sz w:val="20"/>
              </w:rPr>
              <w:t xml:space="preserve">— </w:t>
            </w:r>
            <w:r w:rsidRPr="002E337B">
              <w:rPr>
                <w:color w:val="000000"/>
                <w:sz w:val="20"/>
              </w:rPr>
              <w:t xml:space="preserve">Trial judge admitted videotaped statements of victims </w:t>
            </w:r>
            <w:r w:rsidRPr="002E337B">
              <w:rPr>
                <w:sz w:val="20"/>
              </w:rPr>
              <w:t>— Assessment of ultimate reliability —</w:t>
            </w:r>
            <w:r w:rsidRPr="002E337B">
              <w:rPr>
                <w:color w:val="000000"/>
                <w:sz w:val="20"/>
              </w:rPr>
              <w:t xml:space="preserve"> Principles and considerations governing assessment of ultimate reliability and burden of proof</w:t>
            </w:r>
            <w:r w:rsidRPr="002E337B">
              <w:rPr>
                <w:sz w:val="20"/>
              </w:rPr>
              <w:t>.</w:t>
            </w:r>
          </w:p>
          <w:p w:rsidR="00052598" w:rsidRPr="002E337B" w:rsidRDefault="00052598" w:rsidP="00052598">
            <w:pPr>
              <w:jc w:val="both"/>
              <w:rPr>
                <w:sz w:val="20"/>
              </w:rPr>
            </w:pPr>
          </w:p>
        </w:tc>
      </w:tr>
      <w:tr w:rsidR="00052598" w:rsidRPr="002E337B" w:rsidTr="00052598">
        <w:tc>
          <w:tcPr>
            <w:tcW w:w="5000" w:type="pct"/>
            <w:gridSpan w:val="4"/>
          </w:tcPr>
          <w:p w:rsidR="00052598" w:rsidRPr="002E337B" w:rsidRDefault="00052598" w:rsidP="00052598">
            <w:pPr>
              <w:jc w:val="both"/>
              <w:rPr>
                <w:color w:val="000000"/>
                <w:sz w:val="20"/>
              </w:rPr>
            </w:pPr>
            <w:r w:rsidRPr="002E337B">
              <w:rPr>
                <w:sz w:val="20"/>
              </w:rPr>
              <w:t>The</w:t>
            </w:r>
            <w:r w:rsidRPr="002E337B">
              <w:rPr>
                <w:spacing w:val="-10"/>
                <w:sz w:val="20"/>
              </w:rPr>
              <w:t xml:space="preserve">re were multiple </w:t>
            </w:r>
            <w:r w:rsidRPr="002E337B">
              <w:rPr>
                <w:sz w:val="20"/>
              </w:rPr>
              <w:t>shootings</w:t>
            </w:r>
            <w:r w:rsidRPr="002E337B">
              <w:rPr>
                <w:spacing w:val="-5"/>
                <w:sz w:val="20"/>
              </w:rPr>
              <w:t xml:space="preserve"> </w:t>
            </w:r>
            <w:r w:rsidRPr="002E337B">
              <w:rPr>
                <w:sz w:val="20"/>
              </w:rPr>
              <w:t>at</w:t>
            </w:r>
            <w:r w:rsidRPr="002E337B">
              <w:rPr>
                <w:spacing w:val="-7"/>
                <w:sz w:val="20"/>
              </w:rPr>
              <w:t xml:space="preserve"> </w:t>
            </w:r>
            <w:r w:rsidRPr="002E337B">
              <w:rPr>
                <w:sz w:val="20"/>
              </w:rPr>
              <w:t>a</w:t>
            </w:r>
            <w:r w:rsidRPr="002E337B">
              <w:rPr>
                <w:spacing w:val="-8"/>
                <w:sz w:val="20"/>
              </w:rPr>
              <w:t xml:space="preserve"> </w:t>
            </w:r>
            <w:r w:rsidRPr="002E337B">
              <w:rPr>
                <w:sz w:val="20"/>
              </w:rPr>
              <w:t>house</w:t>
            </w:r>
            <w:r w:rsidRPr="002E337B">
              <w:rPr>
                <w:spacing w:val="-8"/>
                <w:sz w:val="20"/>
              </w:rPr>
              <w:t xml:space="preserve"> </w:t>
            </w:r>
            <w:r w:rsidRPr="002E337B">
              <w:rPr>
                <w:sz w:val="20"/>
              </w:rPr>
              <w:t>party</w:t>
            </w:r>
            <w:r w:rsidRPr="002E337B">
              <w:rPr>
                <w:spacing w:val="-7"/>
                <w:sz w:val="20"/>
              </w:rPr>
              <w:t xml:space="preserve"> </w:t>
            </w:r>
            <w:r w:rsidRPr="002E337B">
              <w:rPr>
                <w:sz w:val="20"/>
              </w:rPr>
              <w:t>in</w:t>
            </w:r>
            <w:r w:rsidRPr="002E337B">
              <w:rPr>
                <w:spacing w:val="-7"/>
                <w:sz w:val="20"/>
              </w:rPr>
              <w:t xml:space="preserve"> </w:t>
            </w:r>
            <w:r w:rsidRPr="002E337B">
              <w:rPr>
                <w:sz w:val="20"/>
              </w:rPr>
              <w:t>Winnipeg.</w:t>
            </w:r>
            <w:r w:rsidRPr="002E337B">
              <w:rPr>
                <w:color w:val="000000"/>
                <w:sz w:val="20"/>
              </w:rPr>
              <w:t xml:space="preserve"> A </w:t>
            </w:r>
            <w:r w:rsidRPr="002E337B">
              <w:rPr>
                <w:i/>
                <w:color w:val="000000"/>
                <w:sz w:val="20"/>
              </w:rPr>
              <w:t>voir dire</w:t>
            </w:r>
            <w:r w:rsidRPr="002E337B">
              <w:rPr>
                <w:color w:val="000000"/>
                <w:sz w:val="20"/>
              </w:rPr>
              <w:t xml:space="preserve"> was held regarding the admissibility of the videotaped statements of the victims. Threshold reliability was established. The ultimate reliability of the videotaped statements was confirmed by the trial judge. The trial judge admitted the videotaped statements. The applicant was convicted of four counts of attempted murder as well as numerous firearm offences. The Court of Appeal held that trial judge properly assessed the ultimate reliability of each statement, and dismissed the appeal.</w:t>
            </w:r>
          </w:p>
          <w:p w:rsidR="00052598" w:rsidRPr="002E337B" w:rsidRDefault="00052598" w:rsidP="00052598">
            <w:pPr>
              <w:jc w:val="both"/>
              <w:rPr>
                <w:sz w:val="20"/>
              </w:rPr>
            </w:pPr>
          </w:p>
        </w:tc>
      </w:tr>
      <w:tr w:rsidR="00052598" w:rsidRPr="002E337B" w:rsidTr="00052598">
        <w:tc>
          <w:tcPr>
            <w:tcW w:w="2427" w:type="pct"/>
            <w:gridSpan w:val="2"/>
          </w:tcPr>
          <w:p w:rsidR="00052598" w:rsidRPr="002E337B" w:rsidRDefault="00052598" w:rsidP="00052598">
            <w:pPr>
              <w:jc w:val="both"/>
              <w:rPr>
                <w:sz w:val="20"/>
              </w:rPr>
            </w:pPr>
            <w:r w:rsidRPr="002E337B">
              <w:rPr>
                <w:sz w:val="20"/>
              </w:rPr>
              <w:t>June 22, 2021</w:t>
            </w:r>
          </w:p>
          <w:p w:rsidR="00052598" w:rsidRPr="002E337B" w:rsidRDefault="00052598" w:rsidP="00052598">
            <w:pPr>
              <w:jc w:val="both"/>
              <w:rPr>
                <w:sz w:val="20"/>
              </w:rPr>
            </w:pPr>
            <w:r w:rsidRPr="002E337B">
              <w:rPr>
                <w:sz w:val="20"/>
              </w:rPr>
              <w:t>Court of Queen’s Bench of Manitoba</w:t>
            </w:r>
          </w:p>
          <w:p w:rsidR="00052598" w:rsidRPr="002E337B" w:rsidRDefault="00052598" w:rsidP="00052598">
            <w:pPr>
              <w:jc w:val="both"/>
              <w:rPr>
                <w:sz w:val="20"/>
              </w:rPr>
            </w:pPr>
            <w:r w:rsidRPr="002E337B">
              <w:rPr>
                <w:sz w:val="20"/>
              </w:rPr>
              <w:t>(McKelvey J.)</w:t>
            </w:r>
          </w:p>
          <w:p w:rsidR="00052598" w:rsidRPr="002E337B" w:rsidRDefault="002E337B" w:rsidP="00052598">
            <w:pPr>
              <w:jc w:val="both"/>
              <w:rPr>
                <w:sz w:val="20"/>
              </w:rPr>
            </w:pPr>
            <w:hyperlink r:id="rId39" w:history="1">
              <w:r w:rsidR="00052598" w:rsidRPr="002E337B">
                <w:rPr>
                  <w:rStyle w:val="Hyperlink"/>
                  <w:sz w:val="20"/>
                </w:rPr>
                <w:t>2021 MBQB 164</w:t>
              </w:r>
            </w:hyperlink>
          </w:p>
          <w:p w:rsidR="00052598" w:rsidRPr="002E337B" w:rsidRDefault="00052598" w:rsidP="00052598">
            <w:pPr>
              <w:jc w:val="both"/>
              <w:rPr>
                <w:sz w:val="20"/>
              </w:rPr>
            </w:pPr>
          </w:p>
        </w:tc>
        <w:tc>
          <w:tcPr>
            <w:tcW w:w="243" w:type="pct"/>
          </w:tcPr>
          <w:p w:rsidR="00052598" w:rsidRPr="002E337B" w:rsidRDefault="00052598" w:rsidP="00052598">
            <w:pPr>
              <w:jc w:val="both"/>
              <w:rPr>
                <w:sz w:val="20"/>
              </w:rPr>
            </w:pPr>
          </w:p>
        </w:tc>
        <w:tc>
          <w:tcPr>
            <w:tcW w:w="2330" w:type="pct"/>
          </w:tcPr>
          <w:p w:rsidR="00052598" w:rsidRPr="002E337B" w:rsidRDefault="00052598" w:rsidP="00052598">
            <w:pPr>
              <w:jc w:val="both"/>
              <w:rPr>
                <w:sz w:val="20"/>
              </w:rPr>
            </w:pPr>
            <w:r w:rsidRPr="002E337B">
              <w:rPr>
                <w:sz w:val="20"/>
              </w:rPr>
              <w:t xml:space="preserve">Convictions entered: four counts of attempted murder and </w:t>
            </w:r>
            <w:r w:rsidRPr="002E337B">
              <w:rPr>
                <w:color w:val="000000"/>
                <w:sz w:val="20"/>
              </w:rPr>
              <w:t>numerous firearm offences</w:t>
            </w:r>
            <w:r w:rsidRPr="002E337B">
              <w:rPr>
                <w:sz w:val="20"/>
              </w:rPr>
              <w:t xml:space="preserve"> </w:t>
            </w:r>
          </w:p>
          <w:p w:rsidR="00052598" w:rsidRPr="002E337B" w:rsidRDefault="00052598" w:rsidP="00052598">
            <w:pPr>
              <w:jc w:val="both"/>
              <w:rPr>
                <w:sz w:val="20"/>
              </w:rPr>
            </w:pPr>
          </w:p>
        </w:tc>
      </w:tr>
      <w:tr w:rsidR="00052598" w:rsidRPr="002E337B" w:rsidTr="00052598">
        <w:tc>
          <w:tcPr>
            <w:tcW w:w="2427" w:type="pct"/>
            <w:gridSpan w:val="2"/>
          </w:tcPr>
          <w:p w:rsidR="00052598" w:rsidRPr="002E337B" w:rsidRDefault="00052598" w:rsidP="00052598">
            <w:pPr>
              <w:jc w:val="both"/>
              <w:rPr>
                <w:sz w:val="20"/>
              </w:rPr>
            </w:pPr>
            <w:r w:rsidRPr="002E337B">
              <w:rPr>
                <w:sz w:val="20"/>
              </w:rPr>
              <w:t>December 12, 2022</w:t>
            </w:r>
          </w:p>
          <w:p w:rsidR="00052598" w:rsidRPr="002E337B" w:rsidRDefault="00052598" w:rsidP="00052598">
            <w:pPr>
              <w:jc w:val="both"/>
              <w:rPr>
                <w:sz w:val="20"/>
              </w:rPr>
            </w:pPr>
            <w:r w:rsidRPr="002E337B">
              <w:rPr>
                <w:sz w:val="20"/>
              </w:rPr>
              <w:t>Court of Appeal of Manitoba</w:t>
            </w:r>
          </w:p>
          <w:p w:rsidR="00052598" w:rsidRPr="002E337B" w:rsidRDefault="00052598" w:rsidP="00052598">
            <w:pPr>
              <w:jc w:val="both"/>
              <w:rPr>
                <w:sz w:val="20"/>
              </w:rPr>
            </w:pPr>
            <w:r w:rsidRPr="002E337B">
              <w:rPr>
                <w:sz w:val="20"/>
              </w:rPr>
              <w:t>(Steel, Cameron, leMaistre JJ.A.)</w:t>
            </w:r>
          </w:p>
          <w:p w:rsidR="00052598" w:rsidRPr="002E337B" w:rsidRDefault="00052598" w:rsidP="00052598">
            <w:pPr>
              <w:jc w:val="both"/>
              <w:rPr>
                <w:sz w:val="20"/>
              </w:rPr>
            </w:pPr>
            <w:r w:rsidRPr="002E337B">
              <w:rPr>
                <w:color w:val="000000"/>
                <w:sz w:val="20"/>
              </w:rPr>
              <w:t>AR21-30-09707</w:t>
            </w:r>
            <w:r w:rsidRPr="002E337B">
              <w:rPr>
                <w:sz w:val="20"/>
              </w:rPr>
              <w:t xml:space="preserve">; </w:t>
            </w:r>
            <w:hyperlink r:id="rId40" w:history="1">
              <w:r w:rsidRPr="002E337B">
                <w:rPr>
                  <w:rStyle w:val="Hyperlink"/>
                  <w:sz w:val="20"/>
                </w:rPr>
                <w:t>2022 MBCA 102</w:t>
              </w:r>
            </w:hyperlink>
          </w:p>
          <w:p w:rsidR="00052598" w:rsidRPr="002E337B" w:rsidRDefault="00052598" w:rsidP="00052598">
            <w:pPr>
              <w:jc w:val="both"/>
              <w:rPr>
                <w:sz w:val="20"/>
              </w:rPr>
            </w:pPr>
          </w:p>
        </w:tc>
        <w:tc>
          <w:tcPr>
            <w:tcW w:w="243" w:type="pct"/>
          </w:tcPr>
          <w:p w:rsidR="00052598" w:rsidRPr="002E337B" w:rsidRDefault="00052598" w:rsidP="00052598">
            <w:pPr>
              <w:jc w:val="both"/>
              <w:rPr>
                <w:sz w:val="20"/>
              </w:rPr>
            </w:pPr>
          </w:p>
        </w:tc>
        <w:tc>
          <w:tcPr>
            <w:tcW w:w="2330" w:type="pct"/>
          </w:tcPr>
          <w:p w:rsidR="00052598" w:rsidRPr="002E337B" w:rsidRDefault="00052598" w:rsidP="00052598">
            <w:pPr>
              <w:jc w:val="both"/>
              <w:rPr>
                <w:sz w:val="20"/>
              </w:rPr>
            </w:pPr>
            <w:r w:rsidRPr="002E337B">
              <w:rPr>
                <w:sz w:val="20"/>
              </w:rPr>
              <w:t>Appeal dismissed</w:t>
            </w:r>
          </w:p>
          <w:p w:rsidR="00052598" w:rsidRPr="002E337B" w:rsidRDefault="00052598" w:rsidP="00052598">
            <w:pPr>
              <w:jc w:val="both"/>
              <w:rPr>
                <w:sz w:val="20"/>
              </w:rPr>
            </w:pPr>
          </w:p>
        </w:tc>
      </w:tr>
      <w:tr w:rsidR="00052598" w:rsidRPr="002E337B" w:rsidTr="00052598">
        <w:tc>
          <w:tcPr>
            <w:tcW w:w="2427" w:type="pct"/>
            <w:gridSpan w:val="2"/>
          </w:tcPr>
          <w:p w:rsidR="00052598" w:rsidRPr="002E337B" w:rsidRDefault="00052598" w:rsidP="00052598">
            <w:pPr>
              <w:jc w:val="both"/>
              <w:rPr>
                <w:sz w:val="20"/>
              </w:rPr>
            </w:pPr>
            <w:r w:rsidRPr="002E337B">
              <w:rPr>
                <w:sz w:val="20"/>
              </w:rPr>
              <w:t>February 6, 2023</w:t>
            </w:r>
          </w:p>
          <w:p w:rsidR="00052598" w:rsidRPr="002E337B" w:rsidRDefault="00052598" w:rsidP="007F6E43">
            <w:pPr>
              <w:jc w:val="both"/>
              <w:rPr>
                <w:sz w:val="20"/>
              </w:rPr>
            </w:pPr>
            <w:r w:rsidRPr="002E337B">
              <w:rPr>
                <w:sz w:val="20"/>
              </w:rPr>
              <w:t>Supreme Court of Canada</w:t>
            </w:r>
          </w:p>
        </w:tc>
        <w:tc>
          <w:tcPr>
            <w:tcW w:w="243" w:type="pct"/>
          </w:tcPr>
          <w:p w:rsidR="00052598" w:rsidRPr="002E337B" w:rsidRDefault="00052598" w:rsidP="00052598">
            <w:pPr>
              <w:jc w:val="both"/>
              <w:rPr>
                <w:sz w:val="20"/>
              </w:rPr>
            </w:pPr>
          </w:p>
        </w:tc>
        <w:tc>
          <w:tcPr>
            <w:tcW w:w="2330" w:type="pct"/>
          </w:tcPr>
          <w:p w:rsidR="00052598" w:rsidRPr="002E337B" w:rsidRDefault="00052598" w:rsidP="00052598">
            <w:pPr>
              <w:jc w:val="both"/>
              <w:rPr>
                <w:sz w:val="20"/>
              </w:rPr>
            </w:pPr>
            <w:r w:rsidRPr="002E337B">
              <w:rPr>
                <w:sz w:val="20"/>
              </w:rPr>
              <w:t>Application for leave to appeal filed</w:t>
            </w:r>
          </w:p>
          <w:p w:rsidR="00052598" w:rsidRPr="002E337B" w:rsidRDefault="00052598" w:rsidP="00052598">
            <w:pPr>
              <w:jc w:val="both"/>
              <w:rPr>
                <w:sz w:val="20"/>
              </w:rPr>
            </w:pPr>
          </w:p>
        </w:tc>
      </w:tr>
    </w:tbl>
    <w:p w:rsidR="00052598" w:rsidRPr="002E337B" w:rsidRDefault="00052598" w:rsidP="00052598">
      <w:pPr>
        <w:jc w:val="both"/>
        <w:rPr>
          <w:sz w:val="20"/>
        </w:rPr>
      </w:pPr>
    </w:p>
    <w:p w:rsidR="007F6E43" w:rsidRPr="002E337B" w:rsidRDefault="002E337B" w:rsidP="00052598">
      <w:pPr>
        <w:jc w:val="both"/>
        <w:rPr>
          <w:sz w:val="20"/>
        </w:rPr>
      </w:pPr>
      <w:r w:rsidRPr="002E337B">
        <w:rPr>
          <w:sz w:val="20"/>
        </w:rPr>
        <w:pict>
          <v:rect id="_x0000_i1041" style="width:2in;height:1pt" o:hrpct="0" o:hralign="center" o:hrstd="t" o:hrnoshade="t" o:hr="t" fillcolor="black [3213]" stroked="f"/>
        </w:pict>
      </w:r>
    </w:p>
    <w:p w:rsidR="007F6E43" w:rsidRPr="002E337B" w:rsidRDefault="007F6E43" w:rsidP="0005259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52598" w:rsidRPr="002E337B" w:rsidTr="00052598">
        <w:tc>
          <w:tcPr>
            <w:tcW w:w="543" w:type="pct"/>
          </w:tcPr>
          <w:p w:rsidR="00052598" w:rsidRPr="002E337B" w:rsidRDefault="00052598" w:rsidP="00052598">
            <w:pPr>
              <w:jc w:val="both"/>
              <w:rPr>
                <w:sz w:val="20"/>
              </w:rPr>
            </w:pPr>
            <w:r w:rsidRPr="002E337B">
              <w:rPr>
                <w:rStyle w:val="SCCFileNumberChar"/>
                <w:sz w:val="20"/>
                <w:szCs w:val="20"/>
              </w:rPr>
              <w:t>40613</w:t>
            </w:r>
          </w:p>
        </w:tc>
        <w:tc>
          <w:tcPr>
            <w:tcW w:w="4457" w:type="pct"/>
            <w:gridSpan w:val="3"/>
          </w:tcPr>
          <w:p w:rsidR="00052598" w:rsidRPr="002E337B" w:rsidRDefault="00052598" w:rsidP="00052598">
            <w:pPr>
              <w:pStyle w:val="SCCLsocParty"/>
              <w:jc w:val="both"/>
              <w:rPr>
                <w:b/>
                <w:sz w:val="20"/>
                <w:szCs w:val="20"/>
              </w:rPr>
            </w:pPr>
            <w:r w:rsidRPr="002E337B">
              <w:rPr>
                <w:b/>
                <w:sz w:val="20"/>
                <w:szCs w:val="20"/>
              </w:rPr>
              <w:t>Haben Abrham Weldekidan c. Sa Majesté le Roi</w:t>
            </w:r>
          </w:p>
          <w:p w:rsidR="00052598" w:rsidRPr="002E337B" w:rsidRDefault="00052598" w:rsidP="00052598">
            <w:pPr>
              <w:jc w:val="both"/>
              <w:rPr>
                <w:sz w:val="20"/>
              </w:rPr>
            </w:pPr>
            <w:r w:rsidRPr="002E337B">
              <w:rPr>
                <w:sz w:val="20"/>
              </w:rPr>
              <w:t>(Man.) (Criminelle) (Sur autorisation)</w:t>
            </w:r>
          </w:p>
        </w:tc>
      </w:tr>
      <w:tr w:rsidR="00052598" w:rsidRPr="002E337B" w:rsidTr="00052598">
        <w:tc>
          <w:tcPr>
            <w:tcW w:w="5000" w:type="pct"/>
            <w:gridSpan w:val="4"/>
          </w:tcPr>
          <w:p w:rsidR="00052598" w:rsidRPr="002E337B" w:rsidRDefault="00052598" w:rsidP="00052598">
            <w:pPr>
              <w:jc w:val="both"/>
              <w:rPr>
                <w:color w:val="000000"/>
                <w:sz w:val="20"/>
                <w:lang w:val="fr-CA"/>
              </w:rPr>
            </w:pPr>
            <w:r w:rsidRPr="002E337B">
              <w:rPr>
                <w:sz w:val="20"/>
                <w:lang w:val="fr-CA"/>
              </w:rPr>
              <w:t xml:space="preserve">Droit criminel — Preuve — Admissibilité — Tenue d’un </w:t>
            </w:r>
            <w:r w:rsidRPr="002E337B">
              <w:rPr>
                <w:i/>
                <w:color w:val="000000"/>
                <w:sz w:val="20"/>
                <w:lang w:val="fr-CA"/>
              </w:rPr>
              <w:t>voir dire</w:t>
            </w:r>
            <w:r w:rsidRPr="002E337B">
              <w:rPr>
                <w:color w:val="000000"/>
                <w:sz w:val="20"/>
                <w:lang w:val="fr-CA"/>
              </w:rPr>
              <w:t xml:space="preserve"> quant à l’admissibilité de déclarations des victimes enregistrées sur bande vidéo — Seuil de fiabilité des déclarations des victimes établi — Fiabilité en dernière analyse de toutes les déclarations confirmée par la juge du procès — Déclarations des victimes enregistrées sur bande vidéo admises en preuve par le juge du procès — Évaluation de la fiabilité en dernière analyse — Principes et considérations régissant l’évaluation de la fiabilité en dernière analyse et le fardeau de la preuve.</w:t>
            </w:r>
          </w:p>
          <w:p w:rsidR="00052598" w:rsidRPr="002E337B" w:rsidRDefault="00052598" w:rsidP="00052598">
            <w:pPr>
              <w:jc w:val="both"/>
              <w:rPr>
                <w:sz w:val="20"/>
                <w:lang w:val="fr-CA"/>
              </w:rPr>
            </w:pPr>
          </w:p>
        </w:tc>
      </w:tr>
      <w:tr w:rsidR="00052598" w:rsidRPr="002E337B" w:rsidTr="00052598">
        <w:tc>
          <w:tcPr>
            <w:tcW w:w="5000" w:type="pct"/>
            <w:gridSpan w:val="4"/>
          </w:tcPr>
          <w:p w:rsidR="00052598" w:rsidRPr="002E337B" w:rsidRDefault="00052598" w:rsidP="00052598">
            <w:pPr>
              <w:jc w:val="both"/>
              <w:rPr>
                <w:sz w:val="20"/>
                <w:lang w:val="fr-CA"/>
              </w:rPr>
            </w:pPr>
            <w:r w:rsidRPr="002E337B">
              <w:rPr>
                <w:sz w:val="20"/>
                <w:lang w:val="fr-CA"/>
              </w:rPr>
              <w:t xml:space="preserve">De nombreux coups de feu ont été tirés durant une fête dans une maison de Winnipeg. Le tribunal a tenu un </w:t>
            </w:r>
            <w:r w:rsidRPr="002E337B">
              <w:rPr>
                <w:i/>
                <w:sz w:val="20"/>
                <w:lang w:val="fr-CA"/>
              </w:rPr>
              <w:t xml:space="preserve">voir dire </w:t>
            </w:r>
            <w:r w:rsidRPr="002E337B">
              <w:rPr>
                <w:sz w:val="20"/>
                <w:lang w:val="fr-CA"/>
              </w:rPr>
              <w:t>sur l’admissibilité des déclarations des victimes enregistrées sur bande vidéo. Le seuil de fiabilité requis a été établi. La fiabilité en dernière analyse des déclarations sur bandes vidéo a été confirmée par la juge du procès qui les a admises en preuve. Le demandeur a été déclaré coupable de quatre chefs de tentative de meurtre ainsi que de nombreuses infractions liées aux armes à feu. La Cour d’appel a conclu que la juge du procès avait évalué la fiabilité en dernière analyse de chaque déclaration comme il se doit, et elle a rejeté l’appel.</w:t>
            </w:r>
          </w:p>
          <w:p w:rsidR="00052598" w:rsidRPr="002E337B" w:rsidRDefault="00052598" w:rsidP="00052598">
            <w:pPr>
              <w:jc w:val="both"/>
              <w:rPr>
                <w:sz w:val="20"/>
                <w:lang w:val="fr-CA"/>
              </w:rPr>
            </w:pPr>
          </w:p>
        </w:tc>
      </w:tr>
      <w:tr w:rsidR="00052598" w:rsidRPr="002E337B" w:rsidTr="00052598">
        <w:tc>
          <w:tcPr>
            <w:tcW w:w="2427" w:type="pct"/>
            <w:gridSpan w:val="2"/>
          </w:tcPr>
          <w:p w:rsidR="00052598" w:rsidRPr="002E337B" w:rsidRDefault="00052598" w:rsidP="00052598">
            <w:pPr>
              <w:jc w:val="both"/>
              <w:rPr>
                <w:sz w:val="20"/>
                <w:lang w:val="fr-CA"/>
              </w:rPr>
            </w:pPr>
            <w:r w:rsidRPr="002E337B">
              <w:rPr>
                <w:sz w:val="20"/>
                <w:lang w:val="fr-CA"/>
              </w:rPr>
              <w:t>22 juin 2021</w:t>
            </w:r>
          </w:p>
          <w:p w:rsidR="00052598" w:rsidRPr="002E337B" w:rsidRDefault="00052598" w:rsidP="00052598">
            <w:pPr>
              <w:jc w:val="both"/>
              <w:rPr>
                <w:sz w:val="20"/>
                <w:lang w:val="fr-CA"/>
              </w:rPr>
            </w:pPr>
            <w:r w:rsidRPr="002E337B">
              <w:rPr>
                <w:sz w:val="20"/>
                <w:lang w:val="fr-CA"/>
              </w:rPr>
              <w:t xml:space="preserve">Cour du banc de la Reine du Manitoba </w:t>
            </w:r>
          </w:p>
          <w:p w:rsidR="00052598" w:rsidRPr="002E337B" w:rsidRDefault="00052598" w:rsidP="00052598">
            <w:pPr>
              <w:jc w:val="both"/>
              <w:rPr>
                <w:sz w:val="20"/>
              </w:rPr>
            </w:pPr>
            <w:r w:rsidRPr="002E337B">
              <w:rPr>
                <w:sz w:val="20"/>
              </w:rPr>
              <w:t>(juge McKelvey)</w:t>
            </w:r>
          </w:p>
          <w:p w:rsidR="00052598" w:rsidRPr="002E337B" w:rsidRDefault="002E337B" w:rsidP="00052598">
            <w:pPr>
              <w:jc w:val="both"/>
              <w:rPr>
                <w:sz w:val="20"/>
              </w:rPr>
            </w:pPr>
            <w:hyperlink r:id="rId41" w:history="1">
              <w:r w:rsidR="00052598" w:rsidRPr="002E337B">
                <w:rPr>
                  <w:rStyle w:val="Hyperlink"/>
                  <w:sz w:val="20"/>
                </w:rPr>
                <w:t>2021 MBQB 164</w:t>
              </w:r>
            </w:hyperlink>
          </w:p>
          <w:p w:rsidR="00052598" w:rsidRPr="002E337B" w:rsidRDefault="00052598" w:rsidP="00052598">
            <w:pPr>
              <w:jc w:val="both"/>
              <w:rPr>
                <w:sz w:val="20"/>
              </w:rPr>
            </w:pPr>
          </w:p>
        </w:tc>
        <w:tc>
          <w:tcPr>
            <w:tcW w:w="243" w:type="pct"/>
          </w:tcPr>
          <w:p w:rsidR="00052598" w:rsidRPr="002E337B" w:rsidRDefault="00052598" w:rsidP="00052598">
            <w:pPr>
              <w:jc w:val="both"/>
              <w:rPr>
                <w:sz w:val="20"/>
              </w:rPr>
            </w:pPr>
          </w:p>
        </w:tc>
        <w:tc>
          <w:tcPr>
            <w:tcW w:w="2330" w:type="pct"/>
          </w:tcPr>
          <w:p w:rsidR="00052598" w:rsidRPr="002E337B" w:rsidRDefault="00052598" w:rsidP="00052598">
            <w:pPr>
              <w:jc w:val="both"/>
              <w:rPr>
                <w:sz w:val="20"/>
                <w:lang w:val="fr-CA"/>
              </w:rPr>
            </w:pPr>
            <w:r w:rsidRPr="002E337B">
              <w:rPr>
                <w:sz w:val="20"/>
                <w:lang w:val="fr-CA"/>
              </w:rPr>
              <w:t>Déclarations de culpabilité inscrites : quatre chefs de tentatives de meurtre et un grand nombre d’infractions liées aux armes à feu</w:t>
            </w:r>
          </w:p>
          <w:p w:rsidR="00052598" w:rsidRPr="002E337B" w:rsidRDefault="00052598" w:rsidP="00052598">
            <w:pPr>
              <w:jc w:val="both"/>
              <w:rPr>
                <w:sz w:val="20"/>
                <w:lang w:val="fr-CA"/>
              </w:rPr>
            </w:pPr>
          </w:p>
          <w:p w:rsidR="00052598" w:rsidRPr="002E337B" w:rsidRDefault="00052598" w:rsidP="00052598">
            <w:pPr>
              <w:jc w:val="both"/>
              <w:rPr>
                <w:sz w:val="20"/>
                <w:lang w:val="fr-CA"/>
              </w:rPr>
            </w:pPr>
          </w:p>
        </w:tc>
      </w:tr>
      <w:tr w:rsidR="00052598" w:rsidRPr="002E337B" w:rsidTr="00052598">
        <w:tc>
          <w:tcPr>
            <w:tcW w:w="2427" w:type="pct"/>
            <w:gridSpan w:val="2"/>
          </w:tcPr>
          <w:p w:rsidR="00052598" w:rsidRPr="002E337B" w:rsidRDefault="00052598" w:rsidP="00052598">
            <w:pPr>
              <w:jc w:val="both"/>
              <w:rPr>
                <w:sz w:val="20"/>
                <w:lang w:val="fr-CA"/>
              </w:rPr>
            </w:pPr>
            <w:r w:rsidRPr="002E337B">
              <w:rPr>
                <w:sz w:val="20"/>
                <w:lang w:val="fr-CA"/>
              </w:rPr>
              <w:t>12 décembre 2022</w:t>
            </w:r>
          </w:p>
          <w:p w:rsidR="00052598" w:rsidRPr="002E337B" w:rsidRDefault="00052598" w:rsidP="00052598">
            <w:pPr>
              <w:jc w:val="both"/>
              <w:rPr>
                <w:sz w:val="20"/>
                <w:lang w:val="fr-CA"/>
              </w:rPr>
            </w:pPr>
            <w:r w:rsidRPr="002E337B">
              <w:rPr>
                <w:sz w:val="20"/>
                <w:lang w:val="fr-CA"/>
              </w:rPr>
              <w:t>Cour d’appel du Manitoba</w:t>
            </w:r>
          </w:p>
          <w:p w:rsidR="00052598" w:rsidRPr="002E337B" w:rsidRDefault="00052598" w:rsidP="00052598">
            <w:pPr>
              <w:jc w:val="both"/>
              <w:rPr>
                <w:sz w:val="20"/>
                <w:lang w:val="fr-CA"/>
              </w:rPr>
            </w:pPr>
            <w:r w:rsidRPr="002E337B">
              <w:rPr>
                <w:sz w:val="20"/>
                <w:lang w:val="fr-CA"/>
              </w:rPr>
              <w:t>(Juges Steel, Cameron et leMaistre)</w:t>
            </w:r>
          </w:p>
          <w:p w:rsidR="00052598" w:rsidRPr="002E337B" w:rsidRDefault="00052598" w:rsidP="00052598">
            <w:pPr>
              <w:jc w:val="both"/>
              <w:rPr>
                <w:sz w:val="20"/>
              </w:rPr>
            </w:pPr>
            <w:r w:rsidRPr="002E337B">
              <w:rPr>
                <w:color w:val="000000"/>
                <w:sz w:val="20"/>
              </w:rPr>
              <w:t>AR21-30-09707</w:t>
            </w:r>
            <w:r w:rsidRPr="002E337B">
              <w:rPr>
                <w:sz w:val="20"/>
              </w:rPr>
              <w:t xml:space="preserve">; </w:t>
            </w:r>
            <w:hyperlink r:id="rId42" w:history="1">
              <w:r w:rsidRPr="002E337B">
                <w:rPr>
                  <w:rStyle w:val="Hyperlink"/>
                  <w:sz w:val="20"/>
                </w:rPr>
                <w:t>2022 MBCA 102</w:t>
              </w:r>
            </w:hyperlink>
          </w:p>
          <w:p w:rsidR="00052598" w:rsidRPr="002E337B" w:rsidRDefault="00052598" w:rsidP="00052598">
            <w:pPr>
              <w:jc w:val="both"/>
              <w:rPr>
                <w:sz w:val="20"/>
              </w:rPr>
            </w:pPr>
          </w:p>
        </w:tc>
        <w:tc>
          <w:tcPr>
            <w:tcW w:w="243" w:type="pct"/>
          </w:tcPr>
          <w:p w:rsidR="00052598" w:rsidRPr="002E337B" w:rsidRDefault="00052598" w:rsidP="00052598">
            <w:pPr>
              <w:jc w:val="both"/>
              <w:rPr>
                <w:sz w:val="20"/>
              </w:rPr>
            </w:pPr>
          </w:p>
        </w:tc>
        <w:tc>
          <w:tcPr>
            <w:tcW w:w="2330" w:type="pct"/>
          </w:tcPr>
          <w:p w:rsidR="00052598" w:rsidRPr="002E337B" w:rsidRDefault="00052598" w:rsidP="00052598">
            <w:pPr>
              <w:jc w:val="both"/>
              <w:rPr>
                <w:sz w:val="20"/>
              </w:rPr>
            </w:pPr>
            <w:r w:rsidRPr="002E337B">
              <w:rPr>
                <w:sz w:val="20"/>
              </w:rPr>
              <w:t>Appel rejeté</w:t>
            </w:r>
          </w:p>
          <w:p w:rsidR="00052598" w:rsidRPr="002E337B" w:rsidRDefault="00052598" w:rsidP="00052598">
            <w:pPr>
              <w:jc w:val="both"/>
              <w:rPr>
                <w:sz w:val="20"/>
              </w:rPr>
            </w:pPr>
          </w:p>
        </w:tc>
      </w:tr>
      <w:tr w:rsidR="00052598" w:rsidRPr="002E337B" w:rsidTr="00052598">
        <w:tc>
          <w:tcPr>
            <w:tcW w:w="2427" w:type="pct"/>
            <w:gridSpan w:val="2"/>
          </w:tcPr>
          <w:p w:rsidR="00052598" w:rsidRPr="002E337B" w:rsidRDefault="00052598" w:rsidP="00052598">
            <w:pPr>
              <w:jc w:val="both"/>
              <w:rPr>
                <w:sz w:val="20"/>
                <w:lang w:val="fr-CA"/>
              </w:rPr>
            </w:pPr>
            <w:r w:rsidRPr="002E337B">
              <w:rPr>
                <w:sz w:val="20"/>
                <w:lang w:val="fr-CA"/>
              </w:rPr>
              <w:t>6 février 2023</w:t>
            </w:r>
          </w:p>
          <w:p w:rsidR="00052598" w:rsidRPr="002E337B" w:rsidRDefault="00052598" w:rsidP="007F6E43">
            <w:pPr>
              <w:jc w:val="both"/>
              <w:rPr>
                <w:sz w:val="20"/>
                <w:lang w:val="fr-CA"/>
              </w:rPr>
            </w:pPr>
            <w:r w:rsidRPr="002E337B">
              <w:rPr>
                <w:sz w:val="20"/>
                <w:lang w:val="fr-CA"/>
              </w:rPr>
              <w:t>Cour suprême du Canada</w:t>
            </w:r>
          </w:p>
        </w:tc>
        <w:tc>
          <w:tcPr>
            <w:tcW w:w="243" w:type="pct"/>
          </w:tcPr>
          <w:p w:rsidR="00052598" w:rsidRPr="002E337B" w:rsidRDefault="00052598" w:rsidP="00052598">
            <w:pPr>
              <w:jc w:val="both"/>
              <w:rPr>
                <w:sz w:val="20"/>
                <w:lang w:val="fr-CA"/>
              </w:rPr>
            </w:pPr>
          </w:p>
        </w:tc>
        <w:tc>
          <w:tcPr>
            <w:tcW w:w="2330" w:type="pct"/>
          </w:tcPr>
          <w:p w:rsidR="00052598" w:rsidRPr="002E337B" w:rsidRDefault="00052598" w:rsidP="00052598">
            <w:pPr>
              <w:jc w:val="both"/>
              <w:rPr>
                <w:sz w:val="20"/>
              </w:rPr>
            </w:pPr>
            <w:r w:rsidRPr="002E337B">
              <w:rPr>
                <w:sz w:val="20"/>
              </w:rPr>
              <w:t xml:space="preserve">Demande d’autorisation d’appel déposée </w:t>
            </w:r>
          </w:p>
          <w:p w:rsidR="00052598" w:rsidRPr="002E337B" w:rsidRDefault="00052598" w:rsidP="00052598">
            <w:pPr>
              <w:jc w:val="both"/>
              <w:rPr>
                <w:sz w:val="20"/>
              </w:rPr>
            </w:pPr>
          </w:p>
        </w:tc>
      </w:tr>
    </w:tbl>
    <w:p w:rsidR="00052598" w:rsidRPr="002E337B" w:rsidRDefault="00052598" w:rsidP="00115551">
      <w:pPr>
        <w:jc w:val="both"/>
        <w:rPr>
          <w:sz w:val="20"/>
        </w:rPr>
      </w:pPr>
    </w:p>
    <w:p w:rsidR="005D6A19" w:rsidRPr="002E337B" w:rsidRDefault="002E337B" w:rsidP="00115551">
      <w:pPr>
        <w:widowControl w:val="0"/>
        <w:jc w:val="both"/>
        <w:rPr>
          <w:sz w:val="20"/>
          <w:lang w:val="fr-CA"/>
        </w:rPr>
      </w:pPr>
      <w:r w:rsidRPr="002E337B">
        <w:rPr>
          <w:sz w:val="20"/>
        </w:rPr>
        <w:pict>
          <v:rect id="_x0000_i1042" style="width:2in;height:1pt" o:hrpct="0" o:hralign="center" o:hrstd="t" o:hrnoshade="t" o:hr="t" fillcolor="black [3213]" stroked="f"/>
        </w:pict>
      </w:r>
    </w:p>
    <w:p w:rsidR="005D6A19" w:rsidRPr="002E337B" w:rsidRDefault="005D6A19" w:rsidP="0011555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15551" w:rsidRPr="002E337B" w:rsidTr="007F5945">
        <w:tc>
          <w:tcPr>
            <w:tcW w:w="543" w:type="pct"/>
          </w:tcPr>
          <w:p w:rsidR="00115551" w:rsidRPr="002E337B" w:rsidRDefault="00115551" w:rsidP="00115551">
            <w:pPr>
              <w:jc w:val="both"/>
              <w:rPr>
                <w:sz w:val="20"/>
                <w:lang w:val="en-CA"/>
              </w:rPr>
            </w:pPr>
            <w:r w:rsidRPr="002E337B">
              <w:rPr>
                <w:rStyle w:val="SCCFileNumberChar"/>
                <w:sz w:val="20"/>
                <w:szCs w:val="20"/>
              </w:rPr>
              <w:t>40206</w:t>
            </w:r>
          </w:p>
        </w:tc>
        <w:tc>
          <w:tcPr>
            <w:tcW w:w="4457" w:type="pct"/>
            <w:gridSpan w:val="3"/>
          </w:tcPr>
          <w:p w:rsidR="00115551" w:rsidRPr="002E337B" w:rsidRDefault="00115551" w:rsidP="00115551">
            <w:pPr>
              <w:pStyle w:val="SCCLsocParty"/>
              <w:jc w:val="both"/>
              <w:rPr>
                <w:b/>
                <w:sz w:val="20"/>
                <w:szCs w:val="20"/>
                <w:lang w:val="en-CA"/>
              </w:rPr>
            </w:pPr>
            <w:r w:rsidRPr="002E337B">
              <w:rPr>
                <w:b/>
                <w:sz w:val="20"/>
                <w:szCs w:val="20"/>
                <w:lang w:val="en-CA"/>
              </w:rPr>
              <w:t>9424-9356 Québec inc., 9424-9398 Québec inc., Commandité FormerCS Inc. / FormerCS GP inc., formerly Cirque du Soleil GP inc., FormerCS U.S. Holdings, Inc., formerly CDS U.S. Holdings, Inc., FormerCS U.S. Holding USA, Inc., formerly CDS U.S. Intermediate Holdings, Inc., FormerCS Holding USA, Inc., formerly Cirque du Soleil Holding USA Inc., FormerCS (US), Inc., formerly Cirque du Soleil (US), Inc., FormerCS America, Inc., formerly Cirque du Soleil America, Inc., VStar Entertainment Group, FormerCS Dreams Holdings LLC, formerly Cirque Dreams Holdings LLC, VStar Merchandising, LLC, VStar International, LLC, VStar Theatrical, LLC, VStar Touring, LLC, FormerSCS Orlando, L.L.C., formerly Cirque du Soleil Orlando, LLC, FormerCS Nevada, Inc., formerly Cirque du Soleil Nevada, Inc., FormerCS My Call, L.L.C., formerly Cirque du Soleil My Call, LLC, Velsi, LLC, Blue Man Inc., Blue Man Group Holdings, LLC, Blue Man Group Records, LLC, Astor Show Productions, LLC, Blue Man Group Publishing, LLC, Blue Man Vegas, LLC, Blue Man Orlando, LLC, Blue Man Productions, LLC, Blue Man Chicago, LLC, Blue Man International, LLC, FormerCS Radio CT Holding, L.L.C., formerly Cirque du Soleil Radio CT Holding, LLC, The Works Entertainment, LLC, FormerCS Theatrical, L.L.C., formerly Cirque Theatrical, LLC, FormerCS on Broadway, L.L.C., formerly Cirque on Broadway, LLC, and Joie de Vie, LLC v. Quebecor inc., Quebecor Media inc., MediaQMI inc. and Michel Girard</w:t>
            </w:r>
          </w:p>
          <w:p w:rsidR="00115551" w:rsidRPr="002E337B" w:rsidRDefault="00115551" w:rsidP="00115551">
            <w:pPr>
              <w:pStyle w:val="SCCLsocOtherPartySeparator"/>
              <w:rPr>
                <w:sz w:val="20"/>
                <w:szCs w:val="20"/>
                <w:lang w:val="en-CA"/>
              </w:rPr>
            </w:pPr>
            <w:r w:rsidRPr="002E337B">
              <w:rPr>
                <w:sz w:val="20"/>
                <w:szCs w:val="20"/>
                <w:lang w:val="en-CA"/>
              </w:rPr>
              <w:t>- and -</w:t>
            </w:r>
          </w:p>
          <w:p w:rsidR="00115551" w:rsidRPr="002E337B" w:rsidRDefault="00115551" w:rsidP="00115551">
            <w:pPr>
              <w:pStyle w:val="SCCLsocParty"/>
              <w:jc w:val="both"/>
              <w:rPr>
                <w:b/>
                <w:sz w:val="20"/>
                <w:szCs w:val="20"/>
                <w:lang w:val="en-CA"/>
              </w:rPr>
            </w:pPr>
            <w:r w:rsidRPr="002E337B">
              <w:rPr>
                <w:b/>
                <w:sz w:val="20"/>
                <w:szCs w:val="20"/>
                <w:lang w:val="en-CA"/>
              </w:rPr>
              <w:t>Ernst &amp; Young Inc.</w:t>
            </w:r>
          </w:p>
          <w:p w:rsidR="00115551" w:rsidRPr="002E337B" w:rsidRDefault="00115551" w:rsidP="00115551">
            <w:pPr>
              <w:jc w:val="both"/>
              <w:rPr>
                <w:sz w:val="20"/>
                <w:lang w:val="en-CA"/>
              </w:rPr>
            </w:pPr>
            <w:r w:rsidRPr="002E337B">
              <w:rPr>
                <w:sz w:val="20"/>
                <w:lang w:val="en-CA"/>
              </w:rPr>
              <w:t>(Que.) (Civil) (By Leave)</w:t>
            </w:r>
          </w:p>
        </w:tc>
      </w:tr>
      <w:tr w:rsidR="00115551" w:rsidRPr="002E337B" w:rsidTr="007F5945">
        <w:tc>
          <w:tcPr>
            <w:tcW w:w="5000" w:type="pct"/>
            <w:gridSpan w:val="4"/>
          </w:tcPr>
          <w:p w:rsidR="00115551" w:rsidRPr="002E337B" w:rsidRDefault="00115551" w:rsidP="00115551">
            <w:pPr>
              <w:jc w:val="both"/>
              <w:rPr>
                <w:sz w:val="20"/>
                <w:lang w:val="en-CA"/>
              </w:rPr>
            </w:pPr>
            <w:r w:rsidRPr="002E337B">
              <w:rPr>
                <w:iCs/>
                <w:color w:val="000000"/>
                <w:sz w:val="20"/>
                <w:lang w:val="en-CA"/>
              </w:rPr>
              <w:t xml:space="preserve">Bankruptcy and insolvency — </w:t>
            </w:r>
            <w:r w:rsidRPr="002E337B">
              <w:rPr>
                <w:i/>
                <w:iCs/>
                <w:color w:val="000000"/>
                <w:sz w:val="20"/>
                <w:lang w:val="en-CA"/>
              </w:rPr>
              <w:t>Companies’ Creditors Arrangement Act</w:t>
            </w:r>
            <w:r w:rsidRPr="002E337B">
              <w:rPr>
                <w:iCs/>
                <w:color w:val="000000"/>
                <w:sz w:val="20"/>
                <w:lang w:val="en-CA"/>
              </w:rPr>
              <w:t xml:space="preserve"> (</w:t>
            </w:r>
            <w:r w:rsidRPr="002E337B">
              <w:rPr>
                <w:i/>
                <w:iCs/>
                <w:color w:val="000000"/>
                <w:sz w:val="20"/>
                <w:lang w:val="en-CA"/>
              </w:rPr>
              <w:t>CCAA</w:t>
            </w:r>
            <w:r w:rsidRPr="002E337B">
              <w:rPr>
                <w:iCs/>
                <w:color w:val="000000"/>
                <w:sz w:val="20"/>
                <w:lang w:val="en-CA"/>
              </w:rPr>
              <w:t>) — Compromise — Scope of release</w:t>
            </w:r>
            <w:r w:rsidRPr="002E337B">
              <w:rPr>
                <w:sz w:val="20"/>
                <w:lang w:val="en-CA"/>
              </w:rPr>
              <w:t xml:space="preserve"> in favour of company directors and officers — Wrongful or oppressive conduct by directors </w:t>
            </w:r>
            <w:r w:rsidRPr="002E337B">
              <w:rPr>
                <w:iCs/>
                <w:color w:val="000000"/>
                <w:sz w:val="20"/>
                <w:lang w:val="en-CA"/>
              </w:rPr>
              <w:t>— Defamation claim against directors</w:t>
            </w:r>
            <w:r w:rsidRPr="002E337B">
              <w:rPr>
                <w:color w:val="000000"/>
                <w:sz w:val="20"/>
                <w:lang w:val="en-CA"/>
              </w:rPr>
              <w:t xml:space="preserve"> — Claims against directors and officers of debtor company that may not be compromised in restructuring proceedings</w:t>
            </w:r>
            <w:r w:rsidRPr="002E337B">
              <w:rPr>
                <w:sz w:val="20"/>
                <w:lang w:val="en-CA"/>
              </w:rPr>
              <w:t xml:space="preserve"> under </w:t>
            </w:r>
            <w:r w:rsidRPr="002E337B">
              <w:rPr>
                <w:i/>
                <w:color w:val="000000"/>
                <w:sz w:val="20"/>
                <w:lang w:val="en-CA"/>
              </w:rPr>
              <w:t>CCAA</w:t>
            </w:r>
            <w:r w:rsidRPr="002E337B">
              <w:rPr>
                <w:color w:val="000000"/>
                <w:sz w:val="20"/>
                <w:lang w:val="en-CA"/>
              </w:rPr>
              <w:t xml:space="preserve"> </w:t>
            </w:r>
            <w:r w:rsidRPr="002E337B">
              <w:rPr>
                <w:sz w:val="20"/>
                <w:lang w:val="en-CA"/>
              </w:rPr>
              <w:t xml:space="preserve">pursuant to “wrongful or oppressive conduct” exception in s. 5.1(2) of </w:t>
            </w:r>
            <w:r w:rsidRPr="002E337B">
              <w:rPr>
                <w:i/>
                <w:iCs/>
                <w:color w:val="000000"/>
                <w:sz w:val="20"/>
                <w:lang w:val="en-CA"/>
              </w:rPr>
              <w:t>CCAA</w:t>
            </w:r>
            <w:r w:rsidRPr="002E337B">
              <w:rPr>
                <w:sz w:val="20"/>
                <w:lang w:val="en-CA"/>
              </w:rPr>
              <w:t xml:space="preserve"> — Party that has burden of proving that conduct of director or officer is “wrongful or oppressive” within meaning of s. 5.1(2) of </w:t>
            </w:r>
            <w:r w:rsidRPr="002E337B">
              <w:rPr>
                <w:i/>
                <w:iCs/>
                <w:color w:val="000000"/>
                <w:sz w:val="20"/>
                <w:lang w:val="en-CA"/>
              </w:rPr>
              <w:t>CCAA</w:t>
            </w:r>
            <w:r w:rsidRPr="002E337B">
              <w:rPr>
                <w:iCs/>
                <w:color w:val="000000"/>
                <w:sz w:val="20"/>
                <w:lang w:val="en-CA"/>
              </w:rPr>
              <w:t>,</w:t>
            </w:r>
            <w:r w:rsidRPr="002E337B">
              <w:rPr>
                <w:sz w:val="20"/>
                <w:lang w:val="en-CA"/>
              </w:rPr>
              <w:t xml:space="preserve"> and extent of that burden — </w:t>
            </w:r>
            <w:r w:rsidRPr="002E337B">
              <w:rPr>
                <w:i/>
                <w:iCs/>
                <w:color w:val="000000"/>
                <w:sz w:val="20"/>
                <w:lang w:val="en-CA"/>
              </w:rPr>
              <w:t>Companies’ Creditors Arrangement Act</w:t>
            </w:r>
            <w:r w:rsidRPr="002E337B">
              <w:rPr>
                <w:sz w:val="20"/>
                <w:lang w:val="en-CA"/>
              </w:rPr>
              <w:t>, R.S.C. 1985, c. C-36, s. 5.1(2) and (3).</w:t>
            </w:r>
          </w:p>
        </w:tc>
      </w:tr>
      <w:tr w:rsidR="00115551" w:rsidRPr="002E337B" w:rsidTr="007F5945">
        <w:tc>
          <w:tcPr>
            <w:tcW w:w="5000" w:type="pct"/>
            <w:gridSpan w:val="4"/>
          </w:tcPr>
          <w:p w:rsidR="00115551" w:rsidRPr="002E337B" w:rsidRDefault="00115551" w:rsidP="00115551">
            <w:pPr>
              <w:jc w:val="both"/>
              <w:rPr>
                <w:sz w:val="20"/>
                <w:lang w:val="en-CA"/>
              </w:rPr>
            </w:pPr>
          </w:p>
        </w:tc>
      </w:tr>
      <w:tr w:rsidR="00115551" w:rsidRPr="002E337B" w:rsidTr="007F5945">
        <w:tc>
          <w:tcPr>
            <w:tcW w:w="5000" w:type="pct"/>
            <w:gridSpan w:val="4"/>
          </w:tcPr>
          <w:p w:rsidR="00115551" w:rsidRPr="002E337B" w:rsidRDefault="00115551" w:rsidP="00115551">
            <w:pPr>
              <w:jc w:val="both"/>
              <w:rPr>
                <w:sz w:val="20"/>
                <w:lang w:val="en-CA"/>
              </w:rPr>
            </w:pPr>
            <w:r w:rsidRPr="002E337B">
              <w:rPr>
                <w:sz w:val="20"/>
                <w:lang w:val="en-CA"/>
              </w:rPr>
              <w:t>On May 1, 2020, in response to a column by Michel Girard published in Le Journal de Montréal on April 29, 2020, and entitled “Le Cirque du Soleil contrôlé depuis un paradis fiscal” [Cirque du Soleil controlled from tax haven], the applicants, collectively referred to as Groupe Cirque du Soleil, sent the respondents, Quebecor inc., Quebecor Media inc., MediaQMI inc. and Michel Girard, a demand letter in which they alleged, among other things, that the title and content of Mr. Girard’s column [</w:t>
            </w:r>
            <w:r w:rsidRPr="002E337B">
              <w:rPr>
                <w:smallCaps/>
                <w:sz w:val="20"/>
                <w:lang w:val="en-CA"/>
              </w:rPr>
              <w:t>translation</w:t>
            </w:r>
            <w:r w:rsidRPr="002E337B">
              <w:rPr>
                <w:rFonts w:asciiTheme="minorBidi" w:hAnsiTheme="minorBidi"/>
                <w:sz w:val="20"/>
                <w:lang w:val="en-CA"/>
              </w:rPr>
              <w:t>] “were false and without any factual basis</w:t>
            </w:r>
            <w:r w:rsidRPr="002E337B">
              <w:rPr>
                <w:sz w:val="20"/>
                <w:lang w:val="en-CA"/>
              </w:rPr>
              <w:t xml:space="preserve"> [and] intentionally biased” and that “Mr. Girard’s avowed goal was to undermine [their efforts] in [their] endeavour to obtain financial assistance or financing on commercial terms from the Canadian and Quebec governments in the context of the current crisis”. That demand letter </w:t>
            </w:r>
            <w:proofErr w:type="gramStart"/>
            <w:r w:rsidRPr="002E337B">
              <w:rPr>
                <w:sz w:val="20"/>
                <w:lang w:val="en-CA"/>
              </w:rPr>
              <w:t>was leaked</w:t>
            </w:r>
            <w:proofErr w:type="gramEnd"/>
            <w:r w:rsidRPr="002E337B">
              <w:rPr>
                <w:sz w:val="20"/>
                <w:lang w:val="en-CA"/>
              </w:rPr>
              <w:t xml:space="preserve"> through the newspaper La Presse before the respondents even received it. On May 6 and 9, 2020, the respondents sent the applicants two demand letters in succession in which they insisted that the applicants retract [</w:t>
            </w:r>
            <w:r w:rsidRPr="002E337B">
              <w:rPr>
                <w:smallCaps/>
                <w:sz w:val="20"/>
                <w:lang w:val="en-CA"/>
              </w:rPr>
              <w:t>translation</w:t>
            </w:r>
            <w:r w:rsidRPr="002E337B">
              <w:rPr>
                <w:rFonts w:asciiTheme="minorBidi" w:hAnsiTheme="minorBidi"/>
                <w:sz w:val="20"/>
                <w:lang w:val="en-CA"/>
              </w:rPr>
              <w:t>]</w:t>
            </w:r>
            <w:r w:rsidRPr="002E337B">
              <w:rPr>
                <w:sz w:val="20"/>
                <w:lang w:val="en-CA"/>
              </w:rPr>
              <w:t xml:space="preserve"> “fully and publicly the false and deceptive statements in [their] letter of May 1, 2020”. </w:t>
            </w:r>
            <w:proofErr w:type="gramStart"/>
            <w:r w:rsidRPr="002E337B">
              <w:rPr>
                <w:sz w:val="20"/>
                <w:lang w:val="en-CA"/>
              </w:rPr>
              <w:t>On May 25, 2020, the respondents sent a formal demand letter to a number of individuals, including Daniel Lamarre, David Trujillo, Stéphane Lefebvre and Mitchell Garber in their [</w:t>
            </w:r>
            <w:r w:rsidRPr="002E337B">
              <w:rPr>
                <w:smallCaps/>
                <w:sz w:val="20"/>
                <w:lang w:val="en-CA"/>
              </w:rPr>
              <w:t>translation</w:t>
            </w:r>
            <w:r w:rsidRPr="002E337B">
              <w:rPr>
                <w:rFonts w:asciiTheme="minorBidi" w:hAnsiTheme="minorBidi"/>
                <w:sz w:val="20"/>
                <w:lang w:val="en-CA"/>
              </w:rPr>
              <w:t xml:space="preserve">] “capacity as officer and/or director (or shareholder assuming the powers of the board of directors </w:t>
            </w:r>
            <w:r w:rsidRPr="002E337B">
              <w:rPr>
                <w:sz w:val="20"/>
                <w:lang w:val="en-CA"/>
              </w:rPr>
              <w:t>under a unanimous shareholders’ agreement) of Cirque du Soleil Holdings L.P. and/or its affiliated companies”.</w:t>
            </w:r>
            <w:proofErr w:type="gramEnd"/>
            <w:r w:rsidRPr="002E337B">
              <w:rPr>
                <w:sz w:val="20"/>
                <w:lang w:val="en-CA"/>
              </w:rPr>
              <w:t xml:space="preserve"> In that letter, the respondents continued to demand the retraction of the statements made in order to avoid involving the courts in the matter through an action in defamation. On May 27, 2020, the applicants and the individuals referred to in the letter of May 25 indicated for their first time, through their counsel, that they refused to retract the statements. On June 29, 2020, the respondents filed a court action in defamation against the individuals referred to in the letter of May 25, 2020. On June 30, 2020, that defamation claim </w:t>
            </w:r>
            <w:proofErr w:type="gramStart"/>
            <w:r w:rsidRPr="002E337B">
              <w:rPr>
                <w:sz w:val="20"/>
                <w:lang w:val="en-CA"/>
              </w:rPr>
              <w:t>was stayed</w:t>
            </w:r>
            <w:proofErr w:type="gramEnd"/>
            <w:r w:rsidRPr="002E337B">
              <w:rPr>
                <w:sz w:val="20"/>
                <w:lang w:val="en-CA"/>
              </w:rPr>
              <w:t xml:space="preserve"> by an initial order made by the court under the </w:t>
            </w:r>
            <w:r w:rsidRPr="002E337B">
              <w:rPr>
                <w:i/>
                <w:iCs/>
                <w:color w:val="000000"/>
                <w:sz w:val="20"/>
                <w:lang w:val="en-CA"/>
              </w:rPr>
              <w:t>CCAA</w:t>
            </w:r>
            <w:r w:rsidRPr="002E337B">
              <w:rPr>
                <w:sz w:val="20"/>
                <w:lang w:val="en-CA"/>
              </w:rPr>
              <w:t xml:space="preserve">. The intervener, Ernst &amp; Young Inc., </w:t>
            </w:r>
            <w:proofErr w:type="gramStart"/>
            <w:r w:rsidRPr="002E337B">
              <w:rPr>
                <w:sz w:val="20"/>
                <w:lang w:val="en-CA"/>
              </w:rPr>
              <w:t>was then appointed</w:t>
            </w:r>
            <w:proofErr w:type="gramEnd"/>
            <w:r w:rsidRPr="002E337B">
              <w:rPr>
                <w:sz w:val="20"/>
                <w:lang w:val="en-CA"/>
              </w:rPr>
              <w:t xml:space="preserve"> monitor. On October 26, 2020, the court made an approval and vesting order under the </w:t>
            </w:r>
            <w:r w:rsidRPr="002E337B">
              <w:rPr>
                <w:i/>
                <w:sz w:val="20"/>
                <w:lang w:val="en-CA"/>
              </w:rPr>
              <w:t>CCAA</w:t>
            </w:r>
            <w:r w:rsidRPr="002E337B">
              <w:rPr>
                <w:sz w:val="20"/>
                <w:lang w:val="en-CA"/>
              </w:rPr>
              <w:t xml:space="preserve">, continued the stay of the action in defamation and released the applicants’ directors and officers from any existing or future claim based on any act or omission relating to the conduct of the applicants’ business or affairs, except the defamation claim. In early December 2021, the respondents filed a motion for a determination of the scope of the release in favour of former directors and, accordingly, for the lifting of the stay of proceedings under ss. 13 and 14 of the </w:t>
            </w:r>
            <w:r w:rsidRPr="002E337B">
              <w:rPr>
                <w:i/>
                <w:iCs/>
                <w:color w:val="000000"/>
                <w:sz w:val="20"/>
                <w:lang w:val="en-CA"/>
              </w:rPr>
              <w:t>CCAA</w:t>
            </w:r>
            <w:r w:rsidRPr="002E337B">
              <w:rPr>
                <w:sz w:val="20"/>
                <w:lang w:val="en-CA"/>
              </w:rPr>
              <w:t>. The Superior Court granted the motion, thereby allowing the defamation claim to continue. The Court of Appeal dismissed the application for leave to appeal from the Superior Court’s decision.</w:t>
            </w:r>
          </w:p>
          <w:p w:rsidR="00115551" w:rsidRPr="002E337B" w:rsidRDefault="00115551" w:rsidP="00115551">
            <w:pPr>
              <w:jc w:val="both"/>
              <w:rPr>
                <w:sz w:val="20"/>
                <w:lang w:val="en-CA"/>
              </w:rPr>
            </w:pPr>
          </w:p>
        </w:tc>
      </w:tr>
      <w:tr w:rsidR="00115551" w:rsidRPr="002E337B" w:rsidTr="007F5945">
        <w:tc>
          <w:tcPr>
            <w:tcW w:w="2427" w:type="pct"/>
            <w:gridSpan w:val="2"/>
          </w:tcPr>
          <w:p w:rsidR="00115551" w:rsidRPr="002E337B" w:rsidRDefault="00115551" w:rsidP="00115551">
            <w:pPr>
              <w:jc w:val="both"/>
              <w:rPr>
                <w:sz w:val="20"/>
                <w:lang w:val="en-CA"/>
              </w:rPr>
            </w:pPr>
            <w:r w:rsidRPr="002E337B">
              <w:rPr>
                <w:sz w:val="20"/>
                <w:lang w:val="en-CA"/>
              </w:rPr>
              <w:t>December 23, 2021</w:t>
            </w:r>
          </w:p>
          <w:p w:rsidR="00115551" w:rsidRPr="002E337B" w:rsidRDefault="00115551" w:rsidP="00115551">
            <w:pPr>
              <w:jc w:val="both"/>
              <w:rPr>
                <w:sz w:val="20"/>
                <w:lang w:val="en-CA"/>
              </w:rPr>
            </w:pPr>
            <w:r w:rsidRPr="002E337B">
              <w:rPr>
                <w:sz w:val="20"/>
                <w:lang w:val="en-CA"/>
              </w:rPr>
              <w:t>Quebec Superior Court</w:t>
            </w:r>
          </w:p>
          <w:p w:rsidR="00115551" w:rsidRPr="002E337B" w:rsidRDefault="00115551" w:rsidP="00115551">
            <w:pPr>
              <w:jc w:val="both"/>
              <w:rPr>
                <w:sz w:val="20"/>
                <w:lang w:val="en-CA"/>
              </w:rPr>
            </w:pPr>
            <w:r w:rsidRPr="002E337B">
              <w:rPr>
                <w:sz w:val="20"/>
                <w:lang w:val="en-CA"/>
              </w:rPr>
              <w:t>(Gouin J.)</w:t>
            </w:r>
          </w:p>
          <w:p w:rsidR="00115551" w:rsidRPr="002E337B" w:rsidRDefault="002E337B" w:rsidP="00115551">
            <w:pPr>
              <w:jc w:val="both"/>
              <w:rPr>
                <w:sz w:val="20"/>
                <w:lang w:val="en-CA"/>
              </w:rPr>
            </w:pPr>
            <w:hyperlink r:id="rId43" w:history="1">
              <w:r w:rsidR="00115551" w:rsidRPr="002E337B">
                <w:rPr>
                  <w:rStyle w:val="Hyperlink"/>
                  <w:sz w:val="20"/>
                  <w:lang w:val="en-CA"/>
                </w:rPr>
                <w:t>2021 QCCS 5319</w:t>
              </w:r>
            </w:hyperlink>
          </w:p>
          <w:p w:rsidR="00115551" w:rsidRPr="002E337B" w:rsidRDefault="00115551" w:rsidP="00115551">
            <w:pPr>
              <w:jc w:val="both"/>
              <w:rPr>
                <w:sz w:val="20"/>
                <w:lang w:val="en-CA"/>
              </w:rPr>
            </w:pPr>
          </w:p>
        </w:tc>
        <w:tc>
          <w:tcPr>
            <w:tcW w:w="243" w:type="pct"/>
          </w:tcPr>
          <w:p w:rsidR="00115551" w:rsidRPr="002E337B" w:rsidRDefault="00115551" w:rsidP="00115551">
            <w:pPr>
              <w:jc w:val="both"/>
              <w:rPr>
                <w:sz w:val="20"/>
                <w:lang w:val="en-CA"/>
              </w:rPr>
            </w:pPr>
          </w:p>
        </w:tc>
        <w:tc>
          <w:tcPr>
            <w:tcW w:w="2330" w:type="pct"/>
          </w:tcPr>
          <w:p w:rsidR="00115551" w:rsidRPr="002E337B" w:rsidRDefault="00115551" w:rsidP="00115551">
            <w:pPr>
              <w:jc w:val="both"/>
              <w:rPr>
                <w:sz w:val="20"/>
                <w:lang w:val="en-CA"/>
              </w:rPr>
            </w:pPr>
            <w:r w:rsidRPr="002E337B">
              <w:rPr>
                <w:sz w:val="20"/>
                <w:lang w:val="en-CA"/>
              </w:rPr>
              <w:t>Motion by Quebecor inc., Quebecor Media inc., MediaQMI inc. and Michel Girard for determination of scope of release in favour of former directors and, accordingly, for lifting of stay of proceedings granted</w:t>
            </w:r>
          </w:p>
          <w:p w:rsidR="00115551" w:rsidRPr="002E337B" w:rsidRDefault="00115551" w:rsidP="00115551">
            <w:pPr>
              <w:jc w:val="both"/>
              <w:rPr>
                <w:sz w:val="20"/>
                <w:lang w:val="en-CA"/>
              </w:rPr>
            </w:pPr>
            <w:r w:rsidRPr="002E337B">
              <w:rPr>
                <w:sz w:val="20"/>
                <w:lang w:val="en-CA"/>
              </w:rPr>
              <w:t>Stay of proceedings lifted to allow continuation of defamation claim against Daniel Lamarre, David Trujillo, Stéphane Lefebvre and Mitchell Garber</w:t>
            </w:r>
          </w:p>
          <w:p w:rsidR="00115551" w:rsidRPr="002E337B" w:rsidRDefault="00115551" w:rsidP="00115551">
            <w:pPr>
              <w:jc w:val="both"/>
              <w:rPr>
                <w:sz w:val="20"/>
                <w:lang w:val="en-CA"/>
              </w:rPr>
            </w:pPr>
          </w:p>
        </w:tc>
      </w:tr>
      <w:tr w:rsidR="00115551" w:rsidRPr="002E337B" w:rsidTr="007F5945">
        <w:tc>
          <w:tcPr>
            <w:tcW w:w="2427" w:type="pct"/>
            <w:gridSpan w:val="2"/>
          </w:tcPr>
          <w:p w:rsidR="00115551" w:rsidRPr="002E337B" w:rsidRDefault="00115551" w:rsidP="00115551">
            <w:pPr>
              <w:jc w:val="both"/>
              <w:rPr>
                <w:sz w:val="20"/>
                <w:lang w:val="en-CA"/>
              </w:rPr>
            </w:pPr>
            <w:r w:rsidRPr="002E337B">
              <w:rPr>
                <w:sz w:val="20"/>
                <w:lang w:val="en-CA"/>
              </w:rPr>
              <w:t>April 5, 2022</w:t>
            </w:r>
          </w:p>
          <w:p w:rsidR="00115551" w:rsidRPr="002E337B" w:rsidRDefault="00115551" w:rsidP="00115551">
            <w:pPr>
              <w:jc w:val="both"/>
              <w:rPr>
                <w:sz w:val="20"/>
                <w:lang w:val="en-CA"/>
              </w:rPr>
            </w:pPr>
            <w:r w:rsidRPr="002E337B">
              <w:rPr>
                <w:sz w:val="20"/>
                <w:lang w:val="en-CA"/>
              </w:rPr>
              <w:t>Quebec Court of Appeal (Montréal)</w:t>
            </w:r>
          </w:p>
          <w:p w:rsidR="00115551" w:rsidRPr="002E337B" w:rsidRDefault="00115551" w:rsidP="00115551">
            <w:pPr>
              <w:jc w:val="both"/>
              <w:rPr>
                <w:sz w:val="20"/>
                <w:lang w:val="en-CA"/>
              </w:rPr>
            </w:pPr>
            <w:r w:rsidRPr="002E337B">
              <w:rPr>
                <w:sz w:val="20"/>
                <w:lang w:val="en-CA"/>
              </w:rPr>
              <w:t>(Fournier J.A.)</w:t>
            </w:r>
          </w:p>
          <w:p w:rsidR="00115551" w:rsidRPr="002E337B" w:rsidRDefault="002E337B" w:rsidP="00115551">
            <w:pPr>
              <w:jc w:val="both"/>
              <w:rPr>
                <w:sz w:val="20"/>
                <w:lang w:val="en-CA"/>
              </w:rPr>
            </w:pPr>
            <w:hyperlink r:id="rId44" w:history="1">
              <w:r w:rsidR="00115551" w:rsidRPr="002E337B">
                <w:rPr>
                  <w:rStyle w:val="Hyperlink"/>
                  <w:sz w:val="20"/>
                  <w:lang w:val="en-CA"/>
                </w:rPr>
                <w:t>2022 QCCA 549</w:t>
              </w:r>
            </w:hyperlink>
          </w:p>
          <w:p w:rsidR="00115551" w:rsidRPr="002E337B" w:rsidRDefault="00115551" w:rsidP="00115551">
            <w:pPr>
              <w:jc w:val="both"/>
              <w:rPr>
                <w:sz w:val="20"/>
                <w:lang w:val="en-CA"/>
              </w:rPr>
            </w:pPr>
          </w:p>
        </w:tc>
        <w:tc>
          <w:tcPr>
            <w:tcW w:w="243" w:type="pct"/>
          </w:tcPr>
          <w:p w:rsidR="00115551" w:rsidRPr="002E337B" w:rsidRDefault="00115551" w:rsidP="00115551">
            <w:pPr>
              <w:jc w:val="both"/>
              <w:rPr>
                <w:sz w:val="20"/>
                <w:lang w:val="en-CA"/>
              </w:rPr>
            </w:pPr>
          </w:p>
        </w:tc>
        <w:tc>
          <w:tcPr>
            <w:tcW w:w="2330" w:type="pct"/>
          </w:tcPr>
          <w:p w:rsidR="00115551" w:rsidRPr="002E337B" w:rsidRDefault="00115551" w:rsidP="00115551">
            <w:pPr>
              <w:jc w:val="both"/>
              <w:rPr>
                <w:sz w:val="20"/>
                <w:lang w:val="en-CA"/>
              </w:rPr>
            </w:pPr>
            <w:r w:rsidRPr="002E337B">
              <w:rPr>
                <w:sz w:val="20"/>
                <w:lang w:val="en-CA"/>
              </w:rPr>
              <w:t xml:space="preserve">Leave to appeal refused </w:t>
            </w:r>
          </w:p>
          <w:p w:rsidR="00115551" w:rsidRPr="002E337B" w:rsidRDefault="00115551" w:rsidP="00115551">
            <w:pPr>
              <w:jc w:val="both"/>
              <w:rPr>
                <w:sz w:val="20"/>
                <w:lang w:val="en-CA"/>
              </w:rPr>
            </w:pPr>
          </w:p>
        </w:tc>
      </w:tr>
      <w:tr w:rsidR="00115551" w:rsidRPr="002E337B" w:rsidTr="007F5945">
        <w:tc>
          <w:tcPr>
            <w:tcW w:w="2427" w:type="pct"/>
            <w:gridSpan w:val="2"/>
          </w:tcPr>
          <w:p w:rsidR="00115551" w:rsidRPr="002E337B" w:rsidRDefault="00115551" w:rsidP="00115551">
            <w:pPr>
              <w:jc w:val="both"/>
              <w:rPr>
                <w:sz w:val="20"/>
                <w:lang w:val="en-CA"/>
              </w:rPr>
            </w:pPr>
            <w:r w:rsidRPr="002E337B">
              <w:rPr>
                <w:sz w:val="20"/>
                <w:lang w:val="en-CA"/>
              </w:rPr>
              <w:t>June 6, 2022</w:t>
            </w:r>
          </w:p>
          <w:p w:rsidR="00115551" w:rsidRPr="002E337B" w:rsidRDefault="00115551" w:rsidP="00115551">
            <w:pPr>
              <w:jc w:val="both"/>
              <w:rPr>
                <w:sz w:val="20"/>
                <w:lang w:val="en-CA"/>
              </w:rPr>
            </w:pPr>
            <w:r w:rsidRPr="002E337B">
              <w:rPr>
                <w:sz w:val="20"/>
                <w:lang w:val="en-CA"/>
              </w:rPr>
              <w:t>Supreme Court of Canada</w:t>
            </w:r>
          </w:p>
        </w:tc>
        <w:tc>
          <w:tcPr>
            <w:tcW w:w="243" w:type="pct"/>
          </w:tcPr>
          <w:p w:rsidR="00115551" w:rsidRPr="002E337B" w:rsidRDefault="00115551" w:rsidP="00115551">
            <w:pPr>
              <w:jc w:val="both"/>
              <w:rPr>
                <w:sz w:val="20"/>
                <w:lang w:val="en-CA"/>
              </w:rPr>
            </w:pPr>
          </w:p>
        </w:tc>
        <w:tc>
          <w:tcPr>
            <w:tcW w:w="2330" w:type="pct"/>
          </w:tcPr>
          <w:p w:rsidR="00115551" w:rsidRPr="002E337B" w:rsidRDefault="00115551" w:rsidP="00115551">
            <w:pPr>
              <w:jc w:val="both"/>
              <w:rPr>
                <w:sz w:val="20"/>
                <w:lang w:val="en-CA"/>
              </w:rPr>
            </w:pPr>
            <w:r w:rsidRPr="002E337B">
              <w:rPr>
                <w:sz w:val="20"/>
                <w:lang w:val="en-CA"/>
              </w:rPr>
              <w:t>Application for leave to appeal filed</w:t>
            </w:r>
          </w:p>
          <w:p w:rsidR="00115551" w:rsidRPr="002E337B" w:rsidRDefault="00115551" w:rsidP="00115551">
            <w:pPr>
              <w:jc w:val="both"/>
              <w:rPr>
                <w:sz w:val="20"/>
                <w:lang w:val="en-CA"/>
              </w:rPr>
            </w:pPr>
          </w:p>
        </w:tc>
      </w:tr>
    </w:tbl>
    <w:p w:rsidR="00115551" w:rsidRPr="002E337B" w:rsidRDefault="00115551" w:rsidP="00115551">
      <w:pPr>
        <w:jc w:val="both"/>
        <w:rPr>
          <w:sz w:val="20"/>
          <w:lang w:val="en-CA"/>
        </w:rPr>
      </w:pPr>
    </w:p>
    <w:p w:rsidR="00115551" w:rsidRPr="002E337B" w:rsidRDefault="002E337B" w:rsidP="00115551">
      <w:pPr>
        <w:jc w:val="both"/>
        <w:rPr>
          <w:sz w:val="20"/>
          <w:lang w:val="en-CA"/>
        </w:rPr>
      </w:pPr>
      <w:r w:rsidRPr="002E337B">
        <w:rPr>
          <w:sz w:val="20"/>
        </w:rPr>
        <w:pict>
          <v:rect id="_x0000_i1043" style="width:2in;height:1pt" o:hrpct="0" o:hralign="center" o:hrstd="t" o:hrnoshade="t" o:hr="t" fillcolor="black [3213]" stroked="f"/>
        </w:pict>
      </w:r>
    </w:p>
    <w:p w:rsidR="00115551" w:rsidRPr="002E337B" w:rsidRDefault="00115551" w:rsidP="00115551">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15551" w:rsidRPr="002E337B" w:rsidTr="007F5945">
        <w:tc>
          <w:tcPr>
            <w:tcW w:w="543" w:type="pct"/>
          </w:tcPr>
          <w:p w:rsidR="00115551" w:rsidRPr="002E337B" w:rsidRDefault="00115551" w:rsidP="00115551">
            <w:pPr>
              <w:jc w:val="both"/>
              <w:rPr>
                <w:sz w:val="20"/>
              </w:rPr>
            </w:pPr>
            <w:r w:rsidRPr="002E337B">
              <w:rPr>
                <w:rStyle w:val="SCCFileNumberChar"/>
                <w:sz w:val="20"/>
                <w:szCs w:val="20"/>
              </w:rPr>
              <w:t>40206</w:t>
            </w:r>
          </w:p>
        </w:tc>
        <w:tc>
          <w:tcPr>
            <w:tcW w:w="4457" w:type="pct"/>
            <w:gridSpan w:val="3"/>
          </w:tcPr>
          <w:p w:rsidR="00115551" w:rsidRPr="002E337B" w:rsidRDefault="00115551" w:rsidP="00115551">
            <w:pPr>
              <w:pStyle w:val="SCCLsocParty"/>
              <w:jc w:val="both"/>
              <w:rPr>
                <w:b/>
                <w:sz w:val="20"/>
                <w:szCs w:val="20"/>
                <w:lang w:val="en-US"/>
              </w:rPr>
            </w:pPr>
            <w:r w:rsidRPr="002E337B">
              <w:rPr>
                <w:b/>
                <w:sz w:val="20"/>
                <w:szCs w:val="20"/>
                <w:lang w:val="en-US"/>
              </w:rPr>
              <w:t>9424-9356 Québec inc., 9424-9398 Québec inc., Commandite FormerCS Inc. / FormerCS GP inc., anciennement Cirque du Soleil GP inc., FormerCS U.S. Holdings, Inc., anciennement CDS U.S. Holdings, Inc., FormerCS U.S. Holding USA, Inc., anciennement CDS U.S. Intermediate Holdings, Inc., FormerCS Holding USA, Inc., anciennement Cirque du Soleil Holding USA Inc., FormerCS (US), Inc., anciennement Cirque du Soleil (US), Inc., FormerCS America, Inc., anciennement Cirque du Soleil America, Inc., VStar Entertainment Group, FormerCS Dreams Holdings LLC, anciennement Cirque Dreams Holdings LLC, VStar Merchandising, LLC, VStar International, LLC, VStar Theatrical, LLC, VStar Touring, LLC, FormerSCS Orlando, L.LC., anciennement Cirque du Soleil Orlando, LLC, FormerCS Nevada, Inc., anciennement Cirque du Soleil Nevada, Inc., FormerCS My Call, L.L.C., anciennement Cirque du Soleil My Call, LLC, Velsi, LLC, Blue Man Inc., Blue Man Group Holdings, LLC, Blue Man Group Records, LLC, Astor Show Productions, LLC, Blue Man Group Publishing, LLC, Blue Man Vegas, LLC, Blue Man Orlando, LLC, Blue Man Productions, LLC, Blue Man Chicago, LLC, Blue Man International, LLC, FormerCS Radio CT Holding, L.L.C., anciennement Cirque du Soleil Radio CT Holding, LLC, The Works Entertainment, LLC, FormerCS Theatrical, L.L.C., anciennement Cirque Theatrical, LLC, FormerCS on Broadway, L.L.C. anciennement Cirque on Broadway, LLC et Joie de Vie, LLC c. Québécor inc., Québécor Média inc., MédiaQMI inc. et Michel Girard</w:t>
            </w:r>
          </w:p>
          <w:p w:rsidR="00115551" w:rsidRPr="002E337B" w:rsidRDefault="00115551" w:rsidP="00115551">
            <w:pPr>
              <w:pStyle w:val="SCCLsocOtherPartySeparator"/>
              <w:rPr>
                <w:sz w:val="20"/>
                <w:szCs w:val="20"/>
              </w:rPr>
            </w:pPr>
            <w:r w:rsidRPr="002E337B">
              <w:rPr>
                <w:sz w:val="20"/>
                <w:szCs w:val="20"/>
              </w:rPr>
              <w:t>- et -</w:t>
            </w:r>
          </w:p>
          <w:p w:rsidR="00115551" w:rsidRPr="002E337B" w:rsidRDefault="00115551" w:rsidP="00115551">
            <w:pPr>
              <w:pStyle w:val="SCCLsocParty"/>
              <w:jc w:val="both"/>
              <w:rPr>
                <w:b/>
                <w:sz w:val="20"/>
                <w:szCs w:val="20"/>
              </w:rPr>
            </w:pPr>
            <w:r w:rsidRPr="002E337B">
              <w:rPr>
                <w:b/>
                <w:sz w:val="20"/>
                <w:szCs w:val="20"/>
              </w:rPr>
              <w:t>Ernst &amp; Young Inc.</w:t>
            </w:r>
          </w:p>
          <w:p w:rsidR="00115551" w:rsidRPr="002E337B" w:rsidRDefault="00115551" w:rsidP="00115551">
            <w:pPr>
              <w:jc w:val="both"/>
              <w:rPr>
                <w:sz w:val="20"/>
              </w:rPr>
            </w:pPr>
            <w:r w:rsidRPr="002E337B">
              <w:rPr>
                <w:sz w:val="20"/>
              </w:rPr>
              <w:t>(Qc) (Civile) (Autorisation)</w:t>
            </w:r>
          </w:p>
        </w:tc>
      </w:tr>
      <w:tr w:rsidR="00115551" w:rsidRPr="002E337B" w:rsidTr="007F5945">
        <w:tc>
          <w:tcPr>
            <w:tcW w:w="5000" w:type="pct"/>
            <w:gridSpan w:val="4"/>
          </w:tcPr>
          <w:p w:rsidR="00115551" w:rsidRPr="002E337B" w:rsidRDefault="00115551" w:rsidP="00115551">
            <w:pPr>
              <w:jc w:val="both"/>
              <w:rPr>
                <w:sz w:val="20"/>
                <w:lang w:val="fr-CA"/>
              </w:rPr>
            </w:pPr>
            <w:r w:rsidRPr="002E337B">
              <w:rPr>
                <w:iCs/>
                <w:color w:val="000000"/>
                <w:sz w:val="20"/>
                <w:lang w:val="fr-CA"/>
              </w:rPr>
              <w:t xml:space="preserve">Faillite et insolvabilité — </w:t>
            </w:r>
            <w:r w:rsidRPr="002E337B">
              <w:rPr>
                <w:i/>
                <w:iCs/>
                <w:color w:val="000000"/>
                <w:sz w:val="20"/>
                <w:lang w:val="fr-CA"/>
              </w:rPr>
              <w:t xml:space="preserve">Loi sur les arrangements avec les créanciers des compagnies (LACC) </w:t>
            </w:r>
            <w:r w:rsidRPr="002E337B">
              <w:rPr>
                <w:iCs/>
                <w:color w:val="000000"/>
                <w:sz w:val="20"/>
                <w:lang w:val="fr-CA"/>
              </w:rPr>
              <w:t xml:space="preserve">—Transaction — </w:t>
            </w:r>
            <w:r w:rsidRPr="002E337B">
              <w:rPr>
                <w:sz w:val="20"/>
                <w:lang w:val="fr-CA"/>
              </w:rPr>
              <w:t>Portée de la quittance en faveur des administrateurs et des dirigeants de l’entreprise —C</w:t>
            </w:r>
            <w:r w:rsidRPr="002E337B">
              <w:rPr>
                <w:color w:val="000000"/>
                <w:sz w:val="20"/>
                <w:lang w:val="fr-CA"/>
              </w:rPr>
              <w:t xml:space="preserve">onduite injustifiée ou abusive des administrateurs </w:t>
            </w:r>
            <w:r w:rsidRPr="002E337B">
              <w:rPr>
                <w:iCs/>
                <w:color w:val="000000"/>
                <w:sz w:val="20"/>
                <w:lang w:val="fr-CA"/>
              </w:rPr>
              <w:t>— Réclamation contre les administrateurs en diffamation</w:t>
            </w:r>
            <w:r w:rsidRPr="002E337B">
              <w:rPr>
                <w:color w:val="000000"/>
                <w:sz w:val="20"/>
                <w:lang w:val="fr-CA"/>
              </w:rPr>
              <w:t xml:space="preserve"> — </w:t>
            </w:r>
            <w:r w:rsidRPr="002E337B">
              <w:rPr>
                <w:sz w:val="20"/>
                <w:lang w:val="fr-CA"/>
              </w:rPr>
              <w:t xml:space="preserve">Quelles sont les réclamations à l’encontre des administrateurs et dirigeants d’une compagnie débitrice ne pouvant pas faire l’objet d’une transaction dans le cadre de procédure de restructuration sous la </w:t>
            </w:r>
            <w:r w:rsidRPr="002E337B">
              <w:rPr>
                <w:i/>
                <w:iCs/>
                <w:color w:val="000000"/>
                <w:sz w:val="20"/>
                <w:lang w:val="fr-CA"/>
              </w:rPr>
              <w:t>LACC</w:t>
            </w:r>
            <w:r w:rsidRPr="002E337B">
              <w:rPr>
                <w:sz w:val="20"/>
                <w:lang w:val="fr-CA"/>
              </w:rPr>
              <w:t xml:space="preserve">, aux termes de l’exception de « conduite injustifiée ou abusive » de l’art. 5.1(2) de la </w:t>
            </w:r>
            <w:r w:rsidRPr="002E337B">
              <w:rPr>
                <w:i/>
                <w:iCs/>
                <w:color w:val="000000"/>
                <w:sz w:val="20"/>
                <w:lang w:val="fr-CA"/>
              </w:rPr>
              <w:t>LACC</w:t>
            </w:r>
            <w:r w:rsidRPr="002E337B">
              <w:rPr>
                <w:sz w:val="20"/>
                <w:lang w:val="fr-CA"/>
              </w:rPr>
              <w:t xml:space="preserve">? — Quelle partie a le fardeau de prouver que la conduite d’un administrateur ou d’un dirigeant est « injustifiée ou abusive » au sens de l’art. 5.1(2) de la </w:t>
            </w:r>
            <w:r w:rsidRPr="002E337B">
              <w:rPr>
                <w:i/>
                <w:iCs/>
                <w:color w:val="000000"/>
                <w:sz w:val="20"/>
                <w:lang w:val="fr-CA"/>
              </w:rPr>
              <w:t>LACC</w:t>
            </w:r>
            <w:r w:rsidRPr="002E337B">
              <w:rPr>
                <w:sz w:val="20"/>
                <w:lang w:val="fr-CA"/>
              </w:rPr>
              <w:t xml:space="preserve"> et quelle est l’étendue de ce fardeau? — </w:t>
            </w:r>
            <w:r w:rsidRPr="002E337B">
              <w:rPr>
                <w:i/>
                <w:sz w:val="20"/>
                <w:lang w:val="fr-CA"/>
              </w:rPr>
              <w:t>Loi sur les arrangements avec les créanciers des compagnies</w:t>
            </w:r>
            <w:r w:rsidRPr="002E337B">
              <w:rPr>
                <w:sz w:val="20"/>
                <w:lang w:val="fr-CA"/>
              </w:rPr>
              <w:t>, L.R.C., (1985) c. C-36, art. 5.1 (2) et (3).</w:t>
            </w:r>
          </w:p>
        </w:tc>
      </w:tr>
      <w:tr w:rsidR="00115551" w:rsidRPr="002E337B" w:rsidTr="007F5945">
        <w:tc>
          <w:tcPr>
            <w:tcW w:w="5000" w:type="pct"/>
            <w:gridSpan w:val="4"/>
          </w:tcPr>
          <w:p w:rsidR="00115551" w:rsidRPr="002E337B" w:rsidRDefault="00115551" w:rsidP="00115551">
            <w:pPr>
              <w:jc w:val="both"/>
              <w:rPr>
                <w:sz w:val="20"/>
                <w:lang w:val="fr-CA"/>
              </w:rPr>
            </w:pPr>
          </w:p>
        </w:tc>
      </w:tr>
      <w:tr w:rsidR="00115551" w:rsidRPr="002E337B" w:rsidTr="007F5945">
        <w:tc>
          <w:tcPr>
            <w:tcW w:w="5000" w:type="pct"/>
            <w:gridSpan w:val="4"/>
          </w:tcPr>
          <w:p w:rsidR="00115551" w:rsidRPr="002E337B" w:rsidRDefault="00115551" w:rsidP="00115551">
            <w:pPr>
              <w:jc w:val="both"/>
              <w:rPr>
                <w:sz w:val="20"/>
                <w:lang w:val="fr-CA"/>
              </w:rPr>
            </w:pPr>
            <w:r w:rsidRPr="002E337B">
              <w:rPr>
                <w:sz w:val="20"/>
                <w:lang w:val="fr-CA"/>
              </w:rPr>
              <w:t>Comme suite à une chronique de Monsieur Michel Girard publiée dans le Journal de Montréal le 29 avril 2020 et intitulé « Le Cirque du Soleil contrôlé depuis un paradis fiscal », les demanderesses, appelées collectivement Groupe Cirque du Soleil, ont communiqué aux intimés, Québécor inc., Québécor Média inc., MédiaQMI inc. et M. Michel Girard, le 1</w:t>
            </w:r>
            <w:r w:rsidRPr="002E337B">
              <w:rPr>
                <w:sz w:val="20"/>
                <w:vertAlign w:val="superscript"/>
                <w:lang w:val="fr-CA"/>
              </w:rPr>
              <w:t>er</w:t>
            </w:r>
            <w:r w:rsidRPr="002E337B">
              <w:rPr>
                <w:sz w:val="20"/>
                <w:lang w:val="fr-CA"/>
              </w:rPr>
              <w:t xml:space="preserve"> mai 2020, une mise en demeure dans laquelle elles allèguent, notamment, que le titre et le contenu de la chronique de M. Girard « étaient faux et dénués de tout fondement factuel, [et] volontairement tendancieux », et que « [l']objectif avoué de M. Girard, était de nuire [à leurs efforts] dans [leurs] démarches pour obtenir une aide financière ou un financement aux conditions de marché de la part des gouvernements canadien et québécois dans le contexte de la crise actuelle. » Cette mise en demeure a fait l’objet d’une fuite par le biais du journal La Presse avant même que les intimés ne la reçoivent. Les 6 et 9 mai 2020, les intimés ont fait parvenir successivement aux demanderesses deux lettres de mise en demeure exigeant la rétractation « sans réserve et publiquement des propos faux et mensongers de [leur] lettre du 1</w:t>
            </w:r>
            <w:r w:rsidRPr="002E337B">
              <w:rPr>
                <w:sz w:val="20"/>
                <w:vertAlign w:val="superscript"/>
                <w:lang w:val="fr-CA"/>
              </w:rPr>
              <w:t>er</w:t>
            </w:r>
            <w:r w:rsidRPr="002E337B">
              <w:rPr>
                <w:sz w:val="20"/>
                <w:lang w:val="fr-CA"/>
              </w:rPr>
              <w:t xml:space="preserve"> mai 2020 ». Le 25 mai 2020, les intimés ont fait parvenir une lettre de mise en demeure formelle à un certain nombre d’individus, incluant M. Daniel Lamarre, M. David Trujillo, M. Stéphane Lefebvre et M. Michell Garber en leur « qualité de dirigeant et/ou administrateur (ou d’actionnaire assumant les pouvoirs du conseil d’administration et vertu d’une convention unanime des actionnaires) de Gestion Cirque du Soleil S.E.C. et/ou ses sociétés affiliées ». Dans cette lettre, les intimés requièrent toujours la rétractation des propos tenus afin d’éviter la judiciarisation de l’affaire par le biais d’un recours en diffamation. Le 27 mai 2020, les demanderesses ainsi que les individus visés par la lettre du 25 mai communiquent pour la première fois, par la voie de leur procureur, leur refus de se rétracter. Le 29 juin 2020, les intimés ont déposé devant les tribunaux un recours en diffamation contre les individus visés par la lettre du 25 mai 2020. Le 30 juin 2020, cette réclamation en diffamation est suspendue par une ordonnance initiale rendue par le tribunal au terme de la </w:t>
            </w:r>
            <w:r w:rsidRPr="002E337B">
              <w:rPr>
                <w:i/>
                <w:iCs/>
                <w:color w:val="000000"/>
                <w:sz w:val="20"/>
                <w:lang w:val="fr-CA"/>
              </w:rPr>
              <w:t>LACC</w:t>
            </w:r>
            <w:r w:rsidRPr="002E337B">
              <w:rPr>
                <w:sz w:val="20"/>
                <w:lang w:val="fr-CA"/>
              </w:rPr>
              <w:t xml:space="preserve">. L’intervenant, Ernst &amp; Young inc., est alors nommé contrôleur. Le 26 octobre 2020, le tribunal a émis au terme de la </w:t>
            </w:r>
            <w:r w:rsidRPr="002E337B">
              <w:rPr>
                <w:i/>
                <w:iCs/>
                <w:color w:val="000000"/>
                <w:sz w:val="20"/>
                <w:lang w:val="fr-CA"/>
              </w:rPr>
              <w:t>LACC</w:t>
            </w:r>
            <w:r w:rsidRPr="002E337B">
              <w:rPr>
                <w:sz w:val="20"/>
                <w:lang w:val="fr-CA"/>
              </w:rPr>
              <w:t xml:space="preserve"> un « Approval and Vesting Order », il a maintenu la suspension à l’endroit du recours en diffamation et a émis une quittance en faveur des administrateurs et des dirigeants des demanderesses de toute réclamation existante ou future découlant d’une action ou d’une omission eu égard à la conduite des affaires des demanderesses à l’exception de la réclamation en diffamation. En début décembre 2021, les intimés ont déposé une requête visant à faire déterminer la portée de la quittance en faveur d’anciens administrateurs et conséquemment pour la levée de la suspension des procédures en vertu </w:t>
            </w:r>
            <w:proofErr w:type="gramStart"/>
            <w:r w:rsidRPr="002E337B">
              <w:rPr>
                <w:sz w:val="20"/>
                <w:lang w:val="fr-CA"/>
              </w:rPr>
              <w:t>des art</w:t>
            </w:r>
            <w:proofErr w:type="gramEnd"/>
            <w:r w:rsidRPr="002E337B">
              <w:rPr>
                <w:sz w:val="20"/>
                <w:lang w:val="fr-CA"/>
              </w:rPr>
              <w:t xml:space="preserve">. 13 et 14 de la </w:t>
            </w:r>
            <w:r w:rsidRPr="002E337B">
              <w:rPr>
                <w:i/>
                <w:iCs/>
                <w:color w:val="000000"/>
                <w:sz w:val="20"/>
                <w:lang w:val="fr-CA"/>
              </w:rPr>
              <w:t>LACC</w:t>
            </w:r>
            <w:r w:rsidRPr="002E337B">
              <w:rPr>
                <w:sz w:val="20"/>
                <w:lang w:val="fr-CA"/>
              </w:rPr>
              <w:t>. La Cour supérieure a accueilli cette requête autorisant ainsi la continuation de la réclamation en diffamation. La Cour d’appel a rejeté la demande de permission d’en appeler de la décision de la Cour supérieure.</w:t>
            </w:r>
          </w:p>
          <w:p w:rsidR="00115551" w:rsidRPr="002E337B" w:rsidRDefault="00115551" w:rsidP="00115551">
            <w:pPr>
              <w:jc w:val="both"/>
              <w:rPr>
                <w:sz w:val="20"/>
                <w:lang w:val="fr-CA"/>
              </w:rPr>
            </w:pPr>
          </w:p>
        </w:tc>
      </w:tr>
      <w:tr w:rsidR="00115551" w:rsidRPr="002E337B" w:rsidTr="007F5945">
        <w:tc>
          <w:tcPr>
            <w:tcW w:w="2427" w:type="pct"/>
            <w:gridSpan w:val="2"/>
          </w:tcPr>
          <w:p w:rsidR="00115551" w:rsidRPr="002E337B" w:rsidRDefault="00115551" w:rsidP="00115551">
            <w:pPr>
              <w:jc w:val="both"/>
              <w:rPr>
                <w:sz w:val="20"/>
                <w:lang w:val="fr-CA"/>
              </w:rPr>
            </w:pPr>
            <w:r w:rsidRPr="002E337B">
              <w:rPr>
                <w:sz w:val="20"/>
                <w:lang w:val="fr-CA"/>
              </w:rPr>
              <w:t>Le 23 décembre 2021</w:t>
            </w:r>
          </w:p>
          <w:p w:rsidR="00115551" w:rsidRPr="002E337B" w:rsidRDefault="00115551" w:rsidP="00115551">
            <w:pPr>
              <w:jc w:val="both"/>
              <w:rPr>
                <w:sz w:val="20"/>
                <w:lang w:val="fr-CA"/>
              </w:rPr>
            </w:pPr>
            <w:r w:rsidRPr="002E337B">
              <w:rPr>
                <w:sz w:val="20"/>
                <w:lang w:val="fr-CA"/>
              </w:rPr>
              <w:t>Cour supérieure du Québec</w:t>
            </w:r>
          </w:p>
          <w:p w:rsidR="00115551" w:rsidRPr="002E337B" w:rsidRDefault="00115551" w:rsidP="00115551">
            <w:pPr>
              <w:jc w:val="both"/>
              <w:rPr>
                <w:sz w:val="20"/>
              </w:rPr>
            </w:pPr>
            <w:r w:rsidRPr="002E337B">
              <w:rPr>
                <w:sz w:val="20"/>
              </w:rPr>
              <w:t>(Le juge Gouin)</w:t>
            </w:r>
          </w:p>
          <w:p w:rsidR="00115551" w:rsidRPr="002E337B" w:rsidRDefault="002E337B" w:rsidP="00115551">
            <w:pPr>
              <w:jc w:val="both"/>
              <w:rPr>
                <w:sz w:val="20"/>
              </w:rPr>
            </w:pPr>
            <w:hyperlink r:id="rId45" w:history="1">
              <w:r w:rsidR="00115551" w:rsidRPr="002E337B">
                <w:rPr>
                  <w:rStyle w:val="Hyperlink"/>
                  <w:sz w:val="20"/>
                </w:rPr>
                <w:t>2021 QCCS 5319</w:t>
              </w:r>
            </w:hyperlink>
          </w:p>
          <w:p w:rsidR="00115551" w:rsidRPr="002E337B" w:rsidRDefault="00115551" w:rsidP="00115551">
            <w:pPr>
              <w:jc w:val="both"/>
              <w:rPr>
                <w:sz w:val="20"/>
              </w:rPr>
            </w:pPr>
          </w:p>
        </w:tc>
        <w:tc>
          <w:tcPr>
            <w:tcW w:w="243" w:type="pct"/>
          </w:tcPr>
          <w:p w:rsidR="00115551" w:rsidRPr="002E337B" w:rsidRDefault="00115551" w:rsidP="00115551">
            <w:pPr>
              <w:jc w:val="both"/>
              <w:rPr>
                <w:sz w:val="20"/>
              </w:rPr>
            </w:pPr>
          </w:p>
        </w:tc>
        <w:tc>
          <w:tcPr>
            <w:tcW w:w="2330" w:type="pct"/>
          </w:tcPr>
          <w:p w:rsidR="00115551" w:rsidRPr="002E337B" w:rsidRDefault="00115551" w:rsidP="00115551">
            <w:pPr>
              <w:jc w:val="both"/>
              <w:rPr>
                <w:sz w:val="20"/>
                <w:lang w:val="fr-CA"/>
              </w:rPr>
            </w:pPr>
            <w:r w:rsidRPr="002E337B">
              <w:rPr>
                <w:sz w:val="20"/>
                <w:lang w:val="fr-CA"/>
              </w:rPr>
              <w:t xml:space="preserve">Requête visant à faire déterminer la portée de la quittance en faveur d’anciens administrateurs et conséquemment pour la levée de la suspension des procédures présentée par Québécor inc., Québécor Média inc., MédiaQMI inc. et Michel Girard accueillie. </w:t>
            </w:r>
          </w:p>
          <w:p w:rsidR="00115551" w:rsidRPr="002E337B" w:rsidRDefault="00115551" w:rsidP="00115551">
            <w:pPr>
              <w:jc w:val="both"/>
              <w:rPr>
                <w:sz w:val="20"/>
                <w:lang w:val="fr-CA"/>
              </w:rPr>
            </w:pPr>
            <w:r w:rsidRPr="002E337B">
              <w:rPr>
                <w:sz w:val="20"/>
                <w:lang w:val="fr-CA"/>
              </w:rPr>
              <w:t>Levée de la suspension des procédures afin de permettre la continuation de la Réclamation en diffamation contre Daniel Lamarre, David Trujillo, Stéphane Lefebvre et Mitchell Garber ordonnée.</w:t>
            </w:r>
          </w:p>
          <w:p w:rsidR="00115551" w:rsidRPr="002E337B" w:rsidRDefault="00115551" w:rsidP="00115551">
            <w:pPr>
              <w:jc w:val="both"/>
              <w:rPr>
                <w:sz w:val="20"/>
                <w:lang w:val="fr-CA"/>
              </w:rPr>
            </w:pPr>
          </w:p>
        </w:tc>
      </w:tr>
      <w:tr w:rsidR="00115551" w:rsidRPr="002E337B" w:rsidTr="007F5945">
        <w:tc>
          <w:tcPr>
            <w:tcW w:w="2427" w:type="pct"/>
            <w:gridSpan w:val="2"/>
          </w:tcPr>
          <w:p w:rsidR="00115551" w:rsidRPr="002E337B" w:rsidRDefault="00115551" w:rsidP="00115551">
            <w:pPr>
              <w:jc w:val="both"/>
              <w:rPr>
                <w:sz w:val="20"/>
                <w:lang w:val="fr-CA"/>
              </w:rPr>
            </w:pPr>
            <w:r w:rsidRPr="002E337B">
              <w:rPr>
                <w:sz w:val="20"/>
                <w:lang w:val="fr-CA"/>
              </w:rPr>
              <w:t>Le 5 avril 2022</w:t>
            </w:r>
          </w:p>
          <w:p w:rsidR="00115551" w:rsidRPr="002E337B" w:rsidRDefault="00115551" w:rsidP="00115551">
            <w:pPr>
              <w:jc w:val="both"/>
              <w:rPr>
                <w:sz w:val="20"/>
                <w:lang w:val="fr-CA"/>
              </w:rPr>
            </w:pPr>
            <w:r w:rsidRPr="002E337B">
              <w:rPr>
                <w:sz w:val="20"/>
                <w:lang w:val="fr-CA"/>
              </w:rPr>
              <w:t>Cour d’appel du Québec (Montréal)</w:t>
            </w:r>
          </w:p>
          <w:p w:rsidR="00115551" w:rsidRPr="002E337B" w:rsidRDefault="00115551" w:rsidP="00115551">
            <w:pPr>
              <w:jc w:val="both"/>
              <w:rPr>
                <w:sz w:val="20"/>
              </w:rPr>
            </w:pPr>
            <w:r w:rsidRPr="002E337B">
              <w:rPr>
                <w:sz w:val="20"/>
              </w:rPr>
              <w:t>(La juge Fournier)</w:t>
            </w:r>
          </w:p>
          <w:p w:rsidR="00115551" w:rsidRPr="002E337B" w:rsidRDefault="002E337B" w:rsidP="00115551">
            <w:pPr>
              <w:jc w:val="both"/>
              <w:rPr>
                <w:sz w:val="20"/>
              </w:rPr>
            </w:pPr>
            <w:hyperlink r:id="rId46" w:history="1">
              <w:r w:rsidR="00115551" w:rsidRPr="002E337B">
                <w:rPr>
                  <w:rStyle w:val="Hyperlink"/>
                  <w:sz w:val="20"/>
                </w:rPr>
                <w:t>2022 QCCA 549</w:t>
              </w:r>
            </w:hyperlink>
          </w:p>
          <w:p w:rsidR="00115551" w:rsidRPr="002E337B" w:rsidRDefault="00115551" w:rsidP="00115551">
            <w:pPr>
              <w:jc w:val="both"/>
              <w:rPr>
                <w:sz w:val="20"/>
              </w:rPr>
            </w:pPr>
          </w:p>
        </w:tc>
        <w:tc>
          <w:tcPr>
            <w:tcW w:w="243" w:type="pct"/>
          </w:tcPr>
          <w:p w:rsidR="00115551" w:rsidRPr="002E337B" w:rsidRDefault="00115551" w:rsidP="00115551">
            <w:pPr>
              <w:jc w:val="both"/>
              <w:rPr>
                <w:sz w:val="20"/>
              </w:rPr>
            </w:pPr>
          </w:p>
        </w:tc>
        <w:tc>
          <w:tcPr>
            <w:tcW w:w="2330" w:type="pct"/>
          </w:tcPr>
          <w:p w:rsidR="00115551" w:rsidRPr="002E337B" w:rsidRDefault="00115551" w:rsidP="00115551">
            <w:pPr>
              <w:jc w:val="both"/>
              <w:rPr>
                <w:sz w:val="20"/>
              </w:rPr>
            </w:pPr>
            <w:r w:rsidRPr="002E337B">
              <w:rPr>
                <w:sz w:val="20"/>
              </w:rPr>
              <w:t xml:space="preserve">Permission pour appeler rejetée. </w:t>
            </w:r>
          </w:p>
          <w:p w:rsidR="00115551" w:rsidRPr="002E337B" w:rsidRDefault="00115551" w:rsidP="00115551">
            <w:pPr>
              <w:jc w:val="both"/>
              <w:rPr>
                <w:sz w:val="20"/>
              </w:rPr>
            </w:pPr>
          </w:p>
        </w:tc>
      </w:tr>
      <w:tr w:rsidR="00115551" w:rsidRPr="002E337B" w:rsidTr="007F5945">
        <w:tc>
          <w:tcPr>
            <w:tcW w:w="2427" w:type="pct"/>
            <w:gridSpan w:val="2"/>
          </w:tcPr>
          <w:p w:rsidR="00115551" w:rsidRPr="002E337B" w:rsidRDefault="00115551" w:rsidP="00115551">
            <w:pPr>
              <w:jc w:val="both"/>
              <w:rPr>
                <w:sz w:val="20"/>
                <w:lang w:val="fr-CA"/>
              </w:rPr>
            </w:pPr>
            <w:r w:rsidRPr="002E337B">
              <w:rPr>
                <w:sz w:val="20"/>
                <w:lang w:val="fr-CA"/>
              </w:rPr>
              <w:t>Le 6 juin 2022</w:t>
            </w:r>
          </w:p>
          <w:p w:rsidR="00115551" w:rsidRPr="002E337B" w:rsidRDefault="00115551" w:rsidP="00115551">
            <w:pPr>
              <w:jc w:val="both"/>
              <w:rPr>
                <w:sz w:val="20"/>
                <w:lang w:val="fr-CA"/>
              </w:rPr>
            </w:pPr>
            <w:r w:rsidRPr="002E337B">
              <w:rPr>
                <w:sz w:val="20"/>
                <w:lang w:val="fr-CA"/>
              </w:rPr>
              <w:t>Cour suprême du Canada</w:t>
            </w:r>
          </w:p>
        </w:tc>
        <w:tc>
          <w:tcPr>
            <w:tcW w:w="243" w:type="pct"/>
          </w:tcPr>
          <w:p w:rsidR="00115551" w:rsidRPr="002E337B" w:rsidRDefault="00115551" w:rsidP="00115551">
            <w:pPr>
              <w:jc w:val="both"/>
              <w:rPr>
                <w:sz w:val="20"/>
                <w:lang w:val="fr-CA"/>
              </w:rPr>
            </w:pPr>
          </w:p>
        </w:tc>
        <w:tc>
          <w:tcPr>
            <w:tcW w:w="2330" w:type="pct"/>
          </w:tcPr>
          <w:p w:rsidR="00115551" w:rsidRPr="002E337B" w:rsidRDefault="00115551" w:rsidP="00115551">
            <w:pPr>
              <w:jc w:val="both"/>
              <w:rPr>
                <w:sz w:val="20"/>
              </w:rPr>
            </w:pPr>
            <w:r w:rsidRPr="002E337B">
              <w:rPr>
                <w:sz w:val="20"/>
              </w:rPr>
              <w:t>Demande d'autorisation d'appel déposée.</w:t>
            </w:r>
          </w:p>
          <w:p w:rsidR="00115551" w:rsidRPr="002E337B" w:rsidRDefault="00115551" w:rsidP="00115551">
            <w:pPr>
              <w:jc w:val="both"/>
              <w:rPr>
                <w:sz w:val="20"/>
              </w:rPr>
            </w:pPr>
          </w:p>
        </w:tc>
      </w:tr>
    </w:tbl>
    <w:p w:rsidR="00115551" w:rsidRPr="002E337B" w:rsidRDefault="00115551" w:rsidP="00115551">
      <w:pPr>
        <w:jc w:val="both"/>
        <w:rPr>
          <w:sz w:val="20"/>
        </w:rPr>
      </w:pPr>
    </w:p>
    <w:p w:rsidR="00115551" w:rsidRPr="002E337B" w:rsidRDefault="002E337B" w:rsidP="00115551">
      <w:pPr>
        <w:jc w:val="both"/>
        <w:rPr>
          <w:sz w:val="20"/>
        </w:rPr>
      </w:pPr>
      <w:r w:rsidRPr="002E337B">
        <w:rPr>
          <w:sz w:val="20"/>
        </w:rPr>
        <w:pict>
          <v:rect id="_x0000_i1044" style="width:2in;height:1pt" o:hrpct="0" o:hralign="center" o:hrstd="t" o:hrnoshade="t" o:hr="t" fillcolor="black [3213]" stroked="f"/>
        </w:pict>
      </w:r>
    </w:p>
    <w:p w:rsidR="00115551" w:rsidRPr="002E337B" w:rsidRDefault="00115551" w:rsidP="001155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15551" w:rsidRPr="002E337B" w:rsidTr="00E95A6A">
        <w:tc>
          <w:tcPr>
            <w:tcW w:w="543" w:type="pct"/>
          </w:tcPr>
          <w:p w:rsidR="00115551" w:rsidRPr="002E337B" w:rsidRDefault="00115551" w:rsidP="00115551">
            <w:pPr>
              <w:jc w:val="both"/>
              <w:rPr>
                <w:sz w:val="20"/>
                <w:lang w:val="en-CA"/>
              </w:rPr>
            </w:pPr>
            <w:r w:rsidRPr="002E337B">
              <w:rPr>
                <w:rStyle w:val="SCCFileNumberChar"/>
                <w:sz w:val="20"/>
                <w:szCs w:val="20"/>
              </w:rPr>
              <w:t>40455</w:t>
            </w:r>
          </w:p>
        </w:tc>
        <w:tc>
          <w:tcPr>
            <w:tcW w:w="4457" w:type="pct"/>
            <w:gridSpan w:val="3"/>
          </w:tcPr>
          <w:p w:rsidR="00115551" w:rsidRPr="002E337B" w:rsidRDefault="00115551" w:rsidP="00115551">
            <w:pPr>
              <w:pStyle w:val="SCCLsocParty"/>
              <w:jc w:val="both"/>
              <w:rPr>
                <w:b/>
                <w:sz w:val="20"/>
                <w:szCs w:val="20"/>
                <w:lang w:val="en-CA"/>
              </w:rPr>
            </w:pPr>
            <w:r w:rsidRPr="002E337B">
              <w:rPr>
                <w:b/>
                <w:sz w:val="20"/>
                <w:szCs w:val="20"/>
                <w:lang w:val="en-CA"/>
              </w:rPr>
              <w:t>Alliance nationale de l’industrie musicale v. Canadian Radio-television and Telecommunications Commission</w:t>
            </w:r>
          </w:p>
          <w:p w:rsidR="00115551" w:rsidRPr="002E337B" w:rsidRDefault="00115551" w:rsidP="00115551">
            <w:pPr>
              <w:jc w:val="both"/>
              <w:rPr>
                <w:sz w:val="20"/>
                <w:lang w:val="en-CA"/>
              </w:rPr>
            </w:pPr>
            <w:r w:rsidRPr="002E337B">
              <w:rPr>
                <w:sz w:val="20"/>
                <w:lang w:val="en-CA"/>
              </w:rPr>
              <w:t>(Fed.) (Civil) (By Leave)</w:t>
            </w:r>
          </w:p>
        </w:tc>
      </w:tr>
      <w:tr w:rsidR="00115551" w:rsidRPr="002E337B" w:rsidTr="00E95A6A">
        <w:tc>
          <w:tcPr>
            <w:tcW w:w="5000" w:type="pct"/>
            <w:gridSpan w:val="4"/>
          </w:tcPr>
          <w:p w:rsidR="00115551" w:rsidRPr="002E337B" w:rsidRDefault="00115551" w:rsidP="00115551">
            <w:pPr>
              <w:jc w:val="both"/>
              <w:rPr>
                <w:sz w:val="20"/>
                <w:lang w:val="en-CA"/>
              </w:rPr>
            </w:pPr>
            <w:proofErr w:type="gramStart"/>
            <w:r w:rsidRPr="002E337B">
              <w:rPr>
                <w:sz w:val="20"/>
                <w:lang w:val="en-CA"/>
              </w:rPr>
              <w:t xml:space="preserve">Constitutional law — Charter of Rights — Enforcement — Damages — Official languages —Claim for damages under </w:t>
            </w:r>
            <w:r w:rsidRPr="002E337B">
              <w:rPr>
                <w:i/>
                <w:sz w:val="20"/>
                <w:lang w:val="en-CA"/>
              </w:rPr>
              <w:t>Charter</w:t>
            </w:r>
            <w:r w:rsidRPr="002E337B">
              <w:rPr>
                <w:sz w:val="20"/>
                <w:lang w:val="en-CA"/>
              </w:rPr>
              <w:t xml:space="preserve"> and </w:t>
            </w:r>
            <w:r w:rsidRPr="002E337B">
              <w:rPr>
                <w:i/>
                <w:sz w:val="20"/>
                <w:lang w:val="en-CA"/>
              </w:rPr>
              <w:t>Official Languages Act</w:t>
            </w:r>
            <w:r w:rsidRPr="002E337B">
              <w:rPr>
                <w:sz w:val="20"/>
                <w:lang w:val="en-CA"/>
              </w:rPr>
              <w:t xml:space="preserve"> made against administrative tribunal that is federal institution for breach of its duty to ensure that positive measures taken to enhance vitality of French linguistic minority communities — Administrative tribunal moving to strike part of application on basis of immunity provision or common law immunity in relation to exercise of adjudicative functions — Courts below striking claim for damages — Whether acts or omissions of administrative tribunal in performing its positive and ongoing duty to enhance vitality of French and Acadian linguistic minority communities under Part VII of </w:t>
            </w:r>
            <w:r w:rsidRPr="002E337B">
              <w:rPr>
                <w:i/>
                <w:sz w:val="20"/>
                <w:lang w:val="en-CA"/>
              </w:rPr>
              <w:t xml:space="preserve">Official Languages Act </w:t>
            </w:r>
            <w:r w:rsidRPr="002E337B">
              <w:rPr>
                <w:sz w:val="20"/>
                <w:lang w:val="en-CA"/>
              </w:rPr>
              <w:t xml:space="preserve">are part of its quasi-judicial functions — Whether administrative tribunal is immune from award of damages where it fulfils duty to consult — </w:t>
            </w:r>
            <w:r w:rsidRPr="002E337B">
              <w:rPr>
                <w:i/>
                <w:sz w:val="20"/>
                <w:lang w:val="en-CA"/>
              </w:rPr>
              <w:t>Canadian Charter of Rights and Freedoms</w:t>
            </w:r>
            <w:r w:rsidRPr="002E337B">
              <w:rPr>
                <w:sz w:val="20"/>
                <w:lang w:val="en-CA"/>
              </w:rPr>
              <w:t xml:space="preserve">, s. 24(1) — </w:t>
            </w:r>
            <w:r w:rsidRPr="002E337B">
              <w:rPr>
                <w:i/>
                <w:sz w:val="20"/>
                <w:lang w:val="en-CA"/>
              </w:rPr>
              <w:t>Official Languages Act</w:t>
            </w:r>
            <w:r w:rsidRPr="002E337B">
              <w:rPr>
                <w:sz w:val="20"/>
                <w:lang w:val="en-CA"/>
              </w:rPr>
              <w:t>,</w:t>
            </w:r>
            <w:r w:rsidRPr="002E337B">
              <w:rPr>
                <w:i/>
                <w:sz w:val="20"/>
                <w:lang w:val="en-CA"/>
              </w:rPr>
              <w:t xml:space="preserve"> </w:t>
            </w:r>
            <w:r w:rsidRPr="002E337B">
              <w:rPr>
                <w:sz w:val="20"/>
                <w:lang w:val="en-CA"/>
              </w:rPr>
              <w:t xml:space="preserve">R.S.C. 1985, c. 31 (4th Supp.), ss. 41, 77 — </w:t>
            </w:r>
            <w:r w:rsidRPr="002E337B">
              <w:rPr>
                <w:i/>
                <w:sz w:val="20"/>
                <w:lang w:val="en-CA"/>
              </w:rPr>
              <w:t>Broadcasting Act</w:t>
            </w:r>
            <w:r w:rsidRPr="002E337B">
              <w:rPr>
                <w:sz w:val="20"/>
                <w:lang w:val="en-CA"/>
              </w:rPr>
              <w:t>, S.C. 1991, c. 11, s. 16.</w:t>
            </w:r>
            <w:proofErr w:type="gramEnd"/>
          </w:p>
        </w:tc>
      </w:tr>
      <w:tr w:rsidR="00115551" w:rsidRPr="002E337B" w:rsidTr="00E95A6A">
        <w:tc>
          <w:tcPr>
            <w:tcW w:w="5000" w:type="pct"/>
            <w:gridSpan w:val="4"/>
          </w:tcPr>
          <w:p w:rsidR="00115551" w:rsidRPr="002E337B" w:rsidRDefault="00115551" w:rsidP="00115551">
            <w:pPr>
              <w:jc w:val="both"/>
              <w:rPr>
                <w:sz w:val="20"/>
                <w:lang w:val="en-CA"/>
              </w:rPr>
            </w:pPr>
          </w:p>
          <w:p w:rsidR="00115551" w:rsidRPr="002E337B" w:rsidRDefault="00115551" w:rsidP="00115551">
            <w:pPr>
              <w:jc w:val="both"/>
              <w:rPr>
                <w:sz w:val="20"/>
                <w:lang w:val="en-CA"/>
              </w:rPr>
            </w:pPr>
            <w:r w:rsidRPr="002E337B">
              <w:rPr>
                <w:sz w:val="20"/>
                <w:lang w:val="en-CA"/>
              </w:rPr>
              <w:t xml:space="preserve">The applicant, the Alliance nationale de l’industrie musicale (“ANIM”), filed a notice of application in the Federal Court against the respondent, the Canadian Radio-television and Telecommunications Commission (“CRTC”). ANIM alleged that the CRTC had not complied with its linguistic duties under the </w:t>
            </w:r>
            <w:r w:rsidRPr="002E337B">
              <w:rPr>
                <w:i/>
                <w:sz w:val="20"/>
                <w:lang w:val="en-CA"/>
              </w:rPr>
              <w:t>Official Languages Act</w:t>
            </w:r>
            <w:r w:rsidRPr="002E337B">
              <w:rPr>
                <w:sz w:val="20"/>
                <w:lang w:val="en-CA"/>
              </w:rPr>
              <w:t xml:space="preserve"> (“OLA”) and the </w:t>
            </w:r>
            <w:r w:rsidRPr="002E337B">
              <w:rPr>
                <w:i/>
                <w:sz w:val="20"/>
                <w:lang w:val="en-CA"/>
              </w:rPr>
              <w:t>Canadian Charter of Rights and Freedoms</w:t>
            </w:r>
            <w:r w:rsidRPr="002E337B">
              <w:rPr>
                <w:sz w:val="20"/>
                <w:lang w:val="en-CA"/>
              </w:rPr>
              <w:t xml:space="preserve">, and it sought several orders as a remedy. The CRTC moved to strike certain aspects of the application, including ANIM’s claim for damages. The motions judge found that, in light of </w:t>
            </w:r>
            <w:r w:rsidRPr="002E337B">
              <w:rPr>
                <w:i/>
                <w:sz w:val="20"/>
                <w:lang w:val="en-CA"/>
              </w:rPr>
              <w:t>Ernst v. Alberta Energy Regulator</w:t>
            </w:r>
            <w:r w:rsidRPr="002E337B">
              <w:rPr>
                <w:sz w:val="20"/>
                <w:lang w:val="en-CA"/>
              </w:rPr>
              <w:t>, 2017 SCC 1, [2017] 1 S.C.R. 3, the claim for damages had to be struck because of the immunity enjoyed by the CRTC in relation to the exercise of its adjudicative functions. The Federal Court of Appeal agreed with that conclusion.</w:t>
            </w:r>
          </w:p>
        </w:tc>
      </w:tr>
      <w:tr w:rsidR="00115551" w:rsidRPr="002E337B" w:rsidTr="00E95A6A">
        <w:tc>
          <w:tcPr>
            <w:tcW w:w="5000" w:type="pct"/>
            <w:gridSpan w:val="4"/>
          </w:tcPr>
          <w:p w:rsidR="00115551" w:rsidRPr="002E337B" w:rsidRDefault="00115551" w:rsidP="00115551">
            <w:pPr>
              <w:jc w:val="both"/>
              <w:rPr>
                <w:sz w:val="20"/>
                <w:lang w:val="en-CA"/>
              </w:rPr>
            </w:pPr>
            <w:r w:rsidRPr="002E337B">
              <w:rPr>
                <w:sz w:val="20"/>
                <w:lang w:val="en-CA"/>
              </w:rPr>
              <w:t xml:space="preserve"> </w:t>
            </w:r>
          </w:p>
        </w:tc>
      </w:tr>
      <w:tr w:rsidR="00115551" w:rsidRPr="002E337B" w:rsidTr="00E95A6A">
        <w:tc>
          <w:tcPr>
            <w:tcW w:w="2427" w:type="pct"/>
            <w:gridSpan w:val="2"/>
          </w:tcPr>
          <w:p w:rsidR="00115551" w:rsidRPr="002E337B" w:rsidRDefault="00115551" w:rsidP="00115551">
            <w:pPr>
              <w:jc w:val="both"/>
              <w:rPr>
                <w:sz w:val="20"/>
                <w:lang w:val="en-CA"/>
              </w:rPr>
            </w:pPr>
            <w:r w:rsidRPr="002E337B">
              <w:rPr>
                <w:sz w:val="20"/>
                <w:lang w:val="en-CA"/>
              </w:rPr>
              <w:t>September 14, 2021</w:t>
            </w:r>
          </w:p>
          <w:p w:rsidR="00115551" w:rsidRPr="002E337B" w:rsidRDefault="00115551" w:rsidP="00115551">
            <w:pPr>
              <w:jc w:val="both"/>
              <w:rPr>
                <w:sz w:val="20"/>
                <w:lang w:val="en-CA"/>
              </w:rPr>
            </w:pPr>
            <w:r w:rsidRPr="002E337B">
              <w:rPr>
                <w:sz w:val="20"/>
                <w:lang w:val="en-CA"/>
              </w:rPr>
              <w:t>Federal Court</w:t>
            </w:r>
          </w:p>
          <w:p w:rsidR="00115551" w:rsidRPr="002E337B" w:rsidRDefault="00115551" w:rsidP="00115551">
            <w:pPr>
              <w:jc w:val="both"/>
              <w:rPr>
                <w:sz w:val="20"/>
                <w:lang w:val="en-CA"/>
              </w:rPr>
            </w:pPr>
            <w:r w:rsidRPr="002E337B">
              <w:rPr>
                <w:sz w:val="20"/>
                <w:lang w:val="en-CA"/>
              </w:rPr>
              <w:t>(McHaffie J.)</w:t>
            </w:r>
          </w:p>
          <w:p w:rsidR="00115551" w:rsidRPr="002E337B" w:rsidRDefault="002E337B" w:rsidP="00115551">
            <w:pPr>
              <w:jc w:val="both"/>
              <w:rPr>
                <w:sz w:val="20"/>
                <w:lang w:val="en-CA"/>
              </w:rPr>
            </w:pPr>
            <w:hyperlink r:id="rId47" w:history="1">
              <w:r w:rsidR="00115551" w:rsidRPr="002E337B">
                <w:rPr>
                  <w:rStyle w:val="Hyperlink"/>
                  <w:sz w:val="20"/>
                  <w:lang w:val="en-CA"/>
                </w:rPr>
                <w:t>2021 FC 942</w:t>
              </w:r>
            </w:hyperlink>
          </w:p>
          <w:p w:rsidR="00115551" w:rsidRPr="002E337B" w:rsidRDefault="00115551" w:rsidP="00115551">
            <w:pPr>
              <w:jc w:val="both"/>
              <w:rPr>
                <w:sz w:val="20"/>
                <w:lang w:val="en-CA"/>
              </w:rPr>
            </w:pPr>
          </w:p>
        </w:tc>
        <w:tc>
          <w:tcPr>
            <w:tcW w:w="243" w:type="pct"/>
          </w:tcPr>
          <w:p w:rsidR="00115551" w:rsidRPr="002E337B" w:rsidRDefault="00115551" w:rsidP="00115551">
            <w:pPr>
              <w:jc w:val="both"/>
              <w:rPr>
                <w:sz w:val="20"/>
                <w:lang w:val="en-CA"/>
              </w:rPr>
            </w:pPr>
          </w:p>
        </w:tc>
        <w:tc>
          <w:tcPr>
            <w:tcW w:w="2330" w:type="pct"/>
          </w:tcPr>
          <w:p w:rsidR="00115551" w:rsidRPr="002E337B" w:rsidRDefault="00115551" w:rsidP="00115551">
            <w:pPr>
              <w:jc w:val="both"/>
              <w:rPr>
                <w:sz w:val="20"/>
                <w:lang w:val="en-CA"/>
              </w:rPr>
            </w:pPr>
            <w:r w:rsidRPr="002E337B">
              <w:rPr>
                <w:sz w:val="20"/>
                <w:lang w:val="en-CA"/>
              </w:rPr>
              <w:t>Respondent’s motion to strike parts of applicant’s notice of application allowed in part</w:t>
            </w:r>
          </w:p>
          <w:p w:rsidR="00115551" w:rsidRPr="002E337B" w:rsidRDefault="00115551" w:rsidP="00115551">
            <w:pPr>
              <w:jc w:val="both"/>
              <w:rPr>
                <w:sz w:val="20"/>
                <w:lang w:val="en-CA"/>
              </w:rPr>
            </w:pPr>
          </w:p>
        </w:tc>
      </w:tr>
      <w:tr w:rsidR="00115551" w:rsidRPr="002E337B" w:rsidTr="00E95A6A">
        <w:tc>
          <w:tcPr>
            <w:tcW w:w="2427" w:type="pct"/>
            <w:gridSpan w:val="2"/>
          </w:tcPr>
          <w:p w:rsidR="00115551" w:rsidRPr="002E337B" w:rsidRDefault="00115551" w:rsidP="00115551">
            <w:pPr>
              <w:jc w:val="both"/>
              <w:rPr>
                <w:sz w:val="20"/>
                <w:lang w:val="en-CA"/>
              </w:rPr>
            </w:pPr>
            <w:r w:rsidRPr="002E337B">
              <w:rPr>
                <w:sz w:val="20"/>
                <w:lang w:val="en-CA"/>
              </w:rPr>
              <w:t>September 15, 2022</w:t>
            </w:r>
          </w:p>
          <w:p w:rsidR="00115551" w:rsidRPr="002E337B" w:rsidRDefault="00115551" w:rsidP="00115551">
            <w:pPr>
              <w:jc w:val="both"/>
              <w:rPr>
                <w:sz w:val="20"/>
                <w:lang w:val="en-CA"/>
              </w:rPr>
            </w:pPr>
            <w:r w:rsidRPr="002E337B">
              <w:rPr>
                <w:sz w:val="20"/>
                <w:lang w:val="en-CA"/>
              </w:rPr>
              <w:t>Federal Court of Appeal</w:t>
            </w:r>
          </w:p>
          <w:p w:rsidR="00115551" w:rsidRPr="002E337B" w:rsidRDefault="00115551" w:rsidP="00115551">
            <w:pPr>
              <w:jc w:val="both"/>
              <w:rPr>
                <w:sz w:val="20"/>
                <w:lang w:val="en-CA"/>
              </w:rPr>
            </w:pPr>
            <w:r w:rsidRPr="002E337B">
              <w:rPr>
                <w:sz w:val="20"/>
                <w:lang w:val="en-CA"/>
              </w:rPr>
              <w:t>(Boivin, Gleason and LeBlanc JJ.A.)</w:t>
            </w:r>
          </w:p>
          <w:p w:rsidR="00115551" w:rsidRPr="002E337B" w:rsidRDefault="002E337B" w:rsidP="00115551">
            <w:pPr>
              <w:jc w:val="both"/>
              <w:rPr>
                <w:sz w:val="20"/>
                <w:lang w:val="en-CA"/>
              </w:rPr>
            </w:pPr>
            <w:hyperlink r:id="rId48" w:history="1">
              <w:r w:rsidR="00115551" w:rsidRPr="002E337B">
                <w:rPr>
                  <w:rStyle w:val="Hyperlink"/>
                  <w:sz w:val="20"/>
                  <w:lang w:val="en-CA"/>
                </w:rPr>
                <w:t>2022 CAF 156</w:t>
              </w:r>
            </w:hyperlink>
            <w:r w:rsidR="00115551" w:rsidRPr="002E337B">
              <w:rPr>
                <w:sz w:val="20"/>
                <w:lang w:val="en-CA"/>
              </w:rPr>
              <w:t xml:space="preserve"> (File: A-249-21)</w:t>
            </w:r>
          </w:p>
          <w:p w:rsidR="00115551" w:rsidRPr="002E337B" w:rsidRDefault="00115551" w:rsidP="00115551">
            <w:pPr>
              <w:jc w:val="both"/>
              <w:rPr>
                <w:sz w:val="20"/>
                <w:lang w:val="en-CA"/>
              </w:rPr>
            </w:pPr>
          </w:p>
        </w:tc>
        <w:tc>
          <w:tcPr>
            <w:tcW w:w="243" w:type="pct"/>
          </w:tcPr>
          <w:p w:rsidR="00115551" w:rsidRPr="002E337B" w:rsidRDefault="00115551" w:rsidP="00115551">
            <w:pPr>
              <w:jc w:val="both"/>
              <w:rPr>
                <w:sz w:val="20"/>
                <w:lang w:val="en-CA"/>
              </w:rPr>
            </w:pPr>
          </w:p>
        </w:tc>
        <w:tc>
          <w:tcPr>
            <w:tcW w:w="2330" w:type="pct"/>
          </w:tcPr>
          <w:p w:rsidR="00115551" w:rsidRPr="002E337B" w:rsidRDefault="00115551" w:rsidP="00115551">
            <w:pPr>
              <w:jc w:val="both"/>
              <w:rPr>
                <w:sz w:val="20"/>
                <w:lang w:val="en-CA"/>
              </w:rPr>
            </w:pPr>
            <w:r w:rsidRPr="002E337B">
              <w:rPr>
                <w:sz w:val="20"/>
                <w:lang w:val="en-CA"/>
              </w:rPr>
              <w:t xml:space="preserve">Applicant’s appeal allowed in part; respondent’s cross-appeal dismissed </w:t>
            </w:r>
          </w:p>
        </w:tc>
      </w:tr>
      <w:tr w:rsidR="00115551" w:rsidRPr="002E337B" w:rsidTr="00E95A6A">
        <w:tc>
          <w:tcPr>
            <w:tcW w:w="2427" w:type="pct"/>
            <w:gridSpan w:val="2"/>
          </w:tcPr>
          <w:p w:rsidR="00115551" w:rsidRPr="002E337B" w:rsidRDefault="00115551" w:rsidP="00115551">
            <w:pPr>
              <w:jc w:val="both"/>
              <w:rPr>
                <w:sz w:val="20"/>
                <w:lang w:val="en-CA"/>
              </w:rPr>
            </w:pPr>
            <w:r w:rsidRPr="002E337B">
              <w:rPr>
                <w:sz w:val="20"/>
                <w:lang w:val="en-CA"/>
              </w:rPr>
              <w:t>November 14, 2022</w:t>
            </w:r>
          </w:p>
          <w:p w:rsidR="00115551" w:rsidRPr="002E337B" w:rsidRDefault="00115551" w:rsidP="00115551">
            <w:pPr>
              <w:jc w:val="both"/>
              <w:rPr>
                <w:sz w:val="20"/>
                <w:lang w:val="en-CA"/>
              </w:rPr>
            </w:pPr>
            <w:r w:rsidRPr="002E337B">
              <w:rPr>
                <w:sz w:val="20"/>
                <w:lang w:val="en-CA"/>
              </w:rPr>
              <w:t>Supreme Court of Canada</w:t>
            </w:r>
          </w:p>
        </w:tc>
        <w:tc>
          <w:tcPr>
            <w:tcW w:w="243" w:type="pct"/>
          </w:tcPr>
          <w:p w:rsidR="00115551" w:rsidRPr="002E337B" w:rsidRDefault="00115551" w:rsidP="00115551">
            <w:pPr>
              <w:jc w:val="both"/>
              <w:rPr>
                <w:sz w:val="20"/>
                <w:lang w:val="en-CA"/>
              </w:rPr>
            </w:pPr>
          </w:p>
        </w:tc>
        <w:tc>
          <w:tcPr>
            <w:tcW w:w="2330" w:type="pct"/>
          </w:tcPr>
          <w:p w:rsidR="00115551" w:rsidRPr="002E337B" w:rsidRDefault="00115551" w:rsidP="00115551">
            <w:pPr>
              <w:jc w:val="both"/>
              <w:rPr>
                <w:sz w:val="20"/>
                <w:lang w:val="en-CA"/>
              </w:rPr>
            </w:pPr>
            <w:r w:rsidRPr="002E337B">
              <w:rPr>
                <w:sz w:val="20"/>
                <w:lang w:val="en-CA"/>
              </w:rPr>
              <w:t>Application for leave to appeal filed</w:t>
            </w:r>
          </w:p>
          <w:p w:rsidR="00115551" w:rsidRPr="002E337B" w:rsidRDefault="00115551" w:rsidP="00115551">
            <w:pPr>
              <w:jc w:val="both"/>
              <w:rPr>
                <w:sz w:val="20"/>
                <w:lang w:val="en-CA"/>
              </w:rPr>
            </w:pPr>
          </w:p>
        </w:tc>
      </w:tr>
    </w:tbl>
    <w:p w:rsidR="00115551" w:rsidRPr="002E337B" w:rsidRDefault="00115551" w:rsidP="00115551">
      <w:pPr>
        <w:jc w:val="both"/>
        <w:rPr>
          <w:sz w:val="20"/>
          <w:lang w:val="en-CA"/>
        </w:rPr>
      </w:pPr>
    </w:p>
    <w:p w:rsidR="00115551" w:rsidRPr="002E337B" w:rsidRDefault="002E337B" w:rsidP="00115551">
      <w:pPr>
        <w:jc w:val="both"/>
        <w:rPr>
          <w:sz w:val="20"/>
          <w:lang w:val="en-CA"/>
        </w:rPr>
      </w:pPr>
      <w:r w:rsidRPr="002E337B">
        <w:rPr>
          <w:sz w:val="20"/>
        </w:rPr>
        <w:pict>
          <v:rect id="_x0000_i1045" style="width:2in;height:1pt" o:hrpct="0" o:hralign="center" o:hrstd="t" o:hrnoshade="t" o:hr="t" fillcolor="black [3213]" stroked="f"/>
        </w:pict>
      </w:r>
    </w:p>
    <w:p w:rsidR="00115551" w:rsidRPr="002E337B" w:rsidRDefault="00115551" w:rsidP="00115551">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15551" w:rsidRPr="002E337B" w:rsidTr="00E95A6A">
        <w:tc>
          <w:tcPr>
            <w:tcW w:w="543" w:type="pct"/>
          </w:tcPr>
          <w:p w:rsidR="00115551" w:rsidRPr="002E337B" w:rsidRDefault="00115551" w:rsidP="00115551">
            <w:pPr>
              <w:jc w:val="both"/>
              <w:rPr>
                <w:sz w:val="20"/>
              </w:rPr>
            </w:pPr>
            <w:r w:rsidRPr="002E337B">
              <w:rPr>
                <w:rStyle w:val="SCCFileNumberChar"/>
                <w:sz w:val="20"/>
                <w:szCs w:val="20"/>
              </w:rPr>
              <w:t>40455</w:t>
            </w:r>
          </w:p>
        </w:tc>
        <w:tc>
          <w:tcPr>
            <w:tcW w:w="4457" w:type="pct"/>
            <w:gridSpan w:val="3"/>
          </w:tcPr>
          <w:p w:rsidR="00115551" w:rsidRPr="002E337B" w:rsidRDefault="00115551" w:rsidP="00115551">
            <w:pPr>
              <w:pStyle w:val="SCCLsocParty"/>
              <w:jc w:val="both"/>
              <w:rPr>
                <w:b/>
                <w:sz w:val="20"/>
                <w:szCs w:val="20"/>
              </w:rPr>
            </w:pPr>
            <w:r w:rsidRPr="002E337B">
              <w:rPr>
                <w:b/>
                <w:sz w:val="20"/>
                <w:szCs w:val="20"/>
              </w:rPr>
              <w:t>Alliance nationale de l’industrie musicale c. Conseil de la Radiodiffusion et des Télécommunications Canadiennes</w:t>
            </w:r>
          </w:p>
          <w:p w:rsidR="00115551" w:rsidRPr="002E337B" w:rsidRDefault="00115551" w:rsidP="00115551">
            <w:pPr>
              <w:jc w:val="both"/>
              <w:rPr>
                <w:sz w:val="20"/>
              </w:rPr>
            </w:pPr>
            <w:r w:rsidRPr="002E337B">
              <w:rPr>
                <w:sz w:val="20"/>
              </w:rPr>
              <w:t>(Féd.) (Civile) (Autorisation)</w:t>
            </w:r>
          </w:p>
        </w:tc>
      </w:tr>
      <w:tr w:rsidR="00115551" w:rsidRPr="002E337B" w:rsidTr="00E95A6A">
        <w:tc>
          <w:tcPr>
            <w:tcW w:w="5000" w:type="pct"/>
            <w:gridSpan w:val="4"/>
          </w:tcPr>
          <w:p w:rsidR="00115551" w:rsidRPr="002E337B" w:rsidRDefault="00115551" w:rsidP="00115551">
            <w:pPr>
              <w:jc w:val="both"/>
              <w:rPr>
                <w:sz w:val="20"/>
                <w:lang w:val="fr-CA"/>
              </w:rPr>
            </w:pPr>
            <w:r w:rsidRPr="002E337B">
              <w:rPr>
                <w:sz w:val="20"/>
                <w:lang w:val="fr-CA"/>
              </w:rPr>
              <w:t xml:space="preserve">Droit constitutionnel — Charte des droits — Réparation — Dommages‐intérêts — Langues officielles — Demande de dommages-intérêts présentée en vertu de la </w:t>
            </w:r>
            <w:r w:rsidRPr="002E337B">
              <w:rPr>
                <w:i/>
                <w:sz w:val="20"/>
                <w:lang w:val="fr-CA"/>
              </w:rPr>
              <w:t>Charte</w:t>
            </w:r>
            <w:r w:rsidRPr="002E337B">
              <w:rPr>
                <w:sz w:val="20"/>
                <w:lang w:val="fr-CA"/>
              </w:rPr>
              <w:t xml:space="preserve"> et de la </w:t>
            </w:r>
            <w:r w:rsidRPr="002E337B">
              <w:rPr>
                <w:i/>
                <w:sz w:val="20"/>
                <w:lang w:val="fr-CA"/>
              </w:rPr>
              <w:t xml:space="preserve">Loi sur les langues officielles </w:t>
            </w:r>
            <w:r w:rsidRPr="002E337B">
              <w:rPr>
                <w:sz w:val="20"/>
                <w:lang w:val="fr-CA"/>
              </w:rPr>
              <w:t xml:space="preserve">contre un tribunal administratif qui est une institution fédérale pour violation de ses obligations de veiller à ce que soient prises des mesures positives pour favoriser l’épanouissement des minorités francophones — Tribunal administratif sollicitant la radiation d’une partie de la demande sur la base d’une disposition d’immunité ou d’une immunité en common law à l’égard de l’exercice de fonctions juridictionnelles — Tribunaux d’instance inférieurs accordant radiation de la demande pour dommages-intérêts — Est-ce que les actes ou omissions d’un tribunal administratif dans l’acquittement de ses obligations positives et continues de favoriser l’épanouissement des communautés francophones et acadienne en situation minoritaire en vertu de la partie VII de la </w:t>
            </w:r>
            <w:r w:rsidRPr="002E337B">
              <w:rPr>
                <w:i/>
                <w:sz w:val="20"/>
                <w:lang w:val="fr-CA"/>
              </w:rPr>
              <w:t xml:space="preserve">Loi sur les langues officielles </w:t>
            </w:r>
            <w:r w:rsidRPr="002E337B">
              <w:rPr>
                <w:sz w:val="20"/>
                <w:lang w:val="fr-CA"/>
              </w:rPr>
              <w:t>relèvent de ses fonctions quasi judiciaires? – Est-ce qu’un tribunal administratif bénéficie d’une immunité contre l’octroi de dommages-intérêts lorsqu’il s’acquitte d’une obligation de consulter? —</w:t>
            </w:r>
            <w:r w:rsidRPr="002E337B">
              <w:rPr>
                <w:i/>
                <w:sz w:val="20"/>
                <w:lang w:val="fr-CA"/>
              </w:rPr>
              <w:t>Charte canadienne des droits et libertés</w:t>
            </w:r>
            <w:r w:rsidRPr="002E337B">
              <w:rPr>
                <w:sz w:val="20"/>
                <w:lang w:val="fr-CA"/>
              </w:rPr>
              <w:t xml:space="preserve">, art. 24(1) — </w:t>
            </w:r>
            <w:r w:rsidRPr="002E337B">
              <w:rPr>
                <w:i/>
                <w:sz w:val="20"/>
                <w:lang w:val="fr-CA"/>
              </w:rPr>
              <w:t>Loi sur les langues officielles</w:t>
            </w:r>
            <w:r w:rsidRPr="002E337B">
              <w:rPr>
                <w:sz w:val="20"/>
                <w:lang w:val="fr-CA"/>
              </w:rPr>
              <w:t>,</w:t>
            </w:r>
            <w:r w:rsidRPr="002E337B">
              <w:rPr>
                <w:i/>
                <w:sz w:val="20"/>
                <w:lang w:val="fr-CA"/>
              </w:rPr>
              <w:t xml:space="preserve"> </w:t>
            </w:r>
            <w:r w:rsidRPr="002E337B">
              <w:rPr>
                <w:sz w:val="20"/>
                <w:lang w:val="fr-CA"/>
              </w:rPr>
              <w:t>L.R.C. (1985), ch. 31 (4</w:t>
            </w:r>
            <w:r w:rsidRPr="002E337B">
              <w:rPr>
                <w:sz w:val="20"/>
                <w:vertAlign w:val="superscript"/>
                <w:lang w:val="fr-CA"/>
              </w:rPr>
              <w:t>e</w:t>
            </w:r>
            <w:r w:rsidRPr="002E337B">
              <w:rPr>
                <w:sz w:val="20"/>
                <w:lang w:val="fr-CA"/>
              </w:rPr>
              <w:t xml:space="preserve"> suppl.), art. 41, 77 — </w:t>
            </w:r>
            <w:r w:rsidRPr="002E337B">
              <w:rPr>
                <w:i/>
                <w:sz w:val="20"/>
                <w:lang w:val="fr-CA"/>
              </w:rPr>
              <w:t>Loi sur la radiodiffusion</w:t>
            </w:r>
            <w:r w:rsidRPr="002E337B">
              <w:rPr>
                <w:sz w:val="20"/>
                <w:lang w:val="fr-CA"/>
              </w:rPr>
              <w:t>, L.C. 1991, ch. 11, art. 16.</w:t>
            </w:r>
          </w:p>
        </w:tc>
      </w:tr>
      <w:tr w:rsidR="00115551" w:rsidRPr="002E337B" w:rsidTr="00E95A6A">
        <w:tc>
          <w:tcPr>
            <w:tcW w:w="5000" w:type="pct"/>
            <w:gridSpan w:val="4"/>
          </w:tcPr>
          <w:p w:rsidR="00115551" w:rsidRPr="002E337B" w:rsidRDefault="00115551" w:rsidP="00115551">
            <w:pPr>
              <w:jc w:val="both"/>
              <w:rPr>
                <w:sz w:val="20"/>
                <w:lang w:val="fr-CA"/>
              </w:rPr>
            </w:pPr>
          </w:p>
          <w:p w:rsidR="00115551" w:rsidRPr="002E337B" w:rsidRDefault="00115551" w:rsidP="00115551">
            <w:pPr>
              <w:jc w:val="both"/>
              <w:rPr>
                <w:sz w:val="20"/>
              </w:rPr>
            </w:pPr>
            <w:r w:rsidRPr="002E337B">
              <w:rPr>
                <w:sz w:val="20"/>
                <w:lang w:val="fr-CA"/>
              </w:rPr>
              <w:t xml:space="preserve">La demanderesse, l’Alliance nationale de l’industrie musicale (« ANIM ») dépose un avis de demande en Cour fédérale à l’encontre de l’intimé, le Conseil de la radiodiffusion et des télécommunications canadiennes (« CRTC »). L’ANIM allègue que le CRTC n’a pas respecté ses obligations linguistiques selon la </w:t>
            </w:r>
            <w:r w:rsidRPr="002E337B">
              <w:rPr>
                <w:i/>
                <w:sz w:val="20"/>
                <w:lang w:val="fr-CA"/>
              </w:rPr>
              <w:t>Loi sur les langues officielles</w:t>
            </w:r>
            <w:r w:rsidRPr="002E337B">
              <w:rPr>
                <w:sz w:val="20"/>
                <w:lang w:val="fr-CA"/>
              </w:rPr>
              <w:t xml:space="preserve"> (« LLO ») et la </w:t>
            </w:r>
            <w:r w:rsidRPr="002E337B">
              <w:rPr>
                <w:i/>
                <w:sz w:val="20"/>
                <w:lang w:val="fr-CA"/>
              </w:rPr>
              <w:t>Charte canadienne des droits et libertés</w:t>
            </w:r>
            <w:r w:rsidRPr="002E337B">
              <w:rPr>
                <w:sz w:val="20"/>
                <w:lang w:val="fr-CA"/>
              </w:rPr>
              <w:t xml:space="preserve"> et elle demande plusieurs ordonnances à titre de réparation. Le CRTC sollicite la radiation de certains aspects de la demande, dont la demande de l’ANIM pour des dommages-intérêts. Le juge des requêtes conclut qu’à la lumière de l’arrêt </w:t>
            </w:r>
            <w:r w:rsidRPr="002E337B">
              <w:rPr>
                <w:i/>
                <w:sz w:val="20"/>
                <w:lang w:val="fr-CA"/>
              </w:rPr>
              <w:t>Ernst c. Alberta Energy Regulator</w:t>
            </w:r>
            <w:r w:rsidRPr="002E337B">
              <w:rPr>
                <w:sz w:val="20"/>
                <w:lang w:val="fr-CA"/>
              </w:rPr>
              <w:t xml:space="preserve">, 2017 CSC 1, [2017] 1 R.C.S. 3, la demande en dommages-intérêts doit être radiée compte tenu de l’immunité dont bénéficie le CRTC à l’égard de l’exercice de ses fonctions juridictionnelles. </w:t>
            </w:r>
            <w:r w:rsidRPr="002E337B">
              <w:rPr>
                <w:sz w:val="20"/>
              </w:rPr>
              <w:t>La Cour d’appel fédérale est d’accord avec cette conclusion.</w:t>
            </w:r>
          </w:p>
        </w:tc>
      </w:tr>
      <w:tr w:rsidR="00115551" w:rsidRPr="002E337B" w:rsidTr="00E95A6A">
        <w:tc>
          <w:tcPr>
            <w:tcW w:w="5000" w:type="pct"/>
            <w:gridSpan w:val="4"/>
          </w:tcPr>
          <w:p w:rsidR="00115551" w:rsidRPr="002E337B" w:rsidRDefault="00115551" w:rsidP="00115551">
            <w:pPr>
              <w:jc w:val="both"/>
              <w:rPr>
                <w:sz w:val="20"/>
              </w:rPr>
            </w:pPr>
            <w:r w:rsidRPr="002E337B">
              <w:rPr>
                <w:sz w:val="20"/>
              </w:rPr>
              <w:t xml:space="preserve"> </w:t>
            </w:r>
          </w:p>
        </w:tc>
      </w:tr>
      <w:tr w:rsidR="00115551" w:rsidRPr="002E337B" w:rsidTr="00E95A6A">
        <w:tc>
          <w:tcPr>
            <w:tcW w:w="2427" w:type="pct"/>
            <w:gridSpan w:val="2"/>
          </w:tcPr>
          <w:p w:rsidR="00115551" w:rsidRPr="002E337B" w:rsidRDefault="00115551" w:rsidP="00115551">
            <w:pPr>
              <w:jc w:val="both"/>
              <w:rPr>
                <w:sz w:val="20"/>
                <w:lang w:val="fr-CA"/>
              </w:rPr>
            </w:pPr>
            <w:r w:rsidRPr="002E337B">
              <w:rPr>
                <w:sz w:val="20"/>
                <w:lang w:val="fr-CA"/>
              </w:rPr>
              <w:t>Le 14 septembre 2021</w:t>
            </w:r>
          </w:p>
          <w:p w:rsidR="00115551" w:rsidRPr="002E337B" w:rsidRDefault="00115551" w:rsidP="00115551">
            <w:pPr>
              <w:jc w:val="both"/>
              <w:rPr>
                <w:sz w:val="20"/>
                <w:lang w:val="fr-CA"/>
              </w:rPr>
            </w:pPr>
            <w:r w:rsidRPr="002E337B">
              <w:rPr>
                <w:sz w:val="20"/>
                <w:lang w:val="fr-CA"/>
              </w:rPr>
              <w:t>Cour fédérale</w:t>
            </w:r>
          </w:p>
          <w:p w:rsidR="00115551" w:rsidRPr="002E337B" w:rsidRDefault="00115551" w:rsidP="00115551">
            <w:pPr>
              <w:jc w:val="both"/>
              <w:rPr>
                <w:sz w:val="20"/>
                <w:lang w:val="fr-CA"/>
              </w:rPr>
            </w:pPr>
            <w:r w:rsidRPr="002E337B">
              <w:rPr>
                <w:sz w:val="20"/>
                <w:lang w:val="fr-CA"/>
              </w:rPr>
              <w:t>(le juge McHaffie)</w:t>
            </w:r>
          </w:p>
          <w:p w:rsidR="00115551" w:rsidRPr="002E337B" w:rsidRDefault="002E337B" w:rsidP="00115551">
            <w:pPr>
              <w:jc w:val="both"/>
              <w:rPr>
                <w:sz w:val="20"/>
              </w:rPr>
            </w:pPr>
            <w:hyperlink r:id="rId49" w:history="1">
              <w:r w:rsidR="00115551" w:rsidRPr="002E337B">
                <w:rPr>
                  <w:rStyle w:val="Hyperlink"/>
                  <w:sz w:val="20"/>
                </w:rPr>
                <w:t>2021 CF 942</w:t>
              </w:r>
            </w:hyperlink>
          </w:p>
          <w:p w:rsidR="00115551" w:rsidRPr="002E337B" w:rsidRDefault="00115551" w:rsidP="00115551">
            <w:pPr>
              <w:jc w:val="both"/>
              <w:rPr>
                <w:sz w:val="20"/>
              </w:rPr>
            </w:pPr>
          </w:p>
        </w:tc>
        <w:tc>
          <w:tcPr>
            <w:tcW w:w="243" w:type="pct"/>
          </w:tcPr>
          <w:p w:rsidR="00115551" w:rsidRPr="002E337B" w:rsidRDefault="00115551" w:rsidP="00115551">
            <w:pPr>
              <w:jc w:val="both"/>
              <w:rPr>
                <w:sz w:val="20"/>
              </w:rPr>
            </w:pPr>
          </w:p>
        </w:tc>
        <w:tc>
          <w:tcPr>
            <w:tcW w:w="2330" w:type="pct"/>
          </w:tcPr>
          <w:p w:rsidR="00115551" w:rsidRPr="002E337B" w:rsidRDefault="00115551" w:rsidP="00115551">
            <w:pPr>
              <w:jc w:val="both"/>
              <w:rPr>
                <w:sz w:val="20"/>
                <w:lang w:val="fr-CA"/>
              </w:rPr>
            </w:pPr>
            <w:r w:rsidRPr="002E337B">
              <w:rPr>
                <w:sz w:val="20"/>
                <w:lang w:val="fr-CA"/>
              </w:rPr>
              <w:t>Requête de l’intimé pour radiation de parties de l’avis de demande de la demanderesse accueillie en partie</w:t>
            </w:r>
          </w:p>
          <w:p w:rsidR="00115551" w:rsidRPr="002E337B" w:rsidRDefault="00115551" w:rsidP="00115551">
            <w:pPr>
              <w:jc w:val="both"/>
              <w:rPr>
                <w:sz w:val="20"/>
                <w:lang w:val="fr-CA"/>
              </w:rPr>
            </w:pPr>
          </w:p>
        </w:tc>
      </w:tr>
      <w:tr w:rsidR="00115551" w:rsidRPr="002E337B" w:rsidTr="00E95A6A">
        <w:tc>
          <w:tcPr>
            <w:tcW w:w="2427" w:type="pct"/>
            <w:gridSpan w:val="2"/>
          </w:tcPr>
          <w:p w:rsidR="00115551" w:rsidRPr="002E337B" w:rsidRDefault="00115551" w:rsidP="00115551">
            <w:pPr>
              <w:jc w:val="both"/>
              <w:rPr>
                <w:sz w:val="20"/>
                <w:lang w:val="fr-CA"/>
              </w:rPr>
            </w:pPr>
            <w:r w:rsidRPr="002E337B">
              <w:rPr>
                <w:sz w:val="20"/>
                <w:lang w:val="fr-CA"/>
              </w:rPr>
              <w:t>Le 15 septembre 2022</w:t>
            </w:r>
          </w:p>
          <w:p w:rsidR="00115551" w:rsidRPr="002E337B" w:rsidRDefault="00115551" w:rsidP="00115551">
            <w:pPr>
              <w:jc w:val="both"/>
              <w:rPr>
                <w:sz w:val="20"/>
                <w:lang w:val="fr-CA"/>
              </w:rPr>
            </w:pPr>
            <w:r w:rsidRPr="002E337B">
              <w:rPr>
                <w:sz w:val="20"/>
                <w:lang w:val="fr-CA"/>
              </w:rPr>
              <w:t>Cour d’appel fédérale</w:t>
            </w:r>
          </w:p>
          <w:p w:rsidR="00115551" w:rsidRPr="002E337B" w:rsidRDefault="00115551" w:rsidP="00115551">
            <w:pPr>
              <w:jc w:val="both"/>
              <w:rPr>
                <w:sz w:val="20"/>
                <w:lang w:val="fr-CA"/>
              </w:rPr>
            </w:pPr>
            <w:r w:rsidRPr="002E337B">
              <w:rPr>
                <w:sz w:val="20"/>
                <w:lang w:val="fr-CA"/>
              </w:rPr>
              <w:t>(les juges Boivin, Gleason et LeBlanc)</w:t>
            </w:r>
          </w:p>
          <w:p w:rsidR="00115551" w:rsidRPr="002E337B" w:rsidRDefault="002E337B" w:rsidP="00115551">
            <w:pPr>
              <w:jc w:val="both"/>
              <w:rPr>
                <w:sz w:val="20"/>
              </w:rPr>
            </w:pPr>
            <w:hyperlink r:id="rId50" w:history="1">
              <w:r w:rsidR="00115551" w:rsidRPr="002E337B">
                <w:rPr>
                  <w:rStyle w:val="Hyperlink"/>
                  <w:sz w:val="20"/>
                </w:rPr>
                <w:t>2022 CAF 156</w:t>
              </w:r>
            </w:hyperlink>
            <w:r w:rsidR="00115551" w:rsidRPr="002E337B">
              <w:rPr>
                <w:sz w:val="20"/>
              </w:rPr>
              <w:t xml:space="preserve"> (Dossier : A-249-21)</w:t>
            </w:r>
          </w:p>
          <w:p w:rsidR="00115551" w:rsidRPr="002E337B" w:rsidRDefault="00115551" w:rsidP="00115551">
            <w:pPr>
              <w:jc w:val="both"/>
              <w:rPr>
                <w:sz w:val="20"/>
              </w:rPr>
            </w:pPr>
          </w:p>
        </w:tc>
        <w:tc>
          <w:tcPr>
            <w:tcW w:w="243" w:type="pct"/>
          </w:tcPr>
          <w:p w:rsidR="00115551" w:rsidRPr="002E337B" w:rsidRDefault="00115551" w:rsidP="00115551">
            <w:pPr>
              <w:jc w:val="both"/>
              <w:rPr>
                <w:sz w:val="20"/>
              </w:rPr>
            </w:pPr>
          </w:p>
        </w:tc>
        <w:tc>
          <w:tcPr>
            <w:tcW w:w="2330" w:type="pct"/>
          </w:tcPr>
          <w:p w:rsidR="00115551" w:rsidRPr="002E337B" w:rsidRDefault="00115551" w:rsidP="00115551">
            <w:pPr>
              <w:jc w:val="both"/>
              <w:rPr>
                <w:sz w:val="20"/>
                <w:lang w:val="fr-CA"/>
              </w:rPr>
            </w:pPr>
            <w:r w:rsidRPr="002E337B">
              <w:rPr>
                <w:sz w:val="20"/>
                <w:lang w:val="fr-CA"/>
              </w:rPr>
              <w:t xml:space="preserve">Appel de la demanderesse accueilli en partie; appel incident de l’intimé rejeté </w:t>
            </w:r>
          </w:p>
        </w:tc>
      </w:tr>
      <w:tr w:rsidR="00115551" w:rsidRPr="002E337B" w:rsidTr="00E95A6A">
        <w:tc>
          <w:tcPr>
            <w:tcW w:w="2427" w:type="pct"/>
            <w:gridSpan w:val="2"/>
          </w:tcPr>
          <w:p w:rsidR="00115551" w:rsidRPr="002E337B" w:rsidRDefault="00115551" w:rsidP="00115551">
            <w:pPr>
              <w:jc w:val="both"/>
              <w:rPr>
                <w:sz w:val="20"/>
                <w:lang w:val="fr-CA"/>
              </w:rPr>
            </w:pPr>
            <w:r w:rsidRPr="002E337B">
              <w:rPr>
                <w:sz w:val="20"/>
                <w:lang w:val="fr-CA"/>
              </w:rPr>
              <w:t>Le 14 novembre 2022</w:t>
            </w:r>
          </w:p>
          <w:p w:rsidR="00115551" w:rsidRPr="002E337B" w:rsidRDefault="00115551" w:rsidP="00115551">
            <w:pPr>
              <w:jc w:val="both"/>
              <w:rPr>
                <w:sz w:val="20"/>
                <w:lang w:val="fr-CA"/>
              </w:rPr>
            </w:pPr>
            <w:r w:rsidRPr="002E337B">
              <w:rPr>
                <w:sz w:val="20"/>
                <w:lang w:val="fr-CA"/>
              </w:rPr>
              <w:t>Cour suprême du Canada</w:t>
            </w:r>
          </w:p>
        </w:tc>
        <w:tc>
          <w:tcPr>
            <w:tcW w:w="243" w:type="pct"/>
          </w:tcPr>
          <w:p w:rsidR="00115551" w:rsidRPr="002E337B" w:rsidRDefault="00115551" w:rsidP="00115551">
            <w:pPr>
              <w:jc w:val="both"/>
              <w:rPr>
                <w:sz w:val="20"/>
                <w:lang w:val="fr-CA"/>
              </w:rPr>
            </w:pPr>
          </w:p>
        </w:tc>
        <w:tc>
          <w:tcPr>
            <w:tcW w:w="2330" w:type="pct"/>
          </w:tcPr>
          <w:p w:rsidR="00115551" w:rsidRPr="002E337B" w:rsidRDefault="00115551" w:rsidP="00115551">
            <w:pPr>
              <w:jc w:val="both"/>
              <w:rPr>
                <w:sz w:val="20"/>
              </w:rPr>
            </w:pPr>
            <w:r w:rsidRPr="002E337B">
              <w:rPr>
                <w:sz w:val="20"/>
              </w:rPr>
              <w:t>Demande d’autorisation d’appel déposée</w:t>
            </w:r>
          </w:p>
          <w:p w:rsidR="00115551" w:rsidRPr="002E337B" w:rsidRDefault="00115551" w:rsidP="00115551">
            <w:pPr>
              <w:jc w:val="both"/>
              <w:rPr>
                <w:sz w:val="20"/>
              </w:rPr>
            </w:pPr>
          </w:p>
        </w:tc>
      </w:tr>
    </w:tbl>
    <w:p w:rsidR="00115551" w:rsidRPr="002E337B" w:rsidRDefault="00115551" w:rsidP="00115551">
      <w:pPr>
        <w:jc w:val="both"/>
        <w:rPr>
          <w:sz w:val="20"/>
        </w:rPr>
      </w:pPr>
    </w:p>
    <w:p w:rsidR="00115551" w:rsidRPr="002E337B" w:rsidRDefault="002E337B" w:rsidP="00115551">
      <w:pPr>
        <w:jc w:val="both"/>
        <w:rPr>
          <w:sz w:val="20"/>
        </w:rPr>
      </w:pPr>
      <w:r w:rsidRPr="002E337B">
        <w:rPr>
          <w:sz w:val="20"/>
        </w:rPr>
        <w:pict>
          <v:rect id="_x0000_i1046" style="width:2in;height:1pt" o:hrpct="0" o:hralign="center" o:hrstd="t" o:hrnoshade="t" o:hr="t" fillcolor="black [3213]" stroked="f"/>
        </w:pict>
      </w:r>
    </w:p>
    <w:p w:rsidR="00115551" w:rsidRPr="002E337B" w:rsidRDefault="00115551" w:rsidP="001155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15551" w:rsidRPr="002E337B" w:rsidTr="00E95A6A">
        <w:tc>
          <w:tcPr>
            <w:tcW w:w="543" w:type="pct"/>
          </w:tcPr>
          <w:p w:rsidR="00115551" w:rsidRPr="002E337B" w:rsidRDefault="00115551" w:rsidP="00115551">
            <w:pPr>
              <w:jc w:val="both"/>
              <w:rPr>
                <w:sz w:val="20"/>
              </w:rPr>
            </w:pPr>
            <w:r w:rsidRPr="002E337B">
              <w:rPr>
                <w:rStyle w:val="SCCFileNumberChar"/>
                <w:sz w:val="20"/>
                <w:szCs w:val="20"/>
              </w:rPr>
              <w:t>36987</w:t>
            </w:r>
          </w:p>
        </w:tc>
        <w:tc>
          <w:tcPr>
            <w:tcW w:w="4457" w:type="pct"/>
            <w:gridSpan w:val="3"/>
          </w:tcPr>
          <w:p w:rsidR="00115551" w:rsidRPr="002E337B" w:rsidRDefault="00115551" w:rsidP="00115551">
            <w:pPr>
              <w:pStyle w:val="SCCLsocParty"/>
              <w:jc w:val="both"/>
              <w:rPr>
                <w:b/>
                <w:sz w:val="20"/>
                <w:szCs w:val="20"/>
                <w:lang w:val="en-US"/>
              </w:rPr>
            </w:pPr>
            <w:r w:rsidRPr="002E337B">
              <w:rPr>
                <w:b/>
                <w:sz w:val="20"/>
                <w:szCs w:val="20"/>
                <w:lang w:val="en-US"/>
              </w:rPr>
              <w:t>C.M. v. His Majesty the King</w:t>
            </w:r>
          </w:p>
          <w:p w:rsidR="00115551" w:rsidRPr="002E337B" w:rsidRDefault="00115551" w:rsidP="00115551">
            <w:pPr>
              <w:jc w:val="both"/>
              <w:rPr>
                <w:sz w:val="20"/>
              </w:rPr>
            </w:pPr>
            <w:r w:rsidRPr="002E337B">
              <w:rPr>
                <w:sz w:val="20"/>
              </w:rPr>
              <w:t>(Alta.) (Criminal) (By Leave)</w:t>
            </w:r>
          </w:p>
        </w:tc>
      </w:tr>
      <w:tr w:rsidR="00115551" w:rsidRPr="002E337B" w:rsidTr="00E95A6A">
        <w:tc>
          <w:tcPr>
            <w:tcW w:w="5000" w:type="pct"/>
            <w:gridSpan w:val="4"/>
          </w:tcPr>
          <w:p w:rsidR="00115551" w:rsidRPr="002E337B" w:rsidRDefault="00115551" w:rsidP="00115551">
            <w:pPr>
              <w:pStyle w:val="SCCBanSummary"/>
              <w:rPr>
                <w:sz w:val="20"/>
                <w:szCs w:val="20"/>
              </w:rPr>
            </w:pPr>
            <w:r w:rsidRPr="002E337B">
              <w:rPr>
                <w:sz w:val="20"/>
                <w:szCs w:val="20"/>
              </w:rPr>
              <w:t>(Publication ban on party)</w:t>
            </w:r>
          </w:p>
          <w:p w:rsidR="00115551" w:rsidRPr="002E337B" w:rsidRDefault="00115551" w:rsidP="00115551">
            <w:pPr>
              <w:jc w:val="both"/>
              <w:rPr>
                <w:sz w:val="20"/>
              </w:rPr>
            </w:pPr>
          </w:p>
        </w:tc>
      </w:tr>
      <w:tr w:rsidR="00115551" w:rsidRPr="002E337B" w:rsidTr="00E95A6A">
        <w:tc>
          <w:tcPr>
            <w:tcW w:w="5000" w:type="pct"/>
            <w:gridSpan w:val="4"/>
          </w:tcPr>
          <w:p w:rsidR="00115551" w:rsidRPr="002E337B" w:rsidRDefault="00115551" w:rsidP="00115551">
            <w:pPr>
              <w:jc w:val="both"/>
              <w:rPr>
                <w:sz w:val="20"/>
              </w:rPr>
            </w:pPr>
            <w:r w:rsidRPr="002E337B">
              <w:rPr>
                <w:sz w:val="20"/>
              </w:rPr>
              <w:t xml:space="preserve">Criminal law — Sentence appeal — Whether the lower courts erred in their analysis of s. 72 </w:t>
            </w:r>
            <w:r w:rsidRPr="002E337B">
              <w:rPr>
                <w:i/>
                <w:sz w:val="20"/>
              </w:rPr>
              <w:t>YCJA</w:t>
            </w:r>
            <w:r w:rsidRPr="002E337B">
              <w:rPr>
                <w:sz w:val="20"/>
              </w:rPr>
              <w:t xml:space="preserve"> — Whether the lower courts erred in concluding that the presumption of diminished moral blameworthiness was rebutted, and in finding that a youth sentence wasn’t an appropriate sentence — Whether the sentence was unfair, unfit and unreasonable in all of the circumstances — Fresh evidence.</w:t>
            </w:r>
          </w:p>
        </w:tc>
      </w:tr>
      <w:tr w:rsidR="00115551" w:rsidRPr="002E337B" w:rsidTr="00E95A6A">
        <w:tc>
          <w:tcPr>
            <w:tcW w:w="5000" w:type="pct"/>
            <w:gridSpan w:val="4"/>
          </w:tcPr>
          <w:p w:rsidR="00115551" w:rsidRPr="002E337B" w:rsidRDefault="00115551" w:rsidP="00115551">
            <w:pPr>
              <w:jc w:val="both"/>
              <w:rPr>
                <w:sz w:val="20"/>
              </w:rPr>
            </w:pPr>
          </w:p>
          <w:p w:rsidR="00115551" w:rsidRPr="002E337B" w:rsidRDefault="00115551" w:rsidP="00115551">
            <w:pPr>
              <w:jc w:val="both"/>
              <w:rPr>
                <w:sz w:val="20"/>
              </w:rPr>
            </w:pPr>
            <w:r w:rsidRPr="002E337B">
              <w:rPr>
                <w:color w:val="000000"/>
                <w:sz w:val="20"/>
              </w:rPr>
              <w:t>The applicant was convicted of first degree murder.</w:t>
            </w:r>
            <w:r w:rsidRPr="002E337B">
              <w:rPr>
                <w:sz w:val="20"/>
              </w:rPr>
              <w:t xml:space="preserve"> The applicant was sentenced as an adult to life imprisonment without parole eligibility for 10 years. The Court of Appeal dismissed the sentence appeal. </w:t>
            </w:r>
          </w:p>
          <w:p w:rsidR="00115551" w:rsidRPr="002E337B" w:rsidRDefault="00115551" w:rsidP="00115551">
            <w:pPr>
              <w:jc w:val="both"/>
              <w:rPr>
                <w:sz w:val="20"/>
              </w:rPr>
            </w:pPr>
          </w:p>
        </w:tc>
      </w:tr>
      <w:tr w:rsidR="00115551" w:rsidRPr="002E337B" w:rsidTr="00E95A6A">
        <w:tc>
          <w:tcPr>
            <w:tcW w:w="2427" w:type="pct"/>
            <w:gridSpan w:val="2"/>
          </w:tcPr>
          <w:p w:rsidR="00115551" w:rsidRPr="002E337B" w:rsidRDefault="00115551" w:rsidP="00115551">
            <w:pPr>
              <w:jc w:val="both"/>
              <w:rPr>
                <w:sz w:val="20"/>
              </w:rPr>
            </w:pPr>
            <w:r w:rsidRPr="002E337B">
              <w:rPr>
                <w:sz w:val="20"/>
              </w:rPr>
              <w:t>February 27, 2015</w:t>
            </w:r>
          </w:p>
          <w:p w:rsidR="00115551" w:rsidRPr="002E337B" w:rsidRDefault="00115551" w:rsidP="00115551">
            <w:pPr>
              <w:jc w:val="both"/>
              <w:rPr>
                <w:sz w:val="20"/>
              </w:rPr>
            </w:pPr>
            <w:r w:rsidRPr="002E337B">
              <w:rPr>
                <w:sz w:val="20"/>
              </w:rPr>
              <w:t>Court of Queen’s Bench of Alberta</w:t>
            </w:r>
          </w:p>
          <w:p w:rsidR="00115551" w:rsidRPr="002E337B" w:rsidRDefault="00115551" w:rsidP="00115551">
            <w:pPr>
              <w:jc w:val="both"/>
              <w:rPr>
                <w:sz w:val="20"/>
              </w:rPr>
            </w:pPr>
            <w:r w:rsidRPr="002E337B">
              <w:rPr>
                <w:sz w:val="20"/>
              </w:rPr>
              <w:t>(Moreau J.)</w:t>
            </w:r>
          </w:p>
          <w:p w:rsidR="00115551" w:rsidRPr="002E337B" w:rsidRDefault="002E337B" w:rsidP="00115551">
            <w:pPr>
              <w:jc w:val="both"/>
              <w:rPr>
                <w:sz w:val="20"/>
              </w:rPr>
            </w:pPr>
            <w:hyperlink r:id="rId51" w:history="1">
              <w:r w:rsidR="00115551" w:rsidRPr="002E337B">
                <w:rPr>
                  <w:rStyle w:val="Hyperlink"/>
                  <w:sz w:val="20"/>
                </w:rPr>
                <w:t>2015 ABQB 134</w:t>
              </w:r>
            </w:hyperlink>
          </w:p>
          <w:p w:rsidR="00115551" w:rsidRPr="002E337B" w:rsidRDefault="00115551" w:rsidP="00115551">
            <w:pPr>
              <w:jc w:val="both"/>
              <w:rPr>
                <w:sz w:val="20"/>
              </w:rPr>
            </w:pPr>
          </w:p>
        </w:tc>
        <w:tc>
          <w:tcPr>
            <w:tcW w:w="243" w:type="pct"/>
          </w:tcPr>
          <w:p w:rsidR="00115551" w:rsidRPr="002E337B" w:rsidRDefault="00115551" w:rsidP="00115551">
            <w:pPr>
              <w:jc w:val="both"/>
              <w:rPr>
                <w:sz w:val="20"/>
              </w:rPr>
            </w:pPr>
          </w:p>
        </w:tc>
        <w:tc>
          <w:tcPr>
            <w:tcW w:w="2330" w:type="pct"/>
          </w:tcPr>
          <w:p w:rsidR="00115551" w:rsidRPr="002E337B" w:rsidRDefault="00115551" w:rsidP="00115551">
            <w:pPr>
              <w:jc w:val="both"/>
              <w:rPr>
                <w:sz w:val="20"/>
              </w:rPr>
            </w:pPr>
            <w:r w:rsidRPr="002E337B">
              <w:rPr>
                <w:sz w:val="20"/>
              </w:rPr>
              <w:t>Sentence imposed: life imprisonment without parole eligibility for 10 years</w:t>
            </w:r>
          </w:p>
          <w:p w:rsidR="00115551" w:rsidRPr="002E337B" w:rsidRDefault="00115551" w:rsidP="00115551">
            <w:pPr>
              <w:jc w:val="both"/>
              <w:rPr>
                <w:sz w:val="20"/>
              </w:rPr>
            </w:pPr>
          </w:p>
        </w:tc>
      </w:tr>
      <w:tr w:rsidR="00115551" w:rsidRPr="002E337B" w:rsidTr="00E95A6A">
        <w:tc>
          <w:tcPr>
            <w:tcW w:w="2427" w:type="pct"/>
            <w:gridSpan w:val="2"/>
          </w:tcPr>
          <w:p w:rsidR="00115551" w:rsidRPr="002E337B" w:rsidRDefault="00115551" w:rsidP="00115551">
            <w:pPr>
              <w:jc w:val="both"/>
              <w:rPr>
                <w:sz w:val="20"/>
              </w:rPr>
            </w:pPr>
            <w:r w:rsidRPr="002E337B">
              <w:rPr>
                <w:sz w:val="20"/>
              </w:rPr>
              <w:t>June 11, 2018</w:t>
            </w:r>
          </w:p>
          <w:p w:rsidR="00115551" w:rsidRPr="002E337B" w:rsidRDefault="00115551" w:rsidP="00115551">
            <w:pPr>
              <w:jc w:val="both"/>
              <w:rPr>
                <w:sz w:val="20"/>
              </w:rPr>
            </w:pPr>
            <w:r w:rsidRPr="002E337B">
              <w:rPr>
                <w:sz w:val="20"/>
              </w:rPr>
              <w:t>Court of Appeal of Alberta (Edmonton)</w:t>
            </w:r>
          </w:p>
          <w:p w:rsidR="00115551" w:rsidRPr="002E337B" w:rsidRDefault="00115551" w:rsidP="00115551">
            <w:pPr>
              <w:jc w:val="both"/>
              <w:rPr>
                <w:sz w:val="20"/>
              </w:rPr>
            </w:pPr>
            <w:r w:rsidRPr="002E337B">
              <w:rPr>
                <w:sz w:val="20"/>
              </w:rPr>
              <w:t>(Fraser C.J., Watson and Slatter JJ.A.)</w:t>
            </w:r>
          </w:p>
          <w:p w:rsidR="00115551" w:rsidRPr="002E337B" w:rsidRDefault="00115551" w:rsidP="00115551">
            <w:pPr>
              <w:jc w:val="both"/>
              <w:rPr>
                <w:sz w:val="20"/>
              </w:rPr>
            </w:pPr>
            <w:r w:rsidRPr="002E337B">
              <w:rPr>
                <w:color w:val="000000"/>
                <w:sz w:val="20"/>
              </w:rPr>
              <w:t>1403-0035-A</w:t>
            </w:r>
            <w:r w:rsidRPr="002E337B">
              <w:rPr>
                <w:sz w:val="20"/>
              </w:rPr>
              <w:t xml:space="preserve">; </w:t>
            </w:r>
            <w:hyperlink r:id="rId52" w:history="1">
              <w:r w:rsidRPr="002E337B">
                <w:rPr>
                  <w:rStyle w:val="Hyperlink"/>
                  <w:sz w:val="20"/>
                </w:rPr>
                <w:t>2018 ABCA 214</w:t>
              </w:r>
            </w:hyperlink>
          </w:p>
          <w:p w:rsidR="00115551" w:rsidRPr="002E337B" w:rsidRDefault="00115551" w:rsidP="00115551">
            <w:pPr>
              <w:jc w:val="both"/>
              <w:rPr>
                <w:sz w:val="20"/>
              </w:rPr>
            </w:pPr>
          </w:p>
        </w:tc>
        <w:tc>
          <w:tcPr>
            <w:tcW w:w="243" w:type="pct"/>
          </w:tcPr>
          <w:p w:rsidR="00115551" w:rsidRPr="002E337B" w:rsidRDefault="00115551" w:rsidP="00115551">
            <w:pPr>
              <w:jc w:val="both"/>
              <w:rPr>
                <w:sz w:val="20"/>
              </w:rPr>
            </w:pPr>
          </w:p>
        </w:tc>
        <w:tc>
          <w:tcPr>
            <w:tcW w:w="2330" w:type="pct"/>
          </w:tcPr>
          <w:p w:rsidR="00115551" w:rsidRPr="002E337B" w:rsidRDefault="00115551" w:rsidP="00115551">
            <w:pPr>
              <w:jc w:val="both"/>
              <w:rPr>
                <w:sz w:val="20"/>
              </w:rPr>
            </w:pPr>
            <w:r w:rsidRPr="002E337B">
              <w:rPr>
                <w:sz w:val="20"/>
              </w:rPr>
              <w:t>Sentence appeal dismissed</w:t>
            </w:r>
          </w:p>
          <w:p w:rsidR="00115551" w:rsidRPr="002E337B" w:rsidRDefault="00115551" w:rsidP="00115551">
            <w:pPr>
              <w:jc w:val="both"/>
              <w:rPr>
                <w:sz w:val="20"/>
              </w:rPr>
            </w:pPr>
          </w:p>
        </w:tc>
      </w:tr>
      <w:tr w:rsidR="00115551" w:rsidRPr="002E337B" w:rsidTr="00E95A6A">
        <w:tc>
          <w:tcPr>
            <w:tcW w:w="2427" w:type="pct"/>
            <w:gridSpan w:val="2"/>
          </w:tcPr>
          <w:p w:rsidR="00115551" w:rsidRPr="002E337B" w:rsidRDefault="00115551" w:rsidP="00115551">
            <w:pPr>
              <w:jc w:val="both"/>
              <w:rPr>
                <w:sz w:val="20"/>
              </w:rPr>
            </w:pPr>
            <w:r w:rsidRPr="002E337B">
              <w:rPr>
                <w:sz w:val="20"/>
              </w:rPr>
              <w:t>October 22, 2021</w:t>
            </w:r>
          </w:p>
          <w:p w:rsidR="00115551" w:rsidRPr="002E337B" w:rsidRDefault="00115551" w:rsidP="00115551">
            <w:pPr>
              <w:jc w:val="both"/>
              <w:rPr>
                <w:sz w:val="20"/>
              </w:rPr>
            </w:pPr>
            <w:r w:rsidRPr="002E337B">
              <w:rPr>
                <w:sz w:val="20"/>
              </w:rPr>
              <w:t>Supreme Court of Canada</w:t>
            </w:r>
          </w:p>
          <w:p w:rsidR="00115551" w:rsidRPr="002E337B" w:rsidRDefault="00115551" w:rsidP="00115551">
            <w:pPr>
              <w:jc w:val="both"/>
              <w:rPr>
                <w:sz w:val="20"/>
              </w:rPr>
            </w:pPr>
          </w:p>
        </w:tc>
        <w:tc>
          <w:tcPr>
            <w:tcW w:w="243" w:type="pct"/>
          </w:tcPr>
          <w:p w:rsidR="00115551" w:rsidRPr="002E337B" w:rsidRDefault="00115551" w:rsidP="00115551">
            <w:pPr>
              <w:jc w:val="both"/>
              <w:rPr>
                <w:sz w:val="20"/>
              </w:rPr>
            </w:pPr>
          </w:p>
        </w:tc>
        <w:tc>
          <w:tcPr>
            <w:tcW w:w="2330" w:type="pct"/>
          </w:tcPr>
          <w:p w:rsidR="00115551" w:rsidRPr="002E337B" w:rsidRDefault="00115551" w:rsidP="00115551">
            <w:pPr>
              <w:jc w:val="both"/>
              <w:rPr>
                <w:sz w:val="20"/>
              </w:rPr>
            </w:pPr>
            <w:r w:rsidRPr="002E337B">
              <w:rPr>
                <w:sz w:val="20"/>
              </w:rPr>
              <w:t>Motion for an extension of time to serve and file the application for leave to appeal and application for leave to appeal filed</w:t>
            </w:r>
          </w:p>
        </w:tc>
      </w:tr>
    </w:tbl>
    <w:p w:rsidR="00115551" w:rsidRPr="002E337B" w:rsidRDefault="00115551" w:rsidP="00115551">
      <w:pPr>
        <w:jc w:val="both"/>
        <w:rPr>
          <w:sz w:val="20"/>
        </w:rPr>
      </w:pPr>
    </w:p>
    <w:p w:rsidR="00115551" w:rsidRPr="002E337B" w:rsidRDefault="002E337B" w:rsidP="00115551">
      <w:pPr>
        <w:jc w:val="both"/>
        <w:rPr>
          <w:sz w:val="20"/>
        </w:rPr>
      </w:pPr>
      <w:r w:rsidRPr="002E337B">
        <w:rPr>
          <w:sz w:val="20"/>
        </w:rPr>
        <w:pict>
          <v:rect id="_x0000_i1047" style="width:2in;height:1pt" o:hrpct="0" o:hralign="center" o:hrstd="t" o:hrnoshade="t" o:hr="t" fillcolor="black [3213]" stroked="f"/>
        </w:pict>
      </w:r>
    </w:p>
    <w:p w:rsidR="00115551" w:rsidRPr="002E337B" w:rsidRDefault="00115551" w:rsidP="001155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15551" w:rsidRPr="002E337B" w:rsidTr="003661D2">
        <w:tc>
          <w:tcPr>
            <w:tcW w:w="543" w:type="pct"/>
          </w:tcPr>
          <w:p w:rsidR="00115551" w:rsidRPr="002E337B" w:rsidRDefault="00115551" w:rsidP="00115551">
            <w:pPr>
              <w:jc w:val="both"/>
              <w:rPr>
                <w:sz w:val="20"/>
                <w:lang w:val="fr-CA"/>
              </w:rPr>
            </w:pPr>
            <w:r w:rsidRPr="002E337B">
              <w:rPr>
                <w:rStyle w:val="SCCFileNumberChar"/>
                <w:sz w:val="20"/>
                <w:szCs w:val="20"/>
                <w:lang w:val="fr-CA"/>
              </w:rPr>
              <w:t>36987</w:t>
            </w:r>
          </w:p>
        </w:tc>
        <w:tc>
          <w:tcPr>
            <w:tcW w:w="4457" w:type="pct"/>
            <w:gridSpan w:val="3"/>
          </w:tcPr>
          <w:p w:rsidR="00115551" w:rsidRPr="002E337B" w:rsidRDefault="00115551" w:rsidP="00115551">
            <w:pPr>
              <w:pStyle w:val="SCCLsocParty"/>
              <w:jc w:val="both"/>
              <w:rPr>
                <w:b/>
                <w:sz w:val="20"/>
                <w:szCs w:val="20"/>
              </w:rPr>
            </w:pPr>
            <w:r w:rsidRPr="002E337B">
              <w:rPr>
                <w:b/>
                <w:sz w:val="20"/>
                <w:szCs w:val="20"/>
              </w:rPr>
              <w:t>C.M. c. Sa Majesté le Roi</w:t>
            </w:r>
          </w:p>
          <w:p w:rsidR="00115551" w:rsidRPr="002E337B" w:rsidRDefault="00115551" w:rsidP="00115551">
            <w:pPr>
              <w:jc w:val="both"/>
              <w:rPr>
                <w:sz w:val="20"/>
                <w:lang w:val="fr-CA"/>
              </w:rPr>
            </w:pPr>
            <w:r w:rsidRPr="002E337B">
              <w:rPr>
                <w:sz w:val="20"/>
                <w:lang w:val="fr-CA"/>
              </w:rPr>
              <w:t>(Alb.) (Criminelle) (Autorisation)</w:t>
            </w:r>
          </w:p>
        </w:tc>
      </w:tr>
      <w:tr w:rsidR="00115551" w:rsidRPr="002E337B" w:rsidTr="003661D2">
        <w:tc>
          <w:tcPr>
            <w:tcW w:w="5000" w:type="pct"/>
            <w:gridSpan w:val="4"/>
          </w:tcPr>
          <w:p w:rsidR="00115551" w:rsidRPr="002E337B" w:rsidRDefault="00115551" w:rsidP="00115551">
            <w:pPr>
              <w:pStyle w:val="SCCBanSummary"/>
              <w:rPr>
                <w:sz w:val="20"/>
                <w:szCs w:val="20"/>
                <w:lang w:val="fr-CA"/>
              </w:rPr>
            </w:pPr>
            <w:r w:rsidRPr="002E337B">
              <w:rPr>
                <w:sz w:val="20"/>
                <w:szCs w:val="20"/>
                <w:lang w:val="fr-CA"/>
              </w:rPr>
              <w:t>(Ordonnance de non-publication visant une partie)</w:t>
            </w:r>
          </w:p>
          <w:p w:rsidR="00115551" w:rsidRPr="002E337B" w:rsidRDefault="00115551" w:rsidP="00115551">
            <w:pPr>
              <w:jc w:val="both"/>
              <w:rPr>
                <w:sz w:val="20"/>
                <w:lang w:val="fr-CA"/>
              </w:rPr>
            </w:pPr>
          </w:p>
        </w:tc>
      </w:tr>
      <w:tr w:rsidR="00115551" w:rsidRPr="002E337B" w:rsidTr="003661D2">
        <w:tc>
          <w:tcPr>
            <w:tcW w:w="5000" w:type="pct"/>
            <w:gridSpan w:val="4"/>
          </w:tcPr>
          <w:p w:rsidR="00115551" w:rsidRPr="002E337B" w:rsidRDefault="00115551" w:rsidP="00115551">
            <w:pPr>
              <w:jc w:val="both"/>
              <w:rPr>
                <w:sz w:val="20"/>
                <w:lang w:val="fr-CA"/>
              </w:rPr>
            </w:pPr>
            <w:r w:rsidRPr="002E337B">
              <w:rPr>
                <w:sz w:val="20"/>
                <w:lang w:val="fr-CA"/>
              </w:rPr>
              <w:t>Droit criminel — Appel interjeté contre la peine — Les juridictions inférieures ont</w:t>
            </w:r>
            <w:r w:rsidRPr="002E337B">
              <w:rPr>
                <w:sz w:val="20"/>
                <w:lang w:val="fr-CA"/>
              </w:rPr>
              <w:noBreakHyphen/>
              <w:t>elles commis une erreur dans leur analyse de l’art. 72 de la</w:t>
            </w:r>
            <w:r w:rsidRPr="002E337B">
              <w:rPr>
                <w:i/>
                <w:sz w:val="20"/>
                <w:lang w:val="fr-CA"/>
              </w:rPr>
              <w:t xml:space="preserve"> LSJPE</w:t>
            </w:r>
            <w:r w:rsidRPr="002E337B">
              <w:rPr>
                <w:sz w:val="20"/>
                <w:lang w:val="fr-CA"/>
              </w:rPr>
              <w:t>?</w:t>
            </w:r>
            <w:r w:rsidRPr="002E337B">
              <w:rPr>
                <w:i/>
                <w:sz w:val="20"/>
                <w:lang w:val="fr-CA"/>
              </w:rPr>
              <w:t xml:space="preserve"> </w:t>
            </w:r>
            <w:r w:rsidRPr="002E337B">
              <w:rPr>
                <w:sz w:val="20"/>
                <w:lang w:val="fr-CA"/>
              </w:rPr>
              <w:t>— Les juridictions inférieures ont</w:t>
            </w:r>
            <w:r w:rsidRPr="002E337B">
              <w:rPr>
                <w:sz w:val="20"/>
                <w:lang w:val="fr-CA"/>
              </w:rPr>
              <w:noBreakHyphen/>
              <w:t>elles commis une erreur en concluant que la présomption de culpabilité morale moins élevée avait été réfutée et qu’une peine spécifique n’était pas une peine appropriée? — La peine était</w:t>
            </w:r>
            <w:r w:rsidRPr="002E337B">
              <w:rPr>
                <w:sz w:val="20"/>
                <w:lang w:val="fr-CA"/>
              </w:rPr>
              <w:noBreakHyphen/>
              <w:t>elle injuste, inadéquate et déraisonnable compte tenu de toutes les circonstances? — Nouvel élément de preuve.</w:t>
            </w:r>
          </w:p>
        </w:tc>
      </w:tr>
      <w:tr w:rsidR="00115551" w:rsidRPr="002E337B" w:rsidTr="003661D2">
        <w:tc>
          <w:tcPr>
            <w:tcW w:w="5000" w:type="pct"/>
            <w:gridSpan w:val="4"/>
          </w:tcPr>
          <w:p w:rsidR="00115551" w:rsidRPr="002E337B" w:rsidRDefault="00115551" w:rsidP="00115551">
            <w:pPr>
              <w:jc w:val="both"/>
              <w:rPr>
                <w:sz w:val="20"/>
                <w:lang w:val="fr-CA"/>
              </w:rPr>
            </w:pPr>
          </w:p>
          <w:p w:rsidR="00115551" w:rsidRPr="002E337B" w:rsidRDefault="00115551" w:rsidP="00115551">
            <w:pPr>
              <w:jc w:val="both"/>
              <w:rPr>
                <w:color w:val="000000"/>
                <w:sz w:val="20"/>
                <w:lang w:val="fr-CA"/>
              </w:rPr>
            </w:pPr>
            <w:r w:rsidRPr="002E337B">
              <w:rPr>
                <w:color w:val="000000"/>
                <w:sz w:val="20"/>
                <w:lang w:val="fr-CA"/>
              </w:rPr>
              <w:t>Le demandeur a été déclaré coupable de meurtre au premier degré. Le demandeur s’est vu infliger une peine d’emprisonnement à perpétuité comme s’il était un adulte sans possibilité de libération conditionnelle avant 10 ans. La Cour d’appel a rejeté l’appel interjeté contre la peine.</w:t>
            </w:r>
          </w:p>
          <w:p w:rsidR="00115551" w:rsidRPr="002E337B" w:rsidRDefault="00115551" w:rsidP="00115551">
            <w:pPr>
              <w:jc w:val="both"/>
              <w:rPr>
                <w:sz w:val="20"/>
                <w:lang w:val="fr-CA"/>
              </w:rPr>
            </w:pPr>
          </w:p>
        </w:tc>
      </w:tr>
      <w:tr w:rsidR="00115551" w:rsidRPr="002E337B" w:rsidTr="003661D2">
        <w:tc>
          <w:tcPr>
            <w:tcW w:w="2427" w:type="pct"/>
            <w:gridSpan w:val="2"/>
          </w:tcPr>
          <w:p w:rsidR="00115551" w:rsidRPr="002E337B" w:rsidRDefault="00115551" w:rsidP="00115551">
            <w:pPr>
              <w:jc w:val="both"/>
              <w:rPr>
                <w:sz w:val="20"/>
                <w:lang w:val="fr-CA"/>
              </w:rPr>
            </w:pPr>
            <w:r w:rsidRPr="002E337B">
              <w:rPr>
                <w:sz w:val="20"/>
                <w:lang w:val="fr-CA"/>
              </w:rPr>
              <w:t>27 février 2015</w:t>
            </w:r>
          </w:p>
          <w:p w:rsidR="00115551" w:rsidRPr="002E337B" w:rsidRDefault="00115551" w:rsidP="00115551">
            <w:pPr>
              <w:jc w:val="both"/>
              <w:rPr>
                <w:sz w:val="20"/>
                <w:lang w:val="fr-CA"/>
              </w:rPr>
            </w:pPr>
            <w:r w:rsidRPr="002E337B">
              <w:rPr>
                <w:sz w:val="20"/>
                <w:lang w:val="fr-CA"/>
              </w:rPr>
              <w:t>Cour du banc de la Reine de l’Alberta</w:t>
            </w:r>
          </w:p>
          <w:p w:rsidR="00115551" w:rsidRPr="002E337B" w:rsidRDefault="00115551" w:rsidP="00115551">
            <w:pPr>
              <w:jc w:val="both"/>
              <w:rPr>
                <w:sz w:val="20"/>
                <w:lang w:val="fr-CA"/>
              </w:rPr>
            </w:pPr>
            <w:r w:rsidRPr="002E337B">
              <w:rPr>
                <w:sz w:val="20"/>
                <w:lang w:val="fr-CA"/>
              </w:rPr>
              <w:t>(juge Moreau)</w:t>
            </w:r>
          </w:p>
          <w:p w:rsidR="00115551" w:rsidRPr="002E337B" w:rsidRDefault="002E337B" w:rsidP="00115551">
            <w:pPr>
              <w:jc w:val="both"/>
              <w:rPr>
                <w:sz w:val="20"/>
                <w:lang w:val="fr-CA"/>
              </w:rPr>
            </w:pPr>
            <w:hyperlink r:id="rId53" w:history="1">
              <w:r w:rsidR="00115551" w:rsidRPr="002E337B">
                <w:rPr>
                  <w:rStyle w:val="Hyperlink"/>
                  <w:sz w:val="20"/>
                  <w:lang w:val="fr-CA"/>
                </w:rPr>
                <w:t>2015 ABQB 134</w:t>
              </w:r>
            </w:hyperlink>
          </w:p>
          <w:p w:rsidR="00115551" w:rsidRPr="002E337B" w:rsidRDefault="00115551" w:rsidP="00115551">
            <w:pPr>
              <w:jc w:val="both"/>
              <w:rPr>
                <w:sz w:val="20"/>
                <w:lang w:val="fr-CA"/>
              </w:rPr>
            </w:pPr>
          </w:p>
        </w:tc>
        <w:tc>
          <w:tcPr>
            <w:tcW w:w="243" w:type="pct"/>
          </w:tcPr>
          <w:p w:rsidR="00115551" w:rsidRPr="002E337B" w:rsidRDefault="00115551" w:rsidP="00115551">
            <w:pPr>
              <w:jc w:val="both"/>
              <w:rPr>
                <w:sz w:val="20"/>
                <w:lang w:val="fr-CA"/>
              </w:rPr>
            </w:pPr>
          </w:p>
        </w:tc>
        <w:tc>
          <w:tcPr>
            <w:tcW w:w="2330" w:type="pct"/>
          </w:tcPr>
          <w:p w:rsidR="00115551" w:rsidRPr="002E337B" w:rsidRDefault="00115551" w:rsidP="00115551">
            <w:pPr>
              <w:jc w:val="both"/>
              <w:rPr>
                <w:sz w:val="20"/>
                <w:lang w:val="fr-CA"/>
              </w:rPr>
            </w:pPr>
            <w:r w:rsidRPr="002E337B">
              <w:rPr>
                <w:sz w:val="20"/>
                <w:lang w:val="fr-CA"/>
              </w:rPr>
              <w:t xml:space="preserve">Peine infligée : emprisonnement à perpétuité sans possibilité de libération conditionnelle avant 10 ans </w:t>
            </w:r>
          </w:p>
          <w:p w:rsidR="00115551" w:rsidRPr="002E337B" w:rsidRDefault="00115551" w:rsidP="00115551">
            <w:pPr>
              <w:jc w:val="both"/>
              <w:rPr>
                <w:sz w:val="20"/>
                <w:lang w:val="fr-CA"/>
              </w:rPr>
            </w:pPr>
          </w:p>
        </w:tc>
      </w:tr>
      <w:tr w:rsidR="00115551" w:rsidRPr="002E337B" w:rsidTr="003661D2">
        <w:tc>
          <w:tcPr>
            <w:tcW w:w="2427" w:type="pct"/>
            <w:gridSpan w:val="2"/>
          </w:tcPr>
          <w:p w:rsidR="00115551" w:rsidRPr="002E337B" w:rsidRDefault="00115551" w:rsidP="00115551">
            <w:pPr>
              <w:tabs>
                <w:tab w:val="left" w:pos="2065"/>
              </w:tabs>
              <w:jc w:val="both"/>
              <w:rPr>
                <w:sz w:val="20"/>
                <w:lang w:val="fr-CA"/>
              </w:rPr>
            </w:pPr>
            <w:r w:rsidRPr="002E337B">
              <w:rPr>
                <w:sz w:val="20"/>
                <w:lang w:val="fr-CA"/>
              </w:rPr>
              <w:t>11 juin 2018</w:t>
            </w:r>
          </w:p>
          <w:p w:rsidR="00115551" w:rsidRPr="002E337B" w:rsidRDefault="00115551" w:rsidP="00115551">
            <w:pPr>
              <w:jc w:val="both"/>
              <w:rPr>
                <w:sz w:val="20"/>
                <w:lang w:val="fr-CA"/>
              </w:rPr>
            </w:pPr>
            <w:r w:rsidRPr="002E337B">
              <w:rPr>
                <w:sz w:val="20"/>
                <w:lang w:val="fr-CA"/>
              </w:rPr>
              <w:t>Cour d’appel de l’Alberta (Edmonton)</w:t>
            </w:r>
          </w:p>
          <w:p w:rsidR="00115551" w:rsidRPr="002E337B" w:rsidRDefault="00115551" w:rsidP="00115551">
            <w:pPr>
              <w:jc w:val="both"/>
              <w:rPr>
                <w:sz w:val="20"/>
                <w:lang w:val="fr-CA"/>
              </w:rPr>
            </w:pPr>
            <w:r w:rsidRPr="002E337B">
              <w:rPr>
                <w:sz w:val="20"/>
                <w:lang w:val="fr-CA"/>
              </w:rPr>
              <w:t>(juge en chef Fraser, juges Watson et Slatter)</w:t>
            </w:r>
          </w:p>
          <w:p w:rsidR="00115551" w:rsidRPr="002E337B" w:rsidRDefault="00115551" w:rsidP="00115551">
            <w:pPr>
              <w:jc w:val="both"/>
              <w:rPr>
                <w:sz w:val="20"/>
                <w:lang w:val="fr-CA"/>
              </w:rPr>
            </w:pPr>
            <w:r w:rsidRPr="002E337B">
              <w:rPr>
                <w:color w:val="000000"/>
                <w:sz w:val="20"/>
                <w:lang w:val="fr-CA"/>
              </w:rPr>
              <w:t>1403-0035-A</w:t>
            </w:r>
            <w:r w:rsidRPr="002E337B">
              <w:rPr>
                <w:sz w:val="20"/>
                <w:lang w:val="fr-CA"/>
              </w:rPr>
              <w:t xml:space="preserve">; </w:t>
            </w:r>
            <w:hyperlink r:id="rId54" w:history="1">
              <w:r w:rsidRPr="002E337B">
                <w:rPr>
                  <w:rStyle w:val="Hyperlink"/>
                  <w:sz w:val="20"/>
                  <w:lang w:val="fr-CA"/>
                </w:rPr>
                <w:t>2018 ABCA 214</w:t>
              </w:r>
            </w:hyperlink>
          </w:p>
          <w:p w:rsidR="00115551" w:rsidRPr="002E337B" w:rsidRDefault="00115551" w:rsidP="00115551">
            <w:pPr>
              <w:jc w:val="both"/>
              <w:rPr>
                <w:sz w:val="20"/>
                <w:lang w:val="fr-CA"/>
              </w:rPr>
            </w:pPr>
          </w:p>
        </w:tc>
        <w:tc>
          <w:tcPr>
            <w:tcW w:w="243" w:type="pct"/>
          </w:tcPr>
          <w:p w:rsidR="00115551" w:rsidRPr="002E337B" w:rsidRDefault="00115551" w:rsidP="00115551">
            <w:pPr>
              <w:jc w:val="both"/>
              <w:rPr>
                <w:sz w:val="20"/>
                <w:lang w:val="fr-CA"/>
              </w:rPr>
            </w:pPr>
          </w:p>
        </w:tc>
        <w:tc>
          <w:tcPr>
            <w:tcW w:w="2330" w:type="pct"/>
          </w:tcPr>
          <w:p w:rsidR="00115551" w:rsidRPr="002E337B" w:rsidRDefault="00115551" w:rsidP="00115551">
            <w:pPr>
              <w:jc w:val="both"/>
              <w:rPr>
                <w:sz w:val="20"/>
                <w:lang w:val="fr-CA"/>
              </w:rPr>
            </w:pPr>
            <w:r w:rsidRPr="002E337B">
              <w:rPr>
                <w:sz w:val="20"/>
                <w:lang w:val="fr-CA"/>
              </w:rPr>
              <w:t xml:space="preserve">Rejet de l’appel interjeté contre la peine </w:t>
            </w:r>
          </w:p>
          <w:p w:rsidR="00115551" w:rsidRPr="002E337B" w:rsidRDefault="00115551" w:rsidP="00115551">
            <w:pPr>
              <w:jc w:val="both"/>
              <w:rPr>
                <w:sz w:val="20"/>
                <w:lang w:val="fr-CA"/>
              </w:rPr>
            </w:pPr>
          </w:p>
        </w:tc>
      </w:tr>
      <w:tr w:rsidR="00115551" w:rsidRPr="002E337B" w:rsidTr="003661D2">
        <w:tc>
          <w:tcPr>
            <w:tcW w:w="2427" w:type="pct"/>
            <w:gridSpan w:val="2"/>
          </w:tcPr>
          <w:p w:rsidR="00115551" w:rsidRPr="002E337B" w:rsidRDefault="00115551" w:rsidP="00115551">
            <w:pPr>
              <w:jc w:val="both"/>
              <w:rPr>
                <w:sz w:val="20"/>
                <w:lang w:val="fr-CA"/>
              </w:rPr>
            </w:pPr>
            <w:r w:rsidRPr="002E337B">
              <w:rPr>
                <w:sz w:val="20"/>
                <w:lang w:val="fr-CA"/>
              </w:rPr>
              <w:t>22 octobre 2021</w:t>
            </w:r>
          </w:p>
          <w:p w:rsidR="00115551" w:rsidRPr="002E337B" w:rsidRDefault="00115551" w:rsidP="00115551">
            <w:pPr>
              <w:jc w:val="both"/>
              <w:rPr>
                <w:sz w:val="20"/>
                <w:lang w:val="fr-CA"/>
              </w:rPr>
            </w:pPr>
            <w:r w:rsidRPr="002E337B">
              <w:rPr>
                <w:sz w:val="20"/>
                <w:lang w:val="fr-CA"/>
              </w:rPr>
              <w:t>Cour suprême du Canada</w:t>
            </w:r>
          </w:p>
          <w:p w:rsidR="00115551" w:rsidRPr="002E337B" w:rsidRDefault="00115551" w:rsidP="00115551">
            <w:pPr>
              <w:jc w:val="both"/>
              <w:rPr>
                <w:sz w:val="20"/>
                <w:lang w:val="fr-CA"/>
              </w:rPr>
            </w:pPr>
          </w:p>
        </w:tc>
        <w:tc>
          <w:tcPr>
            <w:tcW w:w="243" w:type="pct"/>
          </w:tcPr>
          <w:p w:rsidR="00115551" w:rsidRPr="002E337B" w:rsidRDefault="00115551" w:rsidP="00115551">
            <w:pPr>
              <w:jc w:val="both"/>
              <w:rPr>
                <w:sz w:val="20"/>
                <w:lang w:val="fr-CA"/>
              </w:rPr>
            </w:pPr>
          </w:p>
        </w:tc>
        <w:tc>
          <w:tcPr>
            <w:tcW w:w="2330" w:type="pct"/>
          </w:tcPr>
          <w:p w:rsidR="00115551" w:rsidRPr="002E337B" w:rsidRDefault="00115551" w:rsidP="00115551">
            <w:pPr>
              <w:jc w:val="both"/>
              <w:rPr>
                <w:sz w:val="20"/>
                <w:lang w:val="fr-CA"/>
              </w:rPr>
            </w:pPr>
            <w:r w:rsidRPr="002E337B">
              <w:rPr>
                <w:sz w:val="20"/>
                <w:lang w:val="fr-CA"/>
              </w:rPr>
              <w:t xml:space="preserve">Requête en vue de la prorogation du délai pour signifier et déposer la demande d’autorisation d’appel et demande d’autorisation </w:t>
            </w:r>
            <w:proofErr w:type="gramStart"/>
            <w:r w:rsidRPr="002E337B">
              <w:rPr>
                <w:sz w:val="20"/>
                <w:lang w:val="fr-CA"/>
              </w:rPr>
              <w:t>d’appel déposées</w:t>
            </w:r>
            <w:proofErr w:type="gramEnd"/>
          </w:p>
        </w:tc>
      </w:tr>
    </w:tbl>
    <w:p w:rsidR="00115551" w:rsidRPr="002E337B" w:rsidRDefault="00115551" w:rsidP="00115551">
      <w:pPr>
        <w:jc w:val="both"/>
        <w:rPr>
          <w:sz w:val="20"/>
          <w:lang w:val="fr-CA"/>
        </w:rPr>
      </w:pPr>
    </w:p>
    <w:p w:rsidR="00115551" w:rsidRPr="002E337B" w:rsidRDefault="002E337B" w:rsidP="00115551">
      <w:pPr>
        <w:jc w:val="both"/>
        <w:rPr>
          <w:sz w:val="20"/>
          <w:lang w:val="fr-CA"/>
        </w:rPr>
      </w:pPr>
      <w:r w:rsidRPr="002E337B">
        <w:rPr>
          <w:sz w:val="20"/>
        </w:rPr>
        <w:pict>
          <v:rect id="_x0000_i1048" style="width:2in;height:1pt" o:hrpct="0" o:hralign="center" o:hrstd="t" o:hrnoshade="t" o:hr="t" fillcolor="black [3213]" stroked="f"/>
        </w:pict>
      </w:r>
    </w:p>
    <w:p w:rsidR="00115551" w:rsidRPr="002E337B" w:rsidRDefault="00115551" w:rsidP="0011555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15551" w:rsidRPr="002E337B" w:rsidTr="00E95A6A">
        <w:tc>
          <w:tcPr>
            <w:tcW w:w="543" w:type="pct"/>
          </w:tcPr>
          <w:p w:rsidR="00115551" w:rsidRPr="002E337B" w:rsidRDefault="00115551" w:rsidP="00115551">
            <w:pPr>
              <w:jc w:val="both"/>
              <w:rPr>
                <w:sz w:val="20"/>
              </w:rPr>
            </w:pPr>
            <w:r w:rsidRPr="002E337B">
              <w:rPr>
                <w:rStyle w:val="SCCFileNumberChar"/>
                <w:sz w:val="20"/>
                <w:szCs w:val="20"/>
              </w:rPr>
              <w:t>39970</w:t>
            </w:r>
          </w:p>
        </w:tc>
        <w:tc>
          <w:tcPr>
            <w:tcW w:w="4457" w:type="pct"/>
            <w:gridSpan w:val="3"/>
          </w:tcPr>
          <w:p w:rsidR="00115551" w:rsidRPr="002E337B" w:rsidRDefault="00115551" w:rsidP="00115551">
            <w:pPr>
              <w:pStyle w:val="SCCLsocParty"/>
              <w:jc w:val="both"/>
              <w:rPr>
                <w:b/>
                <w:sz w:val="20"/>
                <w:szCs w:val="20"/>
                <w:lang w:val="en-US"/>
              </w:rPr>
            </w:pPr>
            <w:r w:rsidRPr="002E337B">
              <w:rPr>
                <w:b/>
                <w:sz w:val="20"/>
                <w:szCs w:val="20"/>
                <w:lang w:val="en-US"/>
              </w:rPr>
              <w:t>C.G.M. v. His Majesty the King</w:t>
            </w:r>
          </w:p>
          <w:p w:rsidR="00115551" w:rsidRPr="002E337B" w:rsidRDefault="00115551" w:rsidP="00115551">
            <w:pPr>
              <w:jc w:val="both"/>
              <w:rPr>
                <w:sz w:val="20"/>
              </w:rPr>
            </w:pPr>
            <w:r w:rsidRPr="002E337B">
              <w:rPr>
                <w:sz w:val="20"/>
              </w:rPr>
              <w:t>(Alta.) (Criminal) (By Leave)</w:t>
            </w:r>
          </w:p>
        </w:tc>
      </w:tr>
      <w:tr w:rsidR="00115551" w:rsidRPr="002E337B" w:rsidTr="00E95A6A">
        <w:tc>
          <w:tcPr>
            <w:tcW w:w="5000" w:type="pct"/>
            <w:gridSpan w:val="4"/>
          </w:tcPr>
          <w:p w:rsidR="00115551" w:rsidRPr="002E337B" w:rsidRDefault="00115551" w:rsidP="00115551">
            <w:pPr>
              <w:pStyle w:val="SCCBanSummary"/>
              <w:rPr>
                <w:sz w:val="20"/>
                <w:szCs w:val="20"/>
              </w:rPr>
            </w:pPr>
            <w:r w:rsidRPr="002E337B">
              <w:rPr>
                <w:sz w:val="20"/>
                <w:szCs w:val="20"/>
              </w:rPr>
              <w:t>(Publication ban on party)</w:t>
            </w:r>
          </w:p>
          <w:p w:rsidR="00115551" w:rsidRPr="002E337B" w:rsidRDefault="00115551" w:rsidP="00115551">
            <w:pPr>
              <w:jc w:val="both"/>
              <w:rPr>
                <w:sz w:val="20"/>
              </w:rPr>
            </w:pPr>
          </w:p>
        </w:tc>
      </w:tr>
      <w:tr w:rsidR="00115551" w:rsidRPr="002E337B" w:rsidTr="00E95A6A">
        <w:tc>
          <w:tcPr>
            <w:tcW w:w="5000" w:type="pct"/>
            <w:gridSpan w:val="4"/>
          </w:tcPr>
          <w:p w:rsidR="00115551" w:rsidRPr="002E337B" w:rsidRDefault="00115551" w:rsidP="00115551">
            <w:pPr>
              <w:jc w:val="both"/>
              <w:rPr>
                <w:sz w:val="20"/>
              </w:rPr>
            </w:pPr>
            <w:r w:rsidRPr="002E337B">
              <w:rPr>
                <w:sz w:val="20"/>
              </w:rPr>
              <w:t xml:space="preserve">Criminal law — Sentence appeal — Whether there was an error in the s. 72 of the </w:t>
            </w:r>
            <w:r w:rsidRPr="002E337B">
              <w:rPr>
                <w:i/>
                <w:sz w:val="20"/>
              </w:rPr>
              <w:t>YCJA</w:t>
            </w:r>
            <w:r w:rsidRPr="002E337B">
              <w:rPr>
                <w:sz w:val="20"/>
              </w:rPr>
              <w:t xml:space="preserve"> analysis by the lower courts — Whether the Court of Appeal’s reasons are insufficient — Whether there has been an error in the analysis of the applicant’s moral blameworthiness and accountability — Whether the sentence is unfair, unfit and improper — Fresh evidence.</w:t>
            </w:r>
          </w:p>
          <w:p w:rsidR="00115551" w:rsidRPr="002E337B" w:rsidRDefault="00115551" w:rsidP="00115551">
            <w:pPr>
              <w:jc w:val="both"/>
              <w:rPr>
                <w:sz w:val="20"/>
              </w:rPr>
            </w:pPr>
          </w:p>
        </w:tc>
      </w:tr>
      <w:tr w:rsidR="00115551" w:rsidRPr="002E337B" w:rsidTr="00E95A6A">
        <w:tc>
          <w:tcPr>
            <w:tcW w:w="5000" w:type="pct"/>
            <w:gridSpan w:val="4"/>
          </w:tcPr>
          <w:p w:rsidR="00115551" w:rsidRPr="002E337B" w:rsidRDefault="00115551" w:rsidP="00115551">
            <w:pPr>
              <w:jc w:val="both"/>
              <w:rPr>
                <w:sz w:val="20"/>
              </w:rPr>
            </w:pPr>
            <w:r w:rsidRPr="002E337B">
              <w:rPr>
                <w:sz w:val="20"/>
              </w:rPr>
              <w:t xml:space="preserve">The applicant was convicted of manslaughter. The applicant was tried as a young offender and sentenced as an adult. The sentencing judge sentenced him to 11 years’ imprisonment, with credit for two years, and two months of pre-hearing custody. The applicant’s sentence appeal was dismissed. </w:t>
            </w:r>
          </w:p>
          <w:p w:rsidR="00115551" w:rsidRPr="002E337B" w:rsidRDefault="00115551" w:rsidP="00115551">
            <w:pPr>
              <w:jc w:val="both"/>
              <w:rPr>
                <w:sz w:val="20"/>
              </w:rPr>
            </w:pPr>
          </w:p>
        </w:tc>
      </w:tr>
      <w:tr w:rsidR="00115551" w:rsidRPr="002E337B" w:rsidTr="00E95A6A">
        <w:tc>
          <w:tcPr>
            <w:tcW w:w="2427" w:type="pct"/>
            <w:gridSpan w:val="2"/>
          </w:tcPr>
          <w:p w:rsidR="00115551" w:rsidRPr="002E337B" w:rsidRDefault="00115551" w:rsidP="00115551">
            <w:pPr>
              <w:jc w:val="both"/>
              <w:rPr>
                <w:sz w:val="20"/>
              </w:rPr>
            </w:pPr>
            <w:r w:rsidRPr="002E337B">
              <w:rPr>
                <w:sz w:val="20"/>
              </w:rPr>
              <w:t>March 7, 2013</w:t>
            </w:r>
          </w:p>
          <w:p w:rsidR="00115551" w:rsidRPr="002E337B" w:rsidRDefault="00115551" w:rsidP="00115551">
            <w:pPr>
              <w:jc w:val="both"/>
              <w:rPr>
                <w:sz w:val="20"/>
              </w:rPr>
            </w:pPr>
            <w:r w:rsidRPr="002E337B">
              <w:rPr>
                <w:sz w:val="20"/>
              </w:rPr>
              <w:t>Provincial Court of Alberta</w:t>
            </w:r>
          </w:p>
          <w:p w:rsidR="00115551" w:rsidRPr="002E337B" w:rsidRDefault="00115551" w:rsidP="00115551">
            <w:pPr>
              <w:jc w:val="both"/>
              <w:rPr>
                <w:sz w:val="20"/>
              </w:rPr>
            </w:pPr>
            <w:r w:rsidRPr="002E337B">
              <w:rPr>
                <w:sz w:val="20"/>
              </w:rPr>
              <w:t>(Franklin J.)</w:t>
            </w:r>
          </w:p>
          <w:p w:rsidR="00115551" w:rsidRPr="002E337B" w:rsidRDefault="002E337B" w:rsidP="00115551">
            <w:pPr>
              <w:jc w:val="both"/>
              <w:rPr>
                <w:sz w:val="20"/>
              </w:rPr>
            </w:pPr>
            <w:hyperlink r:id="rId55" w:history="1">
              <w:r w:rsidR="00115551" w:rsidRPr="002E337B">
                <w:rPr>
                  <w:rStyle w:val="Hyperlink"/>
                  <w:sz w:val="20"/>
                </w:rPr>
                <w:t>2013 ABPC 60</w:t>
              </w:r>
            </w:hyperlink>
          </w:p>
          <w:p w:rsidR="00115551" w:rsidRPr="002E337B" w:rsidRDefault="00115551" w:rsidP="00115551">
            <w:pPr>
              <w:jc w:val="both"/>
              <w:rPr>
                <w:sz w:val="20"/>
              </w:rPr>
            </w:pPr>
          </w:p>
        </w:tc>
        <w:tc>
          <w:tcPr>
            <w:tcW w:w="243" w:type="pct"/>
          </w:tcPr>
          <w:p w:rsidR="00115551" w:rsidRPr="002E337B" w:rsidRDefault="00115551" w:rsidP="00115551">
            <w:pPr>
              <w:jc w:val="both"/>
              <w:rPr>
                <w:sz w:val="20"/>
              </w:rPr>
            </w:pPr>
          </w:p>
        </w:tc>
        <w:tc>
          <w:tcPr>
            <w:tcW w:w="2330" w:type="pct"/>
          </w:tcPr>
          <w:p w:rsidR="00115551" w:rsidRPr="002E337B" w:rsidRDefault="00115551" w:rsidP="00115551">
            <w:pPr>
              <w:jc w:val="both"/>
              <w:rPr>
                <w:sz w:val="20"/>
              </w:rPr>
            </w:pPr>
            <w:r w:rsidRPr="002E337B">
              <w:rPr>
                <w:sz w:val="20"/>
              </w:rPr>
              <w:t>Sentenced imposed: 11 years’ imprisonment for manslaughter</w:t>
            </w:r>
          </w:p>
          <w:p w:rsidR="00115551" w:rsidRPr="002E337B" w:rsidRDefault="00115551" w:rsidP="00115551">
            <w:pPr>
              <w:jc w:val="both"/>
              <w:rPr>
                <w:sz w:val="20"/>
              </w:rPr>
            </w:pPr>
          </w:p>
        </w:tc>
      </w:tr>
      <w:tr w:rsidR="00115551" w:rsidRPr="002E337B" w:rsidTr="00E95A6A">
        <w:tc>
          <w:tcPr>
            <w:tcW w:w="2427" w:type="pct"/>
            <w:gridSpan w:val="2"/>
          </w:tcPr>
          <w:p w:rsidR="00115551" w:rsidRPr="002E337B" w:rsidRDefault="00115551" w:rsidP="00115551">
            <w:pPr>
              <w:jc w:val="both"/>
              <w:rPr>
                <w:sz w:val="20"/>
              </w:rPr>
            </w:pPr>
            <w:r w:rsidRPr="002E337B">
              <w:rPr>
                <w:sz w:val="20"/>
              </w:rPr>
              <w:t>October 16, 2018</w:t>
            </w:r>
          </w:p>
          <w:p w:rsidR="00115551" w:rsidRPr="002E337B" w:rsidRDefault="00115551" w:rsidP="00115551">
            <w:pPr>
              <w:jc w:val="both"/>
              <w:rPr>
                <w:sz w:val="20"/>
              </w:rPr>
            </w:pPr>
            <w:r w:rsidRPr="002E337B">
              <w:rPr>
                <w:sz w:val="20"/>
              </w:rPr>
              <w:t>Court of Appeal of Alberta (Edmonton)</w:t>
            </w:r>
          </w:p>
          <w:p w:rsidR="00115551" w:rsidRPr="002E337B" w:rsidRDefault="00115551" w:rsidP="00115551">
            <w:pPr>
              <w:jc w:val="both"/>
              <w:rPr>
                <w:sz w:val="20"/>
              </w:rPr>
            </w:pPr>
            <w:r w:rsidRPr="002E337B">
              <w:rPr>
                <w:sz w:val="20"/>
              </w:rPr>
              <w:t>(Berger, Watson and Wakeling JJ.A.)</w:t>
            </w:r>
          </w:p>
          <w:p w:rsidR="00115551" w:rsidRPr="002E337B" w:rsidRDefault="002E337B" w:rsidP="00115551">
            <w:pPr>
              <w:jc w:val="both"/>
              <w:rPr>
                <w:sz w:val="20"/>
              </w:rPr>
            </w:pPr>
            <w:hyperlink r:id="rId56" w:history="1">
              <w:r w:rsidR="00115551" w:rsidRPr="002E337B">
                <w:rPr>
                  <w:rStyle w:val="Hyperlink"/>
                  <w:sz w:val="20"/>
                </w:rPr>
                <w:t>2018 ABCA 341</w:t>
              </w:r>
            </w:hyperlink>
            <w:r w:rsidR="00115551" w:rsidRPr="002E337B">
              <w:rPr>
                <w:sz w:val="20"/>
              </w:rPr>
              <w:t>; 1303-0059-A</w:t>
            </w:r>
          </w:p>
          <w:p w:rsidR="00115551" w:rsidRPr="002E337B" w:rsidRDefault="00115551" w:rsidP="00115551">
            <w:pPr>
              <w:jc w:val="both"/>
              <w:rPr>
                <w:sz w:val="20"/>
              </w:rPr>
            </w:pPr>
          </w:p>
        </w:tc>
        <w:tc>
          <w:tcPr>
            <w:tcW w:w="243" w:type="pct"/>
          </w:tcPr>
          <w:p w:rsidR="00115551" w:rsidRPr="002E337B" w:rsidRDefault="00115551" w:rsidP="00115551">
            <w:pPr>
              <w:jc w:val="both"/>
              <w:rPr>
                <w:sz w:val="20"/>
              </w:rPr>
            </w:pPr>
          </w:p>
        </w:tc>
        <w:tc>
          <w:tcPr>
            <w:tcW w:w="2330" w:type="pct"/>
          </w:tcPr>
          <w:p w:rsidR="00115551" w:rsidRPr="002E337B" w:rsidRDefault="00115551" w:rsidP="00115551">
            <w:pPr>
              <w:jc w:val="both"/>
              <w:rPr>
                <w:sz w:val="20"/>
              </w:rPr>
            </w:pPr>
            <w:r w:rsidRPr="002E337B">
              <w:rPr>
                <w:sz w:val="20"/>
              </w:rPr>
              <w:t>Applicant’s sentence appeal dismissed</w:t>
            </w:r>
          </w:p>
          <w:p w:rsidR="00115551" w:rsidRPr="002E337B" w:rsidRDefault="00115551" w:rsidP="00115551">
            <w:pPr>
              <w:jc w:val="both"/>
              <w:rPr>
                <w:sz w:val="20"/>
              </w:rPr>
            </w:pPr>
          </w:p>
        </w:tc>
      </w:tr>
      <w:tr w:rsidR="00115551" w:rsidRPr="002E337B" w:rsidTr="00E95A6A">
        <w:tc>
          <w:tcPr>
            <w:tcW w:w="2427" w:type="pct"/>
            <w:gridSpan w:val="2"/>
          </w:tcPr>
          <w:p w:rsidR="00115551" w:rsidRPr="002E337B" w:rsidRDefault="00115551" w:rsidP="00115551">
            <w:pPr>
              <w:jc w:val="both"/>
              <w:rPr>
                <w:sz w:val="20"/>
              </w:rPr>
            </w:pPr>
            <w:r w:rsidRPr="002E337B">
              <w:rPr>
                <w:sz w:val="20"/>
              </w:rPr>
              <w:t>October 22, 2021</w:t>
            </w:r>
          </w:p>
          <w:p w:rsidR="00115551" w:rsidRPr="002E337B" w:rsidRDefault="00115551" w:rsidP="00115551">
            <w:pPr>
              <w:jc w:val="both"/>
              <w:rPr>
                <w:sz w:val="20"/>
              </w:rPr>
            </w:pPr>
            <w:r w:rsidRPr="002E337B">
              <w:rPr>
                <w:sz w:val="20"/>
              </w:rPr>
              <w:t>Supreme Court of Canada</w:t>
            </w:r>
          </w:p>
          <w:p w:rsidR="00115551" w:rsidRPr="002E337B" w:rsidRDefault="00115551" w:rsidP="00115551">
            <w:pPr>
              <w:jc w:val="both"/>
              <w:rPr>
                <w:sz w:val="20"/>
              </w:rPr>
            </w:pPr>
          </w:p>
        </w:tc>
        <w:tc>
          <w:tcPr>
            <w:tcW w:w="243" w:type="pct"/>
          </w:tcPr>
          <w:p w:rsidR="00115551" w:rsidRPr="002E337B" w:rsidRDefault="00115551" w:rsidP="00115551">
            <w:pPr>
              <w:jc w:val="both"/>
              <w:rPr>
                <w:sz w:val="20"/>
              </w:rPr>
            </w:pPr>
          </w:p>
        </w:tc>
        <w:tc>
          <w:tcPr>
            <w:tcW w:w="2330" w:type="pct"/>
          </w:tcPr>
          <w:p w:rsidR="00115551" w:rsidRPr="002E337B" w:rsidRDefault="00115551" w:rsidP="00115551">
            <w:pPr>
              <w:jc w:val="both"/>
              <w:rPr>
                <w:sz w:val="20"/>
              </w:rPr>
            </w:pPr>
            <w:r w:rsidRPr="002E337B">
              <w:rPr>
                <w:sz w:val="20"/>
              </w:rPr>
              <w:t>Motion for extension of time to serve and file application for leave to appeal and application for leave to appeal filed</w:t>
            </w:r>
          </w:p>
        </w:tc>
      </w:tr>
    </w:tbl>
    <w:p w:rsidR="00115551" w:rsidRPr="002E337B" w:rsidRDefault="00115551" w:rsidP="00115551">
      <w:pPr>
        <w:jc w:val="both"/>
        <w:rPr>
          <w:sz w:val="20"/>
        </w:rPr>
      </w:pPr>
    </w:p>
    <w:p w:rsidR="00115551" w:rsidRPr="002E337B" w:rsidRDefault="002E337B" w:rsidP="00115551">
      <w:pPr>
        <w:jc w:val="both"/>
        <w:rPr>
          <w:sz w:val="20"/>
        </w:rPr>
      </w:pPr>
      <w:r w:rsidRPr="002E337B">
        <w:rPr>
          <w:sz w:val="20"/>
        </w:rPr>
        <w:pict>
          <v:rect id="_x0000_i1049" style="width:2in;height:1pt" o:hrpct="0" o:hralign="center" o:hrstd="t" o:hrnoshade="t" o:hr="t" fillcolor="black [3213]" stroked="f"/>
        </w:pict>
      </w:r>
    </w:p>
    <w:p w:rsidR="00115551" w:rsidRPr="002E337B" w:rsidRDefault="00115551" w:rsidP="001155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15551" w:rsidRPr="002E337B" w:rsidTr="00410A6F">
        <w:tc>
          <w:tcPr>
            <w:tcW w:w="543" w:type="pct"/>
          </w:tcPr>
          <w:p w:rsidR="00115551" w:rsidRPr="002E337B" w:rsidRDefault="00115551" w:rsidP="00115551">
            <w:pPr>
              <w:jc w:val="both"/>
              <w:rPr>
                <w:sz w:val="20"/>
                <w:lang w:val="fr-CA"/>
              </w:rPr>
            </w:pPr>
            <w:r w:rsidRPr="002E337B">
              <w:rPr>
                <w:rStyle w:val="SCCFileNumberChar"/>
                <w:sz w:val="20"/>
                <w:szCs w:val="20"/>
                <w:lang w:val="fr-CA"/>
              </w:rPr>
              <w:t>39970</w:t>
            </w:r>
          </w:p>
        </w:tc>
        <w:tc>
          <w:tcPr>
            <w:tcW w:w="4457" w:type="pct"/>
            <w:gridSpan w:val="3"/>
          </w:tcPr>
          <w:p w:rsidR="00115551" w:rsidRPr="002E337B" w:rsidRDefault="00115551" w:rsidP="00115551">
            <w:pPr>
              <w:pStyle w:val="SCCLsocParty"/>
              <w:jc w:val="both"/>
              <w:rPr>
                <w:b/>
                <w:sz w:val="20"/>
                <w:szCs w:val="20"/>
              </w:rPr>
            </w:pPr>
            <w:r w:rsidRPr="002E337B">
              <w:rPr>
                <w:b/>
                <w:sz w:val="20"/>
                <w:szCs w:val="20"/>
              </w:rPr>
              <w:t>C.G.M. c. Sa Majesté le Roi</w:t>
            </w:r>
          </w:p>
          <w:p w:rsidR="00115551" w:rsidRPr="002E337B" w:rsidRDefault="00115551" w:rsidP="00115551">
            <w:pPr>
              <w:jc w:val="both"/>
              <w:rPr>
                <w:sz w:val="20"/>
                <w:lang w:val="fr-CA"/>
              </w:rPr>
            </w:pPr>
            <w:r w:rsidRPr="002E337B">
              <w:rPr>
                <w:sz w:val="20"/>
                <w:lang w:val="fr-CA"/>
              </w:rPr>
              <w:t>(Alb.) (Criminelle) (Autorisation)</w:t>
            </w:r>
          </w:p>
        </w:tc>
      </w:tr>
      <w:tr w:rsidR="00115551" w:rsidRPr="002E337B" w:rsidTr="00410A6F">
        <w:tc>
          <w:tcPr>
            <w:tcW w:w="5000" w:type="pct"/>
            <w:gridSpan w:val="4"/>
          </w:tcPr>
          <w:p w:rsidR="00115551" w:rsidRPr="002E337B" w:rsidRDefault="00115551" w:rsidP="00115551">
            <w:pPr>
              <w:pStyle w:val="SCCBanSummary"/>
              <w:rPr>
                <w:sz w:val="20"/>
                <w:szCs w:val="20"/>
                <w:lang w:val="fr-CA"/>
              </w:rPr>
            </w:pPr>
            <w:r w:rsidRPr="002E337B">
              <w:rPr>
                <w:sz w:val="20"/>
                <w:szCs w:val="20"/>
                <w:lang w:val="fr-CA"/>
              </w:rPr>
              <w:t>(Ordonnance de non-publication visant une partie)</w:t>
            </w:r>
          </w:p>
          <w:p w:rsidR="00115551" w:rsidRPr="002E337B" w:rsidRDefault="00115551" w:rsidP="00115551">
            <w:pPr>
              <w:jc w:val="both"/>
              <w:rPr>
                <w:sz w:val="20"/>
                <w:lang w:val="fr-CA"/>
              </w:rPr>
            </w:pPr>
          </w:p>
        </w:tc>
      </w:tr>
      <w:tr w:rsidR="00115551" w:rsidRPr="002E337B" w:rsidTr="00410A6F">
        <w:tc>
          <w:tcPr>
            <w:tcW w:w="5000" w:type="pct"/>
            <w:gridSpan w:val="4"/>
          </w:tcPr>
          <w:p w:rsidR="00115551" w:rsidRPr="002E337B" w:rsidRDefault="00115551" w:rsidP="00115551">
            <w:pPr>
              <w:jc w:val="both"/>
              <w:rPr>
                <w:sz w:val="20"/>
                <w:lang w:val="fr-CA"/>
              </w:rPr>
            </w:pPr>
            <w:r w:rsidRPr="002E337B">
              <w:rPr>
                <w:sz w:val="20"/>
                <w:lang w:val="fr-CA"/>
              </w:rPr>
              <w:t>Droit criminel — Appel interjeté contre la peine — Les juridictions inférieures ont</w:t>
            </w:r>
            <w:r w:rsidRPr="002E337B">
              <w:rPr>
                <w:sz w:val="20"/>
                <w:lang w:val="fr-CA"/>
              </w:rPr>
              <w:noBreakHyphen/>
              <w:t>elles commis une erreur dans leur analyse de l’art. 72 de la</w:t>
            </w:r>
            <w:r w:rsidRPr="002E337B">
              <w:rPr>
                <w:i/>
                <w:sz w:val="20"/>
                <w:lang w:val="fr-CA"/>
              </w:rPr>
              <w:t xml:space="preserve"> LSJPE</w:t>
            </w:r>
            <w:r w:rsidRPr="002E337B">
              <w:rPr>
                <w:sz w:val="20"/>
                <w:lang w:val="fr-CA"/>
              </w:rPr>
              <w:t>? — Les motifs de la Cour d’appel sont-ils insuffisants? — Y a-t-il eu une erreur dans l’analyse de la culpabilité morale et de la responsabilité du demandeur? — La peine est-elle injuste, inadéquate et inappropriée? — Nouvel élément de preuve.</w:t>
            </w:r>
          </w:p>
          <w:p w:rsidR="00115551" w:rsidRPr="002E337B" w:rsidRDefault="00115551" w:rsidP="00115551">
            <w:pPr>
              <w:jc w:val="both"/>
              <w:rPr>
                <w:sz w:val="20"/>
                <w:lang w:val="fr-CA"/>
              </w:rPr>
            </w:pPr>
          </w:p>
        </w:tc>
      </w:tr>
      <w:tr w:rsidR="00115551" w:rsidRPr="002E337B" w:rsidTr="00410A6F">
        <w:tc>
          <w:tcPr>
            <w:tcW w:w="5000" w:type="pct"/>
            <w:gridSpan w:val="4"/>
          </w:tcPr>
          <w:p w:rsidR="00115551" w:rsidRPr="002E337B" w:rsidRDefault="00115551" w:rsidP="00115551">
            <w:pPr>
              <w:jc w:val="both"/>
              <w:rPr>
                <w:sz w:val="20"/>
                <w:lang w:val="fr-CA"/>
              </w:rPr>
            </w:pPr>
            <w:r w:rsidRPr="002E337B">
              <w:rPr>
                <w:sz w:val="20"/>
                <w:lang w:val="fr-CA"/>
              </w:rPr>
              <w:t xml:space="preserve">Le demandeur a été déclaré coupable d’homicide involontaire coupable. Le demandeur a été jugé comme jeune délinquant et une peine lui a été infligée comme s’il était un adulte. Le juge chargé de la détermination de la peine lui a infligé 11 ans d’emprisonnement, moins deux ans et deux mois correspondants à la détention préalable au procès. L’appel interjeté par le demandeur contre la peine a été rejeté. </w:t>
            </w:r>
          </w:p>
          <w:p w:rsidR="00115551" w:rsidRPr="002E337B" w:rsidRDefault="00115551" w:rsidP="00115551">
            <w:pPr>
              <w:jc w:val="both"/>
              <w:rPr>
                <w:sz w:val="20"/>
                <w:lang w:val="fr-CA"/>
              </w:rPr>
            </w:pPr>
          </w:p>
        </w:tc>
      </w:tr>
      <w:tr w:rsidR="00115551" w:rsidRPr="002E337B" w:rsidTr="00410A6F">
        <w:tc>
          <w:tcPr>
            <w:tcW w:w="2427" w:type="pct"/>
            <w:gridSpan w:val="2"/>
          </w:tcPr>
          <w:p w:rsidR="00115551" w:rsidRPr="002E337B" w:rsidRDefault="00115551" w:rsidP="00115551">
            <w:pPr>
              <w:jc w:val="both"/>
              <w:rPr>
                <w:sz w:val="20"/>
                <w:lang w:val="fr-CA"/>
              </w:rPr>
            </w:pPr>
            <w:r w:rsidRPr="002E337B">
              <w:rPr>
                <w:sz w:val="20"/>
                <w:lang w:val="fr-CA"/>
              </w:rPr>
              <w:t>7 mars 2013</w:t>
            </w:r>
          </w:p>
          <w:p w:rsidR="00115551" w:rsidRPr="002E337B" w:rsidRDefault="00115551" w:rsidP="00115551">
            <w:pPr>
              <w:jc w:val="both"/>
              <w:rPr>
                <w:sz w:val="20"/>
                <w:lang w:val="fr-CA"/>
              </w:rPr>
            </w:pPr>
            <w:r w:rsidRPr="002E337B">
              <w:rPr>
                <w:sz w:val="20"/>
                <w:lang w:val="fr-CA"/>
              </w:rPr>
              <w:t>Cour provinciale de l’Alberta</w:t>
            </w:r>
          </w:p>
          <w:p w:rsidR="00115551" w:rsidRPr="002E337B" w:rsidRDefault="00115551" w:rsidP="00115551">
            <w:pPr>
              <w:jc w:val="both"/>
              <w:rPr>
                <w:sz w:val="20"/>
                <w:lang w:val="fr-CA"/>
              </w:rPr>
            </w:pPr>
            <w:r w:rsidRPr="002E337B">
              <w:rPr>
                <w:sz w:val="20"/>
                <w:lang w:val="fr-CA"/>
              </w:rPr>
              <w:t>(juge Franklin)</w:t>
            </w:r>
          </w:p>
          <w:p w:rsidR="00115551" w:rsidRPr="002E337B" w:rsidRDefault="002E337B" w:rsidP="00115551">
            <w:pPr>
              <w:jc w:val="both"/>
              <w:rPr>
                <w:sz w:val="20"/>
                <w:lang w:val="fr-CA"/>
              </w:rPr>
            </w:pPr>
            <w:hyperlink r:id="rId57" w:history="1">
              <w:r w:rsidR="00115551" w:rsidRPr="002E337B">
                <w:rPr>
                  <w:rStyle w:val="Hyperlink"/>
                  <w:sz w:val="20"/>
                  <w:lang w:val="fr-CA"/>
                </w:rPr>
                <w:t>2013 ABPC 60</w:t>
              </w:r>
            </w:hyperlink>
          </w:p>
          <w:p w:rsidR="00115551" w:rsidRPr="002E337B" w:rsidRDefault="00115551" w:rsidP="00115551">
            <w:pPr>
              <w:jc w:val="both"/>
              <w:rPr>
                <w:sz w:val="20"/>
                <w:lang w:val="fr-CA"/>
              </w:rPr>
            </w:pPr>
          </w:p>
        </w:tc>
        <w:tc>
          <w:tcPr>
            <w:tcW w:w="243" w:type="pct"/>
          </w:tcPr>
          <w:p w:rsidR="00115551" w:rsidRPr="002E337B" w:rsidRDefault="00115551" w:rsidP="00115551">
            <w:pPr>
              <w:jc w:val="both"/>
              <w:rPr>
                <w:sz w:val="20"/>
                <w:lang w:val="fr-CA"/>
              </w:rPr>
            </w:pPr>
          </w:p>
        </w:tc>
        <w:tc>
          <w:tcPr>
            <w:tcW w:w="2330" w:type="pct"/>
          </w:tcPr>
          <w:p w:rsidR="00115551" w:rsidRPr="002E337B" w:rsidRDefault="00115551" w:rsidP="00115551">
            <w:pPr>
              <w:jc w:val="both"/>
              <w:rPr>
                <w:sz w:val="20"/>
                <w:lang w:val="fr-CA"/>
              </w:rPr>
            </w:pPr>
            <w:r w:rsidRPr="002E337B">
              <w:rPr>
                <w:sz w:val="20"/>
                <w:lang w:val="fr-CA"/>
              </w:rPr>
              <w:t>Peine infligée : 11 ans d’emprisonnement pour homicide involontaire coupable</w:t>
            </w:r>
          </w:p>
          <w:p w:rsidR="00115551" w:rsidRPr="002E337B" w:rsidRDefault="00115551" w:rsidP="00115551">
            <w:pPr>
              <w:jc w:val="both"/>
              <w:rPr>
                <w:sz w:val="20"/>
                <w:lang w:val="fr-CA"/>
              </w:rPr>
            </w:pPr>
          </w:p>
        </w:tc>
      </w:tr>
      <w:tr w:rsidR="00115551" w:rsidRPr="002E337B" w:rsidTr="00410A6F">
        <w:tc>
          <w:tcPr>
            <w:tcW w:w="2427" w:type="pct"/>
            <w:gridSpan w:val="2"/>
          </w:tcPr>
          <w:p w:rsidR="00115551" w:rsidRPr="002E337B" w:rsidRDefault="00115551" w:rsidP="00115551">
            <w:pPr>
              <w:jc w:val="both"/>
              <w:rPr>
                <w:sz w:val="20"/>
                <w:lang w:val="fr-CA"/>
              </w:rPr>
            </w:pPr>
            <w:r w:rsidRPr="002E337B">
              <w:rPr>
                <w:sz w:val="20"/>
                <w:lang w:val="fr-CA"/>
              </w:rPr>
              <w:t>16 octobre 2018</w:t>
            </w:r>
          </w:p>
          <w:p w:rsidR="00115551" w:rsidRPr="002E337B" w:rsidRDefault="00115551" w:rsidP="00115551">
            <w:pPr>
              <w:jc w:val="both"/>
              <w:rPr>
                <w:sz w:val="20"/>
                <w:lang w:val="fr-CA"/>
              </w:rPr>
            </w:pPr>
            <w:r w:rsidRPr="002E337B">
              <w:rPr>
                <w:sz w:val="20"/>
                <w:lang w:val="fr-CA"/>
              </w:rPr>
              <w:t>Cour d’appel de l’Alberta (Edmonton)</w:t>
            </w:r>
          </w:p>
          <w:p w:rsidR="00115551" w:rsidRPr="002E337B" w:rsidRDefault="00115551" w:rsidP="00115551">
            <w:pPr>
              <w:jc w:val="both"/>
              <w:rPr>
                <w:sz w:val="20"/>
              </w:rPr>
            </w:pPr>
            <w:r w:rsidRPr="002E337B">
              <w:rPr>
                <w:sz w:val="20"/>
              </w:rPr>
              <w:t>(juges Berger, Watson et Wakeling)</w:t>
            </w:r>
          </w:p>
          <w:p w:rsidR="00115551" w:rsidRPr="002E337B" w:rsidRDefault="002E337B" w:rsidP="00115551">
            <w:pPr>
              <w:jc w:val="both"/>
              <w:rPr>
                <w:sz w:val="20"/>
              </w:rPr>
            </w:pPr>
            <w:hyperlink r:id="rId58" w:history="1">
              <w:r w:rsidR="00115551" w:rsidRPr="002E337B">
                <w:rPr>
                  <w:rStyle w:val="Hyperlink"/>
                  <w:sz w:val="20"/>
                </w:rPr>
                <w:t>2018 ABCA 341</w:t>
              </w:r>
            </w:hyperlink>
            <w:r w:rsidR="00115551" w:rsidRPr="002E337B">
              <w:rPr>
                <w:sz w:val="20"/>
              </w:rPr>
              <w:t>; 1303-0059-A</w:t>
            </w:r>
          </w:p>
          <w:p w:rsidR="00115551" w:rsidRPr="002E337B" w:rsidRDefault="00115551" w:rsidP="00115551">
            <w:pPr>
              <w:jc w:val="both"/>
              <w:rPr>
                <w:sz w:val="20"/>
              </w:rPr>
            </w:pPr>
          </w:p>
        </w:tc>
        <w:tc>
          <w:tcPr>
            <w:tcW w:w="243" w:type="pct"/>
          </w:tcPr>
          <w:p w:rsidR="00115551" w:rsidRPr="002E337B" w:rsidRDefault="00115551" w:rsidP="00115551">
            <w:pPr>
              <w:jc w:val="both"/>
              <w:rPr>
                <w:sz w:val="20"/>
              </w:rPr>
            </w:pPr>
          </w:p>
        </w:tc>
        <w:tc>
          <w:tcPr>
            <w:tcW w:w="2330" w:type="pct"/>
          </w:tcPr>
          <w:p w:rsidR="00115551" w:rsidRPr="002E337B" w:rsidRDefault="00115551" w:rsidP="00115551">
            <w:pPr>
              <w:jc w:val="both"/>
              <w:rPr>
                <w:sz w:val="20"/>
                <w:lang w:val="fr-CA"/>
              </w:rPr>
            </w:pPr>
            <w:r w:rsidRPr="002E337B">
              <w:rPr>
                <w:sz w:val="20"/>
                <w:lang w:val="fr-CA"/>
              </w:rPr>
              <w:t xml:space="preserve">Rejet de l’appel interjeté par le demandeur contre la peine </w:t>
            </w:r>
          </w:p>
          <w:p w:rsidR="00115551" w:rsidRPr="002E337B" w:rsidRDefault="00115551" w:rsidP="00115551">
            <w:pPr>
              <w:jc w:val="both"/>
              <w:rPr>
                <w:sz w:val="20"/>
                <w:lang w:val="fr-CA"/>
              </w:rPr>
            </w:pPr>
          </w:p>
        </w:tc>
      </w:tr>
      <w:tr w:rsidR="00115551" w:rsidRPr="002E337B" w:rsidTr="00410A6F">
        <w:tc>
          <w:tcPr>
            <w:tcW w:w="2427" w:type="pct"/>
            <w:gridSpan w:val="2"/>
          </w:tcPr>
          <w:p w:rsidR="00115551" w:rsidRPr="002E337B" w:rsidRDefault="00115551" w:rsidP="00115551">
            <w:pPr>
              <w:jc w:val="both"/>
              <w:rPr>
                <w:sz w:val="20"/>
                <w:lang w:val="fr-CA"/>
              </w:rPr>
            </w:pPr>
            <w:r w:rsidRPr="002E337B">
              <w:rPr>
                <w:sz w:val="20"/>
                <w:lang w:val="fr-CA"/>
              </w:rPr>
              <w:t>22 octobre 2021</w:t>
            </w:r>
          </w:p>
          <w:p w:rsidR="00115551" w:rsidRPr="002E337B" w:rsidRDefault="00115551" w:rsidP="00115551">
            <w:pPr>
              <w:jc w:val="both"/>
              <w:rPr>
                <w:sz w:val="20"/>
                <w:lang w:val="fr-CA"/>
              </w:rPr>
            </w:pPr>
            <w:r w:rsidRPr="002E337B">
              <w:rPr>
                <w:sz w:val="20"/>
                <w:lang w:val="fr-CA"/>
              </w:rPr>
              <w:t>Cour suprême du Canada</w:t>
            </w:r>
          </w:p>
          <w:p w:rsidR="00115551" w:rsidRPr="002E337B" w:rsidRDefault="00115551" w:rsidP="00115551">
            <w:pPr>
              <w:jc w:val="both"/>
              <w:rPr>
                <w:sz w:val="20"/>
                <w:lang w:val="fr-CA"/>
              </w:rPr>
            </w:pPr>
          </w:p>
        </w:tc>
        <w:tc>
          <w:tcPr>
            <w:tcW w:w="243" w:type="pct"/>
          </w:tcPr>
          <w:p w:rsidR="00115551" w:rsidRPr="002E337B" w:rsidRDefault="00115551" w:rsidP="00115551">
            <w:pPr>
              <w:jc w:val="both"/>
              <w:rPr>
                <w:sz w:val="20"/>
                <w:lang w:val="fr-CA"/>
              </w:rPr>
            </w:pPr>
          </w:p>
        </w:tc>
        <w:tc>
          <w:tcPr>
            <w:tcW w:w="2330" w:type="pct"/>
          </w:tcPr>
          <w:p w:rsidR="00115551" w:rsidRPr="002E337B" w:rsidRDefault="00115551" w:rsidP="00115551">
            <w:pPr>
              <w:jc w:val="both"/>
              <w:rPr>
                <w:sz w:val="20"/>
                <w:lang w:val="fr-CA"/>
              </w:rPr>
            </w:pPr>
            <w:r w:rsidRPr="002E337B">
              <w:rPr>
                <w:sz w:val="20"/>
                <w:lang w:val="fr-CA"/>
              </w:rPr>
              <w:t xml:space="preserve">Requête en vue de la prorogation du délai pour signifier et déposer la demande d’autorisation d’appel et demande d’autorisation </w:t>
            </w:r>
            <w:proofErr w:type="gramStart"/>
            <w:r w:rsidRPr="002E337B">
              <w:rPr>
                <w:sz w:val="20"/>
                <w:lang w:val="fr-CA"/>
              </w:rPr>
              <w:t>d’appel déposées</w:t>
            </w:r>
            <w:proofErr w:type="gramEnd"/>
          </w:p>
        </w:tc>
      </w:tr>
    </w:tbl>
    <w:p w:rsidR="00115551" w:rsidRPr="002E337B" w:rsidRDefault="00115551" w:rsidP="00097BBF">
      <w:pPr>
        <w:rPr>
          <w:sz w:val="20"/>
          <w:lang w:val="fr-CA"/>
        </w:rPr>
      </w:pPr>
    </w:p>
    <w:p w:rsidR="002E1DD1" w:rsidRPr="002E337B" w:rsidRDefault="002E337B" w:rsidP="00052598">
      <w:pPr>
        <w:widowControl w:val="0"/>
        <w:jc w:val="both"/>
        <w:rPr>
          <w:sz w:val="20"/>
          <w:lang w:val="fr-CA"/>
        </w:rPr>
      </w:pPr>
      <w:r w:rsidRPr="002E337B">
        <w:rPr>
          <w:sz w:val="20"/>
        </w:rPr>
        <w:pict>
          <v:rect id="_x0000_i1050" style="width:2in;height:1pt" o:hrpct="0" o:hralign="center" o:hrstd="t" o:hrnoshade="t" o:hr="t" fillcolor="black [3213]" stroked="f"/>
        </w:pict>
      </w:r>
    </w:p>
    <w:p w:rsidR="00311655" w:rsidRPr="002E337B" w:rsidRDefault="00311655" w:rsidP="00350651">
      <w:pPr>
        <w:ind w:left="142" w:hanging="142"/>
        <w:jc w:val="both"/>
        <w:rPr>
          <w:sz w:val="20"/>
        </w:rPr>
      </w:pPr>
    </w:p>
    <w:p w:rsidR="008F2F11" w:rsidRPr="002E337B" w:rsidRDefault="008F2F11" w:rsidP="00350651">
      <w:pPr>
        <w:ind w:left="142" w:hanging="142"/>
        <w:jc w:val="both"/>
        <w:rPr>
          <w:sz w:val="20"/>
        </w:rPr>
      </w:pPr>
    </w:p>
    <w:p w:rsidR="008F2F11" w:rsidRPr="002E337B" w:rsidRDefault="008F2F11" w:rsidP="00350651">
      <w:pPr>
        <w:ind w:left="142" w:hanging="142"/>
        <w:jc w:val="both"/>
        <w:rPr>
          <w:sz w:val="20"/>
        </w:rPr>
      </w:pPr>
    </w:p>
    <w:p w:rsidR="00D3344A" w:rsidRPr="002E337B" w:rsidRDefault="00D3344A" w:rsidP="00D3344A">
      <w:pPr>
        <w:widowControl w:val="0"/>
        <w:outlineLvl w:val="0"/>
        <w:rPr>
          <w:sz w:val="20"/>
        </w:rPr>
      </w:pPr>
      <w:r w:rsidRPr="002E337B">
        <w:rPr>
          <w:sz w:val="20"/>
        </w:rPr>
        <w:t>Supreme Court of Canada / Cour suprême du Canad</w:t>
      </w:r>
      <w:r w:rsidR="00EE289F" w:rsidRPr="002E337B">
        <w:rPr>
          <w:sz w:val="20"/>
        </w:rPr>
        <w:t>a</w:t>
      </w:r>
      <w:r w:rsidRPr="002E337B">
        <w:rPr>
          <w:sz w:val="20"/>
        </w:rPr>
        <w:t xml:space="preserve"> :</w:t>
      </w:r>
    </w:p>
    <w:p w:rsidR="00D3344A" w:rsidRPr="002E337B" w:rsidRDefault="002E337B" w:rsidP="00D3344A">
      <w:pPr>
        <w:widowControl w:val="0"/>
        <w:outlineLvl w:val="0"/>
        <w:rPr>
          <w:sz w:val="20"/>
          <w:u w:val="single"/>
        </w:rPr>
      </w:pPr>
      <w:hyperlink r:id="rId59" w:history="1">
        <w:r w:rsidR="009B7391" w:rsidRPr="002E337B">
          <w:rPr>
            <w:rStyle w:val="Hyperlink"/>
            <w:sz w:val="20"/>
          </w:rPr>
          <w:t>comments-commentaires@scc-csc.ca</w:t>
        </w:r>
      </w:hyperlink>
    </w:p>
    <w:p w:rsidR="00D3344A" w:rsidRPr="002E337B" w:rsidRDefault="0065588C" w:rsidP="00D3344A">
      <w:pPr>
        <w:widowControl w:val="0"/>
        <w:outlineLvl w:val="0"/>
        <w:rPr>
          <w:sz w:val="20"/>
        </w:rPr>
      </w:pPr>
      <w:r w:rsidRPr="002E337B">
        <w:rPr>
          <w:sz w:val="20"/>
        </w:rPr>
        <w:t>613-</w:t>
      </w:r>
      <w:r w:rsidR="00D3344A" w:rsidRPr="002E337B">
        <w:rPr>
          <w:sz w:val="20"/>
        </w:rPr>
        <w:t>995-4330</w:t>
      </w:r>
    </w:p>
    <w:p w:rsidR="00497B5E" w:rsidRPr="002E337B" w:rsidRDefault="00497B5E" w:rsidP="00497B5E">
      <w:pPr>
        <w:widowControl w:val="0"/>
        <w:rPr>
          <w:sz w:val="20"/>
        </w:rPr>
      </w:pPr>
    </w:p>
    <w:p w:rsidR="00F6251B" w:rsidRPr="007607A2" w:rsidRDefault="003F43E6" w:rsidP="00F6251B">
      <w:pPr>
        <w:pStyle w:val="Footer"/>
        <w:jc w:val="center"/>
        <w:rPr>
          <w:sz w:val="20"/>
        </w:rPr>
      </w:pPr>
      <w:r w:rsidRPr="002E337B">
        <w:rPr>
          <w:sz w:val="20"/>
        </w:rPr>
        <w:t>- 30 -</w:t>
      </w:r>
      <w:bookmarkStart w:id="1" w:name="_GoBack"/>
      <w:bookmarkEnd w:id="1"/>
    </w:p>
    <w:sectPr w:rsidR="00F6251B" w:rsidRPr="007607A2" w:rsidSect="00E62F93">
      <w:headerReference w:type="even" r:id="rId60"/>
      <w:headerReference w:type="default" r:id="rId61"/>
      <w:footerReference w:type="even" r:id="rId62"/>
      <w:footerReference w:type="default" r:id="rId63"/>
      <w:headerReference w:type="first" r:id="rId64"/>
      <w:footerReference w:type="first" r:id="rId65"/>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598" w:rsidRDefault="00052598" w:rsidP="0034178A">
      <w:r>
        <w:separator/>
      </w:r>
    </w:p>
  </w:endnote>
  <w:endnote w:type="continuationSeparator" w:id="0">
    <w:p w:rsidR="00052598" w:rsidRDefault="00052598"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598" w:rsidRDefault="000525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598" w:rsidRPr="009F77F0" w:rsidRDefault="00052598"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598" w:rsidRDefault="00052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598" w:rsidRDefault="00052598" w:rsidP="0034178A">
      <w:r>
        <w:separator/>
      </w:r>
    </w:p>
  </w:footnote>
  <w:footnote w:type="continuationSeparator" w:id="0">
    <w:p w:rsidR="00052598" w:rsidRDefault="00052598"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598" w:rsidRDefault="000525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598" w:rsidRDefault="000525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598" w:rsidRDefault="000525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55C"/>
    <w:multiLevelType w:val="hybridMultilevel"/>
    <w:tmpl w:val="90BE4C0A"/>
    <w:lvl w:ilvl="0" w:tplc="CB5AF95C">
      <w:start w:val="6"/>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1F72A1"/>
    <w:multiLevelType w:val="hybridMultilevel"/>
    <w:tmpl w:val="AE383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D60016"/>
    <w:multiLevelType w:val="hybridMultilevel"/>
    <w:tmpl w:val="1BECB7B0"/>
    <w:lvl w:ilvl="0" w:tplc="48B0FD6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D513A"/>
    <w:multiLevelType w:val="hybridMultilevel"/>
    <w:tmpl w:val="A40CEA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2739F"/>
    <w:multiLevelType w:val="hybridMultilevel"/>
    <w:tmpl w:val="7390FFE2"/>
    <w:lvl w:ilvl="0" w:tplc="26F036C8">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D660C"/>
    <w:multiLevelType w:val="hybridMultilevel"/>
    <w:tmpl w:val="F0EC28E8"/>
    <w:lvl w:ilvl="0" w:tplc="AEAEE2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B4100"/>
    <w:multiLevelType w:val="hybridMultilevel"/>
    <w:tmpl w:val="49E08FB2"/>
    <w:lvl w:ilvl="0" w:tplc="086C5C7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66C9C"/>
    <w:multiLevelType w:val="hybridMultilevel"/>
    <w:tmpl w:val="7DB636C2"/>
    <w:lvl w:ilvl="0" w:tplc="0778EF4E">
      <w:start w:val="1"/>
      <w:numFmt w:val="decimal"/>
      <w:lvlText w:val="%1."/>
      <w:lvlJc w:val="left"/>
      <w:pPr>
        <w:ind w:left="754" w:hanging="360"/>
      </w:pPr>
      <w:rPr>
        <w:rFonts w:hint="default"/>
        <w:b w:val="0"/>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1"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7D4454"/>
    <w:multiLevelType w:val="hybridMultilevel"/>
    <w:tmpl w:val="23A6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31D002A"/>
    <w:multiLevelType w:val="hybridMultilevel"/>
    <w:tmpl w:val="1BECB7B0"/>
    <w:lvl w:ilvl="0" w:tplc="48B0FD6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D90904"/>
    <w:multiLevelType w:val="hybridMultilevel"/>
    <w:tmpl w:val="5C50ED74"/>
    <w:lvl w:ilvl="0" w:tplc="1B468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FA2C66"/>
    <w:multiLevelType w:val="hybridMultilevel"/>
    <w:tmpl w:val="1BECB7B0"/>
    <w:lvl w:ilvl="0" w:tplc="48B0FD6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8E19AC"/>
    <w:multiLevelType w:val="hybridMultilevel"/>
    <w:tmpl w:val="5D5AA352"/>
    <w:lvl w:ilvl="0" w:tplc="1A0C8D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E24C2F"/>
    <w:multiLevelType w:val="hybridMultilevel"/>
    <w:tmpl w:val="A77E2B42"/>
    <w:lvl w:ilvl="0" w:tplc="06CE83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05701B"/>
    <w:multiLevelType w:val="hybridMultilevel"/>
    <w:tmpl w:val="2B0E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1"/>
  </w:num>
  <w:num w:numId="3">
    <w:abstractNumId w:val="46"/>
  </w:num>
  <w:num w:numId="4">
    <w:abstractNumId w:val="22"/>
  </w:num>
  <w:num w:numId="5">
    <w:abstractNumId w:val="18"/>
  </w:num>
  <w:num w:numId="6">
    <w:abstractNumId w:val="41"/>
  </w:num>
  <w:num w:numId="7">
    <w:abstractNumId w:val="38"/>
  </w:num>
  <w:num w:numId="8">
    <w:abstractNumId w:val="43"/>
  </w:num>
  <w:num w:numId="9">
    <w:abstractNumId w:val="8"/>
  </w:num>
  <w:num w:numId="10">
    <w:abstractNumId w:val="14"/>
  </w:num>
  <w:num w:numId="11">
    <w:abstractNumId w:val="4"/>
  </w:num>
  <w:num w:numId="12">
    <w:abstractNumId w:val="40"/>
  </w:num>
  <w:num w:numId="13">
    <w:abstractNumId w:val="6"/>
  </w:num>
  <w:num w:numId="14">
    <w:abstractNumId w:val="21"/>
  </w:num>
  <w:num w:numId="15">
    <w:abstractNumId w:val="10"/>
  </w:num>
  <w:num w:numId="16">
    <w:abstractNumId w:val="15"/>
  </w:num>
  <w:num w:numId="17">
    <w:abstractNumId w:val="44"/>
  </w:num>
  <w:num w:numId="18">
    <w:abstractNumId w:val="27"/>
  </w:num>
  <w:num w:numId="19">
    <w:abstractNumId w:val="19"/>
  </w:num>
  <w:num w:numId="20">
    <w:abstractNumId w:val="36"/>
  </w:num>
  <w:num w:numId="21">
    <w:abstractNumId w:val="13"/>
  </w:num>
  <w:num w:numId="22">
    <w:abstractNumId w:val="42"/>
  </w:num>
  <w:num w:numId="23">
    <w:abstractNumId w:val="35"/>
  </w:num>
  <w:num w:numId="24">
    <w:abstractNumId w:val="25"/>
  </w:num>
  <w:num w:numId="25">
    <w:abstractNumId w:val="30"/>
  </w:num>
  <w:num w:numId="26">
    <w:abstractNumId w:val="39"/>
  </w:num>
  <w:num w:numId="27">
    <w:abstractNumId w:val="24"/>
  </w:num>
  <w:num w:numId="28">
    <w:abstractNumId w:val="9"/>
  </w:num>
  <w:num w:numId="29">
    <w:abstractNumId w:val="34"/>
  </w:num>
  <w:num w:numId="30">
    <w:abstractNumId w:val="23"/>
  </w:num>
  <w:num w:numId="31">
    <w:abstractNumId w:val="12"/>
  </w:num>
  <w:num w:numId="32">
    <w:abstractNumId w:val="28"/>
  </w:num>
  <w:num w:numId="33">
    <w:abstractNumId w:val="7"/>
  </w:num>
  <w:num w:numId="34">
    <w:abstractNumId w:val="3"/>
  </w:num>
  <w:num w:numId="35">
    <w:abstractNumId w:val="20"/>
  </w:num>
  <w:num w:numId="36">
    <w:abstractNumId w:val="45"/>
  </w:num>
  <w:num w:numId="37">
    <w:abstractNumId w:val="26"/>
  </w:num>
  <w:num w:numId="38">
    <w:abstractNumId w:val="29"/>
  </w:num>
  <w:num w:numId="39">
    <w:abstractNumId w:val="37"/>
  </w:num>
  <w:num w:numId="40">
    <w:abstractNumId w:val="33"/>
  </w:num>
  <w:num w:numId="41">
    <w:abstractNumId w:val="0"/>
  </w:num>
  <w:num w:numId="42">
    <w:abstractNumId w:val="17"/>
  </w:num>
  <w:num w:numId="43">
    <w:abstractNumId w:val="1"/>
  </w:num>
  <w:num w:numId="44">
    <w:abstractNumId w:val="32"/>
  </w:num>
  <w:num w:numId="45">
    <w:abstractNumId w:val="2"/>
  </w:num>
  <w:num w:numId="46">
    <w:abstractNumId w:val="11"/>
  </w:num>
  <w:num w:numId="4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812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4B23"/>
    <w:rsid w:val="00006057"/>
    <w:rsid w:val="00006648"/>
    <w:rsid w:val="00006868"/>
    <w:rsid w:val="0000743E"/>
    <w:rsid w:val="000076E7"/>
    <w:rsid w:val="00010A38"/>
    <w:rsid w:val="00011795"/>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BE"/>
    <w:rsid w:val="000414EB"/>
    <w:rsid w:val="0004159F"/>
    <w:rsid w:val="00041650"/>
    <w:rsid w:val="00041B58"/>
    <w:rsid w:val="00042069"/>
    <w:rsid w:val="00042390"/>
    <w:rsid w:val="00042618"/>
    <w:rsid w:val="00042758"/>
    <w:rsid w:val="0004298B"/>
    <w:rsid w:val="00042E94"/>
    <w:rsid w:val="000437B4"/>
    <w:rsid w:val="00043A5E"/>
    <w:rsid w:val="00043D20"/>
    <w:rsid w:val="00043FDE"/>
    <w:rsid w:val="00044AEB"/>
    <w:rsid w:val="000457AD"/>
    <w:rsid w:val="000464AC"/>
    <w:rsid w:val="000467DE"/>
    <w:rsid w:val="00046CB2"/>
    <w:rsid w:val="00046DF1"/>
    <w:rsid w:val="00047188"/>
    <w:rsid w:val="0004769C"/>
    <w:rsid w:val="00047941"/>
    <w:rsid w:val="00047CD6"/>
    <w:rsid w:val="00051DE6"/>
    <w:rsid w:val="00052598"/>
    <w:rsid w:val="00052C3A"/>
    <w:rsid w:val="00053B2B"/>
    <w:rsid w:val="00053BAF"/>
    <w:rsid w:val="00054353"/>
    <w:rsid w:val="0005486A"/>
    <w:rsid w:val="00054A01"/>
    <w:rsid w:val="00054F8E"/>
    <w:rsid w:val="00055DB2"/>
    <w:rsid w:val="0005665F"/>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3DB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490"/>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A0E"/>
    <w:rsid w:val="000A0F64"/>
    <w:rsid w:val="000A152E"/>
    <w:rsid w:val="000A1691"/>
    <w:rsid w:val="000A1891"/>
    <w:rsid w:val="000A1E61"/>
    <w:rsid w:val="000A20B0"/>
    <w:rsid w:val="000A245A"/>
    <w:rsid w:val="000A2C8D"/>
    <w:rsid w:val="000A397A"/>
    <w:rsid w:val="000A4311"/>
    <w:rsid w:val="000A43F5"/>
    <w:rsid w:val="000A4752"/>
    <w:rsid w:val="000A4D7E"/>
    <w:rsid w:val="000A4E95"/>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A85"/>
    <w:rsid w:val="000D6FB8"/>
    <w:rsid w:val="000D793B"/>
    <w:rsid w:val="000E0D38"/>
    <w:rsid w:val="000E1AEC"/>
    <w:rsid w:val="000E1B37"/>
    <w:rsid w:val="000E1F68"/>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E794E"/>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205"/>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551"/>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33C7"/>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4C1"/>
    <w:rsid w:val="00141591"/>
    <w:rsid w:val="0014172A"/>
    <w:rsid w:val="0014187A"/>
    <w:rsid w:val="00141FBC"/>
    <w:rsid w:val="00142166"/>
    <w:rsid w:val="001422C9"/>
    <w:rsid w:val="0014243F"/>
    <w:rsid w:val="0014294E"/>
    <w:rsid w:val="00142C72"/>
    <w:rsid w:val="001432CD"/>
    <w:rsid w:val="001432DF"/>
    <w:rsid w:val="00143447"/>
    <w:rsid w:val="00143519"/>
    <w:rsid w:val="00143522"/>
    <w:rsid w:val="001437C9"/>
    <w:rsid w:val="00143B74"/>
    <w:rsid w:val="00143E7A"/>
    <w:rsid w:val="00144111"/>
    <w:rsid w:val="0014490F"/>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790"/>
    <w:rsid w:val="00157B04"/>
    <w:rsid w:val="00157BD4"/>
    <w:rsid w:val="00160284"/>
    <w:rsid w:val="0016057A"/>
    <w:rsid w:val="00160866"/>
    <w:rsid w:val="0016091C"/>
    <w:rsid w:val="00160E97"/>
    <w:rsid w:val="00161774"/>
    <w:rsid w:val="00161E40"/>
    <w:rsid w:val="00161F83"/>
    <w:rsid w:val="0016224D"/>
    <w:rsid w:val="001624EB"/>
    <w:rsid w:val="0016346F"/>
    <w:rsid w:val="00163837"/>
    <w:rsid w:val="00163A54"/>
    <w:rsid w:val="00164559"/>
    <w:rsid w:val="00164791"/>
    <w:rsid w:val="00165CA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150"/>
    <w:rsid w:val="0017751F"/>
    <w:rsid w:val="00180435"/>
    <w:rsid w:val="001809E0"/>
    <w:rsid w:val="00181375"/>
    <w:rsid w:val="001813C3"/>
    <w:rsid w:val="00181855"/>
    <w:rsid w:val="001819DA"/>
    <w:rsid w:val="00181FCF"/>
    <w:rsid w:val="00182693"/>
    <w:rsid w:val="001826A0"/>
    <w:rsid w:val="00182705"/>
    <w:rsid w:val="00182DFB"/>
    <w:rsid w:val="00182E38"/>
    <w:rsid w:val="00182F94"/>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3AD"/>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0580"/>
    <w:rsid w:val="001E184B"/>
    <w:rsid w:val="001E1EE3"/>
    <w:rsid w:val="001E1F20"/>
    <w:rsid w:val="001E26B5"/>
    <w:rsid w:val="001E2AA6"/>
    <w:rsid w:val="001E30F0"/>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6DD"/>
    <w:rsid w:val="001F5B11"/>
    <w:rsid w:val="001F5D0F"/>
    <w:rsid w:val="001F6550"/>
    <w:rsid w:val="001F69E8"/>
    <w:rsid w:val="001F7038"/>
    <w:rsid w:val="001F7320"/>
    <w:rsid w:val="001F77B6"/>
    <w:rsid w:val="001F7BBF"/>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4D9F"/>
    <w:rsid w:val="0022536E"/>
    <w:rsid w:val="002258F4"/>
    <w:rsid w:val="00225A53"/>
    <w:rsid w:val="00225C88"/>
    <w:rsid w:val="002262C4"/>
    <w:rsid w:val="002264F4"/>
    <w:rsid w:val="002277F0"/>
    <w:rsid w:val="00227A81"/>
    <w:rsid w:val="00230A52"/>
    <w:rsid w:val="00230B9E"/>
    <w:rsid w:val="00231427"/>
    <w:rsid w:val="00231B27"/>
    <w:rsid w:val="00231FE3"/>
    <w:rsid w:val="002321FB"/>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6B6"/>
    <w:rsid w:val="00252803"/>
    <w:rsid w:val="00252FDB"/>
    <w:rsid w:val="0025369C"/>
    <w:rsid w:val="00254AAA"/>
    <w:rsid w:val="0025559A"/>
    <w:rsid w:val="00255E07"/>
    <w:rsid w:val="002567CD"/>
    <w:rsid w:val="00257287"/>
    <w:rsid w:val="00257322"/>
    <w:rsid w:val="002574ED"/>
    <w:rsid w:val="002576AD"/>
    <w:rsid w:val="002576B5"/>
    <w:rsid w:val="0025785E"/>
    <w:rsid w:val="00257D1B"/>
    <w:rsid w:val="00257ECF"/>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1BE"/>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346"/>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A7E"/>
    <w:rsid w:val="002C0BC3"/>
    <w:rsid w:val="002C0D00"/>
    <w:rsid w:val="002C10D1"/>
    <w:rsid w:val="002C1CFA"/>
    <w:rsid w:val="002C239C"/>
    <w:rsid w:val="002C2F4E"/>
    <w:rsid w:val="002C3002"/>
    <w:rsid w:val="002C30B8"/>
    <w:rsid w:val="002C30BF"/>
    <w:rsid w:val="002C356F"/>
    <w:rsid w:val="002C3A5F"/>
    <w:rsid w:val="002C3CEB"/>
    <w:rsid w:val="002C433A"/>
    <w:rsid w:val="002C43CD"/>
    <w:rsid w:val="002C4406"/>
    <w:rsid w:val="002C4DD7"/>
    <w:rsid w:val="002C4E55"/>
    <w:rsid w:val="002C5536"/>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3AC0"/>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DD1"/>
    <w:rsid w:val="002E1F29"/>
    <w:rsid w:val="002E24D4"/>
    <w:rsid w:val="002E293D"/>
    <w:rsid w:val="002E2A27"/>
    <w:rsid w:val="002E337B"/>
    <w:rsid w:val="002E3911"/>
    <w:rsid w:val="002E3E8A"/>
    <w:rsid w:val="002E527B"/>
    <w:rsid w:val="002E56B2"/>
    <w:rsid w:val="002E5ACF"/>
    <w:rsid w:val="002E604B"/>
    <w:rsid w:val="002E6084"/>
    <w:rsid w:val="002E710B"/>
    <w:rsid w:val="002E7C69"/>
    <w:rsid w:val="002F06D0"/>
    <w:rsid w:val="002F15AD"/>
    <w:rsid w:val="002F1625"/>
    <w:rsid w:val="002F2385"/>
    <w:rsid w:val="002F25C3"/>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2D"/>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275"/>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4B1"/>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D92"/>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5ED9"/>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6ED"/>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810"/>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EE2"/>
    <w:rsid w:val="003A43A8"/>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0DD6"/>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070"/>
    <w:rsid w:val="003D12C2"/>
    <w:rsid w:val="003D17C8"/>
    <w:rsid w:val="003D19A0"/>
    <w:rsid w:val="003D265F"/>
    <w:rsid w:val="003D27BD"/>
    <w:rsid w:val="003D3202"/>
    <w:rsid w:val="003D353C"/>
    <w:rsid w:val="003D63C8"/>
    <w:rsid w:val="003D6472"/>
    <w:rsid w:val="003D6A4E"/>
    <w:rsid w:val="003D7756"/>
    <w:rsid w:val="003E059A"/>
    <w:rsid w:val="003E0618"/>
    <w:rsid w:val="003E08FA"/>
    <w:rsid w:val="003E0A78"/>
    <w:rsid w:val="003E19E7"/>
    <w:rsid w:val="003E29B3"/>
    <w:rsid w:val="003E36C0"/>
    <w:rsid w:val="003E3724"/>
    <w:rsid w:val="003E3957"/>
    <w:rsid w:val="003E398D"/>
    <w:rsid w:val="003E3B04"/>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4D9"/>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54CA"/>
    <w:rsid w:val="00446A46"/>
    <w:rsid w:val="00446BAE"/>
    <w:rsid w:val="004473E9"/>
    <w:rsid w:val="0045044A"/>
    <w:rsid w:val="004504BB"/>
    <w:rsid w:val="00450B23"/>
    <w:rsid w:val="00450D72"/>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9"/>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5A51"/>
    <w:rsid w:val="00486750"/>
    <w:rsid w:val="00487EBC"/>
    <w:rsid w:val="0049067A"/>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65E"/>
    <w:rsid w:val="004A0C7E"/>
    <w:rsid w:val="004A1416"/>
    <w:rsid w:val="004A224A"/>
    <w:rsid w:val="004A275E"/>
    <w:rsid w:val="004A28DD"/>
    <w:rsid w:val="004A2F02"/>
    <w:rsid w:val="004A3074"/>
    <w:rsid w:val="004A32DD"/>
    <w:rsid w:val="004A41C2"/>
    <w:rsid w:val="004A570E"/>
    <w:rsid w:val="004A59B2"/>
    <w:rsid w:val="004A60ED"/>
    <w:rsid w:val="004A6E51"/>
    <w:rsid w:val="004A6EE8"/>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3838"/>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1CE3"/>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D7F43"/>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29F9"/>
    <w:rsid w:val="004F40AB"/>
    <w:rsid w:val="004F47F7"/>
    <w:rsid w:val="004F4C76"/>
    <w:rsid w:val="004F5491"/>
    <w:rsid w:val="004F5AD4"/>
    <w:rsid w:val="004F5E74"/>
    <w:rsid w:val="004F5ED2"/>
    <w:rsid w:val="004F75BE"/>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8EB"/>
    <w:rsid w:val="00510BE0"/>
    <w:rsid w:val="00510C49"/>
    <w:rsid w:val="00510C5C"/>
    <w:rsid w:val="00511288"/>
    <w:rsid w:val="00511A73"/>
    <w:rsid w:val="00511E62"/>
    <w:rsid w:val="00512590"/>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7C7"/>
    <w:rsid w:val="00523A16"/>
    <w:rsid w:val="00523D2D"/>
    <w:rsid w:val="00524432"/>
    <w:rsid w:val="00524822"/>
    <w:rsid w:val="00524C26"/>
    <w:rsid w:val="0052534A"/>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CCB"/>
    <w:rsid w:val="00534F33"/>
    <w:rsid w:val="00535069"/>
    <w:rsid w:val="00535A60"/>
    <w:rsid w:val="005364A6"/>
    <w:rsid w:val="005368AB"/>
    <w:rsid w:val="005372AF"/>
    <w:rsid w:val="00537F74"/>
    <w:rsid w:val="00540D5C"/>
    <w:rsid w:val="00540EBB"/>
    <w:rsid w:val="005414C4"/>
    <w:rsid w:val="005417CB"/>
    <w:rsid w:val="00541971"/>
    <w:rsid w:val="00541FF9"/>
    <w:rsid w:val="005432F7"/>
    <w:rsid w:val="005442DE"/>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5FA3"/>
    <w:rsid w:val="005A64FE"/>
    <w:rsid w:val="005A6943"/>
    <w:rsid w:val="005A6C46"/>
    <w:rsid w:val="005A71E5"/>
    <w:rsid w:val="005A7B6B"/>
    <w:rsid w:val="005B0AAB"/>
    <w:rsid w:val="005B0EC1"/>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043"/>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2337"/>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6A19"/>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EAE"/>
    <w:rsid w:val="00605FE7"/>
    <w:rsid w:val="006067DB"/>
    <w:rsid w:val="006073F9"/>
    <w:rsid w:val="00607C34"/>
    <w:rsid w:val="00607F86"/>
    <w:rsid w:val="0061009A"/>
    <w:rsid w:val="006104F9"/>
    <w:rsid w:val="00610669"/>
    <w:rsid w:val="00610776"/>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111"/>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57926"/>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C2E"/>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48F"/>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18B"/>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6FE9"/>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498"/>
    <w:rsid w:val="006D4512"/>
    <w:rsid w:val="006D4676"/>
    <w:rsid w:val="006D46C7"/>
    <w:rsid w:val="006D4C04"/>
    <w:rsid w:val="006D4E80"/>
    <w:rsid w:val="006D5A07"/>
    <w:rsid w:val="006D5DCC"/>
    <w:rsid w:val="006D5E38"/>
    <w:rsid w:val="006D614A"/>
    <w:rsid w:val="006D61AF"/>
    <w:rsid w:val="006D65EC"/>
    <w:rsid w:val="006D6B5E"/>
    <w:rsid w:val="006D6C4C"/>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94"/>
    <w:rsid w:val="006E4EB7"/>
    <w:rsid w:val="006E4F94"/>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3CCB"/>
    <w:rsid w:val="006F4502"/>
    <w:rsid w:val="006F5439"/>
    <w:rsid w:val="006F5EA6"/>
    <w:rsid w:val="006F6761"/>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822"/>
    <w:rsid w:val="00706AAB"/>
    <w:rsid w:val="00707178"/>
    <w:rsid w:val="007073E2"/>
    <w:rsid w:val="0070772C"/>
    <w:rsid w:val="00707EED"/>
    <w:rsid w:val="00710713"/>
    <w:rsid w:val="007109CA"/>
    <w:rsid w:val="00710A96"/>
    <w:rsid w:val="00710C0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6BAC"/>
    <w:rsid w:val="007172B6"/>
    <w:rsid w:val="0071779F"/>
    <w:rsid w:val="00717CD9"/>
    <w:rsid w:val="00717E41"/>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5CA0"/>
    <w:rsid w:val="007263B7"/>
    <w:rsid w:val="0072662D"/>
    <w:rsid w:val="0072667F"/>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08A"/>
    <w:rsid w:val="007404A0"/>
    <w:rsid w:val="007406D2"/>
    <w:rsid w:val="00740D8C"/>
    <w:rsid w:val="00740FC0"/>
    <w:rsid w:val="00741002"/>
    <w:rsid w:val="00741637"/>
    <w:rsid w:val="007418D4"/>
    <w:rsid w:val="00741E81"/>
    <w:rsid w:val="00742121"/>
    <w:rsid w:val="00742CE6"/>
    <w:rsid w:val="00743353"/>
    <w:rsid w:val="00743655"/>
    <w:rsid w:val="00743FDA"/>
    <w:rsid w:val="00744036"/>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463"/>
    <w:rsid w:val="0075561B"/>
    <w:rsid w:val="00755E24"/>
    <w:rsid w:val="00756E8B"/>
    <w:rsid w:val="007575BC"/>
    <w:rsid w:val="007603BD"/>
    <w:rsid w:val="00760711"/>
    <w:rsid w:val="007607A2"/>
    <w:rsid w:val="00760A78"/>
    <w:rsid w:val="007618B2"/>
    <w:rsid w:val="0076209C"/>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6E55"/>
    <w:rsid w:val="00777ECC"/>
    <w:rsid w:val="00780317"/>
    <w:rsid w:val="00780E1B"/>
    <w:rsid w:val="007810BC"/>
    <w:rsid w:val="007813B2"/>
    <w:rsid w:val="00781EB4"/>
    <w:rsid w:val="007823D7"/>
    <w:rsid w:val="00782941"/>
    <w:rsid w:val="00782E96"/>
    <w:rsid w:val="007834C7"/>
    <w:rsid w:val="007844DE"/>
    <w:rsid w:val="007848DA"/>
    <w:rsid w:val="00784A3D"/>
    <w:rsid w:val="00784B70"/>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22"/>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998"/>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0DE"/>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6E43"/>
    <w:rsid w:val="007F7F32"/>
    <w:rsid w:val="00800A70"/>
    <w:rsid w:val="00800DF8"/>
    <w:rsid w:val="008017C2"/>
    <w:rsid w:val="00801DBA"/>
    <w:rsid w:val="00801E32"/>
    <w:rsid w:val="00801FB7"/>
    <w:rsid w:val="008021FD"/>
    <w:rsid w:val="00802554"/>
    <w:rsid w:val="00802575"/>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1B8"/>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813"/>
    <w:rsid w:val="00824ABF"/>
    <w:rsid w:val="00824E32"/>
    <w:rsid w:val="00825246"/>
    <w:rsid w:val="00825B9C"/>
    <w:rsid w:val="00827402"/>
    <w:rsid w:val="00827EFF"/>
    <w:rsid w:val="008301C6"/>
    <w:rsid w:val="0083049A"/>
    <w:rsid w:val="00830846"/>
    <w:rsid w:val="008319DA"/>
    <w:rsid w:val="00831D1D"/>
    <w:rsid w:val="008321A6"/>
    <w:rsid w:val="00832A5F"/>
    <w:rsid w:val="00832C7E"/>
    <w:rsid w:val="00833300"/>
    <w:rsid w:val="00833393"/>
    <w:rsid w:val="0083380F"/>
    <w:rsid w:val="00833A60"/>
    <w:rsid w:val="00833C3B"/>
    <w:rsid w:val="00833D2C"/>
    <w:rsid w:val="00834398"/>
    <w:rsid w:val="00834B4D"/>
    <w:rsid w:val="00835CF4"/>
    <w:rsid w:val="00835FCE"/>
    <w:rsid w:val="008368DE"/>
    <w:rsid w:val="0083696A"/>
    <w:rsid w:val="00840BCC"/>
    <w:rsid w:val="00840E25"/>
    <w:rsid w:val="00840EBC"/>
    <w:rsid w:val="0084161A"/>
    <w:rsid w:val="00841962"/>
    <w:rsid w:val="008424BB"/>
    <w:rsid w:val="00842B3A"/>
    <w:rsid w:val="00843613"/>
    <w:rsid w:val="0084383C"/>
    <w:rsid w:val="0084456D"/>
    <w:rsid w:val="00844729"/>
    <w:rsid w:val="008461B4"/>
    <w:rsid w:val="008465CB"/>
    <w:rsid w:val="00846695"/>
    <w:rsid w:val="00846A62"/>
    <w:rsid w:val="00846B1B"/>
    <w:rsid w:val="0085007E"/>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57FDD"/>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96C73"/>
    <w:rsid w:val="008A04B2"/>
    <w:rsid w:val="008A0D44"/>
    <w:rsid w:val="008A1084"/>
    <w:rsid w:val="008A1C2F"/>
    <w:rsid w:val="008A1DA7"/>
    <w:rsid w:val="008A29BC"/>
    <w:rsid w:val="008A3884"/>
    <w:rsid w:val="008A3A4B"/>
    <w:rsid w:val="008A41DE"/>
    <w:rsid w:val="008A49EA"/>
    <w:rsid w:val="008A4ABF"/>
    <w:rsid w:val="008A5519"/>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109"/>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3E35"/>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7B9"/>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76D"/>
    <w:rsid w:val="009119D3"/>
    <w:rsid w:val="00911F66"/>
    <w:rsid w:val="00911FE6"/>
    <w:rsid w:val="00913377"/>
    <w:rsid w:val="0091344B"/>
    <w:rsid w:val="00913491"/>
    <w:rsid w:val="009136AF"/>
    <w:rsid w:val="00913C85"/>
    <w:rsid w:val="00913DCC"/>
    <w:rsid w:val="0091409A"/>
    <w:rsid w:val="00914378"/>
    <w:rsid w:val="00914F27"/>
    <w:rsid w:val="00916333"/>
    <w:rsid w:val="00916B50"/>
    <w:rsid w:val="00917AC7"/>
    <w:rsid w:val="00917B21"/>
    <w:rsid w:val="00921839"/>
    <w:rsid w:val="00921E03"/>
    <w:rsid w:val="00922101"/>
    <w:rsid w:val="00922A4B"/>
    <w:rsid w:val="00923492"/>
    <w:rsid w:val="009236F3"/>
    <w:rsid w:val="009241BB"/>
    <w:rsid w:val="009244F7"/>
    <w:rsid w:val="00924C0D"/>
    <w:rsid w:val="00924D94"/>
    <w:rsid w:val="0092501B"/>
    <w:rsid w:val="009253F6"/>
    <w:rsid w:val="0092587F"/>
    <w:rsid w:val="00925AA4"/>
    <w:rsid w:val="00926BE1"/>
    <w:rsid w:val="0092714F"/>
    <w:rsid w:val="009272CD"/>
    <w:rsid w:val="00927761"/>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739"/>
    <w:rsid w:val="009468E9"/>
    <w:rsid w:val="00946910"/>
    <w:rsid w:val="00946D18"/>
    <w:rsid w:val="00947C38"/>
    <w:rsid w:val="00947E63"/>
    <w:rsid w:val="009514F0"/>
    <w:rsid w:val="00951718"/>
    <w:rsid w:val="00951817"/>
    <w:rsid w:val="00952BA2"/>
    <w:rsid w:val="00952CCB"/>
    <w:rsid w:val="00952D2C"/>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6B11"/>
    <w:rsid w:val="00957342"/>
    <w:rsid w:val="009574F2"/>
    <w:rsid w:val="00957921"/>
    <w:rsid w:val="009579D9"/>
    <w:rsid w:val="00957A1E"/>
    <w:rsid w:val="00957A76"/>
    <w:rsid w:val="00957C00"/>
    <w:rsid w:val="00960719"/>
    <w:rsid w:val="00960E56"/>
    <w:rsid w:val="00960F89"/>
    <w:rsid w:val="009616B6"/>
    <w:rsid w:val="0096190B"/>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3B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5C3C"/>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0CD8"/>
    <w:rsid w:val="009B121B"/>
    <w:rsid w:val="009B144A"/>
    <w:rsid w:val="009B14F4"/>
    <w:rsid w:val="009B177F"/>
    <w:rsid w:val="009B17DB"/>
    <w:rsid w:val="009B26EE"/>
    <w:rsid w:val="009B3199"/>
    <w:rsid w:val="009B38BC"/>
    <w:rsid w:val="009B4EC5"/>
    <w:rsid w:val="009B50CC"/>
    <w:rsid w:val="009B51A4"/>
    <w:rsid w:val="009B520B"/>
    <w:rsid w:val="009B5A4A"/>
    <w:rsid w:val="009B5ACD"/>
    <w:rsid w:val="009B5E21"/>
    <w:rsid w:val="009B67B3"/>
    <w:rsid w:val="009B70C2"/>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0A0C"/>
    <w:rsid w:val="009D0ABE"/>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0FDF"/>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56FF"/>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5D9C"/>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22A"/>
    <w:rsid w:val="00A34383"/>
    <w:rsid w:val="00A3529A"/>
    <w:rsid w:val="00A376F0"/>
    <w:rsid w:val="00A37CAA"/>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9E2"/>
    <w:rsid w:val="00A43F0E"/>
    <w:rsid w:val="00A44228"/>
    <w:rsid w:val="00A44C41"/>
    <w:rsid w:val="00A44D2E"/>
    <w:rsid w:val="00A44E81"/>
    <w:rsid w:val="00A45529"/>
    <w:rsid w:val="00A461E4"/>
    <w:rsid w:val="00A466AC"/>
    <w:rsid w:val="00A47031"/>
    <w:rsid w:val="00A4765E"/>
    <w:rsid w:val="00A47D66"/>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49E"/>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025"/>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9C3"/>
    <w:rsid w:val="00A96F3E"/>
    <w:rsid w:val="00A97B41"/>
    <w:rsid w:val="00A97DC4"/>
    <w:rsid w:val="00A97F0C"/>
    <w:rsid w:val="00A97F93"/>
    <w:rsid w:val="00AA0147"/>
    <w:rsid w:val="00AA0E4D"/>
    <w:rsid w:val="00AA219A"/>
    <w:rsid w:val="00AA25C5"/>
    <w:rsid w:val="00AA2964"/>
    <w:rsid w:val="00AA2B8B"/>
    <w:rsid w:val="00AA2C6E"/>
    <w:rsid w:val="00AA2CAE"/>
    <w:rsid w:val="00AA3079"/>
    <w:rsid w:val="00AA3E2B"/>
    <w:rsid w:val="00AA3F84"/>
    <w:rsid w:val="00AA46DD"/>
    <w:rsid w:val="00AA4886"/>
    <w:rsid w:val="00AA509E"/>
    <w:rsid w:val="00AA53A0"/>
    <w:rsid w:val="00AA53AC"/>
    <w:rsid w:val="00AA5933"/>
    <w:rsid w:val="00AA5DEA"/>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27D7"/>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A8F"/>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63E5"/>
    <w:rsid w:val="00AF67F3"/>
    <w:rsid w:val="00AF7083"/>
    <w:rsid w:val="00AF71D2"/>
    <w:rsid w:val="00B000F2"/>
    <w:rsid w:val="00B00325"/>
    <w:rsid w:val="00B00478"/>
    <w:rsid w:val="00B01410"/>
    <w:rsid w:val="00B01544"/>
    <w:rsid w:val="00B01BCB"/>
    <w:rsid w:val="00B01DF0"/>
    <w:rsid w:val="00B026D2"/>
    <w:rsid w:val="00B02A31"/>
    <w:rsid w:val="00B02B12"/>
    <w:rsid w:val="00B02B2E"/>
    <w:rsid w:val="00B02C5B"/>
    <w:rsid w:val="00B02DE3"/>
    <w:rsid w:val="00B037AA"/>
    <w:rsid w:val="00B03A9D"/>
    <w:rsid w:val="00B053DD"/>
    <w:rsid w:val="00B054BA"/>
    <w:rsid w:val="00B05BA4"/>
    <w:rsid w:val="00B06804"/>
    <w:rsid w:val="00B07533"/>
    <w:rsid w:val="00B0782C"/>
    <w:rsid w:val="00B07908"/>
    <w:rsid w:val="00B07ADC"/>
    <w:rsid w:val="00B1005C"/>
    <w:rsid w:val="00B11469"/>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0BD"/>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CBB"/>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575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3F77"/>
    <w:rsid w:val="00B4461F"/>
    <w:rsid w:val="00B4481E"/>
    <w:rsid w:val="00B44DF4"/>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6762D"/>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6FDE"/>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AFC"/>
    <w:rsid w:val="00B84F90"/>
    <w:rsid w:val="00B85A66"/>
    <w:rsid w:val="00B86396"/>
    <w:rsid w:val="00B86CFF"/>
    <w:rsid w:val="00B86E92"/>
    <w:rsid w:val="00B879A2"/>
    <w:rsid w:val="00B87DBB"/>
    <w:rsid w:val="00B90239"/>
    <w:rsid w:val="00B902FD"/>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47B"/>
    <w:rsid w:val="00B955E4"/>
    <w:rsid w:val="00B957C1"/>
    <w:rsid w:val="00B95994"/>
    <w:rsid w:val="00B95A58"/>
    <w:rsid w:val="00B95A9E"/>
    <w:rsid w:val="00B95C39"/>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296E"/>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3F39"/>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5FF1"/>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B6F"/>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04C"/>
    <w:rsid w:val="00BF3924"/>
    <w:rsid w:val="00BF44FB"/>
    <w:rsid w:val="00BF48D2"/>
    <w:rsid w:val="00BF5160"/>
    <w:rsid w:val="00BF6E43"/>
    <w:rsid w:val="00BF72CB"/>
    <w:rsid w:val="00BF7494"/>
    <w:rsid w:val="00BF763F"/>
    <w:rsid w:val="00BF7FF6"/>
    <w:rsid w:val="00C00270"/>
    <w:rsid w:val="00C00650"/>
    <w:rsid w:val="00C00E23"/>
    <w:rsid w:val="00C012C4"/>
    <w:rsid w:val="00C014C3"/>
    <w:rsid w:val="00C01507"/>
    <w:rsid w:val="00C021BB"/>
    <w:rsid w:val="00C026F9"/>
    <w:rsid w:val="00C028E5"/>
    <w:rsid w:val="00C02BBE"/>
    <w:rsid w:val="00C02CB9"/>
    <w:rsid w:val="00C02ED5"/>
    <w:rsid w:val="00C03148"/>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1853"/>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825"/>
    <w:rsid w:val="00C30F83"/>
    <w:rsid w:val="00C31069"/>
    <w:rsid w:val="00C3126C"/>
    <w:rsid w:val="00C312F5"/>
    <w:rsid w:val="00C31354"/>
    <w:rsid w:val="00C3135E"/>
    <w:rsid w:val="00C319FB"/>
    <w:rsid w:val="00C31C5A"/>
    <w:rsid w:val="00C31EAC"/>
    <w:rsid w:val="00C325F4"/>
    <w:rsid w:val="00C3269C"/>
    <w:rsid w:val="00C32836"/>
    <w:rsid w:val="00C335C6"/>
    <w:rsid w:val="00C342CA"/>
    <w:rsid w:val="00C34515"/>
    <w:rsid w:val="00C34A03"/>
    <w:rsid w:val="00C34D9A"/>
    <w:rsid w:val="00C34ECA"/>
    <w:rsid w:val="00C350DE"/>
    <w:rsid w:val="00C35396"/>
    <w:rsid w:val="00C3552E"/>
    <w:rsid w:val="00C35A85"/>
    <w:rsid w:val="00C35B4B"/>
    <w:rsid w:val="00C35C26"/>
    <w:rsid w:val="00C360A1"/>
    <w:rsid w:val="00C36498"/>
    <w:rsid w:val="00C36C08"/>
    <w:rsid w:val="00C36CF8"/>
    <w:rsid w:val="00C36FF2"/>
    <w:rsid w:val="00C36FF4"/>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564"/>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1FC"/>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2EEB"/>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120"/>
    <w:rsid w:val="00CB5609"/>
    <w:rsid w:val="00CB5C51"/>
    <w:rsid w:val="00CB5DBA"/>
    <w:rsid w:val="00CB5FBD"/>
    <w:rsid w:val="00CB65DC"/>
    <w:rsid w:val="00CB6DC9"/>
    <w:rsid w:val="00CB7F2D"/>
    <w:rsid w:val="00CC10A8"/>
    <w:rsid w:val="00CC16EE"/>
    <w:rsid w:val="00CC1763"/>
    <w:rsid w:val="00CC21F6"/>
    <w:rsid w:val="00CC2600"/>
    <w:rsid w:val="00CC2F39"/>
    <w:rsid w:val="00CC3F69"/>
    <w:rsid w:val="00CC4526"/>
    <w:rsid w:val="00CC4B0F"/>
    <w:rsid w:val="00CC4B86"/>
    <w:rsid w:val="00CC5A1A"/>
    <w:rsid w:val="00CC5EA6"/>
    <w:rsid w:val="00CC6B67"/>
    <w:rsid w:val="00CC6CE2"/>
    <w:rsid w:val="00CC6D02"/>
    <w:rsid w:val="00CC70C2"/>
    <w:rsid w:val="00CC71C7"/>
    <w:rsid w:val="00CC759C"/>
    <w:rsid w:val="00CD01FF"/>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6F60"/>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CF7BD2"/>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38C0"/>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531"/>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402"/>
    <w:rsid w:val="00D35AA2"/>
    <w:rsid w:val="00D35BC0"/>
    <w:rsid w:val="00D36218"/>
    <w:rsid w:val="00D362BE"/>
    <w:rsid w:val="00D36BE9"/>
    <w:rsid w:val="00D3722A"/>
    <w:rsid w:val="00D37579"/>
    <w:rsid w:val="00D379CE"/>
    <w:rsid w:val="00D37FEC"/>
    <w:rsid w:val="00D4006F"/>
    <w:rsid w:val="00D404B4"/>
    <w:rsid w:val="00D4068D"/>
    <w:rsid w:val="00D40B0A"/>
    <w:rsid w:val="00D41EC7"/>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195C"/>
    <w:rsid w:val="00D52781"/>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08"/>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0A3"/>
    <w:rsid w:val="00D76A1F"/>
    <w:rsid w:val="00D77016"/>
    <w:rsid w:val="00D77153"/>
    <w:rsid w:val="00D77953"/>
    <w:rsid w:val="00D77B31"/>
    <w:rsid w:val="00D77D62"/>
    <w:rsid w:val="00D800A0"/>
    <w:rsid w:val="00D8028D"/>
    <w:rsid w:val="00D80B5C"/>
    <w:rsid w:val="00D81BB1"/>
    <w:rsid w:val="00D81C4F"/>
    <w:rsid w:val="00D83392"/>
    <w:rsid w:val="00D83554"/>
    <w:rsid w:val="00D84D29"/>
    <w:rsid w:val="00D84F6A"/>
    <w:rsid w:val="00D8506B"/>
    <w:rsid w:val="00D855D0"/>
    <w:rsid w:val="00D85A8B"/>
    <w:rsid w:val="00D86ADC"/>
    <w:rsid w:val="00D876CD"/>
    <w:rsid w:val="00D90124"/>
    <w:rsid w:val="00D90791"/>
    <w:rsid w:val="00D90A08"/>
    <w:rsid w:val="00D90A11"/>
    <w:rsid w:val="00D90F27"/>
    <w:rsid w:val="00D90F8B"/>
    <w:rsid w:val="00D9114E"/>
    <w:rsid w:val="00D91524"/>
    <w:rsid w:val="00D9171F"/>
    <w:rsid w:val="00D91C1A"/>
    <w:rsid w:val="00D928A3"/>
    <w:rsid w:val="00D9350D"/>
    <w:rsid w:val="00D93A74"/>
    <w:rsid w:val="00D9440E"/>
    <w:rsid w:val="00D94DD6"/>
    <w:rsid w:val="00D94F0E"/>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B37"/>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2FA2"/>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20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E74"/>
    <w:rsid w:val="00DF2FFE"/>
    <w:rsid w:val="00DF3463"/>
    <w:rsid w:val="00DF3A31"/>
    <w:rsid w:val="00DF3DDB"/>
    <w:rsid w:val="00DF563C"/>
    <w:rsid w:val="00DF5D6C"/>
    <w:rsid w:val="00DF631D"/>
    <w:rsid w:val="00DF69CE"/>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575"/>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325"/>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033"/>
    <w:rsid w:val="00E24847"/>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079"/>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A99"/>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68E"/>
    <w:rsid w:val="00E81E0D"/>
    <w:rsid w:val="00E829B0"/>
    <w:rsid w:val="00E829FE"/>
    <w:rsid w:val="00E82ABB"/>
    <w:rsid w:val="00E82B29"/>
    <w:rsid w:val="00E82B62"/>
    <w:rsid w:val="00E83021"/>
    <w:rsid w:val="00E83148"/>
    <w:rsid w:val="00E841D8"/>
    <w:rsid w:val="00E84945"/>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046"/>
    <w:rsid w:val="00E926FF"/>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0DC"/>
    <w:rsid w:val="00EA1578"/>
    <w:rsid w:val="00EA224E"/>
    <w:rsid w:val="00EA3A54"/>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A94"/>
    <w:rsid w:val="00EB4BE5"/>
    <w:rsid w:val="00EB5234"/>
    <w:rsid w:val="00EB52CC"/>
    <w:rsid w:val="00EB610E"/>
    <w:rsid w:val="00EB6335"/>
    <w:rsid w:val="00EB722E"/>
    <w:rsid w:val="00EB733C"/>
    <w:rsid w:val="00EB7781"/>
    <w:rsid w:val="00EB7C4F"/>
    <w:rsid w:val="00EC01CB"/>
    <w:rsid w:val="00EC091F"/>
    <w:rsid w:val="00EC0E72"/>
    <w:rsid w:val="00EC1196"/>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DCE"/>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B2"/>
    <w:rsid w:val="00EE76C8"/>
    <w:rsid w:val="00EF0066"/>
    <w:rsid w:val="00EF14B9"/>
    <w:rsid w:val="00EF176E"/>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152"/>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1FD"/>
    <w:rsid w:val="00F20894"/>
    <w:rsid w:val="00F20D29"/>
    <w:rsid w:val="00F20D34"/>
    <w:rsid w:val="00F20E43"/>
    <w:rsid w:val="00F2115A"/>
    <w:rsid w:val="00F222EC"/>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850"/>
    <w:rsid w:val="00F76A83"/>
    <w:rsid w:val="00F773EF"/>
    <w:rsid w:val="00F774C8"/>
    <w:rsid w:val="00F802C8"/>
    <w:rsid w:val="00F813B4"/>
    <w:rsid w:val="00F81D96"/>
    <w:rsid w:val="00F81F18"/>
    <w:rsid w:val="00F826E7"/>
    <w:rsid w:val="00F827AA"/>
    <w:rsid w:val="00F82C6C"/>
    <w:rsid w:val="00F83978"/>
    <w:rsid w:val="00F83ED3"/>
    <w:rsid w:val="00F83F3F"/>
    <w:rsid w:val="00F83FE2"/>
    <w:rsid w:val="00F840B9"/>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311"/>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780"/>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93A"/>
    <w:rsid w:val="00FE6DE2"/>
    <w:rsid w:val="00FE6E80"/>
    <w:rsid w:val="00FF02E4"/>
    <w:rsid w:val="00FF0677"/>
    <w:rsid w:val="00FF0DA9"/>
    <w:rsid w:val="00FF10F1"/>
    <w:rsid w:val="00FF12F2"/>
    <w:rsid w:val="00FF2986"/>
    <w:rsid w:val="00FF2F3F"/>
    <w:rsid w:val="00FF31DD"/>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12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 w:type="character" w:styleId="Strong">
    <w:name w:val="Strong"/>
    <w:basedOn w:val="DefaultParagraphFont"/>
    <w:uiPriority w:val="22"/>
    <w:qFormat/>
    <w:rsid w:val="00D81C4F"/>
    <w:rPr>
      <w:b/>
      <w:bCs/>
    </w:rPr>
  </w:style>
  <w:style w:type="paragraph" w:styleId="NormalWeb">
    <w:name w:val="Normal (Web)"/>
    <w:basedOn w:val="Normal"/>
    <w:uiPriority w:val="99"/>
    <w:unhideWhenUsed/>
    <w:rsid w:val="00DF69CE"/>
    <w:pPr>
      <w:spacing w:before="100" w:beforeAutospacing="1" w:after="100" w:afterAutospacing="1"/>
    </w:pPr>
    <w:rPr>
      <w:szCs w:val="24"/>
      <w:lang w:val="en-CA" w:eastAsia="en-CA"/>
    </w:rPr>
  </w:style>
  <w:style w:type="character" w:customStyle="1" w:styleId="fontstyle01">
    <w:name w:val="fontstyle01"/>
    <w:basedOn w:val="DefaultParagraphFont"/>
    <w:rsid w:val="00716BA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716BAC"/>
    <w:rPr>
      <w:rFonts w:ascii="TimesNewRomanPS-ItalicMT" w:hAnsi="TimesNewRomanPS-ItalicMT" w:hint="default"/>
      <w:b w:val="0"/>
      <w:bCs w:val="0"/>
      <w:i/>
      <w:iCs/>
      <w:color w:val="000000"/>
      <w:sz w:val="24"/>
      <w:szCs w:val="24"/>
    </w:rPr>
  </w:style>
  <w:style w:type="paragraph" w:customStyle="1" w:styleId="citation">
    <w:name w:val="citation"/>
    <w:basedOn w:val="Normal"/>
    <w:rsid w:val="005442DE"/>
    <w:pPr>
      <w:spacing w:before="100" w:beforeAutospacing="1" w:after="100" w:afterAutospacing="1"/>
    </w:pPr>
    <w:rPr>
      <w:szCs w:val="24"/>
      <w:lang w:val="en-CA" w:eastAsia="en-CA"/>
    </w:rPr>
  </w:style>
  <w:style w:type="character" w:customStyle="1" w:styleId="ui-provider">
    <w:name w:val="ui-provider"/>
    <w:basedOn w:val="DefaultParagraphFont"/>
    <w:rsid w:val="006C6FE9"/>
  </w:style>
  <w:style w:type="paragraph" w:customStyle="1" w:styleId="felskynumbering12">
    <w:name w:val="felskynumbering12"/>
    <w:basedOn w:val="Normal"/>
    <w:rsid w:val="00FC0780"/>
    <w:pPr>
      <w:spacing w:before="100" w:beforeAutospacing="1" w:after="100" w:afterAutospacing="1"/>
    </w:pPr>
    <w:rPr>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fra.aspx?cas=40623" TargetMode="External"/><Relationship Id="rId18" Type="http://schemas.openxmlformats.org/officeDocument/2006/relationships/hyperlink" Target="https://www.scc-csc.ca/case-dossier/info/sum-som-eng.aspx?cas=36987" TargetMode="External"/><Relationship Id="rId26" Type="http://schemas.openxmlformats.org/officeDocument/2006/relationships/hyperlink" Target="https://www.canlii.org/en/on/onsc/doc/2021/2021onsc2575/2021onsc2575.html" TargetMode="External"/><Relationship Id="rId39" Type="http://schemas.openxmlformats.org/officeDocument/2006/relationships/hyperlink" Target="https://canlii.ca/t/jh4w0" TargetMode="External"/><Relationship Id="rId21" Type="http://schemas.openxmlformats.org/officeDocument/2006/relationships/hyperlink" Target="https://canlii.ca/t/jrrnd" TargetMode="External"/><Relationship Id="rId34" Type="http://schemas.openxmlformats.org/officeDocument/2006/relationships/hyperlink" Target="https://canlii.ca/t/jkgkk" TargetMode="External"/><Relationship Id="rId42" Type="http://schemas.openxmlformats.org/officeDocument/2006/relationships/hyperlink" Target="https://canlii.ca/t/jtm1h" TargetMode="External"/><Relationship Id="rId47" Type="http://schemas.openxmlformats.org/officeDocument/2006/relationships/hyperlink" Target="https://canlii.ca/t/jk2r5" TargetMode="External"/><Relationship Id="rId50" Type="http://schemas.openxmlformats.org/officeDocument/2006/relationships/hyperlink" Target="https://www.canlii.org/fr/ca/caf/doc/2022/2022caf156/2022caf156.html" TargetMode="External"/><Relationship Id="rId55" Type="http://schemas.openxmlformats.org/officeDocument/2006/relationships/hyperlink" Target="https://canlii.ca/t/fwzn9"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c-csc.ca/case-dossier/info/sum-som-fra.aspx?cas=40206" TargetMode="External"/><Relationship Id="rId29" Type="http://schemas.openxmlformats.org/officeDocument/2006/relationships/hyperlink" Target="https://www.canlii.org/en/on/onca/doc/2022/2022onca769/2022onca769.html?autocompleteStr=2022%20onca%20769&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546" TargetMode="External"/><Relationship Id="rId24" Type="http://schemas.openxmlformats.org/officeDocument/2006/relationships/hyperlink" Target="https://www.canlii.org/en/on/onca/doc/2018/2018onca590/2018onca590.html?resultIndex=1" TargetMode="External"/><Relationship Id="rId32" Type="http://schemas.openxmlformats.org/officeDocument/2006/relationships/hyperlink" Target="https://www.canlii.org/en/ca/fca/doc/2022/2022fca195/2022fca195.html?autocompleteStr=2022%20FCA%20195&amp;autocompletePos=1" TargetMode="External"/><Relationship Id="rId37" Type="http://schemas.openxmlformats.org/officeDocument/2006/relationships/hyperlink" Target="https://www.canlii.org/en/on/onsc/doc/2021/2021onsc7094/2021onsc7094.html" TargetMode="External"/><Relationship Id="rId40" Type="http://schemas.openxmlformats.org/officeDocument/2006/relationships/hyperlink" Target="https://canlii.ca/t/jtm1h" TargetMode="External"/><Relationship Id="rId45" Type="http://schemas.openxmlformats.org/officeDocument/2006/relationships/hyperlink" Target="https://www.canlii.org/fr/qc/qccs/doc/2021/2021qccs5319/2021qccs5319.pdf" TargetMode="External"/><Relationship Id="rId53" Type="http://schemas.openxmlformats.org/officeDocument/2006/relationships/hyperlink" Target="https://canlii.ca/t/gjk4c" TargetMode="External"/><Relationship Id="rId58" Type="http://schemas.openxmlformats.org/officeDocument/2006/relationships/hyperlink" Target="https://canlii.ca/t/hvk24"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c-csc.ca/case-dossier/info/sum-som-eng.aspx?cas=40613" TargetMode="External"/><Relationship Id="rId23" Type="http://schemas.openxmlformats.org/officeDocument/2006/relationships/hyperlink" Target="https://www.canlii.org/en/bc/bcca/doc/2022/2022bcca394/2022bcca394.html?autocompleteStr=2022%20BCCA%20394&amp;autocompletePos=1" TargetMode="External"/><Relationship Id="rId28" Type="http://schemas.openxmlformats.org/officeDocument/2006/relationships/hyperlink" Target="https://www.canlii.org/en/on/onsc/doc/2021/2021onsc2575/2021onsc2575.html" TargetMode="External"/><Relationship Id="rId36" Type="http://schemas.openxmlformats.org/officeDocument/2006/relationships/hyperlink" Target="https://www.canlii.org/en/on/onca/doc/2022/2022onca774/2022onca774.html" TargetMode="External"/><Relationship Id="rId49" Type="http://schemas.openxmlformats.org/officeDocument/2006/relationships/hyperlink" Target="https://www.canlii.org/fr/ca/cfpi/doc/2021/2021cf942/2021cf942.html" TargetMode="External"/><Relationship Id="rId57" Type="http://schemas.openxmlformats.org/officeDocument/2006/relationships/hyperlink" Target="https://canlii.ca/t/fwzn9" TargetMode="External"/><Relationship Id="rId61" Type="http://schemas.openxmlformats.org/officeDocument/2006/relationships/header" Target="header2.xml"/><Relationship Id="rId10" Type="http://schemas.openxmlformats.org/officeDocument/2006/relationships/hyperlink" Target="https://www.scc-csc.ca/case-dossier/info/sum-som-eng.aspx?cas=40578" TargetMode="External"/><Relationship Id="rId19" Type="http://schemas.openxmlformats.org/officeDocument/2006/relationships/hyperlink" Target="https://www.scc-csc.ca/case-dossier/info/sum-som-eng.aspx?cas=39970" TargetMode="External"/><Relationship Id="rId31" Type="http://schemas.openxmlformats.org/officeDocument/2006/relationships/hyperlink" Target="https://www.canlii.org/en/ca/fca/doc/2022/2022fca195/2022fca195.html?autocompleteStr=2022%20FCA%20195&amp;autocompletePos=1" TargetMode="External"/><Relationship Id="rId44" Type="http://schemas.openxmlformats.org/officeDocument/2006/relationships/hyperlink" Target="https://www.canlii.org/fr/qc/qcca/doc/2022/2022qcca549/2022qcca549.pdf" TargetMode="External"/><Relationship Id="rId52" Type="http://schemas.openxmlformats.org/officeDocument/2006/relationships/hyperlink" Target="https://canlii.ca/t/hsg7q"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40481" TargetMode="External"/><Relationship Id="rId14" Type="http://schemas.openxmlformats.org/officeDocument/2006/relationships/hyperlink" Target="https://www.scc-csc.ca/case-dossier/info/sum-som-eng.aspx?cas=40560" TargetMode="External"/><Relationship Id="rId22" Type="http://schemas.openxmlformats.org/officeDocument/2006/relationships/hyperlink" Target="https://www.canlii.org/en/bc/bcca/doc/2022/2022bcca394/2022bcca394.html?autocompleteStr=2022%20BCCA%20394&amp;autocompletePos=1" TargetMode="External"/><Relationship Id="rId27" Type="http://schemas.openxmlformats.org/officeDocument/2006/relationships/hyperlink" Target="https://www.canlii.org/en/on/onca/doc/2022/2022onca769/2022onca769.html?autocompleteStr=2022%20onca%20769&amp;autocompletePos=1" TargetMode="External"/><Relationship Id="rId30" Type="http://schemas.openxmlformats.org/officeDocument/2006/relationships/hyperlink" Target="https://www.canlii.org/en/ca/tcc/doc/2021/2021tcc33/2021tcc33.html?autocompleteStr=2021%20TCC%2033&amp;autocompletePos=1" TargetMode="External"/><Relationship Id="rId35" Type="http://schemas.openxmlformats.org/officeDocument/2006/relationships/hyperlink" Target="https://www.canlii.org/en/on/onsc/doc/2021/2021onsc7094/2021onsc7094.html" TargetMode="External"/><Relationship Id="rId43" Type="http://schemas.openxmlformats.org/officeDocument/2006/relationships/hyperlink" Target="https://www.canlii.org/fr/qc/qccs/doc/2021/2021qccs5319/2021qccs5319.pdf" TargetMode="External"/><Relationship Id="rId48" Type="http://schemas.openxmlformats.org/officeDocument/2006/relationships/hyperlink" Target="https://www.canlii.org/fr/ca/caf/doc/2022/2022caf156/2022caf156.html" TargetMode="External"/><Relationship Id="rId56" Type="http://schemas.openxmlformats.org/officeDocument/2006/relationships/hyperlink" Target="https://canlii.ca/t/hvk24" TargetMode="External"/><Relationship Id="rId64" Type="http://schemas.openxmlformats.org/officeDocument/2006/relationships/header" Target="header3.xml"/><Relationship Id="rId8" Type="http://schemas.openxmlformats.org/officeDocument/2006/relationships/hyperlink" Target="https://www.scc-csc.ca/case-dossier/info/sum-som-fra.aspx?cas=40394" TargetMode="External"/><Relationship Id="rId51" Type="http://schemas.openxmlformats.org/officeDocument/2006/relationships/hyperlink" Target="https://canlii.ca/t/gjk4c" TargetMode="External"/><Relationship Id="rId3" Type="http://schemas.openxmlformats.org/officeDocument/2006/relationships/styles" Target="styles.xml"/><Relationship Id="rId12" Type="http://schemas.openxmlformats.org/officeDocument/2006/relationships/hyperlink" Target="https://www.scc-csc.ca/case-dossier/info/sum-som-eng.aspx?cas=40548" TargetMode="External"/><Relationship Id="rId17" Type="http://schemas.openxmlformats.org/officeDocument/2006/relationships/hyperlink" Target="https://www.scc-csc.ca/case-dossier/info/sum-som-fra.aspx?cas=40455" TargetMode="External"/><Relationship Id="rId25" Type="http://schemas.openxmlformats.org/officeDocument/2006/relationships/hyperlink" Target="https://www.canlii.org/en/on/onca/doc/2018/2018onca590/2018onca590.html?resultIndex=1" TargetMode="External"/><Relationship Id="rId33" Type="http://schemas.openxmlformats.org/officeDocument/2006/relationships/hyperlink" Target="https://canlii.ca/t/jkgkk" TargetMode="External"/><Relationship Id="rId38" Type="http://schemas.openxmlformats.org/officeDocument/2006/relationships/hyperlink" Target="https://www.canlii.org/en/on/onca/doc/2022/2022onca774/2022onca774.html" TargetMode="External"/><Relationship Id="rId46" Type="http://schemas.openxmlformats.org/officeDocument/2006/relationships/hyperlink" Target="https://www.canlii.org/fr/qc/qcca/doc/2022/2022qcca549/2022qcca549.pdf" TargetMode="External"/><Relationship Id="rId59" Type="http://schemas.openxmlformats.org/officeDocument/2006/relationships/hyperlink" Target="mailto:comments-commentaires@scc-csc.ca" TargetMode="External"/><Relationship Id="rId67" Type="http://schemas.openxmlformats.org/officeDocument/2006/relationships/theme" Target="theme/theme1.xml"/><Relationship Id="rId20" Type="http://schemas.openxmlformats.org/officeDocument/2006/relationships/hyperlink" Target="https://canlii.ca/t/jrrnd" TargetMode="External"/><Relationship Id="rId41" Type="http://schemas.openxmlformats.org/officeDocument/2006/relationships/hyperlink" Target="https://canlii.ca/t/jh4w0" TargetMode="External"/><Relationship Id="rId54" Type="http://schemas.openxmlformats.org/officeDocument/2006/relationships/hyperlink" Target="https://canlii.ca/t/hsg7q" TargetMode="External"/><Relationship Id="rId6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EE012-84F2-434C-BB2B-EBE96F0F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9135</Words>
  <Characters>52073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61086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2023-05-29T12:34:00Z</dcterms:created>
  <dcterms:modified xsi:type="dcterms:W3CDTF">2023-06-23T13:45:00Z</dcterms:modified>
</cp:coreProperties>
</file>