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A5368" w:rsidRDefault="000E391F" w:rsidP="000E391F">
      <w:pPr>
        <w:pStyle w:val="Header"/>
        <w:jc w:val="center"/>
        <w:rPr>
          <w:b/>
          <w:sz w:val="32"/>
          <w:szCs w:val="32"/>
        </w:rPr>
      </w:pPr>
      <w:r w:rsidRPr="000A5368">
        <w:rPr>
          <w:b/>
          <w:sz w:val="32"/>
          <w:szCs w:val="32"/>
        </w:rPr>
        <w:t>Supreme Court of Canada / Cour suprême du Canada</w:t>
      </w:r>
    </w:p>
    <w:p w:rsidR="000E391F" w:rsidRPr="000A5368" w:rsidRDefault="000E391F" w:rsidP="000E391F">
      <w:pPr>
        <w:widowControl w:val="0"/>
        <w:rPr>
          <w:sz w:val="20"/>
        </w:rPr>
      </w:pPr>
    </w:p>
    <w:p w:rsidR="000E391F" w:rsidRPr="000A5368" w:rsidRDefault="000E391F" w:rsidP="000E391F">
      <w:pPr>
        <w:widowControl w:val="0"/>
        <w:rPr>
          <w:i/>
          <w:sz w:val="20"/>
        </w:rPr>
      </w:pPr>
    </w:p>
    <w:p w:rsidR="006F2579" w:rsidRPr="000A5368" w:rsidRDefault="006F2579" w:rsidP="006F2579">
      <w:pPr>
        <w:widowControl w:val="0"/>
        <w:rPr>
          <w:i/>
          <w:sz w:val="20"/>
        </w:rPr>
      </w:pPr>
      <w:r w:rsidRPr="000A5368">
        <w:rPr>
          <w:i/>
          <w:sz w:val="20"/>
        </w:rPr>
        <w:t>(</w:t>
      </w:r>
      <w:r w:rsidR="003240B6" w:rsidRPr="000A5368">
        <w:rPr>
          <w:i/>
          <w:sz w:val="20"/>
        </w:rPr>
        <w:t>L</w:t>
      </w:r>
      <w:r w:rsidRPr="000A5368">
        <w:rPr>
          <w:i/>
          <w:sz w:val="20"/>
        </w:rPr>
        <w:t>e français suit)</w:t>
      </w:r>
    </w:p>
    <w:p w:rsidR="006F2579" w:rsidRPr="000A5368" w:rsidRDefault="006F2579" w:rsidP="006F2579">
      <w:pPr>
        <w:widowControl w:val="0"/>
        <w:rPr>
          <w:sz w:val="20"/>
        </w:rPr>
      </w:pPr>
    </w:p>
    <w:p w:rsidR="006F2579" w:rsidRPr="000A5368" w:rsidRDefault="00B07908" w:rsidP="006F2579">
      <w:pPr>
        <w:widowControl w:val="0"/>
        <w:jc w:val="center"/>
        <w:rPr>
          <w:b/>
          <w:szCs w:val="24"/>
        </w:rPr>
      </w:pPr>
      <w:r w:rsidRPr="000A5368">
        <w:rPr>
          <w:szCs w:val="24"/>
        </w:rPr>
        <w:fldChar w:fldCharType="begin"/>
      </w:r>
      <w:r w:rsidR="006F2579" w:rsidRPr="000A5368">
        <w:rPr>
          <w:szCs w:val="24"/>
        </w:rPr>
        <w:instrText xml:space="preserve"> SEQ CHAPTER \h \r 1</w:instrText>
      </w:r>
      <w:r w:rsidRPr="000A5368">
        <w:rPr>
          <w:szCs w:val="24"/>
        </w:rPr>
        <w:fldChar w:fldCharType="end"/>
      </w:r>
      <w:r w:rsidR="006F2579" w:rsidRPr="000A5368">
        <w:rPr>
          <w:b/>
          <w:szCs w:val="24"/>
        </w:rPr>
        <w:t>JUDGMENT</w:t>
      </w:r>
      <w:r w:rsidR="004F5491" w:rsidRPr="000A5368">
        <w:rPr>
          <w:b/>
          <w:szCs w:val="24"/>
        </w:rPr>
        <w:t>S</w:t>
      </w:r>
      <w:r w:rsidR="006F2579" w:rsidRPr="000A5368">
        <w:rPr>
          <w:b/>
          <w:szCs w:val="24"/>
        </w:rPr>
        <w:t xml:space="preserve"> TO B</w:t>
      </w:r>
      <w:r w:rsidR="00001846" w:rsidRPr="000A5368">
        <w:rPr>
          <w:b/>
          <w:szCs w:val="24"/>
        </w:rPr>
        <w:t>E RENDERED IN LE</w:t>
      </w:r>
      <w:r w:rsidR="00A0288A" w:rsidRPr="000A5368">
        <w:rPr>
          <w:b/>
          <w:szCs w:val="24"/>
        </w:rPr>
        <w:t>A</w:t>
      </w:r>
      <w:r w:rsidR="00001846" w:rsidRPr="000A5368">
        <w:rPr>
          <w:b/>
          <w:szCs w:val="24"/>
        </w:rPr>
        <w:t>VE APPLICATION</w:t>
      </w:r>
      <w:r w:rsidR="004F5491" w:rsidRPr="000A5368">
        <w:rPr>
          <w:b/>
          <w:szCs w:val="24"/>
        </w:rPr>
        <w:t>S</w:t>
      </w:r>
    </w:p>
    <w:p w:rsidR="006F2579" w:rsidRPr="000A5368" w:rsidRDefault="006F2579" w:rsidP="006F2579">
      <w:pPr>
        <w:widowControl w:val="0"/>
        <w:rPr>
          <w:szCs w:val="24"/>
        </w:rPr>
      </w:pPr>
    </w:p>
    <w:p w:rsidR="006F2579" w:rsidRPr="000A5368" w:rsidRDefault="0051221F" w:rsidP="006F2579">
      <w:pPr>
        <w:widowControl w:val="0"/>
        <w:rPr>
          <w:szCs w:val="24"/>
        </w:rPr>
      </w:pPr>
      <w:r w:rsidRPr="000A5368">
        <w:rPr>
          <w:b/>
          <w:szCs w:val="24"/>
        </w:rPr>
        <w:t>August</w:t>
      </w:r>
      <w:r w:rsidR="00A15B66" w:rsidRPr="000A5368">
        <w:rPr>
          <w:b/>
          <w:szCs w:val="24"/>
        </w:rPr>
        <w:t xml:space="preserve"> </w:t>
      </w:r>
      <w:r w:rsidR="00887240" w:rsidRPr="000A5368">
        <w:rPr>
          <w:b/>
          <w:szCs w:val="24"/>
        </w:rPr>
        <w:t>21</w:t>
      </w:r>
      <w:r w:rsidR="004441C7" w:rsidRPr="000A5368">
        <w:rPr>
          <w:b/>
          <w:szCs w:val="24"/>
        </w:rPr>
        <w:t>,</w:t>
      </w:r>
      <w:r w:rsidR="006F2579" w:rsidRPr="000A5368">
        <w:rPr>
          <w:b/>
          <w:szCs w:val="24"/>
        </w:rPr>
        <w:t xml:space="preserve"> </w:t>
      </w:r>
      <w:r w:rsidR="0054689F" w:rsidRPr="000A5368">
        <w:rPr>
          <w:b/>
          <w:szCs w:val="24"/>
        </w:rPr>
        <w:t>20</w:t>
      </w:r>
      <w:r w:rsidR="00526754" w:rsidRPr="000A5368">
        <w:rPr>
          <w:b/>
          <w:szCs w:val="24"/>
        </w:rPr>
        <w:t>2</w:t>
      </w:r>
      <w:r w:rsidR="00534CCB" w:rsidRPr="000A5368">
        <w:rPr>
          <w:b/>
          <w:szCs w:val="24"/>
        </w:rPr>
        <w:t>3</w:t>
      </w:r>
    </w:p>
    <w:p w:rsidR="006F2579" w:rsidRPr="000A5368" w:rsidRDefault="00674F39" w:rsidP="006F2579">
      <w:pPr>
        <w:widowControl w:val="0"/>
        <w:rPr>
          <w:b/>
          <w:szCs w:val="24"/>
        </w:rPr>
      </w:pPr>
      <w:r w:rsidRPr="000A5368">
        <w:rPr>
          <w:b/>
          <w:szCs w:val="24"/>
        </w:rPr>
        <w:t>For immediate release</w:t>
      </w:r>
    </w:p>
    <w:p w:rsidR="006F2579" w:rsidRPr="000A5368" w:rsidRDefault="006F2579" w:rsidP="006F2579">
      <w:pPr>
        <w:widowControl w:val="0"/>
        <w:rPr>
          <w:szCs w:val="24"/>
        </w:rPr>
      </w:pPr>
    </w:p>
    <w:p w:rsidR="006F2579" w:rsidRPr="000A5368" w:rsidRDefault="006F2579" w:rsidP="006F2579">
      <w:pPr>
        <w:widowControl w:val="0"/>
        <w:rPr>
          <w:szCs w:val="24"/>
          <w:lang w:val="fr-CA"/>
        </w:rPr>
      </w:pPr>
      <w:r w:rsidRPr="000A5368">
        <w:rPr>
          <w:b/>
          <w:szCs w:val="24"/>
        </w:rPr>
        <w:t>OTTAWA</w:t>
      </w:r>
      <w:r w:rsidRPr="000A5368">
        <w:rPr>
          <w:szCs w:val="24"/>
        </w:rPr>
        <w:t xml:space="preserve"> – The Supreme Court of Canad</w:t>
      </w:r>
      <w:r w:rsidR="006246E4" w:rsidRPr="000A5368">
        <w:rPr>
          <w:szCs w:val="24"/>
        </w:rPr>
        <w:t>a</w:t>
      </w:r>
      <w:r w:rsidRPr="000A5368">
        <w:rPr>
          <w:szCs w:val="24"/>
        </w:rPr>
        <w:t xml:space="preserve"> announced today that judgment in the following </w:t>
      </w:r>
      <w:r w:rsidR="00DB6199" w:rsidRPr="000A5368">
        <w:rPr>
          <w:szCs w:val="24"/>
        </w:rPr>
        <w:t>leave application</w:t>
      </w:r>
      <w:r w:rsidR="004F5491" w:rsidRPr="000A5368">
        <w:rPr>
          <w:szCs w:val="24"/>
        </w:rPr>
        <w:t>s</w:t>
      </w:r>
      <w:r w:rsidR="00DB6199" w:rsidRPr="000A5368">
        <w:rPr>
          <w:szCs w:val="24"/>
        </w:rPr>
        <w:t xml:space="preserve"> </w:t>
      </w:r>
      <w:r w:rsidRPr="000A5368">
        <w:rPr>
          <w:szCs w:val="24"/>
        </w:rPr>
        <w:t>will be delivere</w:t>
      </w:r>
      <w:r w:rsidR="00CE2C5F" w:rsidRPr="000A5368">
        <w:rPr>
          <w:szCs w:val="24"/>
        </w:rPr>
        <w:t>d</w:t>
      </w:r>
      <w:r w:rsidRPr="000A5368">
        <w:rPr>
          <w:szCs w:val="24"/>
        </w:rPr>
        <w:t xml:space="preserve"> at 9:45 a.m. </w:t>
      </w:r>
      <w:r w:rsidR="00E05816" w:rsidRPr="000A5368">
        <w:rPr>
          <w:szCs w:val="24"/>
        </w:rPr>
        <w:t>E</w:t>
      </w:r>
      <w:r w:rsidR="00A00FDF" w:rsidRPr="000A5368">
        <w:rPr>
          <w:szCs w:val="24"/>
        </w:rPr>
        <w:t>D</w:t>
      </w:r>
      <w:r w:rsidR="00E05816" w:rsidRPr="000A5368">
        <w:rPr>
          <w:szCs w:val="24"/>
        </w:rPr>
        <w:t>T</w:t>
      </w:r>
      <w:r w:rsidRPr="000A5368">
        <w:rPr>
          <w:szCs w:val="24"/>
        </w:rPr>
        <w:t xml:space="preserve"> on </w:t>
      </w:r>
      <w:r w:rsidR="00322A9C" w:rsidRPr="000A5368">
        <w:rPr>
          <w:szCs w:val="24"/>
        </w:rPr>
        <w:t>Thurs</w:t>
      </w:r>
      <w:r w:rsidR="00680A85" w:rsidRPr="000A5368">
        <w:rPr>
          <w:szCs w:val="24"/>
        </w:rPr>
        <w:t>day</w:t>
      </w:r>
      <w:r w:rsidRPr="000A5368">
        <w:rPr>
          <w:szCs w:val="24"/>
        </w:rPr>
        <w:t xml:space="preserve">, </w:t>
      </w:r>
      <w:r w:rsidR="0051221F" w:rsidRPr="000A5368">
        <w:rPr>
          <w:szCs w:val="24"/>
        </w:rPr>
        <w:t>August</w:t>
      </w:r>
      <w:r w:rsidR="00455912" w:rsidRPr="000A5368">
        <w:rPr>
          <w:szCs w:val="24"/>
        </w:rPr>
        <w:t xml:space="preserve"> </w:t>
      </w:r>
      <w:r w:rsidR="00887240" w:rsidRPr="000A5368">
        <w:rPr>
          <w:szCs w:val="24"/>
        </w:rPr>
        <w:t>24</w:t>
      </w:r>
      <w:r w:rsidR="007E112F" w:rsidRPr="000A5368">
        <w:rPr>
          <w:szCs w:val="24"/>
        </w:rPr>
        <w:t>,</w:t>
      </w:r>
      <w:r w:rsidR="002F38D7" w:rsidRPr="000A5368">
        <w:rPr>
          <w:szCs w:val="24"/>
        </w:rPr>
        <w:t xml:space="preserve"> </w:t>
      </w:r>
      <w:r w:rsidR="006648D1" w:rsidRPr="000A5368">
        <w:rPr>
          <w:szCs w:val="24"/>
        </w:rPr>
        <w:t>20</w:t>
      </w:r>
      <w:r w:rsidR="00526754" w:rsidRPr="000A5368">
        <w:rPr>
          <w:szCs w:val="24"/>
        </w:rPr>
        <w:t>2</w:t>
      </w:r>
      <w:r w:rsidR="00534CCB" w:rsidRPr="000A5368">
        <w:rPr>
          <w:szCs w:val="24"/>
        </w:rPr>
        <w:t>3</w:t>
      </w:r>
      <w:r w:rsidRPr="000A5368">
        <w:rPr>
          <w:szCs w:val="24"/>
        </w:rPr>
        <w:t xml:space="preserve">. </w:t>
      </w:r>
      <w:r w:rsidRPr="000A5368">
        <w:rPr>
          <w:szCs w:val="24"/>
          <w:lang w:val="fr-CA"/>
        </w:rPr>
        <w:t>This list is subject to chang</w:t>
      </w:r>
      <w:r w:rsidR="00192F7F" w:rsidRPr="000A5368">
        <w:rPr>
          <w:szCs w:val="24"/>
          <w:lang w:val="fr-CA"/>
        </w:rPr>
        <w:t>e</w:t>
      </w:r>
      <w:r w:rsidRPr="000A5368">
        <w:rPr>
          <w:szCs w:val="24"/>
          <w:lang w:val="fr-CA"/>
        </w:rPr>
        <w:t>.</w:t>
      </w:r>
    </w:p>
    <w:p w:rsidR="00FF5AA4" w:rsidRPr="000A5368" w:rsidRDefault="00FF5AA4" w:rsidP="006F2579">
      <w:pPr>
        <w:widowControl w:val="0"/>
        <w:rPr>
          <w:szCs w:val="24"/>
          <w:lang w:val="fr-CA"/>
        </w:rPr>
      </w:pPr>
    </w:p>
    <w:p w:rsidR="00B43418" w:rsidRPr="000A5368" w:rsidRDefault="00B43418" w:rsidP="006F2579">
      <w:pPr>
        <w:widowControl w:val="0"/>
        <w:rPr>
          <w:szCs w:val="24"/>
          <w:lang w:val="fr-CA"/>
        </w:rPr>
      </w:pPr>
    </w:p>
    <w:p w:rsidR="006F2579" w:rsidRPr="000A5368" w:rsidRDefault="006F2579" w:rsidP="006F2579">
      <w:pPr>
        <w:widowControl w:val="0"/>
        <w:jc w:val="center"/>
        <w:rPr>
          <w:szCs w:val="24"/>
          <w:lang w:val="fr-CA"/>
        </w:rPr>
      </w:pPr>
      <w:r w:rsidRPr="000A5368">
        <w:rPr>
          <w:b/>
          <w:szCs w:val="24"/>
          <w:lang w:val="fr-CA"/>
        </w:rPr>
        <w:t>PROCHAIN</w:t>
      </w:r>
      <w:r w:rsidR="004F5491" w:rsidRPr="000A5368">
        <w:rPr>
          <w:b/>
          <w:szCs w:val="24"/>
          <w:lang w:val="fr-CA"/>
        </w:rPr>
        <w:t>S</w:t>
      </w:r>
      <w:r w:rsidRPr="000A5368">
        <w:rPr>
          <w:b/>
          <w:szCs w:val="24"/>
          <w:lang w:val="fr-CA"/>
        </w:rPr>
        <w:t xml:space="preserve"> JUGEMENT</w:t>
      </w:r>
      <w:r w:rsidR="004F5491" w:rsidRPr="000A5368">
        <w:rPr>
          <w:b/>
          <w:szCs w:val="24"/>
          <w:lang w:val="fr-CA"/>
        </w:rPr>
        <w:t>S</w:t>
      </w:r>
      <w:r w:rsidR="00001846" w:rsidRPr="000A5368">
        <w:rPr>
          <w:b/>
          <w:szCs w:val="24"/>
          <w:lang w:val="fr-CA"/>
        </w:rPr>
        <w:t xml:space="preserve"> SUR DEMANDE</w:t>
      </w:r>
      <w:r w:rsidR="004F5491" w:rsidRPr="000A5368">
        <w:rPr>
          <w:b/>
          <w:szCs w:val="24"/>
          <w:lang w:val="fr-CA"/>
        </w:rPr>
        <w:t>S</w:t>
      </w:r>
      <w:r w:rsidRPr="000A5368">
        <w:rPr>
          <w:b/>
          <w:szCs w:val="24"/>
          <w:lang w:val="fr-CA"/>
        </w:rPr>
        <w:t xml:space="preserve"> D’AUTORISATION</w:t>
      </w:r>
    </w:p>
    <w:p w:rsidR="006F2579" w:rsidRPr="000A5368" w:rsidRDefault="006F2579" w:rsidP="006F2579">
      <w:pPr>
        <w:widowControl w:val="0"/>
        <w:rPr>
          <w:szCs w:val="24"/>
          <w:lang w:val="fr-CA"/>
        </w:rPr>
      </w:pPr>
    </w:p>
    <w:p w:rsidR="006F2579" w:rsidRPr="000A5368" w:rsidRDefault="006F2579" w:rsidP="006F2579">
      <w:pPr>
        <w:widowControl w:val="0"/>
        <w:rPr>
          <w:szCs w:val="24"/>
          <w:lang w:val="fr-CA"/>
        </w:rPr>
      </w:pPr>
      <w:r w:rsidRPr="000A5368">
        <w:rPr>
          <w:b/>
          <w:szCs w:val="24"/>
          <w:lang w:val="fr-CA"/>
        </w:rPr>
        <w:t>Le</w:t>
      </w:r>
      <w:r w:rsidR="00957A76" w:rsidRPr="000A5368">
        <w:rPr>
          <w:b/>
          <w:szCs w:val="24"/>
          <w:lang w:val="fr-CA"/>
        </w:rPr>
        <w:t xml:space="preserve"> </w:t>
      </w:r>
      <w:r w:rsidR="00887240" w:rsidRPr="000A5368">
        <w:rPr>
          <w:b/>
          <w:szCs w:val="24"/>
          <w:lang w:val="fr-CA"/>
        </w:rPr>
        <w:t>21</w:t>
      </w:r>
      <w:r w:rsidR="00FA6BAB" w:rsidRPr="000A5368">
        <w:rPr>
          <w:b/>
          <w:szCs w:val="24"/>
          <w:lang w:val="fr-CA"/>
        </w:rPr>
        <w:t xml:space="preserve"> </w:t>
      </w:r>
      <w:r w:rsidR="0051221F" w:rsidRPr="000A5368">
        <w:rPr>
          <w:b/>
          <w:szCs w:val="24"/>
          <w:lang w:val="fr-CA"/>
        </w:rPr>
        <w:t>août</w:t>
      </w:r>
      <w:r w:rsidR="00A151D1" w:rsidRPr="000A5368">
        <w:rPr>
          <w:b/>
          <w:szCs w:val="24"/>
          <w:lang w:val="fr-CA"/>
        </w:rPr>
        <w:t xml:space="preserve"> 20</w:t>
      </w:r>
      <w:r w:rsidR="00526754" w:rsidRPr="000A5368">
        <w:rPr>
          <w:b/>
          <w:szCs w:val="24"/>
          <w:lang w:val="fr-CA"/>
        </w:rPr>
        <w:t>2</w:t>
      </w:r>
      <w:r w:rsidR="00534CCB" w:rsidRPr="000A5368">
        <w:rPr>
          <w:b/>
          <w:szCs w:val="24"/>
          <w:lang w:val="fr-CA"/>
        </w:rPr>
        <w:t>3</w:t>
      </w:r>
    </w:p>
    <w:p w:rsidR="006F2579" w:rsidRPr="000A5368" w:rsidRDefault="006F2579" w:rsidP="006F2579">
      <w:pPr>
        <w:widowControl w:val="0"/>
        <w:rPr>
          <w:b/>
          <w:szCs w:val="24"/>
          <w:lang w:val="fr-CA"/>
        </w:rPr>
      </w:pPr>
      <w:r w:rsidRPr="000A5368">
        <w:rPr>
          <w:b/>
          <w:szCs w:val="24"/>
          <w:lang w:val="fr-CA"/>
        </w:rPr>
        <w:t>Pour diffusion immédiate</w:t>
      </w:r>
    </w:p>
    <w:p w:rsidR="006F2579" w:rsidRPr="000A5368" w:rsidRDefault="006F2579" w:rsidP="006F2579">
      <w:pPr>
        <w:widowControl w:val="0"/>
        <w:rPr>
          <w:szCs w:val="24"/>
          <w:lang w:val="fr-CA"/>
        </w:rPr>
      </w:pPr>
    </w:p>
    <w:p w:rsidR="006F2579" w:rsidRPr="000A5368" w:rsidRDefault="006F2579" w:rsidP="006F2579">
      <w:pPr>
        <w:widowControl w:val="0"/>
        <w:rPr>
          <w:szCs w:val="24"/>
          <w:lang w:val="fr-CA"/>
        </w:rPr>
      </w:pPr>
      <w:r w:rsidRPr="000A5368">
        <w:rPr>
          <w:b/>
          <w:szCs w:val="24"/>
          <w:lang w:val="fr-CA"/>
        </w:rPr>
        <w:t>OTTAWA</w:t>
      </w:r>
      <w:r w:rsidRPr="000A5368">
        <w:rPr>
          <w:szCs w:val="24"/>
          <w:lang w:val="fr-CA"/>
        </w:rPr>
        <w:t xml:space="preserve"> – La Cour suprême du Canada annonce que jugement ser</w:t>
      </w:r>
      <w:r w:rsidR="004259F9" w:rsidRPr="000A5368">
        <w:rPr>
          <w:szCs w:val="24"/>
          <w:lang w:val="fr-CA"/>
        </w:rPr>
        <w:t>a</w:t>
      </w:r>
      <w:r w:rsidRPr="000A5368">
        <w:rPr>
          <w:szCs w:val="24"/>
          <w:lang w:val="fr-CA"/>
        </w:rPr>
        <w:t xml:space="preserve"> rendu dans l</w:t>
      </w:r>
      <w:r w:rsidR="004F5491" w:rsidRPr="000A5368">
        <w:rPr>
          <w:szCs w:val="24"/>
          <w:lang w:val="fr-CA"/>
        </w:rPr>
        <w:t>es</w:t>
      </w:r>
      <w:r w:rsidRPr="000A5368">
        <w:rPr>
          <w:szCs w:val="24"/>
          <w:lang w:val="fr-CA"/>
        </w:rPr>
        <w:t xml:space="preserve"> demande</w:t>
      </w:r>
      <w:r w:rsidR="004F5491" w:rsidRPr="000A5368">
        <w:rPr>
          <w:szCs w:val="24"/>
          <w:lang w:val="fr-CA"/>
        </w:rPr>
        <w:t>s</w:t>
      </w:r>
      <w:r w:rsidRPr="000A5368">
        <w:rPr>
          <w:szCs w:val="24"/>
          <w:lang w:val="fr-CA"/>
        </w:rPr>
        <w:t xml:space="preserve"> d</w:t>
      </w:r>
      <w:r w:rsidR="00001846" w:rsidRPr="000A5368">
        <w:rPr>
          <w:szCs w:val="24"/>
          <w:lang w:val="fr-CA"/>
        </w:rPr>
        <w:t>’autorisation suivante</w:t>
      </w:r>
      <w:r w:rsidR="004F5491" w:rsidRPr="000A5368">
        <w:rPr>
          <w:szCs w:val="24"/>
          <w:lang w:val="fr-CA"/>
        </w:rPr>
        <w:t>s</w:t>
      </w:r>
      <w:r w:rsidRPr="000A5368">
        <w:rPr>
          <w:szCs w:val="24"/>
          <w:lang w:val="fr-CA"/>
        </w:rPr>
        <w:t xml:space="preserve"> le </w:t>
      </w:r>
      <w:r w:rsidR="00322A9C" w:rsidRPr="000A5368">
        <w:rPr>
          <w:szCs w:val="24"/>
          <w:lang w:val="fr-CA"/>
        </w:rPr>
        <w:t>jeu</w:t>
      </w:r>
      <w:r w:rsidR="00680A85" w:rsidRPr="000A5368">
        <w:rPr>
          <w:szCs w:val="24"/>
          <w:lang w:val="fr-CA"/>
        </w:rPr>
        <w:t>di</w:t>
      </w:r>
      <w:r w:rsidRPr="000A5368">
        <w:rPr>
          <w:szCs w:val="24"/>
          <w:lang w:val="fr-CA"/>
        </w:rPr>
        <w:t xml:space="preserve"> </w:t>
      </w:r>
      <w:r w:rsidR="00887240" w:rsidRPr="000A5368">
        <w:rPr>
          <w:szCs w:val="24"/>
          <w:lang w:val="fr-CA"/>
        </w:rPr>
        <w:t>24</w:t>
      </w:r>
      <w:r w:rsidR="00AD7A8F" w:rsidRPr="000A5368">
        <w:rPr>
          <w:szCs w:val="24"/>
          <w:lang w:val="fr-CA"/>
        </w:rPr>
        <w:t xml:space="preserve"> </w:t>
      </w:r>
      <w:r w:rsidR="0051221F" w:rsidRPr="000A5368">
        <w:rPr>
          <w:szCs w:val="24"/>
          <w:lang w:val="fr-CA"/>
        </w:rPr>
        <w:t xml:space="preserve">août </w:t>
      </w:r>
      <w:r w:rsidR="00694391" w:rsidRPr="000A5368">
        <w:rPr>
          <w:szCs w:val="24"/>
          <w:lang w:val="fr-CA"/>
        </w:rPr>
        <w:t>2</w:t>
      </w:r>
      <w:r w:rsidR="006648D1" w:rsidRPr="000A5368">
        <w:rPr>
          <w:szCs w:val="24"/>
          <w:lang w:val="fr-CA"/>
        </w:rPr>
        <w:t>0</w:t>
      </w:r>
      <w:r w:rsidR="00526754" w:rsidRPr="000A5368">
        <w:rPr>
          <w:szCs w:val="24"/>
          <w:lang w:val="fr-CA"/>
        </w:rPr>
        <w:t>2</w:t>
      </w:r>
      <w:r w:rsidR="00534CCB" w:rsidRPr="000A5368">
        <w:rPr>
          <w:szCs w:val="24"/>
          <w:lang w:val="fr-CA"/>
        </w:rPr>
        <w:t>3</w:t>
      </w:r>
      <w:r w:rsidRPr="000A5368">
        <w:rPr>
          <w:szCs w:val="24"/>
          <w:lang w:val="fr-CA"/>
        </w:rPr>
        <w:t xml:space="preserve">, à 9 h 45 </w:t>
      </w:r>
      <w:r w:rsidR="000627A2" w:rsidRPr="000A5368">
        <w:rPr>
          <w:szCs w:val="24"/>
          <w:lang w:val="fr-CA"/>
        </w:rPr>
        <w:t>H</w:t>
      </w:r>
      <w:r w:rsidR="00A00FDF" w:rsidRPr="000A5368">
        <w:rPr>
          <w:szCs w:val="24"/>
          <w:lang w:val="fr-CA"/>
        </w:rPr>
        <w:t>A</w:t>
      </w:r>
      <w:r w:rsidRPr="000A5368">
        <w:rPr>
          <w:szCs w:val="24"/>
          <w:lang w:val="fr-CA"/>
        </w:rPr>
        <w:t>E. Cette liste est sujette à modification</w:t>
      </w:r>
      <w:r w:rsidR="00130ADB" w:rsidRPr="000A5368">
        <w:rPr>
          <w:szCs w:val="24"/>
          <w:lang w:val="fr-CA"/>
        </w:rPr>
        <w:t>s</w:t>
      </w:r>
      <w:r w:rsidRPr="000A5368">
        <w:rPr>
          <w:szCs w:val="24"/>
          <w:lang w:val="fr-CA"/>
        </w:rPr>
        <w:t>.</w:t>
      </w:r>
    </w:p>
    <w:p w:rsidR="0080556B" w:rsidRPr="000A5368" w:rsidRDefault="0080556B" w:rsidP="005F2A78">
      <w:pPr>
        <w:widowControl w:val="0"/>
        <w:tabs>
          <w:tab w:val="left" w:pos="3840"/>
        </w:tabs>
        <w:jc w:val="both"/>
        <w:rPr>
          <w:sz w:val="20"/>
          <w:lang w:val="fr-CA"/>
        </w:rPr>
      </w:pPr>
    </w:p>
    <w:p w:rsidR="00867C61" w:rsidRPr="000A5368" w:rsidRDefault="000A5368" w:rsidP="009B14F4">
      <w:pPr>
        <w:widowControl w:val="0"/>
        <w:jc w:val="both"/>
        <w:rPr>
          <w:sz w:val="20"/>
        </w:rPr>
      </w:pPr>
      <w:r w:rsidRPr="000A5368">
        <w:rPr>
          <w:sz w:val="20"/>
        </w:rPr>
        <w:pict>
          <v:rect id="_x0000_i1025" style="width:2in;height:1pt" o:hrpct="0" o:hralign="center" o:hrstd="t" o:hrnoshade="t" o:hr="t" fillcolor="black [3213]" stroked="f"/>
        </w:pict>
      </w:r>
    </w:p>
    <w:p w:rsidR="004A6E51" w:rsidRPr="000A5368" w:rsidRDefault="004A6E51" w:rsidP="00877964">
      <w:pPr>
        <w:ind w:left="357" w:hanging="357"/>
        <w:rPr>
          <w:sz w:val="20"/>
          <w:lang w:val="fr-CA"/>
        </w:rPr>
      </w:pPr>
    </w:p>
    <w:p w:rsidR="00887240" w:rsidRPr="000A5368" w:rsidRDefault="00887240" w:rsidP="00877964">
      <w:pPr>
        <w:pStyle w:val="ListParagraph"/>
        <w:numPr>
          <w:ilvl w:val="0"/>
          <w:numId w:val="44"/>
        </w:numPr>
        <w:ind w:left="357" w:hanging="357"/>
        <w:rPr>
          <w:sz w:val="20"/>
          <w:lang w:val="fr-CA"/>
        </w:rPr>
      </w:pPr>
      <w:r w:rsidRPr="000A5368">
        <w:rPr>
          <w:i/>
          <w:sz w:val="20"/>
        </w:rPr>
        <w:t>R.G.S. v. His Majesty the King</w:t>
      </w:r>
      <w:r w:rsidRPr="000A5368">
        <w:rPr>
          <w:sz w:val="20"/>
        </w:rPr>
        <w:t xml:space="preserve"> (B.C.) </w:t>
      </w:r>
      <w:r w:rsidRPr="000A5368">
        <w:rPr>
          <w:sz w:val="20"/>
          <w:lang w:val="fr-CA"/>
        </w:rPr>
        <w:t>(Criminal) (By Leave) (</w:t>
      </w:r>
      <w:hyperlink r:id="rId8" w:history="1">
        <w:r w:rsidRPr="000A5368">
          <w:rPr>
            <w:rStyle w:val="Hyperlink"/>
            <w:sz w:val="20"/>
            <w:lang w:val="fr-CA"/>
          </w:rPr>
          <w:t>40607</w:t>
        </w:r>
      </w:hyperlink>
      <w:r w:rsidRPr="000A5368">
        <w:rPr>
          <w:sz w:val="20"/>
          <w:lang w:val="fr-CA"/>
        </w:rPr>
        <w:t>)</w:t>
      </w:r>
    </w:p>
    <w:p w:rsidR="00887240" w:rsidRPr="000A5368" w:rsidRDefault="00887240" w:rsidP="00877964">
      <w:pPr>
        <w:ind w:left="357" w:hanging="357"/>
        <w:rPr>
          <w:sz w:val="20"/>
          <w:lang w:val="fr-CA"/>
        </w:rPr>
      </w:pPr>
    </w:p>
    <w:p w:rsidR="005D6A19" w:rsidRPr="000A5368" w:rsidRDefault="00887240" w:rsidP="00877964">
      <w:pPr>
        <w:pStyle w:val="ListParagraph"/>
        <w:numPr>
          <w:ilvl w:val="0"/>
          <w:numId w:val="44"/>
        </w:numPr>
        <w:ind w:left="357" w:hanging="357"/>
        <w:rPr>
          <w:sz w:val="20"/>
        </w:rPr>
      </w:pPr>
      <w:r w:rsidRPr="000A5368">
        <w:rPr>
          <w:i/>
          <w:sz w:val="20"/>
        </w:rPr>
        <w:t>Tanya Rebello v. Del Property Management, et al.</w:t>
      </w:r>
      <w:r w:rsidRPr="000A5368">
        <w:rPr>
          <w:sz w:val="20"/>
        </w:rPr>
        <w:t xml:space="preserve"> (Ont.) (Civil) (By Leave) (</w:t>
      </w:r>
      <w:hyperlink r:id="rId9" w:history="1">
        <w:r w:rsidRPr="000A5368">
          <w:rPr>
            <w:rStyle w:val="Hyperlink"/>
            <w:sz w:val="20"/>
          </w:rPr>
          <w:t>40644</w:t>
        </w:r>
      </w:hyperlink>
      <w:r w:rsidRPr="000A5368">
        <w:rPr>
          <w:sz w:val="20"/>
        </w:rPr>
        <w:t>)</w:t>
      </w:r>
    </w:p>
    <w:p w:rsidR="00F87A74" w:rsidRPr="000A5368" w:rsidRDefault="00F87A74" w:rsidP="00877964">
      <w:pPr>
        <w:ind w:left="357" w:hanging="357"/>
        <w:rPr>
          <w:sz w:val="20"/>
        </w:rPr>
      </w:pPr>
    </w:p>
    <w:p w:rsidR="00F87A74" w:rsidRPr="000A5368" w:rsidRDefault="00F87A74" w:rsidP="00877964">
      <w:pPr>
        <w:pStyle w:val="ListParagraph"/>
        <w:numPr>
          <w:ilvl w:val="0"/>
          <w:numId w:val="44"/>
        </w:numPr>
        <w:ind w:left="357" w:hanging="357"/>
        <w:rPr>
          <w:sz w:val="20"/>
          <w:lang w:val="fr-CA"/>
        </w:rPr>
      </w:pPr>
      <w:r w:rsidRPr="000A5368">
        <w:rPr>
          <w:i/>
          <w:sz w:val="20"/>
          <w:lang w:val="fr-CA"/>
        </w:rPr>
        <w:t xml:space="preserve">Agence du revenu du Québec c. FTI Conseil Canada, et al. </w:t>
      </w:r>
      <w:r w:rsidRPr="000A5368">
        <w:rPr>
          <w:sz w:val="20"/>
          <w:lang w:val="fr-CA"/>
        </w:rPr>
        <w:t>(Qc) (Civile) (Autorisation) (</w:t>
      </w:r>
      <w:hyperlink r:id="rId10" w:history="1">
        <w:r w:rsidRPr="000A5368">
          <w:rPr>
            <w:rStyle w:val="Hyperlink"/>
            <w:sz w:val="20"/>
            <w:lang w:val="fr-CA"/>
          </w:rPr>
          <w:t>40625</w:t>
        </w:r>
      </w:hyperlink>
      <w:r w:rsidRPr="000A5368">
        <w:rPr>
          <w:sz w:val="20"/>
          <w:lang w:val="fr-CA"/>
        </w:rPr>
        <w:t>)</w:t>
      </w:r>
    </w:p>
    <w:p w:rsidR="00F87A74" w:rsidRPr="000A5368" w:rsidRDefault="00F87A74" w:rsidP="00877964">
      <w:pPr>
        <w:ind w:left="357" w:hanging="357"/>
        <w:rPr>
          <w:sz w:val="20"/>
          <w:lang w:val="fr-CA"/>
        </w:rPr>
      </w:pPr>
    </w:p>
    <w:p w:rsidR="005D6A19" w:rsidRPr="000A5368" w:rsidRDefault="00F87A74" w:rsidP="00877964">
      <w:pPr>
        <w:pStyle w:val="ListParagraph"/>
        <w:numPr>
          <w:ilvl w:val="0"/>
          <w:numId w:val="44"/>
        </w:numPr>
        <w:ind w:left="357" w:hanging="357"/>
        <w:rPr>
          <w:sz w:val="20"/>
          <w:lang w:val="fr-CA"/>
        </w:rPr>
      </w:pPr>
      <w:r w:rsidRPr="000A5368">
        <w:rPr>
          <w:i/>
          <w:sz w:val="20"/>
        </w:rPr>
        <w:t>Hu Fang v. City of Repentigny</w:t>
      </w:r>
      <w:r w:rsidRPr="000A5368">
        <w:rPr>
          <w:sz w:val="20"/>
        </w:rPr>
        <w:t xml:space="preserve"> (Que.) </w:t>
      </w:r>
      <w:r w:rsidRPr="000A5368">
        <w:rPr>
          <w:sz w:val="20"/>
          <w:lang w:val="fr-CA"/>
        </w:rPr>
        <w:t>(Civil) (By Leave) (</w:t>
      </w:r>
      <w:hyperlink r:id="rId11" w:history="1">
        <w:r w:rsidRPr="000A5368">
          <w:rPr>
            <w:rStyle w:val="Hyperlink"/>
            <w:sz w:val="20"/>
            <w:lang w:val="fr-CA"/>
          </w:rPr>
          <w:t>40639</w:t>
        </w:r>
      </w:hyperlink>
      <w:r w:rsidRPr="000A5368">
        <w:rPr>
          <w:sz w:val="20"/>
          <w:lang w:val="fr-CA"/>
        </w:rPr>
        <w:t>)</w:t>
      </w:r>
    </w:p>
    <w:p w:rsidR="005D6A19" w:rsidRPr="000A5368" w:rsidRDefault="005D6A19" w:rsidP="00877964">
      <w:pPr>
        <w:ind w:left="357" w:hanging="357"/>
        <w:rPr>
          <w:sz w:val="20"/>
          <w:lang w:val="fr-CA"/>
        </w:rPr>
      </w:pPr>
    </w:p>
    <w:p w:rsidR="00887240" w:rsidRPr="000A5368" w:rsidRDefault="00887240" w:rsidP="00877964">
      <w:pPr>
        <w:pStyle w:val="ListParagraph"/>
        <w:numPr>
          <w:ilvl w:val="0"/>
          <w:numId w:val="44"/>
        </w:numPr>
        <w:ind w:left="357" w:hanging="357"/>
        <w:rPr>
          <w:sz w:val="20"/>
          <w:lang w:val="fr-CA"/>
        </w:rPr>
      </w:pPr>
      <w:r w:rsidRPr="000A5368">
        <w:rPr>
          <w:i/>
          <w:sz w:val="20"/>
        </w:rPr>
        <w:t>Colin Hugh Tweedie v. His Majesty the King</w:t>
      </w:r>
      <w:r w:rsidRPr="000A5368">
        <w:rPr>
          <w:sz w:val="20"/>
        </w:rPr>
        <w:t xml:space="preserve"> (N.S.) </w:t>
      </w:r>
      <w:r w:rsidRPr="000A5368">
        <w:rPr>
          <w:sz w:val="20"/>
          <w:lang w:val="fr-CA"/>
        </w:rPr>
        <w:t>(Criminal) (By Leave) (</w:t>
      </w:r>
      <w:hyperlink r:id="rId12" w:history="1">
        <w:r w:rsidRPr="000A5368">
          <w:rPr>
            <w:rStyle w:val="Hyperlink"/>
            <w:sz w:val="20"/>
            <w:lang w:val="fr-CA"/>
          </w:rPr>
          <w:t>40690</w:t>
        </w:r>
      </w:hyperlink>
      <w:r w:rsidRPr="000A5368">
        <w:rPr>
          <w:sz w:val="20"/>
          <w:lang w:val="fr-CA"/>
        </w:rPr>
        <w:t>)</w:t>
      </w:r>
    </w:p>
    <w:p w:rsidR="00887240" w:rsidRPr="000A5368" w:rsidRDefault="00887240" w:rsidP="00877964">
      <w:pPr>
        <w:ind w:left="357" w:hanging="357"/>
        <w:rPr>
          <w:sz w:val="20"/>
          <w:lang w:val="fr-CA"/>
        </w:rPr>
      </w:pPr>
    </w:p>
    <w:p w:rsidR="00887240" w:rsidRPr="000A5368" w:rsidRDefault="00887240" w:rsidP="00877964">
      <w:pPr>
        <w:pStyle w:val="ListParagraph"/>
        <w:numPr>
          <w:ilvl w:val="0"/>
          <w:numId w:val="44"/>
        </w:numPr>
        <w:ind w:left="357" w:hanging="357"/>
        <w:rPr>
          <w:sz w:val="20"/>
          <w:lang w:val="fr-CA"/>
        </w:rPr>
      </w:pPr>
      <w:r w:rsidRPr="000A5368">
        <w:rPr>
          <w:i/>
          <w:sz w:val="20"/>
        </w:rPr>
        <w:t>The Owners, Strata Plan NW 2364 v. The Owners, Strata Plan NW 2301</w:t>
      </w:r>
      <w:r w:rsidRPr="000A5368">
        <w:rPr>
          <w:sz w:val="20"/>
        </w:rPr>
        <w:t xml:space="preserve"> (B.C.) </w:t>
      </w:r>
      <w:r w:rsidRPr="000A5368">
        <w:rPr>
          <w:sz w:val="20"/>
          <w:lang w:val="fr-CA"/>
        </w:rPr>
        <w:t>(Civil) (By Leave) (</w:t>
      </w:r>
      <w:hyperlink r:id="rId13" w:history="1">
        <w:r w:rsidRPr="000A5368">
          <w:rPr>
            <w:rStyle w:val="Hyperlink"/>
            <w:sz w:val="20"/>
            <w:lang w:val="fr-CA"/>
          </w:rPr>
          <w:t>40669</w:t>
        </w:r>
      </w:hyperlink>
      <w:r w:rsidRPr="000A5368">
        <w:rPr>
          <w:sz w:val="20"/>
          <w:lang w:val="fr-CA"/>
        </w:rPr>
        <w:t>)</w:t>
      </w:r>
    </w:p>
    <w:p w:rsidR="00887240" w:rsidRPr="000A5368" w:rsidRDefault="00887240" w:rsidP="00877964">
      <w:pPr>
        <w:ind w:left="357" w:hanging="357"/>
        <w:rPr>
          <w:sz w:val="20"/>
          <w:lang w:val="fr-CA"/>
        </w:rPr>
      </w:pPr>
    </w:p>
    <w:p w:rsidR="005D6A19" w:rsidRPr="000A5368" w:rsidRDefault="00887240" w:rsidP="00877964">
      <w:pPr>
        <w:pStyle w:val="ListParagraph"/>
        <w:numPr>
          <w:ilvl w:val="0"/>
          <w:numId w:val="44"/>
        </w:numPr>
        <w:ind w:left="357" w:hanging="357"/>
        <w:rPr>
          <w:sz w:val="20"/>
        </w:rPr>
      </w:pPr>
      <w:r w:rsidRPr="000A5368">
        <w:rPr>
          <w:i/>
          <w:sz w:val="20"/>
        </w:rPr>
        <w:t>Noufal Mais v. Maha Shoman</w:t>
      </w:r>
      <w:r w:rsidR="00711816" w:rsidRPr="000A5368">
        <w:rPr>
          <w:sz w:val="20"/>
        </w:rPr>
        <w:t xml:space="preserve"> </w:t>
      </w:r>
      <w:r w:rsidRPr="000A5368">
        <w:rPr>
          <w:sz w:val="20"/>
        </w:rPr>
        <w:t>(Sask.) (Civil) (By Leave) (</w:t>
      </w:r>
      <w:hyperlink r:id="rId14" w:history="1">
        <w:r w:rsidRPr="000A5368">
          <w:rPr>
            <w:rStyle w:val="Hyperlink"/>
            <w:sz w:val="20"/>
          </w:rPr>
          <w:t>40737</w:t>
        </w:r>
      </w:hyperlink>
      <w:r w:rsidRPr="000A5368">
        <w:rPr>
          <w:sz w:val="20"/>
        </w:rPr>
        <w:t>)</w:t>
      </w:r>
    </w:p>
    <w:p w:rsidR="005D6A19" w:rsidRPr="000A5368" w:rsidRDefault="005D6A19" w:rsidP="00877964">
      <w:pPr>
        <w:ind w:left="357" w:hanging="357"/>
        <w:rPr>
          <w:sz w:val="20"/>
        </w:rPr>
      </w:pPr>
    </w:p>
    <w:p w:rsidR="005D6A19" w:rsidRPr="000A5368" w:rsidRDefault="00887240" w:rsidP="00877964">
      <w:pPr>
        <w:pStyle w:val="ListParagraph"/>
        <w:numPr>
          <w:ilvl w:val="0"/>
          <w:numId w:val="44"/>
        </w:numPr>
        <w:ind w:left="357" w:hanging="357"/>
        <w:rPr>
          <w:sz w:val="20"/>
          <w:lang w:val="fr-CA"/>
        </w:rPr>
      </w:pPr>
      <w:r w:rsidRPr="000A5368">
        <w:rPr>
          <w:i/>
          <w:sz w:val="20"/>
        </w:rPr>
        <w:t>His Majesty the King v. Melissa Merritt</w:t>
      </w:r>
      <w:r w:rsidRPr="000A5368">
        <w:rPr>
          <w:sz w:val="20"/>
        </w:rPr>
        <w:t xml:space="preserve"> (Ont.) </w:t>
      </w:r>
      <w:r w:rsidRPr="000A5368">
        <w:rPr>
          <w:sz w:val="20"/>
          <w:lang w:val="fr-CA"/>
        </w:rPr>
        <w:t>(Criminal) (By Leave) (</w:t>
      </w:r>
      <w:hyperlink r:id="rId15" w:history="1">
        <w:r w:rsidRPr="000A5368">
          <w:rPr>
            <w:rStyle w:val="Hyperlink"/>
            <w:sz w:val="20"/>
            <w:lang w:val="fr-CA"/>
          </w:rPr>
          <w:t>40634</w:t>
        </w:r>
      </w:hyperlink>
      <w:r w:rsidRPr="000A5368">
        <w:rPr>
          <w:sz w:val="20"/>
          <w:lang w:val="fr-CA"/>
        </w:rPr>
        <w:t>)</w:t>
      </w:r>
    </w:p>
    <w:p w:rsidR="00887240" w:rsidRPr="000A5368" w:rsidRDefault="00887240" w:rsidP="00877964">
      <w:pPr>
        <w:ind w:left="357" w:hanging="357"/>
        <w:rPr>
          <w:sz w:val="20"/>
          <w:lang w:val="fr-CA"/>
        </w:rPr>
      </w:pPr>
    </w:p>
    <w:p w:rsidR="00887240" w:rsidRPr="000A5368" w:rsidRDefault="00887240" w:rsidP="00877964">
      <w:pPr>
        <w:pStyle w:val="ListParagraph"/>
        <w:numPr>
          <w:ilvl w:val="0"/>
          <w:numId w:val="44"/>
        </w:numPr>
        <w:ind w:left="357" w:hanging="357"/>
        <w:rPr>
          <w:sz w:val="20"/>
          <w:lang w:val="fr-CA"/>
        </w:rPr>
      </w:pPr>
      <w:r w:rsidRPr="000A5368">
        <w:rPr>
          <w:i/>
          <w:sz w:val="20"/>
        </w:rPr>
        <w:t>Waseem Shaheen v. His Majesty the King</w:t>
      </w:r>
      <w:r w:rsidRPr="000A5368">
        <w:rPr>
          <w:sz w:val="20"/>
        </w:rPr>
        <w:t xml:space="preserve"> (Ont.) </w:t>
      </w:r>
      <w:r w:rsidRPr="000A5368">
        <w:rPr>
          <w:sz w:val="20"/>
          <w:lang w:val="fr-CA"/>
        </w:rPr>
        <w:t>(Criminal) (By Leave) (</w:t>
      </w:r>
      <w:hyperlink r:id="rId16" w:history="1">
        <w:r w:rsidRPr="000A5368">
          <w:rPr>
            <w:rStyle w:val="Hyperlink"/>
            <w:sz w:val="20"/>
            <w:lang w:val="fr-CA"/>
          </w:rPr>
          <w:t>40416</w:t>
        </w:r>
      </w:hyperlink>
      <w:r w:rsidRPr="000A5368">
        <w:rPr>
          <w:sz w:val="20"/>
          <w:lang w:val="fr-CA"/>
        </w:rPr>
        <w:t>)</w:t>
      </w:r>
    </w:p>
    <w:p w:rsidR="00887240" w:rsidRPr="000A5368" w:rsidRDefault="00887240" w:rsidP="00877964">
      <w:pPr>
        <w:ind w:left="357" w:hanging="357"/>
        <w:rPr>
          <w:sz w:val="20"/>
          <w:lang w:val="fr-CA"/>
        </w:rPr>
      </w:pPr>
    </w:p>
    <w:p w:rsidR="00887240" w:rsidRPr="000A5368" w:rsidRDefault="00887240" w:rsidP="00877964">
      <w:pPr>
        <w:pStyle w:val="ListParagraph"/>
        <w:numPr>
          <w:ilvl w:val="0"/>
          <w:numId w:val="44"/>
        </w:numPr>
        <w:ind w:left="357" w:hanging="357"/>
        <w:rPr>
          <w:sz w:val="20"/>
        </w:rPr>
      </w:pPr>
      <w:r w:rsidRPr="000A5368">
        <w:rPr>
          <w:i/>
          <w:sz w:val="20"/>
        </w:rPr>
        <w:t>Daniel F. O’Connor v. Ezio Giancristofaro, et al.</w:t>
      </w:r>
      <w:r w:rsidRPr="000A5368">
        <w:rPr>
          <w:sz w:val="20"/>
        </w:rPr>
        <w:t xml:space="preserve"> (Que.) (Civil) (By Leave) (</w:t>
      </w:r>
      <w:hyperlink r:id="rId17" w:history="1">
        <w:r w:rsidRPr="000A5368">
          <w:rPr>
            <w:rStyle w:val="Hyperlink"/>
            <w:sz w:val="20"/>
          </w:rPr>
          <w:t>40553</w:t>
        </w:r>
      </w:hyperlink>
      <w:r w:rsidRPr="000A5368">
        <w:rPr>
          <w:sz w:val="20"/>
        </w:rPr>
        <w:t>)</w:t>
      </w:r>
    </w:p>
    <w:p w:rsidR="00B379A7" w:rsidRPr="000A5368" w:rsidRDefault="00B379A7" w:rsidP="00877964">
      <w:pPr>
        <w:ind w:left="357" w:hanging="357"/>
        <w:rPr>
          <w:sz w:val="20"/>
        </w:rPr>
      </w:pPr>
    </w:p>
    <w:p w:rsidR="00B379A7" w:rsidRPr="000A5368" w:rsidRDefault="00B379A7" w:rsidP="00877964">
      <w:pPr>
        <w:pStyle w:val="ListParagraph"/>
        <w:numPr>
          <w:ilvl w:val="0"/>
          <w:numId w:val="44"/>
        </w:numPr>
        <w:ind w:left="357" w:hanging="357"/>
        <w:rPr>
          <w:sz w:val="20"/>
          <w:lang w:val="fr-CA"/>
        </w:rPr>
      </w:pPr>
      <w:r w:rsidRPr="000A5368">
        <w:rPr>
          <w:i/>
          <w:sz w:val="20"/>
        </w:rPr>
        <w:t>James McCullough v. His Majesty the King</w:t>
      </w:r>
      <w:r w:rsidRPr="000A5368">
        <w:rPr>
          <w:sz w:val="20"/>
        </w:rPr>
        <w:t xml:space="preserve"> (Ont.) </w:t>
      </w:r>
      <w:r w:rsidRPr="000A5368">
        <w:rPr>
          <w:sz w:val="20"/>
          <w:lang w:val="fr-CA"/>
        </w:rPr>
        <w:t>(Criminal) (By Leave) (</w:t>
      </w:r>
      <w:hyperlink r:id="rId18" w:history="1">
        <w:r w:rsidRPr="000A5368">
          <w:rPr>
            <w:rStyle w:val="Hyperlink"/>
            <w:sz w:val="20"/>
            <w:lang w:val="fr-CA"/>
          </w:rPr>
          <w:t>40730</w:t>
        </w:r>
      </w:hyperlink>
      <w:r w:rsidRPr="000A5368">
        <w:rPr>
          <w:sz w:val="20"/>
          <w:lang w:val="fr-CA"/>
        </w:rPr>
        <w:t>)</w:t>
      </w:r>
    </w:p>
    <w:p w:rsidR="00B379A7" w:rsidRPr="000A5368" w:rsidRDefault="00B379A7" w:rsidP="00877964">
      <w:pPr>
        <w:ind w:left="357" w:hanging="357"/>
        <w:rPr>
          <w:sz w:val="20"/>
          <w:lang w:val="fr-CA"/>
        </w:rPr>
      </w:pPr>
    </w:p>
    <w:p w:rsidR="00B379A7" w:rsidRPr="000A5368" w:rsidRDefault="00B379A7" w:rsidP="00877964">
      <w:pPr>
        <w:pStyle w:val="ListParagraph"/>
        <w:numPr>
          <w:ilvl w:val="0"/>
          <w:numId w:val="44"/>
        </w:numPr>
        <w:ind w:left="357" w:hanging="357"/>
        <w:rPr>
          <w:sz w:val="20"/>
          <w:lang w:val="fr-CA"/>
        </w:rPr>
      </w:pPr>
      <w:r w:rsidRPr="000A5368">
        <w:rPr>
          <w:i/>
          <w:sz w:val="20"/>
        </w:rPr>
        <w:t>Richard Hobbs v. Privacy Commissioner of Canada</w:t>
      </w:r>
      <w:r w:rsidRPr="000A5368">
        <w:rPr>
          <w:sz w:val="20"/>
        </w:rPr>
        <w:t xml:space="preserve"> (N.L.) </w:t>
      </w:r>
      <w:r w:rsidRPr="000A5368">
        <w:rPr>
          <w:sz w:val="20"/>
          <w:lang w:val="fr-CA"/>
        </w:rPr>
        <w:t>(Civil) (By Leave) (</w:t>
      </w:r>
      <w:hyperlink r:id="rId19" w:history="1">
        <w:r w:rsidRPr="000A5368">
          <w:rPr>
            <w:rStyle w:val="Hyperlink"/>
            <w:sz w:val="20"/>
            <w:lang w:val="fr-CA"/>
          </w:rPr>
          <w:t>40717</w:t>
        </w:r>
      </w:hyperlink>
      <w:r w:rsidRPr="000A5368">
        <w:rPr>
          <w:sz w:val="20"/>
          <w:lang w:val="fr-CA"/>
        </w:rPr>
        <w:t>)</w:t>
      </w:r>
    </w:p>
    <w:p w:rsidR="0074008A" w:rsidRPr="000A5368" w:rsidRDefault="0074008A" w:rsidP="00142166">
      <w:pPr>
        <w:jc w:val="both"/>
        <w:rPr>
          <w:sz w:val="20"/>
        </w:rPr>
      </w:pPr>
    </w:p>
    <w:p w:rsidR="0057402C" w:rsidRPr="000A5368" w:rsidRDefault="000A5368" w:rsidP="00142166">
      <w:pPr>
        <w:widowControl w:val="0"/>
        <w:jc w:val="both"/>
        <w:rPr>
          <w:sz w:val="20"/>
        </w:rPr>
      </w:pPr>
      <w:r w:rsidRPr="000A5368">
        <w:rPr>
          <w:sz w:val="20"/>
        </w:rPr>
        <w:pict>
          <v:rect id="_x0000_i1026" style="width:2in;height:1pt" o:hrpct="0" o:hralign="center" o:hrstd="t" o:hrnoshade="t" o:hr="t" fillcolor="black [3213]" stroked="f"/>
        </w:pict>
      </w:r>
    </w:p>
    <w:p w:rsidR="0014490F" w:rsidRPr="000A5368" w:rsidRDefault="0014490F"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40607</w:t>
            </w:r>
          </w:p>
        </w:tc>
        <w:tc>
          <w:tcPr>
            <w:tcW w:w="4457" w:type="pct"/>
          </w:tcPr>
          <w:p w:rsidR="004928A3" w:rsidRPr="000A5368" w:rsidRDefault="004928A3" w:rsidP="00E05AB6">
            <w:pPr>
              <w:pStyle w:val="SCCLsocParty"/>
              <w:jc w:val="both"/>
              <w:rPr>
                <w:b/>
                <w:sz w:val="20"/>
                <w:szCs w:val="20"/>
                <w:lang w:val="en-US"/>
              </w:rPr>
            </w:pPr>
            <w:r w:rsidRPr="000A5368">
              <w:rPr>
                <w:b/>
                <w:sz w:val="20"/>
                <w:szCs w:val="20"/>
                <w:lang w:val="en-US"/>
              </w:rPr>
              <w:t>R.G.S. v. His Majesty the King</w:t>
            </w:r>
          </w:p>
          <w:p w:rsidR="004928A3" w:rsidRPr="000A5368" w:rsidRDefault="004928A3" w:rsidP="00E05AB6">
            <w:pPr>
              <w:jc w:val="both"/>
              <w:rPr>
                <w:sz w:val="20"/>
              </w:rPr>
            </w:pPr>
            <w:r w:rsidRPr="000A5368">
              <w:rPr>
                <w:sz w:val="20"/>
              </w:rPr>
              <w:t>(B.C.) (Criminal) (By Leave)</w:t>
            </w:r>
          </w:p>
        </w:tc>
      </w:tr>
      <w:tr w:rsidR="004928A3" w:rsidRPr="000A5368" w:rsidTr="004928A3">
        <w:tc>
          <w:tcPr>
            <w:tcW w:w="5000" w:type="pct"/>
            <w:gridSpan w:val="2"/>
          </w:tcPr>
          <w:p w:rsidR="004928A3" w:rsidRPr="000A5368" w:rsidRDefault="004928A3" w:rsidP="00E05AB6">
            <w:pPr>
              <w:pStyle w:val="SCCBanSummary"/>
              <w:rPr>
                <w:sz w:val="20"/>
                <w:szCs w:val="20"/>
              </w:rPr>
            </w:pPr>
            <w:r w:rsidRPr="000A5368">
              <w:rPr>
                <w:sz w:val="20"/>
                <w:szCs w:val="20"/>
              </w:rPr>
              <w:t>(Publication ban in case)</w:t>
            </w:r>
          </w:p>
          <w:p w:rsidR="004928A3" w:rsidRPr="000A5368" w:rsidRDefault="004928A3" w:rsidP="00E05AB6">
            <w:pPr>
              <w:jc w:val="both"/>
              <w:rPr>
                <w:sz w:val="20"/>
              </w:rPr>
            </w:pPr>
          </w:p>
        </w:tc>
      </w:tr>
      <w:tr w:rsidR="004928A3" w:rsidRPr="000A5368" w:rsidTr="004928A3">
        <w:tc>
          <w:tcPr>
            <w:tcW w:w="5000" w:type="pct"/>
            <w:gridSpan w:val="2"/>
          </w:tcPr>
          <w:p w:rsidR="004928A3" w:rsidRPr="000A5368" w:rsidRDefault="004928A3" w:rsidP="00E05AB6">
            <w:pPr>
              <w:jc w:val="both"/>
              <w:rPr>
                <w:sz w:val="20"/>
              </w:rPr>
            </w:pPr>
            <w:r w:rsidRPr="000A5368">
              <w:rPr>
                <w:sz w:val="20"/>
              </w:rPr>
              <w:lastRenderedPageBreak/>
              <w:t>Criminal law — Evidence — Admissibility — How does the legal requirement of juror unanimity apply to a single count which contains multiple distinct incidents — When is uncharged misconduct evidence admissible as relevant to the narrative, context, and the nature of the relationship between the accused and the complainant?</w:t>
            </w:r>
          </w:p>
        </w:tc>
      </w:tr>
      <w:tr w:rsidR="004928A3" w:rsidRPr="000A5368" w:rsidTr="004928A3">
        <w:tc>
          <w:tcPr>
            <w:tcW w:w="5000" w:type="pct"/>
            <w:gridSpan w:val="2"/>
          </w:tcPr>
          <w:p w:rsidR="004928A3" w:rsidRPr="000A5368" w:rsidRDefault="004928A3" w:rsidP="00E05AB6">
            <w:pPr>
              <w:jc w:val="both"/>
              <w:rPr>
                <w:iCs/>
                <w:color w:val="000000"/>
                <w:sz w:val="20"/>
              </w:rPr>
            </w:pPr>
          </w:p>
          <w:p w:rsidR="004928A3" w:rsidRPr="000A5368" w:rsidRDefault="004928A3" w:rsidP="00E05AB6">
            <w:pPr>
              <w:jc w:val="both"/>
              <w:rPr>
                <w:iCs/>
                <w:color w:val="000000"/>
                <w:sz w:val="20"/>
              </w:rPr>
            </w:pPr>
            <w:r w:rsidRPr="000A5368">
              <w:rPr>
                <w:iCs/>
                <w:color w:val="000000"/>
                <w:sz w:val="20"/>
              </w:rPr>
              <w:t>After a trial by judge and jury, the applicant was convicted of two counts of sexual assault and two counts of sexual interference of a child under the age of 16. The Court of Appeal dismissed the appeal.</w:t>
            </w:r>
          </w:p>
          <w:p w:rsidR="004928A3" w:rsidRPr="000A5368" w:rsidRDefault="004928A3" w:rsidP="00E05AB6">
            <w:pPr>
              <w:jc w:val="both"/>
              <w:rPr>
                <w:sz w:val="20"/>
              </w:rPr>
            </w:pPr>
          </w:p>
        </w:tc>
      </w:tr>
      <w:tr w:rsidR="004928A3" w:rsidRPr="000A5368" w:rsidTr="004928A3">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4928A3" w:rsidRPr="000A5368" w:rsidTr="004928A3">
              <w:tc>
                <w:tcPr>
                  <w:tcW w:w="2367" w:type="pct"/>
                </w:tcPr>
                <w:p w:rsidR="004928A3" w:rsidRPr="000A5368" w:rsidRDefault="004928A3" w:rsidP="00E05AB6">
                  <w:pPr>
                    <w:jc w:val="both"/>
                    <w:rPr>
                      <w:b/>
                      <w:sz w:val="20"/>
                    </w:rPr>
                  </w:pPr>
                  <w:r w:rsidRPr="000A5368">
                    <w:rPr>
                      <w:sz w:val="20"/>
                    </w:rPr>
                    <w:t>December 10, 2020</w:t>
                  </w:r>
                </w:p>
                <w:p w:rsidR="004928A3" w:rsidRPr="000A5368" w:rsidRDefault="004928A3" w:rsidP="00E05AB6">
                  <w:pPr>
                    <w:jc w:val="both"/>
                    <w:rPr>
                      <w:sz w:val="20"/>
                    </w:rPr>
                  </w:pPr>
                  <w:r w:rsidRPr="000A5368">
                    <w:rPr>
                      <w:sz w:val="20"/>
                    </w:rPr>
                    <w:t xml:space="preserve">Supreme Court of British Columbia </w:t>
                  </w:r>
                </w:p>
                <w:p w:rsidR="004928A3" w:rsidRPr="000A5368" w:rsidRDefault="004928A3" w:rsidP="00E05AB6">
                  <w:pPr>
                    <w:jc w:val="both"/>
                    <w:rPr>
                      <w:b/>
                      <w:sz w:val="20"/>
                    </w:rPr>
                  </w:pPr>
                  <w:r w:rsidRPr="000A5368">
                    <w:rPr>
                      <w:sz w:val="20"/>
                    </w:rPr>
                    <w:t>(Vancouver)</w:t>
                  </w:r>
                </w:p>
                <w:p w:rsidR="004928A3" w:rsidRPr="000A5368" w:rsidRDefault="004928A3" w:rsidP="00E05AB6">
                  <w:pPr>
                    <w:jc w:val="both"/>
                    <w:rPr>
                      <w:sz w:val="20"/>
                    </w:rPr>
                  </w:pPr>
                  <w:r w:rsidRPr="000A5368">
                    <w:rPr>
                      <w:sz w:val="20"/>
                    </w:rPr>
                    <w:t>(Fleming J.)</w:t>
                  </w:r>
                </w:p>
                <w:p w:rsidR="004928A3" w:rsidRPr="000A5368" w:rsidRDefault="004928A3" w:rsidP="00E05AB6">
                  <w:pPr>
                    <w:jc w:val="both"/>
                    <w:rPr>
                      <w:sz w:val="20"/>
                    </w:rPr>
                  </w:pPr>
                </w:p>
              </w:tc>
              <w:tc>
                <w:tcPr>
                  <w:tcW w:w="267" w:type="pct"/>
                </w:tcPr>
                <w:p w:rsidR="004928A3" w:rsidRPr="000A5368" w:rsidRDefault="004928A3" w:rsidP="00E05AB6">
                  <w:pPr>
                    <w:jc w:val="both"/>
                    <w:rPr>
                      <w:sz w:val="20"/>
                    </w:rPr>
                  </w:pPr>
                </w:p>
              </w:tc>
              <w:tc>
                <w:tcPr>
                  <w:tcW w:w="2366" w:type="pct"/>
                </w:tcPr>
                <w:p w:rsidR="004928A3" w:rsidRPr="000A5368" w:rsidRDefault="004928A3" w:rsidP="00E05AB6">
                  <w:pPr>
                    <w:jc w:val="both"/>
                    <w:rPr>
                      <w:sz w:val="20"/>
                    </w:rPr>
                  </w:pPr>
                  <w:r w:rsidRPr="000A5368">
                    <w:rPr>
                      <w:sz w:val="20"/>
                    </w:rPr>
                    <w:t>Convictions entered: two counts of sexual assault and two counts of sexual interference of a child</w:t>
                  </w:r>
                </w:p>
                <w:p w:rsidR="004928A3" w:rsidRPr="000A5368" w:rsidRDefault="004928A3" w:rsidP="00E05AB6">
                  <w:pPr>
                    <w:jc w:val="both"/>
                    <w:rPr>
                      <w:sz w:val="20"/>
                    </w:rPr>
                  </w:pPr>
                </w:p>
              </w:tc>
            </w:tr>
            <w:tr w:rsidR="004928A3" w:rsidRPr="000A5368" w:rsidTr="004928A3">
              <w:tc>
                <w:tcPr>
                  <w:tcW w:w="2367" w:type="pct"/>
                </w:tcPr>
                <w:p w:rsidR="004928A3" w:rsidRPr="000A5368" w:rsidRDefault="004928A3" w:rsidP="00E05AB6">
                  <w:pPr>
                    <w:jc w:val="both"/>
                    <w:rPr>
                      <w:b/>
                      <w:sz w:val="20"/>
                    </w:rPr>
                  </w:pPr>
                  <w:r w:rsidRPr="000A5368">
                    <w:rPr>
                      <w:sz w:val="20"/>
                    </w:rPr>
                    <w:t>February 7, 2023</w:t>
                  </w:r>
                </w:p>
                <w:p w:rsidR="004928A3" w:rsidRPr="000A5368" w:rsidRDefault="004928A3" w:rsidP="00E05AB6">
                  <w:pPr>
                    <w:jc w:val="both"/>
                    <w:rPr>
                      <w:sz w:val="20"/>
                    </w:rPr>
                  </w:pPr>
                  <w:r w:rsidRPr="000A5368">
                    <w:rPr>
                      <w:sz w:val="20"/>
                    </w:rPr>
                    <w:t xml:space="preserve">Court of Appeal for British Columbia </w:t>
                  </w:r>
                </w:p>
                <w:p w:rsidR="004928A3" w:rsidRPr="000A5368" w:rsidRDefault="004928A3" w:rsidP="00E05AB6">
                  <w:pPr>
                    <w:jc w:val="both"/>
                    <w:rPr>
                      <w:b/>
                      <w:sz w:val="20"/>
                    </w:rPr>
                  </w:pPr>
                  <w:r w:rsidRPr="000A5368">
                    <w:rPr>
                      <w:sz w:val="20"/>
                    </w:rPr>
                    <w:t>(Vancouver)</w:t>
                  </w:r>
                </w:p>
                <w:p w:rsidR="004928A3" w:rsidRPr="000A5368" w:rsidRDefault="004928A3" w:rsidP="00E05AB6">
                  <w:pPr>
                    <w:jc w:val="both"/>
                    <w:rPr>
                      <w:b/>
                      <w:sz w:val="20"/>
                    </w:rPr>
                  </w:pPr>
                  <w:r w:rsidRPr="000A5368">
                    <w:rPr>
                      <w:sz w:val="20"/>
                    </w:rPr>
                    <w:t>(Frankel, Bennett, Horsman JJ.A.)</w:t>
                  </w:r>
                </w:p>
                <w:p w:rsidR="004928A3" w:rsidRPr="000A5368" w:rsidRDefault="004928A3" w:rsidP="00E05AB6">
                  <w:pPr>
                    <w:jc w:val="both"/>
                    <w:rPr>
                      <w:rStyle w:val="Hyperlink"/>
                      <w:color w:val="auto"/>
                      <w:sz w:val="20"/>
                      <w:u w:val="none"/>
                    </w:rPr>
                  </w:pPr>
                  <w:r w:rsidRPr="000A5368">
                    <w:rPr>
                      <w:color w:val="000000"/>
                      <w:sz w:val="20"/>
                    </w:rPr>
                    <w:t>CA47532;</w:t>
                  </w:r>
                  <w:r w:rsidRPr="000A5368">
                    <w:rPr>
                      <w:sz w:val="20"/>
                    </w:rPr>
                    <w:t xml:space="preserve"> </w:t>
                  </w:r>
                  <w:hyperlink r:id="rId20" w:history="1">
                    <w:r w:rsidRPr="000A5368">
                      <w:rPr>
                        <w:rStyle w:val="Hyperlink"/>
                        <w:sz w:val="20"/>
                      </w:rPr>
                      <w:t>2023 BCCA 52</w:t>
                    </w:r>
                  </w:hyperlink>
                </w:p>
                <w:p w:rsidR="004928A3" w:rsidRPr="000A5368" w:rsidRDefault="004928A3" w:rsidP="00E05AB6">
                  <w:pPr>
                    <w:jc w:val="both"/>
                    <w:rPr>
                      <w:b/>
                      <w:sz w:val="20"/>
                    </w:rPr>
                  </w:pPr>
                </w:p>
              </w:tc>
              <w:tc>
                <w:tcPr>
                  <w:tcW w:w="267" w:type="pct"/>
                </w:tcPr>
                <w:p w:rsidR="004928A3" w:rsidRPr="000A5368" w:rsidRDefault="004928A3" w:rsidP="00E05AB6">
                  <w:pPr>
                    <w:jc w:val="both"/>
                    <w:rPr>
                      <w:sz w:val="20"/>
                    </w:rPr>
                  </w:pPr>
                </w:p>
              </w:tc>
              <w:tc>
                <w:tcPr>
                  <w:tcW w:w="2366" w:type="pct"/>
                </w:tcPr>
                <w:p w:rsidR="004928A3" w:rsidRPr="000A5368" w:rsidRDefault="004928A3" w:rsidP="00E05AB6">
                  <w:pPr>
                    <w:jc w:val="both"/>
                    <w:rPr>
                      <w:sz w:val="20"/>
                    </w:rPr>
                  </w:pPr>
                  <w:r w:rsidRPr="000A5368">
                    <w:rPr>
                      <w:sz w:val="20"/>
                    </w:rPr>
                    <w:t>Appeal dismissed</w:t>
                  </w:r>
                </w:p>
                <w:p w:rsidR="004928A3" w:rsidRPr="000A5368" w:rsidRDefault="004928A3" w:rsidP="00E05AB6">
                  <w:pPr>
                    <w:jc w:val="both"/>
                    <w:rPr>
                      <w:sz w:val="20"/>
                    </w:rPr>
                  </w:pPr>
                </w:p>
              </w:tc>
            </w:tr>
            <w:tr w:rsidR="004928A3" w:rsidRPr="000A5368" w:rsidTr="004928A3">
              <w:tc>
                <w:tcPr>
                  <w:tcW w:w="2367" w:type="pct"/>
                </w:tcPr>
                <w:p w:rsidR="004928A3" w:rsidRPr="000A5368" w:rsidRDefault="004928A3" w:rsidP="00E05AB6">
                  <w:pPr>
                    <w:jc w:val="both"/>
                    <w:rPr>
                      <w:b/>
                      <w:sz w:val="20"/>
                    </w:rPr>
                  </w:pPr>
                  <w:r w:rsidRPr="000A5368">
                    <w:rPr>
                      <w:sz w:val="20"/>
                    </w:rPr>
                    <w:t>April 11, 2023</w:t>
                  </w:r>
                </w:p>
                <w:p w:rsidR="004928A3" w:rsidRPr="000A5368" w:rsidRDefault="004928A3" w:rsidP="001060E4">
                  <w:pPr>
                    <w:jc w:val="both"/>
                    <w:rPr>
                      <w:sz w:val="20"/>
                    </w:rPr>
                  </w:pPr>
                  <w:r w:rsidRPr="000A5368">
                    <w:rPr>
                      <w:sz w:val="20"/>
                    </w:rPr>
                    <w:t>Supreme Court of Canada</w:t>
                  </w:r>
                </w:p>
              </w:tc>
              <w:tc>
                <w:tcPr>
                  <w:tcW w:w="267" w:type="pct"/>
                </w:tcPr>
                <w:p w:rsidR="004928A3" w:rsidRPr="000A5368" w:rsidRDefault="004928A3" w:rsidP="00E05AB6">
                  <w:pPr>
                    <w:jc w:val="both"/>
                    <w:rPr>
                      <w:sz w:val="20"/>
                    </w:rPr>
                  </w:pPr>
                </w:p>
              </w:tc>
              <w:tc>
                <w:tcPr>
                  <w:tcW w:w="2366" w:type="pct"/>
                </w:tcPr>
                <w:p w:rsidR="004928A3" w:rsidRPr="000A5368" w:rsidRDefault="004928A3" w:rsidP="00E05AB6">
                  <w:pPr>
                    <w:jc w:val="both"/>
                    <w:rPr>
                      <w:b/>
                      <w:sz w:val="20"/>
                    </w:rPr>
                  </w:pPr>
                  <w:r w:rsidRPr="000A5368">
                    <w:rPr>
                      <w:sz w:val="20"/>
                    </w:rPr>
                    <w:t>Application for leave to appeal filed</w:t>
                  </w:r>
                </w:p>
                <w:p w:rsidR="004928A3" w:rsidRPr="000A5368" w:rsidRDefault="004928A3" w:rsidP="00E05AB6">
                  <w:pPr>
                    <w:jc w:val="both"/>
                    <w:rPr>
                      <w:sz w:val="20"/>
                    </w:rPr>
                  </w:pPr>
                </w:p>
              </w:tc>
            </w:tr>
          </w:tbl>
          <w:p w:rsidR="004928A3" w:rsidRPr="000A5368" w:rsidRDefault="004928A3" w:rsidP="00E05AB6">
            <w:pPr>
              <w:jc w:val="both"/>
              <w:rPr>
                <w:sz w:val="20"/>
              </w:rPr>
            </w:pPr>
          </w:p>
        </w:tc>
      </w:tr>
    </w:tbl>
    <w:p w:rsidR="004928A3" w:rsidRPr="000A5368" w:rsidRDefault="004928A3" w:rsidP="00E05AB6">
      <w:pPr>
        <w:jc w:val="both"/>
        <w:rPr>
          <w:sz w:val="20"/>
        </w:rPr>
      </w:pPr>
    </w:p>
    <w:p w:rsidR="004928A3" w:rsidRPr="000A5368" w:rsidRDefault="000A5368" w:rsidP="00E05AB6">
      <w:pPr>
        <w:jc w:val="both"/>
        <w:rPr>
          <w:sz w:val="20"/>
        </w:rPr>
      </w:pPr>
      <w:r w:rsidRPr="000A5368">
        <w:rPr>
          <w:sz w:val="20"/>
        </w:rPr>
        <w:pict>
          <v:rect id="_x0000_i1027" style="width:2in;height:1pt" o:hrpct="0" o:hralign="center" o:hrstd="t" o:hrnoshade="t" o:hr="t" fillcolor="black [3213]" stroked="f"/>
        </w:pict>
      </w:r>
    </w:p>
    <w:p w:rsidR="004928A3" w:rsidRPr="000A5368" w:rsidRDefault="004928A3"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4928A3" w:rsidRPr="000A5368" w:rsidTr="004928A3">
        <w:tc>
          <w:tcPr>
            <w:tcW w:w="543" w:type="pct"/>
          </w:tcPr>
          <w:p w:rsidR="004928A3" w:rsidRPr="000A5368" w:rsidRDefault="004928A3" w:rsidP="00E05AB6">
            <w:pPr>
              <w:jc w:val="both"/>
              <w:rPr>
                <w:sz w:val="20"/>
                <w:lang w:val="fr-CA"/>
              </w:rPr>
            </w:pPr>
            <w:r w:rsidRPr="000A5368">
              <w:rPr>
                <w:rStyle w:val="SCCFileNumberChar"/>
                <w:sz w:val="20"/>
                <w:szCs w:val="20"/>
                <w:lang w:val="fr-CA"/>
              </w:rPr>
              <w:t>40607</w:t>
            </w:r>
          </w:p>
        </w:tc>
        <w:tc>
          <w:tcPr>
            <w:tcW w:w="4457" w:type="pct"/>
          </w:tcPr>
          <w:p w:rsidR="004928A3" w:rsidRPr="000A5368" w:rsidRDefault="004928A3" w:rsidP="00E05AB6">
            <w:pPr>
              <w:pStyle w:val="SCCLsocParty"/>
              <w:jc w:val="both"/>
              <w:rPr>
                <w:b/>
                <w:sz w:val="20"/>
                <w:szCs w:val="20"/>
              </w:rPr>
            </w:pPr>
            <w:r w:rsidRPr="000A5368">
              <w:rPr>
                <w:b/>
                <w:sz w:val="20"/>
                <w:szCs w:val="20"/>
              </w:rPr>
              <w:t>R.G.S. c. Sa Majesté le Roi</w:t>
            </w:r>
          </w:p>
          <w:p w:rsidR="004928A3" w:rsidRPr="000A5368" w:rsidRDefault="004928A3" w:rsidP="00E05AB6">
            <w:pPr>
              <w:jc w:val="both"/>
              <w:rPr>
                <w:sz w:val="20"/>
                <w:lang w:val="fr-CA"/>
              </w:rPr>
            </w:pPr>
            <w:r w:rsidRPr="000A5368">
              <w:rPr>
                <w:sz w:val="20"/>
                <w:lang w:val="fr-CA"/>
              </w:rPr>
              <w:t>(C.</w:t>
            </w:r>
            <w:r w:rsidRPr="000A5368">
              <w:rPr>
                <w:sz w:val="20"/>
                <w:lang w:val="fr-CA"/>
              </w:rPr>
              <w:noBreakHyphen/>
              <w:t>B.) (Criminelle) (Autorisation)</w:t>
            </w:r>
          </w:p>
        </w:tc>
      </w:tr>
      <w:tr w:rsidR="004928A3" w:rsidRPr="000A5368" w:rsidTr="004928A3">
        <w:tc>
          <w:tcPr>
            <w:tcW w:w="5000" w:type="pct"/>
            <w:gridSpan w:val="2"/>
          </w:tcPr>
          <w:p w:rsidR="004928A3" w:rsidRPr="000A5368" w:rsidRDefault="004928A3" w:rsidP="00E05AB6">
            <w:pPr>
              <w:pStyle w:val="SCCBanSummary"/>
              <w:rPr>
                <w:sz w:val="20"/>
                <w:szCs w:val="20"/>
                <w:lang w:val="fr-CA"/>
              </w:rPr>
            </w:pPr>
            <w:r w:rsidRPr="000A5368">
              <w:rPr>
                <w:sz w:val="20"/>
                <w:szCs w:val="20"/>
                <w:lang w:val="fr-CA"/>
              </w:rPr>
              <w:t>(Ordonnance de non-publication dans le dossier)</w:t>
            </w:r>
          </w:p>
          <w:p w:rsidR="004928A3" w:rsidRPr="000A5368" w:rsidRDefault="004928A3" w:rsidP="00E05AB6">
            <w:pPr>
              <w:jc w:val="both"/>
              <w:rPr>
                <w:sz w:val="20"/>
                <w:lang w:val="fr-CA"/>
              </w:rPr>
            </w:pPr>
          </w:p>
        </w:tc>
      </w:tr>
      <w:tr w:rsidR="004928A3" w:rsidRPr="000A5368" w:rsidTr="004928A3">
        <w:tc>
          <w:tcPr>
            <w:tcW w:w="5000" w:type="pct"/>
            <w:gridSpan w:val="2"/>
          </w:tcPr>
          <w:p w:rsidR="004928A3" w:rsidRPr="000A5368" w:rsidRDefault="004928A3" w:rsidP="00E05AB6">
            <w:pPr>
              <w:jc w:val="both"/>
              <w:rPr>
                <w:sz w:val="20"/>
                <w:lang w:val="fr-CA"/>
              </w:rPr>
            </w:pPr>
            <w:r w:rsidRPr="000A5368">
              <w:rPr>
                <w:sz w:val="20"/>
                <w:lang w:val="fr-CA"/>
              </w:rPr>
              <w:t>Droit criminel — Preuve — Admissibilité — Manière dont l’exigence juridique de l’unanimité des jurés s’applique à un seul chef contenant de multiples incidents distincts — Quand les éléments de preuve d’une inconduite n’ayant pas fait l’objet d’une accusation sont</w:t>
            </w:r>
            <w:r w:rsidRPr="000A5368">
              <w:rPr>
                <w:sz w:val="20"/>
                <w:lang w:val="fr-CA"/>
              </w:rPr>
              <w:noBreakHyphen/>
              <w:t xml:space="preserve">ils admissibles, car ils sont pertinents au récit, au contexte et à la nature de la relation entre l’accusé et la plaignante? </w:t>
            </w:r>
          </w:p>
        </w:tc>
      </w:tr>
      <w:tr w:rsidR="004928A3" w:rsidRPr="000A5368" w:rsidTr="004928A3">
        <w:tc>
          <w:tcPr>
            <w:tcW w:w="5000" w:type="pct"/>
            <w:gridSpan w:val="2"/>
          </w:tcPr>
          <w:p w:rsidR="004928A3" w:rsidRPr="000A5368" w:rsidRDefault="004928A3" w:rsidP="00E05AB6">
            <w:pPr>
              <w:jc w:val="both"/>
              <w:rPr>
                <w:iCs/>
                <w:color w:val="000000"/>
                <w:sz w:val="20"/>
                <w:lang w:val="fr-CA"/>
              </w:rPr>
            </w:pPr>
          </w:p>
          <w:p w:rsidR="004928A3" w:rsidRPr="000A5368" w:rsidRDefault="004928A3" w:rsidP="00E05AB6">
            <w:pPr>
              <w:jc w:val="both"/>
              <w:rPr>
                <w:iCs/>
                <w:color w:val="000000"/>
                <w:sz w:val="20"/>
                <w:lang w:val="fr-CA"/>
              </w:rPr>
            </w:pPr>
            <w:r w:rsidRPr="000A5368">
              <w:rPr>
                <w:iCs/>
                <w:color w:val="000000"/>
                <w:sz w:val="20"/>
                <w:lang w:val="fr-CA"/>
              </w:rPr>
              <w:t>Après un procès mené devant un juge et un jury, le demandeur a été déclaré coupable de deux chefs d’agression sexuelle et de deux chefs de contacts sexuels à l’égard d’un enfant âgé de moins de seize ans. La Cour d’appel a rejeté l’appel.</w:t>
            </w:r>
          </w:p>
          <w:p w:rsidR="004928A3" w:rsidRPr="000A5368" w:rsidRDefault="004928A3" w:rsidP="00E05AB6">
            <w:pPr>
              <w:jc w:val="both"/>
              <w:rPr>
                <w:sz w:val="20"/>
                <w:lang w:val="fr-CA"/>
              </w:rPr>
            </w:pPr>
          </w:p>
        </w:tc>
      </w:tr>
      <w:tr w:rsidR="004928A3" w:rsidRPr="000A5368" w:rsidTr="004928A3">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4928A3" w:rsidRPr="000A5368" w:rsidTr="004928A3">
              <w:tc>
                <w:tcPr>
                  <w:tcW w:w="2367" w:type="pct"/>
                </w:tcPr>
                <w:p w:rsidR="004928A3" w:rsidRPr="000A5368" w:rsidRDefault="004928A3" w:rsidP="00E05AB6">
                  <w:pPr>
                    <w:jc w:val="both"/>
                    <w:rPr>
                      <w:sz w:val="20"/>
                      <w:lang w:val="fr-CA"/>
                    </w:rPr>
                  </w:pPr>
                  <w:r w:rsidRPr="000A5368">
                    <w:rPr>
                      <w:sz w:val="20"/>
                      <w:lang w:val="fr-CA"/>
                    </w:rPr>
                    <w:t>10 décembre 2020</w:t>
                  </w:r>
                </w:p>
                <w:p w:rsidR="004928A3" w:rsidRPr="000A5368" w:rsidRDefault="004928A3" w:rsidP="00E05AB6">
                  <w:pPr>
                    <w:jc w:val="both"/>
                    <w:rPr>
                      <w:sz w:val="20"/>
                      <w:lang w:val="fr-CA"/>
                    </w:rPr>
                  </w:pPr>
                  <w:r w:rsidRPr="000A5368">
                    <w:rPr>
                      <w:sz w:val="20"/>
                      <w:lang w:val="fr-CA"/>
                    </w:rPr>
                    <w:t>Cour suprême de la Colombie</w:t>
                  </w:r>
                  <w:r w:rsidRPr="000A5368">
                    <w:rPr>
                      <w:sz w:val="20"/>
                      <w:lang w:val="fr-CA"/>
                    </w:rPr>
                    <w:noBreakHyphen/>
                    <w:t xml:space="preserve">Britannique </w:t>
                  </w:r>
                </w:p>
                <w:p w:rsidR="004928A3" w:rsidRPr="000A5368" w:rsidRDefault="004928A3" w:rsidP="00E05AB6">
                  <w:pPr>
                    <w:jc w:val="both"/>
                    <w:rPr>
                      <w:b/>
                      <w:sz w:val="20"/>
                      <w:lang w:val="fr-CA"/>
                    </w:rPr>
                  </w:pPr>
                  <w:r w:rsidRPr="000A5368">
                    <w:rPr>
                      <w:sz w:val="20"/>
                      <w:lang w:val="fr-CA"/>
                    </w:rPr>
                    <w:t>(Vancouver)</w:t>
                  </w:r>
                </w:p>
                <w:p w:rsidR="004928A3" w:rsidRPr="000A5368" w:rsidRDefault="004928A3" w:rsidP="00E05AB6">
                  <w:pPr>
                    <w:jc w:val="both"/>
                    <w:rPr>
                      <w:sz w:val="20"/>
                      <w:lang w:val="fr-CA"/>
                    </w:rPr>
                  </w:pPr>
                  <w:r w:rsidRPr="000A5368">
                    <w:rPr>
                      <w:sz w:val="20"/>
                      <w:lang w:val="fr-CA"/>
                    </w:rPr>
                    <w:t>(juge Fleming)</w:t>
                  </w:r>
                </w:p>
                <w:p w:rsidR="004928A3" w:rsidRPr="000A5368" w:rsidRDefault="004928A3" w:rsidP="00E05AB6">
                  <w:pPr>
                    <w:jc w:val="both"/>
                    <w:rPr>
                      <w:sz w:val="20"/>
                      <w:lang w:val="fr-CA"/>
                    </w:rPr>
                  </w:pPr>
                </w:p>
              </w:tc>
              <w:tc>
                <w:tcPr>
                  <w:tcW w:w="267" w:type="pct"/>
                </w:tcPr>
                <w:p w:rsidR="004928A3" w:rsidRPr="000A5368" w:rsidRDefault="004928A3" w:rsidP="00E05AB6">
                  <w:pPr>
                    <w:jc w:val="both"/>
                    <w:rPr>
                      <w:sz w:val="20"/>
                      <w:lang w:val="fr-CA"/>
                    </w:rPr>
                  </w:pPr>
                </w:p>
              </w:tc>
              <w:tc>
                <w:tcPr>
                  <w:tcW w:w="2366" w:type="pct"/>
                </w:tcPr>
                <w:p w:rsidR="004928A3" w:rsidRPr="000A5368" w:rsidRDefault="004928A3" w:rsidP="00E05AB6">
                  <w:pPr>
                    <w:jc w:val="both"/>
                    <w:rPr>
                      <w:sz w:val="20"/>
                      <w:lang w:val="fr-CA"/>
                    </w:rPr>
                  </w:pPr>
                  <w:r w:rsidRPr="000A5368">
                    <w:rPr>
                      <w:sz w:val="20"/>
                      <w:lang w:val="fr-CA"/>
                    </w:rPr>
                    <w:t>Déclarations de culpabilité inscrites : deux chefs d’agression sexuelle et deux chefs de contacts sexuels à l’égard d’un enfant</w:t>
                  </w:r>
                </w:p>
                <w:p w:rsidR="004928A3" w:rsidRPr="000A5368" w:rsidRDefault="004928A3" w:rsidP="00E05AB6">
                  <w:pPr>
                    <w:jc w:val="both"/>
                    <w:rPr>
                      <w:sz w:val="20"/>
                      <w:lang w:val="fr-CA"/>
                    </w:rPr>
                  </w:pPr>
                </w:p>
              </w:tc>
            </w:tr>
            <w:tr w:rsidR="004928A3" w:rsidRPr="000A5368" w:rsidTr="004928A3">
              <w:tc>
                <w:tcPr>
                  <w:tcW w:w="2367" w:type="pct"/>
                </w:tcPr>
                <w:p w:rsidR="004928A3" w:rsidRPr="000A5368" w:rsidRDefault="004928A3" w:rsidP="00E05AB6">
                  <w:pPr>
                    <w:jc w:val="both"/>
                    <w:rPr>
                      <w:b/>
                      <w:sz w:val="20"/>
                      <w:lang w:val="fr-CA"/>
                    </w:rPr>
                  </w:pPr>
                  <w:r w:rsidRPr="000A5368">
                    <w:rPr>
                      <w:sz w:val="20"/>
                      <w:lang w:val="fr-CA"/>
                    </w:rPr>
                    <w:t>7 février 2023</w:t>
                  </w:r>
                </w:p>
                <w:p w:rsidR="004928A3" w:rsidRPr="000A5368" w:rsidRDefault="004928A3" w:rsidP="00E05AB6">
                  <w:pPr>
                    <w:jc w:val="both"/>
                    <w:rPr>
                      <w:sz w:val="20"/>
                      <w:lang w:val="fr-CA"/>
                    </w:rPr>
                  </w:pPr>
                  <w:r w:rsidRPr="000A5368">
                    <w:rPr>
                      <w:sz w:val="20"/>
                      <w:lang w:val="fr-CA"/>
                    </w:rPr>
                    <w:t>Cour d’appel de la Colombie-Britannique</w:t>
                  </w:r>
                </w:p>
                <w:p w:rsidR="004928A3" w:rsidRPr="000A5368" w:rsidRDefault="004928A3" w:rsidP="00E05AB6">
                  <w:pPr>
                    <w:jc w:val="both"/>
                    <w:rPr>
                      <w:b/>
                      <w:sz w:val="20"/>
                      <w:lang w:val="fr-CA"/>
                    </w:rPr>
                  </w:pPr>
                  <w:r w:rsidRPr="000A5368">
                    <w:rPr>
                      <w:sz w:val="20"/>
                      <w:lang w:val="fr-CA"/>
                    </w:rPr>
                    <w:t>(Vancouver)</w:t>
                  </w:r>
                </w:p>
                <w:p w:rsidR="004928A3" w:rsidRPr="000A5368" w:rsidRDefault="004928A3" w:rsidP="00E05AB6">
                  <w:pPr>
                    <w:jc w:val="both"/>
                    <w:rPr>
                      <w:b/>
                      <w:sz w:val="20"/>
                      <w:lang w:val="fr-CA"/>
                    </w:rPr>
                  </w:pPr>
                  <w:r w:rsidRPr="000A5368">
                    <w:rPr>
                      <w:sz w:val="20"/>
                      <w:lang w:val="fr-CA"/>
                    </w:rPr>
                    <w:t>(juges Frankel, Bennett, Horsman.)</w:t>
                  </w:r>
                </w:p>
                <w:p w:rsidR="004928A3" w:rsidRPr="000A5368" w:rsidRDefault="004928A3" w:rsidP="00E05AB6">
                  <w:pPr>
                    <w:jc w:val="both"/>
                    <w:rPr>
                      <w:rStyle w:val="Hyperlink"/>
                      <w:color w:val="auto"/>
                      <w:sz w:val="20"/>
                      <w:u w:val="none"/>
                      <w:lang w:val="fr-CA"/>
                    </w:rPr>
                  </w:pPr>
                  <w:r w:rsidRPr="000A5368">
                    <w:rPr>
                      <w:color w:val="000000"/>
                      <w:sz w:val="20"/>
                      <w:lang w:val="fr-CA"/>
                    </w:rPr>
                    <w:t>CA47532;</w:t>
                  </w:r>
                  <w:r w:rsidRPr="000A5368">
                    <w:rPr>
                      <w:sz w:val="20"/>
                      <w:lang w:val="fr-CA"/>
                    </w:rPr>
                    <w:t xml:space="preserve"> </w:t>
                  </w:r>
                  <w:hyperlink r:id="rId21" w:history="1">
                    <w:r w:rsidRPr="000A5368">
                      <w:rPr>
                        <w:rStyle w:val="Hyperlink"/>
                        <w:sz w:val="20"/>
                        <w:lang w:val="fr-CA"/>
                      </w:rPr>
                      <w:t>2023 BCCA 52</w:t>
                    </w:r>
                  </w:hyperlink>
                </w:p>
                <w:p w:rsidR="004928A3" w:rsidRPr="000A5368" w:rsidRDefault="004928A3" w:rsidP="00E05AB6">
                  <w:pPr>
                    <w:jc w:val="both"/>
                    <w:rPr>
                      <w:b/>
                      <w:sz w:val="20"/>
                      <w:lang w:val="fr-CA"/>
                    </w:rPr>
                  </w:pPr>
                </w:p>
              </w:tc>
              <w:tc>
                <w:tcPr>
                  <w:tcW w:w="267" w:type="pct"/>
                </w:tcPr>
                <w:p w:rsidR="004928A3" w:rsidRPr="000A5368" w:rsidRDefault="004928A3" w:rsidP="00E05AB6">
                  <w:pPr>
                    <w:jc w:val="both"/>
                    <w:rPr>
                      <w:sz w:val="20"/>
                      <w:lang w:val="fr-CA"/>
                    </w:rPr>
                  </w:pPr>
                </w:p>
              </w:tc>
              <w:tc>
                <w:tcPr>
                  <w:tcW w:w="2366" w:type="pct"/>
                </w:tcPr>
                <w:p w:rsidR="004928A3" w:rsidRPr="000A5368" w:rsidRDefault="004928A3" w:rsidP="00E05AB6">
                  <w:pPr>
                    <w:jc w:val="both"/>
                    <w:rPr>
                      <w:sz w:val="20"/>
                      <w:lang w:val="fr-CA"/>
                    </w:rPr>
                  </w:pPr>
                  <w:r w:rsidRPr="000A5368">
                    <w:rPr>
                      <w:sz w:val="20"/>
                      <w:lang w:val="fr-CA"/>
                    </w:rPr>
                    <w:t>Appel rejeté</w:t>
                  </w:r>
                </w:p>
                <w:p w:rsidR="004928A3" w:rsidRPr="000A5368" w:rsidRDefault="004928A3" w:rsidP="00E05AB6">
                  <w:pPr>
                    <w:jc w:val="both"/>
                    <w:rPr>
                      <w:sz w:val="20"/>
                      <w:lang w:val="fr-CA"/>
                    </w:rPr>
                  </w:pPr>
                </w:p>
              </w:tc>
            </w:tr>
            <w:tr w:rsidR="004928A3" w:rsidRPr="000A5368" w:rsidTr="004928A3">
              <w:tc>
                <w:tcPr>
                  <w:tcW w:w="2367" w:type="pct"/>
                </w:tcPr>
                <w:p w:rsidR="004928A3" w:rsidRPr="000A5368" w:rsidRDefault="004928A3" w:rsidP="00E05AB6">
                  <w:pPr>
                    <w:jc w:val="both"/>
                    <w:rPr>
                      <w:b/>
                      <w:sz w:val="20"/>
                      <w:lang w:val="fr-CA"/>
                    </w:rPr>
                  </w:pPr>
                  <w:r w:rsidRPr="000A5368">
                    <w:rPr>
                      <w:sz w:val="20"/>
                      <w:lang w:val="fr-CA"/>
                    </w:rPr>
                    <w:t>11 avril 2023</w:t>
                  </w:r>
                </w:p>
                <w:p w:rsidR="004928A3" w:rsidRPr="000A5368" w:rsidRDefault="004928A3" w:rsidP="001060E4">
                  <w:pPr>
                    <w:jc w:val="both"/>
                    <w:rPr>
                      <w:sz w:val="20"/>
                      <w:lang w:val="fr-CA"/>
                    </w:rPr>
                  </w:pPr>
                  <w:r w:rsidRPr="000A5368">
                    <w:rPr>
                      <w:sz w:val="20"/>
                      <w:lang w:val="fr-CA"/>
                    </w:rPr>
                    <w:t>Cour suprême du Canada</w:t>
                  </w:r>
                </w:p>
              </w:tc>
              <w:tc>
                <w:tcPr>
                  <w:tcW w:w="267" w:type="pct"/>
                </w:tcPr>
                <w:p w:rsidR="004928A3" w:rsidRPr="000A5368" w:rsidRDefault="004928A3" w:rsidP="00E05AB6">
                  <w:pPr>
                    <w:jc w:val="both"/>
                    <w:rPr>
                      <w:sz w:val="20"/>
                      <w:lang w:val="fr-CA"/>
                    </w:rPr>
                  </w:pPr>
                </w:p>
              </w:tc>
              <w:tc>
                <w:tcPr>
                  <w:tcW w:w="2366" w:type="pct"/>
                </w:tcPr>
                <w:p w:rsidR="004928A3" w:rsidRPr="000A5368" w:rsidRDefault="004928A3" w:rsidP="00E05AB6">
                  <w:pPr>
                    <w:jc w:val="both"/>
                    <w:rPr>
                      <w:b/>
                      <w:sz w:val="20"/>
                      <w:lang w:val="fr-CA"/>
                    </w:rPr>
                  </w:pPr>
                  <w:r w:rsidRPr="000A5368">
                    <w:rPr>
                      <w:sz w:val="20"/>
                      <w:lang w:val="fr-CA"/>
                    </w:rPr>
                    <w:t>Demande d’autorisation déposée</w:t>
                  </w:r>
                </w:p>
                <w:p w:rsidR="004928A3" w:rsidRPr="000A5368" w:rsidRDefault="004928A3" w:rsidP="00E05AB6">
                  <w:pPr>
                    <w:jc w:val="both"/>
                    <w:rPr>
                      <w:sz w:val="20"/>
                      <w:lang w:val="fr-CA"/>
                    </w:rPr>
                  </w:pPr>
                </w:p>
              </w:tc>
            </w:tr>
          </w:tbl>
          <w:p w:rsidR="004928A3" w:rsidRPr="000A5368" w:rsidRDefault="004928A3" w:rsidP="00E05AB6">
            <w:pPr>
              <w:jc w:val="both"/>
              <w:rPr>
                <w:sz w:val="20"/>
                <w:lang w:val="fr-CA"/>
              </w:rPr>
            </w:pPr>
          </w:p>
        </w:tc>
      </w:tr>
    </w:tbl>
    <w:p w:rsidR="004928A3" w:rsidRPr="000A5368" w:rsidRDefault="004928A3" w:rsidP="00E05AB6">
      <w:pPr>
        <w:jc w:val="both"/>
        <w:rPr>
          <w:sz w:val="20"/>
          <w:lang w:val="fr-CA"/>
        </w:rPr>
      </w:pPr>
    </w:p>
    <w:p w:rsidR="004928A3" w:rsidRPr="000A5368" w:rsidRDefault="000A5368" w:rsidP="00E05AB6">
      <w:pPr>
        <w:jc w:val="both"/>
        <w:rPr>
          <w:sz w:val="20"/>
          <w:lang w:val="fr-CA"/>
        </w:rPr>
      </w:pPr>
      <w:r w:rsidRPr="000A5368">
        <w:rPr>
          <w:sz w:val="20"/>
        </w:rPr>
        <w:pict>
          <v:rect id="_x0000_i1028" style="width:2in;height:1pt" o:hrpct="0" o:hralign="center" o:hrstd="t" o:hrnoshade="t" o:hr="t" fillcolor="black [3213]" stroked="f"/>
        </w:pict>
      </w:r>
    </w:p>
    <w:p w:rsidR="005D6A19" w:rsidRPr="000A5368" w:rsidRDefault="005D6A19"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40644</w:t>
            </w:r>
          </w:p>
        </w:tc>
        <w:tc>
          <w:tcPr>
            <w:tcW w:w="4457" w:type="pct"/>
            <w:gridSpan w:val="3"/>
          </w:tcPr>
          <w:p w:rsidR="004928A3" w:rsidRPr="000A5368" w:rsidRDefault="004928A3" w:rsidP="00E05AB6">
            <w:pPr>
              <w:pStyle w:val="SCCLsocParty"/>
              <w:jc w:val="both"/>
              <w:rPr>
                <w:b/>
                <w:sz w:val="20"/>
                <w:szCs w:val="20"/>
                <w:lang w:val="en-US"/>
              </w:rPr>
            </w:pPr>
            <w:r w:rsidRPr="000A5368">
              <w:rPr>
                <w:b/>
                <w:sz w:val="20"/>
                <w:szCs w:val="20"/>
                <w:lang w:val="en-US"/>
              </w:rPr>
              <w:t xml:space="preserve">Tanya Rebello v. Del Property Management, Laney Choi, Toronto Standard  Condominium Corporation No. 2151, Paragon Security, Paragon  Security Guard (Sam Reza), Paragon Security </w:t>
            </w:r>
            <w:r w:rsidRPr="000A5368">
              <w:rPr>
                <w:b/>
                <w:sz w:val="20"/>
                <w:szCs w:val="20"/>
                <w:lang w:val="en-US"/>
              </w:rPr>
              <w:lastRenderedPageBreak/>
              <w:t>Guard (Ronald  Crabb), Tony Kamel, Nagib Hanna Kamel, Stephen Chow, Century 21  Atria Realty Inc. Brokerage, and Tridel Group of Companies</w:t>
            </w:r>
          </w:p>
          <w:p w:rsidR="004928A3" w:rsidRPr="000A5368" w:rsidRDefault="004928A3" w:rsidP="00E05AB6">
            <w:pPr>
              <w:jc w:val="both"/>
              <w:rPr>
                <w:sz w:val="20"/>
              </w:rPr>
            </w:pPr>
            <w:r w:rsidRPr="000A5368">
              <w:rPr>
                <w:sz w:val="20"/>
              </w:rPr>
              <w:t>(Ont.) (Civil) (By Leave)</w:t>
            </w:r>
          </w:p>
        </w:tc>
      </w:tr>
      <w:tr w:rsidR="004928A3" w:rsidRPr="000A5368" w:rsidTr="004928A3">
        <w:tc>
          <w:tcPr>
            <w:tcW w:w="5000" w:type="pct"/>
            <w:gridSpan w:val="4"/>
          </w:tcPr>
          <w:p w:rsidR="004928A3" w:rsidRPr="000A5368" w:rsidRDefault="004928A3" w:rsidP="00E05AB6">
            <w:pPr>
              <w:jc w:val="both"/>
              <w:rPr>
                <w:sz w:val="20"/>
              </w:rPr>
            </w:pPr>
            <w:r w:rsidRPr="000A5368">
              <w:rPr>
                <w:sz w:val="20"/>
              </w:rPr>
              <w:lastRenderedPageBreak/>
              <w:t xml:space="preserve">Charter of rights and freedoms — Fundamental justice — Applicant suing respondents for alleged harassment and invasion of privacy — Applicant ordered to pay security for respondents’ costs, and ordered to pay costs of respondents’ motion for security for costs — Courts below dismissing appeals, and quashing further appeal attempts for want of jurisdiction — Whether legislation in Canada can block individual from seeking remedy for breach of </w:t>
            </w:r>
            <w:r w:rsidRPr="000A5368">
              <w:rPr>
                <w:i/>
                <w:sz w:val="20"/>
              </w:rPr>
              <w:t>Charter</w:t>
            </w:r>
            <w:r w:rsidRPr="000A5368">
              <w:rPr>
                <w:sz w:val="20"/>
              </w:rPr>
              <w:t xml:space="preserve"> rights — Whether legislation in Canada can block individual from seeking access to justice, from seeking the right to be heard, and from having their case heard — </w:t>
            </w:r>
            <w:r w:rsidRPr="000A5368">
              <w:rPr>
                <w:i/>
                <w:sz w:val="20"/>
              </w:rPr>
              <w:t>Canadian Charter of Rights and Freedoms</w:t>
            </w:r>
            <w:r w:rsidRPr="000A5368">
              <w:rPr>
                <w:sz w:val="20"/>
              </w:rPr>
              <w:t>, ss. 7 and 15 —</w:t>
            </w:r>
            <w:r w:rsidRPr="000A5368">
              <w:rPr>
                <w:i/>
                <w:sz w:val="20"/>
              </w:rPr>
              <w:t xml:space="preserve"> Courts of Justice Act</w:t>
            </w:r>
            <w:r w:rsidRPr="000A5368">
              <w:rPr>
                <w:sz w:val="20"/>
              </w:rPr>
              <w:t xml:space="preserve">, R.S.O. 1990, c. C.43, ss. 6, 17, 19 — </w:t>
            </w:r>
            <w:r w:rsidRPr="000A5368">
              <w:rPr>
                <w:i/>
                <w:sz w:val="20"/>
              </w:rPr>
              <w:t>Rules of Civil Procedure</w:t>
            </w:r>
            <w:r w:rsidRPr="000A5368">
              <w:rPr>
                <w:sz w:val="20"/>
              </w:rPr>
              <w:t>, R.R.O., Reg. 194, r. 2.1.01, 56.</w:t>
            </w:r>
          </w:p>
        </w:tc>
      </w:tr>
      <w:tr w:rsidR="004928A3" w:rsidRPr="000A5368" w:rsidTr="004928A3">
        <w:tc>
          <w:tcPr>
            <w:tcW w:w="5000" w:type="pct"/>
            <w:gridSpan w:val="4"/>
          </w:tcPr>
          <w:p w:rsidR="004928A3" w:rsidRPr="000A5368" w:rsidRDefault="004928A3" w:rsidP="00E05AB6">
            <w:pPr>
              <w:jc w:val="both"/>
              <w:rPr>
                <w:sz w:val="20"/>
              </w:rPr>
            </w:pPr>
          </w:p>
        </w:tc>
      </w:tr>
      <w:tr w:rsidR="004928A3" w:rsidRPr="000A5368" w:rsidTr="004928A3">
        <w:tc>
          <w:tcPr>
            <w:tcW w:w="5000" w:type="pct"/>
            <w:gridSpan w:val="4"/>
          </w:tcPr>
          <w:p w:rsidR="004928A3" w:rsidRPr="000A5368" w:rsidRDefault="004928A3" w:rsidP="00E05AB6">
            <w:pPr>
              <w:jc w:val="both"/>
              <w:rPr>
                <w:sz w:val="20"/>
              </w:rPr>
            </w:pPr>
            <w:r w:rsidRPr="000A5368">
              <w:rPr>
                <w:sz w:val="20"/>
              </w:rPr>
              <w:t xml:space="preserve">The applicant commenced a claim against the respondents, arising from events that took place during her tenancy in a rental condominium unit in Toronto. A judge of the Superior Court declined to dismiss the claim as frivolous on its face, pursuant to r. 2.1.01 of the </w:t>
            </w:r>
            <w:r w:rsidRPr="000A5368">
              <w:rPr>
                <w:i/>
                <w:sz w:val="20"/>
              </w:rPr>
              <w:t>Rules of Civil Procedure</w:t>
            </w:r>
            <w:r w:rsidRPr="000A5368">
              <w:rPr>
                <w:sz w:val="20"/>
              </w:rPr>
              <w:t>. The respondents then brought a motion seeking security for costs, pursuant to r. 56.01(e), on the grounds that there was good reason to believe that the action was frivolous and vexatious, and that the applicant lacked sufficient resources to pay any eventual costs order.</w:t>
            </w:r>
          </w:p>
          <w:p w:rsidR="004928A3" w:rsidRPr="000A5368" w:rsidRDefault="004928A3" w:rsidP="00E05AB6">
            <w:pPr>
              <w:jc w:val="both"/>
              <w:rPr>
                <w:sz w:val="20"/>
              </w:rPr>
            </w:pPr>
          </w:p>
          <w:p w:rsidR="004928A3" w:rsidRPr="000A5368" w:rsidRDefault="004928A3" w:rsidP="00E05AB6">
            <w:pPr>
              <w:jc w:val="both"/>
              <w:rPr>
                <w:sz w:val="20"/>
              </w:rPr>
            </w:pPr>
            <w:r w:rsidRPr="000A5368">
              <w:rPr>
                <w:sz w:val="20"/>
              </w:rPr>
              <w:t>A Master of the Superior Court ordered the applicant to pay an amount as security for the respondents’ costs, and barred her from taking further steps in the action until the security amount was posted; in a second decision, the applicant was also ordered to pay the respondents’ costs of their security for costs motion itself. A judge of the Superior Court dismissed the applicant’s appeals from both decisions, and awarded costs to the respondents on a substantial indemnity basis. A unanimous panel of the Court of Appeal granted the respondents’ motion to quash the applicant’s Notice of Appeal from the single judge’s decision, quashed her appeal, and dismissed her cross-motion (seeking leave to appeal two other costs orders), with partial indemnity costs.</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April 27, 2020</w:t>
            </w:r>
          </w:p>
          <w:p w:rsidR="004928A3" w:rsidRPr="000A5368" w:rsidRDefault="004928A3" w:rsidP="00E05AB6">
            <w:pPr>
              <w:jc w:val="both"/>
              <w:rPr>
                <w:sz w:val="20"/>
              </w:rPr>
            </w:pPr>
            <w:r w:rsidRPr="000A5368">
              <w:rPr>
                <w:sz w:val="20"/>
              </w:rPr>
              <w:t>Ontario Superior Court of Justice</w:t>
            </w:r>
          </w:p>
          <w:p w:rsidR="004928A3" w:rsidRPr="000A5368" w:rsidRDefault="004928A3" w:rsidP="00E05AB6">
            <w:pPr>
              <w:jc w:val="both"/>
              <w:rPr>
                <w:sz w:val="20"/>
              </w:rPr>
            </w:pPr>
            <w:r w:rsidRPr="000A5368">
              <w:rPr>
                <w:sz w:val="20"/>
              </w:rPr>
              <w:t>(Master Sugunasiri)</w:t>
            </w:r>
          </w:p>
          <w:p w:rsidR="004928A3" w:rsidRPr="000A5368" w:rsidRDefault="004928A3" w:rsidP="00E05AB6">
            <w:pPr>
              <w:jc w:val="both"/>
              <w:rPr>
                <w:sz w:val="20"/>
              </w:rPr>
            </w:pPr>
            <w:r w:rsidRPr="000A5368">
              <w:rPr>
                <w:sz w:val="20"/>
              </w:rPr>
              <w:t>CV-18-607758</w:t>
            </w:r>
          </w:p>
          <w:p w:rsidR="004928A3" w:rsidRPr="000A5368" w:rsidRDefault="000A5368" w:rsidP="00E05AB6">
            <w:pPr>
              <w:jc w:val="both"/>
              <w:rPr>
                <w:sz w:val="20"/>
              </w:rPr>
            </w:pPr>
            <w:hyperlink r:id="rId22" w:anchor="document" w:history="1">
              <w:r w:rsidR="004928A3" w:rsidRPr="000A5368">
                <w:rPr>
                  <w:rStyle w:val="Hyperlink"/>
                  <w:sz w:val="20"/>
                </w:rPr>
                <w:t>2020 ONSC 2303</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Ms. Rebello ordered to post $23,713.93 as security for respondents’ costs, and barred from taking any further steps in action other than appeal of present order</w:t>
            </w:r>
          </w:p>
        </w:tc>
      </w:tr>
      <w:tr w:rsidR="004928A3" w:rsidRPr="000A5368" w:rsidTr="004928A3">
        <w:tc>
          <w:tcPr>
            <w:tcW w:w="2427" w:type="pct"/>
            <w:gridSpan w:val="2"/>
          </w:tcPr>
          <w:p w:rsidR="004928A3" w:rsidRPr="000A5368" w:rsidRDefault="004928A3" w:rsidP="00E05AB6">
            <w:pPr>
              <w:jc w:val="both"/>
              <w:rPr>
                <w:sz w:val="20"/>
              </w:rPr>
            </w:pPr>
            <w:r w:rsidRPr="000A5368">
              <w:rPr>
                <w:sz w:val="20"/>
              </w:rPr>
              <w:t>June 4, 2020</w:t>
            </w:r>
          </w:p>
          <w:p w:rsidR="004928A3" w:rsidRPr="000A5368" w:rsidRDefault="004928A3" w:rsidP="00E05AB6">
            <w:pPr>
              <w:jc w:val="both"/>
              <w:rPr>
                <w:sz w:val="20"/>
              </w:rPr>
            </w:pPr>
            <w:r w:rsidRPr="000A5368">
              <w:rPr>
                <w:sz w:val="20"/>
              </w:rPr>
              <w:t>Ontario Superior Court of Justice</w:t>
            </w:r>
          </w:p>
          <w:p w:rsidR="004928A3" w:rsidRPr="000A5368" w:rsidRDefault="004928A3" w:rsidP="00E05AB6">
            <w:pPr>
              <w:jc w:val="both"/>
              <w:rPr>
                <w:sz w:val="20"/>
              </w:rPr>
            </w:pPr>
            <w:r w:rsidRPr="000A5368">
              <w:rPr>
                <w:sz w:val="20"/>
              </w:rPr>
              <w:t>(Master Sugunasiri)</w:t>
            </w:r>
          </w:p>
          <w:p w:rsidR="004928A3" w:rsidRPr="000A5368" w:rsidRDefault="004928A3" w:rsidP="00E05AB6">
            <w:pPr>
              <w:jc w:val="both"/>
              <w:rPr>
                <w:sz w:val="20"/>
              </w:rPr>
            </w:pPr>
            <w:r w:rsidRPr="000A5368">
              <w:rPr>
                <w:sz w:val="20"/>
              </w:rPr>
              <w:t>CV-18-607758</w:t>
            </w:r>
          </w:p>
          <w:p w:rsidR="004928A3" w:rsidRPr="000A5368" w:rsidRDefault="000A5368" w:rsidP="00E05AB6">
            <w:pPr>
              <w:jc w:val="both"/>
              <w:rPr>
                <w:color w:val="0000FF" w:themeColor="hyperlink"/>
                <w:sz w:val="20"/>
                <w:u w:val="single"/>
              </w:rPr>
            </w:pPr>
            <w:hyperlink r:id="rId23" w:history="1">
              <w:r w:rsidR="004928A3" w:rsidRPr="000A5368">
                <w:rPr>
                  <w:rStyle w:val="Hyperlink"/>
                  <w:sz w:val="20"/>
                </w:rPr>
                <w:t>2020 ONSC 3520</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Ms. Rebello ordered to pay respondents’ costs of their security for costs motion, in the amount of $12,047.71</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November 29, 2021</w:t>
            </w:r>
          </w:p>
          <w:p w:rsidR="004928A3" w:rsidRPr="000A5368" w:rsidRDefault="004928A3" w:rsidP="00E05AB6">
            <w:pPr>
              <w:jc w:val="both"/>
              <w:rPr>
                <w:sz w:val="20"/>
              </w:rPr>
            </w:pPr>
            <w:r w:rsidRPr="000A5368">
              <w:rPr>
                <w:sz w:val="20"/>
              </w:rPr>
              <w:t>(reasons released December 8, 2021)</w:t>
            </w:r>
          </w:p>
          <w:p w:rsidR="004928A3" w:rsidRPr="000A5368" w:rsidRDefault="004928A3" w:rsidP="00E05AB6">
            <w:pPr>
              <w:jc w:val="both"/>
              <w:rPr>
                <w:sz w:val="20"/>
              </w:rPr>
            </w:pPr>
            <w:r w:rsidRPr="000A5368">
              <w:rPr>
                <w:sz w:val="20"/>
              </w:rPr>
              <w:t>Ontario Superior Court of Justice</w:t>
            </w:r>
          </w:p>
          <w:p w:rsidR="004928A3" w:rsidRPr="000A5368" w:rsidRDefault="004928A3" w:rsidP="00E05AB6">
            <w:pPr>
              <w:jc w:val="both"/>
              <w:rPr>
                <w:sz w:val="20"/>
              </w:rPr>
            </w:pPr>
            <w:r w:rsidRPr="000A5368">
              <w:rPr>
                <w:sz w:val="20"/>
              </w:rPr>
              <w:t>(Dunphy J.)</w:t>
            </w:r>
          </w:p>
          <w:p w:rsidR="004928A3" w:rsidRPr="000A5368" w:rsidRDefault="004928A3" w:rsidP="00E05AB6">
            <w:pPr>
              <w:jc w:val="both"/>
              <w:rPr>
                <w:sz w:val="20"/>
              </w:rPr>
            </w:pPr>
            <w:r w:rsidRPr="000A5368">
              <w:rPr>
                <w:sz w:val="20"/>
              </w:rPr>
              <w:t>CV-18-00607758-0000</w:t>
            </w:r>
          </w:p>
          <w:p w:rsidR="004928A3" w:rsidRPr="000A5368" w:rsidRDefault="000A5368" w:rsidP="00E05AB6">
            <w:pPr>
              <w:jc w:val="both"/>
              <w:rPr>
                <w:sz w:val="20"/>
              </w:rPr>
            </w:pPr>
            <w:hyperlink r:id="rId24" w:history="1">
              <w:r w:rsidR="004928A3" w:rsidRPr="000A5368">
                <w:rPr>
                  <w:rStyle w:val="Hyperlink"/>
                  <w:sz w:val="20"/>
                </w:rPr>
                <w:t>2021 ONSC 7888</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Appeals from orders issued on April 27, 2020, and June 4, 2020 — dismissed</w:t>
            </w:r>
          </w:p>
        </w:tc>
      </w:tr>
      <w:tr w:rsidR="004928A3" w:rsidRPr="000A5368" w:rsidTr="004928A3">
        <w:tc>
          <w:tcPr>
            <w:tcW w:w="2427" w:type="pct"/>
            <w:gridSpan w:val="2"/>
          </w:tcPr>
          <w:p w:rsidR="004928A3" w:rsidRPr="000A5368" w:rsidRDefault="004928A3" w:rsidP="00E05AB6">
            <w:pPr>
              <w:jc w:val="both"/>
              <w:rPr>
                <w:sz w:val="20"/>
              </w:rPr>
            </w:pPr>
            <w:r w:rsidRPr="000A5368">
              <w:rPr>
                <w:sz w:val="20"/>
              </w:rPr>
              <w:t>October 21, 2022</w:t>
            </w:r>
          </w:p>
          <w:p w:rsidR="004928A3" w:rsidRPr="000A5368" w:rsidRDefault="004928A3" w:rsidP="00E05AB6">
            <w:pPr>
              <w:jc w:val="both"/>
              <w:rPr>
                <w:sz w:val="20"/>
              </w:rPr>
            </w:pPr>
            <w:r w:rsidRPr="000A5368">
              <w:rPr>
                <w:sz w:val="20"/>
              </w:rPr>
              <w:t>Court of Appeal for Ontario</w:t>
            </w:r>
          </w:p>
          <w:p w:rsidR="004928A3" w:rsidRPr="000A5368" w:rsidRDefault="004928A3" w:rsidP="00E05AB6">
            <w:pPr>
              <w:jc w:val="both"/>
              <w:rPr>
                <w:sz w:val="20"/>
              </w:rPr>
            </w:pPr>
            <w:r w:rsidRPr="000A5368">
              <w:rPr>
                <w:sz w:val="20"/>
              </w:rPr>
              <w:t>(Feldman, Hoy and Favreau JJ.A.)</w:t>
            </w:r>
          </w:p>
          <w:p w:rsidR="004928A3" w:rsidRPr="000A5368" w:rsidRDefault="000A5368" w:rsidP="00E05AB6">
            <w:pPr>
              <w:jc w:val="both"/>
              <w:rPr>
                <w:sz w:val="20"/>
              </w:rPr>
            </w:pPr>
            <w:hyperlink r:id="rId25" w:history="1">
              <w:r w:rsidR="004928A3" w:rsidRPr="000A5368">
                <w:rPr>
                  <w:rStyle w:val="Hyperlink"/>
                  <w:sz w:val="20"/>
                </w:rPr>
                <w:t>2022 ONCA 720</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 xml:space="preserve">Respondents’ motion to quash Ms. Rebello’s appeal — granted; </w:t>
            </w:r>
          </w:p>
          <w:p w:rsidR="004928A3" w:rsidRPr="000A5368" w:rsidRDefault="004928A3" w:rsidP="00E05AB6">
            <w:pPr>
              <w:jc w:val="both"/>
              <w:rPr>
                <w:sz w:val="20"/>
              </w:rPr>
            </w:pPr>
            <w:r w:rsidRPr="000A5368">
              <w:rPr>
                <w:sz w:val="20"/>
              </w:rPr>
              <w:t>Ms. Rebello’s cross-motion seeking leave to appeal costs orders — dismissed</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March 8, 2023</w:t>
            </w:r>
          </w:p>
          <w:p w:rsidR="004928A3" w:rsidRPr="000A5368" w:rsidRDefault="004928A3" w:rsidP="00E05AB6">
            <w:pPr>
              <w:jc w:val="both"/>
              <w:rPr>
                <w:sz w:val="20"/>
              </w:rPr>
            </w:pPr>
            <w:r w:rsidRPr="000A5368">
              <w:rPr>
                <w:sz w:val="20"/>
              </w:rPr>
              <w:t>Supreme Court of Canada</w:t>
            </w: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Motion for extension of time in which to serve and file application for leave to appeal, and application for leave, filed by Ms. Rebello</w:t>
            </w:r>
          </w:p>
        </w:tc>
      </w:tr>
    </w:tbl>
    <w:p w:rsidR="004928A3" w:rsidRPr="000A5368" w:rsidRDefault="004928A3" w:rsidP="00E05AB6">
      <w:pPr>
        <w:jc w:val="both"/>
        <w:rPr>
          <w:sz w:val="20"/>
        </w:rPr>
      </w:pPr>
    </w:p>
    <w:p w:rsidR="004928A3" w:rsidRPr="000A5368" w:rsidRDefault="000A5368" w:rsidP="00E05AB6">
      <w:pPr>
        <w:jc w:val="both"/>
        <w:rPr>
          <w:sz w:val="20"/>
        </w:rPr>
      </w:pPr>
      <w:r w:rsidRPr="000A5368">
        <w:rPr>
          <w:sz w:val="20"/>
        </w:rPr>
        <w:pict>
          <v:rect id="_x0000_i1029" style="width:2in;height:1pt" o:hrpct="0" o:hralign="center" o:hrstd="t" o:hrnoshade="t" o:hr="t" fillcolor="black [3213]" stroked="f"/>
        </w:pict>
      </w:r>
    </w:p>
    <w:p w:rsidR="004928A3" w:rsidRPr="000A5368" w:rsidRDefault="004928A3"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lang w:val="fr-CA"/>
              </w:rPr>
            </w:pPr>
            <w:r w:rsidRPr="000A5368">
              <w:rPr>
                <w:rStyle w:val="SCCFileNumberChar"/>
                <w:sz w:val="20"/>
                <w:szCs w:val="20"/>
                <w:lang w:val="fr-CA"/>
              </w:rPr>
              <w:lastRenderedPageBreak/>
              <w:t>40644</w:t>
            </w:r>
          </w:p>
        </w:tc>
        <w:tc>
          <w:tcPr>
            <w:tcW w:w="4457" w:type="pct"/>
            <w:gridSpan w:val="3"/>
          </w:tcPr>
          <w:p w:rsidR="004928A3" w:rsidRPr="000A5368" w:rsidRDefault="004928A3" w:rsidP="00E05AB6">
            <w:pPr>
              <w:pStyle w:val="SCCLsocParty"/>
              <w:jc w:val="both"/>
              <w:rPr>
                <w:b/>
                <w:sz w:val="20"/>
                <w:szCs w:val="20"/>
              </w:rPr>
            </w:pPr>
            <w:r w:rsidRPr="000A5368">
              <w:rPr>
                <w:b/>
                <w:sz w:val="20"/>
                <w:szCs w:val="20"/>
                <w:lang w:val="en-US"/>
              </w:rPr>
              <w:t xml:space="preserve">Tanya Rebello c. Del Property Management, Laney Choi, Toronto Standard  Condominium Corporation No. 2151, Paragon Security, Paragon  Security Guard (Sam Reza), Paragon Security Guard (Ronald Crabb), Tony Kamel, Nagib Hanna Kamel, Stephen Chow, Century 21  Atria Realty Inc. </w:t>
            </w:r>
            <w:r w:rsidRPr="000A5368">
              <w:rPr>
                <w:b/>
                <w:sz w:val="20"/>
                <w:szCs w:val="20"/>
              </w:rPr>
              <w:t>Brokerage, et Tridel Group of Companies</w:t>
            </w:r>
          </w:p>
          <w:p w:rsidR="004928A3" w:rsidRPr="000A5368" w:rsidRDefault="004928A3" w:rsidP="00E05AB6">
            <w:pPr>
              <w:jc w:val="both"/>
              <w:rPr>
                <w:sz w:val="20"/>
                <w:lang w:val="fr-CA"/>
              </w:rPr>
            </w:pPr>
            <w:r w:rsidRPr="000A5368">
              <w:rPr>
                <w:sz w:val="20"/>
                <w:lang w:val="fr-CA"/>
              </w:rPr>
              <w:t>(Ont.) (Civile) (Sur autorisation)</w:t>
            </w: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 xml:space="preserve">Charte des droits et libertés — Justice fondamentale — La demanderesse a intenté une action contre les intimés dans laquelle elle allègue le harcèlement et l’atteinte à la vie privée — La demanderesse s’est vu ordonner de verser un cautionnement pour les dépens des intimés, et de verser les dépens relativement à la demande de cautionnement pour dépens présentée par les intimés — Les tribunaux d’instance inférieure ont rejeté les appels et ont annulé toute tentative d’appel subséquent pour défaut de compétence — La législation canadienne peut-elle empêcher quelqu’un de chercher à obtenir une réparation pour violation des droits garantis par la </w:t>
            </w:r>
            <w:r w:rsidRPr="000A5368">
              <w:rPr>
                <w:i/>
                <w:sz w:val="20"/>
                <w:lang w:val="fr-CA"/>
              </w:rPr>
              <w:t>Charte </w:t>
            </w:r>
            <w:r w:rsidRPr="000A5368">
              <w:rPr>
                <w:sz w:val="20"/>
                <w:lang w:val="fr-CA"/>
              </w:rPr>
              <w:t xml:space="preserve">? — La législation canadienne peut-elle empêcher quelqu’un de chercher à obtenir l’accès à la justice, le droit d’être entendu et le droit à l’instruction de son affaire ? — </w:t>
            </w:r>
            <w:r w:rsidRPr="000A5368">
              <w:rPr>
                <w:i/>
                <w:sz w:val="20"/>
                <w:lang w:val="fr-CA"/>
              </w:rPr>
              <w:t>Charte canadienne des droits et libertés</w:t>
            </w:r>
            <w:r w:rsidRPr="000A5368">
              <w:rPr>
                <w:sz w:val="20"/>
                <w:lang w:val="fr-CA"/>
              </w:rPr>
              <w:t>, art. 7 et 15 —</w:t>
            </w:r>
            <w:r w:rsidRPr="000A5368">
              <w:rPr>
                <w:i/>
                <w:sz w:val="20"/>
                <w:lang w:val="fr-CA"/>
              </w:rPr>
              <w:t xml:space="preserve"> Loi sur les tribunaux judiciaires</w:t>
            </w:r>
            <w:r w:rsidRPr="000A5368">
              <w:rPr>
                <w:sz w:val="20"/>
                <w:lang w:val="fr-CA"/>
              </w:rPr>
              <w:t xml:space="preserve">, L.R.O. 1990, c. C.43, art. 6, 17, 19 — </w:t>
            </w:r>
            <w:r w:rsidRPr="000A5368">
              <w:rPr>
                <w:i/>
                <w:sz w:val="20"/>
                <w:lang w:val="fr-CA"/>
              </w:rPr>
              <w:t>Règles de procédure civile</w:t>
            </w:r>
            <w:r w:rsidRPr="000A5368">
              <w:rPr>
                <w:sz w:val="20"/>
                <w:lang w:val="fr-CA"/>
              </w:rPr>
              <w:t>, R.R.O., Règl. 194, art. 2.1.01, 56.</w:t>
            </w:r>
          </w:p>
        </w:tc>
      </w:tr>
      <w:tr w:rsidR="004928A3" w:rsidRPr="000A5368" w:rsidTr="004928A3">
        <w:tc>
          <w:tcPr>
            <w:tcW w:w="5000" w:type="pct"/>
            <w:gridSpan w:val="4"/>
          </w:tcPr>
          <w:p w:rsidR="004928A3" w:rsidRPr="000A5368" w:rsidRDefault="004928A3" w:rsidP="00E05AB6">
            <w:pPr>
              <w:jc w:val="both"/>
              <w:rPr>
                <w:sz w:val="20"/>
                <w:lang w:val="fr-CA"/>
              </w:rPr>
            </w:pP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 xml:space="preserve">La demanderesse a intenté, contre les intimés, une action découlant d’événements qui ont eu lieu au cours de la location par cette dernière d’un logement dans une unité condominiale à Toronto. Une juge de la Cour supérieure a refusé de rejeter la demande comme étant frivole à première vue, aux termes de l’art. 2.1.01 des </w:t>
            </w:r>
            <w:r w:rsidRPr="000A5368">
              <w:rPr>
                <w:i/>
                <w:sz w:val="20"/>
                <w:lang w:val="fr-CA"/>
              </w:rPr>
              <w:t>Règles de procédure civile</w:t>
            </w:r>
            <w:r w:rsidRPr="000A5368">
              <w:rPr>
                <w:sz w:val="20"/>
                <w:lang w:val="fr-CA"/>
              </w:rPr>
              <w:t>. Les intimés ont ensuite présenté une motion en vue d’obtenir une ordonnance de cautionnement pour les dépens en vertu de l’al. 56.01e), au motif</w:t>
            </w:r>
            <w:r w:rsidRPr="000A5368">
              <w:rPr>
                <w:color w:val="000000"/>
                <w:sz w:val="20"/>
                <w:lang w:val="fr-CA"/>
              </w:rPr>
              <w:t xml:space="preserve"> </w:t>
            </w:r>
            <w:r w:rsidRPr="000A5368">
              <w:rPr>
                <w:sz w:val="20"/>
                <w:lang w:val="fr-CA"/>
              </w:rPr>
              <w:t>qu’il existait de bonnes raisons de croire que l’action était frivole et vexatoire, et que la demanderesse n’avait pas suffisamment de ressources pour payer toute éventuelle ordonnance relative aux dépens.</w:t>
            </w:r>
          </w:p>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Une protonotaire de la Cour supérieure a ordonné à la demanderesse de verser un certain montant en guise de cautionnement pour les dépens des intimés, et lui a interdit de prendre toute démarche subséquente dans le cadre de l’action jusqu’à ce que ce montant pour dépens soit déposé; dans une deuxième décision, la demanderesse s’est en outre vu ordonner de verser les dépens liés à la motion en soi des intimés en vue d’obtenir une ordonnance de cautionnement pour les dépens. Un juge de la Cour supérieure a rejeté les appels interjetés par la demanderesse à l’égard des deux décisions, et a adjugé des dépens aux intimés sur une base d’indemnité substantielle. Une formation unanime de la Cour d’appel a accueilli la motion des intimés en vue d’annuler l’avis d’appel déposé par la demanderesse contre la décision du juge siégeant seul et a aussi annulé l’appel et rejeté la demande incidente (en autorisation d’appel de deux autres ordonnances relatives aux dépens) de la demanderesse, avec dépens d'indemnisation partielle.</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27 avril 2020</w:t>
            </w:r>
          </w:p>
          <w:p w:rsidR="004928A3" w:rsidRPr="000A5368" w:rsidRDefault="004928A3" w:rsidP="00E05AB6">
            <w:pPr>
              <w:jc w:val="both"/>
              <w:rPr>
                <w:sz w:val="20"/>
                <w:lang w:val="fr-CA"/>
              </w:rPr>
            </w:pPr>
            <w:r w:rsidRPr="000A5368">
              <w:rPr>
                <w:sz w:val="20"/>
                <w:lang w:val="fr-CA"/>
              </w:rPr>
              <w:t>Cour supérieure de justice de l’Ontario</w:t>
            </w:r>
          </w:p>
          <w:p w:rsidR="004928A3" w:rsidRPr="000A5368" w:rsidRDefault="004928A3" w:rsidP="00E05AB6">
            <w:pPr>
              <w:jc w:val="both"/>
              <w:rPr>
                <w:sz w:val="20"/>
                <w:lang w:val="fr-CA"/>
              </w:rPr>
            </w:pPr>
            <w:r w:rsidRPr="000A5368">
              <w:rPr>
                <w:sz w:val="20"/>
                <w:lang w:val="fr-CA"/>
              </w:rPr>
              <w:t>(protonotaire Sugunasiri)</w:t>
            </w:r>
          </w:p>
          <w:p w:rsidR="004928A3" w:rsidRPr="000A5368" w:rsidRDefault="004928A3" w:rsidP="00E05AB6">
            <w:pPr>
              <w:jc w:val="both"/>
              <w:rPr>
                <w:sz w:val="20"/>
                <w:lang w:val="fr-CA"/>
              </w:rPr>
            </w:pPr>
            <w:r w:rsidRPr="000A5368">
              <w:rPr>
                <w:sz w:val="20"/>
                <w:lang w:val="fr-CA"/>
              </w:rPr>
              <w:t>CV-18-607758</w:t>
            </w:r>
          </w:p>
          <w:p w:rsidR="004928A3" w:rsidRPr="000A5368" w:rsidRDefault="000A5368" w:rsidP="00E05AB6">
            <w:pPr>
              <w:jc w:val="both"/>
              <w:rPr>
                <w:sz w:val="20"/>
                <w:lang w:val="fr-CA"/>
              </w:rPr>
            </w:pPr>
            <w:hyperlink r:id="rId26" w:anchor="document" w:history="1">
              <w:r w:rsidR="004928A3" w:rsidRPr="000A5368">
                <w:rPr>
                  <w:rStyle w:val="Hyperlink"/>
                  <w:sz w:val="20"/>
                  <w:lang w:val="fr-CA"/>
                </w:rPr>
                <w:t>2020 ONSC 2303</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Madame Rebello se voit ordonner de déposer la somme de 23 713,93 $ en guise de cautionnement pour les dépens des intimés, et se voit interdire de prendre toute démarche subséquente dans le cadre de l’action, sauf celle d’interjeter appel de la présente ordonnance.</w:t>
            </w: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4 juin 2020</w:t>
            </w:r>
          </w:p>
          <w:p w:rsidR="004928A3" w:rsidRPr="000A5368" w:rsidRDefault="004928A3" w:rsidP="00E05AB6">
            <w:pPr>
              <w:jc w:val="both"/>
              <w:rPr>
                <w:sz w:val="20"/>
                <w:lang w:val="fr-CA"/>
              </w:rPr>
            </w:pPr>
            <w:r w:rsidRPr="000A5368">
              <w:rPr>
                <w:sz w:val="20"/>
                <w:lang w:val="fr-CA"/>
              </w:rPr>
              <w:t>Cour supérieure de justice de l’Ontario</w:t>
            </w:r>
          </w:p>
          <w:p w:rsidR="004928A3" w:rsidRPr="000A5368" w:rsidRDefault="004928A3" w:rsidP="00E05AB6">
            <w:pPr>
              <w:jc w:val="both"/>
              <w:rPr>
                <w:sz w:val="20"/>
                <w:lang w:val="fr-CA"/>
              </w:rPr>
            </w:pPr>
            <w:r w:rsidRPr="000A5368">
              <w:rPr>
                <w:sz w:val="20"/>
                <w:lang w:val="fr-CA"/>
              </w:rPr>
              <w:t>(protonotaire Sugunasiri)</w:t>
            </w:r>
          </w:p>
          <w:p w:rsidR="004928A3" w:rsidRPr="000A5368" w:rsidRDefault="004928A3" w:rsidP="00E05AB6">
            <w:pPr>
              <w:jc w:val="both"/>
              <w:rPr>
                <w:sz w:val="20"/>
                <w:lang w:val="fr-CA"/>
              </w:rPr>
            </w:pPr>
            <w:r w:rsidRPr="000A5368">
              <w:rPr>
                <w:sz w:val="20"/>
                <w:lang w:val="fr-CA"/>
              </w:rPr>
              <w:t>CV-18-607758</w:t>
            </w:r>
          </w:p>
          <w:p w:rsidR="004928A3" w:rsidRPr="000A5368" w:rsidRDefault="000A5368" w:rsidP="00E05AB6">
            <w:pPr>
              <w:jc w:val="both"/>
              <w:rPr>
                <w:sz w:val="20"/>
                <w:lang w:val="fr-CA"/>
              </w:rPr>
            </w:pPr>
            <w:hyperlink r:id="rId27" w:history="1">
              <w:r w:rsidR="004928A3" w:rsidRPr="000A5368">
                <w:rPr>
                  <w:rStyle w:val="Hyperlink"/>
                  <w:sz w:val="20"/>
                  <w:lang w:val="fr-CA"/>
                </w:rPr>
                <w:t>2020 ONSC 3520</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 xml:space="preserve">Madame Rebello se voit ordonner de verser les dépens des intimés s’élevant à 12 047,71 $, dans le cadre de leur motion en vue d’obtenir une ordonnance de cautionnement pour les dépens. </w:t>
            </w: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29 novembre 2021</w:t>
            </w:r>
          </w:p>
          <w:p w:rsidR="004928A3" w:rsidRPr="000A5368" w:rsidRDefault="004928A3" w:rsidP="00E05AB6">
            <w:pPr>
              <w:jc w:val="both"/>
              <w:rPr>
                <w:sz w:val="20"/>
                <w:lang w:val="fr-CA"/>
              </w:rPr>
            </w:pPr>
            <w:r w:rsidRPr="000A5368">
              <w:rPr>
                <w:sz w:val="20"/>
                <w:lang w:val="fr-CA"/>
              </w:rPr>
              <w:t>(motifs de jugement rendus le 8 décembre 2021)</w:t>
            </w:r>
          </w:p>
          <w:p w:rsidR="004928A3" w:rsidRPr="000A5368" w:rsidRDefault="004928A3" w:rsidP="00E05AB6">
            <w:pPr>
              <w:jc w:val="both"/>
              <w:rPr>
                <w:sz w:val="20"/>
                <w:lang w:val="fr-CA"/>
              </w:rPr>
            </w:pPr>
            <w:r w:rsidRPr="000A5368">
              <w:rPr>
                <w:sz w:val="20"/>
                <w:lang w:val="fr-CA"/>
              </w:rPr>
              <w:t>Cour supérieure de justice de l’Ontario</w:t>
            </w:r>
          </w:p>
          <w:p w:rsidR="004928A3" w:rsidRPr="000A5368" w:rsidRDefault="004928A3" w:rsidP="00E05AB6">
            <w:pPr>
              <w:jc w:val="both"/>
              <w:rPr>
                <w:sz w:val="20"/>
                <w:lang w:val="fr-CA"/>
              </w:rPr>
            </w:pPr>
            <w:r w:rsidRPr="000A5368">
              <w:rPr>
                <w:sz w:val="20"/>
                <w:lang w:val="fr-CA"/>
              </w:rPr>
              <w:t>(juge Dunphy)</w:t>
            </w:r>
          </w:p>
          <w:p w:rsidR="004928A3" w:rsidRPr="000A5368" w:rsidRDefault="004928A3" w:rsidP="00E05AB6">
            <w:pPr>
              <w:jc w:val="both"/>
              <w:rPr>
                <w:sz w:val="20"/>
                <w:lang w:val="fr-CA"/>
              </w:rPr>
            </w:pPr>
            <w:r w:rsidRPr="000A5368">
              <w:rPr>
                <w:sz w:val="20"/>
                <w:lang w:val="fr-CA"/>
              </w:rPr>
              <w:t>CV-18-00607758-0000</w:t>
            </w:r>
          </w:p>
          <w:p w:rsidR="004928A3" w:rsidRPr="000A5368" w:rsidRDefault="000A5368" w:rsidP="00E05AB6">
            <w:pPr>
              <w:jc w:val="both"/>
              <w:rPr>
                <w:sz w:val="20"/>
                <w:lang w:val="fr-CA"/>
              </w:rPr>
            </w:pPr>
            <w:hyperlink r:id="rId28" w:history="1">
              <w:r w:rsidR="004928A3" w:rsidRPr="000A5368">
                <w:rPr>
                  <w:rStyle w:val="Hyperlink"/>
                  <w:sz w:val="20"/>
                  <w:lang w:val="fr-CA"/>
                </w:rPr>
                <w:t>2021 ONSC 7888</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Les appels interjetés à l’encontre des ordonnances rendues le 27 avril 2020 et le 4 juin 2020 sont rejetés.</w:t>
            </w: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21 octobre 2022</w:t>
            </w:r>
          </w:p>
          <w:p w:rsidR="004928A3" w:rsidRPr="000A5368" w:rsidRDefault="004928A3" w:rsidP="00E05AB6">
            <w:pPr>
              <w:jc w:val="both"/>
              <w:rPr>
                <w:sz w:val="20"/>
                <w:lang w:val="fr-CA"/>
              </w:rPr>
            </w:pPr>
            <w:r w:rsidRPr="000A5368">
              <w:rPr>
                <w:sz w:val="20"/>
                <w:lang w:val="fr-CA"/>
              </w:rPr>
              <w:t>Cour d’appel de l’Ontario</w:t>
            </w:r>
          </w:p>
          <w:p w:rsidR="004928A3" w:rsidRPr="000A5368" w:rsidRDefault="004928A3" w:rsidP="00E05AB6">
            <w:pPr>
              <w:jc w:val="both"/>
              <w:rPr>
                <w:sz w:val="20"/>
                <w:lang w:val="fr-CA"/>
              </w:rPr>
            </w:pPr>
            <w:r w:rsidRPr="000A5368">
              <w:rPr>
                <w:sz w:val="20"/>
                <w:lang w:val="fr-CA"/>
              </w:rPr>
              <w:t>(juges Feldman, Hoy et Favreau)</w:t>
            </w:r>
          </w:p>
          <w:p w:rsidR="004928A3" w:rsidRPr="000A5368" w:rsidRDefault="000A5368" w:rsidP="00E05AB6">
            <w:pPr>
              <w:jc w:val="both"/>
              <w:rPr>
                <w:sz w:val="20"/>
                <w:lang w:val="fr-CA"/>
              </w:rPr>
            </w:pPr>
            <w:hyperlink r:id="rId29" w:history="1">
              <w:r w:rsidR="004928A3" w:rsidRPr="000A5368">
                <w:rPr>
                  <w:rStyle w:val="Hyperlink"/>
                  <w:sz w:val="20"/>
                  <w:lang w:val="fr-CA"/>
                </w:rPr>
                <w:t>2022 ONCA 720</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 xml:space="preserve">La motion des intimés en annulation de l’appel de Mme Rebello est accueillie; </w:t>
            </w:r>
          </w:p>
          <w:p w:rsidR="004928A3" w:rsidRPr="000A5368" w:rsidRDefault="004928A3" w:rsidP="00E05AB6">
            <w:pPr>
              <w:jc w:val="both"/>
              <w:rPr>
                <w:sz w:val="20"/>
                <w:lang w:val="fr-CA"/>
              </w:rPr>
            </w:pPr>
            <w:r w:rsidRPr="000A5368">
              <w:rPr>
                <w:sz w:val="20"/>
                <w:lang w:val="fr-CA"/>
              </w:rPr>
              <w:t>la demande incidente de Mme Rebello en autorisation d’appel des ordonnances relatives aux dépens est rejetée.</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8 mars 2023</w:t>
            </w:r>
          </w:p>
          <w:p w:rsidR="004928A3" w:rsidRPr="000A5368" w:rsidRDefault="004928A3" w:rsidP="00E05AB6">
            <w:pPr>
              <w:jc w:val="both"/>
              <w:rPr>
                <w:sz w:val="20"/>
                <w:lang w:val="fr-CA"/>
              </w:rPr>
            </w:pPr>
            <w:r w:rsidRPr="000A5368">
              <w:rPr>
                <w:sz w:val="20"/>
                <w:lang w:val="fr-CA"/>
              </w:rPr>
              <w:t>Cour suprême du Canada</w:t>
            </w: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requête en prorogation du délai</w:t>
            </w:r>
            <w:r w:rsidRPr="000A5368">
              <w:rPr>
                <w:color w:val="000000"/>
                <w:sz w:val="20"/>
                <w:lang w:val="fr-CA"/>
              </w:rPr>
              <w:t xml:space="preserve"> d</w:t>
            </w:r>
            <w:r w:rsidRPr="000A5368">
              <w:rPr>
                <w:sz w:val="20"/>
                <w:lang w:val="fr-CA"/>
              </w:rPr>
              <w:t>e signification et de dépôt de la demande d’autorisation d’appel et la demande d’autorisation d’appel sont présentées par Mme Rebello.</w:t>
            </w:r>
          </w:p>
        </w:tc>
      </w:tr>
    </w:tbl>
    <w:p w:rsidR="004928A3" w:rsidRPr="000A5368" w:rsidRDefault="004928A3" w:rsidP="00E05AB6">
      <w:pPr>
        <w:jc w:val="both"/>
        <w:rPr>
          <w:sz w:val="20"/>
          <w:lang w:val="fr-CA"/>
        </w:rPr>
      </w:pPr>
    </w:p>
    <w:p w:rsidR="005D6A19" w:rsidRPr="000A5368" w:rsidRDefault="000A5368" w:rsidP="00E05AB6">
      <w:pPr>
        <w:widowControl w:val="0"/>
        <w:jc w:val="both"/>
        <w:rPr>
          <w:sz w:val="20"/>
        </w:rPr>
      </w:pPr>
      <w:r w:rsidRPr="000A5368">
        <w:rPr>
          <w:sz w:val="20"/>
        </w:rPr>
        <w:pict>
          <v:rect id="_x0000_i1030" style="width:2in;height:1pt" o:hrpct="0" o:hralign="center" o:hrstd="t" o:hrnoshade="t" o:hr="t" fillcolor="black [3213]" stroked="f"/>
        </w:pict>
      </w:r>
    </w:p>
    <w:p w:rsidR="005D6A19" w:rsidRPr="000A5368" w:rsidRDefault="005D6A19"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lang w:val="en-CA"/>
              </w:rPr>
            </w:pPr>
            <w:r w:rsidRPr="000A5368">
              <w:rPr>
                <w:rStyle w:val="SCCFileNumberChar"/>
                <w:sz w:val="20"/>
                <w:szCs w:val="20"/>
              </w:rPr>
              <w:t>40625</w:t>
            </w:r>
          </w:p>
        </w:tc>
        <w:tc>
          <w:tcPr>
            <w:tcW w:w="4457" w:type="pct"/>
            <w:gridSpan w:val="3"/>
          </w:tcPr>
          <w:p w:rsidR="004928A3" w:rsidRPr="000A5368" w:rsidRDefault="004928A3" w:rsidP="00E05AB6">
            <w:pPr>
              <w:pStyle w:val="SCCLsocParty"/>
              <w:jc w:val="both"/>
              <w:rPr>
                <w:b/>
                <w:sz w:val="20"/>
                <w:szCs w:val="20"/>
                <w:lang w:val="en-CA"/>
              </w:rPr>
            </w:pPr>
            <w:r w:rsidRPr="000A5368">
              <w:rPr>
                <w:b/>
                <w:sz w:val="20"/>
                <w:szCs w:val="20"/>
                <w:lang w:val="en-CA"/>
              </w:rPr>
              <w:t>Agence du revenu du Québec v. FTI Consulting Canada Inc., Bloom Lake General Partner Limited, Quinto Mining Corporation, 8568391 Canada Limited, Cliffs Québec Iron Mining ULC, Wabush Iron Co. Limited, Wabush Resources Inc., Bloom Lake Iron Ore Mine Limited Partnership, Bloom Lake Railway Company Limited, Wabush Mines, Arnaud Railway Company, Wabush Lake Railway Company Limited, Quebec North Shore and Labrador Railway Company Inc. and Iron Ore Company of Canada</w:t>
            </w:r>
          </w:p>
          <w:p w:rsidR="004928A3" w:rsidRPr="000A5368" w:rsidRDefault="004928A3" w:rsidP="00E05AB6">
            <w:pPr>
              <w:pStyle w:val="SCCLsocOtherPartySeparator"/>
              <w:rPr>
                <w:rFonts w:cs="Times New Roman"/>
                <w:sz w:val="20"/>
                <w:szCs w:val="20"/>
                <w:lang w:val="en-CA"/>
              </w:rPr>
            </w:pPr>
            <w:r w:rsidRPr="000A5368">
              <w:rPr>
                <w:rFonts w:cs="Times New Roman"/>
                <w:sz w:val="20"/>
                <w:szCs w:val="20"/>
                <w:lang w:val="en-CA"/>
              </w:rPr>
              <w:t>- and -</w:t>
            </w:r>
          </w:p>
          <w:p w:rsidR="004928A3" w:rsidRPr="000A5368" w:rsidRDefault="004928A3" w:rsidP="00E05AB6">
            <w:pPr>
              <w:pStyle w:val="SCCLsocParty"/>
              <w:jc w:val="both"/>
              <w:rPr>
                <w:b/>
                <w:sz w:val="20"/>
                <w:szCs w:val="20"/>
                <w:lang w:val="en-CA"/>
              </w:rPr>
            </w:pPr>
            <w:r w:rsidRPr="000A5368">
              <w:rPr>
                <w:b/>
                <w:sz w:val="20"/>
                <w:szCs w:val="20"/>
                <w:lang w:val="en-CA"/>
              </w:rPr>
              <w:t>Non-unionized Salaried Employees</w:t>
            </w:r>
          </w:p>
          <w:p w:rsidR="004928A3" w:rsidRPr="000A5368" w:rsidRDefault="004928A3" w:rsidP="00E05AB6">
            <w:pPr>
              <w:jc w:val="both"/>
              <w:rPr>
                <w:sz w:val="20"/>
                <w:lang w:val="en-CA"/>
              </w:rPr>
            </w:pPr>
            <w:r w:rsidRPr="000A5368">
              <w:rPr>
                <w:sz w:val="20"/>
                <w:lang w:val="en-CA"/>
              </w:rPr>
              <w:t>(Que.) (Civil) (By Leave)</w:t>
            </w:r>
          </w:p>
        </w:tc>
      </w:tr>
      <w:tr w:rsidR="004928A3" w:rsidRPr="000A5368" w:rsidTr="004928A3">
        <w:tc>
          <w:tcPr>
            <w:tcW w:w="5000" w:type="pct"/>
            <w:gridSpan w:val="4"/>
          </w:tcPr>
          <w:p w:rsidR="004928A3" w:rsidRPr="000A5368" w:rsidRDefault="004928A3" w:rsidP="00E05AB6">
            <w:pPr>
              <w:jc w:val="both"/>
              <w:rPr>
                <w:sz w:val="20"/>
                <w:lang w:val="en-CA"/>
              </w:rPr>
            </w:pPr>
            <w:r w:rsidRPr="000A5368">
              <w:rPr>
                <w:sz w:val="20"/>
                <w:lang w:val="en-CA"/>
              </w:rPr>
              <w:t xml:space="preserve">Bankruptcy and insolvency </w:t>
            </w:r>
            <w:r w:rsidRPr="000A5368">
              <w:rPr>
                <w:iCs/>
                <w:color w:val="000000"/>
                <w:sz w:val="20"/>
                <w:lang w:val="en-CA"/>
              </w:rPr>
              <w:t>— Arrangement — Exercise of discretion — Compensation — Pre-filing debt to tax authority — Post-filing claim against same authority — Possibility of effecting compensation between two forms of debt under federal companies creditors’ arrangement scheme</w:t>
            </w:r>
            <w:r w:rsidRPr="000A5368">
              <w:rPr>
                <w:color w:val="000000"/>
                <w:sz w:val="20"/>
                <w:lang w:val="en-CA"/>
              </w:rPr>
              <w:t xml:space="preserve"> </w:t>
            </w:r>
            <w:r w:rsidRPr="000A5368">
              <w:rPr>
                <w:iCs/>
                <w:color w:val="000000"/>
                <w:sz w:val="20"/>
                <w:lang w:val="en-CA"/>
              </w:rPr>
              <w:t>— In liquidation arrangement situation, where distribution of proceeds of assets is all that remains in issue, whether supervising judge, in exercising discretion to authorize or not to authorize pre</w:t>
            </w:r>
            <w:r w:rsidRPr="000A5368">
              <w:rPr>
                <w:iCs/>
                <w:color w:val="000000"/>
                <w:sz w:val="20"/>
                <w:lang w:val="en-CA"/>
              </w:rPr>
              <w:noBreakHyphen/>
              <w:t>post compensation, can confine himself to considering only two of remedial objectives of legislation, namely “maximizing recovery” and “providing for the equitable distribution of assets among creditors”</w:t>
            </w:r>
            <w:r w:rsidRPr="000A5368">
              <w:rPr>
                <w:color w:val="000000"/>
                <w:sz w:val="20"/>
                <w:lang w:val="en-CA"/>
              </w:rPr>
              <w:t xml:space="preserve"> </w:t>
            </w:r>
            <w:r w:rsidRPr="000A5368">
              <w:rPr>
                <w:iCs/>
                <w:color w:val="000000"/>
                <w:sz w:val="20"/>
                <w:lang w:val="en-CA"/>
              </w:rPr>
              <w:t xml:space="preserve">— </w:t>
            </w:r>
            <w:r w:rsidRPr="000A5368">
              <w:rPr>
                <w:i/>
                <w:iCs/>
                <w:color w:val="000000"/>
                <w:sz w:val="20"/>
                <w:lang w:val="en-CA"/>
              </w:rPr>
              <w:t>Companies’ Creditors Arrangement Act</w:t>
            </w:r>
            <w:r w:rsidRPr="000A5368">
              <w:rPr>
                <w:sz w:val="20"/>
                <w:lang w:val="en-CA"/>
              </w:rPr>
              <w:t>, R.S.C. 1985, c. C-36, s. 11.</w:t>
            </w:r>
          </w:p>
          <w:p w:rsidR="004928A3" w:rsidRPr="000A5368" w:rsidRDefault="004928A3" w:rsidP="00E05AB6">
            <w:pPr>
              <w:jc w:val="both"/>
              <w:rPr>
                <w:sz w:val="20"/>
                <w:lang w:val="en-CA"/>
              </w:rPr>
            </w:pPr>
          </w:p>
        </w:tc>
      </w:tr>
      <w:tr w:rsidR="004928A3" w:rsidRPr="000A5368" w:rsidTr="004928A3">
        <w:tc>
          <w:tcPr>
            <w:tcW w:w="5000" w:type="pct"/>
            <w:gridSpan w:val="4"/>
          </w:tcPr>
          <w:p w:rsidR="004928A3" w:rsidRPr="000A5368" w:rsidRDefault="004928A3" w:rsidP="00E05AB6">
            <w:pPr>
              <w:jc w:val="both"/>
              <w:rPr>
                <w:sz w:val="20"/>
                <w:lang w:val="en-CA"/>
              </w:rPr>
            </w:pPr>
            <w:r w:rsidRPr="000A5368">
              <w:rPr>
                <w:sz w:val="20"/>
                <w:lang w:val="en-CA"/>
              </w:rPr>
              <w:t xml:space="preserve">The respondent FTI Consulting Canada Inc., a monitor within the meaning of the </w:t>
            </w:r>
            <w:r w:rsidRPr="000A5368">
              <w:rPr>
                <w:i/>
                <w:iCs/>
                <w:color w:val="000000"/>
                <w:sz w:val="20"/>
                <w:lang w:val="en-CA"/>
              </w:rPr>
              <w:t>Companies’ Creditors Arrangement Act</w:t>
            </w:r>
            <w:r w:rsidRPr="000A5368">
              <w:rPr>
                <w:sz w:val="20"/>
                <w:lang w:val="en-CA"/>
              </w:rPr>
              <w:t>, R.S.C. 1985, c. C</w:t>
            </w:r>
            <w:r w:rsidRPr="000A5368">
              <w:rPr>
                <w:sz w:val="20"/>
                <w:lang w:val="en-CA"/>
              </w:rPr>
              <w:noBreakHyphen/>
              <w:t>36, filed a motion for directions with the Superior Court in which it sought, among other things, a declaration that the applicant, the Agence du revenu du Québec (“ARQ”), could not have compensation effected between a pre-filing debt and a post-filing claim in the context of the arrangement regarding Bloom Lake. The judge supervising the arrangement accepted the monitor’s arguments and did not authorize compensation in the circumstances. He found that it is well established that no compensation can be effected between a pre-filing debt and a post-filing claim under the applicable tax legislation, which, moreover, is clear and unambiguous. The Court of Appeal found no error in the supervising judge’s conclusions and dismissed the ARQ’s appeal.</w:t>
            </w:r>
          </w:p>
        </w:tc>
      </w:tr>
      <w:tr w:rsidR="004928A3" w:rsidRPr="000A5368" w:rsidTr="004928A3">
        <w:tc>
          <w:tcPr>
            <w:tcW w:w="5000" w:type="pct"/>
            <w:gridSpan w:val="4"/>
          </w:tcPr>
          <w:p w:rsidR="004928A3" w:rsidRPr="000A5368" w:rsidRDefault="004928A3" w:rsidP="00E05AB6">
            <w:pPr>
              <w:jc w:val="both"/>
              <w:rPr>
                <w:sz w:val="20"/>
                <w:lang w:val="en-CA"/>
              </w:rPr>
            </w:pPr>
          </w:p>
        </w:tc>
      </w:tr>
      <w:tr w:rsidR="004928A3" w:rsidRPr="000A5368" w:rsidTr="004928A3">
        <w:tc>
          <w:tcPr>
            <w:tcW w:w="2427" w:type="pct"/>
            <w:gridSpan w:val="2"/>
          </w:tcPr>
          <w:p w:rsidR="004928A3" w:rsidRPr="000A5368" w:rsidRDefault="004928A3" w:rsidP="00E05AB6">
            <w:pPr>
              <w:jc w:val="both"/>
              <w:rPr>
                <w:sz w:val="20"/>
                <w:lang w:val="en-CA"/>
              </w:rPr>
            </w:pPr>
            <w:r w:rsidRPr="000A5368">
              <w:rPr>
                <w:sz w:val="20"/>
                <w:lang w:val="en-CA"/>
              </w:rPr>
              <w:t>November 8, 2021</w:t>
            </w:r>
          </w:p>
          <w:p w:rsidR="004928A3" w:rsidRPr="000A5368" w:rsidRDefault="004928A3" w:rsidP="00E05AB6">
            <w:pPr>
              <w:jc w:val="both"/>
              <w:rPr>
                <w:sz w:val="20"/>
                <w:lang w:val="en-CA"/>
              </w:rPr>
            </w:pPr>
            <w:r w:rsidRPr="000A5368">
              <w:rPr>
                <w:sz w:val="20"/>
                <w:lang w:val="en-CA"/>
              </w:rPr>
              <w:t>Quebec Superior Court</w:t>
            </w:r>
          </w:p>
          <w:p w:rsidR="004928A3" w:rsidRPr="000A5368" w:rsidRDefault="004928A3" w:rsidP="00E05AB6">
            <w:pPr>
              <w:jc w:val="both"/>
              <w:rPr>
                <w:sz w:val="20"/>
                <w:lang w:val="en-CA"/>
              </w:rPr>
            </w:pPr>
            <w:r w:rsidRPr="000A5368">
              <w:rPr>
                <w:sz w:val="20"/>
                <w:lang w:val="en-CA"/>
              </w:rPr>
              <w:t>(Pinsonnault J.)</w:t>
            </w:r>
          </w:p>
          <w:p w:rsidR="004928A3" w:rsidRPr="000A5368" w:rsidRDefault="004928A3" w:rsidP="00E05AB6">
            <w:pPr>
              <w:jc w:val="both"/>
              <w:rPr>
                <w:sz w:val="20"/>
                <w:lang w:val="en-CA"/>
              </w:rPr>
            </w:pPr>
            <w:r w:rsidRPr="000A5368">
              <w:rPr>
                <w:sz w:val="20"/>
                <w:lang w:val="en-CA"/>
              </w:rPr>
              <w:t xml:space="preserve">No. 500-11-048114-157 </w:t>
            </w:r>
          </w:p>
          <w:p w:rsidR="004928A3" w:rsidRPr="000A5368" w:rsidRDefault="000A5368" w:rsidP="00E05AB6">
            <w:pPr>
              <w:jc w:val="both"/>
              <w:rPr>
                <w:sz w:val="20"/>
                <w:lang w:val="en-CA"/>
              </w:rPr>
            </w:pPr>
            <w:hyperlink r:id="rId30" w:history="1">
              <w:r w:rsidR="004928A3" w:rsidRPr="000A5368">
                <w:rPr>
                  <w:rStyle w:val="Hyperlink"/>
                  <w:sz w:val="20"/>
                  <w:lang w:val="en-CA"/>
                </w:rPr>
                <w:t>2021 QCCS 4642</w:t>
              </w:r>
            </w:hyperlink>
          </w:p>
        </w:tc>
        <w:tc>
          <w:tcPr>
            <w:tcW w:w="243" w:type="pct"/>
          </w:tcPr>
          <w:p w:rsidR="004928A3" w:rsidRPr="000A5368" w:rsidRDefault="004928A3" w:rsidP="00E05AB6">
            <w:pPr>
              <w:jc w:val="both"/>
              <w:rPr>
                <w:sz w:val="20"/>
                <w:lang w:val="en-CA"/>
              </w:rPr>
            </w:pPr>
          </w:p>
        </w:tc>
        <w:tc>
          <w:tcPr>
            <w:tcW w:w="2330" w:type="pct"/>
          </w:tcPr>
          <w:p w:rsidR="004928A3" w:rsidRPr="000A5368" w:rsidRDefault="004928A3" w:rsidP="00E05AB6">
            <w:pPr>
              <w:jc w:val="both"/>
              <w:rPr>
                <w:sz w:val="20"/>
                <w:lang w:val="en-CA"/>
              </w:rPr>
            </w:pPr>
            <w:r w:rsidRPr="000A5368">
              <w:rPr>
                <w:sz w:val="20"/>
                <w:lang w:val="en-CA"/>
              </w:rPr>
              <w:t xml:space="preserve">Motion for directions granted; court declaring that Agence du revenu du Québec could not effect compensation between debt it owed to debtor company and debt owed to it by same company under </w:t>
            </w:r>
            <w:r w:rsidRPr="000A5368">
              <w:rPr>
                <w:i/>
                <w:iCs/>
                <w:color w:val="000000"/>
                <w:sz w:val="20"/>
                <w:lang w:val="en-CA"/>
              </w:rPr>
              <w:t>Companies’ Creditors Arrangement Act</w:t>
            </w:r>
            <w:r w:rsidRPr="000A5368">
              <w:rPr>
                <w:sz w:val="20"/>
                <w:lang w:val="en-CA"/>
              </w:rPr>
              <w:t>, R.S.C. 1985, c. C</w:t>
            </w:r>
            <w:r w:rsidRPr="000A5368">
              <w:rPr>
                <w:sz w:val="20"/>
                <w:lang w:val="en-CA"/>
              </w:rPr>
              <w:noBreakHyphen/>
              <w:t>36</w:t>
            </w:r>
          </w:p>
          <w:p w:rsidR="004928A3" w:rsidRPr="000A5368" w:rsidRDefault="004928A3" w:rsidP="00E05AB6">
            <w:pPr>
              <w:jc w:val="both"/>
              <w:rPr>
                <w:sz w:val="20"/>
                <w:lang w:val="en-CA"/>
              </w:rPr>
            </w:pPr>
          </w:p>
        </w:tc>
      </w:tr>
      <w:tr w:rsidR="004928A3" w:rsidRPr="000A5368" w:rsidTr="004928A3">
        <w:tc>
          <w:tcPr>
            <w:tcW w:w="2427" w:type="pct"/>
            <w:gridSpan w:val="2"/>
          </w:tcPr>
          <w:p w:rsidR="004928A3" w:rsidRPr="000A5368" w:rsidRDefault="004928A3" w:rsidP="00E05AB6">
            <w:pPr>
              <w:jc w:val="both"/>
              <w:rPr>
                <w:sz w:val="20"/>
                <w:lang w:val="en-CA"/>
              </w:rPr>
            </w:pPr>
            <w:r w:rsidRPr="000A5368">
              <w:rPr>
                <w:sz w:val="20"/>
                <w:lang w:val="en-CA"/>
              </w:rPr>
              <w:t>December 22, 2022</w:t>
            </w:r>
          </w:p>
          <w:p w:rsidR="004928A3" w:rsidRPr="000A5368" w:rsidRDefault="004928A3" w:rsidP="00E05AB6">
            <w:pPr>
              <w:jc w:val="both"/>
              <w:rPr>
                <w:sz w:val="20"/>
                <w:lang w:val="en-CA"/>
              </w:rPr>
            </w:pPr>
            <w:r w:rsidRPr="000A5368">
              <w:rPr>
                <w:sz w:val="20"/>
                <w:lang w:val="en-CA"/>
              </w:rPr>
              <w:t>Quebec Court of Appeal (Montréal)</w:t>
            </w:r>
          </w:p>
          <w:p w:rsidR="004928A3" w:rsidRPr="000A5368" w:rsidRDefault="004928A3" w:rsidP="00E05AB6">
            <w:pPr>
              <w:jc w:val="both"/>
              <w:rPr>
                <w:sz w:val="20"/>
                <w:lang w:val="en-CA"/>
              </w:rPr>
            </w:pPr>
            <w:r w:rsidRPr="000A5368">
              <w:rPr>
                <w:sz w:val="20"/>
                <w:lang w:val="en-CA"/>
              </w:rPr>
              <w:t>No. 500-09-029797-214</w:t>
            </w:r>
          </w:p>
          <w:p w:rsidR="004928A3" w:rsidRPr="000A5368" w:rsidRDefault="004928A3" w:rsidP="00E05AB6">
            <w:pPr>
              <w:jc w:val="both"/>
              <w:rPr>
                <w:sz w:val="20"/>
                <w:lang w:val="en-CA"/>
              </w:rPr>
            </w:pPr>
            <w:r w:rsidRPr="000A5368">
              <w:rPr>
                <w:sz w:val="20"/>
                <w:lang w:val="en-CA"/>
              </w:rPr>
              <w:t>(Mainville, Lavallée and Kalichman JJ.A.)</w:t>
            </w:r>
          </w:p>
          <w:p w:rsidR="004928A3" w:rsidRPr="000A5368" w:rsidRDefault="000A5368" w:rsidP="00E05AB6">
            <w:pPr>
              <w:jc w:val="both"/>
              <w:rPr>
                <w:sz w:val="20"/>
                <w:lang w:val="en-CA"/>
              </w:rPr>
            </w:pPr>
            <w:hyperlink r:id="rId31" w:history="1">
              <w:r w:rsidR="004928A3" w:rsidRPr="000A5368">
                <w:rPr>
                  <w:rStyle w:val="Hyperlink"/>
                  <w:sz w:val="20"/>
                  <w:lang w:val="en-CA"/>
                </w:rPr>
                <w:t>2022 QCCA 1740</w:t>
              </w:r>
            </w:hyperlink>
          </w:p>
          <w:p w:rsidR="004928A3" w:rsidRPr="000A5368" w:rsidRDefault="004928A3" w:rsidP="00E05AB6">
            <w:pPr>
              <w:jc w:val="both"/>
              <w:rPr>
                <w:sz w:val="20"/>
                <w:lang w:val="en-CA"/>
              </w:rPr>
            </w:pPr>
          </w:p>
        </w:tc>
        <w:tc>
          <w:tcPr>
            <w:tcW w:w="243" w:type="pct"/>
          </w:tcPr>
          <w:p w:rsidR="004928A3" w:rsidRPr="000A5368" w:rsidRDefault="004928A3" w:rsidP="00E05AB6">
            <w:pPr>
              <w:jc w:val="both"/>
              <w:rPr>
                <w:sz w:val="20"/>
                <w:lang w:val="en-CA"/>
              </w:rPr>
            </w:pPr>
          </w:p>
        </w:tc>
        <w:tc>
          <w:tcPr>
            <w:tcW w:w="2330" w:type="pct"/>
          </w:tcPr>
          <w:p w:rsidR="004928A3" w:rsidRPr="000A5368" w:rsidRDefault="004928A3" w:rsidP="00E05AB6">
            <w:pPr>
              <w:jc w:val="both"/>
              <w:rPr>
                <w:sz w:val="20"/>
                <w:lang w:val="en-CA"/>
              </w:rPr>
            </w:pPr>
            <w:r w:rsidRPr="000A5368">
              <w:rPr>
                <w:sz w:val="20"/>
                <w:lang w:val="en-CA"/>
              </w:rPr>
              <w:t>Appeal dismissed</w:t>
            </w:r>
          </w:p>
          <w:p w:rsidR="004928A3" w:rsidRPr="000A5368" w:rsidRDefault="004928A3" w:rsidP="00E05AB6">
            <w:pPr>
              <w:jc w:val="both"/>
              <w:rPr>
                <w:sz w:val="20"/>
                <w:lang w:val="en-CA"/>
              </w:rPr>
            </w:pPr>
          </w:p>
        </w:tc>
      </w:tr>
      <w:tr w:rsidR="004928A3" w:rsidRPr="000A5368" w:rsidTr="004928A3">
        <w:tc>
          <w:tcPr>
            <w:tcW w:w="2427" w:type="pct"/>
            <w:gridSpan w:val="2"/>
          </w:tcPr>
          <w:p w:rsidR="004928A3" w:rsidRPr="000A5368" w:rsidRDefault="004928A3" w:rsidP="00E05AB6">
            <w:pPr>
              <w:jc w:val="both"/>
              <w:rPr>
                <w:sz w:val="20"/>
                <w:lang w:val="en-CA"/>
              </w:rPr>
            </w:pPr>
            <w:r w:rsidRPr="000A5368">
              <w:rPr>
                <w:sz w:val="20"/>
                <w:lang w:val="en-CA"/>
              </w:rPr>
              <w:t>February 16, 2023</w:t>
            </w:r>
          </w:p>
          <w:p w:rsidR="004928A3" w:rsidRPr="000A5368" w:rsidRDefault="004928A3" w:rsidP="00E05AB6">
            <w:pPr>
              <w:jc w:val="both"/>
              <w:rPr>
                <w:sz w:val="20"/>
                <w:lang w:val="en-CA"/>
              </w:rPr>
            </w:pPr>
            <w:r w:rsidRPr="000A5368">
              <w:rPr>
                <w:sz w:val="20"/>
                <w:lang w:val="en-CA"/>
              </w:rPr>
              <w:t>Supreme Court of Canada</w:t>
            </w:r>
          </w:p>
        </w:tc>
        <w:tc>
          <w:tcPr>
            <w:tcW w:w="243" w:type="pct"/>
          </w:tcPr>
          <w:p w:rsidR="004928A3" w:rsidRPr="000A5368" w:rsidRDefault="004928A3" w:rsidP="00E05AB6">
            <w:pPr>
              <w:jc w:val="both"/>
              <w:rPr>
                <w:sz w:val="20"/>
                <w:lang w:val="en-CA"/>
              </w:rPr>
            </w:pPr>
          </w:p>
        </w:tc>
        <w:tc>
          <w:tcPr>
            <w:tcW w:w="2330" w:type="pct"/>
          </w:tcPr>
          <w:p w:rsidR="004928A3" w:rsidRPr="000A5368" w:rsidRDefault="004928A3" w:rsidP="00E05AB6">
            <w:pPr>
              <w:jc w:val="both"/>
              <w:rPr>
                <w:sz w:val="20"/>
                <w:lang w:val="en-CA"/>
              </w:rPr>
            </w:pPr>
            <w:r w:rsidRPr="000A5368">
              <w:rPr>
                <w:sz w:val="20"/>
                <w:lang w:val="en-CA"/>
              </w:rPr>
              <w:t>Application for leave to appeal filed</w:t>
            </w:r>
          </w:p>
          <w:p w:rsidR="004928A3" w:rsidRPr="000A5368" w:rsidRDefault="004928A3" w:rsidP="00E05AB6">
            <w:pPr>
              <w:jc w:val="both"/>
              <w:rPr>
                <w:sz w:val="20"/>
                <w:lang w:val="en-CA"/>
              </w:rPr>
            </w:pPr>
          </w:p>
        </w:tc>
      </w:tr>
    </w:tbl>
    <w:p w:rsidR="004928A3" w:rsidRPr="000A5368" w:rsidRDefault="004928A3" w:rsidP="00E05AB6">
      <w:pPr>
        <w:jc w:val="both"/>
        <w:rPr>
          <w:sz w:val="20"/>
          <w:lang w:val="en-CA"/>
        </w:rPr>
      </w:pPr>
    </w:p>
    <w:p w:rsidR="004928A3" w:rsidRPr="000A5368" w:rsidRDefault="000A5368" w:rsidP="00E05AB6">
      <w:pPr>
        <w:jc w:val="both"/>
        <w:rPr>
          <w:sz w:val="20"/>
          <w:lang w:val="en-CA"/>
        </w:rPr>
      </w:pPr>
      <w:r w:rsidRPr="000A5368">
        <w:rPr>
          <w:sz w:val="20"/>
        </w:rPr>
        <w:pict>
          <v:rect id="_x0000_i1031" style="width:2in;height:1pt" o:hrpct="0" o:hralign="center" o:hrstd="t" o:hrnoshade="t" o:hr="t" fillcolor="black [3213]" stroked="f"/>
        </w:pict>
      </w:r>
    </w:p>
    <w:p w:rsidR="004928A3" w:rsidRPr="000A5368" w:rsidRDefault="004928A3" w:rsidP="00E05AB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40625</w:t>
            </w:r>
          </w:p>
        </w:tc>
        <w:tc>
          <w:tcPr>
            <w:tcW w:w="4457" w:type="pct"/>
            <w:gridSpan w:val="3"/>
          </w:tcPr>
          <w:p w:rsidR="004928A3" w:rsidRPr="000A5368" w:rsidRDefault="004928A3" w:rsidP="00E05AB6">
            <w:pPr>
              <w:pStyle w:val="SCCLsocParty"/>
              <w:jc w:val="both"/>
              <w:rPr>
                <w:b/>
                <w:sz w:val="20"/>
                <w:szCs w:val="20"/>
              </w:rPr>
            </w:pPr>
            <w:r w:rsidRPr="000A5368">
              <w:rPr>
                <w:b/>
                <w:sz w:val="20"/>
                <w:szCs w:val="20"/>
              </w:rPr>
              <w:t>Agence du revenu du Québec c. FTI Conseil Canada, Commandité du Lac Bloom, Corporation Quinto Mining, 8568391 Canada Limited, Cliffs Québec mine de fer ulc, Wabush Iron Co. Limited, Ressources Wabush inc., Société en commandite mine de fer du Lac Bloom, Bloom Lake Railway Company Limited, Wabush Mines, Compagnie de chemin de fer Arnaud, Wabush Lake Railway Company Limited, Compagnie de Chemin de fer du Littoral Nord de Québec et du Labrador inc. et Compagnie minière IOC inc.</w:t>
            </w:r>
          </w:p>
          <w:p w:rsidR="004928A3" w:rsidRPr="000A5368" w:rsidRDefault="004928A3" w:rsidP="00E05AB6">
            <w:pPr>
              <w:pStyle w:val="SCCLsocOtherPartySeparator"/>
              <w:rPr>
                <w:rFonts w:cs="Times New Roman"/>
                <w:sz w:val="20"/>
                <w:szCs w:val="20"/>
              </w:rPr>
            </w:pPr>
            <w:r w:rsidRPr="000A5368">
              <w:rPr>
                <w:rFonts w:cs="Times New Roman"/>
                <w:sz w:val="20"/>
                <w:szCs w:val="20"/>
              </w:rPr>
              <w:t>- et -</w:t>
            </w:r>
          </w:p>
          <w:p w:rsidR="004928A3" w:rsidRPr="000A5368" w:rsidRDefault="004928A3" w:rsidP="00E05AB6">
            <w:pPr>
              <w:pStyle w:val="SCCLsocParty"/>
              <w:jc w:val="both"/>
              <w:rPr>
                <w:b/>
                <w:sz w:val="20"/>
                <w:szCs w:val="20"/>
              </w:rPr>
            </w:pPr>
            <w:r w:rsidRPr="000A5368">
              <w:rPr>
                <w:b/>
                <w:sz w:val="20"/>
                <w:szCs w:val="20"/>
              </w:rPr>
              <w:t>Employés salariés, non syndiqués</w:t>
            </w:r>
          </w:p>
          <w:p w:rsidR="004928A3" w:rsidRPr="000A5368" w:rsidRDefault="004928A3" w:rsidP="00E05AB6">
            <w:pPr>
              <w:jc w:val="both"/>
              <w:rPr>
                <w:sz w:val="20"/>
                <w:lang w:val="fr-CA"/>
              </w:rPr>
            </w:pPr>
            <w:r w:rsidRPr="000A5368">
              <w:rPr>
                <w:sz w:val="20"/>
                <w:lang w:val="fr-CA"/>
              </w:rPr>
              <w:t>(Qc) (Civile) (Autorisation)</w:t>
            </w: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 xml:space="preserve">Faillite et insolvabilité </w:t>
            </w:r>
            <w:r w:rsidRPr="000A5368">
              <w:rPr>
                <w:i/>
                <w:iCs/>
                <w:color w:val="000000"/>
                <w:sz w:val="20"/>
                <w:lang w:val="fr-CA"/>
              </w:rPr>
              <w:t>—</w:t>
            </w:r>
            <w:r w:rsidRPr="000A5368">
              <w:rPr>
                <w:iCs/>
                <w:color w:val="000000"/>
                <w:sz w:val="20"/>
                <w:lang w:val="fr-CA"/>
              </w:rPr>
              <w:t xml:space="preserve"> Arrangement </w:t>
            </w:r>
            <w:r w:rsidRPr="000A5368">
              <w:rPr>
                <w:i/>
                <w:iCs/>
                <w:color w:val="000000"/>
                <w:sz w:val="20"/>
                <w:lang w:val="fr-CA"/>
              </w:rPr>
              <w:t xml:space="preserve">— </w:t>
            </w:r>
            <w:r w:rsidRPr="000A5368">
              <w:rPr>
                <w:iCs/>
                <w:color w:val="000000"/>
                <w:sz w:val="20"/>
                <w:lang w:val="fr-CA"/>
              </w:rPr>
              <w:t>Exercice de discrétion</w:t>
            </w:r>
            <w:r w:rsidRPr="000A5368">
              <w:rPr>
                <w:i/>
                <w:iCs/>
                <w:color w:val="000000"/>
                <w:sz w:val="20"/>
                <w:lang w:val="fr-CA"/>
              </w:rPr>
              <w:t xml:space="preserve"> — </w:t>
            </w:r>
            <w:r w:rsidRPr="000A5368">
              <w:rPr>
                <w:iCs/>
                <w:color w:val="000000"/>
                <w:sz w:val="20"/>
                <w:lang w:val="fr-CA"/>
              </w:rPr>
              <w:t>Compensation</w:t>
            </w:r>
            <w:r w:rsidRPr="000A5368">
              <w:rPr>
                <w:i/>
                <w:iCs/>
                <w:color w:val="000000"/>
                <w:sz w:val="20"/>
                <w:lang w:val="fr-CA"/>
              </w:rPr>
              <w:t xml:space="preserve"> — </w:t>
            </w:r>
            <w:r w:rsidRPr="000A5368">
              <w:rPr>
                <w:iCs/>
                <w:color w:val="000000"/>
                <w:sz w:val="20"/>
                <w:lang w:val="fr-CA"/>
              </w:rPr>
              <w:t xml:space="preserve">Dette pré-dépôt envers autorité fiscale </w:t>
            </w:r>
            <w:r w:rsidRPr="000A5368">
              <w:rPr>
                <w:i/>
                <w:iCs/>
                <w:color w:val="000000"/>
                <w:sz w:val="20"/>
                <w:lang w:val="fr-CA"/>
              </w:rPr>
              <w:t xml:space="preserve">— </w:t>
            </w:r>
            <w:r w:rsidRPr="000A5368">
              <w:rPr>
                <w:iCs/>
                <w:color w:val="000000"/>
                <w:sz w:val="20"/>
                <w:lang w:val="fr-CA"/>
              </w:rPr>
              <w:t xml:space="preserve">Réclamation post-dépôt envers cette même autorité </w:t>
            </w:r>
            <w:r w:rsidRPr="000A5368">
              <w:rPr>
                <w:i/>
                <w:iCs/>
                <w:color w:val="000000"/>
                <w:sz w:val="20"/>
                <w:lang w:val="fr-CA"/>
              </w:rPr>
              <w:t xml:space="preserve">— </w:t>
            </w:r>
            <w:r w:rsidRPr="000A5368">
              <w:rPr>
                <w:iCs/>
                <w:color w:val="000000"/>
                <w:sz w:val="20"/>
                <w:lang w:val="fr-CA"/>
              </w:rPr>
              <w:t>Possibilité de faire opérer une compensation entre les deux formes de créances sous le régime fédéral des arrangements avec les créanciers des compagnies</w:t>
            </w:r>
            <w:r w:rsidRPr="000A5368">
              <w:rPr>
                <w:color w:val="000000"/>
                <w:sz w:val="20"/>
                <w:lang w:val="x-none"/>
              </w:rPr>
              <w:t xml:space="preserve"> </w:t>
            </w:r>
            <w:r w:rsidRPr="000A5368">
              <w:rPr>
                <w:i/>
                <w:iCs/>
                <w:color w:val="000000"/>
                <w:sz w:val="20"/>
                <w:lang w:val="fr-CA"/>
              </w:rPr>
              <w:t xml:space="preserve">— </w:t>
            </w:r>
            <w:r w:rsidRPr="000A5368">
              <w:rPr>
                <w:color w:val="000000"/>
                <w:sz w:val="20"/>
                <w:lang w:val="x-none"/>
              </w:rPr>
              <w:t xml:space="preserve">En situation </w:t>
            </w:r>
            <w:r w:rsidRPr="000A5368">
              <w:rPr>
                <w:color w:val="000000"/>
                <w:sz w:val="20"/>
                <w:lang w:val="fr-CA"/>
              </w:rPr>
              <w:t>d’arrangement</w:t>
            </w:r>
            <w:r w:rsidRPr="000A5368">
              <w:rPr>
                <w:color w:val="000000"/>
                <w:sz w:val="20"/>
                <w:lang w:val="x-none"/>
              </w:rPr>
              <w:t xml:space="preserve"> de liquidation, où seulement la distribution du produit des actifs demeure en jeu, le juge surveillant, dans l’exercice de sa discrétion afin d’autoriser ou non la compensation pré-post, peut-il se limiter à ne considérer que deux des objectifs réparateurs </w:t>
            </w:r>
            <w:r w:rsidRPr="000A5368">
              <w:rPr>
                <w:color w:val="000000"/>
                <w:sz w:val="20"/>
                <w:lang w:val="fr-CA"/>
              </w:rPr>
              <w:t xml:space="preserve">de la loi, </w:t>
            </w:r>
            <w:r w:rsidRPr="000A5368">
              <w:rPr>
                <w:color w:val="000000"/>
                <w:sz w:val="20"/>
                <w:lang w:val="x-none"/>
              </w:rPr>
              <w:t>soit de</w:t>
            </w:r>
            <w:r w:rsidRPr="000A5368">
              <w:rPr>
                <w:color w:val="000000"/>
                <w:sz w:val="20"/>
                <w:lang w:val="fr-CA"/>
              </w:rPr>
              <w:t xml:space="preserve"> </w:t>
            </w:r>
            <w:r w:rsidRPr="000A5368">
              <w:rPr>
                <w:color w:val="000000"/>
                <w:sz w:val="20"/>
                <w:lang w:val="x-none"/>
              </w:rPr>
              <w:t>« maximiser le recouvrement</w:t>
            </w:r>
            <w:r w:rsidRPr="000A5368">
              <w:rPr>
                <w:color w:val="000000"/>
                <w:sz w:val="20"/>
                <w:lang w:val="fr-CA"/>
              </w:rPr>
              <w:t> </w:t>
            </w:r>
            <w:r w:rsidRPr="000A5368">
              <w:rPr>
                <w:color w:val="000000"/>
                <w:sz w:val="20"/>
                <w:lang w:val="x-none"/>
              </w:rPr>
              <w:t>» et « assurer une distribution équitable entre les créanciers »</w:t>
            </w:r>
            <w:r w:rsidRPr="000A5368">
              <w:rPr>
                <w:color w:val="000000"/>
                <w:sz w:val="20"/>
                <w:lang w:val="fr-CA"/>
              </w:rPr>
              <w:t xml:space="preserve">? </w:t>
            </w:r>
            <w:r w:rsidRPr="000A5368">
              <w:rPr>
                <w:i/>
                <w:iCs/>
                <w:color w:val="000000"/>
                <w:sz w:val="20"/>
                <w:lang w:val="fr-CA"/>
              </w:rPr>
              <w:t xml:space="preserve">— </w:t>
            </w:r>
            <w:r w:rsidRPr="000A5368">
              <w:rPr>
                <w:i/>
                <w:sz w:val="20"/>
                <w:lang w:val="fr-CA"/>
              </w:rPr>
              <w:t>Loi sur les arrangements avec les créanciers des compagnies</w:t>
            </w:r>
            <w:r w:rsidRPr="000A5368">
              <w:rPr>
                <w:sz w:val="20"/>
                <w:lang w:val="fr-CA"/>
              </w:rPr>
              <w:t>, L.R.C. 1985, c. C-36, art. 11.</w:t>
            </w:r>
          </w:p>
          <w:p w:rsidR="004928A3" w:rsidRPr="000A5368" w:rsidRDefault="004928A3" w:rsidP="00E05AB6">
            <w:pPr>
              <w:jc w:val="both"/>
              <w:rPr>
                <w:sz w:val="20"/>
                <w:lang w:val="fr-CA"/>
              </w:rPr>
            </w:pP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 xml:space="preserve">L’intimée FTI Conseil Canada, laquelle constitue un contrôleur au sens de la </w:t>
            </w:r>
            <w:r w:rsidRPr="000A5368">
              <w:rPr>
                <w:i/>
                <w:sz w:val="20"/>
                <w:lang w:val="fr-CA"/>
              </w:rPr>
              <w:t>Loi sur les arrangements avec les créanciers des compagnies</w:t>
            </w:r>
            <w:r w:rsidRPr="000A5368">
              <w:rPr>
                <w:sz w:val="20"/>
                <w:lang w:val="fr-CA"/>
              </w:rPr>
              <w:t>, L.R.C. 1985, c. C-36, a présenté une requête en instructions devant la Cour supérieure recherchant, entre autres, une déclaration selon laquelle la demanderesse, l’Agence du revenu du Québec (l’« ARQ »), ne pouvait faire opérer une compensation pour concilier une dette pré-dépôt et une réclamation post-dépôt dans le contexte de l’arrangement relatif à Bloom Lake. Le juge surveillant de l’arrangement a donné droit aux prétentions du contrôleur et n’a pas permis la compensation dans les circonstances. Il a conclu qu’il est bien établi qu’une dette pré-dépôt ne peut être compensée par une réclamation post-dépôt en vertu de la législation fiscale applicable, qui est par ailleurs claire et non équivoque. La Cour d’appel n’a pas relevé d’erreur dans les conclusions du juge surveillant, et a rejeté l’appel de l’ARQ.</w:t>
            </w:r>
          </w:p>
        </w:tc>
      </w:tr>
      <w:tr w:rsidR="004928A3" w:rsidRPr="000A5368" w:rsidTr="004928A3">
        <w:tc>
          <w:tcPr>
            <w:tcW w:w="5000" w:type="pct"/>
            <w:gridSpan w:val="4"/>
          </w:tcPr>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Le 8 novembre 2021</w:t>
            </w:r>
          </w:p>
          <w:p w:rsidR="004928A3" w:rsidRPr="000A5368" w:rsidRDefault="004928A3" w:rsidP="00E05AB6">
            <w:pPr>
              <w:jc w:val="both"/>
              <w:rPr>
                <w:sz w:val="20"/>
                <w:lang w:val="fr-CA"/>
              </w:rPr>
            </w:pPr>
            <w:r w:rsidRPr="000A5368">
              <w:rPr>
                <w:sz w:val="20"/>
                <w:lang w:val="fr-CA"/>
              </w:rPr>
              <w:t>Cour supérieure du Québec</w:t>
            </w:r>
          </w:p>
          <w:p w:rsidR="004928A3" w:rsidRPr="000A5368" w:rsidRDefault="004928A3" w:rsidP="00E05AB6">
            <w:pPr>
              <w:jc w:val="both"/>
              <w:rPr>
                <w:sz w:val="20"/>
              </w:rPr>
            </w:pPr>
            <w:r w:rsidRPr="000A5368">
              <w:rPr>
                <w:sz w:val="20"/>
              </w:rPr>
              <w:t>(juge Pinsonnault)</w:t>
            </w:r>
          </w:p>
          <w:p w:rsidR="004928A3" w:rsidRPr="000A5368" w:rsidRDefault="004928A3" w:rsidP="00E05AB6">
            <w:pPr>
              <w:jc w:val="both"/>
              <w:rPr>
                <w:sz w:val="20"/>
              </w:rPr>
            </w:pPr>
            <w:r w:rsidRPr="000A5368">
              <w:rPr>
                <w:sz w:val="20"/>
              </w:rPr>
              <w:t xml:space="preserve">No. 500-11-048114-157 </w:t>
            </w:r>
          </w:p>
          <w:p w:rsidR="004928A3" w:rsidRPr="000A5368" w:rsidRDefault="000A5368" w:rsidP="00E05AB6">
            <w:pPr>
              <w:jc w:val="both"/>
              <w:rPr>
                <w:sz w:val="20"/>
              </w:rPr>
            </w:pPr>
            <w:hyperlink r:id="rId32" w:history="1">
              <w:r w:rsidR="004928A3" w:rsidRPr="000A5368">
                <w:rPr>
                  <w:rStyle w:val="Hyperlink"/>
                  <w:sz w:val="20"/>
                </w:rPr>
                <w:t>2021 QCCS 4642</w:t>
              </w:r>
            </w:hyperlink>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lang w:val="fr-CA"/>
              </w:rPr>
            </w:pPr>
            <w:r w:rsidRPr="000A5368">
              <w:rPr>
                <w:sz w:val="20"/>
                <w:lang w:val="fr-CA"/>
              </w:rPr>
              <w:t xml:space="preserve">Requête pour instructions accueillie; déclaration que l’Agence du revenu du Québec ne peut compenser la dette qu’elle doit envers la compagnie débitrice par la dette qui lui est due par cette même compagnie débitrice en application de la </w:t>
            </w:r>
            <w:r w:rsidRPr="000A5368">
              <w:rPr>
                <w:i/>
                <w:sz w:val="20"/>
                <w:lang w:val="fr-CA"/>
              </w:rPr>
              <w:t>Loi sur les arrangements avec les créanciers des compagnies</w:t>
            </w:r>
            <w:r w:rsidRPr="000A5368">
              <w:rPr>
                <w:sz w:val="20"/>
                <w:lang w:val="fr-CA"/>
              </w:rPr>
              <w:t xml:space="preserve">, L.R.C. 1985, c. C-36 </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Le 22 décembre 2022</w:t>
            </w:r>
          </w:p>
          <w:p w:rsidR="004928A3" w:rsidRPr="000A5368" w:rsidRDefault="004928A3" w:rsidP="00E05AB6">
            <w:pPr>
              <w:jc w:val="both"/>
              <w:rPr>
                <w:sz w:val="20"/>
                <w:lang w:val="fr-CA"/>
              </w:rPr>
            </w:pPr>
            <w:r w:rsidRPr="000A5368">
              <w:rPr>
                <w:sz w:val="20"/>
                <w:lang w:val="fr-CA"/>
              </w:rPr>
              <w:t>Cour d’appel du Québec (Montréal)</w:t>
            </w:r>
          </w:p>
          <w:p w:rsidR="004928A3" w:rsidRPr="000A5368" w:rsidRDefault="004928A3" w:rsidP="00E05AB6">
            <w:pPr>
              <w:jc w:val="both"/>
              <w:rPr>
                <w:sz w:val="20"/>
                <w:lang w:val="fr-CA"/>
              </w:rPr>
            </w:pPr>
            <w:r w:rsidRPr="000A5368">
              <w:rPr>
                <w:sz w:val="20"/>
                <w:lang w:val="fr-CA"/>
              </w:rPr>
              <w:t>No. 500-09-029797-214</w:t>
            </w:r>
          </w:p>
          <w:p w:rsidR="004928A3" w:rsidRPr="000A5368" w:rsidRDefault="004928A3" w:rsidP="00E05AB6">
            <w:pPr>
              <w:jc w:val="both"/>
              <w:rPr>
                <w:sz w:val="20"/>
                <w:lang w:val="fr-CA"/>
              </w:rPr>
            </w:pPr>
            <w:r w:rsidRPr="000A5368">
              <w:rPr>
                <w:sz w:val="20"/>
                <w:lang w:val="fr-CA"/>
              </w:rPr>
              <w:t>(juges Mainville, Lavallée et Kalichman)</w:t>
            </w:r>
          </w:p>
          <w:p w:rsidR="004928A3" w:rsidRPr="000A5368" w:rsidRDefault="000A5368" w:rsidP="00E05AB6">
            <w:pPr>
              <w:jc w:val="both"/>
              <w:rPr>
                <w:sz w:val="20"/>
              </w:rPr>
            </w:pPr>
            <w:hyperlink r:id="rId33" w:history="1">
              <w:r w:rsidR="004928A3" w:rsidRPr="000A5368">
                <w:rPr>
                  <w:rStyle w:val="Hyperlink"/>
                  <w:sz w:val="20"/>
                </w:rPr>
                <w:t>2022 QCCA 1740</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Appel rejeté</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Le 16 février 2023</w:t>
            </w:r>
          </w:p>
          <w:p w:rsidR="004928A3" w:rsidRPr="000A5368" w:rsidRDefault="004928A3" w:rsidP="00E05AB6">
            <w:pPr>
              <w:jc w:val="both"/>
              <w:rPr>
                <w:sz w:val="20"/>
                <w:lang w:val="fr-CA"/>
              </w:rPr>
            </w:pPr>
            <w:r w:rsidRPr="000A5368">
              <w:rPr>
                <w:sz w:val="20"/>
                <w:lang w:val="fr-CA"/>
              </w:rPr>
              <w:t>Cour suprême du Canada</w:t>
            </w: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rPr>
            </w:pPr>
            <w:r w:rsidRPr="000A5368">
              <w:rPr>
                <w:sz w:val="20"/>
              </w:rPr>
              <w:t>Demande d’autorisation d’appel déposée</w:t>
            </w:r>
          </w:p>
          <w:p w:rsidR="004928A3" w:rsidRPr="000A5368" w:rsidRDefault="004928A3" w:rsidP="00E05AB6">
            <w:pPr>
              <w:jc w:val="both"/>
              <w:rPr>
                <w:sz w:val="20"/>
              </w:rPr>
            </w:pPr>
          </w:p>
        </w:tc>
      </w:tr>
    </w:tbl>
    <w:p w:rsidR="004928A3" w:rsidRPr="000A5368" w:rsidRDefault="004928A3" w:rsidP="00E05AB6">
      <w:pPr>
        <w:jc w:val="both"/>
        <w:rPr>
          <w:sz w:val="20"/>
        </w:rPr>
      </w:pPr>
    </w:p>
    <w:p w:rsidR="005D6A19" w:rsidRPr="000A5368" w:rsidRDefault="000A5368" w:rsidP="00E05AB6">
      <w:pPr>
        <w:widowControl w:val="0"/>
        <w:jc w:val="both"/>
        <w:rPr>
          <w:sz w:val="20"/>
        </w:rPr>
      </w:pPr>
      <w:r w:rsidRPr="000A5368">
        <w:rPr>
          <w:sz w:val="20"/>
        </w:rPr>
        <w:pict>
          <v:rect id="_x0000_i1032" style="width:2in;height:1pt" o:hrpct="0" o:hralign="center" o:hrstd="t" o:hrnoshade="t" o:hr="t" fillcolor="black [3213]" stroked="f"/>
        </w:pict>
      </w:r>
    </w:p>
    <w:p w:rsidR="005D6A19" w:rsidRPr="000A5368" w:rsidRDefault="005D6A19"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40639</w:t>
            </w:r>
          </w:p>
        </w:tc>
        <w:tc>
          <w:tcPr>
            <w:tcW w:w="4457" w:type="pct"/>
            <w:gridSpan w:val="3"/>
          </w:tcPr>
          <w:p w:rsidR="004928A3" w:rsidRPr="000A5368" w:rsidRDefault="004928A3" w:rsidP="00E05AB6">
            <w:pPr>
              <w:pStyle w:val="SCCLsocParty"/>
              <w:jc w:val="both"/>
              <w:rPr>
                <w:b/>
                <w:sz w:val="20"/>
                <w:szCs w:val="20"/>
                <w:lang w:val="en-US"/>
              </w:rPr>
            </w:pPr>
            <w:r w:rsidRPr="000A5368">
              <w:rPr>
                <w:b/>
                <w:sz w:val="20"/>
                <w:szCs w:val="20"/>
                <w:lang w:val="en-US"/>
              </w:rPr>
              <w:t>Hu Fang v. City of Repentigny</w:t>
            </w:r>
          </w:p>
          <w:p w:rsidR="004928A3" w:rsidRPr="000A5368" w:rsidRDefault="004928A3" w:rsidP="00E05AB6">
            <w:pPr>
              <w:jc w:val="both"/>
              <w:rPr>
                <w:sz w:val="20"/>
              </w:rPr>
            </w:pPr>
            <w:r w:rsidRPr="000A5368">
              <w:rPr>
                <w:sz w:val="20"/>
              </w:rPr>
              <w:t>(Que.) (Civil) (By Leave)</w:t>
            </w:r>
          </w:p>
        </w:tc>
      </w:tr>
      <w:tr w:rsidR="004928A3" w:rsidRPr="000A5368" w:rsidTr="004928A3">
        <w:tc>
          <w:tcPr>
            <w:tcW w:w="5000" w:type="pct"/>
            <w:gridSpan w:val="4"/>
          </w:tcPr>
          <w:p w:rsidR="004928A3" w:rsidRPr="000A5368" w:rsidRDefault="004928A3" w:rsidP="00E05AB6">
            <w:pPr>
              <w:jc w:val="both"/>
              <w:rPr>
                <w:sz w:val="20"/>
              </w:rPr>
            </w:pPr>
            <w:r w:rsidRPr="000A5368">
              <w:rPr>
                <w:sz w:val="20"/>
              </w:rPr>
              <w:t>Municipal Law — By-laws — Appeals — Conviction under municipal by-law — Whether courts erred in their decisions — Whether application for leave to appeal raises issues of public importance.</w:t>
            </w:r>
          </w:p>
          <w:p w:rsidR="004928A3" w:rsidRPr="000A5368" w:rsidRDefault="004928A3" w:rsidP="00E05AB6">
            <w:pPr>
              <w:jc w:val="both"/>
              <w:rPr>
                <w:sz w:val="20"/>
              </w:rPr>
            </w:pPr>
          </w:p>
        </w:tc>
      </w:tr>
      <w:tr w:rsidR="004928A3" w:rsidRPr="000A5368" w:rsidTr="004928A3">
        <w:tc>
          <w:tcPr>
            <w:tcW w:w="5000" w:type="pct"/>
            <w:gridSpan w:val="4"/>
          </w:tcPr>
          <w:p w:rsidR="004928A3" w:rsidRPr="000A5368" w:rsidRDefault="004928A3" w:rsidP="00E05AB6">
            <w:pPr>
              <w:jc w:val="both"/>
              <w:rPr>
                <w:sz w:val="20"/>
              </w:rPr>
            </w:pPr>
            <w:r w:rsidRPr="000A5368">
              <w:rPr>
                <w:sz w:val="20"/>
              </w:rPr>
              <w:t>Mr. Hu Fang seeks leave to appeal his convictions under the municipal by-laws of the City of Repentigny for leaving his land, buildings, yard and appurtenances in a state of uncleanliness or dilapidation. The Superior Court dismissed Mr. Fang’s appeal, and the Court of Appeal refused leave to appeal, noting that leave is only granted on a “question of law alone”, which was not established in this application.</w:t>
            </w:r>
          </w:p>
        </w:tc>
      </w:tr>
      <w:tr w:rsidR="004928A3" w:rsidRPr="000A5368" w:rsidTr="004928A3">
        <w:tc>
          <w:tcPr>
            <w:tcW w:w="5000" w:type="pct"/>
            <w:gridSpan w:val="4"/>
          </w:tcPr>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September 7, 2022</w:t>
            </w:r>
          </w:p>
          <w:p w:rsidR="004928A3" w:rsidRPr="000A5368" w:rsidRDefault="004928A3" w:rsidP="00E05AB6">
            <w:pPr>
              <w:jc w:val="both"/>
              <w:rPr>
                <w:sz w:val="20"/>
              </w:rPr>
            </w:pPr>
            <w:r w:rsidRPr="000A5368">
              <w:rPr>
                <w:sz w:val="20"/>
              </w:rPr>
              <w:t>Superior Court of Quebec, Criminal Division</w:t>
            </w:r>
          </w:p>
          <w:p w:rsidR="004928A3" w:rsidRPr="000A5368" w:rsidRDefault="004928A3" w:rsidP="00E05AB6">
            <w:pPr>
              <w:jc w:val="both"/>
              <w:rPr>
                <w:sz w:val="20"/>
              </w:rPr>
            </w:pPr>
            <w:r w:rsidRPr="000A5368">
              <w:rPr>
                <w:sz w:val="20"/>
              </w:rPr>
              <w:t>(Perreault J.)</w:t>
            </w:r>
          </w:p>
          <w:p w:rsidR="004928A3" w:rsidRPr="000A5368" w:rsidRDefault="000A5368" w:rsidP="00E05AB6">
            <w:pPr>
              <w:jc w:val="both"/>
              <w:rPr>
                <w:sz w:val="20"/>
              </w:rPr>
            </w:pPr>
            <w:hyperlink r:id="rId34" w:history="1">
              <w:r w:rsidR="004928A3" w:rsidRPr="000A5368">
                <w:rPr>
                  <w:rStyle w:val="Hyperlink"/>
                  <w:sz w:val="20"/>
                </w:rPr>
                <w:t>2022 QCCS 3355</w:t>
              </w:r>
            </w:hyperlink>
            <w:r w:rsidR="004928A3" w:rsidRPr="000A5368">
              <w:rPr>
                <w:sz w:val="20"/>
              </w:rPr>
              <w:t xml:space="preserve"> </w:t>
            </w:r>
          </w:p>
          <w:p w:rsidR="004928A3" w:rsidRPr="000A5368" w:rsidRDefault="004928A3" w:rsidP="00E05AB6">
            <w:pPr>
              <w:jc w:val="both"/>
              <w:rPr>
                <w:sz w:val="20"/>
              </w:rPr>
            </w:pPr>
            <w:r w:rsidRPr="000A5368">
              <w:rPr>
                <w:sz w:val="20"/>
              </w:rPr>
              <w:t>(File No. 705-36-000907-210)</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Appeal dismissed</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December 28, 2022</w:t>
            </w:r>
          </w:p>
          <w:p w:rsidR="004928A3" w:rsidRPr="000A5368" w:rsidRDefault="004928A3" w:rsidP="00E05AB6">
            <w:pPr>
              <w:jc w:val="both"/>
              <w:rPr>
                <w:sz w:val="20"/>
              </w:rPr>
            </w:pPr>
            <w:r w:rsidRPr="000A5368">
              <w:rPr>
                <w:sz w:val="20"/>
              </w:rPr>
              <w:t>Court of Appeal of Quebec (Montréal)</w:t>
            </w:r>
          </w:p>
          <w:p w:rsidR="004928A3" w:rsidRPr="000A5368" w:rsidRDefault="004928A3" w:rsidP="00E05AB6">
            <w:pPr>
              <w:jc w:val="both"/>
              <w:rPr>
                <w:sz w:val="20"/>
              </w:rPr>
            </w:pPr>
            <w:r w:rsidRPr="000A5368">
              <w:rPr>
                <w:sz w:val="20"/>
              </w:rPr>
              <w:t>(Mainville J.A.)</w:t>
            </w:r>
          </w:p>
          <w:p w:rsidR="004928A3" w:rsidRPr="000A5368" w:rsidRDefault="004928A3" w:rsidP="00E05AB6">
            <w:pPr>
              <w:jc w:val="both"/>
              <w:rPr>
                <w:sz w:val="20"/>
              </w:rPr>
            </w:pPr>
            <w:r w:rsidRPr="000A5368">
              <w:rPr>
                <w:sz w:val="20"/>
              </w:rPr>
              <w:t>File No. 500-10-007892-225 (unpublished)</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Application for leave to appeal dismissed</w:t>
            </w:r>
          </w:p>
        </w:tc>
      </w:tr>
      <w:tr w:rsidR="004928A3" w:rsidRPr="000A5368" w:rsidTr="004928A3">
        <w:tc>
          <w:tcPr>
            <w:tcW w:w="2427" w:type="pct"/>
            <w:gridSpan w:val="2"/>
          </w:tcPr>
          <w:p w:rsidR="004928A3" w:rsidRPr="000A5368" w:rsidRDefault="004928A3" w:rsidP="00E05AB6">
            <w:pPr>
              <w:jc w:val="both"/>
              <w:rPr>
                <w:sz w:val="20"/>
              </w:rPr>
            </w:pPr>
            <w:r w:rsidRPr="000A5368">
              <w:rPr>
                <w:sz w:val="20"/>
              </w:rPr>
              <w:t>February 20, 2023</w:t>
            </w:r>
          </w:p>
          <w:p w:rsidR="004928A3" w:rsidRPr="000A5368" w:rsidRDefault="004928A3" w:rsidP="00E05AB6">
            <w:pPr>
              <w:jc w:val="both"/>
              <w:rPr>
                <w:sz w:val="20"/>
              </w:rPr>
            </w:pPr>
            <w:r w:rsidRPr="000A5368">
              <w:rPr>
                <w:sz w:val="20"/>
              </w:rPr>
              <w:t>Supreme Court of Canada</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Application for leave to appeal filed</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April 24, 2023</w:t>
            </w:r>
          </w:p>
          <w:p w:rsidR="004928A3" w:rsidRPr="000A5368" w:rsidRDefault="004928A3" w:rsidP="00E05AB6">
            <w:pPr>
              <w:jc w:val="both"/>
              <w:rPr>
                <w:sz w:val="20"/>
              </w:rPr>
            </w:pPr>
            <w:r w:rsidRPr="000A5368">
              <w:rPr>
                <w:sz w:val="20"/>
              </w:rPr>
              <w:t>Supreme Court of Canada</w:t>
            </w: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Motion for extension of time to serve and file a response to the application for leave to appeal filed</w:t>
            </w:r>
          </w:p>
        </w:tc>
      </w:tr>
    </w:tbl>
    <w:p w:rsidR="004928A3" w:rsidRPr="000A5368" w:rsidRDefault="004928A3" w:rsidP="00E05AB6">
      <w:pPr>
        <w:jc w:val="both"/>
        <w:rPr>
          <w:sz w:val="20"/>
        </w:rPr>
      </w:pPr>
    </w:p>
    <w:p w:rsidR="004928A3" w:rsidRPr="000A5368" w:rsidRDefault="000A5368" w:rsidP="00E05AB6">
      <w:pPr>
        <w:jc w:val="both"/>
        <w:rPr>
          <w:sz w:val="20"/>
        </w:rPr>
      </w:pPr>
      <w:r w:rsidRPr="000A5368">
        <w:rPr>
          <w:sz w:val="20"/>
        </w:rPr>
        <w:pict>
          <v:rect id="_x0000_i1033" style="width:2in;height:1pt" o:hrpct="0" o:hralign="center" o:hrstd="t" o:hrnoshade="t" o:hr="t" fillcolor="black [3213]" stroked="f"/>
        </w:pict>
      </w:r>
    </w:p>
    <w:p w:rsidR="004928A3" w:rsidRPr="000A5368" w:rsidRDefault="004928A3"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lang w:val="fr-CA"/>
              </w:rPr>
            </w:pPr>
            <w:r w:rsidRPr="000A5368">
              <w:rPr>
                <w:rStyle w:val="SCCFileNumberChar"/>
                <w:sz w:val="20"/>
                <w:szCs w:val="20"/>
                <w:lang w:val="fr-CA"/>
              </w:rPr>
              <w:t>40639</w:t>
            </w:r>
          </w:p>
        </w:tc>
        <w:tc>
          <w:tcPr>
            <w:tcW w:w="4457" w:type="pct"/>
            <w:gridSpan w:val="3"/>
          </w:tcPr>
          <w:p w:rsidR="004928A3" w:rsidRPr="000A5368" w:rsidRDefault="004928A3" w:rsidP="00E05AB6">
            <w:pPr>
              <w:pStyle w:val="SCCLsocParty"/>
              <w:jc w:val="both"/>
              <w:rPr>
                <w:b/>
                <w:sz w:val="20"/>
                <w:szCs w:val="20"/>
              </w:rPr>
            </w:pPr>
            <w:r w:rsidRPr="000A5368">
              <w:rPr>
                <w:b/>
                <w:sz w:val="20"/>
                <w:szCs w:val="20"/>
              </w:rPr>
              <w:t>Hu Fang c. Ville de Repentigny</w:t>
            </w:r>
          </w:p>
          <w:p w:rsidR="004928A3" w:rsidRPr="000A5368" w:rsidRDefault="004928A3" w:rsidP="00E05AB6">
            <w:pPr>
              <w:jc w:val="both"/>
              <w:rPr>
                <w:sz w:val="20"/>
                <w:lang w:val="fr-CA"/>
              </w:rPr>
            </w:pPr>
            <w:r w:rsidRPr="000A5368">
              <w:rPr>
                <w:sz w:val="20"/>
                <w:lang w:val="fr-CA"/>
              </w:rPr>
              <w:t>(Qc) (Civile) (Sur autorisation)</w:t>
            </w: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Droit municipal — Règlements — Appels — Déclaration de culpabilité aux termes d’un règlement municipal — Les tribunaux ont-ils fait erreur dans leurs décisions ? — La demande d’autorisation d’appel soulève-t-elle des questions d’importance pour le public ?</w:t>
            </w:r>
          </w:p>
          <w:p w:rsidR="004928A3" w:rsidRPr="000A5368" w:rsidRDefault="004928A3" w:rsidP="00E05AB6">
            <w:pPr>
              <w:jc w:val="both"/>
              <w:rPr>
                <w:sz w:val="20"/>
                <w:lang w:val="fr-CA"/>
              </w:rPr>
            </w:pP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Monsieur Hu Fang a demandé l’autorisation d’appel de ses déclarations de culpabilité en vertu de règlements municipaux de la ville de Repentigny pour avoir laissé son terrain, les bâtiments qui s’y trouvent, sa cour et ce qui s’y rattache en état de malpropreté ou de délabrement. La Cour supérieure a rejeté l’appel de M. Fang, et la Cour d’appel a refusé d’accorder l’autorisation d’appel, en soulignant qu’une telle autorisation est accordée uniquement pour faire décider d’une « question de droit seulement », ce qui n’était pas le cas dans la présente demande.</w:t>
            </w:r>
          </w:p>
        </w:tc>
      </w:tr>
      <w:tr w:rsidR="004928A3" w:rsidRPr="000A5368" w:rsidTr="004928A3">
        <w:tc>
          <w:tcPr>
            <w:tcW w:w="5000" w:type="pct"/>
            <w:gridSpan w:val="4"/>
          </w:tcPr>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7 septembre 2022</w:t>
            </w:r>
          </w:p>
          <w:p w:rsidR="004928A3" w:rsidRPr="000A5368" w:rsidRDefault="004928A3" w:rsidP="00E05AB6">
            <w:pPr>
              <w:jc w:val="both"/>
              <w:rPr>
                <w:sz w:val="20"/>
                <w:lang w:val="fr-CA"/>
              </w:rPr>
            </w:pPr>
            <w:r w:rsidRPr="000A5368">
              <w:rPr>
                <w:sz w:val="20"/>
                <w:lang w:val="fr-CA"/>
              </w:rPr>
              <w:t>Cour supérieure du Québec, chambre criminelle</w:t>
            </w:r>
          </w:p>
          <w:p w:rsidR="004928A3" w:rsidRPr="000A5368" w:rsidRDefault="004928A3" w:rsidP="00E05AB6">
            <w:pPr>
              <w:jc w:val="both"/>
              <w:rPr>
                <w:sz w:val="20"/>
                <w:lang w:val="fr-CA"/>
              </w:rPr>
            </w:pPr>
            <w:r w:rsidRPr="000A5368">
              <w:rPr>
                <w:sz w:val="20"/>
                <w:lang w:val="fr-CA"/>
              </w:rPr>
              <w:t>(juge Perreault)</w:t>
            </w:r>
          </w:p>
          <w:p w:rsidR="004928A3" w:rsidRPr="000A5368" w:rsidRDefault="000A5368" w:rsidP="00E05AB6">
            <w:pPr>
              <w:jc w:val="both"/>
              <w:rPr>
                <w:sz w:val="20"/>
                <w:lang w:val="fr-CA"/>
              </w:rPr>
            </w:pPr>
            <w:hyperlink r:id="rId35" w:history="1">
              <w:r w:rsidR="004928A3" w:rsidRPr="000A5368">
                <w:rPr>
                  <w:rStyle w:val="Hyperlink"/>
                  <w:sz w:val="20"/>
                  <w:lang w:val="fr-CA"/>
                </w:rPr>
                <w:t>2022 QCCS 3355</w:t>
              </w:r>
            </w:hyperlink>
          </w:p>
          <w:p w:rsidR="004928A3" w:rsidRPr="000A5368" w:rsidRDefault="004928A3" w:rsidP="00E05AB6">
            <w:pPr>
              <w:jc w:val="both"/>
              <w:rPr>
                <w:sz w:val="20"/>
                <w:lang w:val="fr-CA"/>
              </w:rPr>
            </w:pPr>
            <w:r w:rsidRPr="000A5368">
              <w:rPr>
                <w:sz w:val="20"/>
                <w:lang w:val="fr-CA"/>
              </w:rPr>
              <w:t>(N</w:t>
            </w:r>
            <w:r w:rsidRPr="000A5368">
              <w:rPr>
                <w:sz w:val="20"/>
                <w:vertAlign w:val="superscript"/>
                <w:lang w:val="fr-CA"/>
              </w:rPr>
              <w:t>o</w:t>
            </w:r>
            <w:r w:rsidRPr="000A5368">
              <w:rPr>
                <w:sz w:val="20"/>
                <w:lang w:val="fr-CA"/>
              </w:rPr>
              <w:t xml:space="preserve"> de dossier : 705-36-000907-210)</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L’appel est rejeté.</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28 décembre 2022</w:t>
            </w:r>
          </w:p>
          <w:p w:rsidR="004928A3" w:rsidRPr="000A5368" w:rsidRDefault="004928A3" w:rsidP="00E05AB6">
            <w:pPr>
              <w:jc w:val="both"/>
              <w:rPr>
                <w:sz w:val="20"/>
                <w:lang w:val="fr-CA"/>
              </w:rPr>
            </w:pPr>
            <w:r w:rsidRPr="000A5368">
              <w:rPr>
                <w:sz w:val="20"/>
                <w:lang w:val="fr-CA"/>
              </w:rPr>
              <w:t>Cour d’appel du Québec (Montréal)</w:t>
            </w:r>
          </w:p>
          <w:p w:rsidR="004928A3" w:rsidRPr="000A5368" w:rsidRDefault="004928A3" w:rsidP="00E05AB6">
            <w:pPr>
              <w:jc w:val="both"/>
              <w:rPr>
                <w:sz w:val="20"/>
                <w:lang w:val="fr-CA"/>
              </w:rPr>
            </w:pPr>
            <w:r w:rsidRPr="000A5368">
              <w:rPr>
                <w:sz w:val="20"/>
                <w:lang w:val="fr-CA"/>
              </w:rPr>
              <w:t>(juge Mainville)</w:t>
            </w:r>
          </w:p>
          <w:p w:rsidR="004928A3" w:rsidRPr="000A5368" w:rsidRDefault="004928A3" w:rsidP="00E05AB6">
            <w:pPr>
              <w:jc w:val="both"/>
              <w:rPr>
                <w:sz w:val="20"/>
                <w:lang w:val="fr-CA"/>
              </w:rPr>
            </w:pPr>
            <w:r w:rsidRPr="000A5368">
              <w:rPr>
                <w:sz w:val="20"/>
                <w:lang w:val="fr-CA"/>
              </w:rPr>
              <w:t>N</w:t>
            </w:r>
            <w:r w:rsidRPr="000A5368">
              <w:rPr>
                <w:sz w:val="20"/>
                <w:vertAlign w:val="superscript"/>
                <w:lang w:val="fr-CA"/>
              </w:rPr>
              <w:t>o</w:t>
            </w:r>
            <w:r w:rsidRPr="000A5368">
              <w:rPr>
                <w:sz w:val="20"/>
                <w:lang w:val="fr-CA"/>
              </w:rPr>
              <w:t xml:space="preserve"> de dossier : 500-10-007892-225 (non publié)</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demande d’autorisation d’appel est rejetée.</w:t>
            </w: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20 février 2023</w:t>
            </w:r>
          </w:p>
          <w:p w:rsidR="004928A3" w:rsidRPr="000A5368" w:rsidRDefault="004928A3" w:rsidP="00E05AB6">
            <w:pPr>
              <w:jc w:val="both"/>
              <w:rPr>
                <w:sz w:val="20"/>
                <w:lang w:val="fr-CA"/>
              </w:rPr>
            </w:pPr>
            <w:r w:rsidRPr="000A5368">
              <w:rPr>
                <w:sz w:val="20"/>
                <w:lang w:val="fr-CA"/>
              </w:rPr>
              <w:t>Cour suprême du Canada</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demande d’autorisation d’appel est présentée.</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24 avril 2023</w:t>
            </w:r>
          </w:p>
          <w:p w:rsidR="004928A3" w:rsidRPr="000A5368" w:rsidRDefault="004928A3" w:rsidP="00E05AB6">
            <w:pPr>
              <w:jc w:val="both"/>
              <w:rPr>
                <w:sz w:val="20"/>
                <w:lang w:val="fr-CA"/>
              </w:rPr>
            </w:pPr>
            <w:r w:rsidRPr="000A5368">
              <w:rPr>
                <w:sz w:val="20"/>
                <w:lang w:val="fr-CA"/>
              </w:rPr>
              <w:t>Cour suprême du Canada</w:t>
            </w: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color w:val="000000"/>
                <w:sz w:val="20"/>
                <w:lang w:val="fr-CA"/>
              </w:rPr>
              <w:t>La requête en prorogation du délai pour signifier et déposer la réponse à la demande d’autorisation d’appel est présentée.</w:t>
            </w:r>
          </w:p>
        </w:tc>
      </w:tr>
    </w:tbl>
    <w:p w:rsidR="004928A3" w:rsidRPr="000A5368" w:rsidRDefault="004928A3" w:rsidP="00E05AB6">
      <w:pPr>
        <w:jc w:val="both"/>
        <w:rPr>
          <w:sz w:val="20"/>
          <w:lang w:val="fr-CA"/>
        </w:rPr>
      </w:pPr>
    </w:p>
    <w:p w:rsidR="005D6A19" w:rsidRPr="000A5368" w:rsidRDefault="000A5368" w:rsidP="00E05AB6">
      <w:pPr>
        <w:widowControl w:val="0"/>
        <w:jc w:val="both"/>
        <w:rPr>
          <w:sz w:val="20"/>
        </w:rPr>
      </w:pPr>
      <w:r w:rsidRPr="000A5368">
        <w:rPr>
          <w:sz w:val="20"/>
        </w:rPr>
        <w:pict>
          <v:rect id="_x0000_i1034" style="width:2in;height:1pt" o:hrpct="0" o:hralign="center" o:hrstd="t" o:hrnoshade="t" o:hr="t" fillcolor="black [3213]" stroked="f"/>
        </w:pict>
      </w:r>
    </w:p>
    <w:p w:rsidR="005D6A19" w:rsidRPr="000A5368" w:rsidRDefault="005D6A19"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40690</w:t>
            </w:r>
          </w:p>
        </w:tc>
        <w:tc>
          <w:tcPr>
            <w:tcW w:w="4457" w:type="pct"/>
            <w:gridSpan w:val="3"/>
          </w:tcPr>
          <w:p w:rsidR="004928A3" w:rsidRPr="000A5368" w:rsidRDefault="004928A3" w:rsidP="00E05AB6">
            <w:pPr>
              <w:pStyle w:val="SCCLsocParty"/>
              <w:jc w:val="both"/>
              <w:rPr>
                <w:b/>
                <w:sz w:val="20"/>
                <w:szCs w:val="20"/>
                <w:lang w:val="en-US"/>
              </w:rPr>
            </w:pPr>
            <w:r w:rsidRPr="000A5368">
              <w:rPr>
                <w:b/>
                <w:sz w:val="20"/>
                <w:szCs w:val="20"/>
                <w:lang w:val="en-US"/>
              </w:rPr>
              <w:t>Colin Hugh Tweedie v. His Majesty the King</w:t>
            </w:r>
          </w:p>
          <w:p w:rsidR="004928A3" w:rsidRPr="000A5368" w:rsidRDefault="004928A3" w:rsidP="00E05AB6">
            <w:pPr>
              <w:jc w:val="both"/>
              <w:rPr>
                <w:sz w:val="20"/>
              </w:rPr>
            </w:pPr>
            <w:r w:rsidRPr="000A5368">
              <w:rPr>
                <w:sz w:val="20"/>
              </w:rPr>
              <w:t>(N.S.) (Criminal) (By Leave)</w:t>
            </w:r>
          </w:p>
        </w:tc>
      </w:tr>
      <w:tr w:rsidR="004928A3" w:rsidRPr="000A5368" w:rsidTr="004928A3">
        <w:tc>
          <w:tcPr>
            <w:tcW w:w="5000" w:type="pct"/>
            <w:gridSpan w:val="4"/>
          </w:tcPr>
          <w:p w:rsidR="004928A3" w:rsidRPr="000A5368" w:rsidRDefault="004928A3" w:rsidP="00E05AB6">
            <w:pPr>
              <w:jc w:val="both"/>
              <w:rPr>
                <w:sz w:val="20"/>
              </w:rPr>
            </w:pPr>
            <w:r w:rsidRPr="000A5368">
              <w:rPr>
                <w:sz w:val="20"/>
              </w:rPr>
              <w:t xml:space="preserve">Criminal law — Evidence — Assessment — Whether the Court of Appeal erred in finding that the trial judge erred by not applying the statutory presumption in s. 320.31(4) of the </w:t>
            </w:r>
            <w:r w:rsidRPr="000A5368">
              <w:rPr>
                <w:i/>
                <w:sz w:val="20"/>
              </w:rPr>
              <w:t>Criminal Code</w:t>
            </w:r>
            <w:r w:rsidRPr="000A5368">
              <w:rPr>
                <w:sz w:val="20"/>
              </w:rPr>
              <w:t xml:space="preserve"> to the s. 320.14(3) offence — Whether the Court of Appeal erred by allowing the respondent to raise new issues and argument for the first time on appeal — Whether the Court of Appeal erred in law — Whether the Court of Appeal erred in finding that the trial judge did not consider wilful blindness?</w:t>
            </w:r>
          </w:p>
        </w:tc>
      </w:tr>
      <w:tr w:rsidR="004928A3" w:rsidRPr="000A5368" w:rsidTr="004928A3">
        <w:tc>
          <w:tcPr>
            <w:tcW w:w="5000" w:type="pct"/>
            <w:gridSpan w:val="4"/>
          </w:tcPr>
          <w:p w:rsidR="004928A3" w:rsidRPr="000A5368" w:rsidRDefault="004928A3" w:rsidP="00E05AB6">
            <w:pPr>
              <w:jc w:val="both"/>
              <w:rPr>
                <w:sz w:val="20"/>
              </w:rPr>
            </w:pPr>
          </w:p>
          <w:p w:rsidR="004928A3" w:rsidRPr="000A5368" w:rsidRDefault="004928A3" w:rsidP="00E05AB6">
            <w:pPr>
              <w:jc w:val="both"/>
              <w:rPr>
                <w:sz w:val="20"/>
              </w:rPr>
            </w:pPr>
            <w:r w:rsidRPr="000A5368">
              <w:rPr>
                <w:color w:val="000000"/>
                <w:sz w:val="20"/>
              </w:rPr>
              <w:t>Mr. Tweedie was driving a vehicle that struck and killed a young girl on a bicycle at dusk. He did not stop and later told police he thought he had hit a deer. After Mr. Tweedie’s arrest, breath samples were taken and analyzed for blood alcohol concentration (BAC). Mr. Tweedie was taken into custody and ultimately charged with four offences: dangerous driving causing death; having a BAC equal to or exceeding 80 mg of alcohol in 100 ml of blood within two hours after ceasing to operate a vehicle and thereby causing death; failure to stop, without reasonable excuse, after knowing or being reckless as to whether his vehicle had been involved in an accident resulting in death of a person; and obstruction of justice. On the second day of trial, Mr. Tweedie changed his plea to guilty for the obstruction of justice charge. He admitted to lying to the police about who was driving. The Supreme Court of Nova Scotia acquitted Mr. Tweedie of the remaining charges. The Court of Appeal allowed the appeal, set aside the acquittals, and ordered a new trial.</w:t>
            </w:r>
          </w:p>
        </w:tc>
      </w:tr>
      <w:tr w:rsidR="004928A3" w:rsidRPr="000A5368" w:rsidTr="004928A3">
        <w:tc>
          <w:tcPr>
            <w:tcW w:w="5000" w:type="pct"/>
            <w:gridSpan w:val="4"/>
          </w:tcPr>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March 25, 2022</w:t>
            </w:r>
          </w:p>
          <w:p w:rsidR="004928A3" w:rsidRPr="000A5368" w:rsidRDefault="004928A3" w:rsidP="00E05AB6">
            <w:pPr>
              <w:jc w:val="both"/>
              <w:rPr>
                <w:sz w:val="20"/>
              </w:rPr>
            </w:pPr>
            <w:r w:rsidRPr="000A5368">
              <w:rPr>
                <w:sz w:val="20"/>
              </w:rPr>
              <w:t xml:space="preserve">Supreme Court of Nova Scotia </w:t>
            </w:r>
          </w:p>
          <w:p w:rsidR="004928A3" w:rsidRPr="000A5368" w:rsidRDefault="004928A3" w:rsidP="00E05AB6">
            <w:pPr>
              <w:jc w:val="both"/>
              <w:rPr>
                <w:sz w:val="20"/>
              </w:rPr>
            </w:pPr>
            <w:r w:rsidRPr="000A5368">
              <w:rPr>
                <w:sz w:val="20"/>
              </w:rPr>
              <w:t>(Lynch J.)</w:t>
            </w:r>
          </w:p>
          <w:p w:rsidR="004928A3" w:rsidRPr="000A5368" w:rsidRDefault="000A5368" w:rsidP="00E05AB6">
            <w:pPr>
              <w:jc w:val="both"/>
              <w:rPr>
                <w:sz w:val="20"/>
              </w:rPr>
            </w:pPr>
            <w:hyperlink r:id="rId36" w:history="1">
              <w:r w:rsidR="004928A3" w:rsidRPr="000A5368">
                <w:rPr>
                  <w:rStyle w:val="Hyperlink"/>
                  <w:sz w:val="20"/>
                </w:rPr>
                <w:t>2022 NSSC 75</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Applicant pled guilty to obstruction of justice; acquittals entered for remaining charges</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January 19, 2023</w:t>
            </w:r>
          </w:p>
          <w:p w:rsidR="004928A3" w:rsidRPr="000A5368" w:rsidRDefault="004928A3" w:rsidP="00E05AB6">
            <w:pPr>
              <w:jc w:val="both"/>
              <w:rPr>
                <w:sz w:val="20"/>
              </w:rPr>
            </w:pPr>
            <w:r w:rsidRPr="000A5368">
              <w:rPr>
                <w:sz w:val="20"/>
              </w:rPr>
              <w:t>Nova Scotia Court of Appeal</w:t>
            </w:r>
          </w:p>
          <w:p w:rsidR="004928A3" w:rsidRPr="000A5368" w:rsidRDefault="004928A3" w:rsidP="00E05AB6">
            <w:pPr>
              <w:jc w:val="both"/>
              <w:rPr>
                <w:sz w:val="20"/>
              </w:rPr>
            </w:pPr>
            <w:r w:rsidRPr="000A5368">
              <w:rPr>
                <w:sz w:val="20"/>
              </w:rPr>
              <w:t xml:space="preserve">(Wood C.J., Bourgeois and Derrick JJ.A.) </w:t>
            </w:r>
          </w:p>
          <w:p w:rsidR="004928A3" w:rsidRPr="000A5368" w:rsidRDefault="004928A3" w:rsidP="00E05AB6">
            <w:pPr>
              <w:jc w:val="both"/>
              <w:rPr>
                <w:sz w:val="20"/>
              </w:rPr>
            </w:pPr>
            <w:r w:rsidRPr="000A5368">
              <w:rPr>
                <w:sz w:val="20"/>
              </w:rPr>
              <w:t xml:space="preserve">CAC514477; </w:t>
            </w:r>
            <w:hyperlink r:id="rId37" w:history="1">
              <w:r w:rsidRPr="000A5368">
                <w:rPr>
                  <w:rStyle w:val="Hyperlink"/>
                  <w:sz w:val="20"/>
                </w:rPr>
                <w:t>2023 NSCA 11</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Appeal allowed: acquittals set aside, new trial ordered</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April 17, 2023</w:t>
            </w:r>
          </w:p>
          <w:p w:rsidR="004928A3" w:rsidRPr="000A5368" w:rsidRDefault="004928A3" w:rsidP="00E05AB6">
            <w:pPr>
              <w:jc w:val="both"/>
              <w:rPr>
                <w:sz w:val="20"/>
              </w:rPr>
            </w:pPr>
            <w:r w:rsidRPr="000A5368">
              <w:rPr>
                <w:sz w:val="20"/>
              </w:rPr>
              <w:t>Supreme Court of Canada</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Motion for an extension of time to serve and file the application for leave to appeal and application for leave to appeal filed</w:t>
            </w:r>
          </w:p>
        </w:tc>
      </w:tr>
    </w:tbl>
    <w:p w:rsidR="004928A3" w:rsidRPr="000A5368" w:rsidRDefault="004928A3" w:rsidP="00E05AB6">
      <w:pPr>
        <w:jc w:val="both"/>
        <w:rPr>
          <w:sz w:val="20"/>
        </w:rPr>
      </w:pPr>
    </w:p>
    <w:p w:rsidR="004928A3" w:rsidRPr="000A5368" w:rsidRDefault="000A5368" w:rsidP="00E05AB6">
      <w:pPr>
        <w:jc w:val="both"/>
        <w:rPr>
          <w:sz w:val="20"/>
        </w:rPr>
      </w:pPr>
      <w:r w:rsidRPr="000A5368">
        <w:rPr>
          <w:sz w:val="20"/>
        </w:rPr>
        <w:pict>
          <v:rect id="_x0000_i1035" style="width:2in;height:1pt" o:hrpct="0" o:hralign="center" o:hrstd="t" o:hrnoshade="t" o:hr="t" fillcolor="black [3213]" stroked="f"/>
        </w:pict>
      </w:r>
    </w:p>
    <w:p w:rsidR="004928A3" w:rsidRPr="000A5368" w:rsidRDefault="004928A3"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lang w:val="fr-CA"/>
              </w:rPr>
            </w:pPr>
            <w:r w:rsidRPr="000A5368">
              <w:rPr>
                <w:rStyle w:val="SCCFileNumberChar"/>
                <w:sz w:val="20"/>
                <w:szCs w:val="20"/>
                <w:lang w:val="fr-CA"/>
              </w:rPr>
              <w:t>40690</w:t>
            </w:r>
          </w:p>
        </w:tc>
        <w:tc>
          <w:tcPr>
            <w:tcW w:w="4457" w:type="pct"/>
            <w:gridSpan w:val="3"/>
          </w:tcPr>
          <w:p w:rsidR="004928A3" w:rsidRPr="000A5368" w:rsidRDefault="004928A3" w:rsidP="00E05AB6">
            <w:pPr>
              <w:pStyle w:val="SCCLsocParty"/>
              <w:jc w:val="both"/>
              <w:rPr>
                <w:b/>
                <w:sz w:val="20"/>
                <w:szCs w:val="20"/>
              </w:rPr>
            </w:pPr>
            <w:r w:rsidRPr="000A5368">
              <w:rPr>
                <w:b/>
                <w:sz w:val="20"/>
                <w:szCs w:val="20"/>
              </w:rPr>
              <w:t>Colin Hugh Tweedie c. Sa Majesté le Roi</w:t>
            </w:r>
          </w:p>
          <w:p w:rsidR="004928A3" w:rsidRPr="000A5368" w:rsidRDefault="004928A3" w:rsidP="00E05AB6">
            <w:pPr>
              <w:jc w:val="both"/>
              <w:rPr>
                <w:sz w:val="20"/>
                <w:lang w:val="fr-CA"/>
              </w:rPr>
            </w:pPr>
            <w:r w:rsidRPr="000A5368">
              <w:rPr>
                <w:sz w:val="20"/>
                <w:lang w:val="fr-CA"/>
              </w:rPr>
              <w:t>(N.-É.) (Criminelle) (Sur autorisation)</w:t>
            </w: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 xml:space="preserve">Droit criminel — Preuve — Appréciation — La Cour d’appel a-t-elle fait erreur en concluant que la juge du procès a commis une erreur en omettant d’appliquer la présomption légale prévue au par. 320.31(4) du </w:t>
            </w:r>
            <w:r w:rsidRPr="000A5368">
              <w:rPr>
                <w:i/>
                <w:sz w:val="20"/>
                <w:lang w:val="fr-CA"/>
              </w:rPr>
              <w:t>Code criminel</w:t>
            </w:r>
            <w:r w:rsidRPr="000A5368">
              <w:rPr>
                <w:sz w:val="20"/>
                <w:lang w:val="fr-CA"/>
              </w:rPr>
              <w:t xml:space="preserve"> à l’égard de l’infraction décrite au par. 320.14(3) ? — La Cour d’appel a-t-elle commis une erreur en permettant à la partie intimée de soulever de nouvelles questions et de nouveaux arguments pour la première fois en appel ? — La Cour d’appel a-t-elle commis une erreur de droit ? — La Cour d’appel a-t-elle fait erreur en concluant que la juge du procès n’a pas examiné la question d’aveuglement volontaire ?</w:t>
            </w:r>
          </w:p>
        </w:tc>
      </w:tr>
      <w:tr w:rsidR="004928A3" w:rsidRPr="000A5368" w:rsidTr="004928A3">
        <w:tc>
          <w:tcPr>
            <w:tcW w:w="5000" w:type="pct"/>
            <w:gridSpan w:val="4"/>
          </w:tcPr>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color w:val="000000"/>
                <w:sz w:val="20"/>
                <w:lang w:val="fr-CA"/>
              </w:rPr>
              <w:t>Alors que Monsieur Tweedie conduisait son véhicule à la brunante, il a heurté et tué une jeune fille qui était à bicyclette. Il ne s’est pas arrêté et a plus tard dit à la police qu’il croyait avoir frappé un cerf. Après l’arrestation de M. Tweedie, on a procédé à un prélèvement d’échantillons d’haleine et analysé son taux d’alcoolémie. Monsieur Tweedie a été détenu et accusé de quatre infractions en définitive :</w:t>
            </w:r>
            <w:r w:rsidRPr="000A5368">
              <w:rPr>
                <w:sz w:val="20"/>
                <w:lang w:val="fr-CA"/>
              </w:rPr>
              <w:t xml:space="preserve"> </w:t>
            </w:r>
            <w:r w:rsidRPr="000A5368">
              <w:rPr>
                <w:color w:val="000000"/>
                <w:sz w:val="20"/>
                <w:lang w:val="fr-CA"/>
              </w:rPr>
              <w:t>conduite dangereuse causant la mort;</w:t>
            </w:r>
            <w:r w:rsidRPr="000A5368">
              <w:rPr>
                <w:color w:val="333333"/>
                <w:sz w:val="20"/>
                <w:shd w:val="clear" w:color="auto" w:fill="FFFFFF"/>
                <w:lang w:val="fr-CA"/>
              </w:rPr>
              <w:t xml:space="preserve"> taux d’</w:t>
            </w:r>
            <w:r w:rsidRPr="000A5368">
              <w:rPr>
                <w:color w:val="000000"/>
                <w:sz w:val="20"/>
                <w:lang w:val="fr-CA"/>
              </w:rPr>
              <w:t>alcoolémie égal ou supérieur à 80 mg d’alcool par 100 ml de sang dans les deux heures après avoir cessé de conduire un véhicule, causant ainsi la mort; omission de s’arrêter, sans excuse raisonnable, sachant ou ne se souciant pas du fait que son véhicule avait été impliqué dans un accident qui a entraîné la mort d’une autre personne, et entrave à la justice. Le deuxième jour du procès, M. Tweedie a changé son plaidoyer et a reconnu sa culpabilité à l’égard du chef d’accusation d’entrave à la justice. Il a admis avoir menti à la police concernant qui était au volant du véhicule. La Cour suprême de la Nouvelle-Écosse a acquitté M. Tweedie des autres chefs d’accusation. La Cour d’appel a accueilli l’appel, annulé les acquittements et ordonné la tenue d’un nouveau procès.</w:t>
            </w:r>
          </w:p>
        </w:tc>
      </w:tr>
      <w:tr w:rsidR="004928A3" w:rsidRPr="000A5368" w:rsidTr="004928A3">
        <w:tc>
          <w:tcPr>
            <w:tcW w:w="5000" w:type="pct"/>
            <w:gridSpan w:val="4"/>
          </w:tcPr>
          <w:p w:rsidR="004928A3" w:rsidRPr="000A5368" w:rsidRDefault="004928A3" w:rsidP="001060E4">
            <w:pPr>
              <w:shd w:val="clear" w:color="auto" w:fill="FFFFFF"/>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25 mars 2022</w:t>
            </w:r>
          </w:p>
          <w:p w:rsidR="004928A3" w:rsidRPr="000A5368" w:rsidRDefault="004928A3" w:rsidP="00E05AB6">
            <w:pPr>
              <w:jc w:val="both"/>
              <w:rPr>
                <w:sz w:val="20"/>
                <w:lang w:val="fr-CA"/>
              </w:rPr>
            </w:pPr>
            <w:r w:rsidRPr="000A5368">
              <w:rPr>
                <w:sz w:val="20"/>
                <w:lang w:val="fr-CA"/>
              </w:rPr>
              <w:t xml:space="preserve">Cour suprême de la Nouvelle-Écosse </w:t>
            </w:r>
          </w:p>
          <w:p w:rsidR="004928A3" w:rsidRPr="000A5368" w:rsidRDefault="004928A3" w:rsidP="00E05AB6">
            <w:pPr>
              <w:jc w:val="both"/>
              <w:rPr>
                <w:sz w:val="20"/>
                <w:lang w:val="fr-CA"/>
              </w:rPr>
            </w:pPr>
            <w:r w:rsidRPr="000A5368">
              <w:rPr>
                <w:sz w:val="20"/>
                <w:lang w:val="fr-CA"/>
              </w:rPr>
              <w:t>(juge Lynch)</w:t>
            </w:r>
          </w:p>
          <w:p w:rsidR="004928A3" w:rsidRPr="000A5368" w:rsidRDefault="000A5368" w:rsidP="00E05AB6">
            <w:pPr>
              <w:jc w:val="both"/>
              <w:rPr>
                <w:sz w:val="20"/>
                <w:lang w:val="fr-CA"/>
              </w:rPr>
            </w:pPr>
            <w:hyperlink r:id="rId38" w:history="1">
              <w:r w:rsidR="004928A3" w:rsidRPr="000A5368">
                <w:rPr>
                  <w:rStyle w:val="Hyperlink"/>
                  <w:sz w:val="20"/>
                  <w:lang w:val="fr-CA"/>
                </w:rPr>
                <w:t>2022 NSSC 75</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Le demandeur plaide coupable à l’entrave à la justice; il est acquitté des autres accusations portées contre lui.</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19 janvier 2023</w:t>
            </w:r>
          </w:p>
          <w:p w:rsidR="004928A3" w:rsidRPr="000A5368" w:rsidRDefault="004928A3" w:rsidP="00E05AB6">
            <w:pPr>
              <w:jc w:val="both"/>
              <w:rPr>
                <w:sz w:val="20"/>
                <w:lang w:val="fr-CA"/>
              </w:rPr>
            </w:pPr>
            <w:r w:rsidRPr="000A5368">
              <w:rPr>
                <w:sz w:val="20"/>
                <w:lang w:val="fr-CA"/>
              </w:rPr>
              <w:t>Cour d’appel de la Nouvelle-Écosse</w:t>
            </w:r>
          </w:p>
          <w:p w:rsidR="004928A3" w:rsidRPr="000A5368" w:rsidRDefault="004928A3" w:rsidP="00E05AB6">
            <w:pPr>
              <w:jc w:val="both"/>
              <w:rPr>
                <w:sz w:val="20"/>
                <w:lang w:val="fr-CA"/>
              </w:rPr>
            </w:pPr>
            <w:r w:rsidRPr="000A5368">
              <w:rPr>
                <w:sz w:val="20"/>
                <w:lang w:val="fr-CA"/>
              </w:rPr>
              <w:t xml:space="preserve">(juge en chef Wood, juges Bourgeois et Derrick) </w:t>
            </w:r>
          </w:p>
          <w:p w:rsidR="004928A3" w:rsidRPr="000A5368" w:rsidRDefault="004928A3" w:rsidP="00E05AB6">
            <w:pPr>
              <w:jc w:val="both"/>
              <w:rPr>
                <w:sz w:val="20"/>
                <w:lang w:val="fr-CA"/>
              </w:rPr>
            </w:pPr>
            <w:r w:rsidRPr="000A5368">
              <w:rPr>
                <w:sz w:val="20"/>
                <w:lang w:val="fr-CA"/>
              </w:rPr>
              <w:t xml:space="preserve">CAC514477; </w:t>
            </w:r>
            <w:hyperlink r:id="rId39" w:history="1">
              <w:r w:rsidRPr="000A5368">
                <w:rPr>
                  <w:rStyle w:val="Hyperlink"/>
                  <w:sz w:val="20"/>
                  <w:lang w:val="fr-CA"/>
                </w:rPr>
                <w:t>2023 NSCA 11</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L’appel est accueilli : les acquittements sont annulés, la tenue d’un nouveau procès est ordonnée.</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17 avril 2023</w:t>
            </w:r>
          </w:p>
          <w:p w:rsidR="004928A3" w:rsidRPr="000A5368" w:rsidRDefault="004928A3" w:rsidP="00E05AB6">
            <w:pPr>
              <w:jc w:val="both"/>
              <w:rPr>
                <w:sz w:val="20"/>
                <w:lang w:val="fr-CA"/>
              </w:rPr>
            </w:pPr>
            <w:r w:rsidRPr="000A5368">
              <w:rPr>
                <w:sz w:val="20"/>
                <w:lang w:val="fr-CA"/>
              </w:rPr>
              <w:t>Cour suprême du Canada</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requête en vue de la prorogation du délai pour signifier et déposer la demande d’autorisation d’appel et la demande d’autorisation d’appel sont présentées.</w:t>
            </w:r>
          </w:p>
        </w:tc>
      </w:tr>
    </w:tbl>
    <w:p w:rsidR="004928A3" w:rsidRPr="000A5368" w:rsidRDefault="004928A3" w:rsidP="00E05AB6">
      <w:pPr>
        <w:jc w:val="both"/>
        <w:rPr>
          <w:sz w:val="20"/>
          <w:lang w:val="fr-CA"/>
        </w:rPr>
      </w:pPr>
    </w:p>
    <w:p w:rsidR="004928A3" w:rsidRPr="000A5368" w:rsidRDefault="000A5368" w:rsidP="00E05AB6">
      <w:pPr>
        <w:widowControl w:val="0"/>
        <w:jc w:val="both"/>
        <w:rPr>
          <w:sz w:val="20"/>
        </w:rPr>
      </w:pPr>
      <w:r w:rsidRPr="000A5368">
        <w:rPr>
          <w:sz w:val="20"/>
        </w:rPr>
        <w:pict>
          <v:rect id="_x0000_i1036" style="width:2in;height:1pt" o:hrpct="0" o:hralign="center" o:hrstd="t" o:hrnoshade="t" o:hr="t" fillcolor="black [3213]" stroked="f"/>
        </w:pict>
      </w:r>
    </w:p>
    <w:p w:rsidR="005D6A19" w:rsidRPr="000A5368" w:rsidRDefault="005D6A19"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40669</w:t>
            </w:r>
          </w:p>
        </w:tc>
        <w:tc>
          <w:tcPr>
            <w:tcW w:w="4457" w:type="pct"/>
            <w:gridSpan w:val="3"/>
          </w:tcPr>
          <w:p w:rsidR="004928A3" w:rsidRPr="000A5368" w:rsidRDefault="004928A3" w:rsidP="00E05AB6">
            <w:pPr>
              <w:pStyle w:val="SCCLsocParty"/>
              <w:jc w:val="both"/>
              <w:rPr>
                <w:b/>
                <w:sz w:val="20"/>
                <w:szCs w:val="20"/>
                <w:lang w:val="en-US"/>
              </w:rPr>
            </w:pPr>
            <w:r w:rsidRPr="000A5368">
              <w:rPr>
                <w:b/>
                <w:sz w:val="20"/>
                <w:szCs w:val="20"/>
                <w:lang w:val="en-US"/>
              </w:rPr>
              <w:t>The Owners, Strata Plan NW 2364 v. The Owners, Strata Plan NW 2301</w:t>
            </w:r>
          </w:p>
          <w:p w:rsidR="004928A3" w:rsidRPr="000A5368" w:rsidRDefault="004928A3" w:rsidP="00E05AB6">
            <w:pPr>
              <w:jc w:val="both"/>
              <w:rPr>
                <w:sz w:val="20"/>
              </w:rPr>
            </w:pPr>
            <w:r w:rsidRPr="000A5368">
              <w:rPr>
                <w:sz w:val="20"/>
              </w:rPr>
              <w:t>(B.C.) (Civil) (By Leave)</w:t>
            </w:r>
          </w:p>
        </w:tc>
      </w:tr>
      <w:tr w:rsidR="004928A3" w:rsidRPr="000A5368" w:rsidTr="004928A3">
        <w:tc>
          <w:tcPr>
            <w:tcW w:w="5000" w:type="pct"/>
            <w:gridSpan w:val="4"/>
          </w:tcPr>
          <w:p w:rsidR="004928A3" w:rsidRPr="000A5368" w:rsidRDefault="004928A3" w:rsidP="00E05AB6">
            <w:pPr>
              <w:jc w:val="both"/>
              <w:rPr>
                <w:sz w:val="20"/>
              </w:rPr>
            </w:pPr>
            <w:r w:rsidRPr="000A5368">
              <w:rPr>
                <w:sz w:val="20"/>
              </w:rPr>
              <w:t xml:space="preserve">Civil procedure — Pleadings — Contracts — Remedies — Post-incorporation contracts – Property — Real property — Covenants — Owners of one strata property seeking to unilaterally terminate the terms of a registered covenant under which amenities were shared and paid for by adjoining strata corporations — When should a claimant be held to the relief sought in its prayer for relief — What is the proper framework for determining when a court should grant an unpleaded alternative relief — </w:t>
            </w:r>
            <w:r w:rsidRPr="000A5368">
              <w:rPr>
                <w:i/>
                <w:color w:val="000000"/>
                <w:sz w:val="20"/>
              </w:rPr>
              <w:t xml:space="preserve">Owners, Strata Plan LMS 3905 </w:t>
            </w:r>
            <w:r w:rsidRPr="000A5368">
              <w:rPr>
                <w:i/>
                <w:iCs/>
                <w:color w:val="000000"/>
                <w:sz w:val="20"/>
              </w:rPr>
              <w:t>v.</w:t>
            </w:r>
            <w:r w:rsidRPr="000A5368">
              <w:rPr>
                <w:i/>
                <w:color w:val="000000"/>
                <w:sz w:val="20"/>
              </w:rPr>
              <w:t xml:space="preserve"> Crystal Square Parking Corp</w:t>
            </w:r>
            <w:r w:rsidRPr="000A5368">
              <w:rPr>
                <w:color w:val="000000"/>
                <w:sz w:val="20"/>
              </w:rPr>
              <w:t>., 2020 SCC 29</w:t>
            </w:r>
            <w:r w:rsidRPr="000A5368">
              <w:rPr>
                <w:sz w:val="20"/>
              </w:rPr>
              <w:t>.</w:t>
            </w:r>
          </w:p>
        </w:tc>
      </w:tr>
      <w:tr w:rsidR="004928A3" w:rsidRPr="000A5368" w:rsidTr="004928A3">
        <w:tc>
          <w:tcPr>
            <w:tcW w:w="5000" w:type="pct"/>
            <w:gridSpan w:val="4"/>
          </w:tcPr>
          <w:p w:rsidR="004928A3" w:rsidRPr="000A5368" w:rsidRDefault="004928A3" w:rsidP="00E05AB6">
            <w:pPr>
              <w:jc w:val="both"/>
              <w:rPr>
                <w:sz w:val="20"/>
              </w:rPr>
            </w:pPr>
          </w:p>
          <w:p w:rsidR="004928A3" w:rsidRPr="000A5368" w:rsidRDefault="004928A3" w:rsidP="00E05AB6">
            <w:pPr>
              <w:jc w:val="both"/>
              <w:rPr>
                <w:sz w:val="20"/>
              </w:rPr>
            </w:pPr>
            <w:r w:rsidRPr="000A5368">
              <w:rPr>
                <w:sz w:val="20"/>
              </w:rPr>
              <w:t>The applicant strata corporation sought to unilaterally terminate its responsibilities under a registered covenant to share the use and costs of amenities located on an adjacent strata property. The respondent strata corporation brought a petition seeking to enforce the covenant. Although not included in its prayer for relief, it argued that the terms of the covenant were duplicated in a post-incorporation contract between the two strata corporations. The applicant countered that this argument was precluded because it had not been asserted in the respondent’s pleadings and could not be dealt with through a petition. It argued that if such a contract exists it can be terminated upon reasonable notice.</w:t>
            </w:r>
          </w:p>
          <w:p w:rsidR="004928A3" w:rsidRPr="000A5368" w:rsidRDefault="004928A3" w:rsidP="00E05AB6">
            <w:pPr>
              <w:jc w:val="both"/>
              <w:rPr>
                <w:sz w:val="20"/>
              </w:rPr>
            </w:pPr>
          </w:p>
          <w:p w:rsidR="004928A3" w:rsidRPr="000A5368" w:rsidRDefault="004928A3" w:rsidP="00E05AB6">
            <w:pPr>
              <w:jc w:val="both"/>
              <w:rPr>
                <w:sz w:val="20"/>
              </w:rPr>
            </w:pPr>
            <w:r w:rsidRPr="000A5368">
              <w:rPr>
                <w:sz w:val="20"/>
              </w:rPr>
              <w:t xml:space="preserve">The Supreme Court of British Columbia rejected the applicant’s objections to the pleadings, finding that </w:t>
            </w:r>
            <w:r w:rsidRPr="000A5368">
              <w:rPr>
                <w:color w:val="000000"/>
                <w:sz w:val="20"/>
              </w:rPr>
              <w:t xml:space="preserve">they sufficiently identified the matters in dispute. </w:t>
            </w:r>
            <w:r w:rsidRPr="000A5368">
              <w:rPr>
                <w:sz w:val="20"/>
              </w:rPr>
              <w:t>The court held that the respondent could not enforce a s. 219 covenant, but found that the parties had entered into a post-incorporation contract on the same terms as the covenant, which could not be terminated unilaterally by the applicant. The Court of Appeal for British Columbia dismissed the appeal.</w:t>
            </w:r>
          </w:p>
        </w:tc>
      </w:tr>
      <w:tr w:rsidR="004928A3" w:rsidRPr="000A5368" w:rsidTr="004928A3">
        <w:tc>
          <w:tcPr>
            <w:tcW w:w="5000" w:type="pct"/>
            <w:gridSpan w:val="4"/>
          </w:tcPr>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March 31, 2022</w:t>
            </w:r>
          </w:p>
          <w:p w:rsidR="004928A3" w:rsidRPr="000A5368" w:rsidRDefault="004928A3" w:rsidP="00E05AB6">
            <w:pPr>
              <w:jc w:val="both"/>
              <w:rPr>
                <w:sz w:val="20"/>
              </w:rPr>
            </w:pPr>
            <w:r w:rsidRPr="000A5368">
              <w:rPr>
                <w:sz w:val="20"/>
              </w:rPr>
              <w:t>Supreme Court of British Columbia</w:t>
            </w:r>
          </w:p>
          <w:p w:rsidR="004928A3" w:rsidRPr="000A5368" w:rsidRDefault="004928A3" w:rsidP="00E05AB6">
            <w:pPr>
              <w:jc w:val="both"/>
              <w:rPr>
                <w:sz w:val="20"/>
              </w:rPr>
            </w:pPr>
            <w:r w:rsidRPr="000A5368">
              <w:rPr>
                <w:sz w:val="20"/>
              </w:rPr>
              <w:t>(Wilson J.)</w:t>
            </w:r>
          </w:p>
          <w:p w:rsidR="004928A3" w:rsidRPr="000A5368" w:rsidRDefault="000A5368" w:rsidP="00E05AB6">
            <w:pPr>
              <w:jc w:val="both"/>
              <w:rPr>
                <w:sz w:val="20"/>
              </w:rPr>
            </w:pPr>
            <w:hyperlink r:id="rId40" w:history="1">
              <w:r w:rsidR="004928A3" w:rsidRPr="000A5368">
                <w:rPr>
                  <w:rStyle w:val="Hyperlink"/>
                  <w:sz w:val="20"/>
                </w:rPr>
                <w:t>2022 BCSC 527</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Applicant and respondent held to be bound by a post-incorporation contract.</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January 30, 2023</w:t>
            </w:r>
          </w:p>
          <w:p w:rsidR="004928A3" w:rsidRPr="000A5368" w:rsidRDefault="004928A3" w:rsidP="00E05AB6">
            <w:pPr>
              <w:jc w:val="both"/>
              <w:rPr>
                <w:sz w:val="20"/>
              </w:rPr>
            </w:pPr>
            <w:r w:rsidRPr="000A5368">
              <w:rPr>
                <w:sz w:val="20"/>
              </w:rPr>
              <w:t xml:space="preserve">Court of Appeal for British Columbia </w:t>
            </w:r>
          </w:p>
          <w:p w:rsidR="004928A3" w:rsidRPr="000A5368" w:rsidRDefault="004928A3" w:rsidP="00E05AB6">
            <w:pPr>
              <w:jc w:val="both"/>
              <w:rPr>
                <w:sz w:val="20"/>
              </w:rPr>
            </w:pPr>
            <w:r w:rsidRPr="000A5368">
              <w:rPr>
                <w:sz w:val="20"/>
              </w:rPr>
              <w:t>(Vancouver)</w:t>
            </w:r>
          </w:p>
          <w:p w:rsidR="004928A3" w:rsidRPr="000A5368" w:rsidRDefault="004928A3" w:rsidP="00E05AB6">
            <w:pPr>
              <w:jc w:val="both"/>
              <w:rPr>
                <w:sz w:val="20"/>
              </w:rPr>
            </w:pPr>
            <w:r w:rsidRPr="000A5368">
              <w:rPr>
                <w:sz w:val="20"/>
              </w:rPr>
              <w:t xml:space="preserve">(Saunders, Fitch and DeWitt-Van Oosten </w:t>
            </w:r>
          </w:p>
          <w:p w:rsidR="004928A3" w:rsidRPr="000A5368" w:rsidRDefault="004928A3" w:rsidP="00E05AB6">
            <w:pPr>
              <w:jc w:val="both"/>
              <w:rPr>
                <w:sz w:val="20"/>
              </w:rPr>
            </w:pPr>
            <w:r w:rsidRPr="000A5368">
              <w:rPr>
                <w:sz w:val="20"/>
              </w:rPr>
              <w:t>JJ.A.)</w:t>
            </w:r>
          </w:p>
          <w:p w:rsidR="004928A3" w:rsidRPr="000A5368" w:rsidRDefault="000A5368" w:rsidP="00E05AB6">
            <w:pPr>
              <w:jc w:val="both"/>
              <w:rPr>
                <w:color w:val="000000"/>
                <w:sz w:val="20"/>
              </w:rPr>
            </w:pPr>
            <w:hyperlink r:id="rId41" w:history="1">
              <w:r w:rsidR="004928A3" w:rsidRPr="000A5368">
                <w:rPr>
                  <w:rStyle w:val="Hyperlink"/>
                  <w:sz w:val="20"/>
                </w:rPr>
                <w:t>2023 BCCA 55</w:t>
              </w:r>
            </w:hyperlink>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Appeal dismissed.</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March 30, 2023</w:t>
            </w:r>
          </w:p>
          <w:p w:rsidR="004928A3" w:rsidRPr="000A5368" w:rsidRDefault="004928A3" w:rsidP="00E05AB6">
            <w:pPr>
              <w:jc w:val="both"/>
              <w:rPr>
                <w:sz w:val="20"/>
              </w:rPr>
            </w:pPr>
            <w:r w:rsidRPr="000A5368">
              <w:rPr>
                <w:sz w:val="20"/>
              </w:rPr>
              <w:t>Supreme Court of Canada</w:t>
            </w: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Application for leave to appeal filed.</w:t>
            </w:r>
          </w:p>
          <w:p w:rsidR="004928A3" w:rsidRPr="000A5368" w:rsidRDefault="004928A3" w:rsidP="00E05AB6">
            <w:pPr>
              <w:jc w:val="both"/>
              <w:rPr>
                <w:sz w:val="20"/>
              </w:rPr>
            </w:pPr>
          </w:p>
        </w:tc>
      </w:tr>
    </w:tbl>
    <w:p w:rsidR="004928A3" w:rsidRPr="000A5368" w:rsidRDefault="004928A3" w:rsidP="00E05AB6">
      <w:pPr>
        <w:jc w:val="both"/>
        <w:rPr>
          <w:sz w:val="20"/>
        </w:rPr>
      </w:pPr>
    </w:p>
    <w:p w:rsidR="004928A3" w:rsidRPr="000A5368" w:rsidRDefault="000A5368" w:rsidP="00E05AB6">
      <w:pPr>
        <w:jc w:val="both"/>
        <w:rPr>
          <w:sz w:val="20"/>
        </w:rPr>
      </w:pPr>
      <w:r w:rsidRPr="000A5368">
        <w:rPr>
          <w:sz w:val="20"/>
        </w:rPr>
        <w:pict>
          <v:rect id="_x0000_i1037" style="width:2in;height:1pt" o:hrpct="0" o:hralign="center" o:hrstd="t" o:hrnoshade="t" o:hr="t" fillcolor="black [3213]" stroked="f"/>
        </w:pict>
      </w:r>
    </w:p>
    <w:p w:rsidR="004928A3" w:rsidRPr="000A5368" w:rsidRDefault="004928A3"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lang w:val="fr-CA"/>
              </w:rPr>
            </w:pPr>
            <w:r w:rsidRPr="000A5368">
              <w:rPr>
                <w:rStyle w:val="SCCFileNumberChar"/>
                <w:sz w:val="20"/>
                <w:szCs w:val="20"/>
                <w:lang w:val="fr-CA"/>
              </w:rPr>
              <w:t>40669</w:t>
            </w:r>
          </w:p>
        </w:tc>
        <w:tc>
          <w:tcPr>
            <w:tcW w:w="4457" w:type="pct"/>
            <w:gridSpan w:val="3"/>
          </w:tcPr>
          <w:p w:rsidR="004928A3" w:rsidRPr="000A5368" w:rsidRDefault="004928A3" w:rsidP="00E05AB6">
            <w:pPr>
              <w:pStyle w:val="SCCLsocParty"/>
              <w:jc w:val="both"/>
              <w:rPr>
                <w:b/>
                <w:sz w:val="20"/>
                <w:szCs w:val="20"/>
                <w:lang w:val="en-US"/>
              </w:rPr>
            </w:pPr>
            <w:r w:rsidRPr="000A5368">
              <w:rPr>
                <w:b/>
                <w:sz w:val="20"/>
                <w:szCs w:val="20"/>
                <w:lang w:val="en-US"/>
              </w:rPr>
              <w:t>The Owners, Strata Plan NW 2364 c. The Owners, Strata Plan NW 2301</w:t>
            </w:r>
          </w:p>
          <w:p w:rsidR="004928A3" w:rsidRPr="000A5368" w:rsidRDefault="004928A3" w:rsidP="00E05AB6">
            <w:pPr>
              <w:jc w:val="both"/>
              <w:rPr>
                <w:sz w:val="20"/>
                <w:lang w:val="fr-CA"/>
              </w:rPr>
            </w:pPr>
            <w:r w:rsidRPr="000A5368">
              <w:rPr>
                <w:sz w:val="20"/>
                <w:lang w:val="fr-CA"/>
              </w:rPr>
              <w:t>(C.-B.) (Civile) (Sur autorisation)</w:t>
            </w: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 xml:space="preserve">Procédure civile — Actes de procédure — Contrats — Recours — </w:t>
            </w:r>
            <w:r w:rsidRPr="000A5368">
              <w:rPr>
                <w:iCs/>
                <w:color w:val="000000"/>
                <w:sz w:val="20"/>
                <w:lang w:val="fr-CA"/>
              </w:rPr>
              <w:t>Contrats postérieurs à la constitution d’une entité</w:t>
            </w:r>
            <w:r w:rsidRPr="000A5368">
              <w:rPr>
                <w:color w:val="000000"/>
                <w:sz w:val="20"/>
                <w:lang w:val="fr-CA"/>
              </w:rPr>
              <w:t xml:space="preserve"> —</w:t>
            </w:r>
            <w:r w:rsidRPr="000A5368">
              <w:rPr>
                <w:sz w:val="20"/>
                <w:lang w:val="fr-CA"/>
              </w:rPr>
              <w:t xml:space="preserve"> Biens — Biens réels — Covenants —</w:t>
            </w:r>
            <w:r w:rsidRPr="000A5368">
              <w:rPr>
                <w:color w:val="000000"/>
                <w:sz w:val="20"/>
                <w:lang w:val="fr-CA"/>
              </w:rPr>
              <w:t xml:space="preserve"> Les propriétaires d’une propriété condominiale</w:t>
            </w:r>
            <w:r w:rsidRPr="000A5368">
              <w:rPr>
                <w:sz w:val="20"/>
                <w:lang w:val="fr-CA"/>
              </w:rPr>
              <w:t xml:space="preserve"> cherchent à mettre fin unilatéralement aux conditions d’un engagement enregistré aux termes duquel des a</w:t>
            </w:r>
            <w:r w:rsidRPr="000A5368">
              <w:rPr>
                <w:iCs/>
                <w:color w:val="000000"/>
                <w:sz w:val="20"/>
                <w:lang w:val="fr-CA"/>
              </w:rPr>
              <w:t>ssociations condominiales</w:t>
            </w:r>
            <w:r w:rsidRPr="000A5368">
              <w:rPr>
                <w:sz w:val="20"/>
                <w:lang w:val="fr-CA"/>
              </w:rPr>
              <w:t xml:space="preserve"> avoisinantes se partageaient l’utilisation et le coût de certaines installations — Dans quel cas un demandeur devrait-il s’en tenir à la réparation qu’il a cherché à obtenir au moyen de sa demande de réparation ? — Quel est le cadre d’analyse approprié afin de déterminer si un tribunal devrait accorder une autre réparation qui n’a pas été plaidée ? — </w:t>
            </w:r>
            <w:r w:rsidRPr="000A5368">
              <w:rPr>
                <w:i/>
                <w:color w:val="000000"/>
                <w:sz w:val="20"/>
                <w:lang w:val="fr-CA"/>
              </w:rPr>
              <w:t xml:space="preserve">Owners, Strata Plan LMS 3905 </w:t>
            </w:r>
            <w:r w:rsidRPr="000A5368">
              <w:rPr>
                <w:i/>
                <w:iCs/>
                <w:color w:val="000000"/>
                <w:sz w:val="20"/>
                <w:lang w:val="fr-CA"/>
              </w:rPr>
              <w:t>c.</w:t>
            </w:r>
            <w:r w:rsidRPr="000A5368">
              <w:rPr>
                <w:i/>
                <w:color w:val="000000"/>
                <w:sz w:val="20"/>
                <w:lang w:val="fr-CA"/>
              </w:rPr>
              <w:t xml:space="preserve"> Crystal Square Parking Corp</w:t>
            </w:r>
            <w:r w:rsidRPr="000A5368">
              <w:rPr>
                <w:color w:val="000000"/>
                <w:sz w:val="20"/>
                <w:lang w:val="fr-CA"/>
              </w:rPr>
              <w:t>., 2020 CSC 29</w:t>
            </w:r>
            <w:r w:rsidRPr="000A5368">
              <w:rPr>
                <w:sz w:val="20"/>
                <w:lang w:val="fr-CA"/>
              </w:rPr>
              <w:t>.</w:t>
            </w:r>
          </w:p>
        </w:tc>
      </w:tr>
      <w:tr w:rsidR="004928A3" w:rsidRPr="000A5368" w:rsidTr="004928A3">
        <w:tc>
          <w:tcPr>
            <w:tcW w:w="5000" w:type="pct"/>
            <w:gridSpan w:val="4"/>
          </w:tcPr>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L’association condominiale demanderesse a cherché à mettre fin unilatéralement à ses responsabilités aux termes d’un engagement enregistré de partage de l’utilisation et des coûts d’installations situées sur des propriétés condominiales adjacentes. L’association condominiale intimée a présenté une demande visant à faire exécuter l’engagement. Même si cela ne faisait pas partie de sa demande de réparation, cette dernière a plaidé que les conditions de l’engagement figuraient également dans un</w:t>
            </w:r>
            <w:r w:rsidRPr="000A5368">
              <w:rPr>
                <w:iCs/>
                <w:color w:val="000000"/>
                <w:sz w:val="20"/>
                <w:lang w:val="fr-CA"/>
              </w:rPr>
              <w:t xml:space="preserve"> contrat conclu entre les deux associations condominales</w:t>
            </w:r>
            <w:r w:rsidRPr="000A5368">
              <w:rPr>
                <w:sz w:val="20"/>
                <w:lang w:val="fr-CA"/>
              </w:rPr>
              <w:t xml:space="preserve"> </w:t>
            </w:r>
            <w:r w:rsidRPr="000A5368">
              <w:rPr>
                <w:iCs/>
                <w:color w:val="000000"/>
                <w:sz w:val="20"/>
                <w:lang w:val="fr-CA"/>
              </w:rPr>
              <w:t xml:space="preserve">après leur constitution. </w:t>
            </w:r>
            <w:r w:rsidRPr="000A5368">
              <w:rPr>
                <w:sz w:val="20"/>
                <w:lang w:val="fr-CA"/>
              </w:rPr>
              <w:t>La demanderesse a répliqué que cet argument était irrecevable parce qu’il n’avait pas été invoqué dans les actes de procédure de l’intimée et ne pouvait être examiné au moyen d’une demande. Elle a plaidé que si un tel contrat existe, il peut y être mis fin moyennant un avis raisonnable.</w:t>
            </w:r>
          </w:p>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La Cour suprême de la Colombie-Britannique a rejeté les objections de la demanderesse aux actes de procédure, concluant qu’ils cernaient suffisamment les questions en litige</w:t>
            </w:r>
            <w:r w:rsidRPr="000A5368">
              <w:rPr>
                <w:color w:val="000000"/>
                <w:sz w:val="20"/>
                <w:lang w:val="fr-CA"/>
              </w:rPr>
              <w:t xml:space="preserve">. Elle a statué que </w:t>
            </w:r>
            <w:r w:rsidRPr="000A5368">
              <w:rPr>
                <w:sz w:val="20"/>
                <w:lang w:val="fr-CA"/>
              </w:rPr>
              <w:t>l’intimée ne pouvait faire exécuter un engagement en vertu de l’art. 219, mais que les parties avaient conclu un</w:t>
            </w:r>
            <w:r w:rsidRPr="000A5368">
              <w:rPr>
                <w:iCs/>
                <w:color w:val="000000"/>
                <w:sz w:val="20"/>
                <w:lang w:val="fr-CA"/>
              </w:rPr>
              <w:t xml:space="preserve"> contrat après leur constitution aux mêmes conditions que celles de l’engagement</w:t>
            </w:r>
            <w:r w:rsidRPr="000A5368">
              <w:rPr>
                <w:sz w:val="20"/>
                <w:lang w:val="fr-CA"/>
              </w:rPr>
              <w:t>, auquel la demanderesse ne pouvait pas mettre fin unilatéralement. La Cour d’appel de la Colombie-Britannique a rejeté l’appel.</w:t>
            </w:r>
          </w:p>
        </w:tc>
      </w:tr>
      <w:tr w:rsidR="004928A3" w:rsidRPr="000A5368" w:rsidTr="004928A3">
        <w:tc>
          <w:tcPr>
            <w:tcW w:w="5000" w:type="pct"/>
            <w:gridSpan w:val="4"/>
          </w:tcPr>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31 mars 2022</w:t>
            </w:r>
          </w:p>
          <w:p w:rsidR="004928A3" w:rsidRPr="000A5368" w:rsidRDefault="004928A3" w:rsidP="00E05AB6">
            <w:pPr>
              <w:jc w:val="both"/>
              <w:rPr>
                <w:sz w:val="20"/>
                <w:lang w:val="fr-CA"/>
              </w:rPr>
            </w:pPr>
            <w:r w:rsidRPr="000A5368">
              <w:rPr>
                <w:sz w:val="20"/>
                <w:lang w:val="fr-CA"/>
              </w:rPr>
              <w:t>Cour suprême de la Colombie-Britannique (juge Wilson)</w:t>
            </w:r>
          </w:p>
          <w:p w:rsidR="004928A3" w:rsidRPr="000A5368" w:rsidRDefault="000A5368" w:rsidP="00E05AB6">
            <w:pPr>
              <w:jc w:val="both"/>
              <w:rPr>
                <w:sz w:val="20"/>
                <w:lang w:val="fr-CA"/>
              </w:rPr>
            </w:pPr>
            <w:hyperlink r:id="rId42" w:history="1">
              <w:r w:rsidR="004928A3" w:rsidRPr="000A5368">
                <w:rPr>
                  <w:rStyle w:val="Hyperlink"/>
                  <w:sz w:val="20"/>
                  <w:lang w:val="fr-CA"/>
                </w:rPr>
                <w:t>2022 BCSC 527</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Il est conclu que la demanderesse et l’intimée sont liées par un</w:t>
            </w:r>
            <w:r w:rsidRPr="000A5368">
              <w:rPr>
                <w:iCs/>
                <w:color w:val="000000"/>
                <w:sz w:val="20"/>
                <w:lang w:val="fr-CA"/>
              </w:rPr>
              <w:t xml:space="preserve"> contrat conclu après leur constitution</w:t>
            </w:r>
            <w:r w:rsidRPr="000A5368">
              <w:rPr>
                <w:sz w:val="20"/>
                <w:lang w:val="fr-CA"/>
              </w:rPr>
              <w:t>.</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30 janvier 2023</w:t>
            </w:r>
          </w:p>
          <w:p w:rsidR="004928A3" w:rsidRPr="000A5368" w:rsidRDefault="004928A3" w:rsidP="00E05AB6">
            <w:pPr>
              <w:jc w:val="both"/>
              <w:rPr>
                <w:sz w:val="20"/>
                <w:lang w:val="fr-CA"/>
              </w:rPr>
            </w:pPr>
            <w:r w:rsidRPr="000A5368">
              <w:rPr>
                <w:sz w:val="20"/>
                <w:lang w:val="fr-CA"/>
              </w:rPr>
              <w:t xml:space="preserve">Cour d’appel de la Colombie-Britannique </w:t>
            </w:r>
          </w:p>
          <w:p w:rsidR="004928A3" w:rsidRPr="000A5368" w:rsidRDefault="004928A3" w:rsidP="00E05AB6">
            <w:pPr>
              <w:jc w:val="both"/>
              <w:rPr>
                <w:sz w:val="20"/>
                <w:lang w:val="fr-CA"/>
              </w:rPr>
            </w:pPr>
            <w:r w:rsidRPr="000A5368">
              <w:rPr>
                <w:sz w:val="20"/>
                <w:lang w:val="fr-CA"/>
              </w:rPr>
              <w:t>(Vancouver)</w:t>
            </w:r>
          </w:p>
          <w:p w:rsidR="004928A3" w:rsidRPr="000A5368" w:rsidRDefault="004928A3" w:rsidP="00E05AB6">
            <w:pPr>
              <w:jc w:val="both"/>
              <w:rPr>
                <w:sz w:val="20"/>
                <w:lang w:val="fr-CA"/>
              </w:rPr>
            </w:pPr>
            <w:r w:rsidRPr="000A5368">
              <w:rPr>
                <w:sz w:val="20"/>
                <w:lang w:val="fr-CA"/>
              </w:rPr>
              <w:t>(juges Saunders, Fitch et DeWitt-Van Oosten)</w:t>
            </w:r>
          </w:p>
          <w:p w:rsidR="004928A3" w:rsidRPr="000A5368" w:rsidRDefault="000A5368" w:rsidP="00E05AB6">
            <w:pPr>
              <w:jc w:val="both"/>
              <w:rPr>
                <w:color w:val="000000"/>
                <w:sz w:val="20"/>
                <w:lang w:val="fr-CA"/>
              </w:rPr>
            </w:pPr>
            <w:hyperlink r:id="rId43" w:history="1">
              <w:r w:rsidR="004928A3" w:rsidRPr="000A5368">
                <w:rPr>
                  <w:rStyle w:val="Hyperlink"/>
                  <w:sz w:val="20"/>
                  <w:lang w:val="fr-CA"/>
                </w:rPr>
                <w:t>2023 BCCA 55</w:t>
              </w:r>
            </w:hyperlink>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L’appel est rejeté.</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30 mars 2023</w:t>
            </w:r>
          </w:p>
          <w:p w:rsidR="004928A3" w:rsidRPr="000A5368" w:rsidRDefault="004928A3" w:rsidP="00E05AB6">
            <w:pPr>
              <w:jc w:val="both"/>
              <w:rPr>
                <w:sz w:val="20"/>
                <w:lang w:val="fr-CA"/>
              </w:rPr>
            </w:pPr>
            <w:r w:rsidRPr="000A5368">
              <w:rPr>
                <w:sz w:val="20"/>
                <w:lang w:val="fr-CA"/>
              </w:rPr>
              <w:t>Cour suprême du Canada</w:t>
            </w: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demande d’autorisation d’appel est présentée.</w:t>
            </w:r>
          </w:p>
        </w:tc>
      </w:tr>
    </w:tbl>
    <w:p w:rsidR="004928A3" w:rsidRPr="000A5368" w:rsidRDefault="004928A3" w:rsidP="00E05AB6">
      <w:pPr>
        <w:jc w:val="both"/>
        <w:rPr>
          <w:sz w:val="20"/>
          <w:lang w:val="fr-CA"/>
        </w:rPr>
      </w:pPr>
    </w:p>
    <w:p w:rsidR="005D6A19" w:rsidRPr="000A5368" w:rsidRDefault="000A5368" w:rsidP="00E05AB6">
      <w:pPr>
        <w:widowControl w:val="0"/>
        <w:jc w:val="both"/>
        <w:rPr>
          <w:sz w:val="20"/>
        </w:rPr>
      </w:pPr>
      <w:r w:rsidRPr="000A5368">
        <w:rPr>
          <w:sz w:val="20"/>
        </w:rPr>
        <w:pict>
          <v:rect id="_x0000_i1038" style="width:2in;height:1pt" o:hrpct="0" o:hralign="center" o:hrstd="t" o:hrnoshade="t" o:hr="t" fillcolor="black [3213]" stroked="f"/>
        </w:pict>
      </w:r>
    </w:p>
    <w:p w:rsidR="005D6A19" w:rsidRPr="000A5368" w:rsidRDefault="005D6A19"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40737</w:t>
            </w:r>
          </w:p>
        </w:tc>
        <w:tc>
          <w:tcPr>
            <w:tcW w:w="4457" w:type="pct"/>
            <w:gridSpan w:val="3"/>
          </w:tcPr>
          <w:p w:rsidR="004928A3" w:rsidRPr="000A5368" w:rsidRDefault="004928A3" w:rsidP="00E05AB6">
            <w:pPr>
              <w:pStyle w:val="SCCLsocParty"/>
              <w:jc w:val="both"/>
              <w:rPr>
                <w:b/>
                <w:sz w:val="20"/>
                <w:szCs w:val="20"/>
                <w:lang w:val="en-US"/>
              </w:rPr>
            </w:pPr>
            <w:r w:rsidRPr="000A5368">
              <w:rPr>
                <w:b/>
                <w:sz w:val="20"/>
                <w:szCs w:val="20"/>
                <w:lang w:val="en-US"/>
              </w:rPr>
              <w:t>Noufal Mais v. Maha Shoman</w:t>
            </w:r>
          </w:p>
          <w:p w:rsidR="004928A3" w:rsidRPr="000A5368" w:rsidRDefault="004928A3" w:rsidP="00E05AB6">
            <w:pPr>
              <w:jc w:val="both"/>
              <w:rPr>
                <w:sz w:val="20"/>
              </w:rPr>
            </w:pPr>
            <w:r w:rsidRPr="000A5368">
              <w:rPr>
                <w:sz w:val="20"/>
              </w:rPr>
              <w:t>(Sask.) (Civil) (By Leave)</w:t>
            </w:r>
          </w:p>
        </w:tc>
      </w:tr>
      <w:tr w:rsidR="004928A3" w:rsidRPr="000A5368" w:rsidTr="004928A3">
        <w:tc>
          <w:tcPr>
            <w:tcW w:w="5000" w:type="pct"/>
            <w:gridSpan w:val="4"/>
          </w:tcPr>
          <w:p w:rsidR="004928A3" w:rsidRPr="000A5368" w:rsidRDefault="004928A3" w:rsidP="00E05AB6">
            <w:pPr>
              <w:jc w:val="both"/>
              <w:rPr>
                <w:sz w:val="20"/>
              </w:rPr>
            </w:pPr>
            <w:r w:rsidRPr="000A5368">
              <w:rPr>
                <w:sz w:val="20"/>
              </w:rPr>
              <w:t>Family law — Financial disclosure — Civil contempt — What are the procedural requirements that must be met before a chambers justice can impose a finding of civil contempt.</w:t>
            </w:r>
          </w:p>
          <w:p w:rsidR="004928A3" w:rsidRPr="000A5368" w:rsidRDefault="004928A3" w:rsidP="00E05AB6">
            <w:pPr>
              <w:jc w:val="both"/>
              <w:rPr>
                <w:sz w:val="20"/>
              </w:rPr>
            </w:pPr>
          </w:p>
        </w:tc>
      </w:tr>
      <w:tr w:rsidR="004928A3" w:rsidRPr="000A5368" w:rsidTr="004928A3">
        <w:tc>
          <w:tcPr>
            <w:tcW w:w="5000" w:type="pct"/>
            <w:gridSpan w:val="4"/>
          </w:tcPr>
          <w:p w:rsidR="004928A3" w:rsidRPr="000A5368" w:rsidRDefault="004928A3" w:rsidP="00E05AB6">
            <w:pPr>
              <w:jc w:val="both"/>
              <w:rPr>
                <w:sz w:val="20"/>
              </w:rPr>
            </w:pPr>
            <w:r w:rsidRPr="000A5368">
              <w:rPr>
                <w:sz w:val="20"/>
              </w:rPr>
              <w:t>The parties were married and have two children. They separated in 2019. The respondent commenced proceedings seeking a divorce, custody, child support, spousal support and an unequal division of family property. In April 2020, the applicant was served with a notice to disclose and notice to file income information. In July 2020, the applicant was ordered to provide disclosure and income information by August 31, 2020. He made partial disclosure on September 1, 2020. At a hearing the following day, the applicant was given one month to provide the additional disclosure. In November 2020, the respondent served a notice asking that the applicant be held in contempt for failure to disclose the materials as ordered. Counsel for the parties appeared in chambers and the applicant was found guilty of civil contempt but applicant could purge his contempt by providing full and proper disclosure by January 30, 2021. The appeal with respect to the contempt finding was dismissed.</w:t>
            </w:r>
          </w:p>
        </w:tc>
      </w:tr>
      <w:tr w:rsidR="004928A3" w:rsidRPr="000A5368" w:rsidTr="004928A3">
        <w:tc>
          <w:tcPr>
            <w:tcW w:w="5000" w:type="pct"/>
            <w:gridSpan w:val="4"/>
          </w:tcPr>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December 18, 2020</w:t>
            </w:r>
          </w:p>
          <w:p w:rsidR="004928A3" w:rsidRPr="000A5368" w:rsidRDefault="004928A3" w:rsidP="00E05AB6">
            <w:pPr>
              <w:jc w:val="both"/>
              <w:rPr>
                <w:sz w:val="20"/>
              </w:rPr>
            </w:pPr>
            <w:r w:rsidRPr="000A5368">
              <w:rPr>
                <w:sz w:val="20"/>
              </w:rPr>
              <w:t>Court of Queen’s Bench of Saskatchewan</w:t>
            </w:r>
          </w:p>
          <w:p w:rsidR="004928A3" w:rsidRPr="000A5368" w:rsidRDefault="004928A3" w:rsidP="00E05AB6">
            <w:pPr>
              <w:jc w:val="both"/>
              <w:rPr>
                <w:sz w:val="20"/>
              </w:rPr>
            </w:pPr>
            <w:r w:rsidRPr="000A5368">
              <w:rPr>
                <w:sz w:val="20"/>
              </w:rPr>
              <w:t>(Scherman J.)</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 xml:space="preserve">Applicant guilty of contempt of court </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March 16, 2023</w:t>
            </w:r>
          </w:p>
          <w:p w:rsidR="004928A3" w:rsidRPr="000A5368" w:rsidRDefault="004928A3" w:rsidP="00E05AB6">
            <w:pPr>
              <w:jc w:val="both"/>
              <w:rPr>
                <w:sz w:val="20"/>
              </w:rPr>
            </w:pPr>
            <w:r w:rsidRPr="000A5368">
              <w:rPr>
                <w:sz w:val="20"/>
              </w:rPr>
              <w:t>Court of Appeal for Saskatchewan</w:t>
            </w:r>
          </w:p>
          <w:p w:rsidR="004928A3" w:rsidRPr="000A5368" w:rsidRDefault="004928A3" w:rsidP="00E05AB6">
            <w:pPr>
              <w:jc w:val="both"/>
              <w:rPr>
                <w:sz w:val="20"/>
              </w:rPr>
            </w:pPr>
            <w:r w:rsidRPr="000A5368">
              <w:rPr>
                <w:sz w:val="20"/>
              </w:rPr>
              <w:t>(Caldwell, Leurer and McCreary JJ.A.)</w:t>
            </w:r>
          </w:p>
          <w:p w:rsidR="004928A3" w:rsidRPr="000A5368" w:rsidRDefault="004928A3" w:rsidP="00E05AB6">
            <w:pPr>
              <w:jc w:val="both"/>
              <w:rPr>
                <w:sz w:val="20"/>
              </w:rPr>
            </w:pPr>
            <w:r w:rsidRPr="000A5368">
              <w:rPr>
                <w:sz w:val="20"/>
              </w:rPr>
              <w:t>CACV3768 (unreported)</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 xml:space="preserve">Appeal with respect to contempt order dismissed </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May 15, 2023</w:t>
            </w:r>
          </w:p>
          <w:p w:rsidR="004928A3" w:rsidRPr="000A5368" w:rsidRDefault="004928A3" w:rsidP="00E05AB6">
            <w:pPr>
              <w:jc w:val="both"/>
              <w:rPr>
                <w:sz w:val="20"/>
              </w:rPr>
            </w:pPr>
            <w:r w:rsidRPr="000A5368">
              <w:rPr>
                <w:sz w:val="20"/>
              </w:rPr>
              <w:t>Supreme Court of Canada</w:t>
            </w: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Application for leave to appeal filed</w:t>
            </w:r>
          </w:p>
          <w:p w:rsidR="004928A3" w:rsidRPr="000A5368" w:rsidRDefault="004928A3" w:rsidP="00E05AB6">
            <w:pPr>
              <w:jc w:val="both"/>
              <w:rPr>
                <w:sz w:val="20"/>
              </w:rPr>
            </w:pPr>
          </w:p>
        </w:tc>
      </w:tr>
    </w:tbl>
    <w:p w:rsidR="004928A3" w:rsidRPr="000A5368" w:rsidRDefault="004928A3" w:rsidP="00E05AB6">
      <w:pPr>
        <w:jc w:val="both"/>
        <w:rPr>
          <w:sz w:val="20"/>
        </w:rPr>
      </w:pPr>
    </w:p>
    <w:p w:rsidR="004928A3" w:rsidRPr="000A5368" w:rsidRDefault="000A5368" w:rsidP="00E05AB6">
      <w:pPr>
        <w:jc w:val="both"/>
        <w:rPr>
          <w:sz w:val="20"/>
        </w:rPr>
      </w:pPr>
      <w:r w:rsidRPr="000A5368">
        <w:rPr>
          <w:sz w:val="20"/>
        </w:rPr>
        <w:pict>
          <v:rect id="_x0000_i1039" style="width:2in;height:1pt" o:hrpct="0" o:hralign="center" o:hrstd="t" o:hrnoshade="t" o:hr="t" fillcolor="black [3213]" stroked="f"/>
        </w:pict>
      </w:r>
    </w:p>
    <w:p w:rsidR="004928A3" w:rsidRPr="000A5368" w:rsidRDefault="004928A3"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lang w:val="fr-CA"/>
              </w:rPr>
            </w:pPr>
            <w:r w:rsidRPr="000A5368">
              <w:rPr>
                <w:rStyle w:val="SCCFileNumberChar"/>
                <w:sz w:val="20"/>
                <w:szCs w:val="20"/>
                <w:lang w:val="fr-CA"/>
              </w:rPr>
              <w:t>40737</w:t>
            </w:r>
          </w:p>
        </w:tc>
        <w:tc>
          <w:tcPr>
            <w:tcW w:w="4457" w:type="pct"/>
            <w:gridSpan w:val="3"/>
          </w:tcPr>
          <w:p w:rsidR="004928A3" w:rsidRPr="000A5368" w:rsidRDefault="004928A3" w:rsidP="00E05AB6">
            <w:pPr>
              <w:pStyle w:val="SCCLsocParty"/>
              <w:jc w:val="both"/>
              <w:rPr>
                <w:b/>
                <w:sz w:val="20"/>
                <w:szCs w:val="20"/>
              </w:rPr>
            </w:pPr>
            <w:r w:rsidRPr="000A5368">
              <w:rPr>
                <w:b/>
                <w:sz w:val="20"/>
                <w:szCs w:val="20"/>
              </w:rPr>
              <w:t>Noufal Mais c. Maha Shoman</w:t>
            </w:r>
          </w:p>
          <w:p w:rsidR="004928A3" w:rsidRPr="000A5368" w:rsidRDefault="004928A3" w:rsidP="00E05AB6">
            <w:pPr>
              <w:jc w:val="both"/>
              <w:rPr>
                <w:sz w:val="20"/>
                <w:lang w:val="fr-CA"/>
              </w:rPr>
            </w:pPr>
            <w:r w:rsidRPr="000A5368">
              <w:rPr>
                <w:sz w:val="20"/>
                <w:lang w:val="fr-CA"/>
              </w:rPr>
              <w:t>(Sask.) (Civile) (Sur autorisation)</w:t>
            </w: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Droit de la famille — Communication de renseignements financiers — Outrage civil — Quelles exigences procédurales doivent être satisfaites avant qu’un juge siégeant en son cabinet puisse reconnaître une personne coupable d’outrage civil ?</w:t>
            </w:r>
          </w:p>
          <w:p w:rsidR="004928A3" w:rsidRPr="000A5368" w:rsidRDefault="004928A3" w:rsidP="00E05AB6">
            <w:pPr>
              <w:jc w:val="both"/>
              <w:rPr>
                <w:sz w:val="20"/>
                <w:lang w:val="fr-CA"/>
              </w:rPr>
            </w:pP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Les parties se sont mariées et ont eu deux enfants ensemble. Le couple s’est séparé en 2019. L’intimée a engagé une poursuite et demandé un divorce, la garde des enfants,</w:t>
            </w:r>
            <w:r w:rsidRPr="000A5368">
              <w:rPr>
                <w:color w:val="000000"/>
                <w:sz w:val="20"/>
                <w:lang w:val="fr-CA"/>
              </w:rPr>
              <w:t xml:space="preserve"> </w:t>
            </w:r>
            <w:r w:rsidRPr="000A5368">
              <w:rPr>
                <w:sz w:val="20"/>
                <w:lang w:val="fr-CA"/>
              </w:rPr>
              <w:t>des aliments au profit des enfants et des aliments à son profit, ainsi que le partage inégal des biens familiaux. En avril 2020, le demandeur s’est vu signifier une demande de communication et une demande de dépôt de renseignements sur le revenu. En juillet 2020, le demandeur s’est vu ordonner de communiquer des documents et des renseignements sur son revenu au plus tard le 31 août 2020. Il a communiqué une partie des renseignements demandés le 1</w:t>
            </w:r>
            <w:r w:rsidRPr="000A5368">
              <w:rPr>
                <w:sz w:val="20"/>
                <w:vertAlign w:val="superscript"/>
                <w:lang w:val="fr-CA"/>
              </w:rPr>
              <w:t>er</w:t>
            </w:r>
            <w:r w:rsidRPr="000A5368">
              <w:rPr>
                <w:sz w:val="20"/>
                <w:lang w:val="fr-CA"/>
              </w:rPr>
              <w:t xml:space="preserve"> septembre 2020. Le lendemain à l'audience, le demandeur s’est vu accorder un mois pour fournir les renseignements additionnels demandés. En novembre 2020, l’intimée a signifié un avis demandant que le demandeur soit reconnu coupable d’outrage pour ne pas avoir communiqué les documents conformément à l’ordonnance. Les avocats des parties ont comparu dans le cabinet du juge et le demandeur a été reconnu coupable d’outrage civil, mais ce dernier pouvait faire amende honorable pour l’outrage en communiquant, en bonne et due forme, tous les documents demandés au plus tard le 30 janvier 2021. L’appel visant la conclusion d’outrage a été rejeté.</w:t>
            </w:r>
          </w:p>
        </w:tc>
      </w:tr>
      <w:tr w:rsidR="004928A3" w:rsidRPr="000A5368" w:rsidTr="004928A3">
        <w:tc>
          <w:tcPr>
            <w:tcW w:w="5000" w:type="pct"/>
            <w:gridSpan w:val="4"/>
          </w:tcPr>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18 décembre 2020</w:t>
            </w:r>
          </w:p>
          <w:p w:rsidR="004928A3" w:rsidRPr="000A5368" w:rsidRDefault="004928A3" w:rsidP="00E05AB6">
            <w:pPr>
              <w:jc w:val="both"/>
              <w:rPr>
                <w:sz w:val="20"/>
                <w:lang w:val="fr-CA"/>
              </w:rPr>
            </w:pPr>
            <w:r w:rsidRPr="000A5368">
              <w:rPr>
                <w:sz w:val="20"/>
                <w:lang w:val="fr-CA"/>
              </w:rPr>
              <w:t>Cour du Banc de la Reine de la Saskatchewan</w:t>
            </w:r>
          </w:p>
          <w:p w:rsidR="004928A3" w:rsidRPr="000A5368" w:rsidRDefault="004928A3" w:rsidP="00E05AB6">
            <w:pPr>
              <w:jc w:val="both"/>
              <w:rPr>
                <w:sz w:val="20"/>
                <w:lang w:val="fr-CA"/>
              </w:rPr>
            </w:pPr>
            <w:r w:rsidRPr="000A5368">
              <w:rPr>
                <w:sz w:val="20"/>
                <w:lang w:val="fr-CA"/>
              </w:rPr>
              <w:t>(juge Scherman)</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 xml:space="preserve">Le demandeur est reconnu coupable d’outrage au tribunal. </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16 mars 2023</w:t>
            </w:r>
          </w:p>
          <w:p w:rsidR="004928A3" w:rsidRPr="000A5368" w:rsidRDefault="004928A3" w:rsidP="00E05AB6">
            <w:pPr>
              <w:jc w:val="both"/>
              <w:rPr>
                <w:sz w:val="20"/>
                <w:lang w:val="fr-CA"/>
              </w:rPr>
            </w:pPr>
            <w:r w:rsidRPr="000A5368">
              <w:rPr>
                <w:sz w:val="20"/>
                <w:lang w:val="fr-CA"/>
              </w:rPr>
              <w:t>Cour d’appel de la Saskatchewan</w:t>
            </w:r>
          </w:p>
          <w:p w:rsidR="004928A3" w:rsidRPr="000A5368" w:rsidRDefault="004928A3" w:rsidP="00E05AB6">
            <w:pPr>
              <w:jc w:val="both"/>
              <w:rPr>
                <w:sz w:val="20"/>
                <w:lang w:val="fr-CA"/>
              </w:rPr>
            </w:pPr>
            <w:r w:rsidRPr="000A5368">
              <w:rPr>
                <w:sz w:val="20"/>
                <w:lang w:val="fr-CA"/>
              </w:rPr>
              <w:t>(juges Caldwell, Leurer et McCreary)</w:t>
            </w:r>
          </w:p>
          <w:p w:rsidR="004928A3" w:rsidRPr="000A5368" w:rsidRDefault="004928A3" w:rsidP="00E05AB6">
            <w:pPr>
              <w:jc w:val="both"/>
              <w:rPr>
                <w:sz w:val="20"/>
                <w:lang w:val="fr-CA"/>
              </w:rPr>
            </w:pPr>
            <w:r w:rsidRPr="000A5368">
              <w:rPr>
                <w:sz w:val="20"/>
                <w:lang w:val="fr-CA"/>
              </w:rPr>
              <w:t>CACV3768 (non publié)</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 xml:space="preserve">L’appel visant l’ordonnance pour outrage est rejeté. </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15 mai 2023</w:t>
            </w:r>
          </w:p>
          <w:p w:rsidR="004928A3" w:rsidRPr="000A5368" w:rsidRDefault="004928A3" w:rsidP="00E05AB6">
            <w:pPr>
              <w:jc w:val="both"/>
              <w:rPr>
                <w:sz w:val="20"/>
                <w:lang w:val="fr-CA"/>
              </w:rPr>
            </w:pPr>
            <w:r w:rsidRPr="000A5368">
              <w:rPr>
                <w:sz w:val="20"/>
                <w:lang w:val="fr-CA"/>
              </w:rPr>
              <w:t>Cour suprême du Canada</w:t>
            </w: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demande d’autorisation d’appel est présentée.</w:t>
            </w:r>
          </w:p>
          <w:p w:rsidR="004928A3" w:rsidRPr="000A5368" w:rsidRDefault="004928A3" w:rsidP="00E05AB6">
            <w:pPr>
              <w:jc w:val="both"/>
              <w:rPr>
                <w:sz w:val="20"/>
                <w:lang w:val="fr-CA"/>
              </w:rPr>
            </w:pPr>
          </w:p>
        </w:tc>
      </w:tr>
    </w:tbl>
    <w:p w:rsidR="004928A3" w:rsidRPr="000A5368" w:rsidRDefault="004928A3" w:rsidP="00E05AB6">
      <w:pPr>
        <w:jc w:val="both"/>
        <w:rPr>
          <w:sz w:val="20"/>
          <w:lang w:val="fr-CA"/>
        </w:rPr>
      </w:pPr>
    </w:p>
    <w:p w:rsidR="004928A3" w:rsidRPr="000A5368" w:rsidRDefault="000A5368" w:rsidP="00E05AB6">
      <w:pPr>
        <w:jc w:val="both"/>
        <w:rPr>
          <w:sz w:val="20"/>
          <w:lang w:val="fr-CA"/>
        </w:rPr>
      </w:pPr>
      <w:r w:rsidRPr="000A5368">
        <w:rPr>
          <w:sz w:val="20"/>
        </w:rPr>
        <w:pict>
          <v:rect id="_x0000_i1040" style="width:2in;height:1pt" o:hrpct="0" o:hralign="center" o:hrstd="t" o:hrnoshade="t" o:hr="t" fillcolor="black [3213]" stroked="f"/>
        </w:pict>
      </w:r>
    </w:p>
    <w:p w:rsidR="004928A3" w:rsidRPr="000A5368" w:rsidRDefault="004928A3"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rPr>
            </w:pPr>
            <w:r w:rsidRPr="000A5368">
              <w:rPr>
                <w:rStyle w:val="SCCFileNumberChar"/>
                <w:sz w:val="20"/>
                <w:szCs w:val="20"/>
              </w:rPr>
              <w:t>40634</w:t>
            </w:r>
          </w:p>
        </w:tc>
        <w:tc>
          <w:tcPr>
            <w:tcW w:w="4457" w:type="pct"/>
            <w:gridSpan w:val="3"/>
          </w:tcPr>
          <w:p w:rsidR="004928A3" w:rsidRPr="000A5368" w:rsidRDefault="004928A3" w:rsidP="00E05AB6">
            <w:pPr>
              <w:pStyle w:val="SCCLsocParty"/>
              <w:jc w:val="both"/>
              <w:rPr>
                <w:b/>
                <w:sz w:val="20"/>
                <w:szCs w:val="20"/>
                <w:lang w:val="en-US"/>
              </w:rPr>
            </w:pPr>
            <w:r w:rsidRPr="000A5368">
              <w:rPr>
                <w:b/>
                <w:sz w:val="20"/>
                <w:szCs w:val="20"/>
                <w:lang w:val="en-US"/>
              </w:rPr>
              <w:t>His Majesty the King v. Melissa Merritt</w:t>
            </w:r>
          </w:p>
          <w:p w:rsidR="004928A3" w:rsidRPr="000A5368" w:rsidRDefault="004928A3" w:rsidP="00E05AB6">
            <w:pPr>
              <w:jc w:val="both"/>
              <w:rPr>
                <w:sz w:val="20"/>
              </w:rPr>
            </w:pPr>
            <w:r w:rsidRPr="000A5368">
              <w:rPr>
                <w:sz w:val="20"/>
              </w:rPr>
              <w:t>(Ont.) (Criminal) (By Leave)</w:t>
            </w:r>
          </w:p>
        </w:tc>
      </w:tr>
      <w:tr w:rsidR="004928A3" w:rsidRPr="000A5368" w:rsidTr="004928A3">
        <w:tc>
          <w:tcPr>
            <w:tcW w:w="5000" w:type="pct"/>
            <w:gridSpan w:val="4"/>
          </w:tcPr>
          <w:p w:rsidR="004928A3" w:rsidRPr="000A5368" w:rsidRDefault="004928A3" w:rsidP="00E05AB6">
            <w:pPr>
              <w:jc w:val="both"/>
              <w:rPr>
                <w:sz w:val="20"/>
              </w:rPr>
            </w:pPr>
            <w:r w:rsidRPr="000A5368">
              <w:rPr>
                <w:sz w:val="20"/>
              </w:rPr>
              <w:t xml:space="preserve">Criminal law — Charge to jury — Appeals — Role of appellate courts when reviewing jury instructions and factual findings in large, complex criminal prosecutions — Role of appellate courts when assessing the overall functionality of jury charges — Role of appellate courts in assessing and applying the curative proviso — </w:t>
            </w:r>
            <w:r w:rsidRPr="000A5368">
              <w:rPr>
                <w:i/>
                <w:sz w:val="20"/>
              </w:rPr>
              <w:t>Criminal Code</w:t>
            </w:r>
            <w:r w:rsidRPr="000A5368">
              <w:rPr>
                <w:sz w:val="20"/>
              </w:rPr>
              <w:t>, R.S.C. 1985, c. C-46, s. 686(1)(b)(iii)</w:t>
            </w:r>
          </w:p>
        </w:tc>
      </w:tr>
      <w:tr w:rsidR="004928A3" w:rsidRPr="000A5368" w:rsidTr="004928A3">
        <w:tc>
          <w:tcPr>
            <w:tcW w:w="5000" w:type="pct"/>
            <w:gridSpan w:val="4"/>
          </w:tcPr>
          <w:p w:rsidR="004928A3" w:rsidRPr="000A5368" w:rsidRDefault="004928A3" w:rsidP="00E05AB6">
            <w:pPr>
              <w:jc w:val="both"/>
              <w:rPr>
                <w:sz w:val="20"/>
              </w:rPr>
            </w:pPr>
          </w:p>
          <w:p w:rsidR="004928A3" w:rsidRPr="000A5368" w:rsidRDefault="004928A3" w:rsidP="00E05AB6">
            <w:pPr>
              <w:jc w:val="both"/>
              <w:rPr>
                <w:sz w:val="20"/>
              </w:rPr>
            </w:pPr>
            <w:r w:rsidRPr="000A5368">
              <w:rPr>
                <w:sz w:val="20"/>
              </w:rPr>
              <w:t xml:space="preserve">Respondent Melissa Merritt’s former spouse was fatally attacked in Ontario on August 23, 2013. </w:t>
            </w:r>
          </w:p>
          <w:p w:rsidR="004928A3" w:rsidRPr="000A5368" w:rsidRDefault="004928A3" w:rsidP="00E05AB6">
            <w:pPr>
              <w:jc w:val="both"/>
              <w:rPr>
                <w:sz w:val="20"/>
              </w:rPr>
            </w:pPr>
          </w:p>
          <w:p w:rsidR="004928A3" w:rsidRPr="000A5368" w:rsidRDefault="004928A3" w:rsidP="00E05AB6">
            <w:pPr>
              <w:jc w:val="both"/>
              <w:rPr>
                <w:sz w:val="20"/>
              </w:rPr>
            </w:pPr>
            <w:r w:rsidRPr="000A5368">
              <w:rPr>
                <w:sz w:val="20"/>
              </w:rPr>
              <w:t xml:space="preserve">Ms. Merritt was interviewed by police that day. During the interview she recounted her movements from the evening before, including a visit to a shopping mall. However, Ms. Merritt did not tell police that while at the mall, her common law spouse had purchased shoes. Those shoes were later forensically linked to the killing of Ms. Merritt’s former spouse. </w:t>
            </w:r>
          </w:p>
          <w:p w:rsidR="004928A3" w:rsidRPr="000A5368" w:rsidRDefault="004928A3" w:rsidP="00E05AB6">
            <w:pPr>
              <w:jc w:val="both"/>
              <w:rPr>
                <w:sz w:val="20"/>
              </w:rPr>
            </w:pPr>
          </w:p>
          <w:p w:rsidR="004928A3" w:rsidRPr="000A5368" w:rsidRDefault="004928A3" w:rsidP="00E05AB6">
            <w:pPr>
              <w:jc w:val="both"/>
              <w:rPr>
                <w:sz w:val="20"/>
              </w:rPr>
            </w:pPr>
            <w:r w:rsidRPr="000A5368">
              <w:rPr>
                <w:sz w:val="20"/>
              </w:rPr>
              <w:t xml:space="preserve">Shortly after the killing, Ms. Merritt moved to Nova Scotia. Several months later, Ms. Merritt and her common law spouse were arrested, charged with murder, and transported back to Ontario. While at the airport awaiting transport, police intercepted and recorded a conversation between them. </w:t>
            </w:r>
          </w:p>
          <w:p w:rsidR="004928A3" w:rsidRPr="000A5368" w:rsidRDefault="004928A3" w:rsidP="00E05AB6">
            <w:pPr>
              <w:jc w:val="both"/>
              <w:rPr>
                <w:sz w:val="20"/>
              </w:rPr>
            </w:pPr>
          </w:p>
          <w:p w:rsidR="004928A3" w:rsidRPr="000A5368" w:rsidRDefault="004928A3" w:rsidP="00E05AB6">
            <w:pPr>
              <w:jc w:val="both"/>
              <w:rPr>
                <w:sz w:val="20"/>
              </w:rPr>
            </w:pPr>
            <w:r w:rsidRPr="000A5368">
              <w:rPr>
                <w:sz w:val="20"/>
              </w:rPr>
              <w:t xml:space="preserve">Following a trial before a jury, Ms. Merritt was convicted of first degree murder. </w:t>
            </w:r>
          </w:p>
          <w:p w:rsidR="004928A3" w:rsidRPr="000A5368" w:rsidRDefault="004928A3" w:rsidP="00E05AB6">
            <w:pPr>
              <w:jc w:val="both"/>
              <w:rPr>
                <w:sz w:val="20"/>
              </w:rPr>
            </w:pPr>
          </w:p>
          <w:p w:rsidR="004928A3" w:rsidRPr="000A5368" w:rsidRDefault="004928A3" w:rsidP="00E05AB6">
            <w:pPr>
              <w:jc w:val="both"/>
              <w:rPr>
                <w:sz w:val="20"/>
              </w:rPr>
            </w:pPr>
            <w:r w:rsidRPr="000A5368">
              <w:rPr>
                <w:sz w:val="20"/>
              </w:rPr>
              <w:t xml:space="preserve">Ms. Merritt appealed from her conviction, arguing that the trial judge committed significant errors in his jury instruction concerning: (1) her failure to mention the shoe purchase to police; and (2) the intelligibility of a statement she made in the recorded conversation from the airport. The Court of Appeal allowed Ms. Merritt's appeal, set aside her conviction, and ordered a new trial. </w:t>
            </w:r>
          </w:p>
        </w:tc>
      </w:tr>
      <w:tr w:rsidR="004928A3" w:rsidRPr="000A5368" w:rsidTr="004928A3">
        <w:tc>
          <w:tcPr>
            <w:tcW w:w="5000" w:type="pct"/>
            <w:gridSpan w:val="4"/>
          </w:tcPr>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January 13, 2018</w:t>
            </w:r>
          </w:p>
          <w:p w:rsidR="004928A3" w:rsidRPr="000A5368" w:rsidRDefault="004928A3" w:rsidP="00E05AB6">
            <w:pPr>
              <w:jc w:val="both"/>
              <w:rPr>
                <w:sz w:val="20"/>
              </w:rPr>
            </w:pPr>
            <w:r w:rsidRPr="000A5368">
              <w:rPr>
                <w:sz w:val="20"/>
              </w:rPr>
              <w:t>Ontario Superior Court of Justice</w:t>
            </w:r>
          </w:p>
          <w:p w:rsidR="004928A3" w:rsidRPr="000A5368" w:rsidRDefault="004928A3" w:rsidP="00E05AB6">
            <w:pPr>
              <w:jc w:val="both"/>
              <w:rPr>
                <w:sz w:val="20"/>
              </w:rPr>
            </w:pPr>
            <w:r w:rsidRPr="000A5368">
              <w:rPr>
                <w:sz w:val="20"/>
              </w:rPr>
              <w:t>(Dawson J., sitting with a jury)</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Conviction for first degree murder</w:t>
            </w:r>
          </w:p>
        </w:tc>
      </w:tr>
      <w:tr w:rsidR="004928A3" w:rsidRPr="000A5368" w:rsidTr="004928A3">
        <w:tc>
          <w:tcPr>
            <w:tcW w:w="2427" w:type="pct"/>
            <w:gridSpan w:val="2"/>
          </w:tcPr>
          <w:p w:rsidR="004928A3" w:rsidRPr="000A5368" w:rsidRDefault="004928A3" w:rsidP="00E05AB6">
            <w:pPr>
              <w:jc w:val="both"/>
              <w:rPr>
                <w:sz w:val="20"/>
              </w:rPr>
            </w:pPr>
            <w:r w:rsidRPr="000A5368">
              <w:rPr>
                <w:sz w:val="20"/>
              </w:rPr>
              <w:t>January 5, 2023</w:t>
            </w:r>
          </w:p>
          <w:p w:rsidR="004928A3" w:rsidRPr="000A5368" w:rsidRDefault="004928A3" w:rsidP="00E05AB6">
            <w:pPr>
              <w:jc w:val="both"/>
              <w:rPr>
                <w:sz w:val="20"/>
              </w:rPr>
            </w:pPr>
            <w:r w:rsidRPr="000A5368">
              <w:rPr>
                <w:sz w:val="20"/>
              </w:rPr>
              <w:t>Court of Appeal for Ontario</w:t>
            </w:r>
          </w:p>
          <w:p w:rsidR="004928A3" w:rsidRPr="000A5368" w:rsidRDefault="004928A3" w:rsidP="00E05AB6">
            <w:pPr>
              <w:jc w:val="both"/>
              <w:rPr>
                <w:sz w:val="20"/>
              </w:rPr>
            </w:pPr>
            <w:r w:rsidRPr="000A5368">
              <w:rPr>
                <w:sz w:val="20"/>
              </w:rPr>
              <w:t>(MacPherson, Paciocco and Thorburn JJ.A.)</w:t>
            </w:r>
          </w:p>
          <w:p w:rsidR="004928A3" w:rsidRPr="000A5368" w:rsidRDefault="000A5368" w:rsidP="00E05AB6">
            <w:pPr>
              <w:jc w:val="both"/>
              <w:rPr>
                <w:sz w:val="20"/>
              </w:rPr>
            </w:pPr>
            <w:hyperlink r:id="rId44" w:history="1">
              <w:r w:rsidR="004928A3" w:rsidRPr="000A5368">
                <w:rPr>
                  <w:rStyle w:val="Hyperlink"/>
                  <w:sz w:val="20"/>
                </w:rPr>
                <w:t>2023 ONCA 3</w:t>
              </w:r>
            </w:hyperlink>
            <w:r w:rsidR="004928A3" w:rsidRPr="000A5368">
              <w:rPr>
                <w:sz w:val="20"/>
              </w:rPr>
              <w:t>; C65316</w:t>
            </w:r>
          </w:p>
          <w:p w:rsidR="004928A3" w:rsidRPr="000A5368" w:rsidRDefault="004928A3" w:rsidP="00E05AB6">
            <w:pPr>
              <w:jc w:val="both"/>
              <w:rPr>
                <w:sz w:val="20"/>
              </w:rPr>
            </w:pP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Appeal allowed; conviction set aside, new trial ordered</w:t>
            </w:r>
          </w:p>
          <w:p w:rsidR="004928A3" w:rsidRPr="000A5368" w:rsidRDefault="004928A3" w:rsidP="00E05AB6">
            <w:pPr>
              <w:jc w:val="both"/>
              <w:rPr>
                <w:sz w:val="20"/>
              </w:rPr>
            </w:pPr>
          </w:p>
        </w:tc>
      </w:tr>
      <w:tr w:rsidR="004928A3" w:rsidRPr="000A5368" w:rsidTr="004928A3">
        <w:tc>
          <w:tcPr>
            <w:tcW w:w="2427" w:type="pct"/>
            <w:gridSpan w:val="2"/>
          </w:tcPr>
          <w:p w:rsidR="004928A3" w:rsidRPr="000A5368" w:rsidRDefault="004928A3" w:rsidP="00E05AB6">
            <w:pPr>
              <w:jc w:val="both"/>
              <w:rPr>
                <w:sz w:val="20"/>
              </w:rPr>
            </w:pPr>
            <w:r w:rsidRPr="000A5368">
              <w:rPr>
                <w:sz w:val="20"/>
              </w:rPr>
              <w:t>March 2, 2023</w:t>
            </w:r>
          </w:p>
          <w:p w:rsidR="004928A3" w:rsidRPr="000A5368" w:rsidRDefault="004928A3" w:rsidP="00E05AB6">
            <w:pPr>
              <w:jc w:val="both"/>
              <w:rPr>
                <w:sz w:val="20"/>
              </w:rPr>
            </w:pPr>
            <w:r w:rsidRPr="000A5368">
              <w:rPr>
                <w:sz w:val="20"/>
              </w:rPr>
              <w:t>Supreme Court of Canada</w:t>
            </w:r>
          </w:p>
        </w:tc>
        <w:tc>
          <w:tcPr>
            <w:tcW w:w="243" w:type="pct"/>
          </w:tcPr>
          <w:p w:rsidR="004928A3" w:rsidRPr="000A5368" w:rsidRDefault="004928A3" w:rsidP="00E05AB6">
            <w:pPr>
              <w:jc w:val="both"/>
              <w:rPr>
                <w:sz w:val="20"/>
              </w:rPr>
            </w:pPr>
          </w:p>
        </w:tc>
        <w:tc>
          <w:tcPr>
            <w:tcW w:w="2330" w:type="pct"/>
          </w:tcPr>
          <w:p w:rsidR="004928A3" w:rsidRPr="000A5368" w:rsidRDefault="004928A3" w:rsidP="00E05AB6">
            <w:pPr>
              <w:jc w:val="both"/>
              <w:rPr>
                <w:sz w:val="20"/>
              </w:rPr>
            </w:pPr>
            <w:r w:rsidRPr="000A5368">
              <w:rPr>
                <w:sz w:val="20"/>
              </w:rPr>
              <w:t>Application for leave to appeal filed</w:t>
            </w:r>
          </w:p>
          <w:p w:rsidR="004928A3" w:rsidRPr="000A5368" w:rsidRDefault="004928A3" w:rsidP="00E05AB6">
            <w:pPr>
              <w:jc w:val="both"/>
              <w:rPr>
                <w:sz w:val="20"/>
              </w:rPr>
            </w:pPr>
          </w:p>
        </w:tc>
      </w:tr>
    </w:tbl>
    <w:p w:rsidR="004928A3" w:rsidRPr="000A5368" w:rsidRDefault="004928A3" w:rsidP="00E05AB6">
      <w:pPr>
        <w:jc w:val="both"/>
        <w:rPr>
          <w:sz w:val="20"/>
        </w:rPr>
      </w:pPr>
    </w:p>
    <w:p w:rsidR="004928A3" w:rsidRPr="000A5368" w:rsidRDefault="000A5368" w:rsidP="00E05AB6">
      <w:pPr>
        <w:jc w:val="both"/>
        <w:rPr>
          <w:sz w:val="20"/>
        </w:rPr>
      </w:pPr>
      <w:r w:rsidRPr="000A5368">
        <w:rPr>
          <w:sz w:val="20"/>
        </w:rPr>
        <w:pict>
          <v:rect id="_x0000_i1041" style="width:2in;height:1pt" o:hrpct="0" o:hralign="center" o:hrstd="t" o:hrnoshade="t" o:hr="t" fillcolor="black [3213]" stroked="f"/>
        </w:pict>
      </w:r>
    </w:p>
    <w:p w:rsidR="004928A3" w:rsidRPr="000A5368" w:rsidRDefault="004928A3"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28A3" w:rsidRPr="000A5368" w:rsidTr="004928A3">
        <w:tc>
          <w:tcPr>
            <w:tcW w:w="543" w:type="pct"/>
          </w:tcPr>
          <w:p w:rsidR="004928A3" w:rsidRPr="000A5368" w:rsidRDefault="004928A3" w:rsidP="00E05AB6">
            <w:pPr>
              <w:jc w:val="both"/>
              <w:rPr>
                <w:sz w:val="20"/>
                <w:lang w:val="fr-CA"/>
              </w:rPr>
            </w:pPr>
            <w:r w:rsidRPr="000A5368">
              <w:rPr>
                <w:rStyle w:val="SCCFileNumberChar"/>
                <w:sz w:val="20"/>
                <w:szCs w:val="20"/>
                <w:lang w:val="fr-CA"/>
              </w:rPr>
              <w:t>40634</w:t>
            </w:r>
          </w:p>
        </w:tc>
        <w:tc>
          <w:tcPr>
            <w:tcW w:w="4457" w:type="pct"/>
            <w:gridSpan w:val="3"/>
          </w:tcPr>
          <w:p w:rsidR="004928A3" w:rsidRPr="000A5368" w:rsidRDefault="004928A3" w:rsidP="00E05AB6">
            <w:pPr>
              <w:pStyle w:val="SCCLsocParty"/>
              <w:jc w:val="both"/>
              <w:rPr>
                <w:b/>
                <w:sz w:val="20"/>
                <w:szCs w:val="20"/>
              </w:rPr>
            </w:pPr>
            <w:r w:rsidRPr="000A5368">
              <w:rPr>
                <w:b/>
                <w:sz w:val="20"/>
                <w:szCs w:val="20"/>
              </w:rPr>
              <w:t>Sa Majesté le Roi c. Melissa Merritt</w:t>
            </w:r>
          </w:p>
          <w:p w:rsidR="004928A3" w:rsidRPr="000A5368" w:rsidRDefault="004928A3" w:rsidP="00E05AB6">
            <w:pPr>
              <w:jc w:val="both"/>
              <w:rPr>
                <w:sz w:val="20"/>
                <w:lang w:val="fr-CA"/>
              </w:rPr>
            </w:pPr>
            <w:r w:rsidRPr="000A5368">
              <w:rPr>
                <w:sz w:val="20"/>
                <w:lang w:val="fr-CA"/>
              </w:rPr>
              <w:t>(Ont.) (Criminelle) (Sur autorisation)</w:t>
            </w:r>
          </w:p>
        </w:tc>
      </w:tr>
      <w:tr w:rsidR="004928A3" w:rsidRPr="000A5368" w:rsidTr="004928A3">
        <w:tc>
          <w:tcPr>
            <w:tcW w:w="5000" w:type="pct"/>
            <w:gridSpan w:val="4"/>
          </w:tcPr>
          <w:p w:rsidR="004928A3" w:rsidRPr="000A5368" w:rsidRDefault="004928A3" w:rsidP="00E05AB6">
            <w:pPr>
              <w:jc w:val="both"/>
              <w:rPr>
                <w:sz w:val="20"/>
                <w:lang w:val="fr-CA"/>
              </w:rPr>
            </w:pPr>
            <w:r w:rsidRPr="000A5368">
              <w:rPr>
                <w:sz w:val="20"/>
                <w:lang w:val="fr-CA"/>
              </w:rPr>
              <w:t xml:space="preserve">Droit criminel — Exposé au jury — Appels — Rôle des cours d’appel lors de l’examen des directives au jury et des conclusions factuelles dans le cadre d’importantes et complexes poursuites criminelles — Rôle des cours d’appel dans le cadre de l’évaluation de la fonction globale des exposés au jury — Rôle des cours d’appel dans le cadre de l’évaluation et l’application de la disposition réparatrice — </w:t>
            </w:r>
            <w:r w:rsidRPr="000A5368">
              <w:rPr>
                <w:i/>
                <w:sz w:val="20"/>
                <w:lang w:val="fr-CA"/>
              </w:rPr>
              <w:t>Code criminel</w:t>
            </w:r>
            <w:r w:rsidRPr="000A5368">
              <w:rPr>
                <w:sz w:val="20"/>
                <w:lang w:val="fr-CA"/>
              </w:rPr>
              <w:t>, L.R.C. 1985, c. C-46, sous-al. 686(1)b)(iii)</w:t>
            </w:r>
          </w:p>
        </w:tc>
      </w:tr>
      <w:tr w:rsidR="004928A3" w:rsidRPr="000A5368" w:rsidTr="004928A3">
        <w:tc>
          <w:tcPr>
            <w:tcW w:w="5000" w:type="pct"/>
            <w:gridSpan w:val="4"/>
          </w:tcPr>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 xml:space="preserve">L’ancien conjoint de l’intimée Melissa Merritt est décédé après avoir été attaqué en Ontario le 23 août 2013. </w:t>
            </w:r>
          </w:p>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 xml:space="preserve">Madame Merritt a été interviewée par la police ce jour-là. Lors de l’entrevue, elle a mentionné ces déplacements de la veille, dont une visite à un centre commercial. Toutefois, Mme Merritt n’a pas dit aux policiers que pendant qu’elle y était, son conjoint de fait avait acheté des chaussures. Celles-ci ont plus tard été liées par analyse criminalistique au meurtre de l’ancien conjoint de Mme Merritt. </w:t>
            </w:r>
          </w:p>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 xml:space="preserve">Peu de ton après le meurtre, Mme Merritt a déménagé en Nouvelle-Écosse. Plusieurs mois plus tard, Mme Merritt et son conjoint de fait ont été arrêtés, accusés de meurtre et ramenés en Ontario. Pendant qu’ils attendaient leur transport à l’aéroport, la police a intercepté et enregistré une conversation entre les deux. </w:t>
            </w:r>
          </w:p>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 xml:space="preserve">À la suite d’un procès devant jury, Mme Merritt a été déclarée coupable de meurtre au premier degré. </w:t>
            </w:r>
          </w:p>
          <w:p w:rsidR="004928A3" w:rsidRPr="000A5368" w:rsidRDefault="004928A3" w:rsidP="00E05AB6">
            <w:pPr>
              <w:jc w:val="both"/>
              <w:rPr>
                <w:sz w:val="20"/>
                <w:lang w:val="fr-CA"/>
              </w:rPr>
            </w:pPr>
          </w:p>
          <w:p w:rsidR="004928A3" w:rsidRPr="000A5368" w:rsidRDefault="004928A3" w:rsidP="00E05AB6">
            <w:pPr>
              <w:jc w:val="both"/>
              <w:rPr>
                <w:sz w:val="20"/>
                <w:lang w:val="fr-CA"/>
              </w:rPr>
            </w:pPr>
            <w:r w:rsidRPr="000A5368">
              <w:rPr>
                <w:sz w:val="20"/>
                <w:lang w:val="fr-CA"/>
              </w:rPr>
              <w:t xml:space="preserve">Madame Merritt a fait appel de sa déclaration de culpabilité, soutenant que le juge du procès a commis de graves erreurs lorsqu’il a donné des directives au jury concernant : (1) le fait qu’elle n’a pas mentionné l’achat de chaussures à la police; et (2) l’intelligibilité d’une déclaration qu’elle a faite lors de la conversation qui a été enregistrée à l’aéroport. La Cour d’appel a accueilli l’appel interjeté par Mme Merritt, a annulé sa déclaration de culpabilité et a ordonné la tenue d’un nouveau procès. </w:t>
            </w:r>
          </w:p>
        </w:tc>
      </w:tr>
      <w:tr w:rsidR="004928A3" w:rsidRPr="000A5368" w:rsidTr="004928A3">
        <w:tc>
          <w:tcPr>
            <w:tcW w:w="5000" w:type="pct"/>
            <w:gridSpan w:val="4"/>
          </w:tcPr>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13 janvier 2018</w:t>
            </w:r>
          </w:p>
          <w:p w:rsidR="004928A3" w:rsidRPr="000A5368" w:rsidRDefault="004928A3" w:rsidP="00E05AB6">
            <w:pPr>
              <w:jc w:val="both"/>
              <w:rPr>
                <w:sz w:val="20"/>
                <w:lang w:val="fr-CA"/>
              </w:rPr>
            </w:pPr>
            <w:r w:rsidRPr="000A5368">
              <w:rPr>
                <w:sz w:val="20"/>
                <w:lang w:val="fr-CA"/>
              </w:rPr>
              <w:t>Cour supérieure de justice de l’Ontario</w:t>
            </w:r>
          </w:p>
          <w:p w:rsidR="004928A3" w:rsidRPr="000A5368" w:rsidRDefault="004928A3" w:rsidP="00E05AB6">
            <w:pPr>
              <w:jc w:val="both"/>
              <w:rPr>
                <w:sz w:val="20"/>
                <w:lang w:val="fr-CA"/>
              </w:rPr>
            </w:pPr>
            <w:r w:rsidRPr="000A5368">
              <w:rPr>
                <w:sz w:val="20"/>
                <w:lang w:val="fr-CA"/>
              </w:rPr>
              <w:t>(juge Dawson, siégeant avec jury)</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déclaration de culpabilité pour meurtre au premier degré est prononcée.</w:t>
            </w: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5 janvier 2023</w:t>
            </w:r>
          </w:p>
          <w:p w:rsidR="004928A3" w:rsidRPr="000A5368" w:rsidRDefault="004928A3" w:rsidP="00E05AB6">
            <w:pPr>
              <w:jc w:val="both"/>
              <w:rPr>
                <w:sz w:val="20"/>
                <w:lang w:val="fr-CA"/>
              </w:rPr>
            </w:pPr>
            <w:r w:rsidRPr="000A5368">
              <w:rPr>
                <w:sz w:val="20"/>
                <w:lang w:val="fr-CA"/>
              </w:rPr>
              <w:t>Cour d’appel de l’Ontario</w:t>
            </w:r>
          </w:p>
          <w:p w:rsidR="004928A3" w:rsidRPr="000A5368" w:rsidRDefault="004928A3" w:rsidP="00E05AB6">
            <w:pPr>
              <w:jc w:val="both"/>
              <w:rPr>
                <w:sz w:val="20"/>
                <w:lang w:val="fr-CA"/>
              </w:rPr>
            </w:pPr>
            <w:r w:rsidRPr="000A5368">
              <w:rPr>
                <w:sz w:val="20"/>
                <w:lang w:val="fr-CA"/>
              </w:rPr>
              <w:t>(juges MacPherson, Paciocco et Thorburn)</w:t>
            </w:r>
          </w:p>
          <w:p w:rsidR="004928A3" w:rsidRPr="000A5368" w:rsidRDefault="000A5368" w:rsidP="00E05AB6">
            <w:pPr>
              <w:jc w:val="both"/>
              <w:rPr>
                <w:sz w:val="20"/>
                <w:lang w:val="fr-CA"/>
              </w:rPr>
            </w:pPr>
            <w:hyperlink r:id="rId45" w:history="1">
              <w:r w:rsidR="004928A3" w:rsidRPr="000A5368">
                <w:rPr>
                  <w:rStyle w:val="Hyperlink"/>
                  <w:sz w:val="20"/>
                  <w:lang w:val="fr-CA"/>
                </w:rPr>
                <w:t>2023 ONCA 3</w:t>
              </w:r>
            </w:hyperlink>
            <w:r w:rsidR="004928A3" w:rsidRPr="000A5368">
              <w:rPr>
                <w:sz w:val="20"/>
                <w:lang w:val="fr-CA"/>
              </w:rPr>
              <w:t>; C65316</w:t>
            </w:r>
          </w:p>
          <w:p w:rsidR="004928A3" w:rsidRPr="000A5368" w:rsidRDefault="004928A3" w:rsidP="00E05AB6">
            <w:pPr>
              <w:jc w:val="both"/>
              <w:rPr>
                <w:sz w:val="20"/>
                <w:lang w:val="fr-CA"/>
              </w:rPr>
            </w:pP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L’appel est accueilli; la déclaration de culpabilité est annulée, la tenue d’un nouveau procès est ordonnée.</w:t>
            </w:r>
          </w:p>
          <w:p w:rsidR="004928A3" w:rsidRPr="000A5368" w:rsidRDefault="004928A3" w:rsidP="00E05AB6">
            <w:pPr>
              <w:jc w:val="both"/>
              <w:rPr>
                <w:sz w:val="20"/>
                <w:lang w:val="fr-CA"/>
              </w:rPr>
            </w:pPr>
          </w:p>
        </w:tc>
      </w:tr>
      <w:tr w:rsidR="004928A3" w:rsidRPr="000A5368" w:rsidTr="004928A3">
        <w:tc>
          <w:tcPr>
            <w:tcW w:w="2427" w:type="pct"/>
            <w:gridSpan w:val="2"/>
          </w:tcPr>
          <w:p w:rsidR="004928A3" w:rsidRPr="000A5368" w:rsidRDefault="004928A3" w:rsidP="00E05AB6">
            <w:pPr>
              <w:jc w:val="both"/>
              <w:rPr>
                <w:sz w:val="20"/>
                <w:lang w:val="fr-CA"/>
              </w:rPr>
            </w:pPr>
            <w:r w:rsidRPr="000A5368">
              <w:rPr>
                <w:sz w:val="20"/>
                <w:lang w:val="fr-CA"/>
              </w:rPr>
              <w:t>2 mars 2023</w:t>
            </w:r>
          </w:p>
          <w:p w:rsidR="004928A3" w:rsidRPr="000A5368" w:rsidRDefault="004928A3" w:rsidP="00E05AB6">
            <w:pPr>
              <w:jc w:val="both"/>
              <w:rPr>
                <w:sz w:val="20"/>
                <w:lang w:val="fr-CA"/>
              </w:rPr>
            </w:pPr>
            <w:r w:rsidRPr="000A5368">
              <w:rPr>
                <w:sz w:val="20"/>
                <w:lang w:val="fr-CA"/>
              </w:rPr>
              <w:t>Cour suprême du Canada</w:t>
            </w:r>
          </w:p>
        </w:tc>
        <w:tc>
          <w:tcPr>
            <w:tcW w:w="243" w:type="pct"/>
          </w:tcPr>
          <w:p w:rsidR="004928A3" w:rsidRPr="000A5368" w:rsidRDefault="004928A3" w:rsidP="00E05AB6">
            <w:pPr>
              <w:jc w:val="both"/>
              <w:rPr>
                <w:sz w:val="20"/>
                <w:lang w:val="fr-CA"/>
              </w:rPr>
            </w:pPr>
          </w:p>
        </w:tc>
        <w:tc>
          <w:tcPr>
            <w:tcW w:w="2330" w:type="pct"/>
          </w:tcPr>
          <w:p w:rsidR="004928A3" w:rsidRPr="000A5368" w:rsidRDefault="004928A3" w:rsidP="00E05AB6">
            <w:pPr>
              <w:jc w:val="both"/>
              <w:rPr>
                <w:sz w:val="20"/>
                <w:lang w:val="fr-CA"/>
              </w:rPr>
            </w:pPr>
            <w:r w:rsidRPr="000A5368">
              <w:rPr>
                <w:sz w:val="20"/>
                <w:lang w:val="fr-CA"/>
              </w:rPr>
              <w:t>La demande d’autorisation d’appel est présentée.</w:t>
            </w:r>
          </w:p>
          <w:p w:rsidR="004928A3" w:rsidRPr="000A5368" w:rsidRDefault="004928A3" w:rsidP="00E05AB6">
            <w:pPr>
              <w:jc w:val="both"/>
              <w:rPr>
                <w:sz w:val="20"/>
                <w:lang w:val="fr-CA"/>
              </w:rPr>
            </w:pPr>
          </w:p>
        </w:tc>
      </w:tr>
    </w:tbl>
    <w:p w:rsidR="004928A3" w:rsidRPr="000A5368" w:rsidRDefault="004928A3" w:rsidP="00E05AB6">
      <w:pPr>
        <w:jc w:val="both"/>
        <w:rPr>
          <w:sz w:val="20"/>
          <w:lang w:val="fr-CA"/>
        </w:rPr>
      </w:pPr>
    </w:p>
    <w:p w:rsidR="005D6A19" w:rsidRPr="000A5368" w:rsidRDefault="000A5368" w:rsidP="00E05AB6">
      <w:pPr>
        <w:widowControl w:val="0"/>
        <w:jc w:val="both"/>
        <w:rPr>
          <w:sz w:val="20"/>
        </w:rPr>
      </w:pPr>
      <w:r w:rsidRPr="000A5368">
        <w:rPr>
          <w:sz w:val="20"/>
        </w:rPr>
        <w:pict>
          <v:rect id="_x0000_i1042" style="width:2in;height:1pt" o:hrpct="0" o:hralign="center" o:hrstd="t" o:hrnoshade="t" o:hr="t" fillcolor="black [3213]" stroked="f"/>
        </w:pict>
      </w:r>
    </w:p>
    <w:p w:rsidR="005D6A19" w:rsidRPr="000A5368" w:rsidRDefault="005D6A19"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rPr>
            </w:pPr>
            <w:r w:rsidRPr="000A5368">
              <w:rPr>
                <w:rStyle w:val="SCCFileNumberChar"/>
                <w:sz w:val="20"/>
                <w:szCs w:val="20"/>
              </w:rPr>
              <w:t>40416</w:t>
            </w:r>
          </w:p>
        </w:tc>
        <w:tc>
          <w:tcPr>
            <w:tcW w:w="4457" w:type="pct"/>
            <w:gridSpan w:val="3"/>
          </w:tcPr>
          <w:p w:rsidR="00E05AB6" w:rsidRPr="000A5368" w:rsidRDefault="00E05AB6" w:rsidP="00E05AB6">
            <w:pPr>
              <w:pStyle w:val="SCCLsocParty"/>
              <w:jc w:val="both"/>
              <w:rPr>
                <w:b/>
                <w:sz w:val="20"/>
                <w:szCs w:val="20"/>
                <w:lang w:val="en-US"/>
              </w:rPr>
            </w:pPr>
            <w:r w:rsidRPr="000A5368">
              <w:rPr>
                <w:b/>
                <w:sz w:val="20"/>
                <w:szCs w:val="20"/>
                <w:lang w:val="en-US"/>
              </w:rPr>
              <w:t>Waseem Shaheen v. His Majesty the King</w:t>
            </w:r>
          </w:p>
          <w:p w:rsidR="00E05AB6" w:rsidRPr="000A5368" w:rsidRDefault="00E05AB6" w:rsidP="00E05AB6">
            <w:pPr>
              <w:jc w:val="both"/>
              <w:rPr>
                <w:sz w:val="20"/>
              </w:rPr>
            </w:pPr>
            <w:r w:rsidRPr="000A5368">
              <w:rPr>
                <w:sz w:val="20"/>
              </w:rPr>
              <w:t>(Ont.) (Criminal) (By Leave)</w:t>
            </w:r>
          </w:p>
        </w:tc>
      </w:tr>
      <w:tr w:rsidR="00E05AB6" w:rsidRPr="000A5368" w:rsidTr="00711816">
        <w:tc>
          <w:tcPr>
            <w:tcW w:w="5000" w:type="pct"/>
            <w:gridSpan w:val="4"/>
          </w:tcPr>
          <w:p w:rsidR="00E05AB6" w:rsidRPr="000A5368" w:rsidRDefault="00E05AB6" w:rsidP="00E05AB6">
            <w:pPr>
              <w:jc w:val="both"/>
              <w:rPr>
                <w:sz w:val="20"/>
              </w:rPr>
            </w:pPr>
            <w:r w:rsidRPr="000A5368">
              <w:rPr>
                <w:i/>
                <w:sz w:val="20"/>
              </w:rPr>
              <w:t>Charter of Rights and Freedoms</w:t>
            </w:r>
            <w:r w:rsidRPr="000A5368">
              <w:rPr>
                <w:sz w:val="20"/>
              </w:rPr>
              <w:t xml:space="preserve"> — Right to be tried within a reasonable time — Should a period of delay when the Crown is failing in its duty to disclose be counted as defense delay in a </w:t>
            </w:r>
            <w:r w:rsidRPr="000A5368">
              <w:rPr>
                <w:i/>
                <w:sz w:val="20"/>
              </w:rPr>
              <w:t xml:space="preserve">Jordan </w:t>
            </w:r>
            <w:r w:rsidRPr="000A5368">
              <w:rPr>
                <w:sz w:val="20"/>
              </w:rPr>
              <w:t xml:space="preserve">application — Does an accused have to show that a different result would have ensued in order to show that the trial was rendered unfair by late disclosure after the commencement of trial — </w:t>
            </w:r>
            <w:r w:rsidRPr="000A5368">
              <w:rPr>
                <w:spacing w:val="5"/>
                <w:sz w:val="20"/>
              </w:rPr>
              <w:t xml:space="preserve">Does a court of appeal’s failure to consider a ground of appeal frustrate the </w:t>
            </w:r>
            <w:r w:rsidRPr="000A5368">
              <w:rPr>
                <w:sz w:val="20"/>
              </w:rPr>
              <w:t>appellate review process and render the process procedurally unfair and, if so, is a remedy available?</w:t>
            </w:r>
          </w:p>
        </w:tc>
      </w:tr>
      <w:tr w:rsidR="00E05AB6" w:rsidRPr="000A5368" w:rsidTr="00711816">
        <w:tc>
          <w:tcPr>
            <w:tcW w:w="5000" w:type="pct"/>
            <w:gridSpan w:val="4"/>
          </w:tcPr>
          <w:p w:rsidR="00E05AB6" w:rsidRPr="000A5368" w:rsidRDefault="00E05AB6" w:rsidP="00E05AB6">
            <w:pPr>
              <w:jc w:val="both"/>
              <w:rPr>
                <w:sz w:val="20"/>
              </w:rPr>
            </w:pPr>
          </w:p>
          <w:p w:rsidR="00E05AB6" w:rsidRPr="000A5368" w:rsidRDefault="00E05AB6" w:rsidP="00E05AB6">
            <w:pPr>
              <w:widowControl w:val="0"/>
              <w:jc w:val="both"/>
              <w:rPr>
                <w:sz w:val="20"/>
              </w:rPr>
            </w:pPr>
            <w:r w:rsidRPr="000A5368">
              <w:rPr>
                <w:color w:val="000000"/>
                <w:sz w:val="20"/>
              </w:rPr>
              <w:t xml:space="preserve">Mr. Shaheen was charged with trafficking fentanyl, fraud and mischief. </w:t>
            </w:r>
            <w:r w:rsidRPr="000A5368">
              <w:rPr>
                <w:color w:val="212121"/>
                <w:sz w:val="20"/>
                <w:bdr w:val="none" w:sz="0" w:space="0" w:color="auto" w:frame="1"/>
                <w:shd w:val="clear" w:color="auto" w:fill="FFFFFF"/>
              </w:rPr>
              <w:t>The trial judge dismissed a pre-trial motion to stay charges for breach of the right to be tried within a reasonable time guaranteed by s. 11(b) of the</w:t>
            </w:r>
            <w:r w:rsidRPr="000A5368">
              <w:rPr>
                <w:i/>
                <w:color w:val="212121"/>
                <w:sz w:val="20"/>
                <w:bdr w:val="none" w:sz="0" w:space="0" w:color="auto" w:frame="1"/>
                <w:shd w:val="clear" w:color="auto" w:fill="FFFFFF"/>
              </w:rPr>
              <w:t xml:space="preserve"> Charter of Rights and Freedoms</w:t>
            </w:r>
            <w:r w:rsidRPr="000A5368">
              <w:rPr>
                <w:color w:val="212121"/>
                <w:sz w:val="20"/>
                <w:bdr w:val="none" w:sz="0" w:space="0" w:color="auto" w:frame="1"/>
                <w:shd w:val="clear" w:color="auto" w:fill="FFFFFF"/>
              </w:rPr>
              <w:t xml:space="preserve">. Mr. Shaheen was convicted for </w:t>
            </w:r>
            <w:r w:rsidRPr="000A5368">
              <w:rPr>
                <w:color w:val="000000"/>
                <w:sz w:val="20"/>
              </w:rPr>
              <w:t>trafficking in fentanyl, fraud and public mischief. The Court of Appeal dismissed an appeal from the convictions.</w:t>
            </w:r>
          </w:p>
        </w:tc>
      </w:tr>
      <w:tr w:rsidR="00E05AB6" w:rsidRPr="000A5368" w:rsidTr="00711816">
        <w:tc>
          <w:tcPr>
            <w:tcW w:w="5000" w:type="pct"/>
            <w:gridSpan w:val="4"/>
          </w:tcPr>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July 5, 2017</w:t>
            </w:r>
          </w:p>
          <w:p w:rsidR="00E05AB6" w:rsidRPr="000A5368" w:rsidRDefault="00E05AB6" w:rsidP="00E05AB6">
            <w:pPr>
              <w:jc w:val="both"/>
              <w:rPr>
                <w:sz w:val="20"/>
              </w:rPr>
            </w:pPr>
            <w:r w:rsidRPr="000A5368">
              <w:rPr>
                <w:sz w:val="20"/>
              </w:rPr>
              <w:t>Ontario Court of Justice</w:t>
            </w:r>
          </w:p>
          <w:p w:rsidR="00E05AB6" w:rsidRPr="000A5368" w:rsidRDefault="00E05AB6" w:rsidP="00E05AB6">
            <w:pPr>
              <w:jc w:val="both"/>
              <w:rPr>
                <w:sz w:val="20"/>
              </w:rPr>
            </w:pPr>
            <w:r w:rsidRPr="000A5368">
              <w:rPr>
                <w:sz w:val="20"/>
              </w:rPr>
              <w:t xml:space="preserve">(Wadden J.) </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color w:val="000000"/>
                <w:sz w:val="20"/>
              </w:rPr>
            </w:pPr>
            <w:r w:rsidRPr="000A5368">
              <w:rPr>
                <w:color w:val="000000"/>
                <w:sz w:val="20"/>
              </w:rPr>
              <w:t>Motion to dismiss action for unreasonable delay dismissed</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October 13, 2017</w:t>
            </w:r>
          </w:p>
          <w:p w:rsidR="00E05AB6" w:rsidRPr="000A5368" w:rsidRDefault="00E05AB6" w:rsidP="00E05AB6">
            <w:pPr>
              <w:jc w:val="both"/>
              <w:rPr>
                <w:sz w:val="20"/>
              </w:rPr>
            </w:pPr>
            <w:r w:rsidRPr="000A5368">
              <w:rPr>
                <w:sz w:val="20"/>
              </w:rPr>
              <w:t>Ontario Court of Justice</w:t>
            </w:r>
          </w:p>
          <w:p w:rsidR="00E05AB6" w:rsidRPr="000A5368" w:rsidRDefault="00E05AB6" w:rsidP="00E05AB6">
            <w:pPr>
              <w:jc w:val="both"/>
              <w:rPr>
                <w:sz w:val="20"/>
              </w:rPr>
            </w:pPr>
            <w:r w:rsidRPr="000A5368">
              <w:rPr>
                <w:sz w:val="20"/>
              </w:rPr>
              <w:t xml:space="preserve">(Wadden J.)  </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 xml:space="preserve">Convictions for </w:t>
            </w:r>
            <w:r w:rsidRPr="000A5368">
              <w:rPr>
                <w:color w:val="000000"/>
                <w:sz w:val="20"/>
              </w:rPr>
              <w:t>trafficking in fentanyl, fraud and public mischief</w:t>
            </w:r>
          </w:p>
        </w:tc>
      </w:tr>
      <w:tr w:rsidR="00E05AB6" w:rsidRPr="000A5368" w:rsidTr="00711816">
        <w:tc>
          <w:tcPr>
            <w:tcW w:w="2427" w:type="pct"/>
            <w:gridSpan w:val="2"/>
          </w:tcPr>
          <w:p w:rsidR="00E05AB6" w:rsidRPr="000A5368" w:rsidRDefault="00E05AB6" w:rsidP="00E05AB6">
            <w:pPr>
              <w:jc w:val="both"/>
              <w:rPr>
                <w:sz w:val="20"/>
              </w:rPr>
            </w:pPr>
            <w:r w:rsidRPr="000A5368">
              <w:rPr>
                <w:sz w:val="20"/>
              </w:rPr>
              <w:t>October 19, 2022</w:t>
            </w:r>
          </w:p>
          <w:p w:rsidR="00E05AB6" w:rsidRPr="000A5368" w:rsidRDefault="00E05AB6" w:rsidP="00E05AB6">
            <w:pPr>
              <w:jc w:val="both"/>
              <w:rPr>
                <w:sz w:val="20"/>
              </w:rPr>
            </w:pPr>
            <w:r w:rsidRPr="000A5368">
              <w:rPr>
                <w:sz w:val="20"/>
              </w:rPr>
              <w:t>Court of Appeal for Ontario</w:t>
            </w:r>
          </w:p>
          <w:p w:rsidR="00E05AB6" w:rsidRPr="000A5368" w:rsidRDefault="00E05AB6" w:rsidP="00E05AB6">
            <w:pPr>
              <w:jc w:val="both"/>
              <w:rPr>
                <w:sz w:val="20"/>
              </w:rPr>
            </w:pPr>
            <w:r w:rsidRPr="000A5368">
              <w:rPr>
                <w:sz w:val="20"/>
              </w:rPr>
              <w:t>(Tulloch, Thorburn, George JJ.A.)</w:t>
            </w:r>
          </w:p>
          <w:p w:rsidR="00E05AB6" w:rsidRPr="000A5368" w:rsidRDefault="000A5368" w:rsidP="00E05AB6">
            <w:pPr>
              <w:jc w:val="both"/>
              <w:rPr>
                <w:sz w:val="20"/>
              </w:rPr>
            </w:pPr>
            <w:hyperlink r:id="rId46" w:history="1">
              <w:r w:rsidR="00E05AB6" w:rsidRPr="000A5368">
                <w:rPr>
                  <w:rStyle w:val="Hyperlink"/>
                  <w:sz w:val="20"/>
                </w:rPr>
                <w:t>2022 ONCA 734</w:t>
              </w:r>
            </w:hyperlink>
            <w:r w:rsidR="00E05AB6" w:rsidRPr="000A5368">
              <w:rPr>
                <w:sz w:val="20"/>
              </w:rPr>
              <w:t>; C65070</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Appeal dismissed</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April 13, 2023</w:t>
            </w:r>
          </w:p>
          <w:p w:rsidR="00E05AB6" w:rsidRPr="000A5368" w:rsidRDefault="00E05AB6" w:rsidP="00E05AB6">
            <w:pPr>
              <w:jc w:val="both"/>
              <w:rPr>
                <w:sz w:val="20"/>
              </w:rPr>
            </w:pPr>
            <w:r w:rsidRPr="000A5368">
              <w:rPr>
                <w:sz w:val="20"/>
              </w:rPr>
              <w:t>Supreme Court of Canada</w:t>
            </w: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Motion for extension of time to serve and file application for leave to appeal and Application for leave to appeal filed</w:t>
            </w:r>
          </w:p>
        </w:tc>
      </w:tr>
    </w:tbl>
    <w:p w:rsidR="00E05AB6" w:rsidRPr="000A5368" w:rsidRDefault="00E05AB6" w:rsidP="00E05AB6">
      <w:pPr>
        <w:jc w:val="both"/>
        <w:rPr>
          <w:sz w:val="20"/>
        </w:rPr>
      </w:pPr>
    </w:p>
    <w:p w:rsidR="00E05AB6" w:rsidRPr="000A5368" w:rsidRDefault="000A5368" w:rsidP="00E05AB6">
      <w:pPr>
        <w:jc w:val="both"/>
        <w:rPr>
          <w:sz w:val="20"/>
        </w:rPr>
      </w:pPr>
      <w:r w:rsidRPr="000A5368">
        <w:rPr>
          <w:sz w:val="20"/>
        </w:rPr>
        <w:pict>
          <v:rect id="_x0000_i1043" style="width:2in;height:1pt" o:hrpct="0" o:hralign="center" o:hrstd="t" o:hrnoshade="t" o:hr="t" fillcolor="black [3213]" stroked="f"/>
        </w:pict>
      </w:r>
    </w:p>
    <w:p w:rsidR="00E05AB6" w:rsidRPr="000A5368" w:rsidRDefault="00E05AB6"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lang w:val="fr-CA"/>
              </w:rPr>
            </w:pPr>
            <w:r w:rsidRPr="000A5368">
              <w:rPr>
                <w:rStyle w:val="SCCFileNumberChar"/>
                <w:sz w:val="20"/>
                <w:szCs w:val="20"/>
                <w:lang w:val="fr-CA"/>
              </w:rPr>
              <w:t>40416</w:t>
            </w:r>
          </w:p>
        </w:tc>
        <w:tc>
          <w:tcPr>
            <w:tcW w:w="4457" w:type="pct"/>
            <w:gridSpan w:val="3"/>
          </w:tcPr>
          <w:p w:rsidR="00E05AB6" w:rsidRPr="000A5368" w:rsidRDefault="00E05AB6" w:rsidP="00E05AB6">
            <w:pPr>
              <w:pStyle w:val="SCCLsocParty"/>
              <w:jc w:val="both"/>
              <w:rPr>
                <w:b/>
                <w:sz w:val="20"/>
                <w:szCs w:val="20"/>
              </w:rPr>
            </w:pPr>
            <w:r w:rsidRPr="000A5368">
              <w:rPr>
                <w:b/>
                <w:sz w:val="20"/>
                <w:szCs w:val="20"/>
              </w:rPr>
              <w:t>Waseem Shaheen c. Sa Majesté le Roi</w:t>
            </w:r>
          </w:p>
          <w:p w:rsidR="00E05AB6" w:rsidRPr="000A5368" w:rsidRDefault="00E05AB6" w:rsidP="00E05AB6">
            <w:pPr>
              <w:jc w:val="both"/>
              <w:rPr>
                <w:sz w:val="20"/>
                <w:lang w:val="fr-CA"/>
              </w:rPr>
            </w:pPr>
            <w:r w:rsidRPr="000A5368">
              <w:rPr>
                <w:sz w:val="20"/>
                <w:lang w:val="fr-CA"/>
              </w:rPr>
              <w:t>(Ont.) (Criminelle) (Sur autorisation)</w:t>
            </w:r>
          </w:p>
        </w:tc>
      </w:tr>
      <w:tr w:rsidR="00E05AB6" w:rsidRPr="000A5368" w:rsidTr="00711816">
        <w:tc>
          <w:tcPr>
            <w:tcW w:w="5000" w:type="pct"/>
            <w:gridSpan w:val="4"/>
          </w:tcPr>
          <w:p w:rsidR="00E05AB6" w:rsidRPr="000A5368" w:rsidRDefault="00E05AB6" w:rsidP="00E05AB6">
            <w:pPr>
              <w:jc w:val="both"/>
              <w:rPr>
                <w:sz w:val="20"/>
                <w:lang w:val="fr-CA"/>
              </w:rPr>
            </w:pPr>
            <w:r w:rsidRPr="000A5368">
              <w:rPr>
                <w:i/>
                <w:sz w:val="20"/>
                <w:lang w:val="fr-CA"/>
              </w:rPr>
              <w:t>Charte des droits et libertés</w:t>
            </w:r>
            <w:r w:rsidRPr="000A5368">
              <w:rPr>
                <w:sz w:val="20"/>
                <w:lang w:val="fr-CA"/>
              </w:rPr>
              <w:t xml:space="preserve"> — </w:t>
            </w:r>
            <w:r w:rsidRPr="000A5368">
              <w:rPr>
                <w:iCs/>
                <w:sz w:val="20"/>
                <w:lang w:val="fr-CA"/>
              </w:rPr>
              <w:t>Procès dans un délai raisonnable</w:t>
            </w:r>
            <w:r w:rsidRPr="000A5368">
              <w:rPr>
                <w:sz w:val="20"/>
                <w:lang w:val="fr-CA"/>
              </w:rPr>
              <w:t xml:space="preserve"> — La portion d’un délai attribuable au manquement à l’obligation de communication de la Couronne devrait-elle compter comme faisant partie du délai imputable à la défense dans le cadre d’une motion visant l’application des principes de l’arrêt </w:t>
            </w:r>
            <w:r w:rsidRPr="000A5368">
              <w:rPr>
                <w:i/>
                <w:sz w:val="20"/>
                <w:lang w:val="fr-CA"/>
              </w:rPr>
              <w:t>Jordan </w:t>
            </w:r>
            <w:r w:rsidRPr="000A5368">
              <w:rPr>
                <w:sz w:val="20"/>
                <w:lang w:val="fr-CA"/>
              </w:rPr>
              <w:t>? — L’accusé doit-il démontrer que l’issue du procès aurait été différente afin de pouvoir démontrer que la communication tardive après le début du procès a rendu celui-ci inéquitable ? — Le défaut de la Cour d’appel d’examiner un moyen d’appel a-t-il eu pour effet d’entraver la procédure de contrôle en appel, la rendant ainsi injuste sur le plan procédural, et le cas échéant, existe-t-il un recours à cet égard ?</w:t>
            </w:r>
          </w:p>
        </w:tc>
      </w:tr>
      <w:tr w:rsidR="00E05AB6" w:rsidRPr="000A5368" w:rsidTr="00711816">
        <w:tc>
          <w:tcPr>
            <w:tcW w:w="5000" w:type="pct"/>
            <w:gridSpan w:val="4"/>
          </w:tcPr>
          <w:p w:rsidR="00E05AB6" w:rsidRPr="000A5368" w:rsidRDefault="00E05AB6" w:rsidP="00E05AB6">
            <w:pPr>
              <w:jc w:val="both"/>
              <w:rPr>
                <w:sz w:val="20"/>
                <w:lang w:val="fr-CA"/>
              </w:rPr>
            </w:pPr>
          </w:p>
          <w:p w:rsidR="00E05AB6" w:rsidRPr="000A5368" w:rsidRDefault="00E05AB6" w:rsidP="00E05AB6">
            <w:pPr>
              <w:widowControl w:val="0"/>
              <w:jc w:val="both"/>
              <w:rPr>
                <w:sz w:val="20"/>
                <w:lang w:val="fr-CA"/>
              </w:rPr>
            </w:pPr>
            <w:r w:rsidRPr="000A5368">
              <w:rPr>
                <w:color w:val="000000"/>
                <w:sz w:val="20"/>
                <w:lang w:val="fr-CA"/>
              </w:rPr>
              <w:t xml:space="preserve">Monsieur Shaheen a été accusé de trafic de fentanyl, de fraude et de méfait. Le juge du procès a rejeté une motion préliminaire visant à suspendre les accusations pour </w:t>
            </w:r>
            <w:r w:rsidRPr="000A5368">
              <w:rPr>
                <w:color w:val="212121"/>
                <w:sz w:val="20"/>
                <w:bdr w:val="none" w:sz="0" w:space="0" w:color="auto" w:frame="1"/>
                <w:shd w:val="clear" w:color="auto" w:fill="FFFFFF"/>
                <w:lang w:val="fr-CA"/>
              </w:rPr>
              <w:t xml:space="preserve">violation du droit à un procès dans un délai raisonnable qui est garanti à l’al. 11b) de la </w:t>
            </w:r>
            <w:r w:rsidRPr="000A5368">
              <w:rPr>
                <w:i/>
                <w:color w:val="212121"/>
                <w:sz w:val="20"/>
                <w:bdr w:val="none" w:sz="0" w:space="0" w:color="auto" w:frame="1"/>
                <w:shd w:val="clear" w:color="auto" w:fill="FFFFFF"/>
                <w:lang w:val="fr-CA"/>
              </w:rPr>
              <w:t>Charte des droits et libertés</w:t>
            </w:r>
            <w:r w:rsidRPr="000A5368">
              <w:rPr>
                <w:color w:val="212121"/>
                <w:sz w:val="20"/>
                <w:bdr w:val="none" w:sz="0" w:space="0" w:color="auto" w:frame="1"/>
                <w:shd w:val="clear" w:color="auto" w:fill="FFFFFF"/>
                <w:lang w:val="fr-CA"/>
              </w:rPr>
              <w:t>. Monsieur Shaheen a été déclaré coupable de</w:t>
            </w:r>
            <w:r w:rsidRPr="000A5368">
              <w:rPr>
                <w:color w:val="000000"/>
                <w:sz w:val="20"/>
                <w:lang w:val="fr-CA"/>
              </w:rPr>
              <w:t xml:space="preserve"> trafic de fentanyl, de fraude et de méfait public. La Cour d’appel a rejeté l’appel interjeté contre les déclarations de culpabilité.</w:t>
            </w:r>
          </w:p>
        </w:tc>
      </w:tr>
      <w:tr w:rsidR="00E05AB6" w:rsidRPr="000A5368" w:rsidTr="00711816">
        <w:tc>
          <w:tcPr>
            <w:tcW w:w="5000" w:type="pct"/>
            <w:gridSpan w:val="4"/>
          </w:tcPr>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5 juillet 2017</w:t>
            </w:r>
          </w:p>
          <w:p w:rsidR="00E05AB6" w:rsidRPr="000A5368" w:rsidRDefault="00E05AB6" w:rsidP="00E05AB6">
            <w:pPr>
              <w:jc w:val="both"/>
              <w:rPr>
                <w:sz w:val="20"/>
                <w:lang w:val="fr-CA"/>
              </w:rPr>
            </w:pPr>
            <w:r w:rsidRPr="000A5368">
              <w:rPr>
                <w:sz w:val="20"/>
                <w:lang w:val="fr-CA"/>
              </w:rPr>
              <w:t>Cour de justice de l’Ontario</w:t>
            </w:r>
          </w:p>
          <w:p w:rsidR="00E05AB6" w:rsidRPr="000A5368" w:rsidRDefault="00E05AB6" w:rsidP="00E05AB6">
            <w:pPr>
              <w:jc w:val="both"/>
              <w:rPr>
                <w:sz w:val="20"/>
                <w:lang w:val="fr-CA"/>
              </w:rPr>
            </w:pPr>
            <w:r w:rsidRPr="000A5368">
              <w:rPr>
                <w:sz w:val="20"/>
                <w:lang w:val="fr-CA"/>
              </w:rPr>
              <w:t xml:space="preserve">(juge Wadden) </w:t>
            </w:r>
          </w:p>
          <w:p w:rsidR="00E05AB6" w:rsidRPr="000A5368" w:rsidRDefault="00E05AB6" w:rsidP="00E05AB6">
            <w:pPr>
              <w:jc w:val="both"/>
              <w:rPr>
                <w:sz w:val="20"/>
                <w:lang w:val="fr-CA"/>
              </w:rPr>
            </w:pP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color w:val="000000"/>
                <w:sz w:val="20"/>
                <w:lang w:val="fr-CA"/>
              </w:rPr>
            </w:pPr>
            <w:r w:rsidRPr="000A5368">
              <w:rPr>
                <w:color w:val="000000"/>
                <w:sz w:val="20"/>
                <w:lang w:val="fr-CA"/>
              </w:rPr>
              <w:t>La motion en vue de rejeter l’action en raison de délai non raisonnable est rejetée.</w:t>
            </w:r>
          </w:p>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13 octobre 2017</w:t>
            </w:r>
          </w:p>
          <w:p w:rsidR="00E05AB6" w:rsidRPr="000A5368" w:rsidRDefault="00E05AB6" w:rsidP="00E05AB6">
            <w:pPr>
              <w:jc w:val="both"/>
              <w:rPr>
                <w:sz w:val="20"/>
                <w:lang w:val="fr-CA"/>
              </w:rPr>
            </w:pPr>
            <w:r w:rsidRPr="000A5368">
              <w:rPr>
                <w:sz w:val="20"/>
                <w:lang w:val="fr-CA"/>
              </w:rPr>
              <w:t>Cour de justice de l’Ontario</w:t>
            </w:r>
          </w:p>
          <w:p w:rsidR="00E05AB6" w:rsidRPr="000A5368" w:rsidRDefault="001060E4" w:rsidP="00E05AB6">
            <w:pPr>
              <w:jc w:val="both"/>
              <w:rPr>
                <w:sz w:val="20"/>
                <w:lang w:val="fr-CA"/>
              </w:rPr>
            </w:pPr>
            <w:r w:rsidRPr="000A5368">
              <w:rPr>
                <w:sz w:val="20"/>
                <w:lang w:val="fr-CA"/>
              </w:rPr>
              <w:t>(juge Wadden)</w:t>
            </w:r>
          </w:p>
          <w:p w:rsidR="00E05AB6" w:rsidRPr="000A5368" w:rsidRDefault="00E05AB6" w:rsidP="00E05AB6">
            <w:pPr>
              <w:jc w:val="both"/>
              <w:rPr>
                <w:sz w:val="20"/>
                <w:lang w:val="fr-CA"/>
              </w:rPr>
            </w:pP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Les déclarations de culpabilité pour</w:t>
            </w:r>
            <w:r w:rsidRPr="000A5368">
              <w:rPr>
                <w:color w:val="000000"/>
                <w:sz w:val="20"/>
                <w:lang w:val="fr-CA"/>
              </w:rPr>
              <w:t xml:space="preserve"> trafic de fentanyl, fraude et méfait public sont prononcées.</w:t>
            </w: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19 octobre 2022</w:t>
            </w:r>
          </w:p>
          <w:p w:rsidR="00E05AB6" w:rsidRPr="000A5368" w:rsidRDefault="00E05AB6" w:rsidP="00E05AB6">
            <w:pPr>
              <w:jc w:val="both"/>
              <w:rPr>
                <w:sz w:val="20"/>
                <w:lang w:val="fr-CA"/>
              </w:rPr>
            </w:pPr>
            <w:r w:rsidRPr="000A5368">
              <w:rPr>
                <w:sz w:val="20"/>
                <w:lang w:val="fr-CA"/>
              </w:rPr>
              <w:t>Cour d’appel de l’Ontario</w:t>
            </w:r>
          </w:p>
          <w:p w:rsidR="00E05AB6" w:rsidRPr="000A5368" w:rsidRDefault="00E05AB6" w:rsidP="00E05AB6">
            <w:pPr>
              <w:jc w:val="both"/>
              <w:rPr>
                <w:sz w:val="20"/>
                <w:lang w:val="fr-CA"/>
              </w:rPr>
            </w:pPr>
            <w:r w:rsidRPr="000A5368">
              <w:rPr>
                <w:sz w:val="20"/>
                <w:lang w:val="fr-CA"/>
              </w:rPr>
              <w:t>(juges Tulloch, Thorburn, George)</w:t>
            </w:r>
          </w:p>
          <w:p w:rsidR="00E05AB6" w:rsidRPr="000A5368" w:rsidRDefault="000A5368" w:rsidP="00E05AB6">
            <w:pPr>
              <w:jc w:val="both"/>
              <w:rPr>
                <w:sz w:val="20"/>
                <w:lang w:val="fr-CA"/>
              </w:rPr>
            </w:pPr>
            <w:hyperlink r:id="rId47" w:history="1">
              <w:r w:rsidR="00E05AB6" w:rsidRPr="000A5368">
                <w:rPr>
                  <w:rStyle w:val="Hyperlink"/>
                  <w:sz w:val="20"/>
                  <w:lang w:val="fr-CA"/>
                </w:rPr>
                <w:t>2022 ONCA 734</w:t>
              </w:r>
            </w:hyperlink>
            <w:r w:rsidR="00E05AB6" w:rsidRPr="000A5368">
              <w:rPr>
                <w:sz w:val="20"/>
                <w:lang w:val="fr-CA"/>
              </w:rPr>
              <w:t>; C65070</w:t>
            </w:r>
          </w:p>
          <w:p w:rsidR="00E05AB6" w:rsidRPr="000A5368" w:rsidRDefault="00E05AB6" w:rsidP="00E05AB6">
            <w:pPr>
              <w:jc w:val="both"/>
              <w:rPr>
                <w:sz w:val="20"/>
                <w:lang w:val="fr-CA"/>
              </w:rPr>
            </w:pP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L’appel est rejeté.</w:t>
            </w:r>
          </w:p>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13 avril 2023</w:t>
            </w:r>
          </w:p>
          <w:p w:rsidR="00E05AB6" w:rsidRPr="000A5368" w:rsidRDefault="00E05AB6" w:rsidP="00E05AB6">
            <w:pPr>
              <w:jc w:val="both"/>
              <w:rPr>
                <w:sz w:val="20"/>
                <w:lang w:val="fr-CA"/>
              </w:rPr>
            </w:pPr>
            <w:r w:rsidRPr="000A5368">
              <w:rPr>
                <w:sz w:val="20"/>
                <w:lang w:val="fr-CA"/>
              </w:rPr>
              <w:t>Cour suprême du Canada</w:t>
            </w: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La requête en vue de la prorogation du délai pour signifier et déposer la demande d’autorisation d’appel et la demande d’autorisation d’appel sont présentées.</w:t>
            </w:r>
          </w:p>
        </w:tc>
      </w:tr>
    </w:tbl>
    <w:p w:rsidR="00E05AB6" w:rsidRPr="000A5368" w:rsidRDefault="00E05AB6" w:rsidP="00E05AB6">
      <w:pPr>
        <w:jc w:val="both"/>
        <w:rPr>
          <w:sz w:val="20"/>
          <w:lang w:val="fr-CA"/>
        </w:rPr>
      </w:pPr>
    </w:p>
    <w:p w:rsidR="00E05AB6" w:rsidRPr="000A5368" w:rsidRDefault="000A5368" w:rsidP="00E05AB6">
      <w:pPr>
        <w:jc w:val="both"/>
        <w:rPr>
          <w:sz w:val="20"/>
          <w:lang w:val="fr-CA"/>
        </w:rPr>
      </w:pPr>
      <w:r w:rsidRPr="000A5368">
        <w:rPr>
          <w:sz w:val="20"/>
        </w:rPr>
        <w:pict>
          <v:rect id="_x0000_i1044" style="width:2in;height:1pt" o:hrpct="0" o:hralign="center" o:hrstd="t" o:hrnoshade="t" o:hr="t" fillcolor="black [3213]" stroked="f"/>
        </w:pict>
      </w:r>
    </w:p>
    <w:p w:rsidR="004928A3" w:rsidRPr="000A5368" w:rsidRDefault="004928A3" w:rsidP="00E05AB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rPr>
            </w:pPr>
            <w:r w:rsidRPr="000A5368">
              <w:rPr>
                <w:rStyle w:val="SCCFileNumberChar"/>
                <w:sz w:val="20"/>
                <w:szCs w:val="20"/>
              </w:rPr>
              <w:t>40553</w:t>
            </w:r>
          </w:p>
        </w:tc>
        <w:tc>
          <w:tcPr>
            <w:tcW w:w="4457" w:type="pct"/>
            <w:gridSpan w:val="3"/>
          </w:tcPr>
          <w:p w:rsidR="00E05AB6" w:rsidRPr="000A5368" w:rsidRDefault="00E05AB6" w:rsidP="00E05AB6">
            <w:pPr>
              <w:pStyle w:val="SCCLsocParty"/>
              <w:jc w:val="both"/>
              <w:rPr>
                <w:b/>
                <w:sz w:val="20"/>
                <w:szCs w:val="20"/>
                <w:lang w:val="en-US"/>
              </w:rPr>
            </w:pPr>
            <w:r w:rsidRPr="000A5368">
              <w:rPr>
                <w:b/>
                <w:sz w:val="20"/>
                <w:szCs w:val="20"/>
                <w:lang w:val="en-US"/>
              </w:rPr>
              <w:t>Daniel F. O’Connor v. Ezio Giancristofaro and Branislava Malobabic</w:t>
            </w:r>
          </w:p>
          <w:p w:rsidR="00E05AB6" w:rsidRPr="000A5368" w:rsidRDefault="00E05AB6" w:rsidP="00E05AB6">
            <w:pPr>
              <w:jc w:val="both"/>
              <w:rPr>
                <w:sz w:val="20"/>
              </w:rPr>
            </w:pPr>
            <w:r w:rsidRPr="000A5368">
              <w:rPr>
                <w:sz w:val="20"/>
              </w:rPr>
              <w:t>(Que.) (Civil) (By Leave)</w:t>
            </w:r>
          </w:p>
        </w:tc>
      </w:tr>
      <w:tr w:rsidR="00E05AB6" w:rsidRPr="000A5368" w:rsidTr="00711816">
        <w:tc>
          <w:tcPr>
            <w:tcW w:w="5000" w:type="pct"/>
            <w:gridSpan w:val="4"/>
          </w:tcPr>
          <w:p w:rsidR="00E05AB6" w:rsidRPr="000A5368" w:rsidRDefault="00E05AB6" w:rsidP="00E05AB6">
            <w:pPr>
              <w:jc w:val="both"/>
              <w:rPr>
                <w:sz w:val="20"/>
              </w:rPr>
            </w:pPr>
            <w:r w:rsidRPr="000A5368">
              <w:rPr>
                <w:sz w:val="20"/>
              </w:rPr>
              <w:t>Judgments and orders — Execution — Paulian Action — Successful oppression claim granted in favour of creditor in 2018 — Creditor awarded damages in lieu of transfer of shares as originally claimed — Creditor alleging fraudulent transfer of immovable by debtor in 2010 to shield asset from eventual seizure — Courts below dismissing claim on basis of relief granted being monetary in nature and on basis of no intent to defraud — Whether application for leave to appeal raises an issue of public importance.</w:t>
            </w:r>
          </w:p>
        </w:tc>
      </w:tr>
      <w:tr w:rsidR="00E05AB6" w:rsidRPr="000A5368" w:rsidTr="00711816">
        <w:tc>
          <w:tcPr>
            <w:tcW w:w="5000" w:type="pct"/>
            <w:gridSpan w:val="4"/>
          </w:tcPr>
          <w:p w:rsidR="00E05AB6" w:rsidRPr="000A5368" w:rsidRDefault="00E05AB6" w:rsidP="00E05AB6">
            <w:pPr>
              <w:jc w:val="both"/>
              <w:rPr>
                <w:sz w:val="20"/>
              </w:rPr>
            </w:pPr>
          </w:p>
          <w:p w:rsidR="00E05AB6" w:rsidRPr="000A5368" w:rsidRDefault="00E05AB6" w:rsidP="00E05AB6">
            <w:pPr>
              <w:jc w:val="both"/>
              <w:rPr>
                <w:sz w:val="20"/>
              </w:rPr>
            </w:pPr>
            <w:r w:rsidRPr="000A5368">
              <w:rPr>
                <w:sz w:val="20"/>
              </w:rPr>
              <w:t xml:space="preserve">After a 12 year legal battle, the applicant, Mr. O’Connor, was partly successful at trial in an oppression application awarding him damages in the amount of $350,000 against the respondent Ms. Malobabic. Unable to execute the oppression judgment, he instituted a Paulian Action against Ms. Malobabic and her spouse, the respondent Ezio Giancristofaro. Since 2010, Mr. Giancristofaro is the full owner of an immovable property; though initially a part owner, Ms. Malobabic transferred her 50% share of the immovable to him. A successful Paulian Action requires the showing of injury sustained by a creditor through the juridical act of a debtor in fraud of the creditor’s rights. Mr. O’Connor alleges that Ms. Malobabic’s transfer in 2010 was effected with an intent to defraud him — that is, to render herself insolvent and to isolate her sole asset from her creditors. The courts below disagreed, and dismissed Mr. O’Connor’s claim. </w:t>
            </w:r>
          </w:p>
        </w:tc>
      </w:tr>
      <w:tr w:rsidR="00E05AB6" w:rsidRPr="000A5368" w:rsidTr="00711816">
        <w:tc>
          <w:tcPr>
            <w:tcW w:w="5000" w:type="pct"/>
            <w:gridSpan w:val="4"/>
          </w:tcPr>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May 31, 2021</w:t>
            </w:r>
          </w:p>
          <w:p w:rsidR="00E05AB6" w:rsidRPr="000A5368" w:rsidRDefault="00E05AB6" w:rsidP="00E05AB6">
            <w:pPr>
              <w:jc w:val="both"/>
              <w:rPr>
                <w:sz w:val="20"/>
              </w:rPr>
            </w:pPr>
            <w:r w:rsidRPr="000A5368">
              <w:rPr>
                <w:sz w:val="20"/>
              </w:rPr>
              <w:t>Superior Court of Quebec</w:t>
            </w:r>
          </w:p>
          <w:p w:rsidR="00E05AB6" w:rsidRPr="000A5368" w:rsidRDefault="00E05AB6" w:rsidP="00E05AB6">
            <w:pPr>
              <w:jc w:val="both"/>
              <w:rPr>
                <w:sz w:val="20"/>
              </w:rPr>
            </w:pPr>
            <w:r w:rsidRPr="000A5368">
              <w:rPr>
                <w:sz w:val="20"/>
              </w:rPr>
              <w:t>(Davis J.)</w:t>
            </w:r>
          </w:p>
          <w:p w:rsidR="00E05AB6" w:rsidRPr="000A5368" w:rsidRDefault="00E05AB6" w:rsidP="00E05AB6">
            <w:pPr>
              <w:jc w:val="both"/>
              <w:rPr>
                <w:sz w:val="20"/>
              </w:rPr>
            </w:pPr>
            <w:r w:rsidRPr="000A5368">
              <w:rPr>
                <w:sz w:val="20"/>
              </w:rPr>
              <w:t>No. 500-11-056049-196</w:t>
            </w:r>
          </w:p>
          <w:p w:rsidR="00E05AB6" w:rsidRPr="000A5368" w:rsidRDefault="000A5368" w:rsidP="00E05AB6">
            <w:pPr>
              <w:jc w:val="both"/>
              <w:rPr>
                <w:sz w:val="20"/>
              </w:rPr>
            </w:pPr>
            <w:hyperlink r:id="rId48" w:anchor="_ftnref3" w:history="1">
              <w:r w:rsidR="00E05AB6" w:rsidRPr="000A5368">
                <w:rPr>
                  <w:rStyle w:val="Hyperlink"/>
                  <w:sz w:val="20"/>
                </w:rPr>
                <w:t>2021 QCCS 2168</w:t>
              </w:r>
            </w:hyperlink>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Paulian Action dismissed</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November 11, 2022</w:t>
            </w:r>
          </w:p>
          <w:p w:rsidR="00E05AB6" w:rsidRPr="000A5368" w:rsidRDefault="00E05AB6" w:rsidP="00E05AB6">
            <w:pPr>
              <w:jc w:val="both"/>
              <w:rPr>
                <w:sz w:val="20"/>
              </w:rPr>
            </w:pPr>
            <w:r w:rsidRPr="000A5368">
              <w:rPr>
                <w:sz w:val="20"/>
              </w:rPr>
              <w:t>Court of Appeal of Quebec (Montréal)</w:t>
            </w:r>
          </w:p>
          <w:p w:rsidR="00E05AB6" w:rsidRPr="000A5368" w:rsidRDefault="00E05AB6" w:rsidP="00E05AB6">
            <w:pPr>
              <w:jc w:val="both"/>
              <w:rPr>
                <w:sz w:val="20"/>
                <w:lang w:val="fr-CA"/>
              </w:rPr>
            </w:pPr>
            <w:r w:rsidRPr="000A5368">
              <w:rPr>
                <w:sz w:val="20"/>
                <w:lang w:val="fr-CA"/>
              </w:rPr>
              <w:t>(Vauclair, Sansfaçon and Kalichman JJ.A.)</w:t>
            </w:r>
          </w:p>
          <w:p w:rsidR="00E05AB6" w:rsidRPr="000A5368" w:rsidRDefault="00E05AB6" w:rsidP="00E05AB6">
            <w:pPr>
              <w:jc w:val="both"/>
              <w:rPr>
                <w:sz w:val="20"/>
              </w:rPr>
            </w:pPr>
            <w:r w:rsidRPr="000A5368">
              <w:rPr>
                <w:sz w:val="20"/>
              </w:rPr>
              <w:t>No. 500-09-029576-212</w:t>
            </w:r>
          </w:p>
          <w:p w:rsidR="00E05AB6" w:rsidRPr="000A5368" w:rsidRDefault="000A5368" w:rsidP="00E05AB6">
            <w:pPr>
              <w:jc w:val="both"/>
              <w:rPr>
                <w:rStyle w:val="Hyperlink"/>
                <w:color w:val="auto"/>
                <w:sz w:val="20"/>
                <w:u w:val="none"/>
              </w:rPr>
            </w:pPr>
            <w:hyperlink r:id="rId49" w:history="1">
              <w:r w:rsidR="00E05AB6" w:rsidRPr="000A5368">
                <w:rPr>
                  <w:rStyle w:val="Hyperlink"/>
                  <w:sz w:val="20"/>
                </w:rPr>
                <w:t>2022 QCCA 1544</w:t>
              </w:r>
            </w:hyperlink>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Appeal dismissed</w:t>
            </w:r>
          </w:p>
        </w:tc>
      </w:tr>
      <w:tr w:rsidR="00E05AB6" w:rsidRPr="000A5368" w:rsidTr="00711816">
        <w:tc>
          <w:tcPr>
            <w:tcW w:w="2427" w:type="pct"/>
            <w:gridSpan w:val="2"/>
          </w:tcPr>
          <w:p w:rsidR="00E05AB6" w:rsidRPr="000A5368" w:rsidRDefault="00E05AB6" w:rsidP="00E05AB6">
            <w:pPr>
              <w:jc w:val="both"/>
              <w:rPr>
                <w:sz w:val="20"/>
              </w:rPr>
            </w:pPr>
            <w:r w:rsidRPr="000A5368">
              <w:rPr>
                <w:sz w:val="20"/>
              </w:rPr>
              <w:t>January 10, 2023</w:t>
            </w:r>
          </w:p>
          <w:p w:rsidR="00E05AB6" w:rsidRPr="000A5368" w:rsidRDefault="00E05AB6" w:rsidP="00E05AB6">
            <w:pPr>
              <w:jc w:val="both"/>
              <w:rPr>
                <w:sz w:val="20"/>
              </w:rPr>
            </w:pPr>
            <w:r w:rsidRPr="000A5368">
              <w:rPr>
                <w:sz w:val="20"/>
              </w:rPr>
              <w:t>Supreme Court of Canada</w:t>
            </w: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Application for leave to appeal filed</w:t>
            </w:r>
          </w:p>
          <w:p w:rsidR="00E05AB6" w:rsidRPr="000A5368" w:rsidRDefault="00E05AB6" w:rsidP="00E05AB6">
            <w:pPr>
              <w:jc w:val="both"/>
              <w:rPr>
                <w:sz w:val="20"/>
              </w:rPr>
            </w:pPr>
          </w:p>
        </w:tc>
      </w:tr>
    </w:tbl>
    <w:p w:rsidR="00E05AB6" w:rsidRPr="000A5368" w:rsidRDefault="00E05AB6" w:rsidP="00E05AB6">
      <w:pPr>
        <w:jc w:val="both"/>
        <w:rPr>
          <w:sz w:val="20"/>
        </w:rPr>
      </w:pPr>
    </w:p>
    <w:p w:rsidR="00E05AB6" w:rsidRPr="000A5368" w:rsidRDefault="000A5368" w:rsidP="00E05AB6">
      <w:pPr>
        <w:jc w:val="both"/>
        <w:rPr>
          <w:sz w:val="20"/>
        </w:rPr>
      </w:pPr>
      <w:r w:rsidRPr="000A5368">
        <w:rPr>
          <w:sz w:val="20"/>
        </w:rPr>
        <w:pict>
          <v:rect id="_x0000_i1045" style="width:2in;height:1pt" o:hrpct="0" o:hralign="center" o:hrstd="t" o:hrnoshade="t" o:hr="t" fillcolor="black [3213]" stroked="f"/>
        </w:pict>
      </w:r>
    </w:p>
    <w:p w:rsidR="00E05AB6" w:rsidRPr="000A5368" w:rsidRDefault="00E05AB6"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lang w:val="fr-CA"/>
              </w:rPr>
            </w:pPr>
            <w:r w:rsidRPr="000A5368">
              <w:rPr>
                <w:rStyle w:val="SCCFileNumberChar"/>
                <w:sz w:val="20"/>
                <w:szCs w:val="20"/>
                <w:lang w:val="fr-CA"/>
              </w:rPr>
              <w:t>40553</w:t>
            </w:r>
          </w:p>
        </w:tc>
        <w:tc>
          <w:tcPr>
            <w:tcW w:w="4457" w:type="pct"/>
            <w:gridSpan w:val="3"/>
          </w:tcPr>
          <w:p w:rsidR="00E05AB6" w:rsidRPr="000A5368" w:rsidRDefault="00E05AB6" w:rsidP="00E05AB6">
            <w:pPr>
              <w:pStyle w:val="SCCLsocParty"/>
              <w:jc w:val="both"/>
              <w:rPr>
                <w:b/>
                <w:sz w:val="20"/>
                <w:szCs w:val="20"/>
              </w:rPr>
            </w:pPr>
            <w:r w:rsidRPr="000A5368">
              <w:rPr>
                <w:b/>
                <w:sz w:val="20"/>
                <w:szCs w:val="20"/>
              </w:rPr>
              <w:t>Daniel F. O’Connor c. Ezio Giancristofaro et Branislava Malobabic</w:t>
            </w:r>
          </w:p>
          <w:p w:rsidR="00E05AB6" w:rsidRPr="000A5368" w:rsidRDefault="00E05AB6" w:rsidP="00E05AB6">
            <w:pPr>
              <w:jc w:val="both"/>
              <w:rPr>
                <w:sz w:val="20"/>
                <w:lang w:val="fr-CA"/>
              </w:rPr>
            </w:pPr>
            <w:r w:rsidRPr="000A5368">
              <w:rPr>
                <w:sz w:val="20"/>
                <w:lang w:val="fr-CA"/>
              </w:rPr>
              <w:t>(Qc) (Civile) (Sur autorisation)</w:t>
            </w:r>
          </w:p>
        </w:tc>
      </w:tr>
      <w:tr w:rsidR="00E05AB6" w:rsidRPr="000A5368" w:rsidTr="00711816">
        <w:tc>
          <w:tcPr>
            <w:tcW w:w="5000" w:type="pct"/>
            <w:gridSpan w:val="4"/>
          </w:tcPr>
          <w:p w:rsidR="00E05AB6" w:rsidRPr="000A5368" w:rsidRDefault="00E05AB6" w:rsidP="00E05AB6">
            <w:pPr>
              <w:jc w:val="both"/>
              <w:rPr>
                <w:sz w:val="20"/>
                <w:lang w:val="fr-CA"/>
              </w:rPr>
            </w:pPr>
            <w:r w:rsidRPr="000A5368">
              <w:rPr>
                <w:sz w:val="20"/>
                <w:lang w:val="fr-CA"/>
              </w:rPr>
              <w:t>Jugements et ordonnances — Exécution — Action en inopposabilité — Recours pour abus accueilli en faveur du créancier en 2018 — Le créancier s’est vu accorder des dommages-intérêts au lieu du transfert des actions initialement demandé — Le créancier allègue qu’il y a eu transfert frauduleux d’un immeuble par la débitrice en 2010 afin de protéger le bien d’une saisie éventuelle — Les tribunaux d’instance inférieure ont rejeté la demande au motif que la réparation accordée était de nature pécuniaire et qu’il n’y avait aucune intention de frauder — La demande d’autorisation d’appel soulève-t-elle une question d’importance pour le public ?</w:t>
            </w:r>
          </w:p>
        </w:tc>
      </w:tr>
      <w:tr w:rsidR="00E05AB6" w:rsidRPr="000A5368" w:rsidTr="00711816">
        <w:tc>
          <w:tcPr>
            <w:tcW w:w="5000" w:type="pct"/>
            <w:gridSpan w:val="4"/>
          </w:tcPr>
          <w:p w:rsidR="00E05AB6" w:rsidRPr="000A5368" w:rsidRDefault="00E05AB6" w:rsidP="00E05AB6">
            <w:pPr>
              <w:jc w:val="both"/>
              <w:rPr>
                <w:sz w:val="20"/>
                <w:lang w:val="fr-CA"/>
              </w:rPr>
            </w:pPr>
          </w:p>
          <w:p w:rsidR="00E05AB6" w:rsidRPr="000A5368" w:rsidRDefault="00E05AB6" w:rsidP="00E05AB6">
            <w:pPr>
              <w:jc w:val="both"/>
              <w:rPr>
                <w:sz w:val="20"/>
                <w:lang w:val="fr-CA"/>
              </w:rPr>
            </w:pPr>
            <w:r w:rsidRPr="000A5368">
              <w:rPr>
                <w:sz w:val="20"/>
                <w:lang w:val="fr-CA"/>
              </w:rPr>
              <w:t xml:space="preserve">À la suite d’une bataille juridique de 12 ans, le demandeur M. O’Connor a partiellement eu gain de cause au procès dans le cadre d’un recours pour abus et s’est vu accorder des dommages-intérêts s’élevant à 350 000 $ contre l’intimée, Mme Malobabic. Ne pouvant faire exécuter le jugement relatif au recours pour abus, il a intenté une action en inopposabilité contre Mme Malobabic et son conjoint, l’intimé Ezio Giancristofaro. Depuis 2010, M. Giancristofaro est le propriétaire à part entière d’un immeuble; alors que Mme Malobabic, qui en était initialement propriétaire à 50 %, a transféré sa part de l'immeuble à ce dernier. Pour avoir gain de cause dans le cadre d’une action en inopposabilité, le créancier doit démontrer qu’il a subi un préjudice découlant d’un acte juridique du débiteur en fraude des droits du créancier. Monsieur O’Connor allègue que Mme Malobabic avait l’intention de le frauder lorsqu’elle a effectué le transfert en 2010, c’est-à-dire qu’elle voulait devenir insolvable et isoler l’unique bien lui appartenant de ses créanciers. N’étant pas du même avis, les tribunaux d’instance inférieure ont rejeté la demande de M. O’Connor. </w:t>
            </w:r>
          </w:p>
        </w:tc>
      </w:tr>
      <w:tr w:rsidR="00E05AB6" w:rsidRPr="000A5368" w:rsidTr="00711816">
        <w:tc>
          <w:tcPr>
            <w:tcW w:w="5000" w:type="pct"/>
            <w:gridSpan w:val="4"/>
          </w:tcPr>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31 mai 2021</w:t>
            </w:r>
          </w:p>
          <w:p w:rsidR="00E05AB6" w:rsidRPr="000A5368" w:rsidRDefault="00E05AB6" w:rsidP="00E05AB6">
            <w:pPr>
              <w:jc w:val="both"/>
              <w:rPr>
                <w:sz w:val="20"/>
                <w:lang w:val="fr-CA"/>
              </w:rPr>
            </w:pPr>
            <w:r w:rsidRPr="000A5368">
              <w:rPr>
                <w:sz w:val="20"/>
                <w:lang w:val="fr-CA"/>
              </w:rPr>
              <w:t>Cour supérieure du Québec</w:t>
            </w:r>
          </w:p>
          <w:p w:rsidR="00E05AB6" w:rsidRPr="000A5368" w:rsidRDefault="00E05AB6" w:rsidP="00E05AB6">
            <w:pPr>
              <w:jc w:val="both"/>
              <w:rPr>
                <w:sz w:val="20"/>
                <w:lang w:val="fr-CA"/>
              </w:rPr>
            </w:pPr>
            <w:r w:rsidRPr="000A5368">
              <w:rPr>
                <w:sz w:val="20"/>
                <w:lang w:val="fr-CA"/>
              </w:rPr>
              <w:t>(juge Davis)</w:t>
            </w:r>
          </w:p>
          <w:p w:rsidR="00E05AB6" w:rsidRPr="000A5368" w:rsidRDefault="00E05AB6" w:rsidP="00E05AB6">
            <w:pPr>
              <w:jc w:val="both"/>
              <w:rPr>
                <w:sz w:val="20"/>
                <w:lang w:val="fr-CA"/>
              </w:rPr>
            </w:pPr>
            <w:r w:rsidRPr="000A5368">
              <w:rPr>
                <w:sz w:val="20"/>
                <w:lang w:val="fr-CA"/>
              </w:rPr>
              <w:t>N</w:t>
            </w:r>
            <w:r w:rsidRPr="000A5368">
              <w:rPr>
                <w:sz w:val="20"/>
                <w:vertAlign w:val="superscript"/>
                <w:lang w:val="fr-CA"/>
              </w:rPr>
              <w:t>o</w:t>
            </w:r>
            <w:r w:rsidRPr="000A5368">
              <w:rPr>
                <w:sz w:val="20"/>
                <w:lang w:val="fr-CA"/>
              </w:rPr>
              <w:t xml:space="preserve"> 500-11-056049-196</w:t>
            </w:r>
          </w:p>
          <w:p w:rsidR="00E05AB6" w:rsidRPr="000A5368" w:rsidRDefault="000A5368" w:rsidP="00E05AB6">
            <w:pPr>
              <w:jc w:val="both"/>
              <w:rPr>
                <w:sz w:val="20"/>
                <w:lang w:val="fr-CA"/>
              </w:rPr>
            </w:pPr>
            <w:hyperlink r:id="rId50" w:anchor="_ftnref3" w:history="1">
              <w:r w:rsidR="00E05AB6" w:rsidRPr="000A5368">
                <w:rPr>
                  <w:rStyle w:val="Hyperlink"/>
                  <w:sz w:val="20"/>
                  <w:lang w:val="fr-CA"/>
                </w:rPr>
                <w:t>2021 QCCS 2168</w:t>
              </w:r>
            </w:hyperlink>
          </w:p>
          <w:p w:rsidR="00E05AB6" w:rsidRPr="000A5368" w:rsidRDefault="00E05AB6" w:rsidP="00E05AB6">
            <w:pPr>
              <w:jc w:val="both"/>
              <w:rPr>
                <w:sz w:val="20"/>
                <w:lang w:val="fr-CA"/>
              </w:rPr>
            </w:pP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L’action en inopposabilité est rejetée.</w:t>
            </w:r>
          </w:p>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11 novembre 2022</w:t>
            </w:r>
          </w:p>
          <w:p w:rsidR="00E05AB6" w:rsidRPr="000A5368" w:rsidRDefault="00E05AB6" w:rsidP="00E05AB6">
            <w:pPr>
              <w:jc w:val="both"/>
              <w:rPr>
                <w:sz w:val="20"/>
                <w:lang w:val="fr-CA"/>
              </w:rPr>
            </w:pPr>
            <w:r w:rsidRPr="000A5368">
              <w:rPr>
                <w:sz w:val="20"/>
                <w:lang w:val="fr-CA"/>
              </w:rPr>
              <w:t>Cour d’appel du Québec (Montréal)</w:t>
            </w:r>
          </w:p>
          <w:p w:rsidR="00E05AB6" w:rsidRPr="000A5368" w:rsidRDefault="00E05AB6" w:rsidP="00E05AB6">
            <w:pPr>
              <w:jc w:val="both"/>
              <w:rPr>
                <w:sz w:val="20"/>
                <w:lang w:val="fr-CA"/>
              </w:rPr>
            </w:pPr>
            <w:r w:rsidRPr="000A5368">
              <w:rPr>
                <w:sz w:val="20"/>
                <w:lang w:val="fr-CA"/>
              </w:rPr>
              <w:t>(juges Vauclair, Sansfaçon et Kalichman)</w:t>
            </w:r>
          </w:p>
          <w:p w:rsidR="00E05AB6" w:rsidRPr="000A5368" w:rsidRDefault="00E05AB6" w:rsidP="00E05AB6">
            <w:pPr>
              <w:jc w:val="both"/>
              <w:rPr>
                <w:sz w:val="20"/>
                <w:lang w:val="fr-CA"/>
              </w:rPr>
            </w:pPr>
            <w:r w:rsidRPr="000A5368">
              <w:rPr>
                <w:sz w:val="20"/>
                <w:lang w:val="fr-CA"/>
              </w:rPr>
              <w:t>N</w:t>
            </w:r>
            <w:r w:rsidRPr="000A5368">
              <w:rPr>
                <w:sz w:val="20"/>
                <w:vertAlign w:val="superscript"/>
                <w:lang w:val="fr-CA"/>
              </w:rPr>
              <w:t>o</w:t>
            </w:r>
            <w:r w:rsidRPr="000A5368">
              <w:rPr>
                <w:sz w:val="20"/>
                <w:lang w:val="fr-CA"/>
              </w:rPr>
              <w:t xml:space="preserve"> 500-09-029576-212</w:t>
            </w:r>
          </w:p>
          <w:p w:rsidR="00E05AB6" w:rsidRPr="000A5368" w:rsidRDefault="000A5368" w:rsidP="00E05AB6">
            <w:pPr>
              <w:jc w:val="both"/>
              <w:rPr>
                <w:rStyle w:val="Hyperlink"/>
                <w:color w:val="auto"/>
                <w:sz w:val="20"/>
                <w:u w:val="none"/>
                <w:lang w:val="fr-CA"/>
              </w:rPr>
            </w:pPr>
            <w:hyperlink r:id="rId51" w:history="1">
              <w:r w:rsidR="00E05AB6" w:rsidRPr="000A5368">
                <w:rPr>
                  <w:rStyle w:val="Hyperlink"/>
                  <w:sz w:val="20"/>
                  <w:lang w:val="fr-CA"/>
                </w:rPr>
                <w:t>2022 QCCA 1544</w:t>
              </w:r>
            </w:hyperlink>
          </w:p>
          <w:p w:rsidR="00E05AB6" w:rsidRPr="000A5368" w:rsidRDefault="00E05AB6" w:rsidP="00E05AB6">
            <w:pPr>
              <w:jc w:val="both"/>
              <w:rPr>
                <w:sz w:val="20"/>
                <w:lang w:val="fr-CA"/>
              </w:rPr>
            </w:pP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L’appel est rejeté.</w:t>
            </w: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10 janvier 2023</w:t>
            </w:r>
          </w:p>
          <w:p w:rsidR="00E05AB6" w:rsidRPr="000A5368" w:rsidRDefault="00E05AB6" w:rsidP="00E05AB6">
            <w:pPr>
              <w:jc w:val="both"/>
              <w:rPr>
                <w:sz w:val="20"/>
                <w:lang w:val="fr-CA"/>
              </w:rPr>
            </w:pPr>
            <w:r w:rsidRPr="000A5368">
              <w:rPr>
                <w:sz w:val="20"/>
                <w:lang w:val="fr-CA"/>
              </w:rPr>
              <w:t>Cour suprême du Canada</w:t>
            </w: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La demande d’autorisation d’appel est présentée.</w:t>
            </w:r>
          </w:p>
          <w:p w:rsidR="00E05AB6" w:rsidRPr="000A5368" w:rsidRDefault="00E05AB6" w:rsidP="00E05AB6">
            <w:pPr>
              <w:jc w:val="both"/>
              <w:rPr>
                <w:sz w:val="20"/>
                <w:lang w:val="fr-CA"/>
              </w:rPr>
            </w:pPr>
          </w:p>
        </w:tc>
      </w:tr>
    </w:tbl>
    <w:p w:rsidR="00E05AB6" w:rsidRPr="000A5368" w:rsidRDefault="00E05AB6" w:rsidP="00E05AB6">
      <w:pPr>
        <w:jc w:val="both"/>
        <w:rPr>
          <w:sz w:val="20"/>
          <w:lang w:val="fr-CA"/>
        </w:rPr>
      </w:pPr>
    </w:p>
    <w:p w:rsidR="00E05AB6" w:rsidRPr="000A5368" w:rsidRDefault="000A5368" w:rsidP="00E05AB6">
      <w:pPr>
        <w:widowControl w:val="0"/>
        <w:jc w:val="both"/>
        <w:rPr>
          <w:sz w:val="20"/>
        </w:rPr>
      </w:pPr>
      <w:r w:rsidRPr="000A5368">
        <w:rPr>
          <w:sz w:val="20"/>
        </w:rPr>
        <w:pict>
          <v:rect id="_x0000_i1046" style="width:2in;height:1pt" o:hrpct="0" o:hralign="center" o:hrstd="t" o:hrnoshade="t" o:hr="t" fillcolor="black [3213]" stroked="f"/>
        </w:pict>
      </w:r>
    </w:p>
    <w:p w:rsidR="00FC0780" w:rsidRPr="000A5368" w:rsidRDefault="00FC0780" w:rsidP="00E05AB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rPr>
            </w:pPr>
            <w:r w:rsidRPr="000A5368">
              <w:rPr>
                <w:rStyle w:val="SCCFileNumberChar"/>
                <w:sz w:val="20"/>
                <w:szCs w:val="20"/>
              </w:rPr>
              <w:t>40730</w:t>
            </w:r>
          </w:p>
        </w:tc>
        <w:tc>
          <w:tcPr>
            <w:tcW w:w="4457" w:type="pct"/>
            <w:gridSpan w:val="3"/>
          </w:tcPr>
          <w:p w:rsidR="00E05AB6" w:rsidRPr="000A5368" w:rsidRDefault="00E05AB6" w:rsidP="00E05AB6">
            <w:pPr>
              <w:pStyle w:val="SCCLsocParty"/>
              <w:jc w:val="both"/>
              <w:rPr>
                <w:b/>
                <w:sz w:val="20"/>
                <w:szCs w:val="20"/>
                <w:lang w:val="en-US"/>
              </w:rPr>
            </w:pPr>
            <w:r w:rsidRPr="000A5368">
              <w:rPr>
                <w:b/>
                <w:sz w:val="20"/>
                <w:szCs w:val="20"/>
                <w:lang w:val="en-US"/>
              </w:rPr>
              <w:t>James McCullough v. His Majesty the King</w:t>
            </w:r>
          </w:p>
          <w:p w:rsidR="00E05AB6" w:rsidRPr="000A5368" w:rsidRDefault="00E05AB6" w:rsidP="00E05AB6">
            <w:pPr>
              <w:jc w:val="both"/>
              <w:rPr>
                <w:sz w:val="20"/>
              </w:rPr>
            </w:pPr>
            <w:r w:rsidRPr="000A5368">
              <w:rPr>
                <w:sz w:val="20"/>
              </w:rPr>
              <w:t>(Ont.) (Criminal) (By Leave)</w:t>
            </w:r>
          </w:p>
        </w:tc>
      </w:tr>
      <w:tr w:rsidR="00E05AB6" w:rsidRPr="000A5368" w:rsidTr="00711816">
        <w:tc>
          <w:tcPr>
            <w:tcW w:w="5000" w:type="pct"/>
            <w:gridSpan w:val="4"/>
          </w:tcPr>
          <w:p w:rsidR="00E05AB6" w:rsidRPr="000A5368" w:rsidRDefault="00E05AB6" w:rsidP="00E05AB6">
            <w:pPr>
              <w:jc w:val="both"/>
              <w:rPr>
                <w:sz w:val="20"/>
              </w:rPr>
            </w:pPr>
            <w:r w:rsidRPr="000A5368">
              <w:rPr>
                <w:sz w:val="20"/>
              </w:rPr>
              <w:t>Criminal law — Evidence — After-the-fact conduct — Whether the trial judge properly instructed the jury on the applicant’s after-the-fact conduct and discreditable conduct evidence —Whether the Court of Appeal erred in law?</w:t>
            </w:r>
          </w:p>
        </w:tc>
      </w:tr>
      <w:tr w:rsidR="00E05AB6" w:rsidRPr="000A5368" w:rsidTr="00711816">
        <w:tc>
          <w:tcPr>
            <w:tcW w:w="5000" w:type="pct"/>
            <w:gridSpan w:val="4"/>
          </w:tcPr>
          <w:p w:rsidR="00E05AB6" w:rsidRPr="000A5368" w:rsidRDefault="00E05AB6" w:rsidP="00E05AB6">
            <w:pPr>
              <w:jc w:val="both"/>
              <w:rPr>
                <w:sz w:val="20"/>
              </w:rPr>
            </w:pPr>
          </w:p>
          <w:p w:rsidR="00E05AB6" w:rsidRPr="000A5368" w:rsidRDefault="00E05AB6" w:rsidP="00E05AB6">
            <w:pPr>
              <w:jc w:val="both"/>
              <w:rPr>
                <w:sz w:val="20"/>
              </w:rPr>
            </w:pPr>
            <w:r w:rsidRPr="000A5368">
              <w:rPr>
                <w:bCs/>
                <w:color w:val="000000"/>
                <w:sz w:val="20"/>
              </w:rPr>
              <w:t xml:space="preserve">The applicant admitted to stabbing the victim and dismembering the victim’s body. The applicant testified that the stabbing was a reaction to an unexpected sexual advance and it was not planned or deliberate. The trial judge admitted evidence of rap lyrics by the applicant and statements to a psychiatric nurse suggesting a desire to commit cannibalism. </w:t>
            </w:r>
            <w:r w:rsidRPr="000A5368">
              <w:rPr>
                <w:color w:val="000000"/>
                <w:sz w:val="20"/>
              </w:rPr>
              <w:t>The Crown referred to the applicant’s post-offence conduct of dismembering the victim, cleaning the hotel room, attempting to dispose of the body, lying to the police and remaining calm the day after.</w:t>
            </w:r>
            <w:r w:rsidRPr="000A5368">
              <w:rPr>
                <w:sz w:val="20"/>
              </w:rPr>
              <w:t xml:space="preserve"> After a trial by judge and jury, the applicant was convicted of first-degree murder and </w:t>
            </w:r>
            <w:r w:rsidRPr="000A5368">
              <w:rPr>
                <w:color w:val="000000"/>
                <w:sz w:val="20"/>
              </w:rPr>
              <w:t>committing an indignity to a human body. The conviction appeal was dismissed.</w:t>
            </w:r>
          </w:p>
        </w:tc>
      </w:tr>
      <w:tr w:rsidR="00E05AB6" w:rsidRPr="000A5368" w:rsidTr="00711816">
        <w:tc>
          <w:tcPr>
            <w:tcW w:w="5000" w:type="pct"/>
            <w:gridSpan w:val="4"/>
          </w:tcPr>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April 25, 2016</w:t>
            </w:r>
          </w:p>
          <w:p w:rsidR="00E05AB6" w:rsidRPr="000A5368" w:rsidRDefault="00E05AB6" w:rsidP="00E05AB6">
            <w:pPr>
              <w:jc w:val="both"/>
              <w:rPr>
                <w:sz w:val="20"/>
              </w:rPr>
            </w:pPr>
            <w:r w:rsidRPr="000A5368">
              <w:rPr>
                <w:sz w:val="20"/>
              </w:rPr>
              <w:t>Superior Court of Justice</w:t>
            </w:r>
          </w:p>
          <w:p w:rsidR="00E05AB6" w:rsidRPr="000A5368" w:rsidRDefault="00E05AB6" w:rsidP="00E05AB6">
            <w:pPr>
              <w:jc w:val="both"/>
              <w:rPr>
                <w:sz w:val="20"/>
              </w:rPr>
            </w:pPr>
            <w:r w:rsidRPr="000A5368">
              <w:rPr>
                <w:sz w:val="20"/>
              </w:rPr>
              <w:t>(Pomerance J.)</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Convictions entered:</w:t>
            </w:r>
            <w:r w:rsidRPr="000A5368">
              <w:rPr>
                <w:color w:val="000000"/>
                <w:sz w:val="20"/>
              </w:rPr>
              <w:t xml:space="preserve"> first-degree murder and committing an indignity to a human body</w:t>
            </w:r>
          </w:p>
          <w:p w:rsidR="00E05AB6" w:rsidRPr="000A5368" w:rsidRDefault="00E05AB6" w:rsidP="00E05AB6">
            <w:pPr>
              <w:jc w:val="both"/>
              <w:rPr>
                <w:sz w:val="20"/>
              </w:rPr>
            </w:pP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February 3, 2021</w:t>
            </w:r>
          </w:p>
          <w:p w:rsidR="00E05AB6" w:rsidRPr="000A5368" w:rsidRDefault="00E05AB6" w:rsidP="00E05AB6">
            <w:pPr>
              <w:jc w:val="both"/>
              <w:rPr>
                <w:sz w:val="20"/>
              </w:rPr>
            </w:pPr>
            <w:r w:rsidRPr="000A5368">
              <w:rPr>
                <w:sz w:val="20"/>
              </w:rPr>
              <w:t>Court of Appeal for Ontario</w:t>
            </w:r>
          </w:p>
          <w:p w:rsidR="00E05AB6" w:rsidRPr="000A5368" w:rsidRDefault="00E05AB6" w:rsidP="00E05AB6">
            <w:pPr>
              <w:jc w:val="both"/>
              <w:rPr>
                <w:sz w:val="20"/>
              </w:rPr>
            </w:pPr>
            <w:r w:rsidRPr="000A5368">
              <w:rPr>
                <w:sz w:val="20"/>
              </w:rPr>
              <w:t>(Huscroft, Miller, Harvison Young JJ.A.)</w:t>
            </w:r>
          </w:p>
          <w:p w:rsidR="00E05AB6" w:rsidRPr="000A5368" w:rsidRDefault="00E05AB6" w:rsidP="00E05AB6">
            <w:pPr>
              <w:jc w:val="both"/>
              <w:rPr>
                <w:sz w:val="20"/>
              </w:rPr>
            </w:pPr>
            <w:r w:rsidRPr="000A5368">
              <w:rPr>
                <w:sz w:val="20"/>
              </w:rPr>
              <w:t xml:space="preserve">C63642; </w:t>
            </w:r>
            <w:hyperlink r:id="rId52" w:history="1">
              <w:r w:rsidRPr="000A5368">
                <w:rPr>
                  <w:rStyle w:val="Hyperlink"/>
                  <w:sz w:val="20"/>
                </w:rPr>
                <w:t>2021 ONCA 71</w:t>
              </w:r>
            </w:hyperlink>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Appeal dismissed</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April 3, 2023</w:t>
            </w:r>
          </w:p>
          <w:p w:rsidR="00E05AB6" w:rsidRPr="000A5368" w:rsidRDefault="00E05AB6" w:rsidP="00E05AB6">
            <w:pPr>
              <w:jc w:val="both"/>
              <w:rPr>
                <w:sz w:val="20"/>
              </w:rPr>
            </w:pPr>
            <w:r w:rsidRPr="000A5368">
              <w:rPr>
                <w:sz w:val="20"/>
              </w:rPr>
              <w:t>Supreme Court of Canada</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Motion to appoint counsel, motion for an extension of time to serve and file the application for leave to appeal and application for leave to appeal filed</w:t>
            </w:r>
          </w:p>
        </w:tc>
      </w:tr>
    </w:tbl>
    <w:p w:rsidR="00E05AB6" w:rsidRPr="000A5368" w:rsidRDefault="00E05AB6" w:rsidP="00E05AB6">
      <w:pPr>
        <w:jc w:val="both"/>
        <w:rPr>
          <w:sz w:val="20"/>
        </w:rPr>
      </w:pPr>
    </w:p>
    <w:p w:rsidR="00E05AB6" w:rsidRPr="000A5368" w:rsidRDefault="000A5368" w:rsidP="00E05AB6">
      <w:pPr>
        <w:jc w:val="both"/>
        <w:rPr>
          <w:sz w:val="20"/>
        </w:rPr>
      </w:pPr>
      <w:r w:rsidRPr="000A5368">
        <w:rPr>
          <w:sz w:val="20"/>
        </w:rPr>
        <w:pict>
          <v:rect id="_x0000_i1047" style="width:2in;height:1pt" o:hrpct="0" o:hralign="center" o:hrstd="t" o:hrnoshade="t" o:hr="t" fillcolor="black [3213]" stroked="f"/>
        </w:pict>
      </w:r>
    </w:p>
    <w:p w:rsidR="00E05AB6" w:rsidRPr="000A5368" w:rsidRDefault="00E05AB6"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rPr>
            </w:pPr>
            <w:r w:rsidRPr="000A5368">
              <w:rPr>
                <w:rStyle w:val="SCCFileNumberChar"/>
                <w:sz w:val="20"/>
                <w:szCs w:val="20"/>
              </w:rPr>
              <w:t>40730</w:t>
            </w:r>
          </w:p>
        </w:tc>
        <w:tc>
          <w:tcPr>
            <w:tcW w:w="4457" w:type="pct"/>
            <w:gridSpan w:val="3"/>
          </w:tcPr>
          <w:p w:rsidR="00E05AB6" w:rsidRPr="000A5368" w:rsidRDefault="00E05AB6" w:rsidP="00E05AB6">
            <w:pPr>
              <w:pStyle w:val="SCCLsocParty"/>
              <w:jc w:val="both"/>
              <w:rPr>
                <w:b/>
                <w:sz w:val="20"/>
                <w:szCs w:val="20"/>
              </w:rPr>
            </w:pPr>
            <w:r w:rsidRPr="000A5368">
              <w:rPr>
                <w:b/>
                <w:sz w:val="20"/>
                <w:szCs w:val="20"/>
              </w:rPr>
              <w:t>James McCullough c. Sa Majesté le Roi</w:t>
            </w:r>
          </w:p>
          <w:p w:rsidR="00E05AB6" w:rsidRPr="000A5368" w:rsidRDefault="00E05AB6" w:rsidP="00E05AB6">
            <w:pPr>
              <w:jc w:val="both"/>
              <w:rPr>
                <w:sz w:val="20"/>
              </w:rPr>
            </w:pPr>
            <w:r w:rsidRPr="000A5368">
              <w:rPr>
                <w:sz w:val="20"/>
              </w:rPr>
              <w:t>(Ont.) (Criminelle) (Autorisation)</w:t>
            </w:r>
          </w:p>
        </w:tc>
      </w:tr>
      <w:tr w:rsidR="00E05AB6" w:rsidRPr="000A5368" w:rsidTr="00711816">
        <w:tc>
          <w:tcPr>
            <w:tcW w:w="5000" w:type="pct"/>
            <w:gridSpan w:val="4"/>
          </w:tcPr>
          <w:p w:rsidR="00E05AB6" w:rsidRPr="000A5368" w:rsidRDefault="00E05AB6" w:rsidP="00E05AB6">
            <w:pPr>
              <w:jc w:val="both"/>
              <w:rPr>
                <w:sz w:val="20"/>
                <w:lang w:val="fr-CA"/>
              </w:rPr>
            </w:pPr>
            <w:r w:rsidRPr="000A5368">
              <w:rPr>
                <w:sz w:val="20"/>
                <w:lang w:val="fr-CA"/>
              </w:rPr>
              <w:t>Droit criminel — Preuve — Comportement après le fait — La juge du procès a-t-elle donné des directives appropriées au jury sur la preuve relative au comportement après le fait et à la conduite déshonorante du demandeur? — La Cour d'appel a-t-elle commis une erreur de droit?</w:t>
            </w:r>
          </w:p>
        </w:tc>
      </w:tr>
      <w:tr w:rsidR="00E05AB6" w:rsidRPr="000A5368" w:rsidTr="00711816">
        <w:tc>
          <w:tcPr>
            <w:tcW w:w="5000" w:type="pct"/>
            <w:gridSpan w:val="4"/>
          </w:tcPr>
          <w:p w:rsidR="00E05AB6" w:rsidRPr="000A5368" w:rsidRDefault="00E05AB6" w:rsidP="00E05AB6">
            <w:pPr>
              <w:jc w:val="both"/>
              <w:rPr>
                <w:sz w:val="20"/>
                <w:lang w:val="fr-CA"/>
              </w:rPr>
            </w:pPr>
          </w:p>
          <w:p w:rsidR="00E05AB6" w:rsidRPr="000A5368" w:rsidRDefault="00E05AB6" w:rsidP="00E05AB6">
            <w:pPr>
              <w:jc w:val="both"/>
              <w:rPr>
                <w:sz w:val="20"/>
              </w:rPr>
            </w:pPr>
            <w:r w:rsidRPr="000A5368">
              <w:rPr>
                <w:color w:val="000000"/>
                <w:sz w:val="20"/>
                <w:lang w:val="fr-CA"/>
              </w:rPr>
              <w:t>Le demandeur a admis avoir poignardé la victime et démembré son corps. Le demandeur a déclaré que son geste était une réaction à une avance sexuelle inattendue et qu'il n'était ni planifié ni délibéré. La juge du procès a admis la preuve de paroles de rap du demandeur et de déclarations à un infirmier psychiatrique donnant à entendre un désir de se livrer à du cannibalisme. La Couronne a évoqué le comportement du demandeur postérieur à l'infraction, à savoir le démembrement de la victime, le nettoyage de la chambre d'hôtel, la tentative de se débarrasser du corps, le mensonge à la police et le fait d'être resté calme le lendemain.</w:t>
            </w:r>
            <w:r w:rsidRPr="000A5368">
              <w:rPr>
                <w:sz w:val="20"/>
                <w:lang w:val="fr-CA"/>
              </w:rPr>
              <w:t xml:space="preserve"> À l'issue d'un procès devant juge et jury, le demandeur a été reconnu coupable de meurtre au premier degré et d</w:t>
            </w:r>
            <w:r w:rsidRPr="000A5368">
              <w:rPr>
                <w:color w:val="000000"/>
                <w:sz w:val="20"/>
                <w:lang w:val="fr-CA"/>
              </w:rPr>
              <w:t>'avoir commis une indignité envers un cadavre humain</w:t>
            </w:r>
            <w:r w:rsidRPr="000A5368">
              <w:rPr>
                <w:sz w:val="20"/>
                <w:lang w:val="fr-CA"/>
              </w:rPr>
              <w:t>.</w:t>
            </w:r>
            <w:r w:rsidRPr="000A5368">
              <w:rPr>
                <w:color w:val="000000"/>
                <w:sz w:val="20"/>
                <w:lang w:val="fr-CA"/>
              </w:rPr>
              <w:t xml:space="preserve"> </w:t>
            </w:r>
            <w:r w:rsidRPr="000A5368">
              <w:rPr>
                <w:color w:val="000000"/>
                <w:sz w:val="20"/>
              </w:rPr>
              <w:t>L'appel de la déclaration de culpabilité a été rejeté.</w:t>
            </w:r>
          </w:p>
        </w:tc>
      </w:tr>
      <w:tr w:rsidR="00E05AB6" w:rsidRPr="000A5368" w:rsidTr="00711816">
        <w:tc>
          <w:tcPr>
            <w:tcW w:w="5000" w:type="pct"/>
            <w:gridSpan w:val="4"/>
          </w:tcPr>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25 avril 2016</w:t>
            </w:r>
          </w:p>
          <w:p w:rsidR="00E05AB6" w:rsidRPr="000A5368" w:rsidRDefault="00E05AB6" w:rsidP="00E05AB6">
            <w:pPr>
              <w:jc w:val="both"/>
              <w:rPr>
                <w:sz w:val="20"/>
                <w:lang w:val="fr-CA"/>
              </w:rPr>
            </w:pPr>
            <w:r w:rsidRPr="000A5368">
              <w:rPr>
                <w:sz w:val="20"/>
                <w:lang w:val="fr-CA"/>
              </w:rPr>
              <w:t>Cour supérieure de justice</w:t>
            </w:r>
          </w:p>
          <w:p w:rsidR="00E05AB6" w:rsidRPr="000A5368" w:rsidRDefault="00E05AB6" w:rsidP="00E05AB6">
            <w:pPr>
              <w:jc w:val="both"/>
              <w:rPr>
                <w:sz w:val="20"/>
                <w:lang w:val="fr-CA"/>
              </w:rPr>
            </w:pPr>
            <w:r w:rsidRPr="000A5368">
              <w:rPr>
                <w:sz w:val="20"/>
                <w:lang w:val="fr-CA"/>
              </w:rPr>
              <w:t>(Juge Pomerance)</w:t>
            </w:r>
          </w:p>
          <w:p w:rsidR="00E05AB6" w:rsidRPr="000A5368" w:rsidRDefault="00E05AB6" w:rsidP="00E05AB6">
            <w:pPr>
              <w:jc w:val="both"/>
              <w:rPr>
                <w:sz w:val="20"/>
                <w:lang w:val="fr-CA"/>
              </w:rPr>
            </w:pP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Déclarations de culpabilité :</w:t>
            </w:r>
            <w:r w:rsidRPr="000A5368">
              <w:rPr>
                <w:color w:val="000000"/>
                <w:sz w:val="20"/>
                <w:lang w:val="fr-CA"/>
              </w:rPr>
              <w:t xml:space="preserve"> meurtre au premier degré et avoir commis une indignité envers un cadavre humain</w:t>
            </w:r>
          </w:p>
          <w:p w:rsidR="00E05AB6" w:rsidRPr="000A5368" w:rsidRDefault="00E05AB6" w:rsidP="00E05AB6">
            <w:pPr>
              <w:jc w:val="both"/>
              <w:rPr>
                <w:sz w:val="20"/>
                <w:lang w:val="fr-CA"/>
              </w:rPr>
            </w:pPr>
          </w:p>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3 février 2021</w:t>
            </w:r>
          </w:p>
          <w:p w:rsidR="00E05AB6" w:rsidRPr="000A5368" w:rsidRDefault="00E05AB6" w:rsidP="00E05AB6">
            <w:pPr>
              <w:jc w:val="both"/>
              <w:rPr>
                <w:sz w:val="20"/>
                <w:lang w:val="fr-CA"/>
              </w:rPr>
            </w:pPr>
            <w:r w:rsidRPr="000A5368">
              <w:rPr>
                <w:sz w:val="20"/>
                <w:lang w:val="fr-CA"/>
              </w:rPr>
              <w:t>Cour d'appel de l’Ontario</w:t>
            </w:r>
          </w:p>
          <w:p w:rsidR="00E05AB6" w:rsidRPr="000A5368" w:rsidRDefault="00E05AB6" w:rsidP="00E05AB6">
            <w:pPr>
              <w:jc w:val="both"/>
              <w:rPr>
                <w:sz w:val="20"/>
                <w:lang w:val="fr-CA"/>
              </w:rPr>
            </w:pPr>
            <w:r w:rsidRPr="000A5368">
              <w:rPr>
                <w:sz w:val="20"/>
                <w:lang w:val="fr-CA"/>
              </w:rPr>
              <w:t>(Juges Huscroft, Miller et Harvison Young)</w:t>
            </w:r>
          </w:p>
          <w:p w:rsidR="00E05AB6" w:rsidRPr="000A5368" w:rsidRDefault="00E05AB6" w:rsidP="00E05AB6">
            <w:pPr>
              <w:jc w:val="both"/>
              <w:rPr>
                <w:sz w:val="20"/>
              </w:rPr>
            </w:pPr>
            <w:r w:rsidRPr="000A5368">
              <w:rPr>
                <w:sz w:val="20"/>
              </w:rPr>
              <w:t xml:space="preserve">C63642; </w:t>
            </w:r>
            <w:hyperlink r:id="rId53" w:history="1">
              <w:r w:rsidRPr="000A5368">
                <w:rPr>
                  <w:rStyle w:val="Hyperlink"/>
                  <w:sz w:val="20"/>
                </w:rPr>
                <w:t>2021 ONCA 71</w:t>
              </w:r>
            </w:hyperlink>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Rejet de l’appel.</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3 avril 2023</w:t>
            </w:r>
          </w:p>
          <w:p w:rsidR="00E05AB6" w:rsidRPr="000A5368" w:rsidRDefault="00E05AB6" w:rsidP="00E05AB6">
            <w:pPr>
              <w:jc w:val="both"/>
              <w:rPr>
                <w:sz w:val="20"/>
              </w:rPr>
            </w:pPr>
            <w:r w:rsidRPr="000A5368">
              <w:rPr>
                <w:sz w:val="20"/>
              </w:rPr>
              <w:t>Cour suprême du Canada</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lang w:val="fr-CA"/>
              </w:rPr>
            </w:pPr>
            <w:r w:rsidRPr="000A5368">
              <w:rPr>
                <w:sz w:val="20"/>
                <w:lang w:val="fr-CA"/>
              </w:rPr>
              <w:t>Dépôt de la requête en nomination de procureur, de la requête en prorogation du délai de signification et de dépôt de la demande d'autorisation d'appel et de la demande d'autorisation d'appel</w:t>
            </w:r>
          </w:p>
        </w:tc>
      </w:tr>
    </w:tbl>
    <w:p w:rsidR="00E05AB6" w:rsidRPr="000A5368" w:rsidRDefault="00E05AB6" w:rsidP="00E05AB6">
      <w:pPr>
        <w:jc w:val="both"/>
        <w:rPr>
          <w:sz w:val="20"/>
          <w:lang w:val="fr-CA"/>
        </w:rPr>
      </w:pPr>
    </w:p>
    <w:p w:rsidR="00E05AB6" w:rsidRPr="000A5368" w:rsidRDefault="000A5368" w:rsidP="00E05AB6">
      <w:pPr>
        <w:jc w:val="both"/>
        <w:rPr>
          <w:sz w:val="20"/>
        </w:rPr>
      </w:pPr>
      <w:r w:rsidRPr="000A5368">
        <w:rPr>
          <w:sz w:val="20"/>
        </w:rPr>
        <w:pict>
          <v:rect id="_x0000_i1048" style="width:2in;height:1pt" o:hrpct="0" o:hralign="center" o:hrstd="t" o:hrnoshade="t" o:hr="t" fillcolor="black [3213]" stroked="f"/>
        </w:pict>
      </w:r>
    </w:p>
    <w:p w:rsidR="00E05AB6" w:rsidRPr="000A5368" w:rsidRDefault="00E05AB6" w:rsidP="00E05AB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rPr>
            </w:pPr>
            <w:r w:rsidRPr="000A5368">
              <w:rPr>
                <w:rStyle w:val="SCCFileNumberChar"/>
                <w:sz w:val="20"/>
                <w:szCs w:val="20"/>
              </w:rPr>
              <w:t>40717</w:t>
            </w:r>
          </w:p>
        </w:tc>
        <w:tc>
          <w:tcPr>
            <w:tcW w:w="4457" w:type="pct"/>
            <w:gridSpan w:val="3"/>
          </w:tcPr>
          <w:p w:rsidR="00E05AB6" w:rsidRPr="000A5368" w:rsidRDefault="00E05AB6" w:rsidP="00E05AB6">
            <w:pPr>
              <w:pStyle w:val="SCCLsocParty"/>
              <w:jc w:val="both"/>
              <w:rPr>
                <w:b/>
                <w:sz w:val="20"/>
                <w:szCs w:val="20"/>
                <w:lang w:val="en-US"/>
              </w:rPr>
            </w:pPr>
            <w:r w:rsidRPr="000A5368">
              <w:rPr>
                <w:b/>
                <w:sz w:val="20"/>
                <w:szCs w:val="20"/>
                <w:lang w:val="en-US"/>
              </w:rPr>
              <w:t>Richard Hobbs v. Privacy Commissioner of Canada</w:t>
            </w:r>
          </w:p>
          <w:p w:rsidR="00E05AB6" w:rsidRPr="000A5368" w:rsidRDefault="00E05AB6" w:rsidP="00E05AB6">
            <w:pPr>
              <w:jc w:val="both"/>
              <w:rPr>
                <w:sz w:val="20"/>
              </w:rPr>
            </w:pPr>
            <w:r w:rsidRPr="000A5368">
              <w:rPr>
                <w:sz w:val="20"/>
              </w:rPr>
              <w:t>(N.L.) (Civil) (By Leave)</w:t>
            </w:r>
          </w:p>
        </w:tc>
      </w:tr>
      <w:tr w:rsidR="00E05AB6" w:rsidRPr="000A5368" w:rsidTr="00711816">
        <w:tc>
          <w:tcPr>
            <w:tcW w:w="5000" w:type="pct"/>
            <w:gridSpan w:val="4"/>
          </w:tcPr>
          <w:p w:rsidR="00E05AB6" w:rsidRPr="000A5368" w:rsidRDefault="00E05AB6" w:rsidP="00E05AB6">
            <w:pPr>
              <w:pStyle w:val="SCCBanSummary"/>
              <w:rPr>
                <w:smallCaps w:val="0"/>
                <w:sz w:val="20"/>
                <w:szCs w:val="20"/>
              </w:rPr>
            </w:pPr>
            <w:r w:rsidRPr="000A5368">
              <w:rPr>
                <w:smallCaps w:val="0"/>
                <w:sz w:val="20"/>
                <w:szCs w:val="20"/>
              </w:rPr>
              <w:t>Civil procedure — Waiver of fees — Applicant making application for waiver of court fees in respect of originating process he intended to have issued in superior court — Superior court judge dismissing fee waiver application without reasons — Whether the rules allowing for court fee waiver adequately protect access to the courts for low income people — Whether the court’s policy in relation to fee waivers should be amended to reduce arbitrary application of the rules —</w:t>
            </w:r>
            <w:r w:rsidRPr="000A5368">
              <w:rPr>
                <w:i/>
                <w:smallCaps w:val="0"/>
                <w:sz w:val="20"/>
                <w:szCs w:val="20"/>
              </w:rPr>
              <w:t>Rules of the Supreme Court, 1986</w:t>
            </w:r>
            <w:r w:rsidRPr="000A5368">
              <w:rPr>
                <w:smallCaps w:val="0"/>
                <w:sz w:val="20"/>
                <w:szCs w:val="20"/>
              </w:rPr>
              <w:t>, S.N.L. 1986, C. 42, Sch. D.</w:t>
            </w:r>
          </w:p>
          <w:p w:rsidR="00E05AB6" w:rsidRPr="000A5368" w:rsidRDefault="00E05AB6" w:rsidP="00E05AB6">
            <w:pPr>
              <w:jc w:val="both"/>
              <w:rPr>
                <w:sz w:val="20"/>
              </w:rPr>
            </w:pPr>
          </w:p>
        </w:tc>
      </w:tr>
      <w:tr w:rsidR="00E05AB6" w:rsidRPr="000A5368" w:rsidTr="00711816">
        <w:tc>
          <w:tcPr>
            <w:tcW w:w="5000" w:type="pct"/>
            <w:gridSpan w:val="4"/>
          </w:tcPr>
          <w:p w:rsidR="00E05AB6" w:rsidRPr="000A5368" w:rsidRDefault="00E05AB6" w:rsidP="00E05AB6">
            <w:pPr>
              <w:jc w:val="both"/>
              <w:rPr>
                <w:sz w:val="20"/>
              </w:rPr>
            </w:pPr>
            <w:r w:rsidRPr="000A5368">
              <w:rPr>
                <w:sz w:val="20"/>
              </w:rPr>
              <w:t xml:space="preserve">Applicant Richard Hobbs sought to bring an application for an extension of time to appeal a decision of the respondent Privacy Commissioner of Canada. Before doing so he applied for a waiver of court fees in the Supreme Court of Newfoundland and Labrador, pursuant to Rule 7.19 of the </w:t>
            </w:r>
            <w:r w:rsidRPr="000A5368">
              <w:rPr>
                <w:i/>
                <w:sz w:val="20"/>
              </w:rPr>
              <w:t>Rules of the Supreme Court, 1986</w:t>
            </w:r>
            <w:r w:rsidRPr="000A5368">
              <w:rPr>
                <w:sz w:val="20"/>
              </w:rPr>
              <w:t xml:space="preserve">, S.N.L. 1986, C. 42, Sch. D. A judge dismissed the fee waiver application. </w:t>
            </w:r>
          </w:p>
          <w:p w:rsidR="00E05AB6" w:rsidRPr="000A5368" w:rsidRDefault="00E05AB6" w:rsidP="00E05AB6">
            <w:pPr>
              <w:jc w:val="both"/>
              <w:rPr>
                <w:sz w:val="20"/>
              </w:rPr>
            </w:pPr>
          </w:p>
          <w:p w:rsidR="00E05AB6" w:rsidRPr="000A5368" w:rsidRDefault="00E05AB6" w:rsidP="00E05AB6">
            <w:pPr>
              <w:jc w:val="both"/>
              <w:rPr>
                <w:sz w:val="20"/>
              </w:rPr>
            </w:pPr>
            <w:r w:rsidRPr="000A5368">
              <w:rPr>
                <w:sz w:val="20"/>
              </w:rPr>
              <w:t>The Court of Appeal allowed Mr. Hobbs’ appeal, granted the fee waiver, and ordered the Registrar of the Supreme Court of Newfoundland and Labrador to return any court fees that Mr. Hobbs had paid in respect of the matter.</w:t>
            </w:r>
          </w:p>
        </w:tc>
      </w:tr>
      <w:tr w:rsidR="00E05AB6" w:rsidRPr="000A5368" w:rsidTr="00711816">
        <w:tc>
          <w:tcPr>
            <w:tcW w:w="5000" w:type="pct"/>
            <w:gridSpan w:val="4"/>
          </w:tcPr>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August 26, 2022</w:t>
            </w:r>
          </w:p>
          <w:p w:rsidR="00E05AB6" w:rsidRPr="000A5368" w:rsidRDefault="00E05AB6" w:rsidP="00E05AB6">
            <w:pPr>
              <w:jc w:val="both"/>
              <w:rPr>
                <w:sz w:val="20"/>
              </w:rPr>
            </w:pPr>
            <w:r w:rsidRPr="000A5368">
              <w:rPr>
                <w:sz w:val="20"/>
              </w:rPr>
              <w:t xml:space="preserve">Supreme Court of Newfoundland and </w:t>
            </w:r>
          </w:p>
          <w:p w:rsidR="00E05AB6" w:rsidRPr="000A5368" w:rsidRDefault="00E05AB6" w:rsidP="00E05AB6">
            <w:pPr>
              <w:jc w:val="both"/>
              <w:rPr>
                <w:sz w:val="20"/>
              </w:rPr>
            </w:pPr>
            <w:r w:rsidRPr="000A5368">
              <w:rPr>
                <w:sz w:val="20"/>
              </w:rPr>
              <w:t>Labrador, General Division</w:t>
            </w:r>
          </w:p>
          <w:p w:rsidR="00E05AB6" w:rsidRPr="000A5368" w:rsidRDefault="00E05AB6" w:rsidP="00E05AB6">
            <w:pPr>
              <w:jc w:val="both"/>
              <w:rPr>
                <w:sz w:val="20"/>
              </w:rPr>
            </w:pPr>
            <w:r w:rsidRPr="000A5368">
              <w:rPr>
                <w:sz w:val="20"/>
              </w:rPr>
              <w:t>(O'Flaherty J.)</w:t>
            </w:r>
          </w:p>
          <w:p w:rsidR="00E05AB6" w:rsidRPr="000A5368" w:rsidRDefault="00E05AB6" w:rsidP="00E05AB6">
            <w:pPr>
              <w:jc w:val="both"/>
              <w:rPr>
                <w:sz w:val="20"/>
              </w:rPr>
            </w:pPr>
            <w:r w:rsidRPr="000A5368">
              <w:rPr>
                <w:sz w:val="20"/>
              </w:rPr>
              <w:t>202201G3538</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Application for court fee waiver dismissed</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February 8, 2023</w:t>
            </w:r>
          </w:p>
          <w:p w:rsidR="00E05AB6" w:rsidRPr="000A5368" w:rsidRDefault="00E05AB6" w:rsidP="00E05AB6">
            <w:pPr>
              <w:jc w:val="both"/>
              <w:rPr>
                <w:sz w:val="20"/>
              </w:rPr>
            </w:pPr>
            <w:r w:rsidRPr="000A5368">
              <w:rPr>
                <w:sz w:val="20"/>
              </w:rPr>
              <w:t xml:space="preserve">Court of Appeal of Newfoundland and </w:t>
            </w:r>
          </w:p>
          <w:p w:rsidR="00E05AB6" w:rsidRPr="000A5368" w:rsidRDefault="00E05AB6" w:rsidP="00E05AB6">
            <w:pPr>
              <w:jc w:val="both"/>
              <w:rPr>
                <w:sz w:val="20"/>
              </w:rPr>
            </w:pPr>
            <w:r w:rsidRPr="000A5368">
              <w:rPr>
                <w:sz w:val="20"/>
              </w:rPr>
              <w:t>Labrador</w:t>
            </w:r>
          </w:p>
          <w:p w:rsidR="00E05AB6" w:rsidRPr="000A5368" w:rsidRDefault="00E05AB6" w:rsidP="00E05AB6">
            <w:pPr>
              <w:jc w:val="both"/>
              <w:rPr>
                <w:sz w:val="20"/>
              </w:rPr>
            </w:pPr>
            <w:r w:rsidRPr="000A5368">
              <w:rPr>
                <w:sz w:val="20"/>
              </w:rPr>
              <w:t>(Goodridge, Knickle and O’Brien JJ.A.)</w:t>
            </w:r>
          </w:p>
          <w:p w:rsidR="00E05AB6" w:rsidRPr="000A5368" w:rsidRDefault="000A5368" w:rsidP="00E05AB6">
            <w:pPr>
              <w:jc w:val="both"/>
              <w:rPr>
                <w:sz w:val="20"/>
              </w:rPr>
            </w:pPr>
            <w:hyperlink r:id="rId54" w:history="1">
              <w:r w:rsidR="00E05AB6" w:rsidRPr="000A5368">
                <w:rPr>
                  <w:rStyle w:val="Hyperlink"/>
                  <w:sz w:val="20"/>
                </w:rPr>
                <w:t>2023 NLCA 5</w:t>
              </w:r>
            </w:hyperlink>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Appeal allowed</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rPr>
            </w:pPr>
            <w:r w:rsidRPr="000A5368">
              <w:rPr>
                <w:sz w:val="20"/>
              </w:rPr>
              <w:t>April 4, 2023</w:t>
            </w:r>
          </w:p>
          <w:p w:rsidR="00E05AB6" w:rsidRPr="000A5368" w:rsidRDefault="00E05AB6" w:rsidP="00E05AB6">
            <w:pPr>
              <w:jc w:val="both"/>
              <w:rPr>
                <w:sz w:val="20"/>
              </w:rPr>
            </w:pPr>
            <w:r w:rsidRPr="000A5368">
              <w:rPr>
                <w:sz w:val="20"/>
              </w:rPr>
              <w:t>Supreme Court of Canada</w:t>
            </w: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Application for leave to appeal filed</w:t>
            </w:r>
          </w:p>
          <w:p w:rsidR="00E05AB6" w:rsidRPr="000A5368" w:rsidRDefault="00E05AB6" w:rsidP="00E05AB6">
            <w:pPr>
              <w:jc w:val="both"/>
              <w:rPr>
                <w:sz w:val="20"/>
              </w:rPr>
            </w:pPr>
          </w:p>
        </w:tc>
      </w:tr>
    </w:tbl>
    <w:p w:rsidR="00E05AB6" w:rsidRPr="000A5368" w:rsidRDefault="00E05AB6" w:rsidP="00E05AB6">
      <w:pPr>
        <w:jc w:val="both"/>
        <w:rPr>
          <w:sz w:val="20"/>
        </w:rPr>
      </w:pPr>
    </w:p>
    <w:p w:rsidR="00E05AB6" w:rsidRPr="000A5368" w:rsidRDefault="000A5368" w:rsidP="00E05AB6">
      <w:pPr>
        <w:jc w:val="both"/>
        <w:rPr>
          <w:sz w:val="20"/>
        </w:rPr>
      </w:pPr>
      <w:r w:rsidRPr="000A5368">
        <w:rPr>
          <w:sz w:val="20"/>
        </w:rPr>
        <w:pict>
          <v:rect id="_x0000_i1049" style="width:2in;height:1pt" o:hrpct="0" o:hralign="center" o:hrstd="t" o:hrnoshade="t" o:hr="t" fillcolor="black [3213]" stroked="f"/>
        </w:pict>
      </w:r>
    </w:p>
    <w:p w:rsidR="00E05AB6" w:rsidRPr="000A5368" w:rsidRDefault="00E05AB6" w:rsidP="00E05A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AB6" w:rsidRPr="000A5368" w:rsidTr="00711816">
        <w:tc>
          <w:tcPr>
            <w:tcW w:w="543" w:type="pct"/>
          </w:tcPr>
          <w:p w:rsidR="00E05AB6" w:rsidRPr="000A5368" w:rsidRDefault="00E05AB6" w:rsidP="00E05AB6">
            <w:pPr>
              <w:jc w:val="both"/>
              <w:rPr>
                <w:sz w:val="20"/>
              </w:rPr>
            </w:pPr>
            <w:r w:rsidRPr="000A5368">
              <w:rPr>
                <w:rStyle w:val="SCCFileNumberChar"/>
                <w:sz w:val="20"/>
                <w:szCs w:val="20"/>
              </w:rPr>
              <w:t>40717</w:t>
            </w:r>
          </w:p>
        </w:tc>
        <w:tc>
          <w:tcPr>
            <w:tcW w:w="4457" w:type="pct"/>
            <w:gridSpan w:val="3"/>
          </w:tcPr>
          <w:p w:rsidR="00E05AB6" w:rsidRPr="000A5368" w:rsidRDefault="00E05AB6" w:rsidP="00E05AB6">
            <w:pPr>
              <w:pStyle w:val="SCCLsocParty"/>
              <w:jc w:val="both"/>
              <w:rPr>
                <w:b/>
                <w:sz w:val="20"/>
                <w:szCs w:val="20"/>
              </w:rPr>
            </w:pPr>
            <w:r w:rsidRPr="000A5368">
              <w:rPr>
                <w:b/>
                <w:sz w:val="20"/>
                <w:szCs w:val="20"/>
              </w:rPr>
              <w:t>Richard Hobbs c. Commissaire à la protection de la vie privée du Canada</w:t>
            </w:r>
          </w:p>
          <w:p w:rsidR="00E05AB6" w:rsidRPr="000A5368" w:rsidRDefault="00E05AB6" w:rsidP="00E05AB6">
            <w:pPr>
              <w:jc w:val="both"/>
              <w:rPr>
                <w:sz w:val="20"/>
                <w:lang w:val="fr-CA"/>
              </w:rPr>
            </w:pPr>
            <w:r w:rsidRPr="000A5368">
              <w:rPr>
                <w:sz w:val="20"/>
                <w:lang w:val="fr-CA"/>
              </w:rPr>
              <w:t>(T.-N.-L.) (Civile) (Autorisation)</w:t>
            </w:r>
          </w:p>
        </w:tc>
      </w:tr>
      <w:tr w:rsidR="00E05AB6" w:rsidRPr="000A5368" w:rsidTr="00711816">
        <w:tc>
          <w:tcPr>
            <w:tcW w:w="5000" w:type="pct"/>
            <w:gridSpan w:val="4"/>
          </w:tcPr>
          <w:p w:rsidR="00E05AB6" w:rsidRPr="000A5368" w:rsidRDefault="00E05AB6" w:rsidP="00E05AB6">
            <w:pPr>
              <w:pStyle w:val="SCCBanSummary"/>
              <w:rPr>
                <w:smallCaps w:val="0"/>
                <w:sz w:val="20"/>
                <w:szCs w:val="20"/>
                <w:lang w:val="fr-CA"/>
              </w:rPr>
            </w:pPr>
            <w:r w:rsidRPr="000A5368">
              <w:rPr>
                <w:smallCaps w:val="0"/>
                <w:sz w:val="20"/>
                <w:szCs w:val="20"/>
                <w:lang w:val="fr-CA"/>
              </w:rPr>
              <w:t xml:space="preserve">Procédure civile — Dispense de frais — Le demandeur a présenté une demande de dispense de frais judiciaires à l’égard d’un acte introductif d'instance qu'il entendait faire délivrer en cour supérieure — Le juge de la cour supérieure a rejeté la demande de dispense de frais sans motifs — Les règles autorisant la dispense de frais judiciaires protègent-elles suffisamment l'accès aux tribunaux pour les personnes à faible revenu? — La politique de la cour en matière de dispense de frais devrait-elle être modifiée afin de réduire l'application arbitraire des règles? — </w:t>
            </w:r>
            <w:r w:rsidRPr="000A5368">
              <w:rPr>
                <w:i/>
                <w:smallCaps w:val="0"/>
                <w:sz w:val="20"/>
                <w:szCs w:val="20"/>
                <w:lang w:val="fr-CA"/>
              </w:rPr>
              <w:t>Rules of the Supreme Court, 1986</w:t>
            </w:r>
            <w:r w:rsidRPr="000A5368">
              <w:rPr>
                <w:smallCaps w:val="0"/>
                <w:sz w:val="20"/>
                <w:szCs w:val="20"/>
                <w:lang w:val="fr-CA"/>
              </w:rPr>
              <w:t>, S.N.L. 1986, C. 42, Sch. D.</w:t>
            </w:r>
          </w:p>
          <w:p w:rsidR="00E05AB6" w:rsidRPr="000A5368" w:rsidRDefault="00E05AB6" w:rsidP="00E05AB6">
            <w:pPr>
              <w:jc w:val="both"/>
              <w:rPr>
                <w:sz w:val="20"/>
                <w:lang w:val="fr-CA"/>
              </w:rPr>
            </w:pPr>
          </w:p>
        </w:tc>
      </w:tr>
      <w:tr w:rsidR="00E05AB6" w:rsidRPr="000A5368" w:rsidTr="00711816">
        <w:tc>
          <w:tcPr>
            <w:tcW w:w="5000" w:type="pct"/>
            <w:gridSpan w:val="4"/>
          </w:tcPr>
          <w:p w:rsidR="00E05AB6" w:rsidRPr="000A5368" w:rsidRDefault="00E05AB6" w:rsidP="00E05AB6">
            <w:pPr>
              <w:jc w:val="both"/>
              <w:rPr>
                <w:sz w:val="20"/>
                <w:lang w:val="fr-CA"/>
              </w:rPr>
            </w:pPr>
            <w:r w:rsidRPr="000A5368">
              <w:rPr>
                <w:sz w:val="20"/>
                <w:lang w:val="fr-CA"/>
              </w:rPr>
              <w:t xml:space="preserve">Le demandeur Richard Hobbs a demandé une prorogation de délai pour faire appel d'une décision de l’intimé, le Commissaire à la protection de la vie privée du Canada. Auparavant, il avait demandé à la Cour suprême de Terre-Neuve-et-Labrador d'être dispensé des frais judiciaires, conformément à la règle 7.19 des </w:t>
            </w:r>
            <w:r w:rsidRPr="000A5368">
              <w:rPr>
                <w:i/>
                <w:sz w:val="20"/>
                <w:lang w:val="fr-CA"/>
              </w:rPr>
              <w:t>Rules of the Supreme Court, 1986</w:t>
            </w:r>
            <w:r w:rsidRPr="000A5368">
              <w:rPr>
                <w:sz w:val="20"/>
                <w:lang w:val="fr-CA"/>
              </w:rPr>
              <w:t xml:space="preserve">, S.N.L. 1986, C. 42, Sch. D. Un juge a rejeté la demande de dispense de frais. </w:t>
            </w:r>
          </w:p>
          <w:p w:rsidR="00E05AB6" w:rsidRPr="000A5368" w:rsidRDefault="00E05AB6" w:rsidP="00E05AB6">
            <w:pPr>
              <w:jc w:val="both"/>
              <w:rPr>
                <w:sz w:val="20"/>
                <w:lang w:val="fr-CA"/>
              </w:rPr>
            </w:pPr>
          </w:p>
          <w:p w:rsidR="00E05AB6" w:rsidRPr="000A5368" w:rsidRDefault="00E05AB6" w:rsidP="00E05AB6">
            <w:pPr>
              <w:jc w:val="both"/>
              <w:rPr>
                <w:sz w:val="20"/>
                <w:lang w:val="fr-CA"/>
              </w:rPr>
            </w:pPr>
            <w:r w:rsidRPr="000A5368">
              <w:rPr>
                <w:sz w:val="20"/>
                <w:lang w:val="fr-CA"/>
              </w:rPr>
              <w:t>La Cour d'appel a accueilli l'appel de M. Hobbs, a accordé la dispense de frais et a ordonné au greffier de la Cour suprême de Terre-Neuve-et-Labrador de rembourser tous les frais judiciaires que M. Hobbs avait payés relativement à cette affaire.</w:t>
            </w:r>
          </w:p>
        </w:tc>
      </w:tr>
      <w:tr w:rsidR="00E05AB6" w:rsidRPr="000A5368" w:rsidTr="00711816">
        <w:tc>
          <w:tcPr>
            <w:tcW w:w="5000" w:type="pct"/>
            <w:gridSpan w:val="4"/>
          </w:tcPr>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26 août 2022</w:t>
            </w:r>
          </w:p>
          <w:p w:rsidR="00E05AB6" w:rsidRPr="000A5368" w:rsidRDefault="00E05AB6" w:rsidP="00E05AB6">
            <w:pPr>
              <w:jc w:val="both"/>
              <w:rPr>
                <w:sz w:val="20"/>
                <w:lang w:val="fr-CA"/>
              </w:rPr>
            </w:pPr>
            <w:r w:rsidRPr="000A5368">
              <w:rPr>
                <w:sz w:val="20"/>
                <w:lang w:val="fr-CA"/>
              </w:rPr>
              <w:t xml:space="preserve">Cour suprême de Terre-Neuve-et- </w:t>
            </w:r>
          </w:p>
          <w:p w:rsidR="00E05AB6" w:rsidRPr="000A5368" w:rsidRDefault="00E05AB6" w:rsidP="00E05AB6">
            <w:pPr>
              <w:jc w:val="both"/>
              <w:rPr>
                <w:sz w:val="20"/>
                <w:lang w:val="fr-CA"/>
              </w:rPr>
            </w:pPr>
            <w:r w:rsidRPr="000A5368">
              <w:rPr>
                <w:sz w:val="20"/>
                <w:lang w:val="fr-CA"/>
              </w:rPr>
              <w:t>Labrador, Division générale</w:t>
            </w:r>
          </w:p>
          <w:p w:rsidR="00E05AB6" w:rsidRPr="000A5368" w:rsidRDefault="00E05AB6" w:rsidP="00E05AB6">
            <w:pPr>
              <w:jc w:val="both"/>
              <w:rPr>
                <w:sz w:val="20"/>
                <w:lang w:val="fr-CA"/>
              </w:rPr>
            </w:pPr>
            <w:r w:rsidRPr="000A5368">
              <w:rPr>
                <w:sz w:val="20"/>
                <w:lang w:val="fr-CA"/>
              </w:rPr>
              <w:t>(Juge O'Flaherty)</w:t>
            </w:r>
          </w:p>
          <w:p w:rsidR="00E05AB6" w:rsidRPr="000A5368" w:rsidRDefault="00E05AB6" w:rsidP="00E05AB6">
            <w:pPr>
              <w:jc w:val="both"/>
              <w:rPr>
                <w:sz w:val="20"/>
              </w:rPr>
            </w:pPr>
            <w:r w:rsidRPr="000A5368">
              <w:rPr>
                <w:sz w:val="20"/>
              </w:rPr>
              <w:t>202201G3538</w:t>
            </w:r>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lang w:val="fr-CA"/>
              </w:rPr>
            </w:pPr>
            <w:r w:rsidRPr="000A5368">
              <w:rPr>
                <w:sz w:val="20"/>
                <w:lang w:val="fr-CA"/>
              </w:rPr>
              <w:t>Rejet de la demande de dispense de frais judiciaires</w:t>
            </w:r>
          </w:p>
          <w:p w:rsidR="00E05AB6" w:rsidRPr="000A5368" w:rsidRDefault="00E05AB6" w:rsidP="00E05AB6">
            <w:pPr>
              <w:jc w:val="both"/>
              <w:rPr>
                <w:sz w:val="20"/>
                <w:lang w:val="fr-CA"/>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8 février 2023</w:t>
            </w:r>
          </w:p>
          <w:p w:rsidR="00E05AB6" w:rsidRPr="000A5368" w:rsidRDefault="00E05AB6" w:rsidP="00E05AB6">
            <w:pPr>
              <w:jc w:val="both"/>
              <w:rPr>
                <w:sz w:val="20"/>
                <w:lang w:val="fr-CA"/>
              </w:rPr>
            </w:pPr>
            <w:r w:rsidRPr="000A5368">
              <w:rPr>
                <w:sz w:val="20"/>
                <w:lang w:val="fr-CA"/>
              </w:rPr>
              <w:t xml:space="preserve">Cour d'appel de Terre-Neuve-et- </w:t>
            </w:r>
          </w:p>
          <w:p w:rsidR="00E05AB6" w:rsidRPr="000A5368" w:rsidRDefault="00E05AB6" w:rsidP="00E05AB6">
            <w:pPr>
              <w:jc w:val="both"/>
              <w:rPr>
                <w:sz w:val="20"/>
              </w:rPr>
            </w:pPr>
            <w:r w:rsidRPr="000A5368">
              <w:rPr>
                <w:sz w:val="20"/>
              </w:rPr>
              <w:t>Labrador</w:t>
            </w:r>
          </w:p>
          <w:p w:rsidR="00E05AB6" w:rsidRPr="000A5368" w:rsidRDefault="00E05AB6" w:rsidP="00E05AB6">
            <w:pPr>
              <w:jc w:val="both"/>
              <w:rPr>
                <w:sz w:val="20"/>
              </w:rPr>
            </w:pPr>
            <w:r w:rsidRPr="000A5368">
              <w:rPr>
                <w:sz w:val="20"/>
              </w:rPr>
              <w:t>(Juges Goodridge, Knickle et O'Brien)</w:t>
            </w:r>
          </w:p>
          <w:p w:rsidR="00E05AB6" w:rsidRPr="000A5368" w:rsidRDefault="000A5368" w:rsidP="00E05AB6">
            <w:pPr>
              <w:jc w:val="both"/>
              <w:rPr>
                <w:sz w:val="20"/>
              </w:rPr>
            </w:pPr>
            <w:hyperlink r:id="rId55" w:history="1">
              <w:r w:rsidR="00E05AB6" w:rsidRPr="000A5368">
                <w:rPr>
                  <w:rStyle w:val="Hyperlink"/>
                  <w:sz w:val="20"/>
                </w:rPr>
                <w:t>2023 ACNL 5</w:t>
              </w:r>
            </w:hyperlink>
          </w:p>
          <w:p w:rsidR="00E05AB6" w:rsidRPr="000A5368" w:rsidRDefault="00E05AB6" w:rsidP="00E05AB6">
            <w:pPr>
              <w:jc w:val="both"/>
              <w:rPr>
                <w:sz w:val="20"/>
              </w:rPr>
            </w:pPr>
          </w:p>
        </w:tc>
        <w:tc>
          <w:tcPr>
            <w:tcW w:w="243" w:type="pct"/>
          </w:tcPr>
          <w:p w:rsidR="00E05AB6" w:rsidRPr="000A5368" w:rsidRDefault="00E05AB6" w:rsidP="00E05AB6">
            <w:pPr>
              <w:jc w:val="both"/>
              <w:rPr>
                <w:sz w:val="20"/>
              </w:rPr>
            </w:pPr>
          </w:p>
        </w:tc>
        <w:tc>
          <w:tcPr>
            <w:tcW w:w="2330" w:type="pct"/>
          </w:tcPr>
          <w:p w:rsidR="00E05AB6" w:rsidRPr="000A5368" w:rsidRDefault="00E05AB6" w:rsidP="00E05AB6">
            <w:pPr>
              <w:jc w:val="both"/>
              <w:rPr>
                <w:sz w:val="20"/>
              </w:rPr>
            </w:pPr>
            <w:r w:rsidRPr="000A5368">
              <w:rPr>
                <w:sz w:val="20"/>
              </w:rPr>
              <w:t>Arrêt accueillant l’appel</w:t>
            </w:r>
          </w:p>
          <w:p w:rsidR="00E05AB6" w:rsidRPr="000A5368" w:rsidRDefault="00E05AB6" w:rsidP="00E05AB6">
            <w:pPr>
              <w:jc w:val="both"/>
              <w:rPr>
                <w:sz w:val="20"/>
              </w:rPr>
            </w:pPr>
          </w:p>
        </w:tc>
      </w:tr>
      <w:tr w:rsidR="00E05AB6" w:rsidRPr="000A5368" w:rsidTr="00711816">
        <w:tc>
          <w:tcPr>
            <w:tcW w:w="2427" w:type="pct"/>
            <w:gridSpan w:val="2"/>
          </w:tcPr>
          <w:p w:rsidR="00E05AB6" w:rsidRPr="000A5368" w:rsidRDefault="00E05AB6" w:rsidP="00E05AB6">
            <w:pPr>
              <w:jc w:val="both"/>
              <w:rPr>
                <w:sz w:val="20"/>
                <w:lang w:val="fr-CA"/>
              </w:rPr>
            </w:pPr>
            <w:r w:rsidRPr="000A5368">
              <w:rPr>
                <w:sz w:val="20"/>
                <w:lang w:val="fr-CA"/>
              </w:rPr>
              <w:t>4 avril 2023</w:t>
            </w:r>
          </w:p>
          <w:p w:rsidR="00E05AB6" w:rsidRPr="000A5368" w:rsidRDefault="00E05AB6" w:rsidP="00E05AB6">
            <w:pPr>
              <w:jc w:val="both"/>
              <w:rPr>
                <w:sz w:val="20"/>
                <w:lang w:val="fr-CA"/>
              </w:rPr>
            </w:pPr>
            <w:r w:rsidRPr="000A5368">
              <w:rPr>
                <w:sz w:val="20"/>
                <w:lang w:val="fr-CA"/>
              </w:rPr>
              <w:t>Cour suprême du Canada</w:t>
            </w:r>
          </w:p>
        </w:tc>
        <w:tc>
          <w:tcPr>
            <w:tcW w:w="243" w:type="pct"/>
          </w:tcPr>
          <w:p w:rsidR="00E05AB6" w:rsidRPr="000A5368" w:rsidRDefault="00E05AB6" w:rsidP="00E05AB6">
            <w:pPr>
              <w:jc w:val="both"/>
              <w:rPr>
                <w:sz w:val="20"/>
                <w:lang w:val="fr-CA"/>
              </w:rPr>
            </w:pPr>
          </w:p>
        </w:tc>
        <w:tc>
          <w:tcPr>
            <w:tcW w:w="2330" w:type="pct"/>
          </w:tcPr>
          <w:p w:rsidR="00E05AB6" w:rsidRPr="000A5368" w:rsidRDefault="00E05AB6" w:rsidP="00E05AB6">
            <w:pPr>
              <w:jc w:val="both"/>
              <w:rPr>
                <w:sz w:val="20"/>
                <w:lang w:val="fr-CA"/>
              </w:rPr>
            </w:pPr>
            <w:r w:rsidRPr="000A5368">
              <w:rPr>
                <w:sz w:val="20"/>
                <w:lang w:val="fr-CA"/>
              </w:rPr>
              <w:t>Dépôt de la demande d'autorisation d'appel</w:t>
            </w:r>
          </w:p>
          <w:p w:rsidR="00E05AB6" w:rsidRPr="000A5368" w:rsidRDefault="00E05AB6" w:rsidP="00E05AB6">
            <w:pPr>
              <w:jc w:val="both"/>
              <w:rPr>
                <w:sz w:val="20"/>
                <w:lang w:val="fr-CA"/>
              </w:rPr>
            </w:pPr>
          </w:p>
        </w:tc>
      </w:tr>
    </w:tbl>
    <w:p w:rsidR="00E05AB6" w:rsidRPr="000A5368" w:rsidRDefault="00E05AB6" w:rsidP="00FC0780">
      <w:pPr>
        <w:jc w:val="both"/>
        <w:rPr>
          <w:sz w:val="20"/>
          <w:lang w:val="fr-CA"/>
        </w:rPr>
      </w:pPr>
    </w:p>
    <w:p w:rsidR="002D3AC0" w:rsidRPr="000A5368" w:rsidRDefault="000A5368" w:rsidP="00142166">
      <w:pPr>
        <w:widowControl w:val="0"/>
        <w:jc w:val="both"/>
        <w:rPr>
          <w:sz w:val="20"/>
        </w:rPr>
      </w:pPr>
      <w:r w:rsidRPr="000A5368">
        <w:rPr>
          <w:sz w:val="20"/>
        </w:rPr>
        <w:pict>
          <v:rect id="_x0000_i1050" style="width:2in;height:1pt" o:hrpct="0" o:hralign="center" o:hrstd="t" o:hrnoshade="t" o:hr="t" fillcolor="black [3213]" stroked="f"/>
        </w:pict>
      </w:r>
    </w:p>
    <w:p w:rsidR="00311655" w:rsidRPr="000A5368" w:rsidRDefault="00311655" w:rsidP="00350651">
      <w:pPr>
        <w:ind w:left="142" w:hanging="142"/>
        <w:jc w:val="both"/>
        <w:rPr>
          <w:sz w:val="20"/>
        </w:rPr>
      </w:pPr>
    </w:p>
    <w:p w:rsidR="008F2F11" w:rsidRPr="000A5368" w:rsidRDefault="008F2F11" w:rsidP="00350651">
      <w:pPr>
        <w:ind w:left="142" w:hanging="142"/>
        <w:jc w:val="both"/>
        <w:rPr>
          <w:sz w:val="20"/>
        </w:rPr>
      </w:pPr>
    </w:p>
    <w:p w:rsidR="008F2F11" w:rsidRPr="000A5368" w:rsidRDefault="008F2F11" w:rsidP="00350651">
      <w:pPr>
        <w:ind w:left="142" w:hanging="142"/>
        <w:jc w:val="both"/>
        <w:rPr>
          <w:sz w:val="20"/>
        </w:rPr>
      </w:pPr>
    </w:p>
    <w:p w:rsidR="00D3344A" w:rsidRPr="000A5368" w:rsidRDefault="00D3344A" w:rsidP="00D3344A">
      <w:pPr>
        <w:widowControl w:val="0"/>
        <w:outlineLvl w:val="0"/>
        <w:rPr>
          <w:sz w:val="20"/>
        </w:rPr>
      </w:pPr>
      <w:r w:rsidRPr="000A5368">
        <w:rPr>
          <w:sz w:val="20"/>
        </w:rPr>
        <w:t>Supreme Court of Canada / Cour suprême du Canad</w:t>
      </w:r>
      <w:r w:rsidR="00EE289F" w:rsidRPr="000A5368">
        <w:rPr>
          <w:sz w:val="20"/>
        </w:rPr>
        <w:t>a</w:t>
      </w:r>
      <w:r w:rsidRPr="000A5368">
        <w:rPr>
          <w:sz w:val="20"/>
        </w:rPr>
        <w:t xml:space="preserve"> :</w:t>
      </w:r>
    </w:p>
    <w:p w:rsidR="00D3344A" w:rsidRPr="000A5368" w:rsidRDefault="000A5368" w:rsidP="00D3344A">
      <w:pPr>
        <w:widowControl w:val="0"/>
        <w:outlineLvl w:val="0"/>
        <w:rPr>
          <w:sz w:val="20"/>
          <w:u w:val="single"/>
        </w:rPr>
      </w:pPr>
      <w:hyperlink r:id="rId56" w:history="1">
        <w:r w:rsidR="009B7391" w:rsidRPr="000A5368">
          <w:rPr>
            <w:rStyle w:val="Hyperlink"/>
            <w:sz w:val="20"/>
          </w:rPr>
          <w:t>comments-commentaires@scc-csc.ca</w:t>
        </w:r>
      </w:hyperlink>
    </w:p>
    <w:p w:rsidR="00D3344A" w:rsidRPr="000A5368" w:rsidRDefault="0065588C" w:rsidP="00D3344A">
      <w:pPr>
        <w:widowControl w:val="0"/>
        <w:outlineLvl w:val="0"/>
        <w:rPr>
          <w:sz w:val="20"/>
        </w:rPr>
      </w:pPr>
      <w:r w:rsidRPr="000A5368">
        <w:rPr>
          <w:sz w:val="20"/>
        </w:rPr>
        <w:t>613-</w:t>
      </w:r>
      <w:r w:rsidR="00D3344A" w:rsidRPr="000A5368">
        <w:rPr>
          <w:sz w:val="20"/>
        </w:rPr>
        <w:t>995-4330</w:t>
      </w:r>
    </w:p>
    <w:p w:rsidR="00497B5E" w:rsidRPr="000A5368" w:rsidRDefault="00497B5E" w:rsidP="00497B5E">
      <w:pPr>
        <w:widowControl w:val="0"/>
        <w:rPr>
          <w:sz w:val="20"/>
        </w:rPr>
      </w:pPr>
    </w:p>
    <w:p w:rsidR="00F6251B" w:rsidRPr="007607A2" w:rsidRDefault="003F43E6" w:rsidP="00F6251B">
      <w:pPr>
        <w:pStyle w:val="Footer"/>
        <w:jc w:val="center"/>
        <w:rPr>
          <w:sz w:val="20"/>
        </w:rPr>
      </w:pPr>
      <w:r w:rsidRPr="000A5368">
        <w:rPr>
          <w:sz w:val="20"/>
        </w:rPr>
        <w:t>- 30 -</w:t>
      </w:r>
      <w:bookmarkStart w:id="0" w:name="_GoBack"/>
      <w:bookmarkEnd w:id="0"/>
    </w:p>
    <w:sectPr w:rsidR="00F6251B" w:rsidRPr="007607A2" w:rsidSect="00E62F93">
      <w:headerReference w:type="even" r:id="rId57"/>
      <w:headerReference w:type="default" r:id="rId58"/>
      <w:footerReference w:type="even" r:id="rId59"/>
      <w:footerReference w:type="default" r:id="rId60"/>
      <w:headerReference w:type="first" r:id="rId61"/>
      <w:footerReference w:type="first" r:id="rId6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E4" w:rsidRDefault="001060E4" w:rsidP="0034178A">
      <w:r>
        <w:separator/>
      </w:r>
    </w:p>
  </w:endnote>
  <w:endnote w:type="continuationSeparator" w:id="0">
    <w:p w:rsidR="001060E4" w:rsidRDefault="001060E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Pr="009F77F0" w:rsidRDefault="001060E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E4" w:rsidRDefault="001060E4" w:rsidP="0034178A">
      <w:r>
        <w:separator/>
      </w:r>
    </w:p>
  </w:footnote>
  <w:footnote w:type="continuationSeparator" w:id="0">
    <w:p w:rsidR="001060E4" w:rsidRDefault="001060E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4" w:rsidRDefault="00106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C7EB1"/>
    <w:multiLevelType w:val="hybridMultilevel"/>
    <w:tmpl w:val="42B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8"/>
  </w:num>
  <w:num w:numId="3">
    <w:abstractNumId w:val="43"/>
  </w:num>
  <w:num w:numId="4">
    <w:abstractNumId w:val="19"/>
  </w:num>
  <w:num w:numId="5">
    <w:abstractNumId w:val="15"/>
  </w:num>
  <w:num w:numId="6">
    <w:abstractNumId w:val="37"/>
  </w:num>
  <w:num w:numId="7">
    <w:abstractNumId w:val="34"/>
  </w:num>
  <w:num w:numId="8">
    <w:abstractNumId w:val="40"/>
  </w:num>
  <w:num w:numId="9">
    <w:abstractNumId w:val="6"/>
  </w:num>
  <w:num w:numId="10">
    <w:abstractNumId w:val="11"/>
  </w:num>
  <w:num w:numId="11">
    <w:abstractNumId w:val="3"/>
  </w:num>
  <w:num w:numId="12">
    <w:abstractNumId w:val="36"/>
  </w:num>
  <w:num w:numId="13">
    <w:abstractNumId w:val="4"/>
  </w:num>
  <w:num w:numId="14">
    <w:abstractNumId w:val="18"/>
  </w:num>
  <w:num w:numId="15">
    <w:abstractNumId w:val="8"/>
  </w:num>
  <w:num w:numId="16">
    <w:abstractNumId w:val="12"/>
  </w:num>
  <w:num w:numId="17">
    <w:abstractNumId w:val="41"/>
  </w:num>
  <w:num w:numId="18">
    <w:abstractNumId w:val="24"/>
  </w:num>
  <w:num w:numId="19">
    <w:abstractNumId w:val="16"/>
  </w:num>
  <w:num w:numId="20">
    <w:abstractNumId w:val="32"/>
  </w:num>
  <w:num w:numId="21">
    <w:abstractNumId w:val="10"/>
  </w:num>
  <w:num w:numId="22">
    <w:abstractNumId w:val="38"/>
  </w:num>
  <w:num w:numId="23">
    <w:abstractNumId w:val="31"/>
  </w:num>
  <w:num w:numId="24">
    <w:abstractNumId w:val="22"/>
  </w:num>
  <w:num w:numId="25">
    <w:abstractNumId w:val="27"/>
  </w:num>
  <w:num w:numId="26">
    <w:abstractNumId w:val="35"/>
  </w:num>
  <w:num w:numId="27">
    <w:abstractNumId w:val="21"/>
  </w:num>
  <w:num w:numId="28">
    <w:abstractNumId w:val="7"/>
  </w:num>
  <w:num w:numId="29">
    <w:abstractNumId w:val="30"/>
  </w:num>
  <w:num w:numId="30">
    <w:abstractNumId w:val="20"/>
  </w:num>
  <w:num w:numId="31">
    <w:abstractNumId w:val="9"/>
  </w:num>
  <w:num w:numId="32">
    <w:abstractNumId w:val="25"/>
  </w:num>
  <w:num w:numId="33">
    <w:abstractNumId w:val="5"/>
  </w:num>
  <w:num w:numId="34">
    <w:abstractNumId w:val="2"/>
  </w:num>
  <w:num w:numId="35">
    <w:abstractNumId w:val="17"/>
  </w:num>
  <w:num w:numId="36">
    <w:abstractNumId w:val="42"/>
  </w:num>
  <w:num w:numId="37">
    <w:abstractNumId w:val="23"/>
  </w:num>
  <w:num w:numId="38">
    <w:abstractNumId w:val="26"/>
  </w:num>
  <w:num w:numId="39">
    <w:abstractNumId w:val="33"/>
  </w:num>
  <w:num w:numId="40">
    <w:abstractNumId w:val="29"/>
  </w:num>
  <w:num w:numId="41">
    <w:abstractNumId w:val="0"/>
  </w:num>
  <w:num w:numId="42">
    <w:abstractNumId w:val="14"/>
  </w:num>
  <w:num w:numId="43">
    <w:abstractNumId w:val="1"/>
  </w:num>
  <w:num w:numId="4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1828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00E"/>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1DFB"/>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68"/>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0E4"/>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BFC"/>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39D1"/>
    <w:rsid w:val="0033432E"/>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755"/>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810"/>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780"/>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28A3"/>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543"/>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8EB"/>
    <w:rsid w:val="00510BE0"/>
    <w:rsid w:val="00510C49"/>
    <w:rsid w:val="00510C5C"/>
    <w:rsid w:val="00511288"/>
    <w:rsid w:val="00511A73"/>
    <w:rsid w:val="00511E62"/>
    <w:rsid w:val="0051221F"/>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0DF"/>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072"/>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81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49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964"/>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40"/>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86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9A7"/>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276"/>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4EA"/>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1A"/>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40C"/>
    <w:rsid w:val="00CB65DC"/>
    <w:rsid w:val="00CB6DC9"/>
    <w:rsid w:val="00CB7F2D"/>
    <w:rsid w:val="00CC10A8"/>
    <w:rsid w:val="00CC16EE"/>
    <w:rsid w:val="00CC1763"/>
    <w:rsid w:val="00CC21F6"/>
    <w:rsid w:val="00CC2600"/>
    <w:rsid w:val="00CC2F39"/>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AB6"/>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BE8"/>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87A74"/>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8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669" TargetMode="External"/><Relationship Id="rId18" Type="http://schemas.openxmlformats.org/officeDocument/2006/relationships/hyperlink" Target="https://www.scc-csc.ca/case-dossier/info/sum-som-eng.aspx?cas=40730" TargetMode="External"/><Relationship Id="rId26" Type="http://schemas.openxmlformats.org/officeDocument/2006/relationships/hyperlink" Target="https://www.canlii.org/en/on/onsc/doc/2020/2020onsc2303/2020onsc2303.html?searchUrlHash=AAAAAQAQcmViZWxsbyBtYXRoZXNvbgAAAAAB&amp;resultIndex=2" TargetMode="External"/><Relationship Id="rId39" Type="http://schemas.openxmlformats.org/officeDocument/2006/relationships/hyperlink" Target="https://canlii.ca/t/jvhmn" TargetMode="External"/><Relationship Id="rId21" Type="http://schemas.openxmlformats.org/officeDocument/2006/relationships/hyperlink" Target="https://canlii.ca/t/jvbp4" TargetMode="External"/><Relationship Id="rId34" Type="http://schemas.openxmlformats.org/officeDocument/2006/relationships/hyperlink" Target="https://canlii.ca/t/jrx07" TargetMode="External"/><Relationship Id="rId42" Type="http://schemas.openxmlformats.org/officeDocument/2006/relationships/hyperlink" Target="https://www.canlii.org/en/bc/bcsc/doc/2022/2022bcsc527/2022bcsc527.html" TargetMode="External"/><Relationship Id="rId47" Type="http://schemas.openxmlformats.org/officeDocument/2006/relationships/hyperlink" Target="https://www.canlii.org/en/on/onca/doc/2022/2022onca734/2022onca734.html?resultIndex=1" TargetMode="External"/><Relationship Id="rId50" Type="http://schemas.openxmlformats.org/officeDocument/2006/relationships/hyperlink" Target="https://www.canlii.org/en/qc/qccs/doc/2021/2021qccs2168/2021qccs2168.html?resultIndex=2" TargetMode="External"/><Relationship Id="rId55" Type="http://schemas.openxmlformats.org/officeDocument/2006/relationships/hyperlink" Target="https://www.canlii.org/en/nl/nlca/doc/2023/2023nlca5/2023nlca5.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416" TargetMode="External"/><Relationship Id="rId20" Type="http://schemas.openxmlformats.org/officeDocument/2006/relationships/hyperlink" Target="https://canlii.ca/t/jvbp4" TargetMode="External"/><Relationship Id="rId29" Type="http://schemas.openxmlformats.org/officeDocument/2006/relationships/hyperlink" Target="https://www.canlii.org/en/on/onca/doc/2022/2022onca720/2022onca720.html?autocompleteStr=2022%20ONCA%20720&amp;autocompletePos=1" TargetMode="External"/><Relationship Id="rId41" Type="http://schemas.openxmlformats.org/officeDocument/2006/relationships/hyperlink" Target="https://www.canlii.org/en/bc/bcca/doc/2023/2023bcca55/2023bcca55.html" TargetMode="External"/><Relationship Id="rId54" Type="http://schemas.openxmlformats.org/officeDocument/2006/relationships/hyperlink" Target="https://www.canlii.org/en/nl/nlca/doc/2023/2023nlca5/2023nlca5.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639" TargetMode="External"/><Relationship Id="rId24" Type="http://schemas.openxmlformats.org/officeDocument/2006/relationships/hyperlink" Target="https://www.canlii.org/en/on/onsc/doc/2021/2021onsc7888/2021onsc7888.html" TargetMode="External"/><Relationship Id="rId32" Type="http://schemas.openxmlformats.org/officeDocument/2006/relationships/hyperlink" Target="https://www.canlii.org/en/qc/qccs/doc/2021/2021qccs4642/2021qccs4642.html?resultIndex=1" TargetMode="External"/><Relationship Id="rId37" Type="http://schemas.openxmlformats.org/officeDocument/2006/relationships/hyperlink" Target="https://canlii.ca/t/jvhmn" TargetMode="External"/><Relationship Id="rId40" Type="http://schemas.openxmlformats.org/officeDocument/2006/relationships/hyperlink" Target="https://www.canlii.org/en/bc/bcsc/doc/2022/2022bcsc527/2022bcsc527.html" TargetMode="External"/><Relationship Id="rId45" Type="http://schemas.openxmlformats.org/officeDocument/2006/relationships/hyperlink" Target="https://www.canlii.org/en/on/onca/doc/2023/2023onca3/2023onca3.html" TargetMode="External"/><Relationship Id="rId53" Type="http://schemas.openxmlformats.org/officeDocument/2006/relationships/hyperlink" Target="https://canlii.ca/t/jcxs8"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40634" TargetMode="External"/><Relationship Id="rId23" Type="http://schemas.openxmlformats.org/officeDocument/2006/relationships/hyperlink" Target="https://www.canlii.org/en/on/onsc/doc/2020/2020onsc3520/2020onsc3520.html" TargetMode="External"/><Relationship Id="rId28" Type="http://schemas.openxmlformats.org/officeDocument/2006/relationships/hyperlink" Target="https://www.canlii.org/en/on/onsc/doc/2021/2021onsc7888/2021onsc7888.html" TargetMode="External"/><Relationship Id="rId36" Type="http://schemas.openxmlformats.org/officeDocument/2006/relationships/hyperlink" Target="https://canlii.ca/t/jnc01" TargetMode="External"/><Relationship Id="rId49" Type="http://schemas.openxmlformats.org/officeDocument/2006/relationships/hyperlink" Target="https://www.canlii.org/en/qc/qcca/doc/2022/2022qcca1544/2022qcca1544.html"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www.scc-csc.ca/case-dossier/info/sum-som-fra.aspx?cas=40625" TargetMode="External"/><Relationship Id="rId19" Type="http://schemas.openxmlformats.org/officeDocument/2006/relationships/hyperlink" Target="https://www.scc-csc.ca/case-dossier/info/sum-som-eng.aspx?cas=40717" TargetMode="External"/><Relationship Id="rId31" Type="http://schemas.openxmlformats.org/officeDocument/2006/relationships/hyperlink" Target="https://www.canlii.org/en/qc/qcca/doc/2022/2022qcca1740/2022qcca1740.html" TargetMode="External"/><Relationship Id="rId44" Type="http://schemas.openxmlformats.org/officeDocument/2006/relationships/hyperlink" Target="https://www.canlii.org/en/on/onca/doc/2023/2023onca3/2023onca3.html" TargetMode="External"/><Relationship Id="rId52" Type="http://schemas.openxmlformats.org/officeDocument/2006/relationships/hyperlink" Target="https://canlii.ca/t/jcxs8"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644" TargetMode="External"/><Relationship Id="rId14" Type="http://schemas.openxmlformats.org/officeDocument/2006/relationships/hyperlink" Target="https://www.scc-csc.ca/case-dossier/info/sum-som-eng.aspx?cas=40737" TargetMode="External"/><Relationship Id="rId22" Type="http://schemas.openxmlformats.org/officeDocument/2006/relationships/hyperlink" Target="https://www.canlii.org/en/on/onsc/doc/2020/2020onsc2303/2020onsc2303.html?searchUrlHash=AAAAAQAQcmViZWxsbyBtYXRoZXNvbgAAAAAB&amp;resultIndex=2" TargetMode="External"/><Relationship Id="rId27" Type="http://schemas.openxmlformats.org/officeDocument/2006/relationships/hyperlink" Target="https://www.canlii.org/en/on/onsc/doc/2020/2020onsc3520/2020onsc3520.html" TargetMode="External"/><Relationship Id="rId30" Type="http://schemas.openxmlformats.org/officeDocument/2006/relationships/hyperlink" Target="https://www.canlii.org/en/qc/qccs/doc/2021/2021qccs4642/2021qccs4642.html?resultIndex=1" TargetMode="External"/><Relationship Id="rId35" Type="http://schemas.openxmlformats.org/officeDocument/2006/relationships/hyperlink" Target="https://canlii.ca/t/jrx07" TargetMode="External"/><Relationship Id="rId43" Type="http://schemas.openxmlformats.org/officeDocument/2006/relationships/hyperlink" Target="https://www.canlii.org/en/bc/bcca/doc/2023/2023bcca55/2023bcca55.html" TargetMode="External"/><Relationship Id="rId48" Type="http://schemas.openxmlformats.org/officeDocument/2006/relationships/hyperlink" Target="https://www.canlii.org/en/qc/qccs/doc/2021/2021qccs2168/2021qccs2168.html?resultIndex=2" TargetMode="External"/><Relationship Id="rId56" Type="http://schemas.openxmlformats.org/officeDocument/2006/relationships/hyperlink" Target="mailto:comments-commentaires@scc-csc.ca" TargetMode="External"/><Relationship Id="rId64" Type="http://schemas.openxmlformats.org/officeDocument/2006/relationships/theme" Target="theme/theme1.xml"/><Relationship Id="rId8" Type="http://schemas.openxmlformats.org/officeDocument/2006/relationships/hyperlink" Target="https://www.scc-csc.ca/case-dossier/info/sum-som-eng.aspx?cas=40607" TargetMode="External"/><Relationship Id="rId51" Type="http://schemas.openxmlformats.org/officeDocument/2006/relationships/hyperlink" Target="https://www.canlii.org/en/qc/qcca/doc/2022/2022qcca1544/2022qcca1544.html" TargetMode="External"/><Relationship Id="rId3" Type="http://schemas.openxmlformats.org/officeDocument/2006/relationships/styles" Target="styles.xml"/><Relationship Id="rId12" Type="http://schemas.openxmlformats.org/officeDocument/2006/relationships/hyperlink" Target="https://www.scc-csc.ca/case-dossier/info/sum-som-eng.aspx?cas=40690" TargetMode="External"/><Relationship Id="rId17" Type="http://schemas.openxmlformats.org/officeDocument/2006/relationships/hyperlink" Target="https://www.scc-csc.ca/case-dossier/info/sum-som-eng.aspx?cas=40553" TargetMode="External"/><Relationship Id="rId25" Type="http://schemas.openxmlformats.org/officeDocument/2006/relationships/hyperlink" Target="https://www.canlii.org/en/on/onca/doc/2022/2022onca720/2022onca720.html?autocompleteStr=2022%20ONCA%20720&amp;autocompletePos=1" TargetMode="External"/><Relationship Id="rId33" Type="http://schemas.openxmlformats.org/officeDocument/2006/relationships/hyperlink" Target="https://www.canlii.org/en/qc/qcca/doc/2022/2022qcca1740/2022qcca1740.html" TargetMode="External"/><Relationship Id="rId38" Type="http://schemas.openxmlformats.org/officeDocument/2006/relationships/hyperlink" Target="https://canlii.ca/t/jnc01" TargetMode="External"/><Relationship Id="rId46" Type="http://schemas.openxmlformats.org/officeDocument/2006/relationships/hyperlink" Target="https://www.canlii.org/en/on/onca/doc/2022/2022onca734/2022onca734.html?resultIndex=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3B27-0180-4D20-9CC2-10E8CD6A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8475</Words>
  <Characters>48311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56673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2023-07-21T17:17:00Z</dcterms:created>
  <dcterms:modified xsi:type="dcterms:W3CDTF">2023-08-18T14:10:00Z</dcterms:modified>
</cp:coreProperties>
</file>