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1F7594" w:rsidRDefault="00A41431" w:rsidP="00A41431">
      <w:pPr>
        <w:pStyle w:val="Header"/>
        <w:jc w:val="center"/>
        <w:rPr>
          <w:b/>
          <w:sz w:val="32"/>
        </w:rPr>
      </w:pPr>
      <w:r w:rsidRPr="001F7594">
        <w:rPr>
          <w:b/>
          <w:sz w:val="32"/>
        </w:rPr>
        <w:t>Supreme Court of Canada / Cour suprême du Canada</w:t>
      </w:r>
    </w:p>
    <w:p w:rsidR="00A41431" w:rsidRPr="001F7594" w:rsidRDefault="00A41431" w:rsidP="00A41431">
      <w:pPr>
        <w:widowControl w:val="0"/>
        <w:rPr>
          <w:i/>
        </w:rPr>
      </w:pPr>
    </w:p>
    <w:p w:rsidR="00DF33A9" w:rsidRPr="001F7594" w:rsidRDefault="00DF33A9" w:rsidP="00DF33A9">
      <w:pPr>
        <w:widowControl w:val="0"/>
        <w:rPr>
          <w:i/>
          <w:sz w:val="20"/>
          <w:lang w:val="fr-CA"/>
        </w:rPr>
      </w:pPr>
      <w:r w:rsidRPr="001F7594">
        <w:rPr>
          <w:i/>
          <w:sz w:val="20"/>
          <w:lang w:val="fr-CA"/>
        </w:rPr>
        <w:t>(</w:t>
      </w:r>
      <w:r w:rsidR="00167C53" w:rsidRPr="001F7594">
        <w:rPr>
          <w:i/>
          <w:sz w:val="20"/>
          <w:lang w:val="fr-CA"/>
        </w:rPr>
        <w:t>Le</w:t>
      </w:r>
      <w:r w:rsidRPr="001F7594">
        <w:rPr>
          <w:i/>
          <w:sz w:val="20"/>
          <w:lang w:val="fr-CA"/>
        </w:rPr>
        <w:t xml:space="preserve"> français suit)</w:t>
      </w:r>
    </w:p>
    <w:p w:rsidR="00DF33A9" w:rsidRPr="001F7594" w:rsidRDefault="00DF33A9" w:rsidP="00DF33A9">
      <w:pPr>
        <w:widowControl w:val="0"/>
        <w:rPr>
          <w:lang w:val="fr-CA"/>
        </w:rPr>
      </w:pPr>
    </w:p>
    <w:p w:rsidR="00DF33A9" w:rsidRPr="001F7594" w:rsidRDefault="001E2235" w:rsidP="00DF33A9">
      <w:pPr>
        <w:widowControl w:val="0"/>
        <w:jc w:val="center"/>
        <w:rPr>
          <w:b/>
          <w:lang w:val="fr-CA"/>
        </w:rPr>
      </w:pPr>
      <w:r w:rsidRPr="001F7594">
        <w:fldChar w:fldCharType="begin"/>
      </w:r>
      <w:r w:rsidR="00DF33A9" w:rsidRPr="001F7594">
        <w:rPr>
          <w:lang w:val="fr-CA"/>
        </w:rPr>
        <w:instrText xml:space="preserve"> SEQ CHAPTER \h \r 1</w:instrText>
      </w:r>
      <w:r w:rsidRPr="001F7594">
        <w:fldChar w:fldCharType="end"/>
      </w:r>
      <w:r w:rsidR="00DF33A9" w:rsidRPr="001F7594">
        <w:rPr>
          <w:b/>
          <w:lang w:val="fr-CA"/>
        </w:rPr>
        <w:t>JUDGMENT</w:t>
      </w:r>
      <w:r w:rsidR="00777096" w:rsidRPr="001F7594">
        <w:rPr>
          <w:b/>
          <w:lang w:val="fr-CA"/>
        </w:rPr>
        <w:t xml:space="preserve"> </w:t>
      </w:r>
      <w:r w:rsidR="002439DA" w:rsidRPr="001F7594">
        <w:rPr>
          <w:b/>
          <w:lang w:val="fr-CA"/>
        </w:rPr>
        <w:t>O</w:t>
      </w:r>
      <w:r w:rsidR="00DF33A9" w:rsidRPr="001F7594">
        <w:rPr>
          <w:b/>
          <w:lang w:val="fr-CA"/>
        </w:rPr>
        <w:t>N APPEA</w:t>
      </w:r>
      <w:r w:rsidR="00671A3B" w:rsidRPr="001F7594">
        <w:rPr>
          <w:b/>
          <w:lang w:val="fr-CA"/>
        </w:rPr>
        <w:t>L</w:t>
      </w:r>
    </w:p>
    <w:p w:rsidR="00DF33A9" w:rsidRPr="001F7594" w:rsidRDefault="00DF33A9" w:rsidP="0050239F">
      <w:pPr>
        <w:widowControl w:val="0"/>
        <w:rPr>
          <w:lang w:val="fr-CA"/>
        </w:rPr>
      </w:pPr>
    </w:p>
    <w:p w:rsidR="00DF33A9" w:rsidRPr="001F7594" w:rsidRDefault="000E3027" w:rsidP="00DF33A9">
      <w:pPr>
        <w:widowControl w:val="0"/>
      </w:pPr>
      <w:r w:rsidRPr="001F7594">
        <w:rPr>
          <w:b/>
        </w:rPr>
        <w:t>Febru</w:t>
      </w:r>
      <w:r w:rsidR="00F06D19" w:rsidRPr="001F7594">
        <w:rPr>
          <w:b/>
        </w:rPr>
        <w:t>ary</w:t>
      </w:r>
      <w:r w:rsidR="006E047B" w:rsidRPr="001F7594">
        <w:rPr>
          <w:b/>
        </w:rPr>
        <w:t xml:space="preserve"> </w:t>
      </w:r>
      <w:r w:rsidR="00C319E2" w:rsidRPr="001F7594">
        <w:rPr>
          <w:b/>
        </w:rPr>
        <w:t>9</w:t>
      </w:r>
      <w:r w:rsidR="00425D2C" w:rsidRPr="001F7594">
        <w:rPr>
          <w:b/>
        </w:rPr>
        <w:t>, 20</w:t>
      </w:r>
      <w:r w:rsidR="009C1BB4" w:rsidRPr="001F7594">
        <w:rPr>
          <w:b/>
        </w:rPr>
        <w:t>2</w:t>
      </w:r>
      <w:r w:rsidR="00F06D19" w:rsidRPr="001F7594">
        <w:rPr>
          <w:b/>
        </w:rPr>
        <w:t>4</w:t>
      </w:r>
    </w:p>
    <w:p w:rsidR="00DF33A9" w:rsidRPr="001F7594" w:rsidRDefault="00DF33A9" w:rsidP="00DF33A9">
      <w:pPr>
        <w:widowControl w:val="0"/>
      </w:pPr>
    </w:p>
    <w:p w:rsidR="00DA7E05" w:rsidRPr="001F7594" w:rsidRDefault="00A37AD6" w:rsidP="00DF33A9">
      <w:pPr>
        <w:widowControl w:val="0"/>
      </w:pPr>
      <w:r w:rsidRPr="001F7594">
        <w:rPr>
          <w:b/>
        </w:rPr>
        <w:t>OTTAWA</w:t>
      </w:r>
      <w:r w:rsidRPr="001F7594">
        <w:t xml:space="preserve"> – </w:t>
      </w:r>
      <w:r w:rsidR="00CF5B82" w:rsidRPr="001F7594">
        <w:t xml:space="preserve">The Supreme Court of Canada has delivered its judgment in the following appeal. The Court invites you to read the </w:t>
      </w:r>
      <w:hyperlink r:id="rId7" w:history="1">
        <w:r w:rsidR="00CF5B82" w:rsidRPr="001F7594">
          <w:rPr>
            <w:rStyle w:val="Hyperlink"/>
          </w:rPr>
          <w:t>reasons for judgment</w:t>
        </w:r>
      </w:hyperlink>
      <w:r w:rsidR="00CF5B82" w:rsidRPr="001F7594">
        <w:t xml:space="preserve"> and the </w:t>
      </w:r>
      <w:r w:rsidR="00AB6E08" w:rsidRPr="001F7594">
        <w:t>plain language</w:t>
      </w:r>
      <w:r w:rsidR="00CF5B82" w:rsidRPr="001F7594">
        <w:t xml:space="preserve"> summary called a </w:t>
      </w:r>
      <w:hyperlink r:id="rId8" w:history="1">
        <w:r w:rsidR="00CF5B82" w:rsidRPr="001F7594">
          <w:rPr>
            <w:rStyle w:val="Hyperlink"/>
          </w:rPr>
          <w:t>Case in Brief</w:t>
        </w:r>
      </w:hyperlink>
      <w:r w:rsidR="00CF5B82" w:rsidRPr="001F7594">
        <w:rPr>
          <w:rStyle w:val="Hyperlink"/>
        </w:rPr>
        <w:t>.</w:t>
      </w:r>
    </w:p>
    <w:p w:rsidR="00FF03D5" w:rsidRPr="001F7594" w:rsidRDefault="00FF03D5" w:rsidP="00FF03D5">
      <w:pPr>
        <w:jc w:val="both"/>
        <w:outlineLvl w:val="0"/>
        <w:rPr>
          <w:szCs w:val="24"/>
        </w:rPr>
      </w:pPr>
    </w:p>
    <w:p w:rsidR="00FF03D5" w:rsidRPr="001F7594" w:rsidRDefault="00234A13" w:rsidP="001F7594">
      <w:pPr>
        <w:ind w:left="1440" w:hanging="1440"/>
        <w:jc w:val="both"/>
        <w:rPr>
          <w:rFonts w:eastAsiaTheme="minorHAnsi" w:cstheme="minorBidi"/>
          <w:sz w:val="20"/>
        </w:rPr>
      </w:pPr>
      <w:r w:rsidRPr="001F7594">
        <w:rPr>
          <w:b/>
          <w:sz w:val="20"/>
        </w:rPr>
        <w:t>400</w:t>
      </w:r>
      <w:r w:rsidR="00C319E2" w:rsidRPr="001F7594">
        <w:rPr>
          <w:b/>
          <w:sz w:val="20"/>
        </w:rPr>
        <w:t>61</w:t>
      </w:r>
      <w:r w:rsidR="00FF03D5" w:rsidRPr="001F7594">
        <w:rPr>
          <w:b/>
          <w:sz w:val="20"/>
        </w:rPr>
        <w:fldChar w:fldCharType="begin"/>
      </w:r>
      <w:r w:rsidR="00FF03D5" w:rsidRPr="001F7594">
        <w:rPr>
          <w:b/>
          <w:sz w:val="20"/>
        </w:rPr>
        <w:instrText xml:space="preserve"> SEQ CHAPTER \h \r 1</w:instrText>
      </w:r>
      <w:r w:rsidR="00FF03D5" w:rsidRPr="001F7594">
        <w:rPr>
          <w:b/>
          <w:sz w:val="20"/>
        </w:rPr>
        <w:fldChar w:fldCharType="end"/>
      </w:r>
      <w:r w:rsidR="00FF03D5" w:rsidRPr="001F7594">
        <w:rPr>
          <w:color w:val="FF0000"/>
          <w:sz w:val="20"/>
        </w:rPr>
        <w:tab/>
      </w:r>
      <w:r w:rsidR="000C62E9" w:rsidRPr="001F7594">
        <w:rPr>
          <w:rFonts w:eastAsiaTheme="minorHAnsi" w:cstheme="minorBidi"/>
          <w:b/>
          <w:sz w:val="20"/>
        </w:rPr>
        <w:t xml:space="preserve">Attorney General of Quebec </w:t>
      </w:r>
      <w:r w:rsidR="00EC4905" w:rsidRPr="001F7594">
        <w:rPr>
          <w:rFonts w:eastAsiaTheme="minorHAnsi" w:cstheme="minorBidi"/>
          <w:b/>
          <w:sz w:val="20"/>
        </w:rPr>
        <w:t xml:space="preserve">v. </w:t>
      </w:r>
      <w:r w:rsidR="00375A1F" w:rsidRPr="001F7594">
        <w:rPr>
          <w:rFonts w:eastAsiaTheme="minorHAnsi" w:cstheme="minorBidi"/>
          <w:b/>
          <w:sz w:val="20"/>
        </w:rPr>
        <w:t>Attorney General of Canada, Assembly of First Nations Quebec-Labrador, First Nations of Quebec and Labrador Health and Social Services Commission, Makivik Corporation, Assembly of First Nations, Aseniwuche Winewak Nation of Canada and First Nations Child &amp; Family Caring Society of Canada</w:t>
      </w:r>
      <w:r w:rsidR="000C62E9" w:rsidRPr="001F7594">
        <w:rPr>
          <w:rFonts w:eastAsiaTheme="minorHAnsi" w:cstheme="minorBidi"/>
          <w:b/>
          <w:sz w:val="20"/>
        </w:rPr>
        <w:t xml:space="preserve"> </w:t>
      </w:r>
      <w:r w:rsidR="00375A1F" w:rsidRPr="001F7594">
        <w:rPr>
          <w:rFonts w:eastAsiaTheme="minorHAnsi" w:cstheme="minorBidi"/>
          <w:b/>
          <w:sz w:val="20"/>
        </w:rPr>
        <w:t>-</w:t>
      </w:r>
      <w:r w:rsidR="00304C4E" w:rsidRPr="001F7594">
        <w:rPr>
          <w:rFonts w:eastAsiaTheme="minorHAnsi" w:cstheme="minorBidi"/>
          <w:b/>
          <w:sz w:val="20"/>
        </w:rPr>
        <w:t xml:space="preserve"> and</w:t>
      </w:r>
      <w:r w:rsidR="000C62E9" w:rsidRPr="001F7594">
        <w:rPr>
          <w:rFonts w:eastAsiaTheme="minorHAnsi" w:cstheme="minorBidi"/>
          <w:b/>
          <w:sz w:val="20"/>
        </w:rPr>
        <w:t xml:space="preserve"> between</w:t>
      </w:r>
      <w:r w:rsidR="00304C4E" w:rsidRPr="001F7594">
        <w:rPr>
          <w:rFonts w:eastAsiaTheme="minorHAnsi" w:cstheme="minorBidi"/>
          <w:b/>
          <w:sz w:val="20"/>
        </w:rPr>
        <w:t xml:space="preserve"> - </w:t>
      </w:r>
      <w:r w:rsidR="000C62E9" w:rsidRPr="001F7594">
        <w:rPr>
          <w:rFonts w:eastAsiaTheme="minorHAnsi" w:cstheme="minorBidi"/>
          <w:b/>
          <w:sz w:val="20"/>
        </w:rPr>
        <w:t>Attorney General of Canada v</w:t>
      </w:r>
      <w:r w:rsidR="000C62E9" w:rsidRPr="001F7594">
        <w:t xml:space="preserve"> </w:t>
      </w:r>
      <w:r w:rsidR="000C62E9" w:rsidRPr="001F7594">
        <w:rPr>
          <w:rFonts w:eastAsiaTheme="minorHAnsi" w:cstheme="minorBidi"/>
          <w:b/>
          <w:sz w:val="20"/>
        </w:rPr>
        <w:t xml:space="preserve">Attorney General of Quebec - and - </w:t>
      </w:r>
      <w:r w:rsidR="00375A1F" w:rsidRPr="001F7594">
        <w:rPr>
          <w:rFonts w:eastAsiaTheme="minorHAnsi" w:cstheme="minorBidi"/>
          <w:b/>
          <w:sz w:val="20"/>
        </w:rPr>
        <w:t>Attorney General of Manitoba, Attorney General of British Columbia, Attorney General of Alberta, Attorney General of the Northwest Territories, First Nations Child &amp; Family Caring Society of Canada, Aseniwuche Winewak Nation of Canada, Assembly of First Nations, Makivik Corporation, Assembly of First Nations Quebec-Labrador, First Nations of Quebec and Labrador Health and Social Services Commission, Grand Council of Treaty #3, Innu Takuaikan Uashat Mak Mani-Utenam, Federation of Sovereign Indigenous Nations, Peguis Child and Family Services, Native Women’s Association of Canada, Council of Yukon First Nations, Indigenous Bar Association in Canada, Chiefs of Ontario, Inuvialuit Regional Corporation, Inuit Tapiriit Kanatami, Nunatsiavut Government, Nunavut Tunngavik Incorporated, NunanuKavut Community Council, Lands Advisory Board, Métis National Council, Métis Nation — Saskatchewan, Métis Nation of Alberta, Métis Nation British Columbia, Métis Nation of Ontario, Les Femmes Michif Otipemisiwak, Listuguj Mi’gmaq Government, Congress of Aboriginal Peoples, First Nations Family Advocate Office, Assembly of Manitoba Chiefs, First Nations of the Maa-Nulth Treaty Society, Tribal Chiefs Ventures Inc., Union of British Columbia Indian Chiefs, First Nations Summit of British Columbia, British Columbia Assembly of First Nations, David Asper Centre for Constitutional Rights, Regroupement Petapan, Canadian Constitution Foundation, Carrier Sekani Family Services Society, Cheslatta Carrier Nation, Nadleh Whuten, Saik’uz First Nation, Stellat’en First Nation, Council of Atikamekw of Opitciwan, Vancouver Aboriginal Child and Family Services Society and Nishnawbe Aski Nation</w:t>
      </w:r>
      <w:r w:rsidR="00111A13" w:rsidRPr="001F7594">
        <w:rPr>
          <w:rFonts w:eastAsiaTheme="minorHAnsi" w:cstheme="minorBidi"/>
          <w:b/>
          <w:sz w:val="20"/>
        </w:rPr>
        <w:t xml:space="preserve"> </w:t>
      </w:r>
      <w:r w:rsidR="00FF03D5" w:rsidRPr="001F7594">
        <w:rPr>
          <w:rFonts w:eastAsiaTheme="minorHAnsi" w:cstheme="minorBidi"/>
          <w:iCs/>
          <w:sz w:val="20"/>
        </w:rPr>
        <w:t>(</w:t>
      </w:r>
      <w:r w:rsidR="00B510CF" w:rsidRPr="001F7594">
        <w:rPr>
          <w:rFonts w:eastAsiaTheme="minorHAnsi" w:cstheme="minorBidi"/>
          <w:iCs/>
          <w:sz w:val="20"/>
        </w:rPr>
        <w:t>Que</w:t>
      </w:r>
      <w:r w:rsidR="00A84193" w:rsidRPr="001F7594">
        <w:rPr>
          <w:rFonts w:eastAsiaTheme="minorHAnsi" w:cstheme="minorBidi"/>
          <w:iCs/>
          <w:sz w:val="20"/>
        </w:rPr>
        <w:t>.</w:t>
      </w:r>
      <w:r w:rsidR="00FF03D5" w:rsidRPr="001F7594">
        <w:rPr>
          <w:rFonts w:eastAsiaTheme="minorHAnsi" w:cstheme="minorBidi"/>
          <w:iCs/>
          <w:sz w:val="20"/>
        </w:rPr>
        <w:t>)</w:t>
      </w:r>
    </w:p>
    <w:p w:rsidR="00FF03D5" w:rsidRPr="001F7594" w:rsidRDefault="00FF03D5" w:rsidP="00FF03D5">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1F7594">
        <w:rPr>
          <w:rFonts w:eastAsiaTheme="minorHAnsi" w:cstheme="minorBidi"/>
          <w:b/>
          <w:sz w:val="20"/>
        </w:rPr>
        <w:t>202</w:t>
      </w:r>
      <w:r w:rsidR="00F06D19" w:rsidRPr="001F7594">
        <w:rPr>
          <w:rFonts w:eastAsiaTheme="minorHAnsi" w:cstheme="minorBidi"/>
          <w:b/>
          <w:sz w:val="20"/>
        </w:rPr>
        <w:t>4</w:t>
      </w:r>
      <w:r w:rsidRPr="001F7594">
        <w:rPr>
          <w:rFonts w:eastAsiaTheme="minorHAnsi" w:cstheme="minorBidi"/>
          <w:b/>
          <w:sz w:val="20"/>
        </w:rPr>
        <w:t xml:space="preserve"> SCC </w:t>
      </w:r>
      <w:r w:rsidR="00C319E2" w:rsidRPr="001F7594">
        <w:rPr>
          <w:rFonts w:eastAsiaTheme="minorHAnsi" w:cstheme="minorBidi"/>
          <w:b/>
          <w:sz w:val="20"/>
        </w:rPr>
        <w:t>5</w:t>
      </w:r>
    </w:p>
    <w:p w:rsidR="00FF03D5" w:rsidRPr="001F7594" w:rsidRDefault="00FF03D5" w:rsidP="00FF03D5">
      <w:pPr>
        <w:ind w:left="1440" w:hanging="1440"/>
        <w:jc w:val="both"/>
        <w:rPr>
          <w:sz w:val="20"/>
        </w:rPr>
      </w:pPr>
    </w:p>
    <w:p w:rsidR="00EC4905" w:rsidRPr="001F7594" w:rsidRDefault="00EC4905" w:rsidP="00EC4905">
      <w:pPr>
        <w:ind w:left="1440" w:hanging="1440"/>
        <w:rPr>
          <w:sz w:val="20"/>
        </w:rPr>
      </w:pPr>
      <w:r w:rsidRPr="001F7594">
        <w:rPr>
          <w:sz w:val="20"/>
        </w:rPr>
        <w:t>Coram:</w:t>
      </w:r>
      <w:r w:rsidRPr="001F7594">
        <w:rPr>
          <w:sz w:val="20"/>
        </w:rPr>
        <w:tab/>
      </w:r>
      <w:r w:rsidR="00E5281C" w:rsidRPr="001F7594">
        <w:rPr>
          <w:sz w:val="20"/>
        </w:rPr>
        <w:t>Wagner C.J. and Karakatsanis, Côté, Brown,* Rowe, Martin, Kasirer, Jamal and O’Bonsawin JJ.</w:t>
      </w:r>
    </w:p>
    <w:p w:rsidR="00FF03D5" w:rsidRPr="001F7594" w:rsidRDefault="00FF03D5" w:rsidP="00FF03D5">
      <w:pPr>
        <w:jc w:val="both"/>
        <w:rPr>
          <w:sz w:val="20"/>
        </w:rPr>
      </w:pPr>
    </w:p>
    <w:p w:rsidR="00EC4905" w:rsidRPr="001F7594" w:rsidRDefault="00375A1F" w:rsidP="00EC4905">
      <w:pPr>
        <w:jc w:val="both"/>
        <w:rPr>
          <w:sz w:val="20"/>
        </w:rPr>
      </w:pPr>
      <w:r w:rsidRPr="001F7594">
        <w:rPr>
          <w:sz w:val="20"/>
          <w:lang w:val="en-CA"/>
        </w:rPr>
        <w:t xml:space="preserve">The appeal of the Attorney General of Quebec and the appeal of the Attorney General of Canada from the judgment </w:t>
      </w:r>
      <w:bookmarkStart w:id="0" w:name="BM_1_"/>
      <w:bookmarkEnd w:id="0"/>
      <w:r w:rsidRPr="001F7594">
        <w:rPr>
          <w:sz w:val="20"/>
          <w:lang w:val="en-CA"/>
        </w:rPr>
        <w:t xml:space="preserve">of the </w:t>
      </w:r>
      <w:r w:rsidRPr="001F7594">
        <w:rPr>
          <w:sz w:val="20"/>
        </w:rPr>
        <w:t>Court of Appeal of Quebec (Montréal)</w:t>
      </w:r>
      <w:r w:rsidRPr="001F7594">
        <w:rPr>
          <w:sz w:val="20"/>
          <w:lang w:val="en-CA"/>
        </w:rPr>
        <w:t xml:space="preserve">, Number </w:t>
      </w:r>
      <w:r w:rsidRPr="001F7594">
        <w:rPr>
          <w:sz w:val="20"/>
        </w:rPr>
        <w:t xml:space="preserve">500-09-028751-196, </w:t>
      </w:r>
      <w:r w:rsidRPr="001F7594">
        <w:rPr>
          <w:rStyle w:val="Hyperlink"/>
          <w:color w:val="auto"/>
          <w:sz w:val="20"/>
          <w:u w:val="none"/>
        </w:rPr>
        <w:t>2022 QCCA 185</w:t>
      </w:r>
      <w:r w:rsidRPr="001F7594">
        <w:rPr>
          <w:sz w:val="20"/>
          <w:lang w:val="en-CA"/>
        </w:rPr>
        <w:t xml:space="preserve">, dated </w:t>
      </w:r>
      <w:r w:rsidRPr="001F7594">
        <w:rPr>
          <w:sz w:val="20"/>
        </w:rPr>
        <w:t>February 10, 2022</w:t>
      </w:r>
      <w:r w:rsidRPr="001F7594">
        <w:rPr>
          <w:sz w:val="20"/>
          <w:lang w:val="en-CA"/>
        </w:rPr>
        <w:t xml:space="preserve">, heard on </w:t>
      </w:r>
      <w:r w:rsidRPr="001F7594">
        <w:rPr>
          <w:sz w:val="20"/>
        </w:rPr>
        <w:t>December 7 and 8, 2022</w:t>
      </w:r>
      <w:r w:rsidRPr="001F7594">
        <w:rPr>
          <w:sz w:val="20"/>
          <w:lang w:val="en-CA"/>
        </w:rPr>
        <w:t xml:space="preserve">, are respectively dismissed and allowed. The </w:t>
      </w:r>
      <w:r w:rsidRPr="001F7594">
        <w:rPr>
          <w:i/>
          <w:sz w:val="20"/>
          <w:lang w:val="en-CA"/>
        </w:rPr>
        <w:t>Act respecting First Nations, Inuit and Métis children, youth and families</w:t>
      </w:r>
      <w:r w:rsidRPr="001F7594">
        <w:rPr>
          <w:sz w:val="20"/>
          <w:lang w:val="en-CA"/>
        </w:rPr>
        <w:t xml:space="preserve">, S.C. 2019, c. 24, is not </w:t>
      </w:r>
      <w:r w:rsidRPr="001F7594">
        <w:rPr>
          <w:i/>
          <w:sz w:val="20"/>
          <w:lang w:val="en-CA"/>
        </w:rPr>
        <w:t>ultra vires</w:t>
      </w:r>
      <w:r w:rsidRPr="001F7594">
        <w:rPr>
          <w:sz w:val="20"/>
          <w:lang w:val="en-CA"/>
        </w:rPr>
        <w:t xml:space="preserve"> the jurisdiction of the Parliament of Canada under the Constitution of Canada.</w:t>
      </w:r>
    </w:p>
    <w:p w:rsidR="00E5281C" w:rsidRPr="001F7594" w:rsidRDefault="00E5281C" w:rsidP="00EC4905">
      <w:pPr>
        <w:jc w:val="both"/>
        <w:rPr>
          <w:sz w:val="20"/>
        </w:rPr>
      </w:pPr>
    </w:p>
    <w:p w:rsidR="00E5281C" w:rsidRPr="001F7594" w:rsidRDefault="00E5281C" w:rsidP="00EC4905">
      <w:pPr>
        <w:jc w:val="both"/>
        <w:rPr>
          <w:color w:val="000000"/>
          <w:sz w:val="20"/>
        </w:rPr>
      </w:pPr>
      <w:r w:rsidRPr="001F7594">
        <w:rPr>
          <w:color w:val="000000"/>
          <w:sz w:val="20"/>
        </w:rPr>
        <w:t>* Brown J. did not participate in the final disposition of the judgment.</w:t>
      </w:r>
    </w:p>
    <w:p w:rsidR="00E653A8" w:rsidRPr="001F7594" w:rsidRDefault="00E653A8" w:rsidP="00DF33A9">
      <w:pPr>
        <w:widowControl w:val="0"/>
      </w:pPr>
    </w:p>
    <w:p w:rsidR="00111A13" w:rsidRPr="001F7594" w:rsidRDefault="00111A13" w:rsidP="00DF33A9">
      <w:pPr>
        <w:widowControl w:val="0"/>
      </w:pPr>
    </w:p>
    <w:p w:rsidR="00FF03D5" w:rsidRPr="001F7594" w:rsidRDefault="001F7594" w:rsidP="00DF33A9">
      <w:pPr>
        <w:widowControl w:val="0"/>
      </w:pPr>
      <w:r w:rsidRPr="001F7594">
        <w:rPr>
          <w:sz w:val="18"/>
          <w:szCs w:val="18"/>
        </w:rPr>
        <w:pict>
          <v:rect id="_x0000_i1025" style="width:272.25pt;height:1.5pt" o:hrpct="0" o:hralign="center" o:hrstd="t" o:hrnoshade="t" o:hr="t" fillcolor="black [3213]" stroked="f"/>
        </w:pict>
      </w:r>
    </w:p>
    <w:p w:rsidR="00FF03D5" w:rsidRPr="001F7594" w:rsidRDefault="00FF03D5" w:rsidP="00DF33A9">
      <w:pPr>
        <w:widowControl w:val="0"/>
      </w:pPr>
    </w:p>
    <w:p w:rsidR="00E653A8" w:rsidRPr="001F7594" w:rsidRDefault="00E653A8" w:rsidP="00DF33A9">
      <w:pPr>
        <w:widowControl w:val="0"/>
      </w:pPr>
    </w:p>
    <w:p w:rsidR="00DF33A9" w:rsidRPr="001F7594" w:rsidRDefault="00DF33A9" w:rsidP="00DF33A9">
      <w:pPr>
        <w:widowControl w:val="0"/>
        <w:jc w:val="center"/>
        <w:rPr>
          <w:lang w:val="fr-CA"/>
        </w:rPr>
      </w:pPr>
      <w:r w:rsidRPr="001F7594">
        <w:rPr>
          <w:b/>
          <w:lang w:val="fr-CA"/>
        </w:rPr>
        <w:t>JUGEMENT SUR APPEL</w:t>
      </w:r>
    </w:p>
    <w:p w:rsidR="00DF33A9" w:rsidRPr="001F7594" w:rsidRDefault="00DF33A9" w:rsidP="00DF33A9">
      <w:pPr>
        <w:widowControl w:val="0"/>
        <w:rPr>
          <w:lang w:val="fr-CA"/>
        </w:rPr>
      </w:pPr>
    </w:p>
    <w:p w:rsidR="00DF33A9" w:rsidRPr="001F7594" w:rsidRDefault="00DF33A9" w:rsidP="00DF33A9">
      <w:pPr>
        <w:widowControl w:val="0"/>
        <w:rPr>
          <w:lang w:val="fr-CA"/>
        </w:rPr>
      </w:pPr>
      <w:r w:rsidRPr="001F7594">
        <w:rPr>
          <w:b/>
          <w:lang w:val="fr-CA"/>
        </w:rPr>
        <w:t xml:space="preserve">Le </w:t>
      </w:r>
      <w:r w:rsidR="00C319E2" w:rsidRPr="001F7594">
        <w:rPr>
          <w:b/>
          <w:lang w:val="fr-CA"/>
        </w:rPr>
        <w:t>9</w:t>
      </w:r>
      <w:r w:rsidR="00022F14" w:rsidRPr="001F7594">
        <w:rPr>
          <w:b/>
          <w:lang w:val="fr-CA"/>
        </w:rPr>
        <w:t xml:space="preserve"> </w:t>
      </w:r>
      <w:r w:rsidR="000E3027" w:rsidRPr="001F7594">
        <w:rPr>
          <w:b/>
          <w:lang w:val="fr-CA"/>
        </w:rPr>
        <w:t>févr</w:t>
      </w:r>
      <w:r w:rsidR="00F06D19" w:rsidRPr="001F7594">
        <w:rPr>
          <w:b/>
          <w:lang w:val="fr-CA"/>
        </w:rPr>
        <w:t>ier</w:t>
      </w:r>
      <w:r w:rsidR="00BB1936" w:rsidRPr="001F7594">
        <w:rPr>
          <w:b/>
          <w:lang w:val="fr-CA"/>
        </w:rPr>
        <w:t xml:space="preserve"> </w:t>
      </w:r>
      <w:r w:rsidR="007B36C2" w:rsidRPr="001F7594">
        <w:rPr>
          <w:b/>
          <w:lang w:val="fr-CA"/>
        </w:rPr>
        <w:t>20</w:t>
      </w:r>
      <w:r w:rsidR="009C1BB4" w:rsidRPr="001F7594">
        <w:rPr>
          <w:b/>
          <w:lang w:val="fr-CA"/>
        </w:rPr>
        <w:t>2</w:t>
      </w:r>
      <w:r w:rsidR="00F06D19" w:rsidRPr="001F7594">
        <w:rPr>
          <w:b/>
          <w:lang w:val="fr-CA"/>
        </w:rPr>
        <w:t>4</w:t>
      </w:r>
    </w:p>
    <w:p w:rsidR="00DF33A9" w:rsidRPr="001F7594" w:rsidRDefault="00DF33A9" w:rsidP="00DF33A9">
      <w:pPr>
        <w:widowControl w:val="0"/>
        <w:rPr>
          <w:lang w:val="fr-CA"/>
        </w:rPr>
      </w:pPr>
    </w:p>
    <w:p w:rsidR="00A37AD6" w:rsidRPr="001F7594" w:rsidRDefault="00A37AD6" w:rsidP="00A37AD6">
      <w:pPr>
        <w:widowControl w:val="0"/>
        <w:rPr>
          <w:lang w:val="fr-CA"/>
        </w:rPr>
      </w:pPr>
      <w:r w:rsidRPr="001F7594">
        <w:rPr>
          <w:b/>
          <w:lang w:val="fr-CA"/>
        </w:rPr>
        <w:t>OTTAWA</w:t>
      </w:r>
      <w:r w:rsidRPr="001F7594">
        <w:rPr>
          <w:lang w:val="fr-CA"/>
        </w:rPr>
        <w:t xml:space="preserve"> – </w:t>
      </w:r>
      <w:r w:rsidR="00CF5B82" w:rsidRPr="001F7594">
        <w:rPr>
          <w:lang w:val="fr-CA"/>
        </w:rPr>
        <w:t xml:space="preserve">La Cour suprême du Canada a rendu jugement dans l’appel suivant. La Cour vous invite à lire les </w:t>
      </w:r>
      <w:hyperlink r:id="rId9" w:history="1">
        <w:r w:rsidR="00CF5B82" w:rsidRPr="001F7594">
          <w:rPr>
            <w:rStyle w:val="Hyperlink"/>
            <w:lang w:val="fr-CA"/>
          </w:rPr>
          <w:t>motifs de jugement</w:t>
        </w:r>
      </w:hyperlink>
      <w:r w:rsidR="00CF5B82" w:rsidRPr="001F7594">
        <w:rPr>
          <w:lang w:val="fr-CA"/>
        </w:rPr>
        <w:t xml:space="preserve"> et le résumé </w:t>
      </w:r>
      <w:r w:rsidR="00AB6E08" w:rsidRPr="001F7594">
        <w:rPr>
          <w:lang w:val="fr-CA"/>
        </w:rPr>
        <w:t>en langage simple</w:t>
      </w:r>
      <w:r w:rsidR="00CF5B82" w:rsidRPr="001F7594">
        <w:rPr>
          <w:lang w:val="fr-CA"/>
        </w:rPr>
        <w:t xml:space="preserve"> appelé </w:t>
      </w:r>
      <w:hyperlink r:id="rId10" w:history="1">
        <w:r w:rsidR="00CF5B82" w:rsidRPr="001F7594">
          <w:rPr>
            <w:rStyle w:val="Hyperlink"/>
            <w:i/>
            <w:lang w:val="fr-CA"/>
          </w:rPr>
          <w:t>La cause en bref</w:t>
        </w:r>
      </w:hyperlink>
      <w:r w:rsidR="00CF5B82" w:rsidRPr="001F7594">
        <w:rPr>
          <w:lang w:val="fr-CA"/>
        </w:rPr>
        <w:t>.</w:t>
      </w:r>
    </w:p>
    <w:p w:rsidR="00DA7E05" w:rsidRPr="001F7594"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A579AD" w:rsidRPr="001F7594" w:rsidRDefault="00234A13" w:rsidP="001F7594">
      <w:pPr>
        <w:ind w:left="1440" w:hanging="1440"/>
        <w:jc w:val="both"/>
        <w:rPr>
          <w:rFonts w:eastAsiaTheme="minorHAnsi" w:cstheme="minorBidi"/>
          <w:sz w:val="20"/>
          <w:lang w:val="fr-CA"/>
        </w:rPr>
      </w:pPr>
      <w:r w:rsidRPr="001F7594">
        <w:rPr>
          <w:b/>
          <w:sz w:val="20"/>
          <w:lang w:val="fr-CA"/>
        </w:rPr>
        <w:t>400</w:t>
      </w:r>
      <w:r w:rsidR="00C319E2" w:rsidRPr="001F7594">
        <w:rPr>
          <w:b/>
          <w:sz w:val="20"/>
          <w:lang w:val="fr-CA"/>
        </w:rPr>
        <w:t>61</w:t>
      </w:r>
      <w:r w:rsidR="00A579AD" w:rsidRPr="001F7594">
        <w:rPr>
          <w:b/>
          <w:sz w:val="20"/>
        </w:rPr>
        <w:fldChar w:fldCharType="begin"/>
      </w:r>
      <w:r w:rsidR="00A579AD" w:rsidRPr="001F7594">
        <w:rPr>
          <w:b/>
          <w:sz w:val="20"/>
          <w:lang w:val="fr-CA"/>
        </w:rPr>
        <w:instrText xml:space="preserve"> SEQ CHAPTER \h \r 1</w:instrText>
      </w:r>
      <w:r w:rsidR="00A579AD" w:rsidRPr="001F7594">
        <w:rPr>
          <w:b/>
          <w:sz w:val="20"/>
        </w:rPr>
        <w:fldChar w:fldCharType="end"/>
      </w:r>
      <w:r w:rsidR="00A579AD" w:rsidRPr="001F7594">
        <w:rPr>
          <w:color w:val="FF0000"/>
          <w:sz w:val="20"/>
          <w:lang w:val="fr-CA"/>
        </w:rPr>
        <w:tab/>
      </w:r>
      <w:r w:rsidRPr="001F7594">
        <w:rPr>
          <w:rFonts w:eastAsiaTheme="minorHAnsi" w:cstheme="minorBidi"/>
          <w:b/>
          <w:sz w:val="20"/>
          <w:lang w:val="fr-CA"/>
        </w:rPr>
        <w:t xml:space="preserve">Procureur </w:t>
      </w:r>
      <w:r w:rsidR="008C1277" w:rsidRPr="001F7594">
        <w:rPr>
          <w:rFonts w:eastAsiaTheme="minorHAnsi" w:cstheme="minorBidi"/>
          <w:b/>
          <w:sz w:val="20"/>
          <w:lang w:val="fr-CA"/>
        </w:rPr>
        <w:t xml:space="preserve">général du Québec </w:t>
      </w:r>
      <w:r w:rsidR="00722CCE" w:rsidRPr="001F7594">
        <w:rPr>
          <w:rFonts w:eastAsiaTheme="minorHAnsi" w:cstheme="minorBidi"/>
          <w:b/>
          <w:sz w:val="20"/>
          <w:lang w:val="fr-CA"/>
        </w:rPr>
        <w:t>c</w:t>
      </w:r>
      <w:r w:rsidR="00A579AD" w:rsidRPr="001F7594">
        <w:rPr>
          <w:rFonts w:eastAsiaTheme="minorHAnsi" w:cstheme="minorBidi"/>
          <w:b/>
          <w:sz w:val="20"/>
          <w:lang w:val="fr-CA"/>
        </w:rPr>
        <w:t xml:space="preserve">. </w:t>
      </w:r>
      <w:r w:rsidR="001F7594" w:rsidRPr="001F7594">
        <w:rPr>
          <w:rFonts w:eastAsiaTheme="minorHAnsi" w:cstheme="minorBidi"/>
          <w:b/>
          <w:sz w:val="20"/>
          <w:lang w:val="fr-CA"/>
        </w:rPr>
        <w:t>Procureur général du Canada, Assemblée des Premières Nations Québec-Labrador, Commission de la santé et des services sociaux des Premières Nations du Québec et du Labrador, Société Makivik, Assemblée des Premières Nations, Aseniwuche Winewak Nation of Canada et Société de soutien à l’enfance et à la famille des Premières Nations du Canada</w:t>
      </w:r>
      <w:r w:rsidRPr="001F7594">
        <w:rPr>
          <w:rFonts w:eastAsiaTheme="minorHAnsi" w:cstheme="minorBidi"/>
          <w:b/>
          <w:sz w:val="20"/>
          <w:lang w:val="fr-CA"/>
        </w:rPr>
        <w:t xml:space="preserve"> </w:t>
      </w:r>
      <w:r w:rsidR="008C1277" w:rsidRPr="001F7594">
        <w:rPr>
          <w:rFonts w:eastAsiaTheme="minorHAnsi" w:cstheme="minorBidi"/>
          <w:b/>
          <w:sz w:val="20"/>
          <w:lang w:val="fr-CA"/>
        </w:rPr>
        <w:t>-</w:t>
      </w:r>
      <w:r w:rsidR="005352CD" w:rsidRPr="001F7594">
        <w:rPr>
          <w:rFonts w:eastAsiaTheme="minorHAnsi" w:cstheme="minorBidi"/>
          <w:b/>
          <w:sz w:val="20"/>
          <w:lang w:val="fr-CA"/>
        </w:rPr>
        <w:t xml:space="preserve"> et</w:t>
      </w:r>
      <w:r w:rsidR="008C1277" w:rsidRPr="001F7594">
        <w:rPr>
          <w:rFonts w:eastAsiaTheme="minorHAnsi" w:cstheme="minorBidi"/>
          <w:b/>
          <w:sz w:val="20"/>
          <w:lang w:val="fr-CA"/>
        </w:rPr>
        <w:t xml:space="preserve"> entre</w:t>
      </w:r>
      <w:r w:rsidR="005352CD" w:rsidRPr="001F7594">
        <w:rPr>
          <w:rFonts w:eastAsiaTheme="minorHAnsi" w:cstheme="minorBidi"/>
          <w:b/>
          <w:sz w:val="20"/>
          <w:lang w:val="fr-CA"/>
        </w:rPr>
        <w:t xml:space="preserve"> - </w:t>
      </w:r>
      <w:r w:rsidR="008C1277" w:rsidRPr="001F7594">
        <w:rPr>
          <w:rFonts w:eastAsiaTheme="minorHAnsi" w:cstheme="minorBidi"/>
          <w:b/>
          <w:sz w:val="20"/>
          <w:lang w:val="fr-CA"/>
        </w:rPr>
        <w:t xml:space="preserve">Procureur général du Canada c. Procureur général du Québec - et - </w:t>
      </w:r>
      <w:r w:rsidR="001F7594" w:rsidRPr="001F7594">
        <w:rPr>
          <w:rFonts w:eastAsiaTheme="minorHAnsi" w:cstheme="minorBidi"/>
          <w:b/>
          <w:sz w:val="20"/>
          <w:lang w:val="fr-CA"/>
        </w:rPr>
        <w:t>Procureur général du Manitoba, procureur général de la Colombie-Britannique, procureur général de l’Alberta, procureur général des Territoires du Nord-Ouest, Société de soutien à l’enfance et à la famille des Premières Nations du Canada, Aseniwuche Winewak Nation of Canada, Assemblée des Premières Nations, Société Makivik, Assemblée des Premières Nations Québec-Labrador, Commission de la santé et des services sociaux des Premières Nations du Québec et du Labrador, Grand Council of Treaty #3, Innu Takuaikan Uashat Mak Mani-Utenam, Federation of Sovereign Indigenous Nations, Peguis Child and Family Services, Association des femmes autochtones du Canada, Council of Yukon First Nations, Indigenous Bar Association in Canada, Chiefs of Ontario, Inuvialuit Regional Corporation, Inuit Tapiriit Kanatami, Nunatsiavut Government, Nunavut Tunngavik Incorporated, NunanuKavut Community Council, Conseil consultatif des terres, Ralliement national des Métis, Métis Nation — Saskatchewan, Métis Nation of Alberta, Métis Nation Colombie-Britannique, Nation métisse de l’Ontario, Les Femmes Michif Otipemisiwak, Listuguj Mi’gmaq Government, Congrès des peuples autochtones, First Nations Family Advocate Office, Assemblée des chefs du Manitoba, First Nations of the Maa-Nulth Treaty Society, Tribal Chiefs Ventures Inc., Union of British Columbia Indian Chiefs, First Nations Summit of British Columbia, British Columbia Assembly of First Nations, David Asper Centre for Constitutional Rights, Regroupement Petapan, Canadian Constitution Foundation, Carrier Sekani Family Services Society, Cheslatta Carrier Nation, Nadleh Whuten, Saik’uz First Nation, Stellat’en First Nation, Conseil des Atikamekw d’Opitciwan, Vancouver Aboriginal Child and Family Services Society et Nishnawbe Aski Nation</w:t>
      </w:r>
      <w:r w:rsidR="00A579AD" w:rsidRPr="001F7594">
        <w:rPr>
          <w:rFonts w:eastAsiaTheme="minorHAnsi" w:cstheme="minorBidi"/>
          <w:b/>
          <w:sz w:val="20"/>
          <w:lang w:val="fr-CA"/>
        </w:rPr>
        <w:t xml:space="preserve"> </w:t>
      </w:r>
      <w:r w:rsidR="00A579AD" w:rsidRPr="001F7594">
        <w:rPr>
          <w:rFonts w:eastAsiaTheme="minorHAnsi" w:cstheme="minorBidi"/>
          <w:iCs/>
          <w:sz w:val="20"/>
          <w:lang w:val="fr-CA"/>
        </w:rPr>
        <w:t>(</w:t>
      </w:r>
      <w:r w:rsidR="00B510CF" w:rsidRPr="001F7594">
        <w:rPr>
          <w:rFonts w:eastAsiaTheme="minorHAnsi" w:cstheme="minorBidi"/>
          <w:iCs/>
          <w:sz w:val="20"/>
          <w:lang w:val="fr-CA"/>
        </w:rPr>
        <w:t>Qc</w:t>
      </w:r>
      <w:r w:rsidR="00A579AD" w:rsidRPr="001F7594">
        <w:rPr>
          <w:rFonts w:eastAsiaTheme="minorHAnsi" w:cstheme="minorBidi"/>
          <w:iCs/>
          <w:sz w:val="20"/>
          <w:lang w:val="fr-CA"/>
        </w:rPr>
        <w:t>)</w:t>
      </w:r>
    </w:p>
    <w:p w:rsidR="00A579AD" w:rsidRPr="001F7594"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1F7594">
        <w:rPr>
          <w:rFonts w:eastAsiaTheme="minorHAnsi" w:cstheme="minorBidi"/>
          <w:b/>
          <w:sz w:val="20"/>
          <w:lang w:val="fr-CA"/>
        </w:rPr>
        <w:t>20</w:t>
      </w:r>
      <w:r w:rsidR="009C1BB4" w:rsidRPr="001F7594">
        <w:rPr>
          <w:rFonts w:eastAsiaTheme="minorHAnsi" w:cstheme="minorBidi"/>
          <w:b/>
          <w:sz w:val="20"/>
          <w:lang w:val="fr-CA"/>
        </w:rPr>
        <w:t>2</w:t>
      </w:r>
      <w:r w:rsidR="00F06D19" w:rsidRPr="001F7594">
        <w:rPr>
          <w:rFonts w:eastAsiaTheme="minorHAnsi" w:cstheme="minorBidi"/>
          <w:b/>
          <w:sz w:val="20"/>
          <w:lang w:val="fr-CA"/>
        </w:rPr>
        <w:t>4</w:t>
      </w:r>
      <w:r w:rsidRPr="001F7594">
        <w:rPr>
          <w:rFonts w:eastAsiaTheme="minorHAnsi" w:cstheme="minorBidi"/>
          <w:b/>
          <w:sz w:val="20"/>
          <w:lang w:val="fr-CA"/>
        </w:rPr>
        <w:t xml:space="preserve"> CSC </w:t>
      </w:r>
      <w:r w:rsidR="00C319E2" w:rsidRPr="001F7594">
        <w:rPr>
          <w:rFonts w:eastAsiaTheme="minorHAnsi" w:cstheme="minorBidi"/>
          <w:b/>
          <w:sz w:val="20"/>
          <w:lang w:val="fr-CA"/>
        </w:rPr>
        <w:t>5</w:t>
      </w:r>
    </w:p>
    <w:p w:rsidR="00A579AD" w:rsidRPr="001F7594" w:rsidRDefault="00A579AD" w:rsidP="00A579AD">
      <w:pPr>
        <w:ind w:left="1440" w:hanging="1440"/>
        <w:jc w:val="both"/>
        <w:rPr>
          <w:sz w:val="20"/>
          <w:lang w:val="fr-CA"/>
        </w:rPr>
      </w:pPr>
    </w:p>
    <w:p w:rsidR="00E70748" w:rsidRPr="001F7594" w:rsidRDefault="00A579AD" w:rsidP="00234A13">
      <w:pPr>
        <w:ind w:left="1440" w:hanging="1440"/>
        <w:rPr>
          <w:sz w:val="20"/>
          <w:lang w:val="fr-CA"/>
        </w:rPr>
      </w:pPr>
      <w:r w:rsidRPr="001F7594">
        <w:rPr>
          <w:sz w:val="20"/>
          <w:lang w:val="fr-CA"/>
        </w:rPr>
        <w:t>Coram:</w:t>
      </w:r>
      <w:r w:rsidRPr="001F7594">
        <w:rPr>
          <w:sz w:val="20"/>
          <w:lang w:val="fr-CA"/>
        </w:rPr>
        <w:tab/>
      </w:r>
      <w:r w:rsidR="005352CD" w:rsidRPr="001F7594">
        <w:rPr>
          <w:sz w:val="20"/>
          <w:lang w:val="fr-CA"/>
        </w:rPr>
        <w:t xml:space="preserve">Le juge en chef Wagner </w:t>
      </w:r>
      <w:r w:rsidR="008C1277" w:rsidRPr="001F7594">
        <w:rPr>
          <w:sz w:val="20"/>
          <w:lang w:val="fr-CA"/>
        </w:rPr>
        <w:t>et les juges Karakatsanis, Côté, Brown*, Rowe, Martin, Kasirer, Jamal et O’Bonsawin</w:t>
      </w:r>
    </w:p>
    <w:p w:rsidR="00234A13" w:rsidRPr="001F7594" w:rsidRDefault="00234A13" w:rsidP="00234A13">
      <w:pPr>
        <w:ind w:left="1440" w:hanging="1440"/>
        <w:rPr>
          <w:sz w:val="20"/>
          <w:lang w:val="fr-CA"/>
        </w:rPr>
      </w:pPr>
    </w:p>
    <w:p w:rsidR="00A579AD" w:rsidRPr="001F7594" w:rsidRDefault="001F7594" w:rsidP="00A579AD">
      <w:pPr>
        <w:widowControl w:val="0"/>
        <w:jc w:val="both"/>
        <w:outlineLvl w:val="0"/>
        <w:rPr>
          <w:rFonts w:ascii="Helvetica Neue" w:hAnsi="Helvetica Neue"/>
          <w:color w:val="000000"/>
          <w:sz w:val="20"/>
          <w:lang w:val="fr-CA"/>
        </w:rPr>
      </w:pPr>
      <w:r w:rsidRPr="001F7594">
        <w:rPr>
          <w:sz w:val="20"/>
        </w:rPr>
        <w:t xml:space="preserve">L’appel interjeté par le procureur général du Québec et l’appel interjeté par le procureur général du Canada contre l’arrêt de la Cour d’appel du Québec (Montréal), numéro 500-09-028751-196, </w:t>
      </w:r>
      <w:r w:rsidRPr="001F7594">
        <w:rPr>
          <w:rStyle w:val="Hyperlink"/>
          <w:color w:val="auto"/>
          <w:sz w:val="20"/>
          <w:u w:val="none"/>
        </w:rPr>
        <w:t>2022 QCCA 185</w:t>
      </w:r>
      <w:r w:rsidRPr="001F7594">
        <w:rPr>
          <w:sz w:val="20"/>
        </w:rPr>
        <w:t xml:space="preserve">, daté du 10 février 2022, entendus les 7 et 8 décembre 2022, sont respectivement rejeté et accueilli. La </w:t>
      </w:r>
      <w:r w:rsidRPr="001F7594">
        <w:rPr>
          <w:i/>
          <w:sz w:val="20"/>
        </w:rPr>
        <w:t>Loi concernant les enfants, les jeunes et les familles des Premières Nations, des Inuits et des Métis</w:t>
      </w:r>
      <w:r w:rsidRPr="001F7594">
        <w:rPr>
          <w:sz w:val="20"/>
        </w:rPr>
        <w:t>, L.C. 2019, c. 24,</w:t>
      </w:r>
      <w:r w:rsidRPr="001F7594">
        <w:rPr>
          <w:i/>
          <w:sz w:val="20"/>
        </w:rPr>
        <w:t xml:space="preserve"> </w:t>
      </w:r>
      <w:r w:rsidRPr="001F7594">
        <w:rPr>
          <w:sz w:val="20"/>
        </w:rPr>
        <w:t xml:space="preserve">n’est pas </w:t>
      </w:r>
      <w:r w:rsidRPr="001F7594">
        <w:rPr>
          <w:i/>
          <w:sz w:val="20"/>
        </w:rPr>
        <w:t>ultra vires</w:t>
      </w:r>
      <w:r w:rsidRPr="001F7594">
        <w:rPr>
          <w:sz w:val="20"/>
        </w:rPr>
        <w:t xml:space="preserve"> de la compétence du Parlement du Canada en vertu de la Constitution du Canada.</w:t>
      </w:r>
    </w:p>
    <w:p w:rsidR="008C1277" w:rsidRPr="001F7594" w:rsidRDefault="008C1277" w:rsidP="00A579AD">
      <w:pPr>
        <w:widowControl w:val="0"/>
        <w:jc w:val="both"/>
        <w:outlineLvl w:val="0"/>
        <w:rPr>
          <w:rFonts w:ascii="Helvetica Neue" w:hAnsi="Helvetica Neue"/>
          <w:color w:val="000000"/>
          <w:sz w:val="20"/>
          <w:lang w:val="fr-CA"/>
        </w:rPr>
      </w:pPr>
    </w:p>
    <w:p w:rsidR="008C1277" w:rsidRPr="001F7594" w:rsidRDefault="008C1277" w:rsidP="00A579AD">
      <w:pPr>
        <w:widowControl w:val="0"/>
        <w:jc w:val="both"/>
        <w:outlineLvl w:val="0"/>
        <w:rPr>
          <w:sz w:val="20"/>
          <w:lang w:val="fr-CA"/>
        </w:rPr>
      </w:pPr>
      <w:r w:rsidRPr="001F7594">
        <w:rPr>
          <w:sz w:val="20"/>
          <w:lang w:val="fr-CA"/>
        </w:rPr>
        <w:t>* Le juge Brown n’a pas participé au dispositif final du jugement.</w:t>
      </w:r>
    </w:p>
    <w:p w:rsidR="00D33E92" w:rsidRPr="001F7594" w:rsidRDefault="00D33E92" w:rsidP="00A579AD">
      <w:pPr>
        <w:widowControl w:val="0"/>
        <w:jc w:val="both"/>
        <w:outlineLvl w:val="0"/>
        <w:rPr>
          <w:sz w:val="20"/>
          <w:lang w:val="fr-CA"/>
        </w:rPr>
      </w:pPr>
    </w:p>
    <w:p w:rsidR="00B92F8C" w:rsidRPr="001F7594" w:rsidRDefault="001F7594" w:rsidP="00A579AD">
      <w:pPr>
        <w:widowControl w:val="0"/>
        <w:jc w:val="both"/>
        <w:outlineLvl w:val="0"/>
        <w:rPr>
          <w:sz w:val="20"/>
          <w:lang w:val="fr-CA"/>
        </w:rPr>
      </w:pPr>
      <w:r w:rsidRPr="001F7594">
        <w:rPr>
          <w:sz w:val="20"/>
        </w:rPr>
        <w:pict>
          <v:rect id="_x0000_i1026" style="width:2in;height:1pt" o:hrpct="0" o:hralign="center" o:hrstd="t" o:hrnoshade="t" o:hr="t" fillcolor="black [3213]" stroked="f"/>
        </w:pict>
      </w:r>
    </w:p>
    <w:p w:rsidR="00BD2FF5" w:rsidRPr="001F7594" w:rsidRDefault="00BD2FF5" w:rsidP="00F71561">
      <w:pPr>
        <w:widowControl w:val="0"/>
        <w:jc w:val="both"/>
        <w:outlineLvl w:val="0"/>
        <w:rPr>
          <w:sz w:val="20"/>
          <w:lang w:val="fr-CA"/>
        </w:rPr>
      </w:pPr>
    </w:p>
    <w:p w:rsidR="00E653A8" w:rsidRPr="001F7594" w:rsidRDefault="00E653A8" w:rsidP="00F71561">
      <w:pPr>
        <w:widowControl w:val="0"/>
        <w:jc w:val="both"/>
        <w:outlineLvl w:val="0"/>
        <w:rPr>
          <w:sz w:val="20"/>
          <w:lang w:val="fr-CA"/>
        </w:rPr>
      </w:pPr>
    </w:p>
    <w:p w:rsidR="00E653A8" w:rsidRPr="001F7594" w:rsidRDefault="00E653A8" w:rsidP="00F71561">
      <w:pPr>
        <w:widowControl w:val="0"/>
        <w:jc w:val="both"/>
        <w:outlineLvl w:val="0"/>
        <w:rPr>
          <w:sz w:val="20"/>
          <w:lang w:val="fr-CA"/>
        </w:rPr>
      </w:pPr>
    </w:p>
    <w:p w:rsidR="00DF33A9" w:rsidRPr="001F7594" w:rsidRDefault="00DF33A9" w:rsidP="00DF33A9">
      <w:pPr>
        <w:widowControl w:val="0"/>
        <w:outlineLvl w:val="0"/>
      </w:pPr>
      <w:r w:rsidRPr="001F7594">
        <w:t xml:space="preserve">Supreme Court of Canada / Cour suprême du </w:t>
      </w:r>
      <w:proofErr w:type="gramStart"/>
      <w:r w:rsidRPr="001F7594">
        <w:t>Canada :</w:t>
      </w:r>
      <w:proofErr w:type="gramEnd"/>
      <w:r w:rsidRPr="001F7594">
        <w:t xml:space="preserve"> </w:t>
      </w:r>
    </w:p>
    <w:p w:rsidR="00A37AD6" w:rsidRPr="001F7594" w:rsidRDefault="001F7594" w:rsidP="00A37AD6">
      <w:pPr>
        <w:widowControl w:val="0"/>
        <w:outlineLvl w:val="0"/>
      </w:pPr>
      <w:hyperlink r:id="rId11" w:history="1">
        <w:r w:rsidR="00A37AD6" w:rsidRPr="001F7594">
          <w:rPr>
            <w:rStyle w:val="Hyperlink"/>
          </w:rPr>
          <w:t>Registry-greffe@scc-csc.ca</w:t>
        </w:r>
      </w:hyperlink>
    </w:p>
    <w:p w:rsidR="00DF33A9" w:rsidRDefault="00A37AD6" w:rsidP="00A37AD6">
      <w:pPr>
        <w:widowControl w:val="0"/>
        <w:outlineLvl w:val="0"/>
      </w:pPr>
      <w:r w:rsidRPr="001F7594">
        <w:t>1-844-365-9662</w:t>
      </w:r>
      <w:bookmarkStart w:id="1" w:name="_GoBack"/>
      <w:bookmarkEnd w:id="1"/>
    </w:p>
    <w:p w:rsidR="00234A13" w:rsidRDefault="00234A13" w:rsidP="00A37AD6">
      <w:pPr>
        <w:widowControl w:val="0"/>
        <w:outlineLvl w:val="0"/>
      </w:pPr>
    </w:p>
    <w:p w:rsidR="00234A13" w:rsidRPr="00FF03D5" w:rsidRDefault="00234A13" w:rsidP="00A37AD6">
      <w:pPr>
        <w:widowControl w:val="0"/>
        <w:outlineLvl w:val="0"/>
      </w:pPr>
    </w:p>
    <w:sectPr w:rsidR="00234A13" w:rsidRPr="00FF03D5"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EA0" w:rsidRDefault="00995EA0" w:rsidP="0034178A">
      <w:r>
        <w:separator/>
      </w:r>
    </w:p>
  </w:endnote>
  <w:endnote w:type="continuationSeparator" w:id="0">
    <w:p w:rsidR="00995EA0" w:rsidRDefault="00995EA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EA0" w:rsidRDefault="00995EA0" w:rsidP="0034178A">
      <w:r>
        <w:separator/>
      </w:r>
    </w:p>
  </w:footnote>
  <w:footnote w:type="continuationSeparator" w:id="0">
    <w:p w:rsidR="00995EA0" w:rsidRDefault="00995EA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A0"/>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2F14"/>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5F17"/>
    <w:rsid w:val="000A64E7"/>
    <w:rsid w:val="000B163F"/>
    <w:rsid w:val="000B1CC1"/>
    <w:rsid w:val="000B209D"/>
    <w:rsid w:val="000B7258"/>
    <w:rsid w:val="000C0E20"/>
    <w:rsid w:val="000C14E9"/>
    <w:rsid w:val="000C182C"/>
    <w:rsid w:val="000C18EC"/>
    <w:rsid w:val="000C3667"/>
    <w:rsid w:val="000C4004"/>
    <w:rsid w:val="000C5A95"/>
    <w:rsid w:val="000C62E9"/>
    <w:rsid w:val="000D0506"/>
    <w:rsid w:val="000D0522"/>
    <w:rsid w:val="000D3129"/>
    <w:rsid w:val="000E13A5"/>
    <w:rsid w:val="000E17BD"/>
    <w:rsid w:val="000E3027"/>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1A13"/>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4929"/>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5941"/>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203"/>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1F7594"/>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2277"/>
    <w:rsid w:val="00233057"/>
    <w:rsid w:val="00234A13"/>
    <w:rsid w:val="00234A3D"/>
    <w:rsid w:val="00235DB1"/>
    <w:rsid w:val="00237F34"/>
    <w:rsid w:val="002407C6"/>
    <w:rsid w:val="0024227A"/>
    <w:rsid w:val="002439DA"/>
    <w:rsid w:val="00244CDD"/>
    <w:rsid w:val="00245D73"/>
    <w:rsid w:val="00246C0E"/>
    <w:rsid w:val="0024725C"/>
    <w:rsid w:val="002514CA"/>
    <w:rsid w:val="002517D5"/>
    <w:rsid w:val="00252FDB"/>
    <w:rsid w:val="00253790"/>
    <w:rsid w:val="00254A42"/>
    <w:rsid w:val="0025566A"/>
    <w:rsid w:val="002567CD"/>
    <w:rsid w:val="0025713A"/>
    <w:rsid w:val="00257811"/>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3FA6"/>
    <w:rsid w:val="002E519A"/>
    <w:rsid w:val="002E6421"/>
    <w:rsid w:val="002F06D0"/>
    <w:rsid w:val="002F26C8"/>
    <w:rsid w:val="002F2850"/>
    <w:rsid w:val="002F3830"/>
    <w:rsid w:val="002F3FF9"/>
    <w:rsid w:val="002F402B"/>
    <w:rsid w:val="002F4929"/>
    <w:rsid w:val="002F6C34"/>
    <w:rsid w:val="002F7DDE"/>
    <w:rsid w:val="002F7E97"/>
    <w:rsid w:val="003012A2"/>
    <w:rsid w:val="00301AF7"/>
    <w:rsid w:val="00304C4E"/>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3ECA"/>
    <w:rsid w:val="003742F5"/>
    <w:rsid w:val="00375A1F"/>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5752"/>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5AC3"/>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0774"/>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2CD"/>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191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4AE"/>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57683"/>
    <w:rsid w:val="00662B7E"/>
    <w:rsid w:val="00664E1D"/>
    <w:rsid w:val="00666AB5"/>
    <w:rsid w:val="00666BA1"/>
    <w:rsid w:val="00670A91"/>
    <w:rsid w:val="00671A3B"/>
    <w:rsid w:val="006721DF"/>
    <w:rsid w:val="00672A20"/>
    <w:rsid w:val="00674808"/>
    <w:rsid w:val="00674CE6"/>
    <w:rsid w:val="00675EF6"/>
    <w:rsid w:val="0067721C"/>
    <w:rsid w:val="00677979"/>
    <w:rsid w:val="006806FC"/>
    <w:rsid w:val="00682F2E"/>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00C"/>
    <w:rsid w:val="006F2579"/>
    <w:rsid w:val="006F5667"/>
    <w:rsid w:val="006F719B"/>
    <w:rsid w:val="0070251F"/>
    <w:rsid w:val="00704CDE"/>
    <w:rsid w:val="0070582E"/>
    <w:rsid w:val="00706495"/>
    <w:rsid w:val="00710FE2"/>
    <w:rsid w:val="00711C71"/>
    <w:rsid w:val="00713F51"/>
    <w:rsid w:val="007209A6"/>
    <w:rsid w:val="007226F3"/>
    <w:rsid w:val="00722CCE"/>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4A7"/>
    <w:rsid w:val="00775FEC"/>
    <w:rsid w:val="00776D7F"/>
    <w:rsid w:val="00777096"/>
    <w:rsid w:val="007771AF"/>
    <w:rsid w:val="00782126"/>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60D8"/>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A8A"/>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77"/>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067A6"/>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67D69"/>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5EA0"/>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37AD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193"/>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B6E08"/>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0879"/>
    <w:rsid w:val="00B33FC9"/>
    <w:rsid w:val="00B34E1F"/>
    <w:rsid w:val="00B35194"/>
    <w:rsid w:val="00B36C97"/>
    <w:rsid w:val="00B37AAA"/>
    <w:rsid w:val="00B37C41"/>
    <w:rsid w:val="00B4078C"/>
    <w:rsid w:val="00B4191E"/>
    <w:rsid w:val="00B42C6D"/>
    <w:rsid w:val="00B4516E"/>
    <w:rsid w:val="00B45B27"/>
    <w:rsid w:val="00B50047"/>
    <w:rsid w:val="00B506D3"/>
    <w:rsid w:val="00B510CF"/>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E2"/>
    <w:rsid w:val="00C319FB"/>
    <w:rsid w:val="00C31C5A"/>
    <w:rsid w:val="00C3269C"/>
    <w:rsid w:val="00C342CA"/>
    <w:rsid w:val="00C34515"/>
    <w:rsid w:val="00C34D9A"/>
    <w:rsid w:val="00C36C08"/>
    <w:rsid w:val="00C36FF2"/>
    <w:rsid w:val="00C412AD"/>
    <w:rsid w:val="00C419F7"/>
    <w:rsid w:val="00C4360A"/>
    <w:rsid w:val="00C45197"/>
    <w:rsid w:val="00C45F01"/>
    <w:rsid w:val="00C4698C"/>
    <w:rsid w:val="00C47729"/>
    <w:rsid w:val="00C478AB"/>
    <w:rsid w:val="00C5207F"/>
    <w:rsid w:val="00C52D21"/>
    <w:rsid w:val="00C559C0"/>
    <w:rsid w:val="00C5629E"/>
    <w:rsid w:val="00C573B1"/>
    <w:rsid w:val="00C63071"/>
    <w:rsid w:val="00C64192"/>
    <w:rsid w:val="00C64E75"/>
    <w:rsid w:val="00C65FD6"/>
    <w:rsid w:val="00C717C9"/>
    <w:rsid w:val="00C726AE"/>
    <w:rsid w:val="00C7351D"/>
    <w:rsid w:val="00C75878"/>
    <w:rsid w:val="00C75B57"/>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D6A"/>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5B8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3E92"/>
    <w:rsid w:val="00D36BE9"/>
    <w:rsid w:val="00D3722A"/>
    <w:rsid w:val="00D43F58"/>
    <w:rsid w:val="00D460FC"/>
    <w:rsid w:val="00D47829"/>
    <w:rsid w:val="00D50416"/>
    <w:rsid w:val="00D51901"/>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45CF"/>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0D5D"/>
    <w:rsid w:val="00E51BD8"/>
    <w:rsid w:val="00E5281C"/>
    <w:rsid w:val="00E5361B"/>
    <w:rsid w:val="00E54925"/>
    <w:rsid w:val="00E550C7"/>
    <w:rsid w:val="00E61029"/>
    <w:rsid w:val="00E6173D"/>
    <w:rsid w:val="00E61C4E"/>
    <w:rsid w:val="00E630C6"/>
    <w:rsid w:val="00E64CEE"/>
    <w:rsid w:val="00E653A8"/>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905"/>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06D19"/>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6C65"/>
    <w:rsid w:val="00FD76D1"/>
    <w:rsid w:val="00FD7F01"/>
    <w:rsid w:val="00FE38F2"/>
    <w:rsid w:val="00FE44CF"/>
    <w:rsid w:val="00FE471B"/>
    <w:rsid w:val="00FE4721"/>
    <w:rsid w:val="00FE4D2A"/>
    <w:rsid w:val="00FE4FD0"/>
    <w:rsid w:val="00FE6942"/>
    <w:rsid w:val="00FF03D5"/>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greffe@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20,%20Projet\Social%20Media\News%20Releases%202023\Examples_Aug302023\6%20-%20Process_Judgments%20on%20Appeals%20-%20Processus_Jugements%20sur%20appe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 Process_Judgments on Appeals - Processus_Jugements sur appels</Template>
  <TotalTime>0</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6783</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2023-12-28T19:25:00Z</dcterms:created>
  <dcterms:modified xsi:type="dcterms:W3CDTF">2024-02-07T14:45:00Z</dcterms:modified>
</cp:coreProperties>
</file>