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90763" w:rsidRDefault="002A192B" w:rsidP="002A192B">
      <w:pPr>
        <w:pStyle w:val="Header"/>
        <w:jc w:val="center"/>
        <w:rPr>
          <w:b/>
          <w:sz w:val="32"/>
        </w:rPr>
      </w:pPr>
      <w:r w:rsidRPr="00F90763">
        <w:rPr>
          <w:b/>
          <w:sz w:val="32"/>
        </w:rPr>
        <w:t>Supreme Court of Canada / Cour suprême du Canada</w:t>
      </w:r>
    </w:p>
    <w:p w:rsidR="002A192B" w:rsidRPr="00F90763" w:rsidRDefault="002A192B" w:rsidP="002A192B">
      <w:pPr>
        <w:widowControl w:val="0"/>
        <w:rPr>
          <w:i/>
        </w:rPr>
      </w:pPr>
    </w:p>
    <w:p w:rsidR="002A192B" w:rsidRPr="00F90763" w:rsidRDefault="002A192B" w:rsidP="002A192B">
      <w:pPr>
        <w:widowControl w:val="0"/>
        <w:rPr>
          <w:i/>
        </w:rPr>
      </w:pPr>
    </w:p>
    <w:p w:rsidR="001C4415" w:rsidRPr="00F90763" w:rsidRDefault="001C4415" w:rsidP="001C4415">
      <w:pPr>
        <w:widowControl w:val="0"/>
        <w:rPr>
          <w:i/>
          <w:sz w:val="20"/>
        </w:rPr>
      </w:pPr>
      <w:r w:rsidRPr="00F90763">
        <w:rPr>
          <w:i/>
          <w:sz w:val="20"/>
        </w:rPr>
        <w:t>(</w:t>
      </w:r>
      <w:r w:rsidR="003C50BF" w:rsidRPr="00F90763">
        <w:rPr>
          <w:i/>
          <w:sz w:val="20"/>
        </w:rPr>
        <w:t>Le</w:t>
      </w:r>
      <w:r w:rsidRPr="00F90763">
        <w:rPr>
          <w:i/>
          <w:sz w:val="20"/>
        </w:rPr>
        <w:t xml:space="preserve"> français suit)</w:t>
      </w:r>
    </w:p>
    <w:p w:rsidR="001C4415" w:rsidRPr="00F90763" w:rsidRDefault="001C4415" w:rsidP="001C4415">
      <w:pPr>
        <w:widowControl w:val="0"/>
      </w:pPr>
    </w:p>
    <w:p w:rsidR="001C4415" w:rsidRPr="00F90763" w:rsidRDefault="000347C1" w:rsidP="00214729">
      <w:pPr>
        <w:widowControl w:val="0"/>
        <w:jc w:val="center"/>
        <w:rPr>
          <w:b/>
        </w:rPr>
      </w:pPr>
      <w:r w:rsidRPr="00F90763">
        <w:fldChar w:fldCharType="begin"/>
      </w:r>
      <w:r w:rsidR="00FA7412" w:rsidRPr="00F90763">
        <w:instrText xml:space="preserve"> SEQ CHAPTER \h \r 1</w:instrText>
      </w:r>
      <w:r w:rsidRPr="00F90763">
        <w:fldChar w:fldCharType="end"/>
      </w:r>
      <w:r w:rsidR="00455BB9" w:rsidRPr="00F90763">
        <w:rPr>
          <w:b/>
        </w:rPr>
        <w:t>JUDGMENT</w:t>
      </w:r>
      <w:r w:rsidR="00422676" w:rsidRPr="00F90763">
        <w:rPr>
          <w:b/>
        </w:rPr>
        <w:t>S</w:t>
      </w:r>
      <w:r w:rsidR="00FA7412" w:rsidRPr="00F90763">
        <w:rPr>
          <w:b/>
        </w:rPr>
        <w:t xml:space="preserve"> TO BE RENDERED </w:t>
      </w:r>
      <w:r w:rsidR="00E43F22" w:rsidRPr="00F90763">
        <w:rPr>
          <w:b/>
        </w:rPr>
        <w:t>O</w:t>
      </w:r>
      <w:r w:rsidR="00FA7412" w:rsidRPr="00F90763">
        <w:rPr>
          <w:b/>
        </w:rPr>
        <w:t>N APPEA</w:t>
      </w:r>
      <w:r w:rsidR="00CC2799" w:rsidRPr="00F90763">
        <w:rPr>
          <w:b/>
        </w:rPr>
        <w:t>L</w:t>
      </w:r>
      <w:r w:rsidR="00422676" w:rsidRPr="00F90763">
        <w:rPr>
          <w:b/>
        </w:rPr>
        <w:t>S</w:t>
      </w:r>
    </w:p>
    <w:p w:rsidR="005A7C1B" w:rsidRPr="00F90763" w:rsidRDefault="005A7C1B" w:rsidP="005A7C1B">
      <w:pPr>
        <w:widowControl w:val="0"/>
      </w:pPr>
    </w:p>
    <w:p w:rsidR="00EC79B0" w:rsidRPr="00F90763" w:rsidRDefault="00497AF2" w:rsidP="00EC79B0">
      <w:pPr>
        <w:widowControl w:val="0"/>
      </w:pPr>
      <w:r w:rsidRPr="00F90763">
        <w:rPr>
          <w:b/>
        </w:rPr>
        <w:t>March</w:t>
      </w:r>
      <w:r w:rsidR="00C86395" w:rsidRPr="00F90763">
        <w:rPr>
          <w:b/>
        </w:rPr>
        <w:t xml:space="preserve"> </w:t>
      </w:r>
      <w:r w:rsidRPr="00F90763">
        <w:rPr>
          <w:b/>
        </w:rPr>
        <w:t>4</w:t>
      </w:r>
      <w:r w:rsidR="00EC79B0" w:rsidRPr="00F90763">
        <w:rPr>
          <w:b/>
        </w:rPr>
        <w:t>, 2</w:t>
      </w:r>
      <w:r w:rsidR="00E6600C" w:rsidRPr="00F90763">
        <w:rPr>
          <w:b/>
        </w:rPr>
        <w:t>0</w:t>
      </w:r>
      <w:r w:rsidR="009544E9" w:rsidRPr="00F90763">
        <w:rPr>
          <w:b/>
        </w:rPr>
        <w:t>2</w:t>
      </w:r>
      <w:r w:rsidRPr="00F90763">
        <w:rPr>
          <w:b/>
        </w:rPr>
        <w:t>4</w:t>
      </w:r>
    </w:p>
    <w:p w:rsidR="00EC79B0" w:rsidRPr="00F90763" w:rsidRDefault="00EC79B0" w:rsidP="00EC79B0">
      <w:pPr>
        <w:widowControl w:val="0"/>
      </w:pPr>
    </w:p>
    <w:p w:rsidR="00EC79B0" w:rsidRPr="00F90763" w:rsidRDefault="00EC79B0" w:rsidP="00EC79B0">
      <w:pPr>
        <w:widowControl w:val="0"/>
      </w:pPr>
      <w:r w:rsidRPr="00F90763">
        <w:rPr>
          <w:b/>
        </w:rPr>
        <w:t>OTTAWA</w:t>
      </w:r>
      <w:r w:rsidRPr="00F90763">
        <w:t xml:space="preserve"> – </w:t>
      </w:r>
      <w:r w:rsidR="0095505F" w:rsidRPr="00F90763">
        <w:t xml:space="preserve">The Supreme Court of Canada will deliver its judgment on the following appeals at 9:45 a.m. ET on Friday, </w:t>
      </w:r>
      <w:r w:rsidR="00497AF2" w:rsidRPr="00F90763">
        <w:t>March</w:t>
      </w:r>
      <w:r w:rsidR="0095505F" w:rsidRPr="00F90763">
        <w:t xml:space="preserve"> </w:t>
      </w:r>
      <w:r w:rsidR="00497AF2" w:rsidRPr="00F90763">
        <w:t>8</w:t>
      </w:r>
      <w:r w:rsidR="0095505F" w:rsidRPr="00F90763">
        <w:t>, 202</w:t>
      </w:r>
      <w:r w:rsidR="00497AF2" w:rsidRPr="00F90763">
        <w:t>4</w:t>
      </w:r>
      <w:r w:rsidR="0095505F" w:rsidRPr="00F90763">
        <w:t>.</w:t>
      </w:r>
    </w:p>
    <w:p w:rsidR="001F76DD" w:rsidRPr="00F90763" w:rsidRDefault="001F76DD" w:rsidP="001C4415">
      <w:pPr>
        <w:widowControl w:val="0"/>
        <w:rPr>
          <w:szCs w:val="24"/>
        </w:rPr>
      </w:pPr>
    </w:p>
    <w:p w:rsidR="00A97E61" w:rsidRPr="00F90763" w:rsidRDefault="00A97E61" w:rsidP="001C4415">
      <w:pPr>
        <w:widowControl w:val="0"/>
        <w:rPr>
          <w:szCs w:val="24"/>
        </w:rPr>
      </w:pPr>
    </w:p>
    <w:p w:rsidR="00A63AD0" w:rsidRPr="00F90763" w:rsidRDefault="00E0287B" w:rsidP="00A63AD0">
      <w:pPr>
        <w:jc w:val="both"/>
        <w:rPr>
          <w:szCs w:val="24"/>
        </w:rPr>
      </w:pPr>
      <w:r w:rsidRPr="00F90763">
        <w:rPr>
          <w:i/>
          <w:szCs w:val="24"/>
        </w:rPr>
        <w:t>His Majesty the King v. Christopher James Kruk</w:t>
      </w:r>
      <w:r w:rsidR="00A63AD0" w:rsidRPr="00F90763">
        <w:rPr>
          <w:i/>
          <w:szCs w:val="24"/>
        </w:rPr>
        <w:t xml:space="preserve"> </w:t>
      </w:r>
      <w:r w:rsidR="00A63AD0" w:rsidRPr="00F90763">
        <w:rPr>
          <w:szCs w:val="24"/>
        </w:rPr>
        <w:t>(</w:t>
      </w:r>
      <w:r w:rsidRPr="00F90763">
        <w:rPr>
          <w:szCs w:val="24"/>
        </w:rPr>
        <w:t>B.C</w:t>
      </w:r>
      <w:r w:rsidR="00A63AD0" w:rsidRPr="00F90763">
        <w:rPr>
          <w:szCs w:val="24"/>
        </w:rPr>
        <w:t>.) (</w:t>
      </w:r>
      <w:hyperlink r:id="rId7" w:history="1">
        <w:r w:rsidRPr="00F90763">
          <w:rPr>
            <w:rStyle w:val="Hyperlink"/>
            <w:szCs w:val="24"/>
          </w:rPr>
          <w:t>40095</w:t>
        </w:r>
      </w:hyperlink>
      <w:r w:rsidR="00A63AD0" w:rsidRPr="00F90763">
        <w:rPr>
          <w:szCs w:val="24"/>
        </w:rPr>
        <w:t>)</w:t>
      </w:r>
    </w:p>
    <w:p w:rsidR="00A63AD0" w:rsidRPr="00F90763" w:rsidRDefault="00A63AD0" w:rsidP="00A63AD0">
      <w:pPr>
        <w:jc w:val="both"/>
        <w:rPr>
          <w:sz w:val="20"/>
        </w:rPr>
      </w:pPr>
    </w:p>
    <w:p w:rsidR="00A63AD0" w:rsidRPr="00F90763" w:rsidRDefault="00E0287B" w:rsidP="00A63AD0">
      <w:pPr>
        <w:jc w:val="both"/>
        <w:rPr>
          <w:szCs w:val="24"/>
        </w:rPr>
      </w:pPr>
      <w:r w:rsidRPr="00F90763">
        <w:rPr>
          <w:i/>
          <w:szCs w:val="24"/>
        </w:rPr>
        <w:t>His Majesty the King v. Edwin Tsang</w:t>
      </w:r>
      <w:r w:rsidR="00A63AD0" w:rsidRPr="00F90763">
        <w:rPr>
          <w:i/>
          <w:szCs w:val="24"/>
        </w:rPr>
        <w:t xml:space="preserve"> </w:t>
      </w:r>
      <w:r w:rsidR="00A63AD0" w:rsidRPr="00F90763">
        <w:rPr>
          <w:szCs w:val="24"/>
        </w:rPr>
        <w:t>(</w:t>
      </w:r>
      <w:r w:rsidRPr="00F90763">
        <w:rPr>
          <w:szCs w:val="24"/>
        </w:rPr>
        <w:t>B.C.</w:t>
      </w:r>
      <w:r w:rsidR="00A63AD0" w:rsidRPr="00F90763">
        <w:rPr>
          <w:szCs w:val="24"/>
        </w:rPr>
        <w:t>) (</w:t>
      </w:r>
      <w:hyperlink r:id="rId8" w:history="1">
        <w:r w:rsidR="00A63AD0" w:rsidRPr="00F90763">
          <w:rPr>
            <w:rStyle w:val="Hyperlink"/>
            <w:szCs w:val="24"/>
          </w:rPr>
          <w:t>40</w:t>
        </w:r>
        <w:r w:rsidRPr="00F90763">
          <w:rPr>
            <w:rStyle w:val="Hyperlink"/>
            <w:szCs w:val="24"/>
          </w:rPr>
          <w:t>447</w:t>
        </w:r>
      </w:hyperlink>
      <w:r w:rsidR="00A63AD0" w:rsidRPr="00F90763">
        <w:rPr>
          <w:szCs w:val="24"/>
        </w:rPr>
        <w:t>)</w:t>
      </w:r>
    </w:p>
    <w:p w:rsidR="00A63AD0" w:rsidRPr="00F90763" w:rsidRDefault="00A63AD0" w:rsidP="00A63AD0">
      <w:pPr>
        <w:jc w:val="both"/>
        <w:rPr>
          <w:sz w:val="20"/>
        </w:rPr>
      </w:pPr>
    </w:p>
    <w:bookmarkStart w:id="0" w:name="1"/>
    <w:bookmarkEnd w:id="0"/>
    <w:p w:rsidR="00AE2FCD" w:rsidRPr="00F90763" w:rsidRDefault="00AE2FCD" w:rsidP="00CB4307">
      <w:pPr>
        <w:widowControl w:val="0"/>
        <w:tabs>
          <w:tab w:val="left" w:pos="720"/>
        </w:tabs>
        <w:ind w:left="1440" w:hanging="1440"/>
        <w:jc w:val="both"/>
        <w:rPr>
          <w:b/>
          <w:i/>
          <w:sz w:val="20"/>
          <w:lang w:val="en-CA"/>
        </w:rPr>
      </w:pPr>
      <w:r w:rsidRPr="00F90763">
        <w:rPr>
          <w:b/>
          <w:sz w:val="20"/>
          <w:lang w:val="en-CA"/>
        </w:rPr>
        <w:fldChar w:fldCharType="begin"/>
      </w:r>
      <w:r w:rsidRPr="00F90763">
        <w:rPr>
          <w:b/>
          <w:sz w:val="20"/>
        </w:rPr>
        <w:instrText xml:space="preserve"> SEQ CHAPTER \h \r 1</w:instrText>
      </w:r>
      <w:r w:rsidRPr="00F90763">
        <w:rPr>
          <w:b/>
          <w:sz w:val="20"/>
        </w:rPr>
        <w:fldChar w:fldCharType="end"/>
      </w:r>
      <w:r w:rsidRPr="00F90763">
        <w:rPr>
          <w:b/>
          <w:sz w:val="20"/>
          <w:lang w:val="en-CA"/>
        </w:rPr>
        <w:t>40095</w:t>
      </w:r>
      <w:r w:rsidRPr="00F90763">
        <w:rPr>
          <w:sz w:val="20"/>
          <w:lang w:val="en-CA"/>
        </w:rPr>
        <w:tab/>
      </w:r>
      <w:bookmarkStart w:id="1" w:name="3"/>
      <w:bookmarkEnd w:id="1"/>
      <w:r w:rsidRPr="00F90763">
        <w:rPr>
          <w:b/>
          <w:i/>
          <w:sz w:val="20"/>
          <w:lang w:val="en-CA"/>
        </w:rPr>
        <w:t xml:space="preserve">His Majesty the King v. </w:t>
      </w:r>
      <w:r w:rsidRPr="00F90763">
        <w:rPr>
          <w:b/>
          <w:i/>
          <w:sz w:val="20"/>
        </w:rPr>
        <w:t>Christopher James Kruk</w:t>
      </w:r>
    </w:p>
    <w:p w:rsidR="00AE2FCD" w:rsidRPr="00F90763" w:rsidRDefault="00AE2FCD" w:rsidP="00CB4307">
      <w:pPr>
        <w:widowControl w:val="0"/>
        <w:tabs>
          <w:tab w:val="left" w:pos="720"/>
        </w:tabs>
        <w:ind w:left="1440" w:hanging="1440"/>
        <w:jc w:val="both"/>
        <w:rPr>
          <w:sz w:val="20"/>
          <w:lang w:val="en-CA"/>
        </w:rPr>
      </w:pPr>
      <w:r w:rsidRPr="00F90763">
        <w:rPr>
          <w:sz w:val="20"/>
          <w:lang w:val="en-CA"/>
        </w:rPr>
        <w:tab/>
      </w:r>
      <w:r w:rsidRPr="00F90763">
        <w:rPr>
          <w:sz w:val="20"/>
        </w:rPr>
        <w:t>(B.C.) (Criminal) (By Leave)</w:t>
      </w:r>
    </w:p>
    <w:p w:rsidR="00AE2FCD" w:rsidRPr="00F90763" w:rsidRDefault="00AE2FCD">
      <w:pPr>
        <w:widowControl w:val="0"/>
        <w:jc w:val="both"/>
        <w:rPr>
          <w:sz w:val="20"/>
          <w:lang w:val="en-CA"/>
        </w:rPr>
      </w:pPr>
    </w:p>
    <w:p w:rsidR="00AE2FCD" w:rsidRPr="00F90763" w:rsidRDefault="00AE2FCD">
      <w:pPr>
        <w:widowControl w:val="0"/>
        <w:jc w:val="both"/>
        <w:rPr>
          <w:sz w:val="20"/>
          <w:lang w:val="en-CA"/>
        </w:rPr>
      </w:pPr>
      <w:r w:rsidRPr="00F90763">
        <w:rPr>
          <w:sz w:val="20"/>
          <w:lang w:val="en-CA"/>
        </w:rPr>
        <w:t>(</w:t>
      </w:r>
      <w:r w:rsidRPr="00F90763">
        <w:rPr>
          <w:sz w:val="20"/>
        </w:rPr>
        <w:t>PUBLICATION BAN IN CASE)</w:t>
      </w:r>
    </w:p>
    <w:p w:rsidR="00AE2FCD" w:rsidRPr="00F90763" w:rsidRDefault="00AE2FCD">
      <w:pPr>
        <w:widowControl w:val="0"/>
        <w:jc w:val="both"/>
        <w:rPr>
          <w:sz w:val="20"/>
          <w:lang w:val="en-CA"/>
        </w:rPr>
      </w:pPr>
    </w:p>
    <w:p w:rsidR="00AE2FCD" w:rsidRPr="00F90763" w:rsidRDefault="00AE2FCD" w:rsidP="006245D3">
      <w:pPr>
        <w:jc w:val="both"/>
        <w:rPr>
          <w:sz w:val="20"/>
        </w:rPr>
      </w:pPr>
      <w:r w:rsidRPr="00F90763">
        <w:rPr>
          <w:sz w:val="20"/>
        </w:rPr>
        <w:t>Criminal law — Trial — Judgments — Sexual assault — Whether the Court of Appeal erred in concluding that the trial judge relied on speculative reasoning in accepting the complainant’s evidence — Whether there was no merit to the respondent’s alternate argument regarding alleged misapprehensions of evidence, and the appropriate remedy was to restore the conviction.</w:t>
      </w:r>
    </w:p>
    <w:p w:rsidR="00AE2FCD" w:rsidRPr="00F90763" w:rsidRDefault="00AE2FCD">
      <w:pPr>
        <w:widowControl w:val="0"/>
        <w:jc w:val="both"/>
        <w:rPr>
          <w:sz w:val="20"/>
          <w:lang w:val="en-CA"/>
        </w:rPr>
      </w:pPr>
    </w:p>
    <w:p w:rsidR="00AE2FCD" w:rsidRPr="00F90763" w:rsidRDefault="00AE2FCD" w:rsidP="00CB4307">
      <w:pPr>
        <w:jc w:val="both"/>
        <w:rPr>
          <w:sz w:val="20"/>
          <w:lang w:val="en-CA"/>
        </w:rPr>
      </w:pPr>
      <w:r w:rsidRPr="00F90763">
        <w:rPr>
          <w:color w:val="000000"/>
          <w:sz w:val="20"/>
        </w:rPr>
        <w:t>The complainant was intoxicated, and eventually passed out or fell asleep in the respondent’s bedroom. She testified that she woke up to find the respondent on top of her with his penis inside her vagina. The respondent denied having sex with the complainant.</w:t>
      </w:r>
      <w:r w:rsidRPr="00F90763">
        <w:rPr>
          <w:sz w:val="20"/>
        </w:rPr>
        <w:t xml:space="preserve"> The respondent was convicted of sexual assault. The Court of Appeal allowed the respondent’s appeal, set aside the conviction, and ordered a new trial.</w:t>
      </w:r>
    </w:p>
    <w:p w:rsidR="00172A9C" w:rsidRPr="00F90763" w:rsidRDefault="00172A9C" w:rsidP="00172A9C">
      <w:pPr>
        <w:jc w:val="both"/>
        <w:rPr>
          <w:sz w:val="20"/>
          <w:lang w:val="en-CA"/>
        </w:rPr>
      </w:pPr>
    </w:p>
    <w:p w:rsidR="00172A9C" w:rsidRPr="00F90763" w:rsidRDefault="00F90763" w:rsidP="00172A9C">
      <w:pPr>
        <w:jc w:val="both"/>
        <w:rPr>
          <w:sz w:val="20"/>
          <w:lang w:val="en-CA"/>
        </w:rPr>
      </w:pPr>
      <w:r w:rsidRPr="00F90763">
        <w:rPr>
          <w:sz w:val="20"/>
        </w:rPr>
        <w:pict>
          <v:rect id="_x0000_i1025" style="width:2in;height:1pt" o:hrpct="0" o:hralign="center" o:hrstd="t" o:hrnoshade="t" o:hr="t" fillcolor="black [3213]" stroked="f"/>
        </w:pict>
      </w:r>
    </w:p>
    <w:p w:rsidR="00172A9C" w:rsidRPr="00F90763" w:rsidRDefault="00172A9C" w:rsidP="00A63AD0">
      <w:pPr>
        <w:jc w:val="both"/>
        <w:rPr>
          <w:sz w:val="20"/>
        </w:rPr>
      </w:pPr>
    </w:p>
    <w:p w:rsidR="00AE2FCD" w:rsidRPr="00F90763" w:rsidRDefault="00AE2FCD" w:rsidP="001133BD">
      <w:pPr>
        <w:widowControl w:val="0"/>
        <w:tabs>
          <w:tab w:val="left" w:pos="720"/>
        </w:tabs>
        <w:ind w:left="1440" w:hanging="1440"/>
        <w:jc w:val="both"/>
        <w:rPr>
          <w:b/>
          <w:i/>
          <w:sz w:val="20"/>
          <w:lang w:val="en-CA"/>
        </w:rPr>
      </w:pPr>
      <w:r w:rsidRPr="00F90763">
        <w:rPr>
          <w:b/>
          <w:sz w:val="20"/>
          <w:lang w:val="en-CA"/>
        </w:rPr>
        <w:fldChar w:fldCharType="begin"/>
      </w:r>
      <w:r w:rsidRPr="00F90763">
        <w:rPr>
          <w:b/>
          <w:sz w:val="20"/>
        </w:rPr>
        <w:instrText xml:space="preserve"> SEQ CHAPTER \h \r 1</w:instrText>
      </w:r>
      <w:r w:rsidRPr="00F90763">
        <w:rPr>
          <w:b/>
          <w:sz w:val="20"/>
        </w:rPr>
        <w:fldChar w:fldCharType="end"/>
      </w:r>
      <w:r w:rsidRPr="00F90763">
        <w:rPr>
          <w:b/>
          <w:sz w:val="20"/>
          <w:lang w:val="en-CA"/>
        </w:rPr>
        <w:t>40447</w:t>
      </w:r>
      <w:r w:rsidRPr="00F90763">
        <w:rPr>
          <w:sz w:val="20"/>
          <w:lang w:val="en-CA"/>
        </w:rPr>
        <w:tab/>
      </w:r>
      <w:r w:rsidRPr="00F90763">
        <w:rPr>
          <w:b/>
          <w:i/>
          <w:sz w:val="20"/>
          <w:lang w:val="en-CA"/>
        </w:rPr>
        <w:t>His Majesty the King v. Edwin Tsang</w:t>
      </w:r>
    </w:p>
    <w:p w:rsidR="00AE2FCD" w:rsidRPr="00F90763" w:rsidRDefault="00AE2FCD" w:rsidP="001133BD">
      <w:pPr>
        <w:widowControl w:val="0"/>
        <w:tabs>
          <w:tab w:val="left" w:pos="720"/>
        </w:tabs>
        <w:ind w:left="1440" w:hanging="1440"/>
        <w:jc w:val="both"/>
        <w:rPr>
          <w:sz w:val="20"/>
        </w:rPr>
      </w:pPr>
      <w:r w:rsidRPr="00F90763">
        <w:rPr>
          <w:sz w:val="20"/>
        </w:rPr>
        <w:tab/>
        <w:t>(B.C.) (Criminal) (By Leave)</w:t>
      </w:r>
    </w:p>
    <w:p w:rsidR="00AE2FCD" w:rsidRPr="00F90763" w:rsidRDefault="00AE2FCD">
      <w:pPr>
        <w:widowControl w:val="0"/>
        <w:ind w:left="1440" w:hanging="1440"/>
        <w:jc w:val="both"/>
        <w:rPr>
          <w:sz w:val="20"/>
          <w:lang w:val="en-CA"/>
        </w:rPr>
      </w:pPr>
    </w:p>
    <w:p w:rsidR="00AE2FCD" w:rsidRPr="00F90763" w:rsidRDefault="00AE2FCD">
      <w:pPr>
        <w:widowControl w:val="0"/>
        <w:jc w:val="both"/>
        <w:rPr>
          <w:sz w:val="20"/>
          <w:lang w:val="en-CA"/>
        </w:rPr>
      </w:pPr>
      <w:r w:rsidRPr="00F90763">
        <w:rPr>
          <w:sz w:val="20"/>
          <w:lang w:val="en-CA"/>
        </w:rPr>
        <w:t>(PUBLICATION BAN IN CASE)</w:t>
      </w:r>
    </w:p>
    <w:p w:rsidR="00AE2FCD" w:rsidRPr="00F90763" w:rsidRDefault="00AE2FCD">
      <w:pPr>
        <w:widowControl w:val="0"/>
        <w:jc w:val="both"/>
        <w:rPr>
          <w:sz w:val="20"/>
          <w:lang w:val="en-CA"/>
        </w:rPr>
      </w:pPr>
    </w:p>
    <w:p w:rsidR="00AE2FCD" w:rsidRPr="00F90763" w:rsidRDefault="00AE2FCD" w:rsidP="005E7618">
      <w:pPr>
        <w:jc w:val="both"/>
        <w:rPr>
          <w:sz w:val="20"/>
        </w:rPr>
      </w:pPr>
      <w:r w:rsidRPr="00F90763">
        <w:rPr>
          <w:sz w:val="20"/>
        </w:rPr>
        <w:t>Criminal law — Trial — Judgments — Sexual assault — Whether the Court of Appeal erred by not applying a deferential standard of review, and intervening on the basis that the trial judge erred in law by basing her credibility conclusions on unfounded generalizations — Whether the Court of Appeal erred by not conducting a functional and contextual review of the trial judge’s reasons — Whether the Court of Appeal erred by improperly re-weighing the evidence in concluding that the alleged unfounded generalizations were material — What is the appropriate remedy for the Court of Appeal’s errors?</w:t>
      </w:r>
    </w:p>
    <w:p w:rsidR="00AE2FCD" w:rsidRPr="00F90763" w:rsidRDefault="00AE2FCD">
      <w:pPr>
        <w:widowControl w:val="0"/>
        <w:jc w:val="both"/>
        <w:rPr>
          <w:sz w:val="20"/>
          <w:lang w:val="en-CA"/>
        </w:rPr>
      </w:pPr>
    </w:p>
    <w:p w:rsidR="00AE2FCD" w:rsidRPr="00F90763" w:rsidRDefault="00AE2FCD" w:rsidP="001133BD">
      <w:pPr>
        <w:jc w:val="both"/>
        <w:rPr>
          <w:sz w:val="20"/>
          <w:lang w:val="en-CA"/>
        </w:rPr>
      </w:pPr>
      <w:bookmarkStart w:id="2" w:name="_Hlk105337403"/>
      <w:r w:rsidRPr="00F90763">
        <w:rPr>
          <w:color w:val="000000"/>
          <w:sz w:val="20"/>
        </w:rPr>
        <w:t>The respondent and the complainant had mutual friends, but met for the first time at an event. When that event ended, the respondent drove the complainant and her friend, to Commodore Ballroom. The respondent and the complainant continued drinking and dancing and later left the Commodore in the respondent’s car. On the way to the complainant’s home, they got into the back seat to “make out”. The trial judge found that what ensued after the initial consensual foreplay was a sexual assault.</w:t>
      </w:r>
      <w:bookmarkEnd w:id="2"/>
      <w:r w:rsidRPr="00F90763">
        <w:rPr>
          <w:color w:val="000000"/>
          <w:sz w:val="20"/>
        </w:rPr>
        <w:t xml:space="preserve"> The trial judge convicted the respondent of sexual assault. The Court of Appeal allowed the conviction appeal, set aside the conviction and ordered a new trial.</w:t>
      </w:r>
    </w:p>
    <w:p w:rsidR="00A97E61" w:rsidRPr="00F90763" w:rsidRDefault="00A97E61" w:rsidP="001C4415">
      <w:pPr>
        <w:widowControl w:val="0"/>
        <w:rPr>
          <w:szCs w:val="24"/>
        </w:rPr>
      </w:pPr>
    </w:p>
    <w:p w:rsidR="00A97E61" w:rsidRPr="00F90763" w:rsidRDefault="00A97E61" w:rsidP="001C4415">
      <w:pPr>
        <w:widowControl w:val="0"/>
        <w:rPr>
          <w:szCs w:val="24"/>
        </w:rPr>
      </w:pPr>
    </w:p>
    <w:p w:rsidR="00A97E61" w:rsidRPr="00F90763" w:rsidRDefault="00F90763" w:rsidP="001C4415">
      <w:pPr>
        <w:widowControl w:val="0"/>
        <w:rPr>
          <w:szCs w:val="24"/>
          <w:lang w:val="fr-CA"/>
        </w:rPr>
      </w:pPr>
      <w:r w:rsidRPr="00F90763">
        <w:rPr>
          <w:sz w:val="18"/>
          <w:szCs w:val="18"/>
        </w:rPr>
        <w:pict>
          <v:rect id="_x0000_i1026" style="width:272.25pt;height:1.5pt" o:hrpct="0" o:hralign="center" o:hrstd="t" o:hrnoshade="t" o:hr="t" fillcolor="black [3213]" stroked="f"/>
        </w:pict>
      </w:r>
    </w:p>
    <w:p w:rsidR="00A97E61" w:rsidRPr="00F90763" w:rsidRDefault="00A97E61" w:rsidP="001C4415">
      <w:pPr>
        <w:widowControl w:val="0"/>
        <w:rPr>
          <w:szCs w:val="24"/>
          <w:lang w:val="fr-CA"/>
        </w:rPr>
      </w:pPr>
    </w:p>
    <w:p w:rsidR="001C4415" w:rsidRPr="00F90763" w:rsidRDefault="001C4415" w:rsidP="001C4415">
      <w:pPr>
        <w:widowControl w:val="0"/>
        <w:rPr>
          <w:lang w:val="fr-CA"/>
        </w:rPr>
      </w:pPr>
    </w:p>
    <w:p w:rsidR="001335A1" w:rsidRPr="00F90763" w:rsidRDefault="001335A1" w:rsidP="001335A1">
      <w:pPr>
        <w:widowControl w:val="0"/>
        <w:jc w:val="center"/>
        <w:rPr>
          <w:b/>
          <w:lang w:val="fr-CA"/>
        </w:rPr>
      </w:pPr>
      <w:r w:rsidRPr="00F90763">
        <w:rPr>
          <w:b/>
          <w:lang w:val="fr-CA"/>
        </w:rPr>
        <w:t>PROCHAIN</w:t>
      </w:r>
      <w:r w:rsidR="00422676" w:rsidRPr="00F90763">
        <w:rPr>
          <w:b/>
          <w:lang w:val="fr-CA"/>
        </w:rPr>
        <w:t>S</w:t>
      </w:r>
      <w:r w:rsidRPr="00F90763">
        <w:rPr>
          <w:b/>
          <w:lang w:val="fr-CA"/>
        </w:rPr>
        <w:t xml:space="preserve"> JUGEMENT</w:t>
      </w:r>
      <w:r w:rsidR="00422676" w:rsidRPr="00F90763">
        <w:rPr>
          <w:b/>
          <w:lang w:val="fr-CA"/>
        </w:rPr>
        <w:t>S</w:t>
      </w:r>
      <w:r w:rsidR="00455BB9" w:rsidRPr="00F90763">
        <w:rPr>
          <w:b/>
          <w:lang w:val="fr-CA"/>
        </w:rPr>
        <w:t xml:space="preserve"> SUR APPEL</w:t>
      </w:r>
      <w:r w:rsidR="00422676" w:rsidRPr="00F90763">
        <w:rPr>
          <w:b/>
          <w:lang w:val="fr-CA"/>
        </w:rPr>
        <w:t>S</w:t>
      </w:r>
    </w:p>
    <w:p w:rsidR="001335A1" w:rsidRPr="00F90763" w:rsidRDefault="001335A1" w:rsidP="001335A1">
      <w:pPr>
        <w:widowControl w:val="0"/>
        <w:rPr>
          <w:lang w:val="fr-CA"/>
        </w:rPr>
      </w:pPr>
    </w:p>
    <w:p w:rsidR="00EC79B0" w:rsidRPr="00F90763" w:rsidRDefault="00EC79B0" w:rsidP="00EC79B0">
      <w:pPr>
        <w:widowControl w:val="0"/>
        <w:rPr>
          <w:lang w:val="fr-CA"/>
        </w:rPr>
      </w:pPr>
      <w:r w:rsidRPr="00F90763">
        <w:rPr>
          <w:b/>
          <w:lang w:val="fr-CA"/>
        </w:rPr>
        <w:t xml:space="preserve">Le </w:t>
      </w:r>
      <w:r w:rsidR="00497AF2" w:rsidRPr="00F90763">
        <w:rPr>
          <w:b/>
          <w:lang w:val="fr-CA"/>
        </w:rPr>
        <w:t>4</w:t>
      </w:r>
      <w:r w:rsidR="005C10BB" w:rsidRPr="00F90763">
        <w:rPr>
          <w:b/>
          <w:lang w:val="fr-CA"/>
        </w:rPr>
        <w:t xml:space="preserve"> </w:t>
      </w:r>
      <w:r w:rsidR="00497AF2" w:rsidRPr="00F90763">
        <w:rPr>
          <w:b/>
          <w:lang w:val="fr-CA"/>
        </w:rPr>
        <w:t>mars</w:t>
      </w:r>
      <w:r w:rsidR="00C86395" w:rsidRPr="00F90763">
        <w:rPr>
          <w:b/>
          <w:lang w:val="fr-CA"/>
        </w:rPr>
        <w:t xml:space="preserve"> </w:t>
      </w:r>
      <w:r w:rsidR="0086609D" w:rsidRPr="00F90763">
        <w:rPr>
          <w:b/>
          <w:lang w:val="fr-CA"/>
        </w:rPr>
        <w:t>20</w:t>
      </w:r>
      <w:r w:rsidR="009544E9" w:rsidRPr="00F90763">
        <w:rPr>
          <w:b/>
          <w:lang w:val="fr-CA"/>
        </w:rPr>
        <w:t>2</w:t>
      </w:r>
      <w:r w:rsidR="00497AF2" w:rsidRPr="00F90763">
        <w:rPr>
          <w:b/>
          <w:lang w:val="fr-CA"/>
        </w:rPr>
        <w:t>4</w:t>
      </w:r>
    </w:p>
    <w:p w:rsidR="00EC79B0" w:rsidRPr="00F90763" w:rsidRDefault="00EC79B0" w:rsidP="00EC79B0">
      <w:pPr>
        <w:widowControl w:val="0"/>
        <w:rPr>
          <w:lang w:val="fr-CA"/>
        </w:rPr>
      </w:pPr>
    </w:p>
    <w:p w:rsidR="00EC79B0" w:rsidRPr="00F90763" w:rsidRDefault="00EC79B0" w:rsidP="00EC79B0">
      <w:pPr>
        <w:widowControl w:val="0"/>
        <w:rPr>
          <w:lang w:val="fr-CA"/>
        </w:rPr>
      </w:pPr>
      <w:r w:rsidRPr="00F90763">
        <w:rPr>
          <w:b/>
          <w:lang w:val="fr-CA"/>
        </w:rPr>
        <w:t>OTTAWA</w:t>
      </w:r>
      <w:r w:rsidRPr="00F90763">
        <w:rPr>
          <w:lang w:val="fr-CA"/>
        </w:rPr>
        <w:t xml:space="preserve"> – </w:t>
      </w:r>
      <w:r w:rsidR="0095505F" w:rsidRPr="00F90763">
        <w:rPr>
          <w:lang w:val="fr-CA"/>
        </w:rPr>
        <w:t xml:space="preserve">La Cour suprême du Canada rendra jugement dans les appels suivants le vendredi </w:t>
      </w:r>
      <w:r w:rsidR="00497AF2" w:rsidRPr="00F90763">
        <w:rPr>
          <w:lang w:val="fr-CA"/>
        </w:rPr>
        <w:t>8</w:t>
      </w:r>
      <w:r w:rsidR="0095505F" w:rsidRPr="00F90763">
        <w:rPr>
          <w:lang w:val="fr-CA"/>
        </w:rPr>
        <w:t xml:space="preserve"> </w:t>
      </w:r>
      <w:r w:rsidR="00497AF2" w:rsidRPr="00F90763">
        <w:rPr>
          <w:lang w:val="fr-CA"/>
        </w:rPr>
        <w:t>mars</w:t>
      </w:r>
      <w:r w:rsidR="0095505F" w:rsidRPr="00F90763">
        <w:rPr>
          <w:lang w:val="fr-CA"/>
        </w:rPr>
        <w:t xml:space="preserve"> 202</w:t>
      </w:r>
      <w:r w:rsidR="00497AF2" w:rsidRPr="00F90763">
        <w:rPr>
          <w:lang w:val="fr-CA"/>
        </w:rPr>
        <w:t>4</w:t>
      </w:r>
      <w:r w:rsidR="0095505F" w:rsidRPr="00F90763">
        <w:rPr>
          <w:lang w:val="fr-CA"/>
        </w:rPr>
        <w:t>, à 9 h 45 HE.</w:t>
      </w:r>
    </w:p>
    <w:p w:rsidR="001F76DD" w:rsidRPr="00F90763" w:rsidRDefault="001F76DD" w:rsidP="00E92006">
      <w:pPr>
        <w:widowControl w:val="0"/>
        <w:jc w:val="both"/>
        <w:rPr>
          <w:szCs w:val="24"/>
          <w:lang w:val="fr-CA"/>
        </w:rPr>
      </w:pPr>
    </w:p>
    <w:p w:rsidR="00E0287B" w:rsidRPr="00F90763" w:rsidRDefault="00E0287B" w:rsidP="00E0287B">
      <w:pPr>
        <w:widowControl w:val="0"/>
        <w:rPr>
          <w:szCs w:val="24"/>
        </w:rPr>
      </w:pPr>
    </w:p>
    <w:p w:rsidR="00E0287B" w:rsidRPr="00F90763" w:rsidRDefault="00E0287B" w:rsidP="00E0287B">
      <w:pPr>
        <w:jc w:val="both"/>
        <w:rPr>
          <w:szCs w:val="24"/>
        </w:rPr>
      </w:pPr>
      <w:r w:rsidRPr="00F90763">
        <w:rPr>
          <w:i/>
          <w:szCs w:val="24"/>
        </w:rPr>
        <w:t>Sa</w:t>
      </w:r>
      <w:r w:rsidRPr="00F90763">
        <w:rPr>
          <w:i/>
          <w:szCs w:val="24"/>
        </w:rPr>
        <w:t xml:space="preserve"> Majest</w:t>
      </w:r>
      <w:r w:rsidRPr="00F90763">
        <w:rPr>
          <w:i/>
          <w:szCs w:val="24"/>
        </w:rPr>
        <w:t>é</w:t>
      </w:r>
      <w:r w:rsidRPr="00F90763">
        <w:rPr>
          <w:i/>
          <w:szCs w:val="24"/>
        </w:rPr>
        <w:t xml:space="preserve"> </w:t>
      </w:r>
      <w:r w:rsidRPr="00F90763">
        <w:rPr>
          <w:i/>
          <w:szCs w:val="24"/>
        </w:rPr>
        <w:t>le Roi</w:t>
      </w:r>
      <w:r w:rsidRPr="00F90763">
        <w:rPr>
          <w:i/>
          <w:szCs w:val="24"/>
        </w:rPr>
        <w:t xml:space="preserve"> </w:t>
      </w:r>
      <w:r w:rsidRPr="00F90763">
        <w:rPr>
          <w:i/>
          <w:szCs w:val="24"/>
        </w:rPr>
        <w:t>c</w:t>
      </w:r>
      <w:r w:rsidRPr="00F90763">
        <w:rPr>
          <w:i/>
          <w:szCs w:val="24"/>
        </w:rPr>
        <w:t xml:space="preserve">. Christopher James Kruk </w:t>
      </w:r>
      <w:r w:rsidRPr="00F90763">
        <w:rPr>
          <w:szCs w:val="24"/>
        </w:rPr>
        <w:t>(</w:t>
      </w:r>
      <w:r w:rsidRPr="00F90763">
        <w:rPr>
          <w:szCs w:val="24"/>
        </w:rPr>
        <w:t>C</w:t>
      </w:r>
      <w:r w:rsidRPr="00F90763">
        <w:rPr>
          <w:szCs w:val="24"/>
        </w:rPr>
        <w:t>.</w:t>
      </w:r>
      <w:r w:rsidRPr="00F90763">
        <w:rPr>
          <w:szCs w:val="24"/>
        </w:rPr>
        <w:t>-B</w:t>
      </w:r>
      <w:r w:rsidRPr="00F90763">
        <w:rPr>
          <w:szCs w:val="24"/>
        </w:rPr>
        <w:t>.) (</w:t>
      </w:r>
      <w:hyperlink r:id="rId9" w:history="1">
        <w:r w:rsidRPr="00F90763">
          <w:rPr>
            <w:rStyle w:val="Hyperlink"/>
            <w:szCs w:val="24"/>
          </w:rPr>
          <w:t>40095</w:t>
        </w:r>
      </w:hyperlink>
      <w:r w:rsidRPr="00F90763">
        <w:rPr>
          <w:szCs w:val="24"/>
        </w:rPr>
        <w:t>)</w:t>
      </w:r>
    </w:p>
    <w:p w:rsidR="00E0287B" w:rsidRPr="00F90763" w:rsidRDefault="00E0287B" w:rsidP="00E0287B">
      <w:pPr>
        <w:jc w:val="both"/>
        <w:rPr>
          <w:sz w:val="20"/>
        </w:rPr>
      </w:pPr>
    </w:p>
    <w:p w:rsidR="00E0287B" w:rsidRPr="00F90763" w:rsidRDefault="00E0287B" w:rsidP="00E0287B">
      <w:pPr>
        <w:jc w:val="both"/>
        <w:rPr>
          <w:szCs w:val="24"/>
        </w:rPr>
      </w:pPr>
      <w:r w:rsidRPr="00F90763">
        <w:rPr>
          <w:i/>
          <w:szCs w:val="24"/>
        </w:rPr>
        <w:t xml:space="preserve">Sa Majesté le Roi </w:t>
      </w:r>
      <w:r w:rsidRPr="00F90763">
        <w:rPr>
          <w:i/>
          <w:szCs w:val="24"/>
        </w:rPr>
        <w:t>c</w:t>
      </w:r>
      <w:r w:rsidRPr="00F90763">
        <w:rPr>
          <w:i/>
          <w:szCs w:val="24"/>
        </w:rPr>
        <w:t xml:space="preserve">. Edwin Tsang </w:t>
      </w:r>
      <w:r w:rsidRPr="00F90763">
        <w:rPr>
          <w:szCs w:val="24"/>
        </w:rPr>
        <w:t>(</w:t>
      </w:r>
      <w:r w:rsidRPr="00F90763">
        <w:rPr>
          <w:szCs w:val="24"/>
        </w:rPr>
        <w:t>C.-</w:t>
      </w:r>
      <w:r w:rsidRPr="00F90763">
        <w:rPr>
          <w:szCs w:val="24"/>
        </w:rPr>
        <w:t>B.) (</w:t>
      </w:r>
      <w:hyperlink r:id="rId10" w:history="1">
        <w:r w:rsidRPr="00F90763">
          <w:rPr>
            <w:rStyle w:val="Hyperlink"/>
            <w:szCs w:val="24"/>
          </w:rPr>
          <w:t>40447</w:t>
        </w:r>
      </w:hyperlink>
      <w:r w:rsidRPr="00F90763">
        <w:rPr>
          <w:szCs w:val="24"/>
        </w:rPr>
        <w:t>)</w:t>
      </w:r>
    </w:p>
    <w:p w:rsidR="00F60848" w:rsidRPr="00F90763" w:rsidRDefault="00F60848" w:rsidP="00E0287B">
      <w:pPr>
        <w:jc w:val="both"/>
        <w:rPr>
          <w:szCs w:val="24"/>
        </w:rPr>
      </w:pPr>
    </w:p>
    <w:p w:rsidR="00F60848" w:rsidRPr="00F90763" w:rsidRDefault="00F60848" w:rsidP="00F60848">
      <w:pPr>
        <w:pStyle w:val="SCCLsocParty"/>
        <w:rPr>
          <w:b/>
          <w:i w:val="0"/>
          <w:sz w:val="20"/>
          <w:szCs w:val="20"/>
        </w:rPr>
      </w:pPr>
      <w:r w:rsidRPr="00F90763">
        <w:rPr>
          <w:rStyle w:val="SCCFileNumberChar"/>
          <w:i w:val="0"/>
          <w:sz w:val="20"/>
          <w:szCs w:val="20"/>
        </w:rPr>
        <w:t>40095</w:t>
      </w:r>
      <w:r w:rsidRPr="00F90763">
        <w:rPr>
          <w:rStyle w:val="SCCFileNumberChar"/>
          <w:i w:val="0"/>
          <w:sz w:val="20"/>
          <w:szCs w:val="20"/>
          <w:lang w:val="fr-CA"/>
        </w:rPr>
        <w:tab/>
      </w:r>
      <w:r w:rsidRPr="00F90763">
        <w:rPr>
          <w:b/>
          <w:sz w:val="20"/>
          <w:szCs w:val="20"/>
        </w:rPr>
        <w:t>Sa Majesté le Roi c. Christopher James Kruk</w:t>
      </w:r>
    </w:p>
    <w:p w:rsidR="00F60848" w:rsidRPr="00F90763" w:rsidRDefault="00F60848" w:rsidP="00F60848">
      <w:pPr>
        <w:ind w:left="360" w:firstLine="360"/>
        <w:jc w:val="both"/>
        <w:rPr>
          <w:szCs w:val="24"/>
        </w:rPr>
      </w:pPr>
      <w:r w:rsidRPr="00F90763">
        <w:rPr>
          <w:sz w:val="20"/>
          <w:lang w:val="fr-CA"/>
        </w:rPr>
        <w:t>(C.-B.) (Criminelle) (Sur autorisation)</w:t>
      </w:r>
    </w:p>
    <w:p w:rsidR="00F60848" w:rsidRPr="00F90763" w:rsidRDefault="00F60848" w:rsidP="00F60848">
      <w:pPr>
        <w:jc w:val="both"/>
        <w:rPr>
          <w:sz w:val="20"/>
          <w:lang w:val="fr-CA"/>
        </w:rPr>
      </w:pPr>
    </w:p>
    <w:p w:rsidR="00F60848" w:rsidRPr="00F90763" w:rsidRDefault="00F60848" w:rsidP="00F60848">
      <w:pPr>
        <w:pStyle w:val="SCCBanSummary"/>
        <w:rPr>
          <w:sz w:val="20"/>
          <w:szCs w:val="20"/>
          <w:lang w:val="fr-CA"/>
        </w:rPr>
      </w:pPr>
      <w:r w:rsidRPr="00F90763">
        <w:rPr>
          <w:sz w:val="20"/>
          <w:szCs w:val="20"/>
          <w:lang w:val="fr-CA"/>
        </w:rPr>
        <w:t>(Ordonnance de non-publication au dossier)</w:t>
      </w:r>
    </w:p>
    <w:p w:rsidR="00F60848" w:rsidRPr="00F90763" w:rsidRDefault="00F60848" w:rsidP="00F60848">
      <w:pPr>
        <w:jc w:val="both"/>
        <w:rPr>
          <w:szCs w:val="24"/>
        </w:rPr>
      </w:pPr>
    </w:p>
    <w:p w:rsidR="00F60848" w:rsidRPr="00F90763" w:rsidRDefault="00F60848" w:rsidP="00F60848">
      <w:pPr>
        <w:jc w:val="both"/>
        <w:rPr>
          <w:sz w:val="20"/>
          <w:lang w:val="fr-CA"/>
        </w:rPr>
      </w:pPr>
      <w:r w:rsidRPr="00F90763">
        <w:rPr>
          <w:sz w:val="20"/>
          <w:lang w:val="fr-CA"/>
        </w:rPr>
        <w:t>Droit criminel — Procès — Jugements — Agression sexuelle — La Cour d’appel a-t-elle commis une erreur en concluant que le juge du procès s’était fondé sur un raisonnement conjectural lorsqu’il a retenu le témoignage de la plaignante? — L’argument subsidiaire de l’intimé selon lequel il y avait eu</w:t>
      </w:r>
      <w:r w:rsidRPr="00F90763">
        <w:rPr>
          <w:sz w:val="20"/>
        </w:rPr>
        <w:t xml:space="preserve"> </w:t>
      </w:r>
      <w:r w:rsidRPr="00F90763">
        <w:rPr>
          <w:sz w:val="20"/>
          <w:lang w:val="fr-CA"/>
        </w:rPr>
        <w:t>mauvaise interprétation de la preuve était-il sans fondement, et la réparation appropriée était-elle de rétablir la déclaration de culpabilité?</w:t>
      </w:r>
    </w:p>
    <w:p w:rsidR="00F60848" w:rsidRPr="00F90763" w:rsidRDefault="00F60848" w:rsidP="00F60848">
      <w:pPr>
        <w:jc w:val="both"/>
        <w:rPr>
          <w:szCs w:val="24"/>
        </w:rPr>
      </w:pPr>
    </w:p>
    <w:p w:rsidR="00E0287B" w:rsidRPr="00F90763" w:rsidRDefault="00F60848" w:rsidP="00F60848">
      <w:pPr>
        <w:jc w:val="both"/>
        <w:rPr>
          <w:sz w:val="20"/>
        </w:rPr>
      </w:pPr>
      <w:r w:rsidRPr="00F90763">
        <w:rPr>
          <w:color w:val="000000"/>
          <w:sz w:val="20"/>
          <w:lang w:val="fr-CA"/>
        </w:rPr>
        <w:t>La plaignante, qui était en état d’ébriété, a fini par perdre connaissance ou tomber endormie dans la chambre à coucher de l’intimé. Elle a témoigné qu’elle s’est réveillée pour constater que l’intimé était au-dessus d’elle et qu’il avait inséré son pénis dans son vagin. L’intimé a nié avoir eu des relations sexuelles avec la plaignante.</w:t>
      </w:r>
      <w:r w:rsidRPr="00F90763">
        <w:rPr>
          <w:sz w:val="20"/>
          <w:lang w:val="fr-CA"/>
        </w:rPr>
        <w:t xml:space="preserve"> L’intimé a été déclaré coupable d’agression sexuelle. La Cour d’appel a accueilli l’appel de l’intimé, a annulé la déclaration de culpabilité et a ordonné la tenue d’un nouveau procès.</w:t>
      </w:r>
    </w:p>
    <w:p w:rsidR="00783AD1" w:rsidRPr="00F90763" w:rsidRDefault="00783AD1" w:rsidP="00783AD1">
      <w:pPr>
        <w:jc w:val="both"/>
        <w:rPr>
          <w:sz w:val="20"/>
          <w:lang w:val="fr-CA"/>
        </w:rPr>
      </w:pPr>
      <w:bookmarkStart w:id="3" w:name="QuickMark_1"/>
      <w:bookmarkEnd w:id="3"/>
    </w:p>
    <w:p w:rsidR="00783AD1" w:rsidRPr="00F90763" w:rsidRDefault="00F90763" w:rsidP="00783AD1">
      <w:pPr>
        <w:jc w:val="both"/>
        <w:rPr>
          <w:sz w:val="20"/>
          <w:lang w:val="fr-CA"/>
        </w:rPr>
      </w:pPr>
      <w:r w:rsidRPr="00F90763">
        <w:rPr>
          <w:sz w:val="20"/>
        </w:rPr>
        <w:pict>
          <v:rect id="_x0000_i1027" style="width:2in;height:1pt" o:hrpct="0" o:hralign="center" o:hrstd="t" o:hrnoshade="t" o:hr="t" fillcolor="black [3213]" stroked="f"/>
        </w:pict>
      </w:r>
    </w:p>
    <w:p w:rsidR="00783AD1" w:rsidRPr="00F90763" w:rsidRDefault="00783AD1" w:rsidP="00CD1374">
      <w:pPr>
        <w:jc w:val="both"/>
        <w:rPr>
          <w:sz w:val="20"/>
          <w:lang w:val="fr-CA"/>
        </w:rPr>
      </w:pPr>
    </w:p>
    <w:p w:rsidR="00F90763" w:rsidRPr="00F90763" w:rsidRDefault="00F90763" w:rsidP="00F90763">
      <w:pPr>
        <w:pStyle w:val="SCCLsocParty"/>
        <w:rPr>
          <w:b/>
          <w:i w:val="0"/>
          <w:sz w:val="20"/>
          <w:szCs w:val="20"/>
        </w:rPr>
      </w:pPr>
      <w:r w:rsidRPr="00F90763">
        <w:rPr>
          <w:rStyle w:val="SCCFileNumberChar"/>
          <w:i w:val="0"/>
          <w:sz w:val="20"/>
          <w:szCs w:val="20"/>
        </w:rPr>
        <w:t>40447</w:t>
      </w:r>
      <w:r w:rsidRPr="00F90763">
        <w:rPr>
          <w:rStyle w:val="SCCFileNumberChar"/>
          <w:i w:val="0"/>
          <w:sz w:val="20"/>
          <w:szCs w:val="20"/>
        </w:rPr>
        <w:tab/>
      </w:r>
      <w:r w:rsidRPr="00F90763">
        <w:rPr>
          <w:b/>
          <w:sz w:val="20"/>
          <w:szCs w:val="20"/>
        </w:rPr>
        <w:t>Sa Majesté le Roi c. Edwin Tsang</w:t>
      </w:r>
    </w:p>
    <w:p w:rsidR="00F90763" w:rsidRPr="00F90763" w:rsidRDefault="00F90763" w:rsidP="00F90763">
      <w:pPr>
        <w:ind w:left="360" w:firstLine="360"/>
        <w:jc w:val="both"/>
        <w:rPr>
          <w:sz w:val="20"/>
          <w:lang w:val="fr-CA"/>
        </w:rPr>
      </w:pPr>
      <w:r w:rsidRPr="00F90763">
        <w:rPr>
          <w:sz w:val="20"/>
        </w:rPr>
        <w:t>(C.-B.) (Criminelle) (Sur autorisation)</w:t>
      </w:r>
    </w:p>
    <w:p w:rsidR="00F90763" w:rsidRPr="00F90763" w:rsidRDefault="00F90763" w:rsidP="00F90763">
      <w:pPr>
        <w:rPr>
          <w:sz w:val="20"/>
        </w:rPr>
      </w:pPr>
    </w:p>
    <w:p w:rsidR="00F90763" w:rsidRPr="00F90763" w:rsidRDefault="00F90763" w:rsidP="00F90763">
      <w:pPr>
        <w:pStyle w:val="SCCBanSummary"/>
        <w:rPr>
          <w:sz w:val="20"/>
          <w:szCs w:val="20"/>
        </w:rPr>
      </w:pPr>
      <w:r w:rsidRPr="00F90763">
        <w:rPr>
          <w:sz w:val="20"/>
          <w:szCs w:val="20"/>
        </w:rPr>
        <w:t>(Ordonnance de non-publication au dossier)</w:t>
      </w:r>
    </w:p>
    <w:p w:rsidR="00F90763" w:rsidRPr="00F90763" w:rsidRDefault="00F90763" w:rsidP="00CD1374">
      <w:pPr>
        <w:jc w:val="both"/>
        <w:rPr>
          <w:sz w:val="20"/>
          <w:lang w:val="fr-CA"/>
        </w:rPr>
      </w:pPr>
    </w:p>
    <w:p w:rsidR="00F90763" w:rsidRPr="00F90763" w:rsidRDefault="00F90763" w:rsidP="00F90763">
      <w:pPr>
        <w:rPr>
          <w:sz w:val="20"/>
        </w:rPr>
      </w:pPr>
      <w:r w:rsidRPr="00F90763">
        <w:rPr>
          <w:sz w:val="20"/>
        </w:rPr>
        <w:t xml:space="preserve">Droit criminel — Procès — Jugements — Agression sexuelle — La Cour d’appel a-t-elle fait erreur en omettant d'appliquer une norme de contrôle empreinte de déférence, et en intervenant au motif que la juge de première instance a commis une erreur de droit lorsqu’elle s’est basée sur des généralisations non fondées pour tirer des conclusions quant à la crédibilité? La Cour d’appel a-t-elle eu tort de ne pas procéder à </w:t>
      </w:r>
      <w:proofErr w:type="gramStart"/>
      <w:r w:rsidRPr="00F90763">
        <w:rPr>
          <w:sz w:val="20"/>
        </w:rPr>
        <w:t>un</w:t>
      </w:r>
      <w:proofErr w:type="gramEnd"/>
      <w:r w:rsidRPr="00F90763">
        <w:rPr>
          <w:sz w:val="20"/>
        </w:rPr>
        <w:t xml:space="preserve"> examen fonctionnel et contextuel des motifs de la juge de première instance? La Cour d’appel a-t-elle commis une erreur en soupesant, à tort, la preuve de nouveau lorsqu'elle a conclu que les présumées généralisations non fondées étaient importantes? Quelle réparation convient-il d’accorder en raison des erreurs commises </w:t>
      </w:r>
      <w:proofErr w:type="spellStart"/>
      <w:r w:rsidRPr="00F90763">
        <w:rPr>
          <w:sz w:val="20"/>
        </w:rPr>
        <w:t>par</w:t>
      </w:r>
      <w:proofErr w:type="spellEnd"/>
      <w:r w:rsidRPr="00F90763">
        <w:rPr>
          <w:sz w:val="20"/>
        </w:rPr>
        <w:t xml:space="preserve"> la Cour d’appel? </w:t>
      </w:r>
    </w:p>
    <w:p w:rsidR="00F90763" w:rsidRPr="00F90763" w:rsidRDefault="00F90763" w:rsidP="00CD1374">
      <w:pPr>
        <w:jc w:val="both"/>
        <w:rPr>
          <w:sz w:val="20"/>
          <w:lang w:val="fr-CA"/>
        </w:rPr>
      </w:pPr>
    </w:p>
    <w:p w:rsidR="00F90763" w:rsidRPr="00F90763" w:rsidRDefault="00F90763" w:rsidP="00CD1374">
      <w:pPr>
        <w:jc w:val="both"/>
        <w:rPr>
          <w:sz w:val="20"/>
          <w:lang w:val="fr-CA"/>
        </w:rPr>
      </w:pPr>
      <w:r w:rsidRPr="00F90763">
        <w:rPr>
          <w:color w:val="000000"/>
          <w:sz w:val="20"/>
        </w:rPr>
        <w:t xml:space="preserve">L’intimé </w:t>
      </w:r>
      <w:proofErr w:type="gramStart"/>
      <w:r w:rsidRPr="00F90763">
        <w:rPr>
          <w:color w:val="000000"/>
          <w:sz w:val="20"/>
        </w:rPr>
        <w:t>et</w:t>
      </w:r>
      <w:proofErr w:type="gramEnd"/>
      <w:r w:rsidRPr="00F90763">
        <w:rPr>
          <w:color w:val="000000"/>
          <w:sz w:val="20"/>
        </w:rPr>
        <w:t xml:space="preserve"> la plaignante avaient des amis en commun, mais ils se sont rencontrés pour la première fois lors d'un événement. À la fin de l’événement, l’intimé a conduit la plaignante </w:t>
      </w:r>
      <w:proofErr w:type="gramStart"/>
      <w:r w:rsidRPr="00F90763">
        <w:rPr>
          <w:color w:val="000000"/>
          <w:sz w:val="20"/>
        </w:rPr>
        <w:t>et</w:t>
      </w:r>
      <w:proofErr w:type="gramEnd"/>
      <w:r w:rsidRPr="00F90763">
        <w:rPr>
          <w:color w:val="000000"/>
          <w:sz w:val="20"/>
        </w:rPr>
        <w:t xml:space="preserve"> son amie au Commodore Ballroom. L’intimé et la plaignante ont continué à boire et à danser et ont ensuite quitté le Commodore dans la voiture de l’intimé. Sur le chemin du domicile de la plaignante, </w:t>
      </w:r>
      <w:proofErr w:type="gramStart"/>
      <w:r w:rsidRPr="00F90763">
        <w:rPr>
          <w:color w:val="000000"/>
          <w:sz w:val="20"/>
        </w:rPr>
        <w:t>ils</w:t>
      </w:r>
      <w:proofErr w:type="gramEnd"/>
      <w:r w:rsidRPr="00F90763">
        <w:rPr>
          <w:color w:val="000000"/>
          <w:sz w:val="20"/>
        </w:rPr>
        <w:t xml:space="preserve"> se sont installés sur la banquette arrière pour « se peloter ». La juge de première instance </w:t>
      </w:r>
      <w:proofErr w:type="gramStart"/>
      <w:r w:rsidRPr="00F90763">
        <w:rPr>
          <w:color w:val="000000"/>
          <w:sz w:val="20"/>
        </w:rPr>
        <w:t>a</w:t>
      </w:r>
      <w:proofErr w:type="gramEnd"/>
      <w:r w:rsidRPr="00F90763">
        <w:rPr>
          <w:color w:val="000000"/>
          <w:sz w:val="20"/>
        </w:rPr>
        <w:t xml:space="preserve"> estimé que ce qui s'est passé après les premiers préliminaires consensuels était une agression sexuelle. La juge de première instance a déclaré l’intimé coupable d’agression sexuelle. La Cour d’appel a accueilli l’appel de la déclaration de culpabilité, a annulé la déclaration de culpabilité </w:t>
      </w:r>
      <w:proofErr w:type="gramStart"/>
      <w:r w:rsidRPr="00F90763">
        <w:rPr>
          <w:color w:val="000000"/>
          <w:sz w:val="20"/>
        </w:rPr>
        <w:t>et</w:t>
      </w:r>
      <w:proofErr w:type="gramEnd"/>
      <w:r w:rsidRPr="00F90763">
        <w:rPr>
          <w:color w:val="000000"/>
          <w:sz w:val="20"/>
        </w:rPr>
        <w:t xml:space="preserve"> a ordonné la tenue d’un nouveau procès.</w:t>
      </w:r>
    </w:p>
    <w:p w:rsidR="00CD1374" w:rsidRPr="00F90763" w:rsidRDefault="00CD1374" w:rsidP="003B3C19">
      <w:pPr>
        <w:widowControl w:val="0"/>
        <w:jc w:val="both"/>
        <w:rPr>
          <w:sz w:val="20"/>
          <w:lang w:val="fr-CA"/>
        </w:rPr>
      </w:pPr>
    </w:p>
    <w:p w:rsidR="00EF4622" w:rsidRPr="00F90763" w:rsidRDefault="00F90763" w:rsidP="00CD14BB">
      <w:pPr>
        <w:pStyle w:val="aparanumbering1"/>
        <w:shd w:val="clear" w:color="auto" w:fill="FFFFFF"/>
        <w:spacing w:before="0" w:after="0"/>
        <w:ind w:left="0"/>
        <w:rPr>
          <w:rFonts w:ascii="Times New Roman" w:hAnsi="Times New Roman" w:cs="Times New Roman"/>
          <w:sz w:val="20"/>
          <w:szCs w:val="20"/>
          <w:lang w:val="fr-CA"/>
        </w:rPr>
      </w:pPr>
      <w:r w:rsidRPr="00F90763">
        <w:rPr>
          <w:sz w:val="20"/>
        </w:rPr>
        <w:pict>
          <v:rect id="_x0000_i1028" style="width:2in;height:1pt" o:hrpct="0" o:hralign="center" o:hrstd="t" o:hrnoshade="t" o:hr="t" fillcolor="black [3213]" stroked="f"/>
        </w:pict>
      </w:r>
    </w:p>
    <w:p w:rsidR="00E92006" w:rsidRPr="00F90763" w:rsidRDefault="00E92006" w:rsidP="00340C6D">
      <w:pPr>
        <w:jc w:val="both"/>
        <w:rPr>
          <w:sz w:val="20"/>
          <w:lang w:val="fr-CA"/>
        </w:rPr>
      </w:pPr>
    </w:p>
    <w:p w:rsidR="00E92006" w:rsidRPr="00F90763" w:rsidRDefault="00E92006" w:rsidP="00340C6D">
      <w:pPr>
        <w:jc w:val="both"/>
        <w:rPr>
          <w:sz w:val="20"/>
          <w:lang w:val="fr-CA"/>
        </w:rPr>
      </w:pPr>
    </w:p>
    <w:p w:rsidR="00072A63" w:rsidRPr="00F90763" w:rsidRDefault="00072A63" w:rsidP="00EC79B0">
      <w:pPr>
        <w:jc w:val="both"/>
        <w:rPr>
          <w:sz w:val="20"/>
          <w:lang w:val="fr-CA"/>
        </w:rPr>
      </w:pPr>
    </w:p>
    <w:p w:rsidR="001C4415" w:rsidRPr="00F90763" w:rsidRDefault="001C4415" w:rsidP="001C4415">
      <w:pPr>
        <w:widowControl w:val="0"/>
        <w:outlineLvl w:val="0"/>
      </w:pPr>
      <w:r w:rsidRPr="00F90763">
        <w:t xml:space="preserve">Supreme Court of Canada / Cour suprême du </w:t>
      </w:r>
      <w:proofErr w:type="gramStart"/>
      <w:r w:rsidRPr="00F90763">
        <w:t>Canada :</w:t>
      </w:r>
      <w:proofErr w:type="gramEnd"/>
      <w:r w:rsidRPr="00F90763">
        <w:t xml:space="preserve"> </w:t>
      </w:r>
    </w:p>
    <w:p w:rsidR="004F410B" w:rsidRPr="00F90763" w:rsidRDefault="00F90763" w:rsidP="004F410B">
      <w:pPr>
        <w:widowControl w:val="0"/>
        <w:outlineLvl w:val="0"/>
      </w:pPr>
      <w:hyperlink r:id="rId11" w:history="1">
        <w:r w:rsidR="004F410B" w:rsidRPr="00F90763">
          <w:rPr>
            <w:rStyle w:val="Hyperlink"/>
          </w:rPr>
          <w:t>Registry-greffe@scc-csc.ca</w:t>
        </w:r>
      </w:hyperlink>
    </w:p>
    <w:p w:rsidR="001C4415" w:rsidRDefault="004F410B" w:rsidP="004F410B">
      <w:pPr>
        <w:widowControl w:val="0"/>
        <w:outlineLvl w:val="0"/>
      </w:pPr>
      <w:r w:rsidRPr="00F90763">
        <w:t>1-844-365-9662</w:t>
      </w:r>
      <w:bookmarkStart w:id="4" w:name="_GoBack"/>
      <w:bookmarkEnd w:id="4"/>
    </w:p>
    <w:p w:rsidR="00497AF2" w:rsidRDefault="00497AF2" w:rsidP="004F410B">
      <w:pPr>
        <w:widowControl w:val="0"/>
        <w:outlineLvl w:val="0"/>
      </w:pPr>
    </w:p>
    <w:p w:rsidR="00497AF2" w:rsidRPr="00614699" w:rsidRDefault="00497AF2" w:rsidP="004F410B">
      <w:pPr>
        <w:widowControl w:val="0"/>
        <w:outlineLvl w:val="0"/>
      </w:pPr>
    </w:p>
    <w:sectPr w:rsidR="00497AF2" w:rsidRPr="00614699" w:rsidSect="00D362A2">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9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76D88"/>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A9C"/>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E7763"/>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467EA"/>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7AF2"/>
    <w:rsid w:val="004A017B"/>
    <w:rsid w:val="004A2228"/>
    <w:rsid w:val="004A40E1"/>
    <w:rsid w:val="004A4570"/>
    <w:rsid w:val="004A4BC7"/>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FAA"/>
    <w:rsid w:val="005B4F58"/>
    <w:rsid w:val="005B7E1A"/>
    <w:rsid w:val="005C10BB"/>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4AC"/>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3AD1"/>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3223"/>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AD0"/>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EBB"/>
    <w:rsid w:val="00AC29C3"/>
    <w:rsid w:val="00AC3DA6"/>
    <w:rsid w:val="00AD271C"/>
    <w:rsid w:val="00AD28E3"/>
    <w:rsid w:val="00AD4D8B"/>
    <w:rsid w:val="00AE2FCD"/>
    <w:rsid w:val="00AE57A4"/>
    <w:rsid w:val="00AE77AE"/>
    <w:rsid w:val="00AF291D"/>
    <w:rsid w:val="00AF51A0"/>
    <w:rsid w:val="00AF55B1"/>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B673E"/>
    <w:rsid w:val="00CC2799"/>
    <w:rsid w:val="00CC2CF7"/>
    <w:rsid w:val="00CC59ED"/>
    <w:rsid w:val="00CD00F0"/>
    <w:rsid w:val="00CD1374"/>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287B"/>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0848"/>
    <w:rsid w:val="00F62251"/>
    <w:rsid w:val="00F64A4F"/>
    <w:rsid w:val="00F67027"/>
    <w:rsid w:val="00F71933"/>
    <w:rsid w:val="00F74994"/>
    <w:rsid w:val="00F74DE7"/>
    <w:rsid w:val="00F7795B"/>
    <w:rsid w:val="00F803D9"/>
    <w:rsid w:val="00F823B0"/>
    <w:rsid w:val="00F82D1B"/>
    <w:rsid w:val="00F85483"/>
    <w:rsid w:val="00F9076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9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A63AD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63AD0"/>
    <w:rPr>
      <w:rFonts w:eastAsiaTheme="minorHAnsi" w:cstheme="minorBidi"/>
      <w:b/>
      <w:sz w:val="24"/>
      <w:szCs w:val="22"/>
      <w:lang w:val="en-CA"/>
    </w:rPr>
  </w:style>
  <w:style w:type="paragraph" w:customStyle="1" w:styleId="SCCBanSummary">
    <w:name w:val="SCC.BanSummary"/>
    <w:basedOn w:val="Normal"/>
    <w:next w:val="Normal"/>
    <w:link w:val="SCCBanSummaryChar"/>
    <w:rsid w:val="00A63AD0"/>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A63AD0"/>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44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csc.ca/case-dossier/info/sum-som-eng.aspx?cas=4009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info/sum-som-fra.aspx?cas=404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fra.aspx?cas=4009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2023-09-28T13:48:00Z</dcterms:created>
  <dcterms:modified xsi:type="dcterms:W3CDTF">2024-03-01T16:23:00Z</dcterms:modified>
</cp:coreProperties>
</file>