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645E6F" w:rsidRDefault="002A192B" w:rsidP="002A192B">
      <w:pPr>
        <w:pStyle w:val="Header"/>
        <w:jc w:val="center"/>
        <w:rPr>
          <w:b/>
          <w:sz w:val="32"/>
        </w:rPr>
      </w:pPr>
      <w:r w:rsidRPr="00645E6F">
        <w:rPr>
          <w:b/>
          <w:sz w:val="32"/>
        </w:rPr>
        <w:t>Supreme Court of Canada / Cour suprême du Canada</w:t>
      </w:r>
    </w:p>
    <w:p w:rsidR="002A192B" w:rsidRPr="00645E6F" w:rsidRDefault="002A192B" w:rsidP="002A192B">
      <w:pPr>
        <w:widowControl w:val="0"/>
        <w:rPr>
          <w:i/>
        </w:rPr>
      </w:pPr>
    </w:p>
    <w:p w:rsidR="002A192B" w:rsidRPr="00645E6F" w:rsidRDefault="002A192B" w:rsidP="002A192B">
      <w:pPr>
        <w:widowControl w:val="0"/>
        <w:rPr>
          <w:i/>
        </w:rPr>
      </w:pPr>
    </w:p>
    <w:p w:rsidR="001C4415" w:rsidRPr="00645E6F" w:rsidRDefault="001C4415" w:rsidP="001C4415">
      <w:pPr>
        <w:widowControl w:val="0"/>
        <w:rPr>
          <w:i/>
          <w:sz w:val="20"/>
        </w:rPr>
      </w:pPr>
      <w:r w:rsidRPr="00645E6F">
        <w:rPr>
          <w:i/>
          <w:sz w:val="20"/>
        </w:rPr>
        <w:t>(</w:t>
      </w:r>
      <w:r w:rsidR="003C50BF" w:rsidRPr="00645E6F">
        <w:rPr>
          <w:i/>
          <w:sz w:val="20"/>
        </w:rPr>
        <w:t>Le</w:t>
      </w:r>
      <w:r w:rsidRPr="00645E6F">
        <w:rPr>
          <w:i/>
          <w:sz w:val="20"/>
        </w:rPr>
        <w:t xml:space="preserve"> français suit)</w:t>
      </w:r>
    </w:p>
    <w:p w:rsidR="001C4415" w:rsidRPr="00645E6F" w:rsidRDefault="001C4415" w:rsidP="001C4415">
      <w:pPr>
        <w:widowControl w:val="0"/>
      </w:pPr>
    </w:p>
    <w:p w:rsidR="001C4415" w:rsidRPr="00645E6F" w:rsidRDefault="000347C1" w:rsidP="00214729">
      <w:pPr>
        <w:widowControl w:val="0"/>
        <w:jc w:val="center"/>
        <w:rPr>
          <w:b/>
        </w:rPr>
      </w:pPr>
      <w:r w:rsidRPr="00645E6F">
        <w:fldChar w:fldCharType="begin"/>
      </w:r>
      <w:r w:rsidR="00FA7412" w:rsidRPr="00645E6F">
        <w:instrText xml:space="preserve"> SEQ CHAPTER \h \r 1</w:instrText>
      </w:r>
      <w:r w:rsidRPr="00645E6F">
        <w:fldChar w:fldCharType="end"/>
      </w:r>
      <w:r w:rsidR="00455BB9" w:rsidRPr="00645E6F">
        <w:rPr>
          <w:b/>
        </w:rPr>
        <w:t>JUDGMENT</w:t>
      </w:r>
      <w:r w:rsidR="00FA7412" w:rsidRPr="00645E6F">
        <w:rPr>
          <w:b/>
        </w:rPr>
        <w:t xml:space="preserve"> TO BE RENDERED </w:t>
      </w:r>
      <w:r w:rsidR="00E43F22" w:rsidRPr="00645E6F">
        <w:rPr>
          <w:b/>
        </w:rPr>
        <w:t>O</w:t>
      </w:r>
      <w:r w:rsidR="00FA7412" w:rsidRPr="00645E6F">
        <w:rPr>
          <w:b/>
        </w:rPr>
        <w:t>N APPEA</w:t>
      </w:r>
      <w:r w:rsidR="00CC2799" w:rsidRPr="00645E6F">
        <w:rPr>
          <w:b/>
        </w:rPr>
        <w:t>L</w:t>
      </w:r>
    </w:p>
    <w:p w:rsidR="005A7C1B" w:rsidRPr="00645E6F" w:rsidRDefault="005A7C1B" w:rsidP="005A7C1B">
      <w:pPr>
        <w:widowControl w:val="0"/>
      </w:pPr>
    </w:p>
    <w:p w:rsidR="00EC79B0" w:rsidRPr="00645E6F" w:rsidRDefault="00B930CF" w:rsidP="00EC79B0">
      <w:pPr>
        <w:widowControl w:val="0"/>
      </w:pPr>
      <w:r w:rsidRPr="00645E6F">
        <w:rPr>
          <w:b/>
        </w:rPr>
        <w:t>September</w:t>
      </w:r>
      <w:r w:rsidR="00C86395" w:rsidRPr="00645E6F">
        <w:rPr>
          <w:b/>
        </w:rPr>
        <w:t xml:space="preserve"> </w:t>
      </w:r>
      <w:r w:rsidR="00700A4F">
        <w:rPr>
          <w:b/>
        </w:rPr>
        <w:t>20</w:t>
      </w:r>
      <w:r w:rsidR="00EC79B0" w:rsidRPr="00645E6F">
        <w:rPr>
          <w:b/>
        </w:rPr>
        <w:t>, 2</w:t>
      </w:r>
      <w:r w:rsidR="00E6600C" w:rsidRPr="00645E6F">
        <w:rPr>
          <w:b/>
        </w:rPr>
        <w:t>0</w:t>
      </w:r>
      <w:r w:rsidR="009544E9" w:rsidRPr="00645E6F">
        <w:rPr>
          <w:b/>
        </w:rPr>
        <w:t>2</w:t>
      </w:r>
      <w:r w:rsidR="0049454A" w:rsidRPr="00645E6F">
        <w:rPr>
          <w:b/>
        </w:rPr>
        <w:t>4</w:t>
      </w:r>
    </w:p>
    <w:p w:rsidR="00EC79B0" w:rsidRPr="00645E6F" w:rsidRDefault="00EC79B0" w:rsidP="00EC79B0">
      <w:pPr>
        <w:widowControl w:val="0"/>
      </w:pPr>
    </w:p>
    <w:p w:rsidR="00EC79B0" w:rsidRPr="00645E6F" w:rsidRDefault="00EC79B0" w:rsidP="00EC79B0">
      <w:pPr>
        <w:widowControl w:val="0"/>
      </w:pPr>
      <w:r w:rsidRPr="00645E6F">
        <w:rPr>
          <w:b/>
        </w:rPr>
        <w:t>OTTAWA</w:t>
      </w:r>
      <w:r w:rsidRPr="00645E6F">
        <w:t xml:space="preserve"> – </w:t>
      </w:r>
      <w:r w:rsidR="0095505F" w:rsidRPr="00645E6F">
        <w:t xml:space="preserve">The Supreme Court of Canada will deliver its judgment on the following appeal at 9:45 a.m. ET on </w:t>
      </w:r>
      <w:r w:rsidR="00A9299A" w:rsidRPr="00645E6F">
        <w:t>Wednesd</w:t>
      </w:r>
      <w:r w:rsidR="002915B5" w:rsidRPr="00645E6F">
        <w:t>ay</w:t>
      </w:r>
      <w:r w:rsidR="0095505F" w:rsidRPr="00645E6F">
        <w:t xml:space="preserve">, </w:t>
      </w:r>
      <w:r w:rsidR="00B930CF" w:rsidRPr="00645E6F">
        <w:t>September</w:t>
      </w:r>
      <w:r w:rsidR="0095505F" w:rsidRPr="00645E6F">
        <w:t xml:space="preserve"> </w:t>
      </w:r>
      <w:r w:rsidR="00B930CF" w:rsidRPr="00645E6F">
        <w:t>25</w:t>
      </w:r>
      <w:r w:rsidR="0095505F" w:rsidRPr="00645E6F">
        <w:t>, 202</w:t>
      </w:r>
      <w:r w:rsidR="0049454A" w:rsidRPr="00645E6F">
        <w:t>4</w:t>
      </w:r>
      <w:r w:rsidR="0095505F" w:rsidRPr="00645E6F">
        <w:t>.</w:t>
      </w:r>
    </w:p>
    <w:p w:rsidR="001F76DD" w:rsidRPr="00645E6F" w:rsidRDefault="001F76DD" w:rsidP="001C4415">
      <w:pPr>
        <w:widowControl w:val="0"/>
        <w:rPr>
          <w:szCs w:val="24"/>
        </w:rPr>
      </w:pPr>
    </w:p>
    <w:p w:rsidR="00A97E61" w:rsidRPr="00645E6F" w:rsidRDefault="00A97E61" w:rsidP="001C4415">
      <w:pPr>
        <w:widowControl w:val="0"/>
        <w:rPr>
          <w:szCs w:val="24"/>
        </w:rPr>
      </w:pPr>
    </w:p>
    <w:p w:rsidR="00A97E61" w:rsidRPr="00645E6F" w:rsidRDefault="00B930CF" w:rsidP="00A97E61">
      <w:pPr>
        <w:jc w:val="both"/>
        <w:rPr>
          <w:szCs w:val="24"/>
        </w:rPr>
      </w:pPr>
      <w:r w:rsidRPr="00645E6F">
        <w:rPr>
          <w:i/>
          <w:szCs w:val="24"/>
        </w:rPr>
        <w:t>Yves Caleb Jr. Charles</w:t>
      </w:r>
      <w:r w:rsidR="00303433" w:rsidRPr="00645E6F">
        <w:rPr>
          <w:i/>
          <w:szCs w:val="24"/>
        </w:rPr>
        <w:t xml:space="preserve"> v. </w:t>
      </w:r>
      <w:r w:rsidRPr="00645E6F">
        <w:rPr>
          <w:i/>
          <w:szCs w:val="24"/>
        </w:rPr>
        <w:t>His Majesty the King</w:t>
      </w:r>
      <w:r w:rsidR="002848B1" w:rsidRPr="00645E6F">
        <w:rPr>
          <w:i/>
          <w:szCs w:val="24"/>
        </w:rPr>
        <w:t xml:space="preserve"> </w:t>
      </w:r>
      <w:r w:rsidR="00A97E61" w:rsidRPr="00645E6F">
        <w:rPr>
          <w:szCs w:val="24"/>
        </w:rPr>
        <w:t>(</w:t>
      </w:r>
      <w:r w:rsidRPr="00645E6F">
        <w:rPr>
          <w:szCs w:val="24"/>
        </w:rPr>
        <w:t>Que</w:t>
      </w:r>
      <w:r w:rsidR="002848B1" w:rsidRPr="00645E6F">
        <w:rPr>
          <w:szCs w:val="24"/>
        </w:rPr>
        <w:t>.</w:t>
      </w:r>
      <w:r w:rsidR="00A97E61" w:rsidRPr="00645E6F">
        <w:rPr>
          <w:szCs w:val="24"/>
        </w:rPr>
        <w:t xml:space="preserve">) </w:t>
      </w:r>
      <w:r w:rsidR="00A97E61" w:rsidRPr="00645E6F">
        <w:t>(</w:t>
      </w:r>
      <w:hyperlink r:id="rId7" w:history="1">
        <w:r w:rsidR="002915B5" w:rsidRPr="00645E6F">
          <w:rPr>
            <w:rStyle w:val="Hyperlink"/>
          </w:rPr>
          <w:t>4</w:t>
        </w:r>
        <w:r w:rsidR="008E3E95" w:rsidRPr="00645E6F">
          <w:rPr>
            <w:rStyle w:val="Hyperlink"/>
          </w:rPr>
          <w:t>0</w:t>
        </w:r>
        <w:r w:rsidR="00303433" w:rsidRPr="00645E6F">
          <w:rPr>
            <w:rStyle w:val="Hyperlink"/>
          </w:rPr>
          <w:t>3</w:t>
        </w:r>
        <w:r w:rsidRPr="00645E6F">
          <w:rPr>
            <w:rStyle w:val="Hyperlink"/>
          </w:rPr>
          <w:t>1</w:t>
        </w:r>
        <w:r w:rsidR="00303433" w:rsidRPr="00645E6F">
          <w:rPr>
            <w:rStyle w:val="Hyperlink"/>
          </w:rPr>
          <w:t>9</w:t>
        </w:r>
      </w:hyperlink>
      <w:r w:rsidR="00A97E61" w:rsidRPr="00645E6F">
        <w:t>)</w:t>
      </w:r>
    </w:p>
    <w:p w:rsidR="00A97E61" w:rsidRPr="00645E6F" w:rsidRDefault="00A97E61" w:rsidP="00AC11A6">
      <w:pPr>
        <w:widowControl w:val="0"/>
        <w:jc w:val="both"/>
        <w:rPr>
          <w:sz w:val="20"/>
        </w:rPr>
      </w:pPr>
    </w:p>
    <w:p w:rsidR="00B930CF" w:rsidRPr="00645E6F" w:rsidRDefault="00B930CF" w:rsidP="00C61DC0">
      <w:pPr>
        <w:widowControl w:val="0"/>
        <w:tabs>
          <w:tab w:val="left" w:pos="720"/>
        </w:tabs>
        <w:ind w:left="1440" w:hanging="1440"/>
        <w:jc w:val="both"/>
        <w:rPr>
          <w:b/>
          <w:i/>
          <w:sz w:val="20"/>
          <w:lang w:val="en-CA"/>
        </w:rPr>
      </w:pPr>
      <w:bookmarkStart w:id="0" w:name="1"/>
      <w:bookmarkEnd w:id="0"/>
      <w:r w:rsidRPr="00645E6F">
        <w:rPr>
          <w:b/>
          <w:sz w:val="20"/>
          <w:lang w:val="en-CA"/>
        </w:rPr>
        <w:t>40319</w:t>
      </w:r>
      <w:r w:rsidRPr="00645E6F">
        <w:rPr>
          <w:sz w:val="20"/>
          <w:lang w:val="en-CA"/>
        </w:rPr>
        <w:fldChar w:fldCharType="begin"/>
      </w:r>
      <w:r w:rsidRPr="00645E6F">
        <w:rPr>
          <w:sz w:val="20"/>
          <w:lang w:val="en-CA"/>
        </w:rPr>
        <w:instrText xml:space="preserve"> SEQ CHAPTER \h \r 1</w:instrText>
      </w:r>
      <w:r w:rsidRPr="00645E6F">
        <w:rPr>
          <w:sz w:val="20"/>
          <w:lang w:val="en-CA"/>
        </w:rPr>
        <w:fldChar w:fldCharType="end"/>
      </w:r>
      <w:r w:rsidRPr="00645E6F">
        <w:rPr>
          <w:sz w:val="20"/>
          <w:lang w:val="en-CA"/>
        </w:rPr>
        <w:tab/>
      </w:r>
      <w:bookmarkStart w:id="1" w:name="3"/>
      <w:bookmarkEnd w:id="1"/>
      <w:r w:rsidRPr="00645E6F">
        <w:rPr>
          <w:b/>
          <w:i/>
          <w:sz w:val="20"/>
          <w:lang w:val="en-CA"/>
        </w:rPr>
        <w:t>Yves Caleb Jr. Charles v. His Majesty the King</w:t>
      </w:r>
    </w:p>
    <w:p w:rsidR="00B930CF" w:rsidRPr="00645E6F" w:rsidRDefault="00B930CF" w:rsidP="00C61DC0">
      <w:pPr>
        <w:widowControl w:val="0"/>
        <w:tabs>
          <w:tab w:val="left" w:pos="720"/>
        </w:tabs>
        <w:ind w:left="1440" w:hanging="1440"/>
        <w:jc w:val="both"/>
        <w:rPr>
          <w:sz w:val="20"/>
          <w:lang w:val="en-CA"/>
        </w:rPr>
      </w:pPr>
      <w:r w:rsidRPr="00645E6F">
        <w:rPr>
          <w:b/>
          <w:i/>
          <w:sz w:val="20"/>
          <w:lang w:val="en-CA"/>
        </w:rPr>
        <w:tab/>
      </w:r>
      <w:r w:rsidRPr="00645E6F">
        <w:rPr>
          <w:sz w:val="20"/>
          <w:lang w:val="en-CA"/>
        </w:rPr>
        <w:t>(Que.) (Criminal) (As of Right)</w:t>
      </w:r>
    </w:p>
    <w:p w:rsidR="00B930CF" w:rsidRPr="00645E6F" w:rsidRDefault="00B930CF" w:rsidP="00CE4EED">
      <w:pPr>
        <w:widowControl w:val="0"/>
        <w:tabs>
          <w:tab w:val="left" w:pos="720"/>
        </w:tabs>
        <w:ind w:left="2160" w:hanging="2160"/>
        <w:jc w:val="both"/>
        <w:rPr>
          <w:sz w:val="20"/>
          <w:lang w:val="en-CA"/>
        </w:rPr>
      </w:pPr>
    </w:p>
    <w:p w:rsidR="00B930CF" w:rsidRPr="00645E6F" w:rsidRDefault="00B930CF" w:rsidP="00CE4EED">
      <w:pPr>
        <w:widowControl w:val="0"/>
        <w:tabs>
          <w:tab w:val="left" w:pos="720"/>
        </w:tabs>
        <w:ind w:left="2160" w:hanging="2160"/>
        <w:jc w:val="both"/>
        <w:rPr>
          <w:sz w:val="20"/>
          <w:lang w:val="en-CA"/>
        </w:rPr>
      </w:pPr>
      <w:r w:rsidRPr="00645E6F">
        <w:rPr>
          <w:sz w:val="20"/>
          <w:lang w:val="en-CA"/>
        </w:rPr>
        <w:t>(</w:t>
      </w:r>
      <w:r w:rsidRPr="00645E6F">
        <w:rPr>
          <w:smallCaps/>
          <w:sz w:val="20"/>
          <w:lang w:val="en-CA"/>
        </w:rPr>
        <w:t>Publication ban in case</w:t>
      </w:r>
      <w:r w:rsidRPr="00645E6F">
        <w:rPr>
          <w:sz w:val="20"/>
          <w:lang w:val="en-CA"/>
        </w:rPr>
        <w:t>)</w:t>
      </w:r>
    </w:p>
    <w:p w:rsidR="00B930CF" w:rsidRPr="00645E6F" w:rsidRDefault="00B930CF">
      <w:pPr>
        <w:widowControl w:val="0"/>
        <w:jc w:val="both"/>
        <w:rPr>
          <w:sz w:val="20"/>
          <w:lang w:val="en-CA"/>
        </w:rPr>
      </w:pPr>
    </w:p>
    <w:p w:rsidR="00B930CF" w:rsidRPr="00645E6F" w:rsidRDefault="00B930CF">
      <w:pPr>
        <w:widowControl w:val="0"/>
        <w:jc w:val="both"/>
        <w:rPr>
          <w:sz w:val="20"/>
          <w:lang w:val="en-CA"/>
        </w:rPr>
      </w:pPr>
      <w:r w:rsidRPr="00645E6F">
        <w:rPr>
          <w:sz w:val="20"/>
          <w:lang w:val="en-CA"/>
        </w:rPr>
        <w:t xml:space="preserve">Criminal law </w:t>
      </w:r>
      <w:r w:rsidRPr="00645E6F">
        <w:rPr>
          <w:sz w:val="20"/>
        </w:rPr>
        <w:t>—</w:t>
      </w:r>
      <w:r w:rsidRPr="00645E6F">
        <w:rPr>
          <w:sz w:val="20"/>
          <w:lang w:val="en-CA"/>
        </w:rPr>
        <w:t xml:space="preserve"> Evidence </w:t>
      </w:r>
      <w:r w:rsidRPr="00645E6F">
        <w:rPr>
          <w:sz w:val="20"/>
        </w:rPr>
        <w:t>—</w:t>
      </w:r>
      <w:r w:rsidRPr="00645E6F">
        <w:rPr>
          <w:sz w:val="20"/>
          <w:lang w:val="en-CA"/>
        </w:rPr>
        <w:t xml:space="preserve"> Admissibility </w:t>
      </w:r>
      <w:r w:rsidRPr="00645E6F">
        <w:rPr>
          <w:sz w:val="20"/>
        </w:rPr>
        <w:t>—</w:t>
      </w:r>
      <w:r w:rsidRPr="00645E6F">
        <w:rPr>
          <w:sz w:val="20"/>
          <w:lang w:val="en-CA"/>
        </w:rPr>
        <w:t xml:space="preserve"> Hearsay </w:t>
      </w:r>
      <w:r w:rsidRPr="00645E6F">
        <w:rPr>
          <w:sz w:val="20"/>
        </w:rPr>
        <w:t>—</w:t>
      </w:r>
      <w:r w:rsidRPr="00645E6F">
        <w:rPr>
          <w:sz w:val="20"/>
          <w:lang w:val="en-CA"/>
        </w:rPr>
        <w:t xml:space="preserve"> Out</w:t>
      </w:r>
      <w:r w:rsidRPr="00645E6F">
        <w:rPr>
          <w:sz w:val="20"/>
          <w:lang w:val="en-CA"/>
        </w:rPr>
        <w:noBreakHyphen/>
        <w:t>of</w:t>
      </w:r>
      <w:r w:rsidRPr="00645E6F">
        <w:rPr>
          <w:sz w:val="20"/>
          <w:lang w:val="en-CA"/>
        </w:rPr>
        <w:noBreakHyphen/>
        <w:t xml:space="preserve">court statement </w:t>
      </w:r>
      <w:r w:rsidRPr="00645E6F">
        <w:rPr>
          <w:sz w:val="20"/>
        </w:rPr>
        <w:t>—</w:t>
      </w:r>
      <w:r w:rsidRPr="00645E6F">
        <w:rPr>
          <w:sz w:val="20"/>
          <w:lang w:val="en-CA"/>
        </w:rPr>
        <w:t xml:space="preserve"> Corroborative evidence </w:t>
      </w:r>
      <w:r w:rsidRPr="00645E6F">
        <w:rPr>
          <w:sz w:val="20"/>
        </w:rPr>
        <w:t>—</w:t>
      </w:r>
      <w:r w:rsidRPr="00645E6F">
        <w:rPr>
          <w:sz w:val="20"/>
          <w:lang w:val="en-CA"/>
        </w:rPr>
        <w:t xml:space="preserve"> Circumstances in which statement made </w:t>
      </w:r>
      <w:r w:rsidRPr="00645E6F">
        <w:rPr>
          <w:sz w:val="20"/>
        </w:rPr>
        <w:t>—</w:t>
      </w:r>
      <w:r w:rsidRPr="00645E6F">
        <w:rPr>
          <w:sz w:val="20"/>
          <w:lang w:val="en-CA"/>
        </w:rPr>
        <w:t xml:space="preserve"> Whether Quebec Court of Appeal erred in law in upholding decision to admit witness K.A.’s statement into evidence on basis of established principled approach to hearsay.</w:t>
      </w:r>
    </w:p>
    <w:p w:rsidR="00B930CF" w:rsidRPr="00645E6F" w:rsidRDefault="00B930CF">
      <w:pPr>
        <w:widowControl w:val="0"/>
        <w:jc w:val="both"/>
        <w:rPr>
          <w:sz w:val="20"/>
          <w:lang w:val="en-CA"/>
        </w:rPr>
      </w:pPr>
    </w:p>
    <w:p w:rsidR="00B930CF" w:rsidRPr="00645E6F" w:rsidRDefault="00B930CF">
      <w:pPr>
        <w:widowControl w:val="0"/>
        <w:jc w:val="both"/>
        <w:rPr>
          <w:sz w:val="20"/>
          <w:lang w:val="en-CA"/>
        </w:rPr>
      </w:pPr>
      <w:r w:rsidRPr="00645E6F">
        <w:rPr>
          <w:sz w:val="20"/>
          <w:lang w:val="en-CA"/>
        </w:rPr>
        <w:t>After a trial in the Court of Québec, the appellant, Yves Caleb Jr. Charles, was convicted of assault with a weapon, using an imitation firearm in the commission of assault, and uttering threats. During the trial, a prosecution witness refused to cooperate, and the trial judge allowed the prosecution to introduce an out-of-court statement made by the witness into evidence as hearsay. In the judge’s view, the statement had features of substantive reliability in light of the corroborative evidence and the circumstances in which the statement had been made. The Court of Appeal, for the reasons of Doyon and Cournoyer JJ.A., dismissed the accused’s appeal. Bachand J.A., dissenting, would have allowed the appeal and ordered a new trial, as he was of the view that the out</w:t>
      </w:r>
      <w:r w:rsidRPr="00645E6F">
        <w:rPr>
          <w:sz w:val="20"/>
          <w:lang w:val="en-CA"/>
        </w:rPr>
        <w:noBreakHyphen/>
        <w:t>of</w:t>
      </w:r>
      <w:r w:rsidRPr="00645E6F">
        <w:rPr>
          <w:sz w:val="20"/>
          <w:lang w:val="en-CA"/>
        </w:rPr>
        <w:noBreakHyphen/>
        <w:t>court statement in issue did not satisfy the threshold reliability requirement for being admitted into evidence. He found that the corroborative evidence was not relevant in analyzing the threshold reliability of the assertion made by the witness concerning the appellant’s conduct and words, and that the circumstances in which the statement had been made did not provide sufficient guarantees of substantive reliability.</w:t>
      </w:r>
    </w:p>
    <w:p w:rsidR="004874F7" w:rsidRPr="00645E6F" w:rsidRDefault="004874F7" w:rsidP="001C4415">
      <w:pPr>
        <w:widowControl w:val="0"/>
        <w:rPr>
          <w:szCs w:val="24"/>
        </w:rPr>
      </w:pPr>
    </w:p>
    <w:p w:rsidR="004874F7" w:rsidRPr="00645E6F" w:rsidRDefault="004874F7" w:rsidP="001C4415">
      <w:pPr>
        <w:widowControl w:val="0"/>
        <w:rPr>
          <w:szCs w:val="24"/>
        </w:rPr>
      </w:pPr>
    </w:p>
    <w:p w:rsidR="00A97E61" w:rsidRPr="00645E6F" w:rsidRDefault="00700A4F" w:rsidP="001C4415">
      <w:pPr>
        <w:widowControl w:val="0"/>
        <w:rPr>
          <w:szCs w:val="24"/>
          <w:lang w:val="fr-CA"/>
        </w:rPr>
      </w:pPr>
      <w:r>
        <w:rPr>
          <w:sz w:val="18"/>
          <w:szCs w:val="18"/>
        </w:rPr>
        <w:pict>
          <v:rect id="_x0000_i1025" style="width:272.25pt;height:1.5pt" o:hrpct="0" o:hralign="center" o:hrstd="t" o:hrnoshade="t" o:hr="t" fillcolor="black [3213]" stroked="f"/>
        </w:pict>
      </w:r>
    </w:p>
    <w:p w:rsidR="00A97E61" w:rsidRPr="00645E6F" w:rsidRDefault="00A97E61" w:rsidP="001C4415">
      <w:pPr>
        <w:widowControl w:val="0"/>
        <w:rPr>
          <w:szCs w:val="24"/>
          <w:lang w:val="fr-CA"/>
        </w:rPr>
      </w:pPr>
    </w:p>
    <w:p w:rsidR="001C4415" w:rsidRPr="00645E6F" w:rsidRDefault="001C4415" w:rsidP="001C4415">
      <w:pPr>
        <w:widowControl w:val="0"/>
        <w:rPr>
          <w:lang w:val="fr-CA"/>
        </w:rPr>
      </w:pPr>
    </w:p>
    <w:p w:rsidR="001335A1" w:rsidRPr="00645E6F" w:rsidRDefault="001335A1" w:rsidP="001335A1">
      <w:pPr>
        <w:widowControl w:val="0"/>
        <w:jc w:val="center"/>
        <w:rPr>
          <w:b/>
          <w:lang w:val="fr-CA"/>
        </w:rPr>
      </w:pPr>
      <w:r w:rsidRPr="00645E6F">
        <w:rPr>
          <w:b/>
          <w:lang w:val="fr-CA"/>
        </w:rPr>
        <w:t>PROCHAIN JUGEMENT</w:t>
      </w:r>
      <w:r w:rsidR="00455BB9" w:rsidRPr="00645E6F">
        <w:rPr>
          <w:b/>
          <w:lang w:val="fr-CA"/>
        </w:rPr>
        <w:t xml:space="preserve"> SUR APPEL</w:t>
      </w:r>
    </w:p>
    <w:p w:rsidR="001335A1" w:rsidRPr="00645E6F" w:rsidRDefault="001335A1" w:rsidP="001335A1">
      <w:pPr>
        <w:widowControl w:val="0"/>
        <w:rPr>
          <w:lang w:val="fr-CA"/>
        </w:rPr>
      </w:pPr>
    </w:p>
    <w:p w:rsidR="00EC79B0" w:rsidRPr="00645E6F" w:rsidRDefault="00EC79B0" w:rsidP="00EC79B0">
      <w:pPr>
        <w:widowControl w:val="0"/>
        <w:rPr>
          <w:lang w:val="fr-CA"/>
        </w:rPr>
      </w:pPr>
      <w:r w:rsidRPr="00645E6F">
        <w:rPr>
          <w:b/>
          <w:lang w:val="fr-CA"/>
        </w:rPr>
        <w:t xml:space="preserve">Le </w:t>
      </w:r>
      <w:r w:rsidR="00700A4F">
        <w:rPr>
          <w:b/>
          <w:lang w:val="fr-CA"/>
        </w:rPr>
        <w:t>20</w:t>
      </w:r>
      <w:bookmarkStart w:id="2" w:name="_GoBack"/>
      <w:bookmarkEnd w:id="2"/>
      <w:r w:rsidR="00935B44" w:rsidRPr="00645E6F">
        <w:rPr>
          <w:b/>
          <w:lang w:val="fr-CA"/>
        </w:rPr>
        <w:t xml:space="preserve"> </w:t>
      </w:r>
      <w:r w:rsidR="00B930CF" w:rsidRPr="00645E6F">
        <w:rPr>
          <w:b/>
          <w:lang w:val="fr-CA"/>
        </w:rPr>
        <w:t>septembre</w:t>
      </w:r>
      <w:r w:rsidR="00C86395" w:rsidRPr="00645E6F">
        <w:rPr>
          <w:b/>
          <w:lang w:val="fr-CA"/>
        </w:rPr>
        <w:t xml:space="preserve"> </w:t>
      </w:r>
      <w:r w:rsidR="0086609D" w:rsidRPr="00645E6F">
        <w:rPr>
          <w:b/>
          <w:lang w:val="fr-CA"/>
        </w:rPr>
        <w:t>20</w:t>
      </w:r>
      <w:r w:rsidR="009544E9" w:rsidRPr="00645E6F">
        <w:rPr>
          <w:b/>
          <w:lang w:val="fr-CA"/>
        </w:rPr>
        <w:t>2</w:t>
      </w:r>
      <w:r w:rsidR="0049454A" w:rsidRPr="00645E6F">
        <w:rPr>
          <w:b/>
          <w:lang w:val="fr-CA"/>
        </w:rPr>
        <w:t>4</w:t>
      </w:r>
    </w:p>
    <w:p w:rsidR="00EC79B0" w:rsidRPr="00645E6F" w:rsidRDefault="00EC79B0" w:rsidP="00EC79B0">
      <w:pPr>
        <w:widowControl w:val="0"/>
        <w:rPr>
          <w:lang w:val="fr-CA"/>
        </w:rPr>
      </w:pPr>
    </w:p>
    <w:p w:rsidR="00EC79B0" w:rsidRPr="00645E6F" w:rsidRDefault="00EC79B0" w:rsidP="00EC79B0">
      <w:pPr>
        <w:widowControl w:val="0"/>
        <w:rPr>
          <w:lang w:val="fr-CA"/>
        </w:rPr>
      </w:pPr>
      <w:r w:rsidRPr="00645E6F">
        <w:rPr>
          <w:b/>
          <w:lang w:val="fr-CA"/>
        </w:rPr>
        <w:t>OTTAWA</w:t>
      </w:r>
      <w:r w:rsidRPr="00645E6F">
        <w:rPr>
          <w:lang w:val="fr-CA"/>
        </w:rPr>
        <w:t xml:space="preserve"> – </w:t>
      </w:r>
      <w:r w:rsidR="0095505F" w:rsidRPr="00645E6F">
        <w:rPr>
          <w:lang w:val="fr-CA"/>
        </w:rPr>
        <w:t xml:space="preserve">La Cour suprême du Canada rendra jugement dans l’appel suivant le </w:t>
      </w:r>
      <w:r w:rsidR="00A9299A" w:rsidRPr="00645E6F">
        <w:rPr>
          <w:lang w:val="fr-CA"/>
        </w:rPr>
        <w:t>mercre</w:t>
      </w:r>
      <w:r w:rsidR="002915B5" w:rsidRPr="00645E6F">
        <w:rPr>
          <w:lang w:val="fr-CA"/>
        </w:rPr>
        <w:t>di</w:t>
      </w:r>
      <w:r w:rsidR="0095505F" w:rsidRPr="00645E6F">
        <w:rPr>
          <w:lang w:val="fr-CA"/>
        </w:rPr>
        <w:t xml:space="preserve"> </w:t>
      </w:r>
      <w:r w:rsidR="00B930CF" w:rsidRPr="00645E6F">
        <w:rPr>
          <w:lang w:val="fr-CA"/>
        </w:rPr>
        <w:t>25</w:t>
      </w:r>
      <w:r w:rsidR="0095505F" w:rsidRPr="00645E6F">
        <w:rPr>
          <w:lang w:val="fr-CA"/>
        </w:rPr>
        <w:t xml:space="preserve"> </w:t>
      </w:r>
      <w:r w:rsidR="00B930CF" w:rsidRPr="00645E6F">
        <w:rPr>
          <w:lang w:val="fr-CA"/>
        </w:rPr>
        <w:t>septembre</w:t>
      </w:r>
      <w:r w:rsidR="0095505F" w:rsidRPr="00645E6F">
        <w:rPr>
          <w:lang w:val="fr-CA"/>
        </w:rPr>
        <w:t xml:space="preserve"> 202</w:t>
      </w:r>
      <w:r w:rsidR="0049454A" w:rsidRPr="00645E6F">
        <w:rPr>
          <w:lang w:val="fr-CA"/>
        </w:rPr>
        <w:t>4</w:t>
      </w:r>
      <w:r w:rsidR="0095505F" w:rsidRPr="00645E6F">
        <w:rPr>
          <w:lang w:val="fr-CA"/>
        </w:rPr>
        <w:t>, à 9 h 45 HE.</w:t>
      </w:r>
    </w:p>
    <w:p w:rsidR="001F76DD" w:rsidRPr="00645E6F" w:rsidRDefault="001F76DD" w:rsidP="00E92006">
      <w:pPr>
        <w:widowControl w:val="0"/>
        <w:jc w:val="both"/>
        <w:rPr>
          <w:szCs w:val="24"/>
          <w:lang w:val="fr-CA"/>
        </w:rPr>
      </w:pPr>
    </w:p>
    <w:p w:rsidR="001335A1" w:rsidRPr="00645E6F" w:rsidRDefault="001335A1" w:rsidP="001335A1">
      <w:pPr>
        <w:widowControl w:val="0"/>
        <w:rPr>
          <w:szCs w:val="24"/>
          <w:lang w:val="fr-CA"/>
        </w:rPr>
      </w:pPr>
    </w:p>
    <w:p w:rsidR="00772636" w:rsidRPr="00645E6F" w:rsidRDefault="00B930CF" w:rsidP="00772636">
      <w:pPr>
        <w:jc w:val="both"/>
        <w:rPr>
          <w:szCs w:val="24"/>
          <w:lang w:val="fr-CA"/>
        </w:rPr>
      </w:pPr>
      <w:r w:rsidRPr="00645E6F">
        <w:rPr>
          <w:i/>
          <w:szCs w:val="24"/>
          <w:lang w:val="fr-CA"/>
        </w:rPr>
        <w:t>Yves Caleb Jr. Charles c. Sa Majesté le Roi</w:t>
      </w:r>
      <w:r w:rsidR="009764B0" w:rsidRPr="00645E6F">
        <w:rPr>
          <w:i/>
          <w:szCs w:val="24"/>
          <w:lang w:val="fr-CA"/>
        </w:rPr>
        <w:t xml:space="preserve"> </w:t>
      </w:r>
      <w:r w:rsidR="00772636" w:rsidRPr="00645E6F">
        <w:rPr>
          <w:szCs w:val="24"/>
          <w:lang w:val="fr-CA"/>
        </w:rPr>
        <w:t>(</w:t>
      </w:r>
      <w:r w:rsidRPr="00645E6F">
        <w:rPr>
          <w:szCs w:val="24"/>
          <w:lang w:val="fr-CA"/>
        </w:rPr>
        <w:t>Qc</w:t>
      </w:r>
      <w:r w:rsidR="00772636" w:rsidRPr="00645E6F">
        <w:rPr>
          <w:szCs w:val="24"/>
          <w:lang w:val="fr-CA"/>
        </w:rPr>
        <w:t xml:space="preserve">) </w:t>
      </w:r>
      <w:r w:rsidR="00772636" w:rsidRPr="00645E6F">
        <w:rPr>
          <w:lang w:val="fr-CA"/>
        </w:rPr>
        <w:t>(</w:t>
      </w:r>
      <w:hyperlink r:id="rId8" w:history="1">
        <w:r w:rsidR="002915B5" w:rsidRPr="00645E6F">
          <w:rPr>
            <w:rStyle w:val="Hyperlink"/>
            <w:lang w:val="fr-CA"/>
          </w:rPr>
          <w:t>40</w:t>
        </w:r>
        <w:r w:rsidR="00303433" w:rsidRPr="00645E6F">
          <w:rPr>
            <w:rStyle w:val="Hyperlink"/>
            <w:lang w:val="fr-CA"/>
          </w:rPr>
          <w:t>3</w:t>
        </w:r>
        <w:r w:rsidRPr="00645E6F">
          <w:rPr>
            <w:rStyle w:val="Hyperlink"/>
            <w:lang w:val="fr-CA"/>
          </w:rPr>
          <w:t>1</w:t>
        </w:r>
        <w:r w:rsidR="00303433" w:rsidRPr="00645E6F">
          <w:rPr>
            <w:rStyle w:val="Hyperlink"/>
            <w:lang w:val="fr-CA"/>
          </w:rPr>
          <w:t>9</w:t>
        </w:r>
      </w:hyperlink>
      <w:r w:rsidR="00772636" w:rsidRPr="00645E6F">
        <w:rPr>
          <w:lang w:val="fr-CA"/>
        </w:rPr>
        <w:t>)</w:t>
      </w:r>
    </w:p>
    <w:p w:rsidR="003B3C19" w:rsidRPr="00645E6F" w:rsidRDefault="003B3C19" w:rsidP="00AE14EC">
      <w:pPr>
        <w:widowControl w:val="0"/>
        <w:jc w:val="both"/>
        <w:rPr>
          <w:sz w:val="20"/>
          <w:lang w:val="fr-CA"/>
        </w:rPr>
      </w:pPr>
      <w:bookmarkStart w:id="3" w:name="QuickMark_1"/>
      <w:bookmarkEnd w:id="3"/>
    </w:p>
    <w:p w:rsidR="00B930CF" w:rsidRPr="00645E6F" w:rsidRDefault="00B930CF" w:rsidP="00F9735F">
      <w:pPr>
        <w:widowControl w:val="0"/>
        <w:tabs>
          <w:tab w:val="left" w:pos="720"/>
        </w:tabs>
        <w:ind w:left="1440" w:hanging="1440"/>
        <w:jc w:val="both"/>
        <w:rPr>
          <w:b/>
          <w:i/>
          <w:sz w:val="20"/>
          <w:lang w:val="fr-CA"/>
        </w:rPr>
      </w:pPr>
      <w:r w:rsidRPr="00645E6F">
        <w:rPr>
          <w:b/>
          <w:sz w:val="20"/>
          <w:lang w:val="fr-CA"/>
        </w:rPr>
        <w:t>40319</w:t>
      </w:r>
      <w:r w:rsidRPr="00645E6F">
        <w:rPr>
          <w:sz w:val="20"/>
          <w:lang w:val="fr-CA"/>
        </w:rPr>
        <w:fldChar w:fldCharType="begin"/>
      </w:r>
      <w:r w:rsidRPr="00645E6F">
        <w:rPr>
          <w:sz w:val="20"/>
          <w:lang w:val="fr-CA"/>
        </w:rPr>
        <w:instrText xml:space="preserve"> SEQ CHAPTER \h \r 1</w:instrText>
      </w:r>
      <w:r w:rsidRPr="00645E6F">
        <w:rPr>
          <w:sz w:val="20"/>
          <w:lang w:val="fr-CA"/>
        </w:rPr>
        <w:fldChar w:fldCharType="end"/>
      </w:r>
      <w:r w:rsidRPr="00645E6F">
        <w:rPr>
          <w:sz w:val="20"/>
          <w:lang w:val="fr-CA"/>
        </w:rPr>
        <w:tab/>
      </w:r>
      <w:r w:rsidRPr="00645E6F">
        <w:rPr>
          <w:b/>
          <w:i/>
          <w:sz w:val="20"/>
          <w:lang w:val="fr-CA"/>
        </w:rPr>
        <w:t>Yves Caleb Jr. Charles c. Sa Majesté le Roi</w:t>
      </w:r>
    </w:p>
    <w:p w:rsidR="00B930CF" w:rsidRPr="00645E6F" w:rsidRDefault="00B930CF" w:rsidP="00F9735F">
      <w:pPr>
        <w:widowControl w:val="0"/>
        <w:tabs>
          <w:tab w:val="left" w:pos="720"/>
        </w:tabs>
        <w:ind w:left="1440" w:hanging="1440"/>
        <w:jc w:val="both"/>
        <w:rPr>
          <w:sz w:val="20"/>
          <w:lang w:val="fr-CA"/>
        </w:rPr>
      </w:pPr>
      <w:r w:rsidRPr="00645E6F">
        <w:rPr>
          <w:b/>
          <w:i/>
          <w:sz w:val="20"/>
          <w:lang w:val="fr-CA"/>
        </w:rPr>
        <w:tab/>
      </w:r>
      <w:r w:rsidRPr="00645E6F">
        <w:rPr>
          <w:sz w:val="20"/>
          <w:lang w:val="fr-CA"/>
        </w:rPr>
        <w:t>(Qc) (Criminelle) (De plein droit)</w:t>
      </w:r>
    </w:p>
    <w:p w:rsidR="00B930CF" w:rsidRPr="00645E6F" w:rsidRDefault="00B930CF">
      <w:pPr>
        <w:widowControl w:val="0"/>
        <w:jc w:val="both"/>
        <w:rPr>
          <w:sz w:val="20"/>
          <w:lang w:val="fr-CA"/>
        </w:rPr>
      </w:pPr>
    </w:p>
    <w:p w:rsidR="00B930CF" w:rsidRPr="00645E6F" w:rsidRDefault="00B930CF">
      <w:pPr>
        <w:widowControl w:val="0"/>
        <w:jc w:val="both"/>
        <w:rPr>
          <w:sz w:val="20"/>
          <w:lang w:val="fr-CA"/>
        </w:rPr>
      </w:pPr>
      <w:r w:rsidRPr="00645E6F">
        <w:rPr>
          <w:sz w:val="20"/>
          <w:lang w:val="fr-CA"/>
        </w:rPr>
        <w:lastRenderedPageBreak/>
        <w:t>(</w:t>
      </w:r>
      <w:r w:rsidRPr="00645E6F">
        <w:rPr>
          <w:smallCaps/>
          <w:sz w:val="20"/>
          <w:lang w:val="fr-CA"/>
        </w:rPr>
        <w:t>Ordonnance de non-publication dans le dossier</w:t>
      </w:r>
      <w:r w:rsidRPr="00645E6F">
        <w:rPr>
          <w:sz w:val="20"/>
          <w:lang w:val="fr-CA"/>
        </w:rPr>
        <w:t>)</w:t>
      </w:r>
    </w:p>
    <w:p w:rsidR="00B930CF" w:rsidRPr="00645E6F" w:rsidRDefault="00B930CF">
      <w:pPr>
        <w:widowControl w:val="0"/>
        <w:jc w:val="both"/>
        <w:rPr>
          <w:sz w:val="20"/>
          <w:lang w:val="fr-CA"/>
        </w:rPr>
      </w:pPr>
    </w:p>
    <w:p w:rsidR="00B930CF" w:rsidRPr="00645E6F" w:rsidRDefault="00B930CF">
      <w:pPr>
        <w:widowControl w:val="0"/>
        <w:jc w:val="both"/>
        <w:rPr>
          <w:sz w:val="20"/>
          <w:lang w:val="fr-CA"/>
        </w:rPr>
      </w:pPr>
      <w:r w:rsidRPr="00645E6F">
        <w:rPr>
          <w:sz w:val="20"/>
          <w:lang w:val="fr-CA"/>
        </w:rPr>
        <w:t>Droit criminel — Preuve — Admissibilité — Ouï-dire — Déclaration extrajudiciaire — Preuve corroborante — Circonstances dans lesquelles la déclaration a été faite — La Cour d’appel du Québec a-t-elle erré en droit en confirmant la décision d’admettre en preuve la déclaration du témoin K.A. en suivant les principes établis du ouï-dire raisonné?</w:t>
      </w:r>
    </w:p>
    <w:p w:rsidR="00B930CF" w:rsidRPr="00645E6F" w:rsidRDefault="00B930CF">
      <w:pPr>
        <w:widowControl w:val="0"/>
        <w:jc w:val="both"/>
        <w:rPr>
          <w:sz w:val="20"/>
          <w:lang w:val="fr-CA"/>
        </w:rPr>
      </w:pPr>
    </w:p>
    <w:p w:rsidR="00B930CF" w:rsidRPr="00645E6F" w:rsidRDefault="00B930CF">
      <w:pPr>
        <w:widowControl w:val="0"/>
        <w:jc w:val="both"/>
        <w:rPr>
          <w:sz w:val="20"/>
          <w:lang w:val="fr-CA"/>
        </w:rPr>
      </w:pPr>
      <w:r w:rsidRPr="00645E6F">
        <w:rPr>
          <w:sz w:val="20"/>
          <w:lang w:val="fr-CA"/>
        </w:rPr>
        <w:t>Au terme d’un procès devant la Cour du Québec, l’appelant, Yves Caleb Jr. Charles, est déclaré coupable de voies de fait armées, d’utilisation d’une fausse arme à feu lors de la perpétration de voies de fait et d’avoir proféré des menaces. Lors du procès, un témoin de la poursuite refuse de collaborer. Le juge de première instance permet à la poursuite d’admettre en preuve, à titre de ouï-dire, la déclaration extrajudiciaire du témoin, d’avis que la déclaration présentait des caractéristiques de fiabilité substantielle considérant la preuve corroborante et les circonstances dans lesquelles la déclaration avait été faite. La Cour d’appel, pour les motifs des juges Doyon et Cournoyer, rejette l’appel de l’accusé. Le juge Bachand, dissident, aurait accueilli l’appel et ordonné la tenue d’un nouveau procès, d’avis que la déclaration extrajudiciaire en litige n’atteignait pas le seuil de fiabilité requis pour être admise en preuve. Il estime que la preuve corroborante était sans pertinence dans l’analyse du seuil de fiabilité quant à l’affirmation du témoin sur le comportement et les paroles de l’appelant, et que les circonstances dans lesquelles la déclaration a été faite ne présentaient pas des garanties suffisantes de fiabilité substantielle.</w:t>
      </w:r>
    </w:p>
    <w:p w:rsidR="00046AF2" w:rsidRPr="00645E6F" w:rsidRDefault="00046AF2" w:rsidP="003B3C19">
      <w:pPr>
        <w:widowControl w:val="0"/>
        <w:jc w:val="both"/>
        <w:rPr>
          <w:sz w:val="20"/>
          <w:lang w:val="fr-CA"/>
        </w:rPr>
      </w:pPr>
    </w:p>
    <w:p w:rsidR="00EF4622" w:rsidRPr="00645E6F" w:rsidRDefault="00700A4F" w:rsidP="00CD14BB">
      <w:pPr>
        <w:pStyle w:val="aparanumbering1"/>
        <w:shd w:val="clear" w:color="auto" w:fill="FFFFFF"/>
        <w:spacing w:before="0" w:after="0"/>
        <w:ind w:left="0"/>
        <w:rPr>
          <w:rFonts w:ascii="Times New Roman" w:hAnsi="Times New Roman" w:cs="Times New Roman"/>
          <w:sz w:val="20"/>
          <w:szCs w:val="20"/>
          <w:lang w:val="fr-CA"/>
        </w:rPr>
      </w:pPr>
      <w:r>
        <w:rPr>
          <w:sz w:val="20"/>
        </w:rPr>
        <w:pict>
          <v:rect id="_x0000_i1026" style="width:2in;height:1pt" o:hrpct="0" o:hralign="center" o:hrstd="t" o:hrnoshade="t" o:hr="t" fillcolor="black [3213]" stroked="f"/>
        </w:pict>
      </w:r>
    </w:p>
    <w:p w:rsidR="00E92006" w:rsidRPr="00645E6F" w:rsidRDefault="00E92006" w:rsidP="00340C6D">
      <w:pPr>
        <w:jc w:val="both"/>
        <w:rPr>
          <w:sz w:val="20"/>
          <w:lang w:val="fr-CA"/>
        </w:rPr>
      </w:pPr>
    </w:p>
    <w:p w:rsidR="00E92006" w:rsidRPr="00645E6F" w:rsidRDefault="00E92006" w:rsidP="00340C6D">
      <w:pPr>
        <w:jc w:val="both"/>
        <w:rPr>
          <w:sz w:val="20"/>
          <w:lang w:val="fr-CA"/>
        </w:rPr>
      </w:pPr>
    </w:p>
    <w:p w:rsidR="00072A63" w:rsidRPr="00645E6F" w:rsidRDefault="00072A63" w:rsidP="00EC79B0">
      <w:pPr>
        <w:jc w:val="both"/>
        <w:rPr>
          <w:sz w:val="20"/>
          <w:lang w:val="fr-CA"/>
        </w:rPr>
      </w:pPr>
    </w:p>
    <w:p w:rsidR="001C4415" w:rsidRPr="00645E6F" w:rsidRDefault="001C4415" w:rsidP="001C4415">
      <w:pPr>
        <w:widowControl w:val="0"/>
        <w:outlineLvl w:val="0"/>
      </w:pPr>
      <w:r w:rsidRPr="00645E6F">
        <w:t xml:space="preserve">Supreme Court of Canada / Cour suprême du </w:t>
      </w:r>
      <w:proofErr w:type="gramStart"/>
      <w:r w:rsidRPr="00645E6F">
        <w:t>Canada :</w:t>
      </w:r>
      <w:proofErr w:type="gramEnd"/>
      <w:r w:rsidRPr="00645E6F">
        <w:t xml:space="preserve"> </w:t>
      </w:r>
    </w:p>
    <w:p w:rsidR="004F410B" w:rsidRPr="00645E6F" w:rsidRDefault="00700A4F" w:rsidP="004F410B">
      <w:pPr>
        <w:widowControl w:val="0"/>
        <w:outlineLvl w:val="0"/>
      </w:pPr>
      <w:hyperlink r:id="rId9" w:history="1">
        <w:r w:rsidR="004F410B" w:rsidRPr="00645E6F">
          <w:rPr>
            <w:rStyle w:val="Hyperlink"/>
          </w:rPr>
          <w:t>Registry-greffe@scc-csc.ca</w:t>
        </w:r>
      </w:hyperlink>
    </w:p>
    <w:p w:rsidR="001C4415" w:rsidRDefault="004F410B" w:rsidP="004F410B">
      <w:pPr>
        <w:widowControl w:val="0"/>
        <w:outlineLvl w:val="0"/>
      </w:pPr>
      <w:r w:rsidRPr="00645E6F">
        <w:t>1-844-365-9662</w:t>
      </w:r>
    </w:p>
    <w:p w:rsidR="0049454A" w:rsidRDefault="0049454A" w:rsidP="004F410B">
      <w:pPr>
        <w:widowControl w:val="0"/>
        <w:outlineLvl w:val="0"/>
      </w:pP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4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4582"/>
    <w:rsid w:val="00506DD4"/>
    <w:rsid w:val="00512FB2"/>
    <w:rsid w:val="0051320D"/>
    <w:rsid w:val="005132EC"/>
    <w:rsid w:val="00517F18"/>
    <w:rsid w:val="00520525"/>
    <w:rsid w:val="00520A3C"/>
    <w:rsid w:val="00525362"/>
    <w:rsid w:val="00525B8E"/>
    <w:rsid w:val="005271AD"/>
    <w:rsid w:val="00531567"/>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4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3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3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4311</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2024-09-19T21:25:00Z</dcterms:modified>
</cp:coreProperties>
</file>