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2B" w:rsidRPr="00A65253" w:rsidRDefault="002A192B" w:rsidP="002A192B">
      <w:pPr>
        <w:pStyle w:val="Header"/>
        <w:jc w:val="center"/>
        <w:rPr>
          <w:b/>
          <w:sz w:val="32"/>
        </w:rPr>
      </w:pPr>
      <w:r w:rsidRPr="00A65253">
        <w:rPr>
          <w:b/>
          <w:sz w:val="32"/>
        </w:rPr>
        <w:t>Supreme Court of Canada / Cour suprême du Canada</w:t>
      </w:r>
    </w:p>
    <w:p w:rsidR="002A192B" w:rsidRPr="00A65253" w:rsidRDefault="002A192B" w:rsidP="002A192B">
      <w:pPr>
        <w:widowControl w:val="0"/>
        <w:rPr>
          <w:i/>
        </w:rPr>
      </w:pPr>
    </w:p>
    <w:p w:rsidR="002A192B" w:rsidRPr="00A65253" w:rsidRDefault="002A192B" w:rsidP="002A192B">
      <w:pPr>
        <w:widowControl w:val="0"/>
        <w:rPr>
          <w:i/>
        </w:rPr>
      </w:pPr>
    </w:p>
    <w:p w:rsidR="001C4415" w:rsidRPr="00A65253" w:rsidRDefault="001C4415" w:rsidP="001C4415">
      <w:pPr>
        <w:widowControl w:val="0"/>
        <w:rPr>
          <w:i/>
          <w:sz w:val="20"/>
        </w:rPr>
      </w:pPr>
      <w:r w:rsidRPr="00A65253">
        <w:rPr>
          <w:i/>
          <w:sz w:val="20"/>
        </w:rPr>
        <w:t>(</w:t>
      </w:r>
      <w:r w:rsidR="003C50BF" w:rsidRPr="00A65253">
        <w:rPr>
          <w:i/>
          <w:sz w:val="20"/>
        </w:rPr>
        <w:t>Le</w:t>
      </w:r>
      <w:r w:rsidRPr="00A65253">
        <w:rPr>
          <w:i/>
          <w:sz w:val="20"/>
        </w:rPr>
        <w:t xml:space="preserve"> français suit)</w:t>
      </w:r>
    </w:p>
    <w:p w:rsidR="001C4415" w:rsidRPr="00A65253" w:rsidRDefault="001C4415" w:rsidP="001C4415">
      <w:pPr>
        <w:widowControl w:val="0"/>
      </w:pPr>
    </w:p>
    <w:p w:rsidR="001C4415" w:rsidRPr="00A65253" w:rsidRDefault="000347C1" w:rsidP="00214729">
      <w:pPr>
        <w:widowControl w:val="0"/>
        <w:jc w:val="center"/>
        <w:rPr>
          <w:b/>
        </w:rPr>
      </w:pPr>
      <w:r w:rsidRPr="00A65253">
        <w:fldChar w:fldCharType="begin"/>
      </w:r>
      <w:r w:rsidR="00FA7412" w:rsidRPr="00A65253">
        <w:instrText xml:space="preserve"> SEQ CHAPTER \h \r 1</w:instrText>
      </w:r>
      <w:r w:rsidRPr="00A65253">
        <w:fldChar w:fldCharType="end"/>
      </w:r>
      <w:r w:rsidR="00455BB9" w:rsidRPr="00A65253">
        <w:rPr>
          <w:b/>
        </w:rPr>
        <w:t>JUDGMENT</w:t>
      </w:r>
      <w:r w:rsidR="00FA7412" w:rsidRPr="00A65253">
        <w:rPr>
          <w:b/>
        </w:rPr>
        <w:t xml:space="preserve"> TO BE RENDERED </w:t>
      </w:r>
      <w:r w:rsidR="00E43F22" w:rsidRPr="00A65253">
        <w:rPr>
          <w:b/>
        </w:rPr>
        <w:t>O</w:t>
      </w:r>
      <w:r w:rsidR="00FA7412" w:rsidRPr="00A65253">
        <w:rPr>
          <w:b/>
        </w:rPr>
        <w:t>N APPEA</w:t>
      </w:r>
      <w:r w:rsidR="00CC2799" w:rsidRPr="00A65253">
        <w:rPr>
          <w:b/>
        </w:rPr>
        <w:t>L</w:t>
      </w:r>
    </w:p>
    <w:p w:rsidR="005A7C1B" w:rsidRPr="00A65253" w:rsidRDefault="005A7C1B" w:rsidP="005A7C1B">
      <w:pPr>
        <w:widowControl w:val="0"/>
      </w:pPr>
    </w:p>
    <w:p w:rsidR="00EC79B0" w:rsidRPr="00A65253" w:rsidRDefault="00501215" w:rsidP="00EC79B0">
      <w:pPr>
        <w:widowControl w:val="0"/>
      </w:pPr>
      <w:r w:rsidRPr="00A65253">
        <w:rPr>
          <w:b/>
        </w:rPr>
        <w:t>November</w:t>
      </w:r>
      <w:r w:rsidR="00C86395" w:rsidRPr="00A65253">
        <w:rPr>
          <w:b/>
        </w:rPr>
        <w:t xml:space="preserve"> </w:t>
      </w:r>
      <w:r w:rsidR="00E9209B" w:rsidRPr="00A65253">
        <w:rPr>
          <w:b/>
        </w:rPr>
        <w:t>2</w:t>
      </w:r>
      <w:r w:rsidR="00BA340E">
        <w:rPr>
          <w:b/>
        </w:rPr>
        <w:t>5</w:t>
      </w:r>
      <w:r w:rsidR="00EC79B0" w:rsidRPr="00A65253">
        <w:rPr>
          <w:b/>
        </w:rPr>
        <w:t>, 2</w:t>
      </w:r>
      <w:r w:rsidR="00E6600C" w:rsidRPr="00A65253">
        <w:rPr>
          <w:b/>
        </w:rPr>
        <w:t>0</w:t>
      </w:r>
      <w:r w:rsidR="009544E9" w:rsidRPr="00A65253">
        <w:rPr>
          <w:b/>
        </w:rPr>
        <w:t>2</w:t>
      </w:r>
      <w:r w:rsidR="0049454A" w:rsidRPr="00A65253">
        <w:rPr>
          <w:b/>
        </w:rPr>
        <w:t>4</w:t>
      </w:r>
    </w:p>
    <w:p w:rsidR="00EC79B0" w:rsidRPr="00A65253" w:rsidRDefault="00EC79B0" w:rsidP="00EC79B0">
      <w:pPr>
        <w:widowControl w:val="0"/>
      </w:pPr>
    </w:p>
    <w:p w:rsidR="00EC79B0" w:rsidRPr="00A65253" w:rsidRDefault="00EC79B0" w:rsidP="00EC79B0">
      <w:pPr>
        <w:widowControl w:val="0"/>
      </w:pPr>
      <w:r w:rsidRPr="00A65253">
        <w:rPr>
          <w:b/>
        </w:rPr>
        <w:t>OTTAWA</w:t>
      </w:r>
      <w:r w:rsidRPr="00A65253">
        <w:t xml:space="preserve"> – </w:t>
      </w:r>
      <w:r w:rsidR="0095505F" w:rsidRPr="00A65253">
        <w:t xml:space="preserve">The Supreme Court of Canada will deliver its judgment on the following appeal at 9:45 a.m. ET on </w:t>
      </w:r>
      <w:r w:rsidR="00D27D6F" w:rsidRPr="00A65253">
        <w:t>Friday</w:t>
      </w:r>
      <w:r w:rsidR="0095505F" w:rsidRPr="00A65253">
        <w:t xml:space="preserve">, </w:t>
      </w:r>
      <w:r w:rsidR="002D0B9A" w:rsidRPr="00A65253">
        <w:t>November</w:t>
      </w:r>
      <w:r w:rsidR="0095505F" w:rsidRPr="00A65253">
        <w:t xml:space="preserve"> </w:t>
      </w:r>
      <w:r w:rsidR="007D7161" w:rsidRPr="00A65253">
        <w:t>2</w:t>
      </w:r>
      <w:r w:rsidR="00E9209B" w:rsidRPr="00A65253">
        <w:t>9</w:t>
      </w:r>
      <w:r w:rsidR="0095505F" w:rsidRPr="00A65253">
        <w:t>, 202</w:t>
      </w:r>
      <w:r w:rsidR="0049454A" w:rsidRPr="00A65253">
        <w:t>4</w:t>
      </w:r>
      <w:r w:rsidR="0095505F" w:rsidRPr="00A65253">
        <w:t>.</w:t>
      </w:r>
    </w:p>
    <w:p w:rsidR="001F76DD" w:rsidRPr="00A65253" w:rsidRDefault="001F76DD" w:rsidP="001C4415">
      <w:pPr>
        <w:widowControl w:val="0"/>
        <w:rPr>
          <w:szCs w:val="24"/>
        </w:rPr>
      </w:pPr>
    </w:p>
    <w:p w:rsidR="00A97E61" w:rsidRPr="00A65253" w:rsidRDefault="00A97E61" w:rsidP="001C4415">
      <w:pPr>
        <w:widowControl w:val="0"/>
        <w:rPr>
          <w:szCs w:val="24"/>
        </w:rPr>
      </w:pPr>
    </w:p>
    <w:p w:rsidR="00A97E61" w:rsidRPr="00A65253" w:rsidRDefault="006A4822" w:rsidP="00A97E61">
      <w:pPr>
        <w:jc w:val="both"/>
        <w:rPr>
          <w:szCs w:val="24"/>
        </w:rPr>
      </w:pPr>
      <w:r w:rsidRPr="00A65253">
        <w:rPr>
          <w:i/>
          <w:szCs w:val="24"/>
        </w:rPr>
        <w:t xml:space="preserve">Sanis Health Inc., et al. v. His Majesty the King in Right of the Province of British Columbia </w:t>
      </w:r>
      <w:r w:rsidR="00A97E61" w:rsidRPr="00A65253">
        <w:rPr>
          <w:szCs w:val="24"/>
        </w:rPr>
        <w:t>(</w:t>
      </w:r>
      <w:r w:rsidRPr="00A65253">
        <w:rPr>
          <w:szCs w:val="24"/>
        </w:rPr>
        <w:t>B.C</w:t>
      </w:r>
      <w:r w:rsidR="002848B1" w:rsidRPr="00A65253">
        <w:rPr>
          <w:szCs w:val="24"/>
        </w:rPr>
        <w:t>.</w:t>
      </w:r>
      <w:r w:rsidR="00A97E61" w:rsidRPr="00A65253">
        <w:rPr>
          <w:szCs w:val="24"/>
        </w:rPr>
        <w:t xml:space="preserve">) </w:t>
      </w:r>
      <w:r w:rsidR="00A97E61" w:rsidRPr="00A65253">
        <w:t>(</w:t>
      </w:r>
      <w:hyperlink r:id="rId7" w:history="1">
        <w:r w:rsidR="002915B5" w:rsidRPr="00A65253">
          <w:rPr>
            <w:rStyle w:val="Hyperlink"/>
          </w:rPr>
          <w:t>4</w:t>
        </w:r>
        <w:r w:rsidR="008E3E95" w:rsidRPr="00A65253">
          <w:rPr>
            <w:rStyle w:val="Hyperlink"/>
          </w:rPr>
          <w:t>0</w:t>
        </w:r>
        <w:r w:rsidR="00E9209B" w:rsidRPr="00A65253">
          <w:rPr>
            <w:rStyle w:val="Hyperlink"/>
          </w:rPr>
          <w:t>864</w:t>
        </w:r>
      </w:hyperlink>
      <w:r w:rsidR="00A97E61" w:rsidRPr="00A65253">
        <w:t>)</w:t>
      </w:r>
    </w:p>
    <w:p w:rsidR="00A97E61" w:rsidRPr="00A65253" w:rsidRDefault="00A97E61" w:rsidP="00AC11A6">
      <w:pPr>
        <w:widowControl w:val="0"/>
        <w:jc w:val="both"/>
        <w:rPr>
          <w:sz w:val="20"/>
        </w:rPr>
      </w:pPr>
    </w:p>
    <w:bookmarkStart w:id="0" w:name="1"/>
    <w:bookmarkEnd w:id="0"/>
    <w:p w:rsidR="006A4822" w:rsidRPr="00A65253" w:rsidRDefault="006A4822" w:rsidP="006A4822">
      <w:pPr>
        <w:widowControl w:val="0"/>
        <w:ind w:left="851" w:hanging="851"/>
        <w:jc w:val="both"/>
        <w:rPr>
          <w:b/>
          <w:i/>
          <w:sz w:val="20"/>
        </w:rPr>
      </w:pPr>
      <w:r w:rsidRPr="00A65253">
        <w:rPr>
          <w:b/>
          <w:sz w:val="20"/>
          <w:lang w:val="en-CA"/>
        </w:rPr>
        <w:fldChar w:fldCharType="begin"/>
      </w:r>
      <w:r w:rsidRPr="00A65253">
        <w:rPr>
          <w:b/>
          <w:sz w:val="20"/>
        </w:rPr>
        <w:instrText xml:space="preserve"> SEQ CHAPTER \h \r 1</w:instrText>
      </w:r>
      <w:r w:rsidRPr="00A65253">
        <w:rPr>
          <w:b/>
          <w:sz w:val="20"/>
        </w:rPr>
        <w:fldChar w:fldCharType="end"/>
      </w:r>
      <w:r w:rsidRPr="00A65253">
        <w:rPr>
          <w:b/>
          <w:sz w:val="20"/>
        </w:rPr>
        <w:t>40864</w:t>
      </w:r>
      <w:r w:rsidRPr="00A65253">
        <w:rPr>
          <w:b/>
          <w:sz w:val="20"/>
        </w:rPr>
        <w:tab/>
      </w:r>
      <w:bookmarkStart w:id="1" w:name="3"/>
      <w:bookmarkEnd w:id="1"/>
      <w:r w:rsidRPr="00A65253">
        <w:rPr>
          <w:b/>
          <w:i/>
          <w:sz w:val="20"/>
        </w:rPr>
        <w:t xml:space="preserve">Sanis Health Inc., Shoppers Drug Mart Inc., Sandoz Canada Inc. and McKesson Canada Corporation v. His Majesty </w:t>
      </w:r>
      <w:proofErr w:type="gramStart"/>
      <w:r w:rsidRPr="00A65253">
        <w:rPr>
          <w:b/>
          <w:i/>
          <w:sz w:val="20"/>
        </w:rPr>
        <w:t>The</w:t>
      </w:r>
      <w:proofErr w:type="gramEnd"/>
      <w:r w:rsidRPr="00A65253">
        <w:rPr>
          <w:b/>
          <w:i/>
          <w:sz w:val="20"/>
        </w:rPr>
        <w:t xml:space="preserve"> King in Right of the Province of British Columbia</w:t>
      </w:r>
    </w:p>
    <w:p w:rsidR="006A4822" w:rsidRPr="00A65253" w:rsidRDefault="006A4822" w:rsidP="006A4822">
      <w:pPr>
        <w:widowControl w:val="0"/>
        <w:ind w:left="851" w:hanging="851"/>
        <w:jc w:val="both"/>
        <w:rPr>
          <w:sz w:val="20"/>
          <w:lang w:val="en-CA"/>
        </w:rPr>
      </w:pPr>
      <w:r w:rsidRPr="00A65253">
        <w:rPr>
          <w:sz w:val="20"/>
        </w:rPr>
        <w:tab/>
      </w:r>
      <w:r w:rsidRPr="00A65253">
        <w:rPr>
          <w:sz w:val="20"/>
          <w:lang w:val="en-CA"/>
        </w:rPr>
        <w:t>(B.C.) (Civil) (By leave)</w:t>
      </w:r>
    </w:p>
    <w:p w:rsidR="006A4822" w:rsidRPr="00A65253" w:rsidRDefault="006A4822">
      <w:pPr>
        <w:widowControl w:val="0"/>
        <w:jc w:val="both"/>
        <w:rPr>
          <w:szCs w:val="24"/>
        </w:rPr>
      </w:pPr>
    </w:p>
    <w:p w:rsidR="006A4822" w:rsidRPr="00A65253" w:rsidRDefault="006A4822" w:rsidP="008A2F82">
      <w:pPr>
        <w:jc w:val="both"/>
        <w:rPr>
          <w:sz w:val="20"/>
        </w:rPr>
      </w:pPr>
      <w:r w:rsidRPr="00A65253">
        <w:rPr>
          <w:sz w:val="20"/>
        </w:rPr>
        <w:t xml:space="preserve">Constitutional law — Division of powers — Civil procedure — Class actions — Multi-Crown proceedings — Provincial legislation providing province may bring an action on behalf of a class consisting of governments of Canada and the provinces and territories of Canada — Whether s. 11 of the </w:t>
      </w:r>
      <w:r w:rsidRPr="00A65253">
        <w:rPr>
          <w:i/>
          <w:sz w:val="20"/>
        </w:rPr>
        <w:t>Opioid Damages and Health Care Costs Recovery Act</w:t>
      </w:r>
      <w:r w:rsidRPr="00A65253">
        <w:rPr>
          <w:sz w:val="20"/>
        </w:rPr>
        <w:t xml:space="preserve">, S.B.C. 2018, c. 35 is </w:t>
      </w:r>
      <w:r w:rsidRPr="00A65253">
        <w:rPr>
          <w:i/>
          <w:sz w:val="20"/>
        </w:rPr>
        <w:t xml:space="preserve">ultra vires </w:t>
      </w:r>
      <w:r w:rsidRPr="00A65253">
        <w:rPr>
          <w:sz w:val="20"/>
        </w:rPr>
        <w:t xml:space="preserve">the Legislative Assembly of British Columbia and of no force or effect pursuant to s. 52 of the </w:t>
      </w:r>
      <w:r w:rsidRPr="00A65253">
        <w:rPr>
          <w:i/>
          <w:sz w:val="20"/>
        </w:rPr>
        <w:t xml:space="preserve">Constitution Act, 1982 </w:t>
      </w:r>
      <w:r w:rsidRPr="00A65253">
        <w:rPr>
          <w:sz w:val="20"/>
        </w:rPr>
        <w:t xml:space="preserve">— </w:t>
      </w:r>
      <w:r w:rsidRPr="00A65253">
        <w:rPr>
          <w:i/>
          <w:sz w:val="20"/>
        </w:rPr>
        <w:t>Opioid Damages and Health Care Costs Recovery Act</w:t>
      </w:r>
      <w:r w:rsidRPr="00A65253">
        <w:rPr>
          <w:sz w:val="20"/>
        </w:rPr>
        <w:t>, S.B.C. 2018, c. 35, s. 11</w:t>
      </w:r>
    </w:p>
    <w:p w:rsidR="006A4822" w:rsidRPr="00A65253" w:rsidRDefault="006A4822">
      <w:pPr>
        <w:widowControl w:val="0"/>
        <w:jc w:val="both"/>
        <w:rPr>
          <w:sz w:val="20"/>
        </w:rPr>
      </w:pPr>
    </w:p>
    <w:p w:rsidR="006A4822" w:rsidRPr="00A65253" w:rsidRDefault="006A4822" w:rsidP="008A2F82">
      <w:pPr>
        <w:jc w:val="both"/>
        <w:rPr>
          <w:sz w:val="20"/>
        </w:rPr>
      </w:pPr>
      <w:r w:rsidRPr="00A65253">
        <w:rPr>
          <w:sz w:val="20"/>
        </w:rPr>
        <w:t xml:space="preserve">In 2018, the Province of British Columbia (hereafter, “BC”) enacted the </w:t>
      </w:r>
      <w:r w:rsidRPr="00A65253">
        <w:rPr>
          <w:i/>
          <w:sz w:val="20"/>
        </w:rPr>
        <w:t>Opioid Damages and Health Care Costs Recovery Act</w:t>
      </w:r>
      <w:r w:rsidRPr="00A65253">
        <w:rPr>
          <w:sz w:val="20"/>
        </w:rPr>
        <w:t xml:space="preserve"> (the “ORA”). The ORA allows BC to recover health care costs caused or contributed to by “opioid‑related wrongs” committed by manufacturers and distributors of opioid drugs.</w:t>
      </w:r>
    </w:p>
    <w:p w:rsidR="006A4822" w:rsidRPr="00A65253" w:rsidRDefault="006A4822" w:rsidP="008A2F82">
      <w:pPr>
        <w:jc w:val="both"/>
        <w:rPr>
          <w:sz w:val="20"/>
        </w:rPr>
      </w:pPr>
    </w:p>
    <w:p w:rsidR="006A4822" w:rsidRPr="00A65253" w:rsidRDefault="006A4822" w:rsidP="008A2F82">
      <w:pPr>
        <w:jc w:val="both"/>
        <w:rPr>
          <w:sz w:val="20"/>
        </w:rPr>
      </w:pPr>
      <w:r w:rsidRPr="00A65253">
        <w:rPr>
          <w:sz w:val="20"/>
        </w:rPr>
        <w:t xml:space="preserve">Section 11 of the ORA applies to proceedings relating to opioid-related wrongs that were ongoing as of the date that it came into force; such proceedings are continued in accordance with the ORA. Section 11(1)(b) states that for the purposes of s. 4 of the </w:t>
      </w:r>
      <w:r w:rsidRPr="00A65253">
        <w:rPr>
          <w:i/>
          <w:sz w:val="20"/>
        </w:rPr>
        <w:t>Class Proceedings Act</w:t>
      </w:r>
      <w:r w:rsidRPr="00A65253">
        <w:rPr>
          <w:sz w:val="20"/>
        </w:rPr>
        <w:t>, R.S.B.C. 1996, c. 50 (the “CPA”),</w:t>
      </w:r>
      <w:r w:rsidRPr="00A65253">
        <w:rPr>
          <w:i/>
          <w:sz w:val="20"/>
        </w:rPr>
        <w:t xml:space="preserve"> </w:t>
      </w:r>
      <w:r w:rsidRPr="00A65253">
        <w:rPr>
          <w:sz w:val="20"/>
        </w:rPr>
        <w:t>BC may “bring an action” on behalf of a class consisting of one or more of the governments of Canada and the provinces or territories of Canada (a so-called “multi-Crown” proceeding). Section 11(2) preserves the right of those governments to opt out of the proceeding in accordance with s. 16 of the CPA.</w:t>
      </w:r>
    </w:p>
    <w:p w:rsidR="006A4822" w:rsidRPr="00A65253" w:rsidRDefault="006A4822" w:rsidP="008A2F82">
      <w:pPr>
        <w:jc w:val="both"/>
        <w:rPr>
          <w:sz w:val="20"/>
        </w:rPr>
      </w:pPr>
    </w:p>
    <w:p w:rsidR="006A4822" w:rsidRPr="00A65253" w:rsidRDefault="006A4822" w:rsidP="008A2F82">
      <w:pPr>
        <w:jc w:val="both"/>
        <w:rPr>
          <w:sz w:val="20"/>
        </w:rPr>
      </w:pPr>
      <w:r w:rsidRPr="00A65253">
        <w:rPr>
          <w:sz w:val="20"/>
        </w:rPr>
        <w:t xml:space="preserve">Appellants Sanis Health Inc., Shoppers Drug Mart Inc., Sandoz Canada Inc., and McKesson Canada Corporation (collectively, “Sanis”), are named as defendants in the proposed “multi-Crown” class proceeding which underlies this appeal. The underlying proceeding was commenced before s. 11 of the ORA came into force, and it is the only proceeding to which s. 11 applies. </w:t>
      </w:r>
    </w:p>
    <w:p w:rsidR="006A4822" w:rsidRPr="00A65253" w:rsidRDefault="006A4822" w:rsidP="008A2F82">
      <w:pPr>
        <w:jc w:val="both"/>
        <w:rPr>
          <w:sz w:val="20"/>
        </w:rPr>
      </w:pPr>
    </w:p>
    <w:p w:rsidR="006A4822" w:rsidRPr="00A65253" w:rsidRDefault="006A4822" w:rsidP="008A2F82">
      <w:pPr>
        <w:jc w:val="both"/>
        <w:rPr>
          <w:sz w:val="20"/>
        </w:rPr>
      </w:pPr>
      <w:r w:rsidRPr="00A65253">
        <w:rPr>
          <w:sz w:val="20"/>
        </w:rPr>
        <w:t xml:space="preserve">Sanis sought, by way of summary trial, an order striking s. 11 as </w:t>
      </w:r>
      <w:r w:rsidRPr="00A65253">
        <w:rPr>
          <w:i/>
          <w:sz w:val="20"/>
        </w:rPr>
        <w:t>ultra vires</w:t>
      </w:r>
      <w:r w:rsidRPr="00A65253">
        <w:rPr>
          <w:sz w:val="20"/>
        </w:rPr>
        <w:t xml:space="preserve"> the Legislative Assembly of British Columbia and therefore of no force or effect pursuant to s. 52 of the </w:t>
      </w:r>
      <w:r w:rsidRPr="00A65253">
        <w:rPr>
          <w:i/>
          <w:sz w:val="20"/>
        </w:rPr>
        <w:t>Constitution Act, 1982</w:t>
      </w:r>
      <w:r w:rsidRPr="00A65253">
        <w:rPr>
          <w:sz w:val="20"/>
        </w:rPr>
        <w:t xml:space="preserve">. </w:t>
      </w:r>
    </w:p>
    <w:p w:rsidR="006A4822" w:rsidRPr="00A65253" w:rsidRDefault="006A4822" w:rsidP="008A2F82">
      <w:pPr>
        <w:jc w:val="both"/>
        <w:rPr>
          <w:sz w:val="20"/>
        </w:rPr>
      </w:pPr>
    </w:p>
    <w:p w:rsidR="006A4822" w:rsidRPr="00A65253" w:rsidRDefault="006A4822" w:rsidP="008A2F82">
      <w:pPr>
        <w:jc w:val="both"/>
        <w:rPr>
          <w:sz w:val="20"/>
        </w:rPr>
      </w:pPr>
      <w:r w:rsidRPr="00A65253">
        <w:rPr>
          <w:sz w:val="20"/>
        </w:rPr>
        <w:t>The summary trial judge held that the s. 11 was within the legislature’s authority, and dismissed Sanis’ applications for a declaration of constitutional invalidity. A unanimous Court of Appeal held that the summary trial judge did not err in upholding the constitutional validity of s. 11 of the ORA, and dismissed Sanis’ appeal.</w:t>
      </w:r>
    </w:p>
    <w:p w:rsidR="004874F7" w:rsidRPr="00A65253" w:rsidRDefault="004874F7" w:rsidP="001C4415">
      <w:pPr>
        <w:widowControl w:val="0"/>
        <w:rPr>
          <w:szCs w:val="24"/>
        </w:rPr>
      </w:pPr>
    </w:p>
    <w:p w:rsidR="004874F7" w:rsidRPr="00A65253" w:rsidRDefault="004874F7" w:rsidP="001C4415">
      <w:pPr>
        <w:widowControl w:val="0"/>
        <w:rPr>
          <w:szCs w:val="24"/>
        </w:rPr>
      </w:pPr>
    </w:p>
    <w:p w:rsidR="00A97E61" w:rsidRPr="00A65253" w:rsidRDefault="00BA340E" w:rsidP="001C4415">
      <w:pPr>
        <w:widowControl w:val="0"/>
        <w:rPr>
          <w:szCs w:val="24"/>
          <w:lang w:val="fr-CA"/>
        </w:rPr>
      </w:pPr>
      <w:r>
        <w:rPr>
          <w:sz w:val="18"/>
          <w:szCs w:val="18"/>
        </w:rPr>
        <w:pict>
          <v:rect id="_x0000_i1025" style="width:272.25pt;height:1.5pt" o:hrpct="0" o:hralign="center" o:hrstd="t" o:hrnoshade="t" o:hr="t" fillcolor="black [3213]" stroked="f"/>
        </w:pict>
      </w:r>
    </w:p>
    <w:p w:rsidR="00A97E61" w:rsidRPr="00A65253" w:rsidRDefault="00A97E61" w:rsidP="001C4415">
      <w:pPr>
        <w:widowControl w:val="0"/>
        <w:rPr>
          <w:szCs w:val="24"/>
          <w:lang w:val="fr-CA"/>
        </w:rPr>
      </w:pPr>
    </w:p>
    <w:p w:rsidR="001C4415" w:rsidRPr="00A65253" w:rsidRDefault="001C4415" w:rsidP="001C4415">
      <w:pPr>
        <w:widowControl w:val="0"/>
        <w:rPr>
          <w:lang w:val="fr-CA"/>
        </w:rPr>
      </w:pPr>
    </w:p>
    <w:p w:rsidR="001335A1" w:rsidRPr="00A65253" w:rsidRDefault="001335A1" w:rsidP="001335A1">
      <w:pPr>
        <w:widowControl w:val="0"/>
        <w:jc w:val="center"/>
        <w:rPr>
          <w:b/>
          <w:lang w:val="fr-CA"/>
        </w:rPr>
      </w:pPr>
      <w:r w:rsidRPr="00A65253">
        <w:rPr>
          <w:b/>
          <w:lang w:val="fr-CA"/>
        </w:rPr>
        <w:t>PROCHAIN JUGEMENT</w:t>
      </w:r>
      <w:r w:rsidR="00455BB9" w:rsidRPr="00A65253">
        <w:rPr>
          <w:b/>
          <w:lang w:val="fr-CA"/>
        </w:rPr>
        <w:t xml:space="preserve"> SUR APPEL</w:t>
      </w:r>
    </w:p>
    <w:p w:rsidR="001335A1" w:rsidRPr="00A65253" w:rsidRDefault="001335A1" w:rsidP="001335A1">
      <w:pPr>
        <w:widowControl w:val="0"/>
        <w:rPr>
          <w:lang w:val="fr-CA"/>
        </w:rPr>
      </w:pPr>
    </w:p>
    <w:p w:rsidR="00EC79B0" w:rsidRPr="00A65253" w:rsidRDefault="00EC79B0" w:rsidP="00EC79B0">
      <w:pPr>
        <w:widowControl w:val="0"/>
        <w:rPr>
          <w:lang w:val="fr-CA"/>
        </w:rPr>
      </w:pPr>
      <w:r w:rsidRPr="00A65253">
        <w:rPr>
          <w:b/>
          <w:lang w:val="fr-CA"/>
        </w:rPr>
        <w:t xml:space="preserve">Le </w:t>
      </w:r>
      <w:r w:rsidR="00E9209B" w:rsidRPr="00A65253">
        <w:rPr>
          <w:b/>
          <w:lang w:val="fr-CA"/>
        </w:rPr>
        <w:t>2</w:t>
      </w:r>
      <w:r w:rsidR="00BA340E">
        <w:rPr>
          <w:b/>
          <w:lang w:val="fr-CA"/>
        </w:rPr>
        <w:t>5</w:t>
      </w:r>
      <w:bookmarkStart w:id="2" w:name="_GoBack"/>
      <w:bookmarkEnd w:id="2"/>
      <w:r w:rsidR="00935B44" w:rsidRPr="00A65253">
        <w:rPr>
          <w:b/>
          <w:lang w:val="fr-CA"/>
        </w:rPr>
        <w:t xml:space="preserve"> </w:t>
      </w:r>
      <w:r w:rsidR="00501215" w:rsidRPr="00A65253">
        <w:rPr>
          <w:b/>
          <w:lang w:val="fr-CA"/>
        </w:rPr>
        <w:t>novem</w:t>
      </w:r>
      <w:r w:rsidR="00D27D6F" w:rsidRPr="00A65253">
        <w:rPr>
          <w:b/>
          <w:lang w:val="fr-CA"/>
        </w:rPr>
        <w:t>bre</w:t>
      </w:r>
      <w:r w:rsidR="00C86395" w:rsidRPr="00A65253">
        <w:rPr>
          <w:b/>
          <w:lang w:val="fr-CA"/>
        </w:rPr>
        <w:t xml:space="preserve"> </w:t>
      </w:r>
      <w:r w:rsidR="0086609D" w:rsidRPr="00A65253">
        <w:rPr>
          <w:b/>
          <w:lang w:val="fr-CA"/>
        </w:rPr>
        <w:t>20</w:t>
      </w:r>
      <w:r w:rsidR="009544E9" w:rsidRPr="00A65253">
        <w:rPr>
          <w:b/>
          <w:lang w:val="fr-CA"/>
        </w:rPr>
        <w:t>2</w:t>
      </w:r>
      <w:r w:rsidR="0049454A" w:rsidRPr="00A65253">
        <w:rPr>
          <w:b/>
          <w:lang w:val="fr-CA"/>
        </w:rPr>
        <w:t>4</w:t>
      </w:r>
    </w:p>
    <w:p w:rsidR="00EC79B0" w:rsidRPr="00A65253" w:rsidRDefault="00EC79B0" w:rsidP="00EC79B0">
      <w:pPr>
        <w:widowControl w:val="0"/>
        <w:rPr>
          <w:lang w:val="fr-CA"/>
        </w:rPr>
      </w:pPr>
    </w:p>
    <w:p w:rsidR="00EC79B0" w:rsidRPr="00A65253" w:rsidRDefault="00EC79B0" w:rsidP="00EC79B0">
      <w:pPr>
        <w:widowControl w:val="0"/>
        <w:rPr>
          <w:lang w:val="fr-CA"/>
        </w:rPr>
      </w:pPr>
      <w:r w:rsidRPr="00A65253">
        <w:rPr>
          <w:b/>
          <w:lang w:val="fr-CA"/>
        </w:rPr>
        <w:t>OTTAWA</w:t>
      </w:r>
      <w:r w:rsidRPr="00A65253">
        <w:rPr>
          <w:lang w:val="fr-CA"/>
        </w:rPr>
        <w:t xml:space="preserve"> – </w:t>
      </w:r>
      <w:r w:rsidR="0095505F" w:rsidRPr="00A65253">
        <w:rPr>
          <w:lang w:val="fr-CA"/>
        </w:rPr>
        <w:t xml:space="preserve">La Cour suprême du Canada rendra jugement dans l’appel suivant le </w:t>
      </w:r>
      <w:r w:rsidR="00D27D6F" w:rsidRPr="00A65253">
        <w:rPr>
          <w:lang w:val="fr-CA"/>
        </w:rPr>
        <w:t>vendredi</w:t>
      </w:r>
      <w:r w:rsidR="0095505F" w:rsidRPr="00A65253">
        <w:rPr>
          <w:lang w:val="fr-CA"/>
        </w:rPr>
        <w:t xml:space="preserve"> </w:t>
      </w:r>
      <w:r w:rsidR="007D7161" w:rsidRPr="00A65253">
        <w:rPr>
          <w:lang w:val="fr-CA"/>
        </w:rPr>
        <w:t>2</w:t>
      </w:r>
      <w:r w:rsidR="00E9209B" w:rsidRPr="00A65253">
        <w:rPr>
          <w:lang w:val="fr-CA"/>
        </w:rPr>
        <w:t>9</w:t>
      </w:r>
      <w:r w:rsidR="0095505F" w:rsidRPr="00A65253">
        <w:rPr>
          <w:lang w:val="fr-CA"/>
        </w:rPr>
        <w:t xml:space="preserve"> </w:t>
      </w:r>
      <w:r w:rsidR="002D0B9A" w:rsidRPr="00A65253">
        <w:rPr>
          <w:lang w:val="fr-CA"/>
        </w:rPr>
        <w:t>novembre</w:t>
      </w:r>
      <w:r w:rsidR="0095505F" w:rsidRPr="00A65253">
        <w:rPr>
          <w:lang w:val="fr-CA"/>
        </w:rPr>
        <w:t xml:space="preserve"> 202</w:t>
      </w:r>
      <w:r w:rsidR="0049454A" w:rsidRPr="00A65253">
        <w:rPr>
          <w:lang w:val="fr-CA"/>
        </w:rPr>
        <w:t>4</w:t>
      </w:r>
      <w:r w:rsidR="0095505F" w:rsidRPr="00A65253">
        <w:rPr>
          <w:lang w:val="fr-CA"/>
        </w:rPr>
        <w:t>, à 9 h 45 HE.</w:t>
      </w:r>
    </w:p>
    <w:p w:rsidR="001F76DD" w:rsidRPr="00A65253" w:rsidRDefault="001F76DD" w:rsidP="00E92006">
      <w:pPr>
        <w:widowControl w:val="0"/>
        <w:jc w:val="both"/>
        <w:rPr>
          <w:szCs w:val="24"/>
          <w:lang w:val="fr-CA"/>
        </w:rPr>
      </w:pPr>
    </w:p>
    <w:p w:rsidR="001335A1" w:rsidRPr="00A65253" w:rsidRDefault="001335A1" w:rsidP="001335A1">
      <w:pPr>
        <w:widowControl w:val="0"/>
        <w:rPr>
          <w:szCs w:val="24"/>
          <w:lang w:val="fr-CA"/>
        </w:rPr>
      </w:pPr>
    </w:p>
    <w:p w:rsidR="00772636" w:rsidRPr="00A65253" w:rsidRDefault="00A65253" w:rsidP="00772636">
      <w:pPr>
        <w:jc w:val="both"/>
        <w:rPr>
          <w:szCs w:val="24"/>
          <w:lang w:val="fr-CA"/>
        </w:rPr>
      </w:pPr>
      <w:r w:rsidRPr="00A65253">
        <w:rPr>
          <w:i/>
          <w:szCs w:val="24"/>
          <w:lang w:val="fr-CA"/>
        </w:rPr>
        <w:t>Sanis Health Inc., et al. c. Sa Majesté le Roi du Chef de la Province de la Colombie-Britannique</w:t>
      </w:r>
      <w:r w:rsidR="00644F7C" w:rsidRPr="00A65253">
        <w:rPr>
          <w:i/>
          <w:szCs w:val="24"/>
          <w:lang w:val="fr-CA"/>
        </w:rPr>
        <w:t xml:space="preserve"> </w:t>
      </w:r>
      <w:r w:rsidR="00772636" w:rsidRPr="00A65253">
        <w:rPr>
          <w:szCs w:val="24"/>
          <w:lang w:val="fr-CA"/>
        </w:rPr>
        <w:t>(</w:t>
      </w:r>
      <w:r w:rsidRPr="00A65253">
        <w:rPr>
          <w:szCs w:val="24"/>
          <w:lang w:val="fr-CA"/>
        </w:rPr>
        <w:t>C.-B.</w:t>
      </w:r>
      <w:r w:rsidR="00772636" w:rsidRPr="00A65253">
        <w:rPr>
          <w:szCs w:val="24"/>
          <w:lang w:val="fr-CA"/>
        </w:rPr>
        <w:t xml:space="preserve">) </w:t>
      </w:r>
      <w:r w:rsidR="00644F7C" w:rsidRPr="00A65253">
        <w:rPr>
          <w:lang w:val="fr-CA"/>
        </w:rPr>
        <w:t>(</w:t>
      </w:r>
      <w:hyperlink r:id="rId8" w:history="1">
        <w:r w:rsidR="00644F7C" w:rsidRPr="00A65253">
          <w:rPr>
            <w:rStyle w:val="Hyperlink"/>
            <w:lang w:val="fr-CA"/>
          </w:rPr>
          <w:t>40</w:t>
        </w:r>
        <w:r w:rsidR="00E9209B" w:rsidRPr="00A65253">
          <w:rPr>
            <w:rStyle w:val="Hyperlink"/>
            <w:lang w:val="fr-CA"/>
          </w:rPr>
          <w:t>864</w:t>
        </w:r>
      </w:hyperlink>
      <w:r w:rsidR="00644F7C" w:rsidRPr="00A65253">
        <w:rPr>
          <w:lang w:val="fr-CA"/>
        </w:rPr>
        <w:t>)</w:t>
      </w:r>
    </w:p>
    <w:p w:rsidR="00F612B3" w:rsidRPr="00A65253" w:rsidRDefault="00F612B3" w:rsidP="00F612B3">
      <w:pPr>
        <w:widowControl w:val="0"/>
        <w:ind w:left="2160" w:hanging="2160"/>
        <w:jc w:val="both"/>
        <w:rPr>
          <w:szCs w:val="24"/>
          <w:lang w:val="fr-CA"/>
        </w:rPr>
      </w:pPr>
      <w:bookmarkStart w:id="3" w:name="QuickMark_1"/>
      <w:bookmarkEnd w:id="3"/>
    </w:p>
    <w:p w:rsidR="00A65253" w:rsidRPr="00A65253" w:rsidRDefault="00A65253" w:rsidP="00A65253">
      <w:pPr>
        <w:widowControl w:val="0"/>
        <w:ind w:left="851" w:hanging="851"/>
        <w:jc w:val="both"/>
        <w:rPr>
          <w:b/>
          <w:i/>
          <w:sz w:val="20"/>
          <w:lang w:val="fr-CA"/>
        </w:rPr>
      </w:pPr>
      <w:r w:rsidRPr="00A65253">
        <w:rPr>
          <w:b/>
          <w:sz w:val="20"/>
          <w:lang w:val="fr-CA"/>
        </w:rPr>
        <w:fldChar w:fldCharType="begin"/>
      </w:r>
      <w:r w:rsidRPr="00A65253">
        <w:rPr>
          <w:b/>
          <w:sz w:val="20"/>
          <w:lang w:val="fr-CA"/>
        </w:rPr>
        <w:instrText xml:space="preserve"> SEQ CHAPTER \h \r 1</w:instrText>
      </w:r>
      <w:r w:rsidRPr="00A65253">
        <w:rPr>
          <w:b/>
          <w:sz w:val="20"/>
          <w:lang w:val="fr-CA"/>
        </w:rPr>
        <w:fldChar w:fldCharType="end"/>
      </w:r>
      <w:r w:rsidRPr="00A65253">
        <w:rPr>
          <w:b/>
          <w:sz w:val="20"/>
          <w:lang w:val="fr-CA"/>
        </w:rPr>
        <w:t>40864</w:t>
      </w:r>
      <w:r w:rsidRPr="00A65253">
        <w:rPr>
          <w:b/>
          <w:sz w:val="20"/>
          <w:lang w:val="fr-CA"/>
        </w:rPr>
        <w:tab/>
      </w:r>
      <w:r w:rsidRPr="00A65253">
        <w:rPr>
          <w:b/>
          <w:i/>
          <w:sz w:val="20"/>
          <w:lang w:val="fr-CA"/>
        </w:rPr>
        <w:t>Sanis Health Inc., Shoppers Drug Mart Inc., Sandoz Canada Inc. et</w:t>
      </w:r>
      <w:r w:rsidRPr="00A65253">
        <w:rPr>
          <w:sz w:val="20"/>
          <w:lang w:val="fr-CA"/>
        </w:rPr>
        <w:t xml:space="preserve"> </w:t>
      </w:r>
      <w:r w:rsidRPr="00A65253">
        <w:rPr>
          <w:b/>
          <w:i/>
          <w:sz w:val="20"/>
          <w:lang w:val="fr-CA"/>
        </w:rPr>
        <w:t>La Corporation McKesson Canada c. Sa Majesté le Roi du chef de la province de la Colombie-Britannique</w:t>
      </w:r>
    </w:p>
    <w:p w:rsidR="00A65253" w:rsidRPr="00A65253" w:rsidRDefault="00A65253" w:rsidP="00A65253">
      <w:pPr>
        <w:widowControl w:val="0"/>
        <w:ind w:left="851" w:hanging="851"/>
        <w:jc w:val="both"/>
        <w:rPr>
          <w:sz w:val="20"/>
          <w:lang w:val="fr-CA"/>
        </w:rPr>
      </w:pPr>
      <w:r w:rsidRPr="00A65253">
        <w:rPr>
          <w:sz w:val="20"/>
          <w:lang w:val="fr-CA"/>
        </w:rPr>
        <w:tab/>
        <w:t>(C.-B.) (Civile) (Sur autorisation)</w:t>
      </w:r>
    </w:p>
    <w:p w:rsidR="00A65253" w:rsidRPr="00A65253" w:rsidRDefault="00A65253">
      <w:pPr>
        <w:widowControl w:val="0"/>
        <w:jc w:val="both"/>
        <w:rPr>
          <w:sz w:val="20"/>
          <w:lang w:val="fr-CA"/>
        </w:rPr>
      </w:pPr>
    </w:p>
    <w:p w:rsidR="00A65253" w:rsidRPr="00A65253" w:rsidRDefault="00A65253" w:rsidP="008A2F82">
      <w:pPr>
        <w:jc w:val="both"/>
        <w:rPr>
          <w:sz w:val="20"/>
          <w:lang w:val="fr-CA"/>
        </w:rPr>
      </w:pPr>
      <w:r w:rsidRPr="00A65253">
        <w:rPr>
          <w:sz w:val="20"/>
          <w:lang w:val="fr-CA"/>
        </w:rPr>
        <w:t xml:space="preserve">Droit constitutionnel — Partage des compétences — Procédure civile — Recours collectifs — Procédures impliquant plusieurs Couronnes — Loi provinciale permettant à la province d’intenter une action au nom d’un groupe constitué des gouvernements du Canada et des provinces et territoires du Canada — L’article 11 de la </w:t>
      </w:r>
      <w:r w:rsidRPr="00A65253">
        <w:rPr>
          <w:i/>
          <w:sz w:val="20"/>
          <w:lang w:val="fr-CA"/>
        </w:rPr>
        <w:t>Opioid Damages and Health Care Costs Recovery Act</w:t>
      </w:r>
      <w:r w:rsidRPr="00A65253">
        <w:rPr>
          <w:sz w:val="20"/>
          <w:lang w:val="fr-CA"/>
        </w:rPr>
        <w:t xml:space="preserve">, S.B.C. 2018, c. 35 est-il </w:t>
      </w:r>
      <w:r w:rsidRPr="00A65253">
        <w:rPr>
          <w:i/>
          <w:sz w:val="20"/>
          <w:lang w:val="fr-CA"/>
        </w:rPr>
        <w:t>ultra vires</w:t>
      </w:r>
      <w:r w:rsidRPr="00A65253">
        <w:rPr>
          <w:sz w:val="20"/>
          <w:lang w:val="fr-CA"/>
        </w:rPr>
        <w:t xml:space="preserve"> de l’Assemblée législative de la Colombie-Britannique et inopérant en vertu de l’art. 52 de la</w:t>
      </w:r>
      <w:r w:rsidRPr="00A65253">
        <w:rPr>
          <w:i/>
          <w:sz w:val="20"/>
          <w:lang w:val="fr-CA"/>
        </w:rPr>
        <w:t xml:space="preserve"> Loi constitutionnelle de 1982 ? </w:t>
      </w:r>
      <w:r w:rsidRPr="00A65253">
        <w:rPr>
          <w:sz w:val="20"/>
          <w:lang w:val="fr-CA"/>
        </w:rPr>
        <w:t xml:space="preserve">— </w:t>
      </w:r>
      <w:r w:rsidRPr="00A65253">
        <w:rPr>
          <w:i/>
          <w:sz w:val="20"/>
          <w:lang w:val="fr-CA"/>
        </w:rPr>
        <w:t>Opioid Damages and Health Care Costs Recovery Act</w:t>
      </w:r>
      <w:r w:rsidRPr="00A65253">
        <w:rPr>
          <w:sz w:val="20"/>
          <w:lang w:val="fr-CA"/>
        </w:rPr>
        <w:t>, S.B.C. 2018, c. 35, art. 11</w:t>
      </w:r>
    </w:p>
    <w:p w:rsidR="00A65253" w:rsidRPr="00A65253" w:rsidRDefault="00A65253">
      <w:pPr>
        <w:widowControl w:val="0"/>
        <w:jc w:val="both"/>
        <w:rPr>
          <w:sz w:val="20"/>
          <w:lang w:val="fr-CA"/>
        </w:rPr>
      </w:pPr>
    </w:p>
    <w:p w:rsidR="00A65253" w:rsidRPr="00A65253" w:rsidRDefault="00A65253" w:rsidP="008A2F82">
      <w:pPr>
        <w:jc w:val="both"/>
        <w:rPr>
          <w:sz w:val="20"/>
          <w:lang w:val="fr-CA"/>
        </w:rPr>
      </w:pPr>
      <w:r w:rsidRPr="00A65253">
        <w:rPr>
          <w:sz w:val="20"/>
          <w:lang w:val="fr-CA"/>
        </w:rPr>
        <w:t xml:space="preserve">En 2018, la province de la Colombie-Britannique (ci-après, « C.-B. ») a adopté la loi intitulée </w:t>
      </w:r>
      <w:r w:rsidRPr="00A65253">
        <w:rPr>
          <w:i/>
          <w:sz w:val="20"/>
          <w:lang w:val="fr-CA"/>
        </w:rPr>
        <w:t>Opioid Damages and Health Care Costs Recovery Act</w:t>
      </w:r>
      <w:r w:rsidRPr="00A65253">
        <w:rPr>
          <w:sz w:val="20"/>
          <w:lang w:val="fr-CA"/>
        </w:rPr>
        <w:t xml:space="preserve"> (« ORA »). L’ORA permet à la C.-B. </w:t>
      </w:r>
      <w:proofErr w:type="gramStart"/>
      <w:r w:rsidRPr="00A65253">
        <w:rPr>
          <w:sz w:val="20"/>
          <w:lang w:val="fr-CA"/>
        </w:rPr>
        <w:t>de</w:t>
      </w:r>
      <w:proofErr w:type="gramEnd"/>
      <w:r w:rsidRPr="00A65253">
        <w:rPr>
          <w:sz w:val="20"/>
          <w:lang w:val="fr-CA"/>
        </w:rPr>
        <w:t xml:space="preserve"> recouvrer les coûts de soins de santé</w:t>
      </w:r>
      <w:r w:rsidRPr="00A65253">
        <w:rPr>
          <w:rFonts w:ascii="Helvetica" w:hAnsi="Helvetica"/>
          <w:color w:val="000000"/>
          <w:sz w:val="20"/>
          <w:lang w:val="fr-CA"/>
        </w:rPr>
        <w:t xml:space="preserve"> </w:t>
      </w:r>
      <w:r w:rsidRPr="00A65253">
        <w:rPr>
          <w:sz w:val="20"/>
          <w:lang w:val="fr-CA"/>
        </w:rPr>
        <w:t xml:space="preserve">qu’une « faute liée aux opioïdes » d'un fabricant ou d'un distributeur de produits opioïdes aurait occasionnés ou contribué à occasionner. </w:t>
      </w:r>
    </w:p>
    <w:p w:rsidR="00A65253" w:rsidRPr="00A65253" w:rsidRDefault="00A65253" w:rsidP="008A2F82">
      <w:pPr>
        <w:jc w:val="both"/>
        <w:rPr>
          <w:sz w:val="20"/>
          <w:lang w:val="fr-CA"/>
        </w:rPr>
      </w:pPr>
    </w:p>
    <w:p w:rsidR="00A65253" w:rsidRPr="00A65253" w:rsidRDefault="00A65253" w:rsidP="008A2F82">
      <w:pPr>
        <w:jc w:val="both"/>
        <w:rPr>
          <w:sz w:val="20"/>
          <w:lang w:val="fr-CA"/>
        </w:rPr>
      </w:pPr>
      <w:r w:rsidRPr="00A65253">
        <w:rPr>
          <w:sz w:val="20"/>
          <w:lang w:val="fr-CA"/>
        </w:rPr>
        <w:t xml:space="preserve">L’article 11 de l’ORA s’applique aux instances relatives aux fautes liées aux opioïdes qui étaient en cours à la date de l’entrée en vigueur de cette disposition; de telles instances se poursuivent conformément à l’ORA. L’alinéa 11(1)b) prévoit que pour l’application de l’art. 4 de la </w:t>
      </w:r>
      <w:r w:rsidRPr="00A65253">
        <w:rPr>
          <w:i/>
          <w:sz w:val="20"/>
          <w:lang w:val="fr-CA"/>
        </w:rPr>
        <w:t>Class Proceedings Act</w:t>
      </w:r>
      <w:r w:rsidRPr="00A65253">
        <w:rPr>
          <w:sz w:val="20"/>
          <w:lang w:val="fr-CA"/>
        </w:rPr>
        <w:t>, R.S.B.C. 1996, c. 50 (« CPA »),</w:t>
      </w:r>
      <w:r w:rsidRPr="00A65253">
        <w:rPr>
          <w:i/>
          <w:sz w:val="20"/>
          <w:lang w:val="fr-CA"/>
        </w:rPr>
        <w:t xml:space="preserve"> </w:t>
      </w:r>
      <w:r w:rsidRPr="00A65253">
        <w:rPr>
          <w:sz w:val="20"/>
          <w:lang w:val="fr-CA"/>
        </w:rPr>
        <w:t xml:space="preserve">la C.-B. </w:t>
      </w:r>
      <w:proofErr w:type="gramStart"/>
      <w:r w:rsidRPr="00A65253">
        <w:rPr>
          <w:sz w:val="20"/>
          <w:lang w:val="fr-CA"/>
        </w:rPr>
        <w:t>peut</w:t>
      </w:r>
      <w:proofErr w:type="gramEnd"/>
      <w:r w:rsidRPr="00A65253">
        <w:rPr>
          <w:sz w:val="20"/>
          <w:lang w:val="fr-CA"/>
        </w:rPr>
        <w:t xml:space="preserve"> « intenter une action » au nom d’un groupe constitué d’un ou de plusieurs des gouvernements du Canada et des provinces ou territoires du Canada (ce que l’on appelle des « procédures impliquant plusieurs Couronnes »). Le paragraphe 11(2) préserve le droit de ces gouvernements de se retirer d'une telle instance conformément à l’art. 16 de la CPA.</w:t>
      </w:r>
    </w:p>
    <w:p w:rsidR="00A65253" w:rsidRPr="00A65253" w:rsidRDefault="00A65253" w:rsidP="008A2F82">
      <w:pPr>
        <w:jc w:val="both"/>
        <w:rPr>
          <w:sz w:val="20"/>
          <w:lang w:val="fr-CA"/>
        </w:rPr>
      </w:pPr>
    </w:p>
    <w:p w:rsidR="00A65253" w:rsidRPr="00A65253" w:rsidRDefault="00A65253" w:rsidP="008A2F82">
      <w:pPr>
        <w:jc w:val="both"/>
        <w:rPr>
          <w:sz w:val="20"/>
          <w:lang w:val="fr-CA"/>
        </w:rPr>
      </w:pPr>
      <w:r w:rsidRPr="00A65253">
        <w:rPr>
          <w:sz w:val="20"/>
          <w:lang w:val="fr-CA"/>
        </w:rPr>
        <w:t>Les appelantes, Sanis Health Inc., Shoppers Drug Mart Inc., Sandoz Canada Inc. et</w:t>
      </w:r>
      <w:r w:rsidRPr="00A65253">
        <w:rPr>
          <w:b/>
          <w:i/>
          <w:sz w:val="20"/>
          <w:lang w:val="fr-CA"/>
        </w:rPr>
        <w:t xml:space="preserve"> </w:t>
      </w:r>
      <w:r w:rsidRPr="00A65253">
        <w:rPr>
          <w:sz w:val="20"/>
          <w:lang w:val="fr-CA"/>
        </w:rPr>
        <w:t>La Corporation McKesson Canada (collectivement, « Sanis »), sont nommées à titre de défenderesses dans le recours collectif proposé impliquant plusieurs Couronnes qui sous-tend ce pourvoi. L’instance sous-jacente a été introduite avant l’entrée en vigueur de l’art. 11 de l'ORA, et il s’agit de la seule instance à laquelle cet article s’applique.</w:t>
      </w:r>
    </w:p>
    <w:p w:rsidR="00A65253" w:rsidRPr="00A65253" w:rsidRDefault="00A65253" w:rsidP="008A2F82">
      <w:pPr>
        <w:jc w:val="both"/>
        <w:rPr>
          <w:sz w:val="20"/>
          <w:lang w:val="fr-CA"/>
        </w:rPr>
      </w:pPr>
    </w:p>
    <w:p w:rsidR="00A65253" w:rsidRPr="00A65253" w:rsidRDefault="00A65253" w:rsidP="008A2F82">
      <w:pPr>
        <w:jc w:val="both"/>
        <w:rPr>
          <w:sz w:val="20"/>
          <w:lang w:val="fr-CA"/>
        </w:rPr>
      </w:pPr>
      <w:r w:rsidRPr="00A65253">
        <w:rPr>
          <w:sz w:val="20"/>
          <w:lang w:val="fr-CA"/>
        </w:rPr>
        <w:t xml:space="preserve">Sanis a sollicité, au moyen d’un procès sommaire, une ordonnance radiant l’art. 11 de l'ORA au motif qu’il est </w:t>
      </w:r>
      <w:r w:rsidRPr="00A65253">
        <w:rPr>
          <w:i/>
          <w:sz w:val="20"/>
          <w:lang w:val="fr-CA"/>
        </w:rPr>
        <w:t>ultra vires</w:t>
      </w:r>
      <w:r w:rsidRPr="00A65253">
        <w:rPr>
          <w:sz w:val="20"/>
          <w:lang w:val="fr-CA"/>
        </w:rPr>
        <w:t xml:space="preserve"> de l’Assemblée législative de la Colombie-Britannique et donc inopérant en vertu de l’art. 52 de la </w:t>
      </w:r>
      <w:r w:rsidRPr="00A65253">
        <w:rPr>
          <w:i/>
          <w:sz w:val="20"/>
          <w:lang w:val="fr-CA"/>
        </w:rPr>
        <w:t>Loi constitutionnelle de 1982</w:t>
      </w:r>
      <w:r w:rsidRPr="00A65253">
        <w:rPr>
          <w:sz w:val="20"/>
          <w:lang w:val="fr-CA"/>
        </w:rPr>
        <w:t>.</w:t>
      </w:r>
    </w:p>
    <w:p w:rsidR="00A65253" w:rsidRPr="00A65253" w:rsidRDefault="00A65253" w:rsidP="008A2F82">
      <w:pPr>
        <w:jc w:val="both"/>
        <w:rPr>
          <w:sz w:val="20"/>
          <w:lang w:val="fr-CA"/>
        </w:rPr>
      </w:pPr>
    </w:p>
    <w:p w:rsidR="00A65253" w:rsidRPr="00A65253" w:rsidRDefault="00A65253" w:rsidP="005B476F">
      <w:pPr>
        <w:jc w:val="both"/>
        <w:rPr>
          <w:sz w:val="20"/>
          <w:lang w:val="fr-CA"/>
        </w:rPr>
      </w:pPr>
      <w:r w:rsidRPr="00A65253">
        <w:rPr>
          <w:sz w:val="20"/>
          <w:lang w:val="fr-CA"/>
        </w:rPr>
        <w:t xml:space="preserve">Le juge du </w:t>
      </w:r>
      <w:proofErr w:type="gramStart"/>
      <w:r w:rsidRPr="00A65253">
        <w:rPr>
          <w:sz w:val="20"/>
          <w:lang w:val="fr-CA"/>
        </w:rPr>
        <w:t>procès a</w:t>
      </w:r>
      <w:proofErr w:type="gramEnd"/>
      <w:r w:rsidRPr="00A65253">
        <w:rPr>
          <w:sz w:val="20"/>
          <w:lang w:val="fr-CA"/>
        </w:rPr>
        <w:t xml:space="preserve"> conclu que l’art. 11 relevait de la compétence de la législature et a rejeté les demandes de déclaration d’invalidité constitutionnelle présentées par Sanis. Les juges de la Cour d’appel ont décidé, à l’unanimité, que le juge du procès n’a commis aucune erreur en confirmant la validité constitutionnelle de l’art. 11 de l'ORA, et ils ont rejeté l’appel interjeté par Sanis.</w:t>
      </w:r>
    </w:p>
    <w:p w:rsidR="00046AF2" w:rsidRPr="00A65253" w:rsidRDefault="00046AF2" w:rsidP="003B3C19">
      <w:pPr>
        <w:widowControl w:val="0"/>
        <w:jc w:val="both"/>
        <w:rPr>
          <w:sz w:val="20"/>
          <w:lang w:val="fr-CA"/>
        </w:rPr>
      </w:pPr>
    </w:p>
    <w:p w:rsidR="00EF4622" w:rsidRPr="00A65253" w:rsidRDefault="00BA340E" w:rsidP="00CD14BB">
      <w:pPr>
        <w:pStyle w:val="aparanumbering1"/>
        <w:shd w:val="clear" w:color="auto" w:fill="FFFFFF"/>
        <w:spacing w:before="0" w:after="0"/>
        <w:ind w:left="0"/>
        <w:rPr>
          <w:rFonts w:ascii="Times New Roman" w:hAnsi="Times New Roman" w:cs="Times New Roman"/>
          <w:sz w:val="20"/>
          <w:szCs w:val="20"/>
          <w:lang w:val="fr-CA"/>
        </w:rPr>
      </w:pPr>
      <w:r>
        <w:rPr>
          <w:sz w:val="20"/>
        </w:rPr>
        <w:pict>
          <v:rect id="_x0000_i1026" style="width:2in;height:1pt" o:hrpct="0" o:hralign="center" o:hrstd="t" o:hrnoshade="t" o:hr="t" fillcolor="black [3213]" stroked="f"/>
        </w:pict>
      </w:r>
    </w:p>
    <w:p w:rsidR="00E92006" w:rsidRPr="00A65253" w:rsidRDefault="00E92006" w:rsidP="00340C6D">
      <w:pPr>
        <w:jc w:val="both"/>
        <w:rPr>
          <w:sz w:val="20"/>
          <w:lang w:val="fr-CA"/>
        </w:rPr>
      </w:pPr>
    </w:p>
    <w:p w:rsidR="00E92006" w:rsidRPr="00A65253" w:rsidRDefault="00E92006" w:rsidP="00340C6D">
      <w:pPr>
        <w:jc w:val="both"/>
        <w:rPr>
          <w:sz w:val="20"/>
          <w:lang w:val="fr-CA"/>
        </w:rPr>
      </w:pPr>
    </w:p>
    <w:p w:rsidR="00072A63" w:rsidRPr="00A65253" w:rsidRDefault="00072A63" w:rsidP="00EC79B0">
      <w:pPr>
        <w:jc w:val="both"/>
        <w:rPr>
          <w:sz w:val="20"/>
          <w:lang w:val="fr-CA"/>
        </w:rPr>
      </w:pPr>
    </w:p>
    <w:p w:rsidR="001C4415" w:rsidRPr="00A65253" w:rsidRDefault="001C4415" w:rsidP="001C4415">
      <w:pPr>
        <w:widowControl w:val="0"/>
        <w:outlineLvl w:val="0"/>
      </w:pPr>
      <w:r w:rsidRPr="00A65253">
        <w:t xml:space="preserve">Supreme Court of Canada / Cour suprême du </w:t>
      </w:r>
      <w:proofErr w:type="gramStart"/>
      <w:r w:rsidRPr="00A65253">
        <w:t>Canada :</w:t>
      </w:r>
      <w:proofErr w:type="gramEnd"/>
      <w:r w:rsidRPr="00A65253">
        <w:t xml:space="preserve"> </w:t>
      </w:r>
    </w:p>
    <w:p w:rsidR="004F410B" w:rsidRPr="00A65253" w:rsidRDefault="00BA340E" w:rsidP="004F410B">
      <w:pPr>
        <w:widowControl w:val="0"/>
        <w:outlineLvl w:val="0"/>
      </w:pPr>
      <w:hyperlink r:id="rId9" w:history="1">
        <w:r w:rsidR="004F410B" w:rsidRPr="00A65253">
          <w:rPr>
            <w:rStyle w:val="Hyperlink"/>
          </w:rPr>
          <w:t>Registry-greffe@scc-csc.ca</w:t>
        </w:r>
      </w:hyperlink>
    </w:p>
    <w:p w:rsidR="001C4415" w:rsidRDefault="004F410B" w:rsidP="004F410B">
      <w:pPr>
        <w:widowControl w:val="0"/>
        <w:outlineLvl w:val="0"/>
      </w:pPr>
      <w:r w:rsidRPr="00A65253">
        <w:t>1-844-365-9662</w:t>
      </w:r>
    </w:p>
    <w:p w:rsidR="0049454A" w:rsidRPr="00614699" w:rsidRDefault="0049454A" w:rsidP="004F410B">
      <w:pPr>
        <w:widowControl w:val="0"/>
        <w:outlineLvl w:val="0"/>
      </w:pPr>
    </w:p>
    <w:sectPr w:rsidR="0049454A" w:rsidRPr="00614699"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removePersonalInformation/>
  <w:removeDateAndTime/>
  <w:bordersDoNotSurroundHeader/>
  <w:bordersDoNotSurroundFooter/>
  <w:proofState w:spelling="clean" w:grammar="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00714"/>
    <w:rsid w:val="000015B6"/>
    <w:rsid w:val="00003CBA"/>
    <w:rsid w:val="000100BA"/>
    <w:rsid w:val="00010D78"/>
    <w:rsid w:val="0001212E"/>
    <w:rsid w:val="0001605B"/>
    <w:rsid w:val="0001634B"/>
    <w:rsid w:val="0002161B"/>
    <w:rsid w:val="00021901"/>
    <w:rsid w:val="0003356F"/>
    <w:rsid w:val="000347C1"/>
    <w:rsid w:val="00035555"/>
    <w:rsid w:val="00035B99"/>
    <w:rsid w:val="0003611D"/>
    <w:rsid w:val="0003620E"/>
    <w:rsid w:val="00036BD1"/>
    <w:rsid w:val="00037405"/>
    <w:rsid w:val="00041E3A"/>
    <w:rsid w:val="0004265E"/>
    <w:rsid w:val="00042B21"/>
    <w:rsid w:val="000446D3"/>
    <w:rsid w:val="000454BF"/>
    <w:rsid w:val="00046AF2"/>
    <w:rsid w:val="00047EB5"/>
    <w:rsid w:val="00053111"/>
    <w:rsid w:val="00060140"/>
    <w:rsid w:val="00060B39"/>
    <w:rsid w:val="00061A14"/>
    <w:rsid w:val="00072A63"/>
    <w:rsid w:val="0008116D"/>
    <w:rsid w:val="000855FD"/>
    <w:rsid w:val="00087122"/>
    <w:rsid w:val="0009615F"/>
    <w:rsid w:val="00097C3C"/>
    <w:rsid w:val="000A03A4"/>
    <w:rsid w:val="000A063C"/>
    <w:rsid w:val="000A0834"/>
    <w:rsid w:val="000A21DA"/>
    <w:rsid w:val="000A30BB"/>
    <w:rsid w:val="000A33B2"/>
    <w:rsid w:val="000A401F"/>
    <w:rsid w:val="000A7900"/>
    <w:rsid w:val="000B0E38"/>
    <w:rsid w:val="000B216A"/>
    <w:rsid w:val="000B6CE0"/>
    <w:rsid w:val="000C1225"/>
    <w:rsid w:val="000C466B"/>
    <w:rsid w:val="000C7C9D"/>
    <w:rsid w:val="000D25C5"/>
    <w:rsid w:val="000D4096"/>
    <w:rsid w:val="000D413D"/>
    <w:rsid w:val="000D682D"/>
    <w:rsid w:val="000E1ABF"/>
    <w:rsid w:val="000E1FA5"/>
    <w:rsid w:val="000E33A8"/>
    <w:rsid w:val="000E457A"/>
    <w:rsid w:val="000E5C1F"/>
    <w:rsid w:val="000F2225"/>
    <w:rsid w:val="000F2F73"/>
    <w:rsid w:val="000F5730"/>
    <w:rsid w:val="000F7714"/>
    <w:rsid w:val="001002A7"/>
    <w:rsid w:val="00101539"/>
    <w:rsid w:val="0010171C"/>
    <w:rsid w:val="00103400"/>
    <w:rsid w:val="00105085"/>
    <w:rsid w:val="001065AF"/>
    <w:rsid w:val="00114B52"/>
    <w:rsid w:val="00114D6F"/>
    <w:rsid w:val="00116CE5"/>
    <w:rsid w:val="001170D1"/>
    <w:rsid w:val="00121D32"/>
    <w:rsid w:val="0012524B"/>
    <w:rsid w:val="0012635E"/>
    <w:rsid w:val="00127E76"/>
    <w:rsid w:val="001305E1"/>
    <w:rsid w:val="00131418"/>
    <w:rsid w:val="001335A1"/>
    <w:rsid w:val="001364D9"/>
    <w:rsid w:val="0013792F"/>
    <w:rsid w:val="00141A4B"/>
    <w:rsid w:val="001439C6"/>
    <w:rsid w:val="00143A58"/>
    <w:rsid w:val="001448DF"/>
    <w:rsid w:val="00145925"/>
    <w:rsid w:val="001476BD"/>
    <w:rsid w:val="00150BC6"/>
    <w:rsid w:val="00152C42"/>
    <w:rsid w:val="001563FF"/>
    <w:rsid w:val="00163F70"/>
    <w:rsid w:val="001642A1"/>
    <w:rsid w:val="00165E2A"/>
    <w:rsid w:val="00167E17"/>
    <w:rsid w:val="001710E4"/>
    <w:rsid w:val="001714EA"/>
    <w:rsid w:val="00172FC0"/>
    <w:rsid w:val="0017395A"/>
    <w:rsid w:val="00175566"/>
    <w:rsid w:val="00177C9B"/>
    <w:rsid w:val="001801D4"/>
    <w:rsid w:val="0018124A"/>
    <w:rsid w:val="001826CD"/>
    <w:rsid w:val="00191CA9"/>
    <w:rsid w:val="00191F98"/>
    <w:rsid w:val="00193030"/>
    <w:rsid w:val="001936BC"/>
    <w:rsid w:val="001937B6"/>
    <w:rsid w:val="00194B53"/>
    <w:rsid w:val="001A1632"/>
    <w:rsid w:val="001A24F4"/>
    <w:rsid w:val="001A29BA"/>
    <w:rsid w:val="001A4A73"/>
    <w:rsid w:val="001B092D"/>
    <w:rsid w:val="001B0D7E"/>
    <w:rsid w:val="001B104F"/>
    <w:rsid w:val="001B4934"/>
    <w:rsid w:val="001B599A"/>
    <w:rsid w:val="001B71AA"/>
    <w:rsid w:val="001C0462"/>
    <w:rsid w:val="001C149E"/>
    <w:rsid w:val="001C3E08"/>
    <w:rsid w:val="001C4415"/>
    <w:rsid w:val="001C6FEC"/>
    <w:rsid w:val="001D75ED"/>
    <w:rsid w:val="001E4A60"/>
    <w:rsid w:val="001E5E23"/>
    <w:rsid w:val="001E70CD"/>
    <w:rsid w:val="001F1643"/>
    <w:rsid w:val="001F1B2F"/>
    <w:rsid w:val="001F27D7"/>
    <w:rsid w:val="001F332E"/>
    <w:rsid w:val="001F37AC"/>
    <w:rsid w:val="001F57C9"/>
    <w:rsid w:val="001F5973"/>
    <w:rsid w:val="001F76DD"/>
    <w:rsid w:val="001F7F62"/>
    <w:rsid w:val="002029F5"/>
    <w:rsid w:val="00204BED"/>
    <w:rsid w:val="00205278"/>
    <w:rsid w:val="00207BC4"/>
    <w:rsid w:val="00211F62"/>
    <w:rsid w:val="00214729"/>
    <w:rsid w:val="002160B0"/>
    <w:rsid w:val="00221703"/>
    <w:rsid w:val="002257CF"/>
    <w:rsid w:val="00226AE8"/>
    <w:rsid w:val="00234845"/>
    <w:rsid w:val="00234B46"/>
    <w:rsid w:val="0023600D"/>
    <w:rsid w:val="002404C4"/>
    <w:rsid w:val="00240881"/>
    <w:rsid w:val="00241C35"/>
    <w:rsid w:val="00241F69"/>
    <w:rsid w:val="00242EC8"/>
    <w:rsid w:val="00243B49"/>
    <w:rsid w:val="00244461"/>
    <w:rsid w:val="00244D04"/>
    <w:rsid w:val="00245FBD"/>
    <w:rsid w:val="0024634F"/>
    <w:rsid w:val="002506ED"/>
    <w:rsid w:val="002511EB"/>
    <w:rsid w:val="00251D1B"/>
    <w:rsid w:val="00252555"/>
    <w:rsid w:val="0025265E"/>
    <w:rsid w:val="00253698"/>
    <w:rsid w:val="0025452B"/>
    <w:rsid w:val="00254D6F"/>
    <w:rsid w:val="002617BB"/>
    <w:rsid w:val="0026289A"/>
    <w:rsid w:val="00262BC7"/>
    <w:rsid w:val="0026466A"/>
    <w:rsid w:val="00264AA1"/>
    <w:rsid w:val="002667BA"/>
    <w:rsid w:val="002667ED"/>
    <w:rsid w:val="00266A8B"/>
    <w:rsid w:val="002723AE"/>
    <w:rsid w:val="00272EAB"/>
    <w:rsid w:val="002768F6"/>
    <w:rsid w:val="002770DC"/>
    <w:rsid w:val="00282563"/>
    <w:rsid w:val="002848B1"/>
    <w:rsid w:val="0028630C"/>
    <w:rsid w:val="00287B6E"/>
    <w:rsid w:val="00290E05"/>
    <w:rsid w:val="00290F21"/>
    <w:rsid w:val="002915B5"/>
    <w:rsid w:val="00291F84"/>
    <w:rsid w:val="00296694"/>
    <w:rsid w:val="00297E1D"/>
    <w:rsid w:val="002A192B"/>
    <w:rsid w:val="002A1A63"/>
    <w:rsid w:val="002A23AD"/>
    <w:rsid w:val="002A2F5A"/>
    <w:rsid w:val="002A3DD8"/>
    <w:rsid w:val="002A4252"/>
    <w:rsid w:val="002A44BE"/>
    <w:rsid w:val="002A5496"/>
    <w:rsid w:val="002A6BD5"/>
    <w:rsid w:val="002A7752"/>
    <w:rsid w:val="002B06A9"/>
    <w:rsid w:val="002B23EF"/>
    <w:rsid w:val="002B4A1D"/>
    <w:rsid w:val="002B4D23"/>
    <w:rsid w:val="002B4F4E"/>
    <w:rsid w:val="002C177C"/>
    <w:rsid w:val="002C23CB"/>
    <w:rsid w:val="002C55FE"/>
    <w:rsid w:val="002C5CA9"/>
    <w:rsid w:val="002C5FAF"/>
    <w:rsid w:val="002D0B9A"/>
    <w:rsid w:val="002D62BE"/>
    <w:rsid w:val="002D631B"/>
    <w:rsid w:val="002D6424"/>
    <w:rsid w:val="002D6539"/>
    <w:rsid w:val="002D68ED"/>
    <w:rsid w:val="002E3F05"/>
    <w:rsid w:val="002E5644"/>
    <w:rsid w:val="002F28E0"/>
    <w:rsid w:val="002F2E89"/>
    <w:rsid w:val="002F4212"/>
    <w:rsid w:val="003023B2"/>
    <w:rsid w:val="00303433"/>
    <w:rsid w:val="003054B8"/>
    <w:rsid w:val="003078A0"/>
    <w:rsid w:val="003112E4"/>
    <w:rsid w:val="00311F53"/>
    <w:rsid w:val="00317C58"/>
    <w:rsid w:val="00321B31"/>
    <w:rsid w:val="00324B83"/>
    <w:rsid w:val="003255C3"/>
    <w:rsid w:val="00334A90"/>
    <w:rsid w:val="00334E40"/>
    <w:rsid w:val="00336089"/>
    <w:rsid w:val="00336F85"/>
    <w:rsid w:val="00337D5F"/>
    <w:rsid w:val="00340C6D"/>
    <w:rsid w:val="00342E2A"/>
    <w:rsid w:val="00342E49"/>
    <w:rsid w:val="00346B6F"/>
    <w:rsid w:val="00346F0D"/>
    <w:rsid w:val="00350C6A"/>
    <w:rsid w:val="00350CE0"/>
    <w:rsid w:val="00352B94"/>
    <w:rsid w:val="00353AB0"/>
    <w:rsid w:val="00356312"/>
    <w:rsid w:val="00357919"/>
    <w:rsid w:val="00362484"/>
    <w:rsid w:val="003640FE"/>
    <w:rsid w:val="0036476C"/>
    <w:rsid w:val="00365867"/>
    <w:rsid w:val="0037261F"/>
    <w:rsid w:val="00374148"/>
    <w:rsid w:val="0037569E"/>
    <w:rsid w:val="00380399"/>
    <w:rsid w:val="00380CC3"/>
    <w:rsid w:val="003835A6"/>
    <w:rsid w:val="00387EA2"/>
    <w:rsid w:val="00390E39"/>
    <w:rsid w:val="0039248C"/>
    <w:rsid w:val="003932EE"/>
    <w:rsid w:val="00393419"/>
    <w:rsid w:val="003936B9"/>
    <w:rsid w:val="003959D2"/>
    <w:rsid w:val="0039607F"/>
    <w:rsid w:val="003A1FB4"/>
    <w:rsid w:val="003A2267"/>
    <w:rsid w:val="003B038F"/>
    <w:rsid w:val="003B10C6"/>
    <w:rsid w:val="003B3AD5"/>
    <w:rsid w:val="003B3C19"/>
    <w:rsid w:val="003B4E7E"/>
    <w:rsid w:val="003B6ECB"/>
    <w:rsid w:val="003C1B6E"/>
    <w:rsid w:val="003C381F"/>
    <w:rsid w:val="003C50BF"/>
    <w:rsid w:val="003D2BF2"/>
    <w:rsid w:val="003D4D2A"/>
    <w:rsid w:val="003D74E7"/>
    <w:rsid w:val="003E0326"/>
    <w:rsid w:val="003E101F"/>
    <w:rsid w:val="003E1BBF"/>
    <w:rsid w:val="003E21D8"/>
    <w:rsid w:val="003E222C"/>
    <w:rsid w:val="003E31F8"/>
    <w:rsid w:val="003E5C8D"/>
    <w:rsid w:val="003F127B"/>
    <w:rsid w:val="003F2710"/>
    <w:rsid w:val="003F7920"/>
    <w:rsid w:val="004005FE"/>
    <w:rsid w:val="004016BB"/>
    <w:rsid w:val="004019D4"/>
    <w:rsid w:val="0040345E"/>
    <w:rsid w:val="00405F0F"/>
    <w:rsid w:val="004066AC"/>
    <w:rsid w:val="00406D7D"/>
    <w:rsid w:val="004102D0"/>
    <w:rsid w:val="004115B2"/>
    <w:rsid w:val="0041533E"/>
    <w:rsid w:val="0042151F"/>
    <w:rsid w:val="00421CC7"/>
    <w:rsid w:val="00422676"/>
    <w:rsid w:val="0042330C"/>
    <w:rsid w:val="00423876"/>
    <w:rsid w:val="0042442F"/>
    <w:rsid w:val="00424E50"/>
    <w:rsid w:val="00425FF3"/>
    <w:rsid w:val="00426675"/>
    <w:rsid w:val="00426798"/>
    <w:rsid w:val="00426F87"/>
    <w:rsid w:val="00427239"/>
    <w:rsid w:val="004324FD"/>
    <w:rsid w:val="00432DE1"/>
    <w:rsid w:val="0043341E"/>
    <w:rsid w:val="00433466"/>
    <w:rsid w:val="00442F1A"/>
    <w:rsid w:val="0045070D"/>
    <w:rsid w:val="00452E96"/>
    <w:rsid w:val="0045409A"/>
    <w:rsid w:val="00455BB9"/>
    <w:rsid w:val="00460580"/>
    <w:rsid w:val="00464E71"/>
    <w:rsid w:val="0046531B"/>
    <w:rsid w:val="00467AE4"/>
    <w:rsid w:val="00475644"/>
    <w:rsid w:val="0047787E"/>
    <w:rsid w:val="004824D8"/>
    <w:rsid w:val="00486701"/>
    <w:rsid w:val="0048671C"/>
    <w:rsid w:val="0048741E"/>
    <w:rsid w:val="004874F7"/>
    <w:rsid w:val="00487DE3"/>
    <w:rsid w:val="00491284"/>
    <w:rsid w:val="004927D1"/>
    <w:rsid w:val="0049454A"/>
    <w:rsid w:val="004A017B"/>
    <w:rsid w:val="004A2228"/>
    <w:rsid w:val="004A40E1"/>
    <w:rsid w:val="004A4570"/>
    <w:rsid w:val="004A56AC"/>
    <w:rsid w:val="004A6F06"/>
    <w:rsid w:val="004B22B5"/>
    <w:rsid w:val="004B4821"/>
    <w:rsid w:val="004B4CDE"/>
    <w:rsid w:val="004B6E20"/>
    <w:rsid w:val="004B6F3A"/>
    <w:rsid w:val="004C070B"/>
    <w:rsid w:val="004D033B"/>
    <w:rsid w:val="004D2539"/>
    <w:rsid w:val="004D4322"/>
    <w:rsid w:val="004D465A"/>
    <w:rsid w:val="004D488A"/>
    <w:rsid w:val="004D7A9D"/>
    <w:rsid w:val="004E4B79"/>
    <w:rsid w:val="004E5455"/>
    <w:rsid w:val="004E605A"/>
    <w:rsid w:val="004E7227"/>
    <w:rsid w:val="004F0A44"/>
    <w:rsid w:val="004F215A"/>
    <w:rsid w:val="004F22F6"/>
    <w:rsid w:val="004F273B"/>
    <w:rsid w:val="004F3FB9"/>
    <w:rsid w:val="004F410B"/>
    <w:rsid w:val="004F76A1"/>
    <w:rsid w:val="00501215"/>
    <w:rsid w:val="00504582"/>
    <w:rsid w:val="00506DD4"/>
    <w:rsid w:val="00512FB2"/>
    <w:rsid w:val="0051320D"/>
    <w:rsid w:val="005132EC"/>
    <w:rsid w:val="00517F18"/>
    <w:rsid w:val="00520525"/>
    <w:rsid w:val="00520A3C"/>
    <w:rsid w:val="00525362"/>
    <w:rsid w:val="00525B8E"/>
    <w:rsid w:val="005271AD"/>
    <w:rsid w:val="00531567"/>
    <w:rsid w:val="00532999"/>
    <w:rsid w:val="00534E1E"/>
    <w:rsid w:val="00537187"/>
    <w:rsid w:val="005400BA"/>
    <w:rsid w:val="00542361"/>
    <w:rsid w:val="0054302E"/>
    <w:rsid w:val="0054378D"/>
    <w:rsid w:val="005441B9"/>
    <w:rsid w:val="00545B3E"/>
    <w:rsid w:val="005463D9"/>
    <w:rsid w:val="005511F1"/>
    <w:rsid w:val="00552278"/>
    <w:rsid w:val="005528B6"/>
    <w:rsid w:val="0055520C"/>
    <w:rsid w:val="00560D32"/>
    <w:rsid w:val="005631B8"/>
    <w:rsid w:val="00563EF8"/>
    <w:rsid w:val="005671BC"/>
    <w:rsid w:val="005717F4"/>
    <w:rsid w:val="00572E24"/>
    <w:rsid w:val="00575FA2"/>
    <w:rsid w:val="0057727D"/>
    <w:rsid w:val="00580897"/>
    <w:rsid w:val="00580EBF"/>
    <w:rsid w:val="005831CF"/>
    <w:rsid w:val="00591F70"/>
    <w:rsid w:val="00592185"/>
    <w:rsid w:val="005932DF"/>
    <w:rsid w:val="00595150"/>
    <w:rsid w:val="00595922"/>
    <w:rsid w:val="005A0FB1"/>
    <w:rsid w:val="005A4F03"/>
    <w:rsid w:val="005A5B16"/>
    <w:rsid w:val="005A5D20"/>
    <w:rsid w:val="005A7C1B"/>
    <w:rsid w:val="005B10FA"/>
    <w:rsid w:val="005B11A1"/>
    <w:rsid w:val="005B4F58"/>
    <w:rsid w:val="005B7E1A"/>
    <w:rsid w:val="005C258D"/>
    <w:rsid w:val="005C2979"/>
    <w:rsid w:val="005C3F3D"/>
    <w:rsid w:val="005C571B"/>
    <w:rsid w:val="005C7767"/>
    <w:rsid w:val="005C7A4F"/>
    <w:rsid w:val="005D1FAA"/>
    <w:rsid w:val="005D4151"/>
    <w:rsid w:val="005E1617"/>
    <w:rsid w:val="005E1FA2"/>
    <w:rsid w:val="005E263A"/>
    <w:rsid w:val="005E3E02"/>
    <w:rsid w:val="005E696E"/>
    <w:rsid w:val="005E74B7"/>
    <w:rsid w:val="005F3B17"/>
    <w:rsid w:val="005F6821"/>
    <w:rsid w:val="005F6E1A"/>
    <w:rsid w:val="006004E2"/>
    <w:rsid w:val="00600C43"/>
    <w:rsid w:val="006125A2"/>
    <w:rsid w:val="006144E7"/>
    <w:rsid w:val="00614699"/>
    <w:rsid w:val="00615DA3"/>
    <w:rsid w:val="00616C60"/>
    <w:rsid w:val="00616DAE"/>
    <w:rsid w:val="006219EE"/>
    <w:rsid w:val="00622F54"/>
    <w:rsid w:val="006256B4"/>
    <w:rsid w:val="006268A3"/>
    <w:rsid w:val="006269C3"/>
    <w:rsid w:val="006306BF"/>
    <w:rsid w:val="0063116A"/>
    <w:rsid w:val="0063254B"/>
    <w:rsid w:val="00632844"/>
    <w:rsid w:val="006334F5"/>
    <w:rsid w:val="0063679E"/>
    <w:rsid w:val="0063766F"/>
    <w:rsid w:val="00640A4E"/>
    <w:rsid w:val="006413E6"/>
    <w:rsid w:val="006429EF"/>
    <w:rsid w:val="00644F7C"/>
    <w:rsid w:val="00645E6F"/>
    <w:rsid w:val="00650518"/>
    <w:rsid w:val="00651F3A"/>
    <w:rsid w:val="006630E5"/>
    <w:rsid w:val="00664993"/>
    <w:rsid w:val="00666E0D"/>
    <w:rsid w:val="0067017D"/>
    <w:rsid w:val="00676709"/>
    <w:rsid w:val="00680968"/>
    <w:rsid w:val="00682A71"/>
    <w:rsid w:val="00685A30"/>
    <w:rsid w:val="006861E2"/>
    <w:rsid w:val="006942C4"/>
    <w:rsid w:val="006A3523"/>
    <w:rsid w:val="006A4822"/>
    <w:rsid w:val="006A58E0"/>
    <w:rsid w:val="006A6C0C"/>
    <w:rsid w:val="006B4B4E"/>
    <w:rsid w:val="006B5529"/>
    <w:rsid w:val="006C4A8F"/>
    <w:rsid w:val="006C5AA6"/>
    <w:rsid w:val="006C7633"/>
    <w:rsid w:val="006D2CD6"/>
    <w:rsid w:val="006D2DF8"/>
    <w:rsid w:val="006D69C4"/>
    <w:rsid w:val="006E0932"/>
    <w:rsid w:val="006E1781"/>
    <w:rsid w:val="006E3A6A"/>
    <w:rsid w:val="006E416A"/>
    <w:rsid w:val="006E5414"/>
    <w:rsid w:val="006E6156"/>
    <w:rsid w:val="006E741D"/>
    <w:rsid w:val="006E7CC3"/>
    <w:rsid w:val="006E7FD1"/>
    <w:rsid w:val="006F1899"/>
    <w:rsid w:val="006F1A6D"/>
    <w:rsid w:val="006F202E"/>
    <w:rsid w:val="006F3B04"/>
    <w:rsid w:val="006F636B"/>
    <w:rsid w:val="006F73CC"/>
    <w:rsid w:val="006F7FC8"/>
    <w:rsid w:val="007009F9"/>
    <w:rsid w:val="00700A4F"/>
    <w:rsid w:val="00700C57"/>
    <w:rsid w:val="0070294E"/>
    <w:rsid w:val="00711DBC"/>
    <w:rsid w:val="0071224C"/>
    <w:rsid w:val="0071392B"/>
    <w:rsid w:val="00716381"/>
    <w:rsid w:val="00717966"/>
    <w:rsid w:val="00724953"/>
    <w:rsid w:val="00724998"/>
    <w:rsid w:val="00727681"/>
    <w:rsid w:val="00731F00"/>
    <w:rsid w:val="00732616"/>
    <w:rsid w:val="00732764"/>
    <w:rsid w:val="00735BE0"/>
    <w:rsid w:val="00736325"/>
    <w:rsid w:val="007364BD"/>
    <w:rsid w:val="007418AB"/>
    <w:rsid w:val="00743AB2"/>
    <w:rsid w:val="00743CD0"/>
    <w:rsid w:val="007464AD"/>
    <w:rsid w:val="007505FE"/>
    <w:rsid w:val="00753E0D"/>
    <w:rsid w:val="00753FDD"/>
    <w:rsid w:val="00755A54"/>
    <w:rsid w:val="00762239"/>
    <w:rsid w:val="007635FA"/>
    <w:rsid w:val="0076366F"/>
    <w:rsid w:val="00765C27"/>
    <w:rsid w:val="00767B87"/>
    <w:rsid w:val="00772636"/>
    <w:rsid w:val="00777C18"/>
    <w:rsid w:val="007805CD"/>
    <w:rsid w:val="0078068B"/>
    <w:rsid w:val="00780B16"/>
    <w:rsid w:val="0078318A"/>
    <w:rsid w:val="00785AB9"/>
    <w:rsid w:val="00785CE8"/>
    <w:rsid w:val="0079131E"/>
    <w:rsid w:val="00791AA4"/>
    <w:rsid w:val="00793134"/>
    <w:rsid w:val="0079370B"/>
    <w:rsid w:val="00794A43"/>
    <w:rsid w:val="00794D8B"/>
    <w:rsid w:val="0079562F"/>
    <w:rsid w:val="00795926"/>
    <w:rsid w:val="007A0A44"/>
    <w:rsid w:val="007A2100"/>
    <w:rsid w:val="007A4A45"/>
    <w:rsid w:val="007A6290"/>
    <w:rsid w:val="007A6330"/>
    <w:rsid w:val="007A6FF5"/>
    <w:rsid w:val="007A71C4"/>
    <w:rsid w:val="007A7383"/>
    <w:rsid w:val="007B1B40"/>
    <w:rsid w:val="007B2E91"/>
    <w:rsid w:val="007B47FB"/>
    <w:rsid w:val="007C1648"/>
    <w:rsid w:val="007C288F"/>
    <w:rsid w:val="007C30F2"/>
    <w:rsid w:val="007D1B42"/>
    <w:rsid w:val="007D20F6"/>
    <w:rsid w:val="007D4862"/>
    <w:rsid w:val="007D5D5B"/>
    <w:rsid w:val="007D5F75"/>
    <w:rsid w:val="007D6B10"/>
    <w:rsid w:val="007D7161"/>
    <w:rsid w:val="007E08A3"/>
    <w:rsid w:val="007E7DF1"/>
    <w:rsid w:val="007F0FF0"/>
    <w:rsid w:val="007F29FE"/>
    <w:rsid w:val="007F3D16"/>
    <w:rsid w:val="007F45A9"/>
    <w:rsid w:val="007F5184"/>
    <w:rsid w:val="00800066"/>
    <w:rsid w:val="00803329"/>
    <w:rsid w:val="008064C3"/>
    <w:rsid w:val="00807EAE"/>
    <w:rsid w:val="00810A3F"/>
    <w:rsid w:val="00811E14"/>
    <w:rsid w:val="008120D8"/>
    <w:rsid w:val="008134C2"/>
    <w:rsid w:val="0081445F"/>
    <w:rsid w:val="00815249"/>
    <w:rsid w:val="00815E69"/>
    <w:rsid w:val="00815F42"/>
    <w:rsid w:val="008203B9"/>
    <w:rsid w:val="00820A00"/>
    <w:rsid w:val="008227A7"/>
    <w:rsid w:val="0083044B"/>
    <w:rsid w:val="008313A9"/>
    <w:rsid w:val="00831AFC"/>
    <w:rsid w:val="00831D1B"/>
    <w:rsid w:val="00833C42"/>
    <w:rsid w:val="00837302"/>
    <w:rsid w:val="00843914"/>
    <w:rsid w:val="00844A0C"/>
    <w:rsid w:val="00845B97"/>
    <w:rsid w:val="0085122E"/>
    <w:rsid w:val="00851B24"/>
    <w:rsid w:val="00857775"/>
    <w:rsid w:val="00861E1D"/>
    <w:rsid w:val="0086609D"/>
    <w:rsid w:val="00870608"/>
    <w:rsid w:val="008709FF"/>
    <w:rsid w:val="008716D8"/>
    <w:rsid w:val="00875923"/>
    <w:rsid w:val="00875B30"/>
    <w:rsid w:val="008766B1"/>
    <w:rsid w:val="008814A0"/>
    <w:rsid w:val="0088190D"/>
    <w:rsid w:val="0088662B"/>
    <w:rsid w:val="00890FD7"/>
    <w:rsid w:val="00893647"/>
    <w:rsid w:val="008B0841"/>
    <w:rsid w:val="008B305D"/>
    <w:rsid w:val="008B5FA3"/>
    <w:rsid w:val="008B5FDB"/>
    <w:rsid w:val="008B6308"/>
    <w:rsid w:val="008C2F61"/>
    <w:rsid w:val="008C5ACC"/>
    <w:rsid w:val="008C5D03"/>
    <w:rsid w:val="008D2829"/>
    <w:rsid w:val="008D3DE1"/>
    <w:rsid w:val="008D557C"/>
    <w:rsid w:val="008D5B1F"/>
    <w:rsid w:val="008D6BC4"/>
    <w:rsid w:val="008D7257"/>
    <w:rsid w:val="008E0CE6"/>
    <w:rsid w:val="008E0CF4"/>
    <w:rsid w:val="008E3E95"/>
    <w:rsid w:val="008E4E5F"/>
    <w:rsid w:val="008E5108"/>
    <w:rsid w:val="008E5567"/>
    <w:rsid w:val="008E68D2"/>
    <w:rsid w:val="008E7015"/>
    <w:rsid w:val="008E7777"/>
    <w:rsid w:val="008F15CD"/>
    <w:rsid w:val="008F246A"/>
    <w:rsid w:val="008F6C55"/>
    <w:rsid w:val="0090380F"/>
    <w:rsid w:val="009050BE"/>
    <w:rsid w:val="009062BF"/>
    <w:rsid w:val="009079AF"/>
    <w:rsid w:val="00911071"/>
    <w:rsid w:val="00916404"/>
    <w:rsid w:val="00916B9F"/>
    <w:rsid w:val="009202FD"/>
    <w:rsid w:val="009206F0"/>
    <w:rsid w:val="00921102"/>
    <w:rsid w:val="009214B3"/>
    <w:rsid w:val="0092264F"/>
    <w:rsid w:val="009234CE"/>
    <w:rsid w:val="009243AC"/>
    <w:rsid w:val="009246D2"/>
    <w:rsid w:val="00925384"/>
    <w:rsid w:val="00931A3C"/>
    <w:rsid w:val="0093468B"/>
    <w:rsid w:val="00935B44"/>
    <w:rsid w:val="00935D33"/>
    <w:rsid w:val="00937052"/>
    <w:rsid w:val="009408A3"/>
    <w:rsid w:val="009421D0"/>
    <w:rsid w:val="009448B0"/>
    <w:rsid w:val="00945121"/>
    <w:rsid w:val="00945199"/>
    <w:rsid w:val="00945849"/>
    <w:rsid w:val="00946EC7"/>
    <w:rsid w:val="009544E9"/>
    <w:rsid w:val="0095505F"/>
    <w:rsid w:val="00955BCE"/>
    <w:rsid w:val="009603A2"/>
    <w:rsid w:val="00961DA1"/>
    <w:rsid w:val="00962301"/>
    <w:rsid w:val="00964827"/>
    <w:rsid w:val="00970CA2"/>
    <w:rsid w:val="00970EDF"/>
    <w:rsid w:val="00972F05"/>
    <w:rsid w:val="00975F1B"/>
    <w:rsid w:val="009764B0"/>
    <w:rsid w:val="0097705F"/>
    <w:rsid w:val="009773EE"/>
    <w:rsid w:val="009813C5"/>
    <w:rsid w:val="009907CD"/>
    <w:rsid w:val="0099092D"/>
    <w:rsid w:val="009927A8"/>
    <w:rsid w:val="00992E03"/>
    <w:rsid w:val="00993EF1"/>
    <w:rsid w:val="00995BAC"/>
    <w:rsid w:val="009A229C"/>
    <w:rsid w:val="009A7FCE"/>
    <w:rsid w:val="009B06DD"/>
    <w:rsid w:val="009B3142"/>
    <w:rsid w:val="009B68EF"/>
    <w:rsid w:val="009B72F4"/>
    <w:rsid w:val="009C0D0F"/>
    <w:rsid w:val="009C2A17"/>
    <w:rsid w:val="009C643F"/>
    <w:rsid w:val="009C7B71"/>
    <w:rsid w:val="009D109B"/>
    <w:rsid w:val="009D30BC"/>
    <w:rsid w:val="009D656D"/>
    <w:rsid w:val="009E15E2"/>
    <w:rsid w:val="009E23BF"/>
    <w:rsid w:val="009E24E3"/>
    <w:rsid w:val="009E2BF3"/>
    <w:rsid w:val="009E2D9A"/>
    <w:rsid w:val="009E478A"/>
    <w:rsid w:val="009E6E2B"/>
    <w:rsid w:val="009E7F8F"/>
    <w:rsid w:val="009F18D7"/>
    <w:rsid w:val="009F1E2B"/>
    <w:rsid w:val="009F5005"/>
    <w:rsid w:val="009F5F96"/>
    <w:rsid w:val="009F74D0"/>
    <w:rsid w:val="00A00CBF"/>
    <w:rsid w:val="00A06BFF"/>
    <w:rsid w:val="00A129AE"/>
    <w:rsid w:val="00A12B84"/>
    <w:rsid w:val="00A13112"/>
    <w:rsid w:val="00A17FF7"/>
    <w:rsid w:val="00A20D09"/>
    <w:rsid w:val="00A21A0F"/>
    <w:rsid w:val="00A253E7"/>
    <w:rsid w:val="00A26653"/>
    <w:rsid w:val="00A2764E"/>
    <w:rsid w:val="00A37C7C"/>
    <w:rsid w:val="00A40505"/>
    <w:rsid w:val="00A409CF"/>
    <w:rsid w:val="00A42C03"/>
    <w:rsid w:val="00A45E77"/>
    <w:rsid w:val="00A47417"/>
    <w:rsid w:val="00A50E58"/>
    <w:rsid w:val="00A52FC3"/>
    <w:rsid w:val="00A539FF"/>
    <w:rsid w:val="00A56E84"/>
    <w:rsid w:val="00A60F48"/>
    <w:rsid w:val="00A63EE4"/>
    <w:rsid w:val="00A641A8"/>
    <w:rsid w:val="00A64DFD"/>
    <w:rsid w:val="00A65253"/>
    <w:rsid w:val="00A709E8"/>
    <w:rsid w:val="00A83DF2"/>
    <w:rsid w:val="00A8420B"/>
    <w:rsid w:val="00A8502B"/>
    <w:rsid w:val="00A86226"/>
    <w:rsid w:val="00A86D9C"/>
    <w:rsid w:val="00A920FB"/>
    <w:rsid w:val="00A9299A"/>
    <w:rsid w:val="00A9462E"/>
    <w:rsid w:val="00A968C4"/>
    <w:rsid w:val="00A96F68"/>
    <w:rsid w:val="00A97C36"/>
    <w:rsid w:val="00A97E61"/>
    <w:rsid w:val="00AA6478"/>
    <w:rsid w:val="00AB1071"/>
    <w:rsid w:val="00AB4EFD"/>
    <w:rsid w:val="00AB6E49"/>
    <w:rsid w:val="00AB7298"/>
    <w:rsid w:val="00AB76F5"/>
    <w:rsid w:val="00AC0E55"/>
    <w:rsid w:val="00AC11A6"/>
    <w:rsid w:val="00AC1EBB"/>
    <w:rsid w:val="00AC29C3"/>
    <w:rsid w:val="00AC3DA6"/>
    <w:rsid w:val="00AD271C"/>
    <w:rsid w:val="00AD28E3"/>
    <w:rsid w:val="00AD4D8B"/>
    <w:rsid w:val="00AE14EC"/>
    <w:rsid w:val="00AE57A4"/>
    <w:rsid w:val="00AE77AE"/>
    <w:rsid w:val="00AF291D"/>
    <w:rsid w:val="00AF51A0"/>
    <w:rsid w:val="00AF5D67"/>
    <w:rsid w:val="00B00765"/>
    <w:rsid w:val="00B0211B"/>
    <w:rsid w:val="00B0252F"/>
    <w:rsid w:val="00B02858"/>
    <w:rsid w:val="00B04209"/>
    <w:rsid w:val="00B10539"/>
    <w:rsid w:val="00B10F2E"/>
    <w:rsid w:val="00B11D20"/>
    <w:rsid w:val="00B11D74"/>
    <w:rsid w:val="00B14DCE"/>
    <w:rsid w:val="00B15276"/>
    <w:rsid w:val="00B17303"/>
    <w:rsid w:val="00B21DA8"/>
    <w:rsid w:val="00B2287D"/>
    <w:rsid w:val="00B26A2D"/>
    <w:rsid w:val="00B348B0"/>
    <w:rsid w:val="00B36EC1"/>
    <w:rsid w:val="00B42DB6"/>
    <w:rsid w:val="00B435C2"/>
    <w:rsid w:val="00B46027"/>
    <w:rsid w:val="00B46448"/>
    <w:rsid w:val="00B46917"/>
    <w:rsid w:val="00B50803"/>
    <w:rsid w:val="00B51F4D"/>
    <w:rsid w:val="00B57CEE"/>
    <w:rsid w:val="00B622BC"/>
    <w:rsid w:val="00B62425"/>
    <w:rsid w:val="00B67B8C"/>
    <w:rsid w:val="00B75D52"/>
    <w:rsid w:val="00B7734D"/>
    <w:rsid w:val="00B80672"/>
    <w:rsid w:val="00B8086C"/>
    <w:rsid w:val="00B809D3"/>
    <w:rsid w:val="00B80A40"/>
    <w:rsid w:val="00B84353"/>
    <w:rsid w:val="00B87097"/>
    <w:rsid w:val="00B87662"/>
    <w:rsid w:val="00B90B28"/>
    <w:rsid w:val="00B92053"/>
    <w:rsid w:val="00B930CF"/>
    <w:rsid w:val="00BA340E"/>
    <w:rsid w:val="00BA5D3E"/>
    <w:rsid w:val="00BA60B3"/>
    <w:rsid w:val="00BB4305"/>
    <w:rsid w:val="00BB4CC8"/>
    <w:rsid w:val="00BB5F43"/>
    <w:rsid w:val="00BC097C"/>
    <w:rsid w:val="00BC100C"/>
    <w:rsid w:val="00BC4F13"/>
    <w:rsid w:val="00BD0BD6"/>
    <w:rsid w:val="00BD2EF8"/>
    <w:rsid w:val="00BD2F73"/>
    <w:rsid w:val="00BD325B"/>
    <w:rsid w:val="00BD4D56"/>
    <w:rsid w:val="00BD762D"/>
    <w:rsid w:val="00BF00CF"/>
    <w:rsid w:val="00BF07B1"/>
    <w:rsid w:val="00BF0DC4"/>
    <w:rsid w:val="00BF1E18"/>
    <w:rsid w:val="00BF336E"/>
    <w:rsid w:val="00BF4B52"/>
    <w:rsid w:val="00BF5E12"/>
    <w:rsid w:val="00C02565"/>
    <w:rsid w:val="00C02A35"/>
    <w:rsid w:val="00C05DB6"/>
    <w:rsid w:val="00C06000"/>
    <w:rsid w:val="00C06CDF"/>
    <w:rsid w:val="00C07D18"/>
    <w:rsid w:val="00C103A9"/>
    <w:rsid w:val="00C10553"/>
    <w:rsid w:val="00C1495B"/>
    <w:rsid w:val="00C14970"/>
    <w:rsid w:val="00C173E2"/>
    <w:rsid w:val="00C20C17"/>
    <w:rsid w:val="00C210C3"/>
    <w:rsid w:val="00C23E02"/>
    <w:rsid w:val="00C26855"/>
    <w:rsid w:val="00C26ED7"/>
    <w:rsid w:val="00C318D7"/>
    <w:rsid w:val="00C343BF"/>
    <w:rsid w:val="00C34DBC"/>
    <w:rsid w:val="00C3754A"/>
    <w:rsid w:val="00C43B65"/>
    <w:rsid w:val="00C443AF"/>
    <w:rsid w:val="00C46901"/>
    <w:rsid w:val="00C472C0"/>
    <w:rsid w:val="00C51144"/>
    <w:rsid w:val="00C51A9A"/>
    <w:rsid w:val="00C5334E"/>
    <w:rsid w:val="00C53DAC"/>
    <w:rsid w:val="00C54C7F"/>
    <w:rsid w:val="00C55365"/>
    <w:rsid w:val="00C56B06"/>
    <w:rsid w:val="00C610C8"/>
    <w:rsid w:val="00C63FB9"/>
    <w:rsid w:val="00C65E58"/>
    <w:rsid w:val="00C724D2"/>
    <w:rsid w:val="00C72BFA"/>
    <w:rsid w:val="00C72BFD"/>
    <w:rsid w:val="00C72F53"/>
    <w:rsid w:val="00C7690C"/>
    <w:rsid w:val="00C7692E"/>
    <w:rsid w:val="00C76C3D"/>
    <w:rsid w:val="00C77D60"/>
    <w:rsid w:val="00C80CEE"/>
    <w:rsid w:val="00C86395"/>
    <w:rsid w:val="00C87AA9"/>
    <w:rsid w:val="00C92D07"/>
    <w:rsid w:val="00C9358F"/>
    <w:rsid w:val="00C9499A"/>
    <w:rsid w:val="00C96187"/>
    <w:rsid w:val="00C96700"/>
    <w:rsid w:val="00CA0D0B"/>
    <w:rsid w:val="00CA4014"/>
    <w:rsid w:val="00CA425B"/>
    <w:rsid w:val="00CA4B10"/>
    <w:rsid w:val="00CB05B1"/>
    <w:rsid w:val="00CB0853"/>
    <w:rsid w:val="00CB0F26"/>
    <w:rsid w:val="00CB3AE2"/>
    <w:rsid w:val="00CB3FBB"/>
    <w:rsid w:val="00CB5906"/>
    <w:rsid w:val="00CB65F1"/>
    <w:rsid w:val="00CC2799"/>
    <w:rsid w:val="00CC2CF7"/>
    <w:rsid w:val="00CC59ED"/>
    <w:rsid w:val="00CD00F0"/>
    <w:rsid w:val="00CD14BB"/>
    <w:rsid w:val="00CD2A1C"/>
    <w:rsid w:val="00CD2EFD"/>
    <w:rsid w:val="00CD4BC4"/>
    <w:rsid w:val="00CD64DD"/>
    <w:rsid w:val="00CD72FE"/>
    <w:rsid w:val="00CD75D2"/>
    <w:rsid w:val="00CD77BC"/>
    <w:rsid w:val="00CE017D"/>
    <w:rsid w:val="00CE1B9F"/>
    <w:rsid w:val="00CE6F80"/>
    <w:rsid w:val="00CF18AB"/>
    <w:rsid w:val="00D00632"/>
    <w:rsid w:val="00D01F37"/>
    <w:rsid w:val="00D02758"/>
    <w:rsid w:val="00D03A26"/>
    <w:rsid w:val="00D05D59"/>
    <w:rsid w:val="00D17D39"/>
    <w:rsid w:val="00D17D8F"/>
    <w:rsid w:val="00D17E8A"/>
    <w:rsid w:val="00D22031"/>
    <w:rsid w:val="00D27D6F"/>
    <w:rsid w:val="00D303D6"/>
    <w:rsid w:val="00D32687"/>
    <w:rsid w:val="00D32D6E"/>
    <w:rsid w:val="00D3314A"/>
    <w:rsid w:val="00D362A2"/>
    <w:rsid w:val="00D37B27"/>
    <w:rsid w:val="00D424D2"/>
    <w:rsid w:val="00D465B3"/>
    <w:rsid w:val="00D51791"/>
    <w:rsid w:val="00D5468E"/>
    <w:rsid w:val="00D55F42"/>
    <w:rsid w:val="00D61701"/>
    <w:rsid w:val="00D63A7D"/>
    <w:rsid w:val="00D641AC"/>
    <w:rsid w:val="00D64BC8"/>
    <w:rsid w:val="00D65268"/>
    <w:rsid w:val="00D70C1C"/>
    <w:rsid w:val="00D710A9"/>
    <w:rsid w:val="00D715E9"/>
    <w:rsid w:val="00D73A55"/>
    <w:rsid w:val="00D74667"/>
    <w:rsid w:val="00D75A2B"/>
    <w:rsid w:val="00D8474E"/>
    <w:rsid w:val="00D86029"/>
    <w:rsid w:val="00D86814"/>
    <w:rsid w:val="00D8701B"/>
    <w:rsid w:val="00D906DD"/>
    <w:rsid w:val="00D93AE3"/>
    <w:rsid w:val="00D94FA0"/>
    <w:rsid w:val="00DA1A84"/>
    <w:rsid w:val="00DA2EAA"/>
    <w:rsid w:val="00DA6A86"/>
    <w:rsid w:val="00DB2F91"/>
    <w:rsid w:val="00DB406B"/>
    <w:rsid w:val="00DB531C"/>
    <w:rsid w:val="00DB53BA"/>
    <w:rsid w:val="00DC32EB"/>
    <w:rsid w:val="00DC42B7"/>
    <w:rsid w:val="00DC4589"/>
    <w:rsid w:val="00DC4734"/>
    <w:rsid w:val="00DC4E25"/>
    <w:rsid w:val="00DC6C1E"/>
    <w:rsid w:val="00DD4383"/>
    <w:rsid w:val="00DD472E"/>
    <w:rsid w:val="00DD78FE"/>
    <w:rsid w:val="00DE04BB"/>
    <w:rsid w:val="00DE0A34"/>
    <w:rsid w:val="00DE2FDB"/>
    <w:rsid w:val="00DE3506"/>
    <w:rsid w:val="00DE37D6"/>
    <w:rsid w:val="00DE746A"/>
    <w:rsid w:val="00DE7E96"/>
    <w:rsid w:val="00DF349B"/>
    <w:rsid w:val="00DF42A7"/>
    <w:rsid w:val="00DF44C2"/>
    <w:rsid w:val="00DF4A3F"/>
    <w:rsid w:val="00DF54E7"/>
    <w:rsid w:val="00DF614F"/>
    <w:rsid w:val="00DF6B95"/>
    <w:rsid w:val="00DF7A2E"/>
    <w:rsid w:val="00E02404"/>
    <w:rsid w:val="00E046A3"/>
    <w:rsid w:val="00E07FAA"/>
    <w:rsid w:val="00E128DB"/>
    <w:rsid w:val="00E12E0B"/>
    <w:rsid w:val="00E14E68"/>
    <w:rsid w:val="00E16926"/>
    <w:rsid w:val="00E21239"/>
    <w:rsid w:val="00E228C8"/>
    <w:rsid w:val="00E363C5"/>
    <w:rsid w:val="00E36DE8"/>
    <w:rsid w:val="00E40153"/>
    <w:rsid w:val="00E41DF4"/>
    <w:rsid w:val="00E43F22"/>
    <w:rsid w:val="00E44A3B"/>
    <w:rsid w:val="00E450FF"/>
    <w:rsid w:val="00E46E7C"/>
    <w:rsid w:val="00E47A93"/>
    <w:rsid w:val="00E507CC"/>
    <w:rsid w:val="00E51DCC"/>
    <w:rsid w:val="00E538AE"/>
    <w:rsid w:val="00E575D4"/>
    <w:rsid w:val="00E602CC"/>
    <w:rsid w:val="00E60BCF"/>
    <w:rsid w:val="00E63199"/>
    <w:rsid w:val="00E631BB"/>
    <w:rsid w:val="00E6600C"/>
    <w:rsid w:val="00E6642E"/>
    <w:rsid w:val="00E66FC2"/>
    <w:rsid w:val="00E67137"/>
    <w:rsid w:val="00E701AC"/>
    <w:rsid w:val="00E71B6C"/>
    <w:rsid w:val="00E71F47"/>
    <w:rsid w:val="00E7552C"/>
    <w:rsid w:val="00E75EDC"/>
    <w:rsid w:val="00E76F19"/>
    <w:rsid w:val="00E7729C"/>
    <w:rsid w:val="00E77DF7"/>
    <w:rsid w:val="00E802FE"/>
    <w:rsid w:val="00E823D3"/>
    <w:rsid w:val="00E828F0"/>
    <w:rsid w:val="00E82DB5"/>
    <w:rsid w:val="00E8450A"/>
    <w:rsid w:val="00E857F1"/>
    <w:rsid w:val="00E919C6"/>
    <w:rsid w:val="00E919F1"/>
    <w:rsid w:val="00E92006"/>
    <w:rsid w:val="00E9209B"/>
    <w:rsid w:val="00E93DBE"/>
    <w:rsid w:val="00E95156"/>
    <w:rsid w:val="00E9584F"/>
    <w:rsid w:val="00EA00F5"/>
    <w:rsid w:val="00EA2FA7"/>
    <w:rsid w:val="00EA389B"/>
    <w:rsid w:val="00EB1B1D"/>
    <w:rsid w:val="00EB3D84"/>
    <w:rsid w:val="00EB4F12"/>
    <w:rsid w:val="00EB5BC7"/>
    <w:rsid w:val="00EB6CB3"/>
    <w:rsid w:val="00EB7F81"/>
    <w:rsid w:val="00EC0B90"/>
    <w:rsid w:val="00EC103C"/>
    <w:rsid w:val="00EC79B0"/>
    <w:rsid w:val="00ED1C3A"/>
    <w:rsid w:val="00ED2D18"/>
    <w:rsid w:val="00ED4D5F"/>
    <w:rsid w:val="00ED67B7"/>
    <w:rsid w:val="00EE1079"/>
    <w:rsid w:val="00EE1D6B"/>
    <w:rsid w:val="00EE642E"/>
    <w:rsid w:val="00EE677E"/>
    <w:rsid w:val="00EE77E0"/>
    <w:rsid w:val="00EF0BD7"/>
    <w:rsid w:val="00EF4622"/>
    <w:rsid w:val="00EF65C0"/>
    <w:rsid w:val="00EF778F"/>
    <w:rsid w:val="00EF78B8"/>
    <w:rsid w:val="00EF7999"/>
    <w:rsid w:val="00F006DA"/>
    <w:rsid w:val="00F01ED3"/>
    <w:rsid w:val="00F020DF"/>
    <w:rsid w:val="00F03BFD"/>
    <w:rsid w:val="00F043BC"/>
    <w:rsid w:val="00F118D3"/>
    <w:rsid w:val="00F1242C"/>
    <w:rsid w:val="00F128C3"/>
    <w:rsid w:val="00F16512"/>
    <w:rsid w:val="00F1711D"/>
    <w:rsid w:val="00F200BC"/>
    <w:rsid w:val="00F223F4"/>
    <w:rsid w:val="00F23EAF"/>
    <w:rsid w:val="00F25C3E"/>
    <w:rsid w:val="00F269BB"/>
    <w:rsid w:val="00F30757"/>
    <w:rsid w:val="00F31115"/>
    <w:rsid w:val="00F317F9"/>
    <w:rsid w:val="00F33A4A"/>
    <w:rsid w:val="00F353AE"/>
    <w:rsid w:val="00F36D46"/>
    <w:rsid w:val="00F42BF1"/>
    <w:rsid w:val="00F43DC9"/>
    <w:rsid w:val="00F441EF"/>
    <w:rsid w:val="00F443E2"/>
    <w:rsid w:val="00F52595"/>
    <w:rsid w:val="00F530EE"/>
    <w:rsid w:val="00F531CE"/>
    <w:rsid w:val="00F5415C"/>
    <w:rsid w:val="00F54B30"/>
    <w:rsid w:val="00F57324"/>
    <w:rsid w:val="00F612B3"/>
    <w:rsid w:val="00F62251"/>
    <w:rsid w:val="00F64A4F"/>
    <w:rsid w:val="00F67027"/>
    <w:rsid w:val="00F71933"/>
    <w:rsid w:val="00F74994"/>
    <w:rsid w:val="00F74DE7"/>
    <w:rsid w:val="00F7795B"/>
    <w:rsid w:val="00F803D9"/>
    <w:rsid w:val="00F823B0"/>
    <w:rsid w:val="00F82D1B"/>
    <w:rsid w:val="00F85483"/>
    <w:rsid w:val="00F950E6"/>
    <w:rsid w:val="00F960F5"/>
    <w:rsid w:val="00F97939"/>
    <w:rsid w:val="00FA0ED7"/>
    <w:rsid w:val="00FA3210"/>
    <w:rsid w:val="00FA5450"/>
    <w:rsid w:val="00FA62A2"/>
    <w:rsid w:val="00FA7412"/>
    <w:rsid w:val="00FB0F59"/>
    <w:rsid w:val="00FB3BF9"/>
    <w:rsid w:val="00FB55B6"/>
    <w:rsid w:val="00FB56B2"/>
    <w:rsid w:val="00FB5B7E"/>
    <w:rsid w:val="00FB61C0"/>
    <w:rsid w:val="00FB709E"/>
    <w:rsid w:val="00FC57AE"/>
    <w:rsid w:val="00FC6C27"/>
    <w:rsid w:val="00FD7E78"/>
    <w:rsid w:val="00FE3585"/>
    <w:rsid w:val="00FE72B3"/>
    <w:rsid w:val="00FF09DA"/>
    <w:rsid w:val="00FF16A1"/>
    <w:rsid w:val="00FF330A"/>
    <w:rsid w:val="00FF3CAD"/>
    <w:rsid w:val="00FF483D"/>
    <w:rsid w:val="00FF49A5"/>
    <w:rsid w:val="00FF69FD"/>
    <w:rsid w:val="00FF6B2B"/>
    <w:rsid w:val="00FF6CAF"/>
    <w:rsid w:val="00FF7398"/>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0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 w:type="paragraph" w:styleId="BalloonText">
    <w:name w:val="Balloon Text"/>
    <w:basedOn w:val="Normal"/>
    <w:link w:val="BalloonTextChar"/>
    <w:uiPriority w:val="99"/>
    <w:semiHidden/>
    <w:unhideWhenUsed/>
    <w:rsid w:val="00F20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C"/>
    <w:rPr>
      <w:rFonts w:ascii="Segoe UI" w:hAnsi="Segoe UI" w:cs="Segoe UI"/>
      <w:sz w:val="18"/>
      <w:szCs w:val="18"/>
    </w:rPr>
  </w:style>
  <w:style w:type="table" w:styleId="TableGrid">
    <w:name w:val="Table Grid"/>
    <w:basedOn w:val="TableNormal"/>
    <w:uiPriority w:val="59"/>
    <w:rsid w:val="00097C3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anumbering1">
    <w:name w:val="aparanumbering1"/>
    <w:basedOn w:val="Normal"/>
    <w:rsid w:val="003B3C19"/>
    <w:pPr>
      <w:spacing w:before="120" w:after="120"/>
      <w:ind w:left="142"/>
      <w:jc w:val="both"/>
    </w:pPr>
    <w:rPr>
      <w:rFonts w:ascii="Arial" w:hAnsi="Arial" w:cs="Arial"/>
      <w:sz w:val="26"/>
      <w:szCs w:val="26"/>
    </w:rPr>
  </w:style>
  <w:style w:type="paragraph" w:customStyle="1" w:styleId="SCCFileNumber">
    <w:name w:val="SCC.FileNumber"/>
    <w:basedOn w:val="Normal"/>
    <w:next w:val="Normal"/>
    <w:link w:val="SCCFileNumberChar"/>
    <w:rsid w:val="00046AF2"/>
    <w:pPr>
      <w:jc w:val="both"/>
    </w:pPr>
    <w:rPr>
      <w:rFonts w:eastAsiaTheme="minorHAnsi" w:cstheme="minorBidi"/>
      <w:b/>
      <w:szCs w:val="22"/>
      <w:lang w:val="en-CA"/>
    </w:rPr>
  </w:style>
  <w:style w:type="character" w:customStyle="1" w:styleId="SCCFileNumberChar">
    <w:name w:val="SCC.FileNumber Char"/>
    <w:basedOn w:val="DefaultParagraphFont"/>
    <w:link w:val="SCCFileNumber"/>
    <w:rsid w:val="00046AF2"/>
    <w:rPr>
      <w:rFonts w:eastAsiaTheme="minorHAnsi" w:cstheme="minorBidi"/>
      <w:b/>
      <w:sz w:val="24"/>
      <w:szCs w:val="22"/>
      <w:lang w:val="en-CA"/>
    </w:rPr>
  </w:style>
  <w:style w:type="paragraph" w:customStyle="1" w:styleId="SCCCaseDescriptor">
    <w:name w:val="SCC.CaseDescriptor"/>
    <w:basedOn w:val="Normal"/>
    <w:link w:val="SCCCaseDescriptorChar"/>
    <w:qFormat/>
    <w:rsid w:val="00AC11A6"/>
    <w:rPr>
      <w:b/>
      <w:lang w:val="en-CA" w:eastAsia="en-CA"/>
    </w:rPr>
  </w:style>
  <w:style w:type="character" w:customStyle="1" w:styleId="SCCCaseDescriptorChar">
    <w:name w:val="SCC.CaseDescriptor Char"/>
    <w:basedOn w:val="DefaultParagraphFont"/>
    <w:link w:val="SCCCaseDescriptor"/>
    <w:rsid w:val="00AC11A6"/>
    <w:rPr>
      <w:b/>
      <w:sz w:val="24"/>
      <w:lang w:val="en-CA" w:eastAsia="en-CA"/>
    </w:rPr>
  </w:style>
  <w:style w:type="paragraph" w:customStyle="1" w:styleId="SCCBanSummary">
    <w:name w:val="SCC.BanSummary"/>
    <w:basedOn w:val="Normal"/>
    <w:next w:val="Normal"/>
    <w:link w:val="SCCBanSummaryChar"/>
    <w:rsid w:val="00937052"/>
    <w:pPr>
      <w:jc w:val="both"/>
    </w:pPr>
    <w:rPr>
      <w:rFonts w:eastAsiaTheme="minorHAnsi" w:cstheme="minorBidi"/>
      <w:smallCaps/>
      <w:szCs w:val="22"/>
      <w:lang w:val="en-CA"/>
    </w:rPr>
  </w:style>
  <w:style w:type="character" w:customStyle="1" w:styleId="SCCBanSummaryChar">
    <w:name w:val="SCC.BanSummary Char"/>
    <w:basedOn w:val="DefaultParagraphFont"/>
    <w:link w:val="SCCBanSummary"/>
    <w:rsid w:val="00937052"/>
    <w:rPr>
      <w:rFonts w:eastAsiaTheme="minorHAnsi" w:cstheme="minorBidi"/>
      <w:smallCaps/>
      <w:sz w:val="24"/>
      <w:szCs w:val="22"/>
      <w:lang w:val="en-CA"/>
    </w:rPr>
  </w:style>
  <w:style w:type="paragraph" w:customStyle="1" w:styleId="SCCLsocOtherPartySeparator">
    <w:name w:val="SCC.Lsoc.OtherPartySeparator"/>
    <w:basedOn w:val="Normal"/>
    <w:next w:val="Normal"/>
    <w:link w:val="SCCLsocOtherPartySeparatorChar"/>
    <w:rsid w:val="004874F7"/>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4874F7"/>
    <w:rPr>
      <w:rFonts w:eastAsiaTheme="minorHAnsi" w:cstheme="minorBidi"/>
      <w:b/>
      <w:sz w:val="24"/>
      <w:szCs w:val="22"/>
      <w:lang w:val="fr-CA"/>
    </w:rPr>
  </w:style>
  <w:style w:type="paragraph" w:customStyle="1" w:styleId="SCCLsocSubfileSeparator">
    <w:name w:val="SCC.Lsoc.SubfileSeparator"/>
    <w:basedOn w:val="Normal"/>
    <w:next w:val="Normal"/>
    <w:link w:val="SCCLsocSubfileSeparatorChar"/>
    <w:rsid w:val="004874F7"/>
    <w:pPr>
      <w:jc w:val="both"/>
    </w:pPr>
    <w:rPr>
      <w:rFonts w:eastAsiaTheme="minorHAnsi"/>
      <w:b/>
      <w:szCs w:val="24"/>
      <w:lang w:val="fr-CA"/>
    </w:rPr>
  </w:style>
  <w:style w:type="character" w:customStyle="1" w:styleId="SCCLsocSubfileSeparatorChar">
    <w:name w:val="SCC.Lsoc.SubfileSeparator Char"/>
    <w:basedOn w:val="DefaultParagraphFont"/>
    <w:link w:val="SCCLsocSubfileSeparator"/>
    <w:rsid w:val="004874F7"/>
    <w:rPr>
      <w:rFonts w:eastAsiaTheme="minorHAnsi"/>
      <w:b/>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913852924">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86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c-csc.ca/case-dossier/info/sum-som-eng.aspx?cas=4086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y-greffe@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6600</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2024-02-21T16:35:00Z</dcterms:created>
  <dcterms:modified xsi:type="dcterms:W3CDTF">2024-11-23T16:50:00Z</dcterms:modified>
</cp:coreProperties>
</file>