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40" w:rsidRDefault="00D64040">
      <w:pPr>
        <w:widowControl/>
        <w:jc w:val="both"/>
        <w:rPr>
          <w:lang w:val="en-GB"/>
        </w:rPr>
      </w:pPr>
      <w:r>
        <w:rPr>
          <w:b/>
          <w:bCs/>
          <w:lang w:val="en-GB"/>
        </w:rPr>
        <w:t>SUPREME COURT OF CANADA -- JUDGMENTS  IN  LEAVE  APPLICATIONS</w:t>
      </w:r>
    </w:p>
    <w:p w:rsidR="00D64040" w:rsidRDefault="00D64040">
      <w:pPr>
        <w:widowControl/>
        <w:jc w:val="both"/>
        <w:rPr>
          <w:lang w:val="en-GB"/>
        </w:rPr>
      </w:pPr>
      <w:r>
        <w:rPr>
          <w:lang w:val="en-GB"/>
        </w:rPr>
        <w:t>OTTAWA, 2010</w:t>
      </w:r>
      <w:r>
        <w:rPr>
          <w:lang w:val="en-GB"/>
        </w:rPr>
        <w:noBreakHyphen/>
        <w:t>08-19.  THE  SUPREME  COURT  OF  CANADA  HAS  TODAY  RENDERED  JUDGMENT  IN  THE  FOLLOWING  APPLICATIONS  FOR  LEAVE  TO  APPEAL.</w:t>
      </w:r>
    </w:p>
    <w:p w:rsidR="00D64040" w:rsidRDefault="00D64040">
      <w:pPr>
        <w:widowControl/>
        <w:jc w:val="both"/>
        <w:rPr>
          <w:lang w:val="en-GB"/>
        </w:rPr>
      </w:pPr>
      <w:r>
        <w:rPr>
          <w:lang w:val="en-GB"/>
        </w:rPr>
        <w:t>FROM: SUPREME COURT OF CANADA (613) 995</w:t>
      </w:r>
      <w:r>
        <w:rPr>
          <w:lang w:val="en-GB"/>
        </w:rPr>
        <w:noBreakHyphen/>
        <w:t>4330</w:t>
      </w:r>
    </w:p>
    <w:p w:rsidR="00D64040" w:rsidRDefault="00D64040">
      <w:pPr>
        <w:widowControl/>
        <w:jc w:val="both"/>
        <w:rPr>
          <w:lang w:val="en-GB"/>
        </w:rPr>
      </w:pPr>
      <w:r>
        <w:rPr>
          <w:lang w:val="en-GB"/>
        </w:rPr>
        <w:t xml:space="preserve">  </w:t>
      </w:r>
    </w:p>
    <w:p w:rsidR="00D64040" w:rsidRPr="00EB68CF" w:rsidRDefault="00D64040">
      <w:pPr>
        <w:widowControl/>
        <w:jc w:val="both"/>
        <w:rPr>
          <w:lang w:val="fr-CA"/>
        </w:rPr>
      </w:pPr>
      <w:r w:rsidRPr="00EB68CF">
        <w:rPr>
          <w:b/>
          <w:bCs/>
          <w:lang w:val="fr-CA"/>
        </w:rPr>
        <w:t>COUR SUPRÊME DU CANADA -- JUGEMENTS  SUR  DEMANDES  D’AUTORISATION</w:t>
      </w:r>
    </w:p>
    <w:p w:rsidR="00D64040" w:rsidRPr="00EB68CF" w:rsidRDefault="00D64040">
      <w:pPr>
        <w:widowControl/>
        <w:jc w:val="both"/>
        <w:rPr>
          <w:lang w:val="fr-CA"/>
        </w:rPr>
      </w:pPr>
      <w:r w:rsidRPr="00EB68CF">
        <w:rPr>
          <w:lang w:val="fr-CA"/>
        </w:rPr>
        <w:t>OTTAWA, 2010</w:t>
      </w:r>
      <w:r w:rsidRPr="00EB68CF">
        <w:rPr>
          <w:lang w:val="fr-CA"/>
        </w:rPr>
        <w:noBreakHyphen/>
        <w:t>08-19.  LA  COUR  SUPRÊME  DU  CANADA  A  RENDU  JUGEMENT  AUJOURD’HUI  DANS  LES  DEMANDES  D’AUTORISATION  D’APPEL  SUIVANTES.</w:t>
      </w:r>
    </w:p>
    <w:p w:rsidR="00D64040" w:rsidRPr="00EB68CF" w:rsidRDefault="00D64040">
      <w:pPr>
        <w:widowControl/>
        <w:jc w:val="both"/>
        <w:rPr>
          <w:lang w:val="fr-CA"/>
        </w:rPr>
      </w:pPr>
      <w:r w:rsidRPr="00EB68CF">
        <w:rPr>
          <w:lang w:val="fr-CA"/>
        </w:rPr>
        <w:t>SOURCE: COUR SUPRÊME DU CANADA (613) 995</w:t>
      </w:r>
      <w:r w:rsidRPr="00EB68CF">
        <w:rPr>
          <w:lang w:val="fr-CA"/>
        </w:rPr>
        <w:noBreakHyphen/>
        <w:t>4330</w:t>
      </w:r>
    </w:p>
    <w:p w:rsidR="00D64040" w:rsidRPr="00EB68CF" w:rsidRDefault="00D64040">
      <w:pPr>
        <w:widowControl/>
        <w:jc w:val="both"/>
        <w:rPr>
          <w:lang w:val="fr-CA"/>
        </w:rPr>
      </w:pPr>
      <w:r w:rsidRPr="00EB68CF">
        <w:rPr>
          <w:lang w:val="fr-CA"/>
        </w:rPr>
        <w:t xml:space="preserve">  </w:t>
      </w:r>
    </w:p>
    <w:p w:rsidR="00D64040" w:rsidRPr="00EB68CF" w:rsidRDefault="00D64040">
      <w:pPr>
        <w:widowControl/>
        <w:jc w:val="both"/>
        <w:rPr>
          <w:lang w:val="fr-CA"/>
        </w:rPr>
      </w:pPr>
      <w:r w:rsidRPr="00EB68CF">
        <w:rPr>
          <w:lang w:val="fr-CA"/>
        </w:rPr>
        <w:t xml:space="preserve">COMMENTS/COMMENTAIRES: </w:t>
      </w:r>
      <w:r w:rsidRPr="00EB68CF">
        <w:rPr>
          <w:rStyle w:val="Hypertext"/>
          <w:lang w:val="fr-CA"/>
        </w:rPr>
        <w:t>comments-commentaires@scc</w:t>
      </w:r>
      <w:r w:rsidRPr="00EB68CF">
        <w:rPr>
          <w:rStyle w:val="Hypertext"/>
          <w:lang w:val="fr-CA"/>
        </w:rPr>
        <w:noBreakHyphen/>
        <w:t>csc.gc.ca</w:t>
      </w:r>
    </w:p>
    <w:p w:rsidR="00D64040" w:rsidRPr="00EB68CF" w:rsidRDefault="00D64040">
      <w:pPr>
        <w:widowControl/>
        <w:jc w:val="both"/>
        <w:rPr>
          <w:lang w:val="fr-CA"/>
        </w:rPr>
      </w:pPr>
      <w:r w:rsidRPr="00EB68CF">
        <w:rPr>
          <w:lang w:val="fr-CA"/>
        </w:rPr>
        <w:t xml:space="preserve">  </w:t>
      </w:r>
    </w:p>
    <w:p w:rsidR="00D64040" w:rsidRPr="00EB68CF" w:rsidRDefault="00D64040">
      <w:pPr>
        <w:widowControl/>
        <w:jc w:val="both"/>
        <w:rPr>
          <w:lang w:val="fr-CA"/>
        </w:rPr>
      </w:pPr>
    </w:p>
    <w:p w:rsidR="00D64040" w:rsidRPr="00EB68CF" w:rsidRDefault="00D64040">
      <w:pPr>
        <w:widowControl/>
        <w:spacing w:line="19" w:lineRule="exact"/>
        <w:jc w:val="both"/>
        <w:rPr>
          <w:lang w:val="fr-CA"/>
        </w:rPr>
      </w:pPr>
      <w:r>
        <w:rPr>
          <w:noProof/>
        </w:rPr>
        <w:pict>
          <v:rect id="_x0000_s1026" style="position:absolute;left:0;text-align:left;margin-left:252pt;margin-top:0;width:108pt;height:.95pt;z-index:-251659264;mso-position-horizontal-relative:page;mso-position-vertical-relative:text" o:allowincell="f" fillcolor="black" stroked="f" strokeweight="0">
            <v:fill color2="black"/>
            <w10:wrap anchorx="page"/>
            <w10:anchorlock/>
          </v:rect>
        </w:pict>
      </w:r>
    </w:p>
    <w:p w:rsidR="00D64040" w:rsidRDefault="00D64040">
      <w:pPr>
        <w:widowControl/>
        <w:jc w:val="both"/>
        <w:rPr>
          <w:lang w:val="en-GB"/>
        </w:rPr>
      </w:pPr>
      <w:r>
        <w:rPr>
          <w:lang w:val="en-GB"/>
        </w:rPr>
        <w:t xml:space="preserve">Note for subscribers: </w:t>
      </w:r>
    </w:p>
    <w:p w:rsidR="00D64040" w:rsidRDefault="00D64040">
      <w:pPr>
        <w:widowControl/>
        <w:jc w:val="both"/>
        <w:rPr>
          <w:lang w:val="en-GB"/>
        </w:rPr>
      </w:pPr>
      <w:r>
        <w:rPr>
          <w:lang w:val="en-GB"/>
        </w:rPr>
        <w:t xml:space="preserve">The summaries of the cases are available at </w:t>
      </w:r>
      <w:r>
        <w:rPr>
          <w:rStyle w:val="Hypertext"/>
          <w:lang w:val="en-GB"/>
        </w:rPr>
        <w:t>http://www.scc-csc.gc.ca</w:t>
      </w:r>
      <w:r>
        <w:rPr>
          <w:lang w:val="en-GB"/>
        </w:rPr>
        <w:t>:</w:t>
      </w:r>
    </w:p>
    <w:p w:rsidR="00D64040" w:rsidRDefault="00D64040">
      <w:pPr>
        <w:widowControl/>
        <w:jc w:val="both"/>
        <w:rPr>
          <w:lang w:val="en-GB"/>
        </w:rPr>
      </w:pPr>
      <w:r>
        <w:rPr>
          <w:lang w:val="en-GB"/>
        </w:rPr>
        <w:t>Click on Cases and on SCC Case Information, type in the Case Number and press Search.  Click on the Case Number on the Search Results screen, and when the docket screen appears, click on “Summary” which will appear in the left column.</w:t>
      </w:r>
    </w:p>
    <w:p w:rsidR="00D64040" w:rsidRDefault="00D64040">
      <w:pPr>
        <w:widowControl/>
        <w:jc w:val="both"/>
        <w:rPr>
          <w:lang w:val="en-GB"/>
        </w:rPr>
      </w:pPr>
      <w:r>
        <w:rPr>
          <w:lang w:val="en-GB"/>
        </w:rPr>
        <w:t xml:space="preserve">  </w:t>
      </w:r>
    </w:p>
    <w:p w:rsidR="00D64040" w:rsidRDefault="00D64040">
      <w:pPr>
        <w:widowControl/>
        <w:jc w:val="both"/>
        <w:rPr>
          <w:lang w:val="en-GB"/>
        </w:rPr>
      </w:pPr>
      <w:r>
        <w:rPr>
          <w:lang w:val="en-GB"/>
        </w:rPr>
        <w:t xml:space="preserve">Alternatively, click on </w:t>
      </w:r>
    </w:p>
    <w:p w:rsidR="00D64040" w:rsidRDefault="00D64040">
      <w:pPr>
        <w:widowControl/>
        <w:jc w:val="both"/>
        <w:rPr>
          <w:lang w:val="en-GB"/>
        </w:rPr>
      </w:pPr>
      <w:r>
        <w:rPr>
          <w:rStyle w:val="Hypertext"/>
          <w:lang w:val="en-GB"/>
        </w:rPr>
        <w:t>http://scc.lexum.umontreal.ca/en/news_release/2010/10-08-16.2a/10-08-16.2a.html</w:t>
      </w:r>
    </w:p>
    <w:p w:rsidR="00D64040" w:rsidRDefault="00D64040">
      <w:pPr>
        <w:widowControl/>
        <w:jc w:val="both"/>
        <w:rPr>
          <w:lang w:val="en-GB"/>
        </w:rPr>
      </w:pPr>
      <w:r>
        <w:rPr>
          <w:lang w:val="en-GB"/>
        </w:rPr>
        <w:t xml:space="preserve">  </w:t>
      </w:r>
    </w:p>
    <w:p w:rsidR="00D64040" w:rsidRPr="00EB68CF" w:rsidRDefault="00D64040">
      <w:pPr>
        <w:widowControl/>
        <w:jc w:val="both"/>
        <w:rPr>
          <w:lang w:val="fr-CA"/>
        </w:rPr>
      </w:pPr>
      <w:r w:rsidRPr="00EB68CF">
        <w:rPr>
          <w:lang w:val="fr-CA"/>
        </w:rPr>
        <w:t xml:space="preserve">Note pour les abonnés : </w:t>
      </w:r>
    </w:p>
    <w:p w:rsidR="00D64040" w:rsidRPr="00EB68CF" w:rsidRDefault="00D64040">
      <w:pPr>
        <w:widowControl/>
        <w:jc w:val="both"/>
        <w:rPr>
          <w:lang w:val="fr-CA"/>
        </w:rPr>
      </w:pPr>
      <w:r w:rsidRPr="00EB68CF">
        <w:rPr>
          <w:lang w:val="fr-CA"/>
        </w:rPr>
        <w:t xml:space="preserve">Les sommaires des causes sont affichés à l’adresse </w:t>
      </w:r>
      <w:r w:rsidRPr="00EB68CF">
        <w:rPr>
          <w:rStyle w:val="Hypertext"/>
          <w:lang w:val="fr-CA"/>
        </w:rPr>
        <w:t>http://www.scc-csc.gc.ca</w:t>
      </w:r>
      <w:r w:rsidRPr="00EB68CF">
        <w:rPr>
          <w:lang w:val="fr-CA"/>
        </w:rPr>
        <w:t xml:space="preserve"> :</w:t>
      </w:r>
    </w:p>
    <w:p w:rsidR="00D64040" w:rsidRPr="00EB68CF" w:rsidRDefault="00D64040">
      <w:pPr>
        <w:widowControl/>
        <w:jc w:val="both"/>
        <w:rPr>
          <w:lang w:val="fr-CA"/>
        </w:rPr>
      </w:pPr>
      <w:r w:rsidRPr="00EB68CF">
        <w:rPr>
          <w:lang w:val="fr-CA"/>
        </w:rPr>
        <w:t>Cliquez sur « Dossiers », puis sur « Renseignements sur les dossiers ». Tapez le n</w:t>
      </w:r>
      <w:r w:rsidRPr="00EB68CF">
        <w:rPr>
          <w:vertAlign w:val="superscript"/>
          <w:lang w:val="fr-CA"/>
        </w:rPr>
        <w:t>o</w:t>
      </w:r>
      <w:r w:rsidRPr="00EB68CF">
        <w:rPr>
          <w:lang w:val="fr-CA"/>
        </w:rPr>
        <w:t xml:space="preserve"> de dossier et appuyez sur « Recherche ».  Cliquez sur le n</w:t>
      </w:r>
      <w:r w:rsidRPr="00EB68CF">
        <w:rPr>
          <w:vertAlign w:val="superscript"/>
          <w:lang w:val="fr-CA"/>
        </w:rPr>
        <w:t>o</w:t>
      </w:r>
      <w:r w:rsidRPr="00EB68CF">
        <w:rPr>
          <w:lang w:val="fr-CA"/>
        </w:rPr>
        <w:t xml:space="preserve"> du dossier dans les Résultats de la recherche pour accéder au Registre.  Cliquez enfin sur le lien menant au « Sommaire » qui figure dans la colonne de gauche.</w:t>
      </w:r>
    </w:p>
    <w:p w:rsidR="00D64040" w:rsidRPr="00EB68CF" w:rsidRDefault="00D64040">
      <w:pPr>
        <w:widowControl/>
        <w:jc w:val="both"/>
        <w:rPr>
          <w:lang w:val="fr-CA"/>
        </w:rPr>
      </w:pPr>
    </w:p>
    <w:p w:rsidR="00D64040" w:rsidRPr="00EB68CF" w:rsidRDefault="00D64040">
      <w:pPr>
        <w:widowControl/>
        <w:jc w:val="both"/>
        <w:rPr>
          <w:lang w:val="fr-CA"/>
        </w:rPr>
      </w:pPr>
      <w:r w:rsidRPr="00EB68CF">
        <w:rPr>
          <w:lang w:val="fr-CA"/>
        </w:rPr>
        <w:t xml:space="preserve">Autre façon de procéder : Cliquez sur </w:t>
      </w:r>
    </w:p>
    <w:p w:rsidR="00D64040" w:rsidRPr="00EB68CF" w:rsidRDefault="00D64040">
      <w:pPr>
        <w:widowControl/>
        <w:jc w:val="both"/>
        <w:rPr>
          <w:lang w:val="fr-CA"/>
        </w:rPr>
      </w:pPr>
      <w:r w:rsidRPr="00EB68CF">
        <w:rPr>
          <w:rStyle w:val="Hypertext"/>
          <w:lang w:val="fr-CA"/>
        </w:rPr>
        <w:t>http://scc.lexum.umontreal.ca/fr/news_release/2010/10</w:t>
      </w:r>
      <w:r w:rsidRPr="00EB68CF">
        <w:rPr>
          <w:rStyle w:val="Hypertext"/>
          <w:lang w:val="fr-CA"/>
        </w:rPr>
        <w:noBreakHyphen/>
        <w:t>08</w:t>
      </w:r>
      <w:r w:rsidRPr="00EB68CF">
        <w:rPr>
          <w:rStyle w:val="Hypertext"/>
          <w:lang w:val="fr-CA"/>
        </w:rPr>
        <w:noBreakHyphen/>
        <w:t>16.2a/10</w:t>
      </w:r>
      <w:r w:rsidRPr="00EB68CF">
        <w:rPr>
          <w:rStyle w:val="Hypertext"/>
          <w:lang w:val="fr-CA"/>
        </w:rPr>
        <w:noBreakHyphen/>
        <w:t>08</w:t>
      </w:r>
      <w:r w:rsidRPr="00EB68CF">
        <w:rPr>
          <w:rStyle w:val="Hypertext"/>
          <w:lang w:val="fr-CA"/>
        </w:rPr>
        <w:noBreakHyphen/>
        <w:t>16.2a.html</w:t>
      </w:r>
    </w:p>
    <w:p w:rsidR="00D64040" w:rsidRPr="00EB68CF" w:rsidRDefault="00D64040">
      <w:pPr>
        <w:widowControl/>
        <w:jc w:val="both"/>
        <w:rPr>
          <w:sz w:val="20"/>
          <w:szCs w:val="20"/>
          <w:lang w:val="fr-CA"/>
        </w:rPr>
      </w:pPr>
    </w:p>
    <w:p w:rsidR="00D64040" w:rsidRDefault="00D64040">
      <w:pPr>
        <w:widowControl/>
        <w:jc w:val="both"/>
        <w:rPr>
          <w:sz w:val="20"/>
          <w:szCs w:val="20"/>
          <w:lang w:val="en-GB"/>
        </w:rPr>
      </w:pPr>
      <w:r>
        <w:rPr>
          <w:sz w:val="20"/>
          <w:szCs w:val="20"/>
          <w:lang w:val="en-GB"/>
        </w:rPr>
        <w:t>****</w:t>
      </w:r>
    </w:p>
    <w:p w:rsidR="00D64040" w:rsidRDefault="00D64040">
      <w:pPr>
        <w:widowControl/>
        <w:jc w:val="both"/>
        <w:rPr>
          <w:sz w:val="20"/>
          <w:szCs w:val="20"/>
          <w:lang w:val="en-GB"/>
        </w:rPr>
      </w:pPr>
    </w:p>
    <w:p w:rsidR="00D64040" w:rsidRDefault="00D64040">
      <w:pPr>
        <w:widowControl/>
        <w:jc w:val="both"/>
        <w:rPr>
          <w:lang w:val="en-GB"/>
        </w:rPr>
      </w:pPr>
      <w:r>
        <w:rPr>
          <w:b/>
          <w:bCs/>
          <w:lang w:val="en-GB"/>
        </w:rPr>
        <w:t>DISMISSED WITH COSTS / REJETÉE AVEC DÉPENS</w:t>
      </w:r>
    </w:p>
    <w:p w:rsidR="00D64040" w:rsidRDefault="00D64040">
      <w:pPr>
        <w:widowControl/>
        <w:jc w:val="both"/>
        <w:rPr>
          <w:i/>
          <w:iCs/>
          <w:sz w:val="20"/>
          <w:szCs w:val="20"/>
          <w:lang w:val="en-GB"/>
        </w:rPr>
      </w:pPr>
    </w:p>
    <w:p w:rsidR="00D64040" w:rsidRDefault="00D64040">
      <w:pPr>
        <w:widowControl/>
        <w:jc w:val="both"/>
        <w:rPr>
          <w:i/>
          <w:iCs/>
          <w:sz w:val="20"/>
          <w:szCs w:val="20"/>
          <w:lang w:val="en-GB"/>
        </w:rPr>
      </w:pPr>
      <w:r>
        <w:rPr>
          <w:i/>
          <w:iCs/>
          <w:sz w:val="20"/>
          <w:szCs w:val="20"/>
          <w:lang w:val="en-GB"/>
        </w:rPr>
        <w:t xml:space="preserve">Peter A. Athersych v. Kathleen Margaret Beattie et al. </w:t>
      </w:r>
      <w:r>
        <w:rPr>
          <w:sz w:val="20"/>
          <w:szCs w:val="20"/>
          <w:lang w:val="en-GB"/>
        </w:rPr>
        <w:t>(Ont.) (Civil) (By Leave) (33700)</w:t>
      </w:r>
    </w:p>
    <w:p w:rsidR="00D64040" w:rsidRDefault="00D64040">
      <w:pPr>
        <w:widowControl/>
        <w:jc w:val="both"/>
        <w:rPr>
          <w:sz w:val="20"/>
          <w:szCs w:val="20"/>
          <w:lang w:val="en-GB"/>
        </w:rPr>
      </w:pPr>
      <w:r>
        <w:rPr>
          <w:sz w:val="20"/>
          <w:szCs w:val="20"/>
          <w:lang w:val="en-GB"/>
        </w:rPr>
        <w:t xml:space="preserve">(The application for leave to appeal is dismissed with costs to the respondent Kathleen Beattie. / </w:t>
      </w:r>
    </w:p>
    <w:p w:rsidR="00D64040" w:rsidRPr="00EB68CF" w:rsidRDefault="00D64040">
      <w:pPr>
        <w:widowControl/>
        <w:jc w:val="both"/>
        <w:rPr>
          <w:i/>
          <w:iCs/>
          <w:sz w:val="20"/>
          <w:szCs w:val="20"/>
          <w:lang w:val="fr-CA"/>
        </w:rPr>
      </w:pPr>
      <w:r w:rsidRPr="00EB68CF">
        <w:rPr>
          <w:sz w:val="20"/>
          <w:szCs w:val="20"/>
          <w:lang w:val="fr-CA"/>
        </w:rPr>
        <w:t>La demande d’autorisation d’appel est rejetée avec dépens en faveur de l’intimée Kathleen Beattie.)</w:t>
      </w:r>
    </w:p>
    <w:p w:rsidR="00D64040" w:rsidRDefault="00D64040">
      <w:pPr>
        <w:widowControl/>
        <w:jc w:val="both"/>
        <w:rPr>
          <w:sz w:val="20"/>
          <w:szCs w:val="20"/>
          <w:lang w:val="en-GB"/>
        </w:rPr>
      </w:pPr>
      <w:r>
        <w:rPr>
          <w:sz w:val="20"/>
          <w:szCs w:val="20"/>
          <w:lang w:val="en-GB"/>
        </w:rPr>
        <w:t xml:space="preserve">Coram: LeBel / Deschamps / Charron </w:t>
      </w:r>
    </w:p>
    <w:p w:rsidR="00D64040" w:rsidRDefault="00D64040">
      <w:pPr>
        <w:widowControl/>
        <w:jc w:val="both"/>
        <w:rPr>
          <w:sz w:val="20"/>
          <w:szCs w:val="20"/>
          <w:lang w:val="en-GB"/>
        </w:rPr>
      </w:pPr>
    </w:p>
    <w:p w:rsidR="00D64040" w:rsidRDefault="00D64040">
      <w:pPr>
        <w:widowControl/>
        <w:jc w:val="both"/>
        <w:rPr>
          <w:sz w:val="20"/>
          <w:szCs w:val="20"/>
          <w:lang w:val="en-GB"/>
        </w:rPr>
      </w:pPr>
      <w:r>
        <w:rPr>
          <w:sz w:val="20"/>
          <w:szCs w:val="20"/>
          <w:lang w:val="en-GB"/>
        </w:rPr>
        <w:t>****</w:t>
      </w:r>
    </w:p>
    <w:p w:rsidR="00D64040" w:rsidRDefault="00D64040">
      <w:pPr>
        <w:widowControl/>
        <w:jc w:val="both"/>
        <w:rPr>
          <w:sz w:val="20"/>
          <w:szCs w:val="20"/>
          <w:lang w:val="en-GB"/>
        </w:rPr>
      </w:pPr>
    </w:p>
    <w:p w:rsidR="00D64040" w:rsidRDefault="00D64040">
      <w:pPr>
        <w:widowControl/>
        <w:jc w:val="both"/>
        <w:rPr>
          <w:sz w:val="20"/>
          <w:szCs w:val="20"/>
          <w:lang w:val="en-GB"/>
        </w:rPr>
      </w:pPr>
      <w:r>
        <w:rPr>
          <w:b/>
          <w:bCs/>
          <w:lang w:val="en-GB"/>
        </w:rPr>
        <w:t>DISMISSED WITHOUT COSTS / REJETÉES SANS DÉPENS</w:t>
      </w:r>
    </w:p>
    <w:p w:rsidR="00D64040" w:rsidRDefault="00D64040">
      <w:pPr>
        <w:widowControl/>
        <w:jc w:val="both"/>
        <w:rPr>
          <w:i/>
          <w:iCs/>
          <w:sz w:val="20"/>
          <w:szCs w:val="20"/>
          <w:lang w:val="en-GB"/>
        </w:rPr>
      </w:pPr>
    </w:p>
    <w:p w:rsidR="00D64040" w:rsidRDefault="00D64040">
      <w:pPr>
        <w:widowControl/>
        <w:jc w:val="both"/>
        <w:rPr>
          <w:sz w:val="20"/>
          <w:szCs w:val="20"/>
          <w:lang w:val="en-GB"/>
        </w:rPr>
      </w:pPr>
      <w:r>
        <w:rPr>
          <w:i/>
          <w:iCs/>
          <w:sz w:val="20"/>
          <w:szCs w:val="20"/>
          <w:lang w:val="en-GB"/>
        </w:rPr>
        <w:t>Joseph MacNeil v. Olive Roseanne MacNeil-Myers</w:t>
      </w:r>
      <w:r>
        <w:rPr>
          <w:sz w:val="20"/>
          <w:szCs w:val="20"/>
          <w:lang w:val="en-GB"/>
        </w:rPr>
        <w:t xml:space="preserve"> (N.S.) (Civil) (By Leave) (33695)</w:t>
      </w:r>
    </w:p>
    <w:p w:rsidR="00D64040" w:rsidRDefault="00D64040">
      <w:pPr>
        <w:widowControl/>
        <w:jc w:val="both"/>
        <w:rPr>
          <w:sz w:val="20"/>
          <w:szCs w:val="20"/>
          <w:lang w:val="en-GB"/>
        </w:rPr>
      </w:pPr>
      <w:r>
        <w:rPr>
          <w:sz w:val="20"/>
          <w:szCs w:val="20"/>
          <w:lang w:val="en-GB"/>
        </w:rPr>
        <w:t xml:space="preserve">The motion for an extension of time to serve and file the application for leave to appeal and the motion to file a lengthy memorandum of argument are granted.  The application for leave to appeal is dismissed without costs. / </w:t>
      </w:r>
    </w:p>
    <w:p w:rsidR="00D64040" w:rsidRDefault="00D64040">
      <w:pPr>
        <w:widowControl/>
        <w:jc w:val="both"/>
        <w:rPr>
          <w:sz w:val="20"/>
          <w:szCs w:val="20"/>
          <w:lang w:val="en-GB"/>
        </w:rPr>
        <w:sectPr w:rsidR="00D64040">
          <w:pgSz w:w="12240" w:h="15840"/>
          <w:pgMar w:top="1440" w:right="1440" w:bottom="1440" w:left="1440" w:header="1440" w:footer="1440" w:gutter="0"/>
          <w:cols w:space="720"/>
          <w:noEndnote/>
        </w:sectPr>
      </w:pPr>
    </w:p>
    <w:p w:rsidR="00D64040" w:rsidRPr="00EB68CF" w:rsidRDefault="00D64040">
      <w:pPr>
        <w:widowControl/>
        <w:jc w:val="both"/>
        <w:rPr>
          <w:sz w:val="20"/>
          <w:szCs w:val="20"/>
          <w:lang w:val="fr-CA"/>
        </w:rPr>
      </w:pPr>
      <w:r w:rsidRPr="00EB68CF">
        <w:rPr>
          <w:sz w:val="20"/>
          <w:szCs w:val="20"/>
          <w:lang w:val="fr-CA"/>
        </w:rPr>
        <w:t>La requête en prorogation du délai de signification et de depôt de la demande d’autorisation d’appel et la requête pour déposer un mémoire des arguments volumineux sont accordées.  La demande d’autorisation d’appel est rejetée sans dépens.)</w:t>
      </w:r>
    </w:p>
    <w:p w:rsidR="00D64040" w:rsidRPr="00EB68CF" w:rsidRDefault="00D64040">
      <w:pPr>
        <w:widowControl/>
        <w:jc w:val="both"/>
        <w:rPr>
          <w:i/>
          <w:iCs/>
          <w:sz w:val="20"/>
          <w:szCs w:val="20"/>
          <w:lang w:val="fr-CA"/>
        </w:rPr>
      </w:pPr>
      <w:r w:rsidRPr="00EB68CF">
        <w:rPr>
          <w:sz w:val="20"/>
          <w:szCs w:val="20"/>
          <w:lang w:val="fr-CA"/>
        </w:rPr>
        <w:t>Coram: Binnie / Fish / Rothstein</w:t>
      </w:r>
    </w:p>
    <w:p w:rsidR="00D64040" w:rsidRPr="00EB68CF" w:rsidRDefault="00D64040">
      <w:pPr>
        <w:widowControl/>
        <w:jc w:val="both"/>
        <w:rPr>
          <w:i/>
          <w:iCs/>
          <w:sz w:val="20"/>
          <w:szCs w:val="20"/>
          <w:lang w:val="fr-CA"/>
        </w:rPr>
      </w:pPr>
    </w:p>
    <w:p w:rsidR="00D64040" w:rsidRPr="00EB68CF" w:rsidRDefault="00D64040">
      <w:pPr>
        <w:widowControl/>
        <w:jc w:val="both"/>
        <w:rPr>
          <w:i/>
          <w:iCs/>
          <w:sz w:val="20"/>
          <w:szCs w:val="20"/>
          <w:lang w:val="fr-CA"/>
        </w:rPr>
      </w:pPr>
      <w:r w:rsidRPr="00EB68CF">
        <w:rPr>
          <w:i/>
          <w:iCs/>
          <w:sz w:val="20"/>
          <w:szCs w:val="20"/>
          <w:lang w:val="fr-CA"/>
        </w:rPr>
        <w:t>****</w:t>
      </w:r>
    </w:p>
    <w:p w:rsidR="00D64040" w:rsidRPr="00EB68CF" w:rsidRDefault="00D64040">
      <w:pPr>
        <w:widowControl/>
        <w:jc w:val="both"/>
        <w:rPr>
          <w:i/>
          <w:iCs/>
          <w:sz w:val="20"/>
          <w:szCs w:val="20"/>
          <w:lang w:val="fr-CA"/>
        </w:rPr>
      </w:pPr>
    </w:p>
    <w:p w:rsidR="00D64040" w:rsidRPr="00EB68CF" w:rsidRDefault="00D64040">
      <w:pPr>
        <w:widowControl/>
        <w:jc w:val="both"/>
        <w:rPr>
          <w:sz w:val="20"/>
          <w:szCs w:val="20"/>
          <w:lang w:val="fr-CA"/>
        </w:rPr>
      </w:pPr>
      <w:r w:rsidRPr="00EB68CF">
        <w:rPr>
          <w:i/>
          <w:iCs/>
          <w:sz w:val="20"/>
          <w:szCs w:val="20"/>
          <w:lang w:val="fr-CA"/>
        </w:rPr>
        <w:t>M</w:t>
      </w:r>
      <w:r w:rsidR="00EB68CF" w:rsidRPr="00EB68CF">
        <w:rPr>
          <w:i/>
          <w:iCs/>
          <w:sz w:val="20"/>
          <w:szCs w:val="20"/>
          <w:lang w:val="fr-CA"/>
        </w:rPr>
        <w:t>.</w:t>
      </w:r>
      <w:r w:rsidRPr="00EB68CF">
        <w:rPr>
          <w:i/>
          <w:iCs/>
          <w:sz w:val="20"/>
          <w:szCs w:val="20"/>
          <w:lang w:val="fr-CA"/>
        </w:rPr>
        <w:t xml:space="preserve"> S</w:t>
      </w:r>
      <w:r w:rsidR="00EB68CF">
        <w:rPr>
          <w:i/>
          <w:iCs/>
          <w:sz w:val="20"/>
          <w:szCs w:val="20"/>
          <w:lang w:val="fr-CA"/>
        </w:rPr>
        <w:t>.</w:t>
      </w:r>
      <w:bookmarkStart w:id="0" w:name="_GoBack"/>
      <w:bookmarkEnd w:id="0"/>
      <w:r w:rsidRPr="00EB68CF">
        <w:rPr>
          <w:i/>
          <w:iCs/>
          <w:sz w:val="20"/>
          <w:szCs w:val="20"/>
          <w:lang w:val="fr-CA"/>
        </w:rPr>
        <w:t xml:space="preserve"> c. Sa Majesté la Reine </w:t>
      </w:r>
      <w:r w:rsidRPr="00EB68CF">
        <w:rPr>
          <w:sz w:val="20"/>
          <w:szCs w:val="20"/>
          <w:lang w:val="fr-CA"/>
        </w:rPr>
        <w:t>(C.F.) (Criminelle) (Autorisation) (33611)</w:t>
      </w:r>
    </w:p>
    <w:p w:rsidR="00D64040" w:rsidRPr="00EB68CF" w:rsidRDefault="00D64040">
      <w:pPr>
        <w:widowControl/>
        <w:jc w:val="both"/>
        <w:rPr>
          <w:sz w:val="20"/>
          <w:szCs w:val="20"/>
          <w:lang w:val="fr-CA"/>
        </w:rPr>
      </w:pPr>
      <w:r w:rsidRPr="00EB68CF">
        <w:rPr>
          <w:sz w:val="20"/>
          <w:szCs w:val="20"/>
          <w:lang w:val="fr-CA"/>
        </w:rPr>
        <w:t>Coram: LeBel / Deschamps / Charron</w:t>
      </w:r>
    </w:p>
    <w:p w:rsidR="00D64040" w:rsidRPr="00EB68CF" w:rsidRDefault="00D64040">
      <w:pPr>
        <w:widowControl/>
        <w:jc w:val="both"/>
        <w:rPr>
          <w:sz w:val="20"/>
          <w:szCs w:val="20"/>
          <w:lang w:val="fr-CA"/>
        </w:rPr>
      </w:pPr>
    </w:p>
    <w:p w:rsidR="00D64040" w:rsidRDefault="00D64040">
      <w:pPr>
        <w:widowControl/>
        <w:jc w:val="both"/>
        <w:rPr>
          <w:sz w:val="20"/>
          <w:szCs w:val="20"/>
          <w:lang w:val="en-GB"/>
        </w:rPr>
      </w:pPr>
      <w:r>
        <w:rPr>
          <w:sz w:val="20"/>
          <w:szCs w:val="20"/>
          <w:lang w:val="en-GB"/>
        </w:rPr>
        <w:t>****</w:t>
      </w:r>
    </w:p>
    <w:p w:rsidR="00D64040" w:rsidRDefault="00D64040">
      <w:pPr>
        <w:widowControl/>
        <w:jc w:val="both"/>
        <w:rPr>
          <w:sz w:val="20"/>
          <w:szCs w:val="20"/>
          <w:lang w:val="en-GB"/>
        </w:rPr>
      </w:pPr>
    </w:p>
    <w:p w:rsidR="00D64040" w:rsidRDefault="00D64040">
      <w:pPr>
        <w:widowControl/>
        <w:jc w:val="both"/>
        <w:rPr>
          <w:sz w:val="20"/>
          <w:szCs w:val="20"/>
          <w:lang w:val="en-GB"/>
        </w:rPr>
      </w:pPr>
      <w:r>
        <w:rPr>
          <w:i/>
          <w:iCs/>
          <w:sz w:val="20"/>
          <w:szCs w:val="20"/>
          <w:lang w:val="en-GB"/>
        </w:rPr>
        <w:t xml:space="preserve">Peter Michalakopoulos v. Lawyers Title Insurance Corporation et al. </w:t>
      </w:r>
      <w:r>
        <w:rPr>
          <w:sz w:val="20"/>
          <w:szCs w:val="20"/>
          <w:lang w:val="en-GB"/>
        </w:rPr>
        <w:t>(Que.) (Civil) (By Leave) (33662)</w:t>
      </w:r>
    </w:p>
    <w:p w:rsidR="00D64040" w:rsidRDefault="00D64040">
      <w:pPr>
        <w:widowControl/>
        <w:jc w:val="both"/>
        <w:rPr>
          <w:sz w:val="20"/>
          <w:szCs w:val="20"/>
          <w:lang w:val="en-GB"/>
        </w:rPr>
      </w:pPr>
      <w:r>
        <w:rPr>
          <w:sz w:val="20"/>
          <w:szCs w:val="20"/>
          <w:lang w:val="en-GB"/>
        </w:rPr>
        <w:t xml:space="preserve">(The motion to file a lengthy memorandum of argument is granted. The application for leave to appeal is dismissed without costs. / </w:t>
      </w:r>
    </w:p>
    <w:p w:rsidR="00D64040" w:rsidRPr="00EB68CF" w:rsidRDefault="00D64040">
      <w:pPr>
        <w:widowControl/>
        <w:jc w:val="both"/>
        <w:rPr>
          <w:sz w:val="20"/>
          <w:szCs w:val="20"/>
          <w:lang w:val="fr-CA"/>
        </w:rPr>
      </w:pPr>
      <w:r w:rsidRPr="00EB68CF">
        <w:rPr>
          <w:sz w:val="20"/>
          <w:szCs w:val="20"/>
          <w:lang w:val="fr-CA"/>
        </w:rPr>
        <w:t>La requête pour déposer un mémoire des arguments volumineux est accordée. La demande d’autorisation d’appel est rejetée sans dépens.)</w:t>
      </w:r>
    </w:p>
    <w:p w:rsidR="00D64040" w:rsidRPr="00EB68CF" w:rsidRDefault="00D64040">
      <w:pPr>
        <w:widowControl/>
        <w:jc w:val="both"/>
        <w:rPr>
          <w:sz w:val="20"/>
          <w:szCs w:val="20"/>
          <w:lang w:val="fr-CA"/>
        </w:rPr>
      </w:pPr>
      <w:r w:rsidRPr="00EB68CF">
        <w:rPr>
          <w:sz w:val="20"/>
          <w:szCs w:val="20"/>
          <w:lang w:val="fr-CA"/>
        </w:rPr>
        <w:t>Coram: LeBel / Deschamps / Charron</w:t>
      </w:r>
    </w:p>
    <w:p w:rsidR="00D64040" w:rsidRPr="00EB68CF" w:rsidRDefault="00D64040">
      <w:pPr>
        <w:widowControl/>
        <w:jc w:val="both"/>
        <w:rPr>
          <w:sz w:val="20"/>
          <w:szCs w:val="20"/>
          <w:lang w:val="fr-CA"/>
        </w:rPr>
      </w:pPr>
    </w:p>
    <w:p w:rsidR="00D64040" w:rsidRDefault="00D64040">
      <w:pPr>
        <w:widowControl/>
        <w:spacing w:line="19" w:lineRule="exact"/>
        <w:jc w:val="both"/>
        <w:rPr>
          <w:lang w:val="en-GB"/>
        </w:rPr>
      </w:pPr>
      <w:r>
        <w:rPr>
          <w:noProof/>
        </w:rPr>
        <w:pict>
          <v:rect id="_x0000_s1027" style="position:absolute;left:0;text-align:left;margin-left:252pt;margin-top:0;width:108pt;height:.95pt;z-index:-251658240;mso-position-horizontal-relative:page;mso-position-vertical-relative:text" o:allowincell="f" fillcolor="black" stroked="f" strokeweight="0">
            <v:fill color2="black"/>
            <w10:wrap anchorx="page"/>
            <w10:anchorlock/>
          </v:rect>
        </w:pict>
      </w:r>
    </w:p>
    <w:sectPr w:rsidR="00D64040" w:rsidSect="00D64040">
      <w:headerReference w:type="default" r:id="rId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40" w:rsidRDefault="00D64040" w:rsidP="00D64040">
      <w:r>
        <w:separator/>
      </w:r>
    </w:p>
  </w:endnote>
  <w:endnote w:type="continuationSeparator" w:id="0">
    <w:p w:rsidR="00D64040" w:rsidRDefault="00D64040" w:rsidP="00D6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40" w:rsidRDefault="00D64040" w:rsidP="00D64040">
      <w:r>
        <w:separator/>
      </w:r>
    </w:p>
  </w:footnote>
  <w:footnote w:type="continuationSeparator" w:id="0">
    <w:p w:rsidR="00D64040" w:rsidRDefault="00D64040" w:rsidP="00D64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40" w:rsidRDefault="00D64040">
    <w:pPr>
      <w:framePr w:w="9361" w:wrap="notBeside" w:vAnchor="text" w:hAnchor="text" w:x="1" w:y="1"/>
      <w:jc w:val="center"/>
    </w:pPr>
    <w:r>
      <w:fldChar w:fldCharType="begin"/>
    </w:r>
    <w:r>
      <w:instrText xml:space="preserve">PAGE </w:instrText>
    </w:r>
    <w:r>
      <w:fldChar w:fldCharType="end"/>
    </w:r>
  </w:p>
  <w:p w:rsidR="00D64040" w:rsidRDefault="00D64040"/>
  <w:p w:rsidR="00D64040" w:rsidRDefault="00D64040">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040"/>
    <w:rsid w:val="00D64040"/>
    <w:rsid w:val="00EB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D14C6D0-D2C2-450F-8A27-DAE4E278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2637</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2</cp:revision>
  <dcterms:created xsi:type="dcterms:W3CDTF">2017-06-05T15:28:00Z</dcterms:created>
  <dcterms:modified xsi:type="dcterms:W3CDTF">2017-06-05T15:28:00Z</dcterms:modified>
</cp:coreProperties>
</file>