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403" w:rsidRPr="004162A4" w:rsidRDefault="00416403" w:rsidP="00416403">
      <w:pPr>
        <w:rPr>
          <w:b/>
        </w:rPr>
      </w:pPr>
      <w:r w:rsidRPr="004162A4">
        <w:rPr>
          <w:b/>
        </w:rPr>
        <w:t>SUPREME COURT OF CANADA - AGENDA</w:t>
      </w:r>
    </w:p>
    <w:p w:rsidR="00416403" w:rsidRPr="004162A4" w:rsidRDefault="00416403" w:rsidP="00416403">
      <w:proofErr w:type="gramStart"/>
      <w:r w:rsidRPr="004162A4">
        <w:t>OTTAWA,</w:t>
      </w:r>
      <w:r>
        <w:t xml:space="preserve"> </w:t>
      </w:r>
      <w:r w:rsidRPr="00556884">
        <w:rPr>
          <w:rStyle w:val="SCCSystemDate"/>
          <w:lang w:val="en-US"/>
        </w:rPr>
        <w:t>201</w:t>
      </w:r>
      <w:r>
        <w:rPr>
          <w:rStyle w:val="SCCSystemDate"/>
          <w:lang w:val="en-US"/>
        </w:rPr>
        <w:t>2</w:t>
      </w:r>
      <w:r w:rsidRPr="00556884">
        <w:rPr>
          <w:rStyle w:val="SCCSystemDate"/>
          <w:lang w:val="en-US"/>
        </w:rPr>
        <w:t>-</w:t>
      </w:r>
      <w:r>
        <w:rPr>
          <w:rStyle w:val="SCCSystemDate"/>
          <w:lang w:val="en-US"/>
        </w:rPr>
        <w:t>04</w:t>
      </w:r>
      <w:r w:rsidRPr="00556884">
        <w:rPr>
          <w:rStyle w:val="SCCSystemDate"/>
          <w:lang w:val="en-US"/>
        </w:rPr>
        <w:t>-</w:t>
      </w:r>
      <w:r>
        <w:rPr>
          <w:rStyle w:val="SCCSystemDate"/>
          <w:lang w:val="en-US"/>
        </w:rPr>
        <w:t>02</w:t>
      </w:r>
      <w:r w:rsidRPr="004162A4">
        <w:t>.</w:t>
      </w:r>
      <w:proofErr w:type="gramEnd"/>
      <w:r w:rsidRPr="004162A4">
        <w:t xml:space="preserve">  THE  SUPREME  COURT  OF  CANADA  ANNOUNCED  TODAY  THE  LIST  OF  </w:t>
      </w:r>
      <w:r>
        <w:t>A</w:t>
      </w:r>
      <w:r w:rsidRPr="004162A4">
        <w:t xml:space="preserve">PPEALS  THAT  WILL  BE  HEARD  IN  </w:t>
      </w:r>
      <w:r>
        <w:rPr>
          <w:rStyle w:val="SCCMonth"/>
          <w:lang w:val="en-US"/>
        </w:rPr>
        <w:t>APRIL</w:t>
      </w:r>
      <w:r w:rsidRPr="004162A4">
        <w:t>.</w:t>
      </w:r>
    </w:p>
    <w:p w:rsidR="00416403" w:rsidRPr="004162A4" w:rsidRDefault="00416403" w:rsidP="00416403">
      <w:r w:rsidRPr="004162A4">
        <w:t xml:space="preserve">SOURCE:  </w:t>
      </w:r>
      <w:proofErr w:type="gramStart"/>
      <w:r w:rsidRPr="004162A4">
        <w:t>SUPREME  COURT</w:t>
      </w:r>
      <w:proofErr w:type="gramEnd"/>
      <w:r w:rsidRPr="004162A4">
        <w:t xml:space="preserve">  OF  CANADA  (613) 995-4330</w:t>
      </w:r>
    </w:p>
    <w:p w:rsidR="00416403" w:rsidRPr="004162A4" w:rsidRDefault="00416403" w:rsidP="00416403"/>
    <w:p w:rsidR="00416403" w:rsidRPr="004162A4" w:rsidRDefault="00416403" w:rsidP="00416403">
      <w:pPr>
        <w:rPr>
          <w:b/>
          <w:lang w:val="fr-CA"/>
        </w:rPr>
      </w:pPr>
      <w:r w:rsidRPr="004162A4">
        <w:rPr>
          <w:b/>
          <w:lang w:val="fr-CA"/>
        </w:rPr>
        <w:t>COUR SUPRÊME DU CANADA - CALENDRIER</w:t>
      </w:r>
    </w:p>
    <w:p w:rsidR="00416403" w:rsidRPr="002207C7" w:rsidRDefault="00416403" w:rsidP="00416403">
      <w:pPr>
        <w:rPr>
          <w:lang w:val="fr-CA"/>
        </w:rPr>
      </w:pPr>
      <w:r w:rsidRPr="004162A4">
        <w:rPr>
          <w:lang w:val="fr-CA"/>
        </w:rPr>
        <w:t>OTTAWA,</w:t>
      </w:r>
      <w:r w:rsidRPr="00C42A79">
        <w:rPr>
          <w:lang w:val="fr-CA"/>
        </w:rPr>
        <w:t xml:space="preserve"> </w:t>
      </w:r>
      <w:r>
        <w:rPr>
          <w:rStyle w:val="SCCSystemDate"/>
        </w:rPr>
        <w:t>2012-0</w:t>
      </w:r>
      <w:r w:rsidR="00A92F30">
        <w:rPr>
          <w:rStyle w:val="SCCSystemDate"/>
        </w:rPr>
        <w:t>4</w:t>
      </w:r>
      <w:r>
        <w:rPr>
          <w:rStyle w:val="SCCSystemDate"/>
        </w:rPr>
        <w:t>-0</w:t>
      </w:r>
      <w:r w:rsidR="00A92F30">
        <w:rPr>
          <w:rStyle w:val="SCCSystemDate"/>
        </w:rPr>
        <w:t>2</w:t>
      </w:r>
      <w:r w:rsidRPr="004162A4">
        <w:rPr>
          <w:lang w:val="fr-CA"/>
        </w:rPr>
        <w:t xml:space="preserve">.  LA  COUR  SUPRÊME  DU  CANADA  A  PUBLIÉ  AUJOURD’HUI  LA  LISTE  DES  APPELS  QUI  SERONT  ENTENDUS  EN  </w:t>
      </w:r>
      <w:r w:rsidR="00A92F30">
        <w:rPr>
          <w:rStyle w:val="SCCMonth"/>
        </w:rPr>
        <w:t>AVRIL</w:t>
      </w:r>
      <w:r w:rsidRPr="002207C7">
        <w:rPr>
          <w:lang w:val="fr-CA"/>
        </w:rPr>
        <w:t>.</w:t>
      </w:r>
    </w:p>
    <w:p w:rsidR="00416403" w:rsidRDefault="00416403" w:rsidP="00416403">
      <w:pPr>
        <w:rPr>
          <w:lang w:val="fr-CA"/>
        </w:rPr>
      </w:pPr>
      <w:r w:rsidRPr="00D23F37">
        <w:rPr>
          <w:lang w:val="fr-CA"/>
        </w:rPr>
        <w:t>SOURCE : COUR  SUPRÊME  DU  CANADA  (613) 995-4330</w:t>
      </w:r>
    </w:p>
    <w:p w:rsidR="00416403" w:rsidRDefault="00416403" w:rsidP="00416403">
      <w:pPr>
        <w:rPr>
          <w:lang w:val="fr-CA"/>
        </w:rPr>
      </w:pPr>
    </w:p>
    <w:p w:rsidR="00416403" w:rsidRPr="00556884" w:rsidRDefault="00416403" w:rsidP="00416403">
      <w:pPr>
        <w:widowControl w:val="0"/>
        <w:rPr>
          <w:rFonts w:eastAsia="Times New Roman"/>
          <w:szCs w:val="20"/>
          <w:lang w:val="fr-CA"/>
        </w:rPr>
      </w:pPr>
      <w:r w:rsidRPr="00556884">
        <w:rPr>
          <w:rFonts w:eastAsia="Times New Roman"/>
          <w:szCs w:val="20"/>
          <w:lang w:val="fr-CA"/>
        </w:rPr>
        <w:t xml:space="preserve">COMMENTS/COMMENTAIRES: </w:t>
      </w:r>
      <w:hyperlink r:id="rId6" w:history="1">
        <w:r w:rsidRPr="00556884">
          <w:rPr>
            <w:rFonts w:eastAsia="Times New Roman"/>
            <w:color w:val="0000FF"/>
            <w:szCs w:val="20"/>
            <w:u w:val="single"/>
            <w:lang w:val="fr-CA"/>
          </w:rPr>
          <w:t>comments-commentaires@scc-csc.gc.ca</w:t>
        </w:r>
      </w:hyperlink>
    </w:p>
    <w:p w:rsidR="00416403" w:rsidRPr="00556884" w:rsidRDefault="00416403" w:rsidP="00416403">
      <w:pPr>
        <w:widowControl w:val="0"/>
        <w:rPr>
          <w:rFonts w:eastAsia="Times New Roman"/>
          <w:szCs w:val="20"/>
          <w:lang w:val="fr-CA"/>
        </w:rPr>
      </w:pPr>
    </w:p>
    <w:p w:rsidR="00416403" w:rsidRPr="00556884" w:rsidRDefault="00416403" w:rsidP="00416403">
      <w:pPr>
        <w:widowControl w:val="0"/>
        <w:rPr>
          <w:rFonts w:eastAsia="Times New Roman"/>
          <w:sz w:val="22"/>
          <w:szCs w:val="20"/>
        </w:rPr>
      </w:pPr>
      <w:r w:rsidRPr="00556884">
        <w:rPr>
          <w:rFonts w:eastAsia="Times New Roman"/>
          <w:sz w:val="22"/>
          <w:szCs w:val="20"/>
        </w:rPr>
        <w:t xml:space="preserve">Note for subscribers: </w:t>
      </w:r>
    </w:p>
    <w:p w:rsidR="00416403" w:rsidRPr="00556884" w:rsidRDefault="00416403" w:rsidP="00416403">
      <w:pPr>
        <w:widowControl w:val="0"/>
        <w:rPr>
          <w:rFonts w:eastAsia="Times New Roman"/>
          <w:sz w:val="22"/>
          <w:szCs w:val="20"/>
        </w:rPr>
      </w:pPr>
      <w:r w:rsidRPr="00556884">
        <w:rPr>
          <w:rFonts w:eastAsia="Times New Roman"/>
          <w:sz w:val="22"/>
          <w:szCs w:val="20"/>
        </w:rPr>
        <w:t xml:space="preserve">The summaries of the cases are available at </w:t>
      </w:r>
      <w:hyperlink r:id="rId7" w:history="1">
        <w:r w:rsidRPr="00556884">
          <w:rPr>
            <w:rFonts w:eastAsia="Times New Roman"/>
            <w:color w:val="0000FF"/>
            <w:sz w:val="22"/>
            <w:szCs w:val="20"/>
            <w:u w:val="single"/>
          </w:rPr>
          <w:t xml:space="preserve">http://www.scc-csc.gc.ca </w:t>
        </w:r>
      </w:hyperlink>
      <w:r w:rsidRPr="00556884">
        <w:rPr>
          <w:rFonts w:eastAsia="Times New Roman"/>
          <w:sz w:val="22"/>
          <w:szCs w:val="20"/>
        </w:rPr>
        <w:t>:</w:t>
      </w:r>
    </w:p>
    <w:p w:rsidR="00416403" w:rsidRPr="00556884" w:rsidRDefault="00416403" w:rsidP="00416403">
      <w:pPr>
        <w:widowControl w:val="0"/>
        <w:rPr>
          <w:rFonts w:eastAsia="Times New Roman"/>
          <w:sz w:val="22"/>
          <w:szCs w:val="20"/>
        </w:rPr>
      </w:pPr>
      <w:r w:rsidRPr="00556884">
        <w:rPr>
          <w:rFonts w:eastAsia="Times New Roman"/>
          <w:sz w:val="22"/>
          <w:szCs w:val="20"/>
        </w:rPr>
        <w:t>Click on Cases and on SCC Case Information, type in the Case Number and press Search.  Click on the Case Number on the Search Result screen, and when the docket screen appears, click on “Summary” which will appear in the left column.</w:t>
      </w:r>
    </w:p>
    <w:p w:rsidR="00416403" w:rsidRPr="00556884" w:rsidRDefault="00416403" w:rsidP="00416403">
      <w:pPr>
        <w:widowControl w:val="0"/>
        <w:rPr>
          <w:rFonts w:eastAsia="Times New Roman"/>
          <w:sz w:val="22"/>
          <w:szCs w:val="20"/>
        </w:rPr>
      </w:pPr>
    </w:p>
    <w:p w:rsidR="00416403" w:rsidRPr="00556884" w:rsidRDefault="00416403" w:rsidP="00416403">
      <w:pPr>
        <w:widowControl w:val="0"/>
        <w:rPr>
          <w:rFonts w:eastAsia="Times New Roman"/>
          <w:sz w:val="22"/>
          <w:szCs w:val="20"/>
        </w:rPr>
      </w:pPr>
      <w:r w:rsidRPr="00556884">
        <w:rPr>
          <w:rFonts w:eastAsia="Times New Roman"/>
          <w:sz w:val="22"/>
          <w:szCs w:val="20"/>
        </w:rPr>
        <w:t xml:space="preserve">Alternatively, click on </w:t>
      </w:r>
    </w:p>
    <w:p w:rsidR="00416403" w:rsidRPr="00556884" w:rsidRDefault="00A148A3" w:rsidP="00416403">
      <w:pPr>
        <w:widowControl w:val="0"/>
        <w:rPr>
          <w:rFonts w:eastAsia="Times New Roman"/>
          <w:sz w:val="22"/>
          <w:szCs w:val="20"/>
        </w:rPr>
      </w:pPr>
      <w:hyperlink r:id="rId8" w:history="1">
        <w:r w:rsidR="00A92F30" w:rsidRPr="00967D56">
          <w:rPr>
            <w:rStyle w:val="Hyperlink"/>
            <w:rFonts w:eastAsia="Times New Roman"/>
            <w:sz w:val="22"/>
            <w:szCs w:val="20"/>
          </w:rPr>
          <w:t>http://scc.lexum.org/en/news_release/2012/12-04-02.1a/12-04-02.1a.html</w:t>
        </w:r>
      </w:hyperlink>
    </w:p>
    <w:p w:rsidR="00416403" w:rsidRPr="00556884" w:rsidRDefault="00416403" w:rsidP="00416403">
      <w:pPr>
        <w:widowControl w:val="0"/>
        <w:tabs>
          <w:tab w:val="center" w:pos="4680"/>
        </w:tabs>
        <w:rPr>
          <w:rFonts w:eastAsia="Times New Roman"/>
          <w:sz w:val="22"/>
          <w:szCs w:val="20"/>
        </w:rPr>
      </w:pPr>
      <w:r w:rsidRPr="00556884">
        <w:rPr>
          <w:rFonts w:eastAsia="Times New Roman"/>
          <w:sz w:val="22"/>
          <w:szCs w:val="20"/>
        </w:rPr>
        <w:tab/>
      </w:r>
    </w:p>
    <w:p w:rsidR="00416403" w:rsidRPr="00556884" w:rsidRDefault="00A148A3" w:rsidP="00416403">
      <w:pPr>
        <w:widowControl w:val="0"/>
        <w:rPr>
          <w:rFonts w:eastAsia="Times New Roman"/>
          <w:sz w:val="22"/>
          <w:szCs w:val="20"/>
          <w:lang w:val="fr-CA"/>
        </w:rPr>
      </w:pPr>
      <w:hyperlink r:id="rId9" w:history="1"/>
      <w:r w:rsidR="00416403" w:rsidRPr="00556884">
        <w:rPr>
          <w:rFonts w:eastAsia="Times New Roman"/>
          <w:sz w:val="22"/>
          <w:szCs w:val="20"/>
          <w:lang w:val="fr-CA"/>
        </w:rPr>
        <w:t xml:space="preserve">Note pour les abonnés : </w:t>
      </w:r>
    </w:p>
    <w:p w:rsidR="00416403" w:rsidRPr="00556884" w:rsidRDefault="00416403" w:rsidP="00416403">
      <w:pPr>
        <w:widowControl w:val="0"/>
        <w:rPr>
          <w:rFonts w:eastAsia="Times New Roman"/>
          <w:sz w:val="22"/>
          <w:szCs w:val="20"/>
          <w:lang w:val="fr-CA"/>
        </w:rPr>
      </w:pPr>
      <w:r w:rsidRPr="00556884">
        <w:rPr>
          <w:rFonts w:eastAsia="Times New Roman"/>
          <w:sz w:val="22"/>
          <w:szCs w:val="20"/>
          <w:lang w:val="fr-CA"/>
        </w:rPr>
        <w:t xml:space="preserve">Les sommaires des causes sont affichés à l’adresse </w:t>
      </w:r>
      <w:hyperlink r:id="rId10" w:history="1">
        <w:r w:rsidRPr="00556884">
          <w:rPr>
            <w:rFonts w:eastAsia="Times New Roman"/>
            <w:color w:val="0000FF"/>
            <w:sz w:val="22"/>
            <w:szCs w:val="20"/>
            <w:u w:val="single"/>
            <w:lang w:val="fr-CA"/>
          </w:rPr>
          <w:t>http://www.scc-csc.gc.ca</w:t>
        </w:r>
      </w:hyperlink>
      <w:r w:rsidRPr="00556884">
        <w:rPr>
          <w:rFonts w:eastAsia="Times New Roman"/>
          <w:sz w:val="22"/>
          <w:szCs w:val="20"/>
          <w:lang w:val="fr-CA"/>
        </w:rPr>
        <w:t xml:space="preserve"> :</w:t>
      </w:r>
    </w:p>
    <w:p w:rsidR="00416403" w:rsidRPr="00556884" w:rsidRDefault="00416403" w:rsidP="00416403">
      <w:pPr>
        <w:widowControl w:val="0"/>
        <w:rPr>
          <w:rFonts w:eastAsia="Times New Roman"/>
          <w:sz w:val="22"/>
          <w:szCs w:val="20"/>
          <w:lang w:val="fr-CA"/>
        </w:rPr>
      </w:pPr>
      <w:r w:rsidRPr="00556884">
        <w:rPr>
          <w:rFonts w:eastAsia="Times New Roman"/>
          <w:sz w:val="22"/>
          <w:szCs w:val="20"/>
          <w:lang w:val="fr-CA"/>
        </w:rPr>
        <w:t>Cliquez sur « Dossiers », puis sur « Renseignements sur les dossiers ». Tapez le n</w:t>
      </w:r>
      <w:r w:rsidRPr="00556884">
        <w:rPr>
          <w:rFonts w:eastAsia="Times New Roman"/>
          <w:sz w:val="22"/>
          <w:szCs w:val="20"/>
          <w:vertAlign w:val="superscript"/>
          <w:lang w:val="fr-CA"/>
        </w:rPr>
        <w:t>o</w:t>
      </w:r>
      <w:r w:rsidRPr="00556884">
        <w:rPr>
          <w:rFonts w:eastAsia="Times New Roman"/>
          <w:sz w:val="22"/>
          <w:szCs w:val="20"/>
          <w:lang w:val="fr-CA"/>
        </w:rPr>
        <w:t xml:space="preserve"> de dossier et appuyez sur « Recherche ».  Cliquez sur le n</w:t>
      </w:r>
      <w:r w:rsidRPr="00556884">
        <w:rPr>
          <w:rFonts w:eastAsia="Times New Roman"/>
          <w:sz w:val="22"/>
          <w:szCs w:val="20"/>
          <w:vertAlign w:val="superscript"/>
          <w:lang w:val="fr-CA"/>
        </w:rPr>
        <w:t>o</w:t>
      </w:r>
      <w:r w:rsidRPr="00556884">
        <w:rPr>
          <w:rFonts w:eastAsia="Times New Roman"/>
          <w:sz w:val="22"/>
          <w:szCs w:val="20"/>
          <w:lang w:val="fr-CA"/>
        </w:rPr>
        <w:t xml:space="preserve"> du dossier dans les Résultats de la recherche pour accéder au Registre.  Cliquez enfin sur le lien menant au « Sommaire » qui figure dans la colonne de gauche.</w:t>
      </w:r>
    </w:p>
    <w:p w:rsidR="00416403" w:rsidRPr="00556884" w:rsidRDefault="00416403" w:rsidP="00416403">
      <w:pPr>
        <w:widowControl w:val="0"/>
        <w:rPr>
          <w:rFonts w:eastAsia="Times New Roman"/>
          <w:sz w:val="22"/>
          <w:szCs w:val="20"/>
          <w:lang w:val="fr-CA"/>
        </w:rPr>
      </w:pPr>
    </w:p>
    <w:p w:rsidR="00416403" w:rsidRPr="00556884" w:rsidRDefault="00416403" w:rsidP="00416403">
      <w:pPr>
        <w:widowControl w:val="0"/>
        <w:rPr>
          <w:rFonts w:eastAsia="Times New Roman"/>
          <w:sz w:val="22"/>
          <w:szCs w:val="20"/>
          <w:lang w:val="fr-CA"/>
        </w:rPr>
      </w:pPr>
      <w:r w:rsidRPr="00556884">
        <w:rPr>
          <w:rFonts w:eastAsia="Times New Roman"/>
          <w:sz w:val="22"/>
          <w:szCs w:val="20"/>
          <w:lang w:val="fr-CA"/>
        </w:rPr>
        <w:t xml:space="preserve">Autre façon de procéder : Cliquer sur </w:t>
      </w:r>
    </w:p>
    <w:p w:rsidR="00416403" w:rsidRPr="00556884" w:rsidRDefault="00A148A3" w:rsidP="00416403">
      <w:pPr>
        <w:widowControl w:val="0"/>
        <w:rPr>
          <w:rFonts w:eastAsia="Times New Roman"/>
          <w:sz w:val="22"/>
          <w:szCs w:val="20"/>
          <w:lang w:val="fr-CA"/>
        </w:rPr>
      </w:pPr>
      <w:hyperlink r:id="rId11" w:history="1">
        <w:r w:rsidR="00A92F30" w:rsidRPr="00967D56">
          <w:rPr>
            <w:rStyle w:val="Hyperlink"/>
            <w:rFonts w:eastAsia="Times New Roman"/>
            <w:sz w:val="22"/>
            <w:szCs w:val="20"/>
            <w:lang w:val="fr-CA"/>
          </w:rPr>
          <w:t>http://scc.lexum.org/fr/news_release/2012/12-04-02.1a/12-04-02.1a.html</w:t>
        </w:r>
      </w:hyperlink>
    </w:p>
    <w:p w:rsidR="00416403" w:rsidRPr="00E57889" w:rsidRDefault="00416403" w:rsidP="00416403">
      <w:pPr>
        <w:rPr>
          <w:sz w:val="20"/>
          <w:szCs w:val="20"/>
          <w:lang w:val="fr-CA"/>
        </w:rPr>
      </w:pPr>
    </w:p>
    <w:p w:rsidR="00A92F30" w:rsidRPr="00E57889" w:rsidRDefault="00A92F30" w:rsidP="00416403">
      <w:pPr>
        <w:rPr>
          <w:sz w:val="20"/>
          <w:szCs w:val="20"/>
          <w:lang w:val="fr-CA"/>
        </w:rPr>
      </w:pPr>
    </w:p>
    <w:tbl>
      <w:tblPr>
        <w:tblW w:w="9518" w:type="dxa"/>
        <w:tblInd w:w="58" w:type="dxa"/>
        <w:tblLayout w:type="fixed"/>
        <w:tblCellMar>
          <w:top w:w="58" w:type="dxa"/>
          <w:left w:w="58" w:type="dxa"/>
          <w:bottom w:w="58" w:type="dxa"/>
          <w:right w:w="58" w:type="dxa"/>
        </w:tblCellMar>
        <w:tblLook w:val="04A0"/>
      </w:tblPr>
      <w:tblGrid>
        <w:gridCol w:w="2340"/>
        <w:gridCol w:w="7178"/>
      </w:tblGrid>
      <w:tr w:rsidR="00416403" w:rsidRPr="005A7D65" w:rsidTr="00E57889">
        <w:trPr>
          <w:cantSplit/>
        </w:trPr>
        <w:tc>
          <w:tcPr>
            <w:tcW w:w="2340" w:type="dxa"/>
          </w:tcPr>
          <w:p w:rsidR="00416403" w:rsidRPr="00E4453F" w:rsidRDefault="00416403" w:rsidP="00416403">
            <w:pPr>
              <w:rPr>
                <w:rFonts w:eastAsia="Calibri" w:cs="Times New Roman"/>
                <w:sz w:val="20"/>
                <w:szCs w:val="20"/>
              </w:rPr>
            </w:pPr>
            <w:r w:rsidRPr="00E4453F">
              <w:rPr>
                <w:rFonts w:eastAsia="Calibri" w:cs="Times New Roman"/>
                <w:sz w:val="20"/>
                <w:szCs w:val="20"/>
              </w:rPr>
              <w:t>DATE OF HEARING /</w:t>
            </w:r>
          </w:p>
          <w:p w:rsidR="00416403" w:rsidRPr="00E4453F" w:rsidRDefault="00416403" w:rsidP="00416403">
            <w:pPr>
              <w:rPr>
                <w:rFonts w:eastAsia="Calibri" w:cs="Times New Roman"/>
                <w:sz w:val="20"/>
                <w:szCs w:val="20"/>
              </w:rPr>
            </w:pPr>
            <w:r w:rsidRPr="00E4453F">
              <w:rPr>
                <w:rFonts w:eastAsia="Calibri" w:cs="Times New Roman"/>
                <w:sz w:val="20"/>
                <w:szCs w:val="20"/>
              </w:rPr>
              <w:t>DATE D’AUDITION</w:t>
            </w:r>
          </w:p>
        </w:tc>
        <w:tc>
          <w:tcPr>
            <w:tcW w:w="7178" w:type="dxa"/>
          </w:tcPr>
          <w:p w:rsidR="00416403" w:rsidRPr="00E4453F" w:rsidRDefault="00416403" w:rsidP="00416403">
            <w:pPr>
              <w:rPr>
                <w:rFonts w:eastAsia="Calibri" w:cs="Times New Roman"/>
                <w:sz w:val="20"/>
                <w:szCs w:val="20"/>
                <w:lang w:val="fr-CA"/>
              </w:rPr>
            </w:pPr>
            <w:r w:rsidRPr="00E4453F">
              <w:rPr>
                <w:rFonts w:eastAsia="Calibri" w:cs="Times New Roman"/>
                <w:sz w:val="20"/>
                <w:szCs w:val="20"/>
                <w:lang w:val="fr-CA"/>
              </w:rPr>
              <w:t>NAME AND CASE NUMBER /</w:t>
            </w:r>
          </w:p>
          <w:p w:rsidR="00416403" w:rsidRPr="00E4453F" w:rsidRDefault="00416403" w:rsidP="00416403">
            <w:pPr>
              <w:rPr>
                <w:rFonts w:eastAsia="Calibri" w:cs="Times New Roman"/>
                <w:sz w:val="20"/>
                <w:szCs w:val="20"/>
                <w:lang w:val="fr-CA"/>
              </w:rPr>
            </w:pPr>
            <w:r w:rsidRPr="00E4453F">
              <w:rPr>
                <w:rFonts w:eastAsia="Calibri" w:cs="Times New Roman"/>
                <w:sz w:val="20"/>
                <w:szCs w:val="20"/>
                <w:lang w:val="fr-CA"/>
              </w:rPr>
              <w:t>NOM DE LA CAUSE ET NUMÉRO</w:t>
            </w:r>
          </w:p>
        </w:tc>
      </w:tr>
      <w:tr w:rsidR="00416403" w:rsidRPr="0057194A" w:rsidTr="00E57889">
        <w:trPr>
          <w:cantSplit/>
        </w:trPr>
        <w:tc>
          <w:tcPr>
            <w:tcW w:w="2340" w:type="dxa"/>
          </w:tcPr>
          <w:p w:rsidR="00416403" w:rsidRPr="00E4453F" w:rsidRDefault="00416403" w:rsidP="00416403">
            <w:pPr>
              <w:rPr>
                <w:rFonts w:eastAsia="Calibri" w:cs="Times New Roman"/>
                <w:sz w:val="20"/>
                <w:szCs w:val="20"/>
              </w:rPr>
            </w:pPr>
            <w:r w:rsidRPr="00E4453F">
              <w:rPr>
                <w:rFonts w:eastAsia="Calibri" w:cs="Times New Roman"/>
                <w:sz w:val="20"/>
                <w:szCs w:val="20"/>
              </w:rPr>
              <w:t>2012-0</w:t>
            </w:r>
            <w:r>
              <w:rPr>
                <w:rFonts w:eastAsia="Calibri" w:cs="Times New Roman"/>
                <w:sz w:val="20"/>
                <w:szCs w:val="20"/>
              </w:rPr>
              <w:t>4</w:t>
            </w:r>
            <w:r w:rsidRPr="00E4453F">
              <w:rPr>
                <w:rFonts w:eastAsia="Calibri" w:cs="Times New Roman"/>
                <w:sz w:val="20"/>
                <w:szCs w:val="20"/>
              </w:rPr>
              <w:t>-</w:t>
            </w:r>
            <w:r>
              <w:rPr>
                <w:rFonts w:eastAsia="Calibri" w:cs="Times New Roman"/>
                <w:sz w:val="20"/>
                <w:szCs w:val="20"/>
              </w:rPr>
              <w:t>11</w:t>
            </w:r>
          </w:p>
        </w:tc>
        <w:tc>
          <w:tcPr>
            <w:tcW w:w="7178" w:type="dxa"/>
          </w:tcPr>
          <w:p w:rsidR="00416403" w:rsidRPr="0057194A" w:rsidRDefault="00416403" w:rsidP="00416403">
            <w:pPr>
              <w:jc w:val="both"/>
              <w:rPr>
                <w:rFonts w:eastAsia="Calibri" w:cs="Times New Roman"/>
                <w:sz w:val="20"/>
                <w:szCs w:val="20"/>
                <w:lang w:val="fr-CA"/>
              </w:rPr>
            </w:pPr>
            <w:r w:rsidRPr="0057194A">
              <w:rPr>
                <w:rStyle w:val="SCCSsocChar"/>
                <w:lang w:val="fr-CA"/>
              </w:rPr>
              <w:t>Personne d</w:t>
            </w:r>
            <w:r>
              <w:rPr>
                <w:rStyle w:val="SCCSsocChar"/>
                <w:lang w:val="fr-CA"/>
              </w:rPr>
              <w:t>é</w:t>
            </w:r>
            <w:r w:rsidRPr="0057194A">
              <w:rPr>
                <w:rStyle w:val="SCCSsocChar"/>
                <w:lang w:val="fr-CA"/>
              </w:rPr>
              <w:t>sign</w:t>
            </w:r>
            <w:r>
              <w:rPr>
                <w:rStyle w:val="SCCSsocChar"/>
                <w:lang w:val="fr-CA"/>
              </w:rPr>
              <w:t>é</w:t>
            </w:r>
            <w:r w:rsidRPr="0057194A">
              <w:rPr>
                <w:rStyle w:val="SCCSsocChar"/>
                <w:lang w:val="fr-CA"/>
              </w:rPr>
              <w:t>e B c. Sa Majesté la Reine</w:t>
            </w:r>
            <w:r w:rsidRPr="0057194A">
              <w:rPr>
                <w:rFonts w:eastAsia="Calibri" w:cs="Times New Roman"/>
                <w:sz w:val="20"/>
                <w:szCs w:val="20"/>
                <w:lang w:val="fr-CA"/>
              </w:rPr>
              <w:t xml:space="preserve"> (</w:t>
            </w:r>
            <w:proofErr w:type="spellStart"/>
            <w:r w:rsidRPr="0057194A">
              <w:rPr>
                <w:rFonts w:eastAsia="Calibri" w:cs="Times New Roman"/>
                <w:sz w:val="20"/>
                <w:szCs w:val="20"/>
                <w:lang w:val="fr-CA"/>
              </w:rPr>
              <w:t>Qc</w:t>
            </w:r>
            <w:proofErr w:type="spellEnd"/>
            <w:r w:rsidRPr="0057194A">
              <w:rPr>
                <w:rFonts w:eastAsia="Calibri" w:cs="Times New Roman"/>
                <w:sz w:val="20"/>
                <w:szCs w:val="20"/>
                <w:lang w:val="fr-CA"/>
              </w:rPr>
              <w:t>) (Criminelle) (Autorisation) (34053)</w:t>
            </w:r>
          </w:p>
          <w:p w:rsidR="00416403" w:rsidRPr="0057194A" w:rsidRDefault="00416403" w:rsidP="00A92F30">
            <w:pPr>
              <w:jc w:val="both"/>
              <w:rPr>
                <w:rFonts w:eastAsia="Calibri" w:cs="Times New Roman"/>
                <w:sz w:val="20"/>
                <w:szCs w:val="20"/>
                <w:lang w:val="fr-CA"/>
              </w:rPr>
            </w:pPr>
            <w:r w:rsidRPr="00E4453F">
              <w:rPr>
                <w:rFonts w:eastAsia="Calibri" w:cs="Times New Roman"/>
                <w:sz w:val="20"/>
                <w:szCs w:val="20"/>
              </w:rPr>
              <w:t xml:space="preserve">(Early start time: 9:00 a.m. / </w:t>
            </w:r>
            <w:proofErr w:type="spellStart"/>
            <w:r w:rsidRPr="00E4453F">
              <w:rPr>
                <w:rFonts w:eastAsia="Calibri" w:cs="Times New Roman"/>
                <w:sz w:val="20"/>
                <w:szCs w:val="20"/>
              </w:rPr>
              <w:t>Horaire</w:t>
            </w:r>
            <w:proofErr w:type="spellEnd"/>
            <w:r w:rsidRPr="00E4453F">
              <w:rPr>
                <w:rFonts w:eastAsia="Calibri" w:cs="Times New Roman"/>
                <w:sz w:val="20"/>
                <w:szCs w:val="20"/>
              </w:rPr>
              <w:t xml:space="preserve"> </w:t>
            </w:r>
            <w:proofErr w:type="spellStart"/>
            <w:r w:rsidRPr="00E4453F">
              <w:rPr>
                <w:rFonts w:eastAsia="Calibri" w:cs="Times New Roman"/>
                <w:sz w:val="20"/>
                <w:szCs w:val="20"/>
              </w:rPr>
              <w:t>modifié</w:t>
            </w:r>
            <w:proofErr w:type="spellEnd"/>
            <w:r w:rsidRPr="00E4453F">
              <w:rPr>
                <w:rFonts w:eastAsia="Calibri" w:cs="Times New Roman"/>
                <w:sz w:val="20"/>
                <w:szCs w:val="20"/>
              </w:rPr>
              <w:t xml:space="preserve"> : audience </w:t>
            </w:r>
            <w:proofErr w:type="spellStart"/>
            <w:r w:rsidRPr="00E4453F">
              <w:rPr>
                <w:rFonts w:eastAsia="Calibri" w:cs="Times New Roman"/>
                <w:sz w:val="20"/>
                <w:szCs w:val="20"/>
              </w:rPr>
              <w:t>débutant</w:t>
            </w:r>
            <w:proofErr w:type="spellEnd"/>
            <w:r w:rsidRPr="00E4453F">
              <w:rPr>
                <w:rFonts w:eastAsia="Calibri" w:cs="Times New Roman"/>
                <w:sz w:val="20"/>
                <w:szCs w:val="20"/>
              </w:rPr>
              <w:t xml:space="preserve"> à 9 h)</w:t>
            </w:r>
          </w:p>
        </w:tc>
      </w:tr>
      <w:tr w:rsidR="00416403" w:rsidRPr="00096C5F" w:rsidTr="00E57889">
        <w:trPr>
          <w:cantSplit/>
        </w:trPr>
        <w:tc>
          <w:tcPr>
            <w:tcW w:w="2340" w:type="dxa"/>
          </w:tcPr>
          <w:p w:rsidR="00416403" w:rsidRPr="00E4453F" w:rsidRDefault="00416403" w:rsidP="00416403">
            <w:pPr>
              <w:rPr>
                <w:rFonts w:eastAsia="Calibri" w:cs="Times New Roman"/>
                <w:sz w:val="20"/>
                <w:szCs w:val="20"/>
              </w:rPr>
            </w:pPr>
            <w:r w:rsidRPr="00E4453F">
              <w:rPr>
                <w:rFonts w:eastAsia="Calibri" w:cs="Times New Roman"/>
                <w:sz w:val="20"/>
                <w:szCs w:val="20"/>
              </w:rPr>
              <w:t>2012-0</w:t>
            </w:r>
            <w:r>
              <w:rPr>
                <w:rFonts w:eastAsia="Calibri" w:cs="Times New Roman"/>
                <w:sz w:val="20"/>
                <w:szCs w:val="20"/>
              </w:rPr>
              <w:t>4</w:t>
            </w:r>
            <w:r w:rsidRPr="00E4453F">
              <w:rPr>
                <w:rFonts w:eastAsia="Calibri" w:cs="Times New Roman"/>
                <w:sz w:val="20"/>
                <w:szCs w:val="20"/>
              </w:rPr>
              <w:t>-</w:t>
            </w:r>
            <w:r>
              <w:rPr>
                <w:rFonts w:eastAsia="Calibri" w:cs="Times New Roman"/>
                <w:sz w:val="20"/>
                <w:szCs w:val="20"/>
              </w:rPr>
              <w:t>12</w:t>
            </w:r>
          </w:p>
        </w:tc>
        <w:tc>
          <w:tcPr>
            <w:tcW w:w="7178" w:type="dxa"/>
          </w:tcPr>
          <w:p w:rsidR="00416403" w:rsidRPr="00096C5F" w:rsidRDefault="00416403" w:rsidP="00A92F30">
            <w:pPr>
              <w:jc w:val="both"/>
              <w:rPr>
                <w:rFonts w:eastAsia="Calibri" w:cs="Times New Roman"/>
                <w:sz w:val="20"/>
                <w:szCs w:val="20"/>
              </w:rPr>
            </w:pPr>
            <w:r>
              <w:rPr>
                <w:rStyle w:val="SCCSsocChar"/>
              </w:rPr>
              <w:t>Rober</w:t>
            </w:r>
            <w:r w:rsidRPr="00096C5F">
              <w:rPr>
                <w:rStyle w:val="SCCSsocChar"/>
              </w:rPr>
              <w:t>t</w:t>
            </w:r>
            <w:r>
              <w:rPr>
                <w:rStyle w:val="SCCSsocChar"/>
              </w:rPr>
              <w:t xml:space="preserve"> Josep</w:t>
            </w:r>
            <w:r w:rsidRPr="00096C5F">
              <w:rPr>
                <w:rStyle w:val="SCCSsocChar"/>
              </w:rPr>
              <w:t>h</w:t>
            </w:r>
            <w:r>
              <w:rPr>
                <w:rStyle w:val="SCCSsocChar"/>
              </w:rPr>
              <w:t xml:space="preserve"> </w:t>
            </w:r>
            <w:proofErr w:type="spellStart"/>
            <w:r>
              <w:rPr>
                <w:rStyle w:val="SCCSsocChar"/>
              </w:rPr>
              <w:t>Kociuk</w:t>
            </w:r>
            <w:proofErr w:type="spellEnd"/>
            <w:r>
              <w:rPr>
                <w:rStyle w:val="SCCSsocChar"/>
              </w:rPr>
              <w:t xml:space="preserve"> </w:t>
            </w:r>
            <w:r w:rsidRPr="00E4453F">
              <w:rPr>
                <w:rStyle w:val="SCCSsocChar"/>
              </w:rPr>
              <w:t>v. Her Majesty the Queen</w:t>
            </w:r>
            <w:r w:rsidRPr="00096C5F">
              <w:rPr>
                <w:rStyle w:val="SCCSsocChar"/>
              </w:rPr>
              <w:t xml:space="preserve"> </w:t>
            </w:r>
            <w:r w:rsidRPr="00096C5F">
              <w:rPr>
                <w:rFonts w:eastAsia="Calibri" w:cs="Times New Roman"/>
                <w:sz w:val="20"/>
                <w:szCs w:val="20"/>
              </w:rPr>
              <w:t>(</w:t>
            </w:r>
            <w:r>
              <w:rPr>
                <w:rFonts w:eastAsia="Calibri" w:cs="Times New Roman"/>
                <w:sz w:val="20"/>
                <w:szCs w:val="20"/>
              </w:rPr>
              <w:t>Man.</w:t>
            </w:r>
            <w:r w:rsidRPr="00096C5F">
              <w:rPr>
                <w:rFonts w:eastAsia="Calibri" w:cs="Times New Roman"/>
                <w:sz w:val="20"/>
                <w:szCs w:val="20"/>
              </w:rPr>
              <w:t>) (C</w:t>
            </w:r>
            <w:r>
              <w:rPr>
                <w:rFonts w:eastAsia="Calibri" w:cs="Times New Roman"/>
                <w:sz w:val="20"/>
                <w:szCs w:val="20"/>
              </w:rPr>
              <w:t>r</w:t>
            </w:r>
            <w:r w:rsidRPr="00096C5F">
              <w:rPr>
                <w:rFonts w:eastAsia="Calibri" w:cs="Times New Roman"/>
                <w:sz w:val="20"/>
                <w:szCs w:val="20"/>
              </w:rPr>
              <w:t>i</w:t>
            </w:r>
            <w:r>
              <w:rPr>
                <w:rFonts w:eastAsia="Calibri" w:cs="Times New Roman"/>
                <w:sz w:val="20"/>
                <w:szCs w:val="20"/>
              </w:rPr>
              <w:t>m</w:t>
            </w:r>
            <w:r w:rsidRPr="00096C5F">
              <w:rPr>
                <w:rFonts w:eastAsia="Calibri" w:cs="Times New Roman"/>
                <w:sz w:val="20"/>
                <w:szCs w:val="20"/>
              </w:rPr>
              <w:t>i</w:t>
            </w:r>
            <w:r>
              <w:rPr>
                <w:rFonts w:eastAsia="Calibri" w:cs="Times New Roman"/>
                <w:sz w:val="20"/>
                <w:szCs w:val="20"/>
              </w:rPr>
              <w:t>na</w:t>
            </w:r>
            <w:r w:rsidRPr="00096C5F">
              <w:rPr>
                <w:rFonts w:eastAsia="Calibri" w:cs="Times New Roman"/>
                <w:sz w:val="20"/>
                <w:szCs w:val="20"/>
              </w:rPr>
              <w:t>l) (</w:t>
            </w:r>
            <w:r>
              <w:rPr>
                <w:rFonts w:eastAsia="Calibri" w:cs="Times New Roman"/>
                <w:sz w:val="20"/>
                <w:szCs w:val="20"/>
              </w:rPr>
              <w:t>As of Right</w:t>
            </w:r>
            <w:r w:rsidRPr="00096C5F">
              <w:rPr>
                <w:rFonts w:eastAsia="Calibri" w:cs="Times New Roman"/>
                <w:sz w:val="20"/>
                <w:szCs w:val="20"/>
              </w:rPr>
              <w:t>) (345</w:t>
            </w:r>
            <w:r>
              <w:rPr>
                <w:rFonts w:eastAsia="Calibri" w:cs="Times New Roman"/>
                <w:sz w:val="20"/>
                <w:szCs w:val="20"/>
              </w:rPr>
              <w:t>1</w:t>
            </w:r>
            <w:r w:rsidRPr="00096C5F">
              <w:rPr>
                <w:rFonts w:eastAsia="Calibri" w:cs="Times New Roman"/>
                <w:sz w:val="20"/>
                <w:szCs w:val="20"/>
              </w:rPr>
              <w:t>7)</w:t>
            </w:r>
          </w:p>
        </w:tc>
      </w:tr>
      <w:tr w:rsidR="00416403" w:rsidRPr="00E4453F" w:rsidTr="00E57889">
        <w:trPr>
          <w:cantSplit/>
        </w:trPr>
        <w:tc>
          <w:tcPr>
            <w:tcW w:w="2340" w:type="dxa"/>
          </w:tcPr>
          <w:p w:rsidR="00416403" w:rsidRPr="00E4453F" w:rsidRDefault="00416403" w:rsidP="00416403">
            <w:pPr>
              <w:rPr>
                <w:rFonts w:eastAsia="Calibri" w:cs="Times New Roman"/>
                <w:sz w:val="20"/>
                <w:szCs w:val="20"/>
              </w:rPr>
            </w:pPr>
            <w:r w:rsidRPr="00E4453F">
              <w:rPr>
                <w:rFonts w:eastAsia="Calibri" w:cs="Times New Roman"/>
                <w:sz w:val="20"/>
                <w:szCs w:val="20"/>
              </w:rPr>
              <w:t>2012-0</w:t>
            </w:r>
            <w:r>
              <w:rPr>
                <w:rFonts w:eastAsia="Calibri" w:cs="Times New Roman"/>
                <w:sz w:val="20"/>
                <w:szCs w:val="20"/>
              </w:rPr>
              <w:t>4</w:t>
            </w:r>
            <w:r w:rsidRPr="00E4453F">
              <w:rPr>
                <w:rFonts w:eastAsia="Calibri" w:cs="Times New Roman"/>
                <w:sz w:val="20"/>
                <w:szCs w:val="20"/>
              </w:rPr>
              <w:t>-</w:t>
            </w:r>
            <w:r>
              <w:rPr>
                <w:rFonts w:eastAsia="Calibri" w:cs="Times New Roman"/>
                <w:sz w:val="20"/>
                <w:szCs w:val="20"/>
              </w:rPr>
              <w:t>13</w:t>
            </w:r>
          </w:p>
        </w:tc>
        <w:tc>
          <w:tcPr>
            <w:tcW w:w="7178" w:type="dxa"/>
          </w:tcPr>
          <w:p w:rsidR="00416403" w:rsidRPr="00E4453F" w:rsidRDefault="00416403" w:rsidP="00A92F30">
            <w:pPr>
              <w:jc w:val="both"/>
              <w:rPr>
                <w:rFonts w:eastAsia="Calibri" w:cs="Times New Roman"/>
                <w:sz w:val="20"/>
                <w:szCs w:val="20"/>
              </w:rPr>
            </w:pPr>
            <w:r>
              <w:rPr>
                <w:rStyle w:val="SCCSsocChar"/>
              </w:rPr>
              <w:t>Adrian Jo</w:t>
            </w:r>
            <w:r w:rsidRPr="00331B62">
              <w:rPr>
                <w:rStyle w:val="SCCSsocChar"/>
              </w:rPr>
              <w:t>h</w:t>
            </w:r>
            <w:r>
              <w:rPr>
                <w:rStyle w:val="SCCSsocChar"/>
              </w:rPr>
              <w:t xml:space="preserve">n </w:t>
            </w:r>
            <w:proofErr w:type="spellStart"/>
            <w:r>
              <w:rPr>
                <w:rStyle w:val="SCCSsocChar"/>
              </w:rPr>
              <w:t>Walle</w:t>
            </w:r>
            <w:proofErr w:type="spellEnd"/>
            <w:r w:rsidRPr="00331B62">
              <w:rPr>
                <w:rStyle w:val="SCCSsocChar"/>
              </w:rPr>
              <w:t xml:space="preserve"> </w:t>
            </w:r>
            <w:r>
              <w:rPr>
                <w:rStyle w:val="SCCSsocChar"/>
              </w:rPr>
              <w:t>c</w:t>
            </w:r>
            <w:r w:rsidRPr="00331B62">
              <w:rPr>
                <w:rStyle w:val="SCCSsocChar"/>
              </w:rPr>
              <w:t xml:space="preserve">. </w:t>
            </w:r>
            <w:r>
              <w:rPr>
                <w:rStyle w:val="SCCSsocChar"/>
              </w:rPr>
              <w:t>Her Ma</w:t>
            </w:r>
            <w:r w:rsidRPr="00331B62">
              <w:rPr>
                <w:rStyle w:val="SCCSsocChar"/>
              </w:rPr>
              <w:t>jest</w:t>
            </w:r>
            <w:r>
              <w:rPr>
                <w:rStyle w:val="SCCSsocChar"/>
              </w:rPr>
              <w:t>y the Queen</w:t>
            </w:r>
            <w:r w:rsidRPr="00331B62">
              <w:rPr>
                <w:rFonts w:eastAsia="Calibri" w:cs="Times New Roman"/>
                <w:sz w:val="20"/>
                <w:szCs w:val="20"/>
              </w:rPr>
              <w:t xml:space="preserve"> (</w:t>
            </w:r>
            <w:r>
              <w:rPr>
                <w:rFonts w:eastAsia="Calibri" w:cs="Times New Roman"/>
                <w:sz w:val="20"/>
                <w:szCs w:val="20"/>
              </w:rPr>
              <w:t>Al</w:t>
            </w:r>
            <w:r w:rsidRPr="00331B62">
              <w:rPr>
                <w:rFonts w:eastAsia="Calibri" w:cs="Times New Roman"/>
                <w:sz w:val="20"/>
                <w:szCs w:val="20"/>
              </w:rPr>
              <w:t>t</w:t>
            </w:r>
            <w:r>
              <w:rPr>
                <w:rFonts w:eastAsia="Calibri" w:cs="Times New Roman"/>
                <w:sz w:val="20"/>
                <w:szCs w:val="20"/>
              </w:rPr>
              <w:t>a</w:t>
            </w:r>
            <w:r w:rsidRPr="00331B62">
              <w:rPr>
                <w:rFonts w:eastAsia="Calibri" w:cs="Times New Roman"/>
                <w:sz w:val="20"/>
                <w:szCs w:val="20"/>
              </w:rPr>
              <w:t>.) (Criminal) (By Leave) (340</w:t>
            </w:r>
            <w:r>
              <w:rPr>
                <w:rFonts w:eastAsia="Calibri" w:cs="Times New Roman"/>
                <w:sz w:val="20"/>
                <w:szCs w:val="20"/>
              </w:rPr>
              <w:t>8</w:t>
            </w:r>
            <w:r w:rsidRPr="00331B62">
              <w:rPr>
                <w:rFonts w:eastAsia="Calibri" w:cs="Times New Roman"/>
                <w:sz w:val="20"/>
                <w:szCs w:val="20"/>
              </w:rPr>
              <w:t>0)</w:t>
            </w:r>
          </w:p>
        </w:tc>
      </w:tr>
      <w:tr w:rsidR="00416403" w:rsidRPr="005A7D65" w:rsidTr="00E57889">
        <w:trPr>
          <w:cantSplit/>
        </w:trPr>
        <w:tc>
          <w:tcPr>
            <w:tcW w:w="2340" w:type="dxa"/>
          </w:tcPr>
          <w:p w:rsidR="00416403" w:rsidRPr="00E4453F" w:rsidRDefault="00416403" w:rsidP="00416403">
            <w:pPr>
              <w:rPr>
                <w:rFonts w:eastAsia="Calibri" w:cs="Times New Roman"/>
                <w:sz w:val="20"/>
                <w:szCs w:val="20"/>
              </w:rPr>
            </w:pPr>
            <w:r w:rsidRPr="00E4453F">
              <w:rPr>
                <w:rFonts w:eastAsia="Calibri" w:cs="Times New Roman"/>
                <w:sz w:val="20"/>
                <w:szCs w:val="20"/>
              </w:rPr>
              <w:t>2012-0</w:t>
            </w:r>
            <w:r>
              <w:rPr>
                <w:rFonts w:eastAsia="Calibri" w:cs="Times New Roman"/>
                <w:sz w:val="20"/>
                <w:szCs w:val="20"/>
              </w:rPr>
              <w:t>4</w:t>
            </w:r>
            <w:r w:rsidRPr="00E4453F">
              <w:rPr>
                <w:rFonts w:eastAsia="Calibri" w:cs="Times New Roman"/>
                <w:sz w:val="20"/>
                <w:szCs w:val="20"/>
              </w:rPr>
              <w:t>-1</w:t>
            </w:r>
            <w:r>
              <w:rPr>
                <w:rFonts w:eastAsia="Calibri" w:cs="Times New Roman"/>
                <w:sz w:val="20"/>
                <w:szCs w:val="20"/>
              </w:rPr>
              <w:t>6</w:t>
            </w:r>
          </w:p>
        </w:tc>
        <w:tc>
          <w:tcPr>
            <w:tcW w:w="7178" w:type="dxa"/>
          </w:tcPr>
          <w:p w:rsidR="00416403" w:rsidRPr="0057194A" w:rsidRDefault="00416403" w:rsidP="00A92F30">
            <w:pPr>
              <w:jc w:val="both"/>
              <w:rPr>
                <w:rFonts w:eastAsia="Calibri" w:cs="Times New Roman"/>
                <w:sz w:val="20"/>
                <w:szCs w:val="20"/>
                <w:lang w:val="fr-CA"/>
              </w:rPr>
            </w:pPr>
            <w:r w:rsidRPr="0057194A">
              <w:rPr>
                <w:rStyle w:val="SCCSsocChar"/>
                <w:lang w:val="fr-CA"/>
              </w:rPr>
              <w:t xml:space="preserve">Sa Majesté la Reine c. Carmelo </w:t>
            </w:r>
            <w:proofErr w:type="spellStart"/>
            <w:r w:rsidRPr="0057194A">
              <w:rPr>
                <w:rStyle w:val="SCCSsocChar"/>
                <w:lang w:val="fr-CA"/>
              </w:rPr>
              <w:t>Venneri</w:t>
            </w:r>
            <w:proofErr w:type="spellEnd"/>
            <w:r w:rsidRPr="0057194A">
              <w:rPr>
                <w:rFonts w:eastAsia="Calibri" w:cs="Times New Roman"/>
                <w:sz w:val="20"/>
                <w:szCs w:val="20"/>
                <w:lang w:val="fr-CA"/>
              </w:rPr>
              <w:t xml:space="preserve"> (</w:t>
            </w:r>
            <w:proofErr w:type="spellStart"/>
            <w:r w:rsidRPr="0057194A">
              <w:rPr>
                <w:rFonts w:eastAsia="Calibri" w:cs="Times New Roman"/>
                <w:sz w:val="20"/>
                <w:szCs w:val="20"/>
                <w:lang w:val="fr-CA"/>
              </w:rPr>
              <w:t>Qc</w:t>
            </w:r>
            <w:proofErr w:type="spellEnd"/>
            <w:r w:rsidRPr="0057194A">
              <w:rPr>
                <w:rFonts w:eastAsia="Calibri" w:cs="Times New Roman"/>
                <w:sz w:val="20"/>
                <w:szCs w:val="20"/>
                <w:lang w:val="fr-CA"/>
              </w:rPr>
              <w:t>) (Criminelle) (De plein droit) (34523)</w:t>
            </w:r>
          </w:p>
        </w:tc>
      </w:tr>
      <w:tr w:rsidR="00416403" w:rsidRPr="00D73FE8" w:rsidTr="00E57889">
        <w:trPr>
          <w:cantSplit/>
        </w:trPr>
        <w:tc>
          <w:tcPr>
            <w:tcW w:w="2340" w:type="dxa"/>
          </w:tcPr>
          <w:p w:rsidR="00416403" w:rsidRPr="00E4453F" w:rsidRDefault="00416403" w:rsidP="00416403">
            <w:pPr>
              <w:rPr>
                <w:rFonts w:eastAsia="Calibri" w:cs="Times New Roman"/>
                <w:sz w:val="20"/>
                <w:szCs w:val="20"/>
              </w:rPr>
            </w:pPr>
            <w:r w:rsidRPr="00E4453F">
              <w:rPr>
                <w:rFonts w:eastAsia="Calibri" w:cs="Times New Roman"/>
                <w:sz w:val="20"/>
                <w:szCs w:val="20"/>
              </w:rPr>
              <w:t>2012-0</w:t>
            </w:r>
            <w:r>
              <w:rPr>
                <w:rFonts w:eastAsia="Calibri" w:cs="Times New Roman"/>
                <w:sz w:val="20"/>
                <w:szCs w:val="20"/>
              </w:rPr>
              <w:t>4</w:t>
            </w:r>
            <w:r w:rsidRPr="00E4453F">
              <w:rPr>
                <w:rFonts w:eastAsia="Calibri" w:cs="Times New Roman"/>
                <w:sz w:val="20"/>
                <w:szCs w:val="20"/>
              </w:rPr>
              <w:t>-1</w:t>
            </w:r>
            <w:r>
              <w:rPr>
                <w:rFonts w:eastAsia="Calibri" w:cs="Times New Roman"/>
                <w:sz w:val="20"/>
                <w:szCs w:val="20"/>
              </w:rPr>
              <w:t>7</w:t>
            </w:r>
          </w:p>
        </w:tc>
        <w:tc>
          <w:tcPr>
            <w:tcW w:w="7178" w:type="dxa"/>
          </w:tcPr>
          <w:p w:rsidR="00416403" w:rsidRPr="00096C5F" w:rsidRDefault="00416403" w:rsidP="00A92F30">
            <w:pPr>
              <w:jc w:val="both"/>
              <w:rPr>
                <w:rFonts w:eastAsia="Calibri" w:cs="Times New Roman"/>
                <w:sz w:val="20"/>
                <w:szCs w:val="20"/>
              </w:rPr>
            </w:pPr>
            <w:proofErr w:type="spellStart"/>
            <w:r w:rsidRPr="001B70CE">
              <w:rPr>
                <w:rStyle w:val="SCCSsocChar"/>
              </w:rPr>
              <w:t>Cogeco</w:t>
            </w:r>
            <w:proofErr w:type="spellEnd"/>
            <w:r w:rsidRPr="001B70CE">
              <w:rPr>
                <w:rStyle w:val="SCCSsocChar"/>
              </w:rPr>
              <w:t xml:space="preserve"> Cable Inc. et al. v. Bell Media Inc. et al.</w:t>
            </w:r>
            <w:r w:rsidRPr="001B70CE">
              <w:rPr>
                <w:rFonts w:eastAsia="Calibri" w:cs="Times New Roman"/>
                <w:sz w:val="20"/>
                <w:szCs w:val="20"/>
              </w:rPr>
              <w:t xml:space="preserve"> (</w:t>
            </w:r>
            <w:r>
              <w:rPr>
                <w:rFonts w:eastAsia="Calibri" w:cs="Times New Roman"/>
                <w:sz w:val="20"/>
                <w:szCs w:val="20"/>
              </w:rPr>
              <w:t>F.C.</w:t>
            </w:r>
            <w:r w:rsidRPr="001B70CE">
              <w:rPr>
                <w:rFonts w:eastAsia="Calibri" w:cs="Times New Roman"/>
                <w:sz w:val="20"/>
                <w:szCs w:val="20"/>
              </w:rPr>
              <w:t xml:space="preserve">) </w:t>
            </w:r>
            <w:r w:rsidRPr="00096C5F">
              <w:rPr>
                <w:rFonts w:eastAsia="Calibri" w:cs="Times New Roman"/>
                <w:sz w:val="20"/>
                <w:szCs w:val="20"/>
              </w:rPr>
              <w:t>(Ci</w:t>
            </w:r>
            <w:r>
              <w:rPr>
                <w:rFonts w:eastAsia="Calibri" w:cs="Times New Roman"/>
                <w:sz w:val="20"/>
                <w:szCs w:val="20"/>
              </w:rPr>
              <w:t>v</w:t>
            </w:r>
            <w:r w:rsidRPr="00096C5F">
              <w:rPr>
                <w:rFonts w:eastAsia="Calibri" w:cs="Times New Roman"/>
                <w:sz w:val="20"/>
                <w:szCs w:val="20"/>
              </w:rPr>
              <w:t>il) (</w:t>
            </w:r>
            <w:r>
              <w:rPr>
                <w:rFonts w:eastAsia="Calibri" w:cs="Times New Roman"/>
                <w:sz w:val="20"/>
                <w:szCs w:val="20"/>
              </w:rPr>
              <w:t>By Leave</w:t>
            </w:r>
            <w:r w:rsidRPr="00096C5F">
              <w:rPr>
                <w:rFonts w:eastAsia="Calibri" w:cs="Times New Roman"/>
                <w:sz w:val="20"/>
                <w:szCs w:val="20"/>
              </w:rPr>
              <w:t>) (34</w:t>
            </w:r>
            <w:r>
              <w:rPr>
                <w:rFonts w:eastAsia="Calibri" w:cs="Times New Roman"/>
                <w:sz w:val="20"/>
                <w:szCs w:val="20"/>
              </w:rPr>
              <w:t>231</w:t>
            </w:r>
            <w:r w:rsidRPr="00096C5F">
              <w:rPr>
                <w:rFonts w:eastAsia="Calibri" w:cs="Times New Roman"/>
                <w:sz w:val="20"/>
                <w:szCs w:val="20"/>
              </w:rPr>
              <w:t>)</w:t>
            </w:r>
          </w:p>
        </w:tc>
      </w:tr>
      <w:tr w:rsidR="00416403" w:rsidRPr="00E4453F" w:rsidTr="00E57889">
        <w:trPr>
          <w:cantSplit/>
        </w:trPr>
        <w:tc>
          <w:tcPr>
            <w:tcW w:w="2340" w:type="dxa"/>
          </w:tcPr>
          <w:p w:rsidR="00416403" w:rsidRPr="00E4453F" w:rsidRDefault="00416403" w:rsidP="00416403">
            <w:pPr>
              <w:rPr>
                <w:rFonts w:eastAsia="Calibri" w:cs="Times New Roman"/>
                <w:sz w:val="20"/>
                <w:szCs w:val="20"/>
              </w:rPr>
            </w:pPr>
            <w:r w:rsidRPr="00E4453F">
              <w:rPr>
                <w:rFonts w:eastAsia="Calibri" w:cs="Times New Roman"/>
                <w:sz w:val="20"/>
                <w:szCs w:val="20"/>
              </w:rPr>
              <w:t>2012-0</w:t>
            </w:r>
            <w:r>
              <w:rPr>
                <w:rFonts w:eastAsia="Calibri" w:cs="Times New Roman"/>
                <w:sz w:val="20"/>
                <w:szCs w:val="20"/>
              </w:rPr>
              <w:t>4</w:t>
            </w:r>
            <w:r w:rsidRPr="00E4453F">
              <w:rPr>
                <w:rFonts w:eastAsia="Calibri" w:cs="Times New Roman"/>
                <w:sz w:val="20"/>
                <w:szCs w:val="20"/>
              </w:rPr>
              <w:t>-1</w:t>
            </w:r>
            <w:r>
              <w:rPr>
                <w:rFonts w:eastAsia="Calibri" w:cs="Times New Roman"/>
                <w:sz w:val="20"/>
                <w:szCs w:val="20"/>
              </w:rPr>
              <w:t>8</w:t>
            </w:r>
          </w:p>
        </w:tc>
        <w:tc>
          <w:tcPr>
            <w:tcW w:w="7178" w:type="dxa"/>
          </w:tcPr>
          <w:p w:rsidR="00416403" w:rsidRDefault="00416403" w:rsidP="00A92F30">
            <w:pPr>
              <w:jc w:val="both"/>
              <w:rPr>
                <w:rFonts w:eastAsia="Calibri" w:cs="Times New Roman"/>
                <w:sz w:val="20"/>
                <w:szCs w:val="20"/>
              </w:rPr>
            </w:pPr>
            <w:proofErr w:type="spellStart"/>
            <w:r>
              <w:rPr>
                <w:rStyle w:val="SCCSsocChar"/>
              </w:rPr>
              <w:t>Teva</w:t>
            </w:r>
            <w:proofErr w:type="spellEnd"/>
            <w:r>
              <w:rPr>
                <w:rStyle w:val="SCCSsocChar"/>
              </w:rPr>
              <w:t xml:space="preserve"> Canada Limited</w:t>
            </w:r>
            <w:r w:rsidRPr="00E4453F">
              <w:rPr>
                <w:rStyle w:val="SCCSsocChar"/>
              </w:rPr>
              <w:t xml:space="preserve"> v. </w:t>
            </w:r>
            <w:r>
              <w:rPr>
                <w:rStyle w:val="SCCSsocChar"/>
              </w:rPr>
              <w:t xml:space="preserve">Pfizer Canada Inc. et al. </w:t>
            </w:r>
            <w:r w:rsidRPr="00E4453F">
              <w:rPr>
                <w:rFonts w:eastAsia="Calibri" w:cs="Times New Roman"/>
                <w:sz w:val="20"/>
                <w:szCs w:val="20"/>
              </w:rPr>
              <w:t>(</w:t>
            </w:r>
            <w:r>
              <w:rPr>
                <w:rFonts w:eastAsia="Calibri" w:cs="Times New Roman"/>
                <w:sz w:val="20"/>
                <w:szCs w:val="20"/>
              </w:rPr>
              <w:t>F.C.</w:t>
            </w:r>
            <w:r w:rsidRPr="00E4453F">
              <w:rPr>
                <w:rFonts w:eastAsia="Calibri" w:cs="Times New Roman"/>
                <w:sz w:val="20"/>
                <w:szCs w:val="20"/>
              </w:rPr>
              <w:t>) (Ci</w:t>
            </w:r>
            <w:r>
              <w:rPr>
                <w:rFonts w:eastAsia="Calibri" w:cs="Times New Roman"/>
                <w:sz w:val="20"/>
                <w:szCs w:val="20"/>
              </w:rPr>
              <w:t>v</w:t>
            </w:r>
            <w:r w:rsidRPr="00E4453F">
              <w:rPr>
                <w:rFonts w:eastAsia="Calibri" w:cs="Times New Roman"/>
                <w:sz w:val="20"/>
                <w:szCs w:val="20"/>
              </w:rPr>
              <w:t>il) (</w:t>
            </w:r>
            <w:r>
              <w:rPr>
                <w:rFonts w:eastAsia="Calibri" w:cs="Times New Roman"/>
                <w:sz w:val="20"/>
                <w:szCs w:val="20"/>
              </w:rPr>
              <w:t>By Leave</w:t>
            </w:r>
            <w:r w:rsidRPr="00E4453F">
              <w:rPr>
                <w:rFonts w:eastAsia="Calibri" w:cs="Times New Roman"/>
                <w:sz w:val="20"/>
                <w:szCs w:val="20"/>
              </w:rPr>
              <w:t>) (3</w:t>
            </w:r>
            <w:r>
              <w:rPr>
                <w:rFonts w:eastAsia="Calibri" w:cs="Times New Roman"/>
                <w:sz w:val="20"/>
                <w:szCs w:val="20"/>
              </w:rPr>
              <w:t>3951</w:t>
            </w:r>
            <w:r w:rsidR="00A92F30">
              <w:rPr>
                <w:rFonts w:eastAsia="Calibri" w:cs="Times New Roman"/>
                <w:sz w:val="20"/>
                <w:szCs w:val="20"/>
              </w:rPr>
              <w:t>)</w:t>
            </w:r>
          </w:p>
          <w:p w:rsidR="00A92F30" w:rsidRPr="00E4453F" w:rsidRDefault="00A92F30" w:rsidP="00A92F30">
            <w:pPr>
              <w:jc w:val="both"/>
              <w:rPr>
                <w:rFonts w:eastAsia="Calibri" w:cs="Times New Roman"/>
                <w:sz w:val="20"/>
                <w:szCs w:val="20"/>
              </w:rPr>
            </w:pPr>
            <w:r w:rsidRPr="00E4453F">
              <w:rPr>
                <w:rFonts w:eastAsia="Calibri" w:cs="Times New Roman"/>
                <w:sz w:val="20"/>
                <w:szCs w:val="20"/>
              </w:rPr>
              <w:t xml:space="preserve">(Early start time: 9:00 a.m. / </w:t>
            </w:r>
            <w:proofErr w:type="spellStart"/>
            <w:r w:rsidRPr="00E4453F">
              <w:rPr>
                <w:rFonts w:eastAsia="Calibri" w:cs="Times New Roman"/>
                <w:sz w:val="20"/>
                <w:szCs w:val="20"/>
              </w:rPr>
              <w:t>Horaire</w:t>
            </w:r>
            <w:proofErr w:type="spellEnd"/>
            <w:r w:rsidRPr="00E4453F">
              <w:rPr>
                <w:rFonts w:eastAsia="Calibri" w:cs="Times New Roman"/>
                <w:sz w:val="20"/>
                <w:szCs w:val="20"/>
              </w:rPr>
              <w:t xml:space="preserve"> </w:t>
            </w:r>
            <w:proofErr w:type="spellStart"/>
            <w:r w:rsidRPr="00E4453F">
              <w:rPr>
                <w:rFonts w:eastAsia="Calibri" w:cs="Times New Roman"/>
                <w:sz w:val="20"/>
                <w:szCs w:val="20"/>
              </w:rPr>
              <w:t>modifié</w:t>
            </w:r>
            <w:proofErr w:type="spellEnd"/>
            <w:r w:rsidRPr="00E4453F">
              <w:rPr>
                <w:rFonts w:eastAsia="Calibri" w:cs="Times New Roman"/>
                <w:sz w:val="20"/>
                <w:szCs w:val="20"/>
              </w:rPr>
              <w:t xml:space="preserve"> : audience </w:t>
            </w:r>
            <w:proofErr w:type="spellStart"/>
            <w:r w:rsidRPr="00E4453F">
              <w:rPr>
                <w:rFonts w:eastAsia="Calibri" w:cs="Times New Roman"/>
                <w:sz w:val="20"/>
                <w:szCs w:val="20"/>
              </w:rPr>
              <w:t>débutant</w:t>
            </w:r>
            <w:proofErr w:type="spellEnd"/>
            <w:r w:rsidRPr="00E4453F">
              <w:rPr>
                <w:rFonts w:eastAsia="Calibri" w:cs="Times New Roman"/>
                <w:sz w:val="20"/>
                <w:szCs w:val="20"/>
              </w:rPr>
              <w:t xml:space="preserve"> à 9 h)</w:t>
            </w:r>
          </w:p>
        </w:tc>
      </w:tr>
      <w:tr w:rsidR="00416403" w:rsidRPr="005A7D65" w:rsidTr="00E57889">
        <w:trPr>
          <w:cantSplit/>
        </w:trPr>
        <w:tc>
          <w:tcPr>
            <w:tcW w:w="2340" w:type="dxa"/>
          </w:tcPr>
          <w:p w:rsidR="00416403" w:rsidRPr="00E4453F" w:rsidRDefault="00416403" w:rsidP="00416403">
            <w:pPr>
              <w:rPr>
                <w:rFonts w:eastAsia="Calibri" w:cs="Times New Roman"/>
                <w:sz w:val="20"/>
                <w:szCs w:val="20"/>
              </w:rPr>
            </w:pPr>
            <w:r w:rsidRPr="00E4453F">
              <w:rPr>
                <w:rFonts w:eastAsia="Calibri" w:cs="Times New Roman"/>
                <w:sz w:val="20"/>
                <w:szCs w:val="20"/>
              </w:rPr>
              <w:t>2012-0</w:t>
            </w:r>
            <w:r>
              <w:rPr>
                <w:rFonts w:eastAsia="Calibri" w:cs="Times New Roman"/>
                <w:sz w:val="20"/>
                <w:szCs w:val="20"/>
              </w:rPr>
              <w:t>4</w:t>
            </w:r>
            <w:r w:rsidRPr="00E4453F">
              <w:rPr>
                <w:rFonts w:eastAsia="Calibri" w:cs="Times New Roman"/>
                <w:sz w:val="20"/>
                <w:szCs w:val="20"/>
              </w:rPr>
              <w:t>-1</w:t>
            </w:r>
            <w:r>
              <w:rPr>
                <w:rFonts w:eastAsia="Calibri" w:cs="Times New Roman"/>
                <w:sz w:val="20"/>
                <w:szCs w:val="20"/>
              </w:rPr>
              <w:t>9</w:t>
            </w:r>
          </w:p>
        </w:tc>
        <w:tc>
          <w:tcPr>
            <w:tcW w:w="7178" w:type="dxa"/>
          </w:tcPr>
          <w:p w:rsidR="00416403" w:rsidRPr="00480EB7" w:rsidRDefault="00416403" w:rsidP="00324AB5">
            <w:pPr>
              <w:jc w:val="both"/>
              <w:rPr>
                <w:rFonts w:eastAsia="Calibri" w:cs="Times New Roman"/>
                <w:sz w:val="20"/>
                <w:szCs w:val="20"/>
                <w:lang w:val="fr-CA"/>
              </w:rPr>
            </w:pPr>
            <w:r w:rsidRPr="001B70CE">
              <w:rPr>
                <w:rStyle w:val="SCCSsocChar"/>
                <w:lang w:val="fr-CA"/>
              </w:rPr>
              <w:t xml:space="preserve">Sa Majesté la Reine c. </w:t>
            </w:r>
            <w:proofErr w:type="spellStart"/>
            <w:r>
              <w:rPr>
                <w:rStyle w:val="SCCSsocChar"/>
                <w:lang w:val="fr-CA"/>
              </w:rPr>
              <w:t>Suganthini</w:t>
            </w:r>
            <w:proofErr w:type="spellEnd"/>
            <w:r>
              <w:rPr>
                <w:rStyle w:val="SCCSsocChar"/>
                <w:lang w:val="fr-CA"/>
              </w:rPr>
              <w:t xml:space="preserve"> </w:t>
            </w:r>
            <w:proofErr w:type="spellStart"/>
            <w:r w:rsidRPr="001B70CE">
              <w:rPr>
                <w:rStyle w:val="SCCSsocChar"/>
                <w:lang w:val="fr-CA"/>
              </w:rPr>
              <w:t>Ma</w:t>
            </w:r>
            <w:r>
              <w:rPr>
                <w:rStyle w:val="SCCSsocChar"/>
                <w:lang w:val="fr-CA"/>
              </w:rPr>
              <w:t>yura</w:t>
            </w:r>
            <w:r w:rsidRPr="001B70CE">
              <w:rPr>
                <w:rStyle w:val="SCCSsocChar"/>
                <w:lang w:val="fr-CA"/>
              </w:rPr>
              <w:t>n</w:t>
            </w:r>
            <w:proofErr w:type="spellEnd"/>
            <w:r w:rsidRPr="001B70CE">
              <w:rPr>
                <w:rFonts w:eastAsia="Calibri" w:cs="Times New Roman"/>
                <w:sz w:val="20"/>
                <w:szCs w:val="20"/>
                <w:lang w:val="fr-CA"/>
              </w:rPr>
              <w:t xml:space="preserve"> (</w:t>
            </w:r>
            <w:proofErr w:type="spellStart"/>
            <w:r>
              <w:rPr>
                <w:rFonts w:eastAsia="Calibri" w:cs="Times New Roman"/>
                <w:sz w:val="20"/>
                <w:szCs w:val="20"/>
                <w:lang w:val="fr-CA"/>
              </w:rPr>
              <w:t>Qc</w:t>
            </w:r>
            <w:proofErr w:type="spellEnd"/>
            <w:r w:rsidRPr="001B70CE">
              <w:rPr>
                <w:rFonts w:eastAsia="Calibri" w:cs="Times New Roman"/>
                <w:sz w:val="20"/>
                <w:szCs w:val="20"/>
                <w:lang w:val="fr-CA"/>
              </w:rPr>
              <w:t xml:space="preserve">) </w:t>
            </w:r>
            <w:r w:rsidRPr="00480EB7">
              <w:rPr>
                <w:rFonts w:eastAsia="Calibri" w:cs="Times New Roman"/>
                <w:sz w:val="20"/>
                <w:szCs w:val="20"/>
                <w:lang w:val="fr-CA"/>
              </w:rPr>
              <w:t>(Criminelle) (De plein droit) (34</w:t>
            </w:r>
            <w:r w:rsidR="00324AB5">
              <w:rPr>
                <w:rFonts w:eastAsia="Calibri" w:cs="Times New Roman"/>
                <w:sz w:val="20"/>
                <w:szCs w:val="20"/>
                <w:lang w:val="fr-CA"/>
              </w:rPr>
              <w:t>526</w:t>
            </w:r>
            <w:r w:rsidRPr="00480EB7">
              <w:rPr>
                <w:rFonts w:eastAsia="Calibri" w:cs="Times New Roman"/>
                <w:sz w:val="20"/>
                <w:szCs w:val="20"/>
                <w:lang w:val="fr-CA"/>
              </w:rPr>
              <w:t>)</w:t>
            </w:r>
          </w:p>
        </w:tc>
      </w:tr>
    </w:tbl>
    <w:p w:rsidR="00416403" w:rsidRPr="00E57889" w:rsidRDefault="00416403" w:rsidP="00416403">
      <w:pPr>
        <w:rPr>
          <w:sz w:val="20"/>
          <w:szCs w:val="20"/>
          <w:lang w:val="fr-CA"/>
        </w:rPr>
      </w:pPr>
    </w:p>
    <w:p w:rsidR="00416403" w:rsidRPr="00E57889" w:rsidRDefault="00416403" w:rsidP="00416403">
      <w:pPr>
        <w:rPr>
          <w:sz w:val="20"/>
          <w:szCs w:val="20"/>
          <w:lang w:val="fr-CA"/>
        </w:rPr>
      </w:pPr>
    </w:p>
    <w:p w:rsidR="00416403" w:rsidRPr="00E57889" w:rsidRDefault="00416403" w:rsidP="00416403">
      <w:pPr>
        <w:widowControl w:val="0"/>
        <w:jc w:val="both"/>
        <w:rPr>
          <w:sz w:val="20"/>
          <w:szCs w:val="20"/>
        </w:rPr>
      </w:pPr>
      <w:r w:rsidRPr="00E57889">
        <w:rPr>
          <w:b/>
          <w:sz w:val="20"/>
          <w:szCs w:val="20"/>
        </w:rPr>
        <w:t>NOTE:</w:t>
      </w:r>
      <w:r w:rsidRPr="00E5788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w:t>
      </w:r>
      <w:r w:rsidRPr="00E57889">
        <w:rPr>
          <w:sz w:val="20"/>
          <w:szCs w:val="20"/>
        </w:rPr>
        <w:lastRenderedPageBreak/>
        <w:t>(613) 996-8666.</w:t>
      </w:r>
    </w:p>
    <w:p w:rsidR="00416403" w:rsidRPr="00E57889" w:rsidRDefault="00416403" w:rsidP="00416403">
      <w:pPr>
        <w:widowControl w:val="0"/>
        <w:jc w:val="both"/>
        <w:rPr>
          <w:sz w:val="20"/>
          <w:szCs w:val="20"/>
        </w:rPr>
      </w:pPr>
    </w:p>
    <w:p w:rsidR="00416403" w:rsidRPr="00E57889" w:rsidRDefault="00416403" w:rsidP="00416403">
      <w:pPr>
        <w:widowControl w:val="0"/>
        <w:jc w:val="both"/>
        <w:rPr>
          <w:sz w:val="20"/>
          <w:szCs w:val="20"/>
          <w:lang w:val="fr-CA"/>
        </w:rPr>
      </w:pPr>
      <w:r w:rsidRPr="00E5788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EE7ECD" w:rsidRPr="005A7D65" w:rsidRDefault="00EE7ECD">
      <w:pPr>
        <w:rPr>
          <w:rFonts w:cs="Times New Roman"/>
          <w:sz w:val="20"/>
          <w:szCs w:val="20"/>
          <w:lang w:val="fr-CA"/>
        </w:rPr>
      </w:pPr>
    </w:p>
    <w:p w:rsidR="00EE7ECD" w:rsidRPr="005A7D65" w:rsidRDefault="00EE7ECD">
      <w:pPr>
        <w:rPr>
          <w:rFonts w:cs="Times New Roman"/>
          <w:sz w:val="20"/>
          <w:szCs w:val="20"/>
          <w:lang w:val="fr-CA"/>
        </w:rPr>
      </w:pPr>
    </w:p>
    <w:p w:rsidR="005A7D65" w:rsidRPr="005A7D65" w:rsidRDefault="005A7D65" w:rsidP="005A7D65">
      <w:pPr>
        <w:widowControl w:val="0"/>
        <w:ind w:left="720" w:hanging="720"/>
        <w:jc w:val="both"/>
        <w:rPr>
          <w:rFonts w:cs="Times New Roman"/>
          <w:b/>
          <w:i/>
          <w:sz w:val="20"/>
          <w:szCs w:val="20"/>
          <w:lang w:val="fr-CA"/>
        </w:rPr>
      </w:pPr>
      <w:r w:rsidRPr="005A7D65">
        <w:rPr>
          <w:rFonts w:cs="Times New Roman"/>
          <w:b/>
          <w:sz w:val="20"/>
          <w:szCs w:val="20"/>
          <w:lang w:val="en-CA"/>
        </w:rPr>
        <w:fldChar w:fldCharType="begin"/>
      </w:r>
      <w:r w:rsidRPr="005A7D65">
        <w:rPr>
          <w:rFonts w:cs="Times New Roman"/>
          <w:b/>
          <w:sz w:val="20"/>
          <w:szCs w:val="20"/>
          <w:lang w:val="fr-CA"/>
        </w:rPr>
        <w:instrText xml:space="preserve"> SEQ CHAPTER \h \r 1</w:instrText>
      </w:r>
      <w:r w:rsidRPr="005A7D65">
        <w:rPr>
          <w:rFonts w:cs="Times New Roman"/>
          <w:b/>
          <w:sz w:val="20"/>
          <w:szCs w:val="20"/>
          <w:lang w:val="en-CA"/>
        </w:rPr>
        <w:fldChar w:fldCharType="end"/>
      </w:r>
      <w:r w:rsidRPr="005A7D65">
        <w:rPr>
          <w:rFonts w:cs="Times New Roman"/>
          <w:b/>
          <w:sz w:val="20"/>
          <w:szCs w:val="20"/>
          <w:lang w:val="fr-CA"/>
        </w:rPr>
        <w:t>34053</w:t>
      </w:r>
      <w:r w:rsidRPr="005A7D65">
        <w:rPr>
          <w:rFonts w:cs="Times New Roman"/>
          <w:sz w:val="20"/>
          <w:szCs w:val="20"/>
          <w:lang w:val="fr-CA"/>
        </w:rPr>
        <w:tab/>
      </w:r>
      <w:proofErr w:type="spellStart"/>
      <w:r w:rsidRPr="005A7D65">
        <w:rPr>
          <w:rFonts w:cs="Times New Roman"/>
          <w:b/>
          <w:i/>
          <w:sz w:val="20"/>
          <w:szCs w:val="20"/>
          <w:lang w:val="fr-CA"/>
        </w:rPr>
        <w:t>Named</w:t>
      </w:r>
      <w:proofErr w:type="spellEnd"/>
      <w:r w:rsidRPr="005A7D65">
        <w:rPr>
          <w:rFonts w:cs="Times New Roman"/>
          <w:b/>
          <w:i/>
          <w:sz w:val="20"/>
          <w:szCs w:val="20"/>
          <w:lang w:val="fr-CA"/>
        </w:rPr>
        <w:t xml:space="preserve"> </w:t>
      </w:r>
      <w:proofErr w:type="spellStart"/>
      <w:r w:rsidRPr="005A7D65">
        <w:rPr>
          <w:rFonts w:cs="Times New Roman"/>
          <w:b/>
          <w:i/>
          <w:sz w:val="20"/>
          <w:szCs w:val="20"/>
          <w:lang w:val="fr-CA"/>
        </w:rPr>
        <w:t>person</w:t>
      </w:r>
      <w:proofErr w:type="spellEnd"/>
      <w:r w:rsidRPr="005A7D65">
        <w:rPr>
          <w:rFonts w:cs="Times New Roman"/>
          <w:b/>
          <w:i/>
          <w:sz w:val="20"/>
          <w:szCs w:val="20"/>
          <w:lang w:val="fr-CA"/>
        </w:rPr>
        <w:t xml:space="preserve"> B v. </w:t>
      </w:r>
      <w:proofErr w:type="spellStart"/>
      <w:r w:rsidRPr="005A7D65">
        <w:rPr>
          <w:rFonts w:cs="Times New Roman"/>
          <w:b/>
          <w:i/>
          <w:sz w:val="20"/>
          <w:szCs w:val="20"/>
          <w:lang w:val="fr-CA"/>
        </w:rPr>
        <w:t>Her</w:t>
      </w:r>
      <w:proofErr w:type="spellEnd"/>
      <w:r w:rsidRPr="005A7D65">
        <w:rPr>
          <w:rFonts w:cs="Times New Roman"/>
          <w:b/>
          <w:i/>
          <w:sz w:val="20"/>
          <w:szCs w:val="20"/>
          <w:lang w:val="fr-CA"/>
        </w:rPr>
        <w:t xml:space="preserve"> </w:t>
      </w:r>
      <w:proofErr w:type="spellStart"/>
      <w:r w:rsidRPr="005A7D65">
        <w:rPr>
          <w:rFonts w:cs="Times New Roman"/>
          <w:b/>
          <w:i/>
          <w:sz w:val="20"/>
          <w:szCs w:val="20"/>
          <w:lang w:val="fr-CA"/>
        </w:rPr>
        <w:t>Majesty</w:t>
      </w:r>
      <w:proofErr w:type="spellEnd"/>
      <w:r w:rsidRPr="005A7D65">
        <w:rPr>
          <w:rFonts w:cs="Times New Roman"/>
          <w:b/>
          <w:i/>
          <w:sz w:val="20"/>
          <w:szCs w:val="20"/>
          <w:lang w:val="fr-CA"/>
        </w:rPr>
        <w:t xml:space="preserve"> the </w:t>
      </w:r>
      <w:proofErr w:type="spellStart"/>
      <w:r w:rsidRPr="005A7D65">
        <w:rPr>
          <w:rFonts w:cs="Times New Roman"/>
          <w:b/>
          <w:i/>
          <w:sz w:val="20"/>
          <w:szCs w:val="20"/>
          <w:lang w:val="fr-CA"/>
        </w:rPr>
        <w:t>Queen</w:t>
      </w:r>
      <w:proofErr w:type="spellEnd"/>
      <w:r>
        <w:rPr>
          <w:rFonts w:cs="Times New Roman"/>
          <w:b/>
          <w:i/>
          <w:sz w:val="20"/>
          <w:szCs w:val="20"/>
          <w:lang w:val="fr-CA"/>
        </w:rPr>
        <w:t xml:space="preserve"> – </w:t>
      </w:r>
      <w:r w:rsidRPr="005A7D65">
        <w:rPr>
          <w:rFonts w:cs="Times New Roman"/>
          <w:b/>
          <w:i/>
          <w:sz w:val="20"/>
          <w:szCs w:val="20"/>
          <w:lang w:val="fr-CA"/>
        </w:rPr>
        <w:t>and</w:t>
      </w:r>
      <w:r>
        <w:rPr>
          <w:rFonts w:cs="Times New Roman"/>
          <w:b/>
          <w:i/>
          <w:sz w:val="20"/>
          <w:szCs w:val="20"/>
          <w:lang w:val="fr-CA"/>
        </w:rPr>
        <w:t xml:space="preserve"> – </w:t>
      </w:r>
      <w:r w:rsidRPr="005A7D65">
        <w:rPr>
          <w:rFonts w:cs="Times New Roman"/>
          <w:b/>
          <w:i/>
          <w:sz w:val="20"/>
          <w:szCs w:val="20"/>
          <w:lang w:val="fr-CA"/>
        </w:rPr>
        <w:t xml:space="preserve">Jacqueline Benoît, Raymond Bouchard, Denis Corriveau, Marcel Demers, Raymond Desfossés, Gilles Dubois, Frédéric Faucher, Jean-Claude Gagné, Denis </w:t>
      </w:r>
      <w:proofErr w:type="spellStart"/>
      <w:r w:rsidRPr="005A7D65">
        <w:rPr>
          <w:rFonts w:cs="Times New Roman"/>
          <w:b/>
          <w:i/>
          <w:sz w:val="20"/>
          <w:szCs w:val="20"/>
          <w:lang w:val="fr-CA"/>
        </w:rPr>
        <w:t>Gaudreault</w:t>
      </w:r>
      <w:proofErr w:type="spellEnd"/>
      <w:r w:rsidRPr="005A7D65">
        <w:rPr>
          <w:rFonts w:cs="Times New Roman"/>
          <w:b/>
          <w:i/>
          <w:sz w:val="20"/>
          <w:szCs w:val="20"/>
          <w:lang w:val="fr-CA"/>
        </w:rPr>
        <w:t xml:space="preserve"> and Gérard Hubert</w:t>
      </w:r>
    </w:p>
    <w:p w:rsidR="005A7D65" w:rsidRPr="005A7D65" w:rsidRDefault="005A7D65" w:rsidP="005A7D65">
      <w:pPr>
        <w:widowControl w:val="0"/>
        <w:jc w:val="both"/>
        <w:rPr>
          <w:rFonts w:cs="Times New Roman"/>
          <w:sz w:val="20"/>
          <w:szCs w:val="20"/>
          <w:lang w:val="fr-CA"/>
        </w:rPr>
      </w:pPr>
    </w:p>
    <w:p w:rsidR="005A7D65" w:rsidRPr="005A7D65" w:rsidRDefault="005A7D65" w:rsidP="005A7D65">
      <w:pPr>
        <w:jc w:val="both"/>
        <w:rPr>
          <w:rFonts w:cs="Times New Roman"/>
          <w:smallCaps/>
          <w:sz w:val="20"/>
          <w:szCs w:val="20"/>
          <w:lang w:val="en-CA"/>
        </w:rPr>
      </w:pPr>
      <w:r w:rsidRPr="005A7D65">
        <w:rPr>
          <w:rFonts w:cs="Times New Roman"/>
          <w:smallCaps/>
          <w:sz w:val="20"/>
          <w:szCs w:val="20"/>
          <w:lang w:val="en-CA"/>
        </w:rPr>
        <w:t>(Publication Ban In Case) (Publication Ban On Party) (Sealing Order)</w:t>
      </w:r>
    </w:p>
    <w:p w:rsidR="005A7D65" w:rsidRPr="005A7D65" w:rsidRDefault="005A7D65" w:rsidP="005A7D65">
      <w:pPr>
        <w:widowControl w:val="0"/>
        <w:jc w:val="both"/>
        <w:rPr>
          <w:rFonts w:cs="Times New Roman"/>
          <w:sz w:val="20"/>
          <w:szCs w:val="20"/>
          <w:lang w:val="en-CA"/>
        </w:rPr>
      </w:pPr>
    </w:p>
    <w:p w:rsidR="005A7D65" w:rsidRPr="005A7D65" w:rsidRDefault="005A7D65" w:rsidP="005A7D65">
      <w:pPr>
        <w:widowControl w:val="0"/>
        <w:jc w:val="both"/>
        <w:rPr>
          <w:rFonts w:cs="Times New Roman"/>
          <w:sz w:val="20"/>
          <w:szCs w:val="20"/>
          <w:lang w:val="en-CA"/>
        </w:rPr>
      </w:pPr>
      <w:r w:rsidRPr="005A7D65">
        <w:rPr>
          <w:rFonts w:cs="Times New Roman"/>
          <w:sz w:val="20"/>
          <w:szCs w:val="20"/>
          <w:lang w:val="en-CA"/>
        </w:rPr>
        <w:t xml:space="preserve">Criminal law - Evidence - Informer privilege - Standards and guidelines - Whether appellant has status of police informer - Standards and guidelines with which police and Crown counsel must comply in exercising their discretion to decide whether person has status of informer. </w:t>
      </w:r>
    </w:p>
    <w:p w:rsidR="005A7D65" w:rsidRPr="005A7D65" w:rsidRDefault="005A7D65" w:rsidP="005A7D65">
      <w:pPr>
        <w:widowControl w:val="0"/>
        <w:jc w:val="both"/>
        <w:rPr>
          <w:rFonts w:cs="Times New Roman"/>
          <w:sz w:val="20"/>
          <w:szCs w:val="20"/>
          <w:lang w:val="en-CA"/>
        </w:rPr>
      </w:pPr>
    </w:p>
    <w:p w:rsidR="005A7D65" w:rsidRPr="005A7D65" w:rsidRDefault="005A7D65" w:rsidP="005A7D65">
      <w:pPr>
        <w:widowControl w:val="0"/>
        <w:jc w:val="both"/>
        <w:rPr>
          <w:rFonts w:cs="Times New Roman"/>
          <w:sz w:val="20"/>
          <w:szCs w:val="20"/>
          <w:lang w:val="en-CA"/>
        </w:rPr>
      </w:pPr>
      <w:r w:rsidRPr="005A7D65">
        <w:rPr>
          <w:rFonts w:cs="Times New Roman"/>
          <w:sz w:val="20"/>
          <w:szCs w:val="20"/>
          <w:lang w:val="en-CA"/>
        </w:rPr>
        <w:t>This case is central to a vast initiative to dismantle an organized crime network in Quebec.  An investigation led to the arrest of ten people on the strength, among other things, of information received from the appellant, B.  In the context of the trials, the Crown filed a preliminary motion to determine whether B had the status of a police informer.  Gagnon J. of the Superior Court granted the motion in part.</w:t>
      </w:r>
    </w:p>
    <w:p w:rsidR="005A7D65" w:rsidRPr="005A7D65" w:rsidRDefault="005A7D65" w:rsidP="005A7D65">
      <w:pPr>
        <w:widowControl w:val="0"/>
        <w:jc w:val="both"/>
        <w:rPr>
          <w:rFonts w:cs="Times New Roman"/>
          <w:sz w:val="20"/>
          <w:szCs w:val="20"/>
          <w:lang w:val="en-CA"/>
        </w:rPr>
      </w:pPr>
    </w:p>
    <w:p w:rsidR="005A7D65" w:rsidRPr="005A7D65" w:rsidRDefault="005A7D65" w:rsidP="005A7D65">
      <w:pPr>
        <w:widowControl w:val="0"/>
        <w:jc w:val="both"/>
        <w:rPr>
          <w:rFonts w:cs="Times New Roman"/>
          <w:sz w:val="20"/>
          <w:szCs w:val="20"/>
          <w:lang w:val="en-CA"/>
        </w:rPr>
      </w:pPr>
    </w:p>
    <w:p w:rsidR="005A7D65" w:rsidRPr="005A7D65" w:rsidRDefault="005A7D65" w:rsidP="005A7D65">
      <w:pPr>
        <w:widowControl w:val="0"/>
        <w:jc w:val="both"/>
        <w:rPr>
          <w:rFonts w:cs="Times New Roman"/>
          <w:sz w:val="20"/>
          <w:szCs w:val="20"/>
          <w:lang w:val="en-CA"/>
        </w:rPr>
      </w:pPr>
      <w:r w:rsidRPr="005A7D65">
        <w:rPr>
          <w:rFonts w:cs="Times New Roman"/>
          <w:sz w:val="20"/>
          <w:szCs w:val="20"/>
          <w:lang w:val="en-CA"/>
        </w:rPr>
        <w:t>Origin of the case:</w:t>
      </w:r>
      <w:r w:rsidRPr="005A7D65">
        <w:rPr>
          <w:rFonts w:cs="Times New Roman"/>
          <w:sz w:val="20"/>
          <w:szCs w:val="20"/>
          <w:lang w:val="en-CA"/>
        </w:rPr>
        <w:tab/>
      </w:r>
      <w:r w:rsidRPr="005A7D65">
        <w:rPr>
          <w:rFonts w:cs="Times New Roman"/>
          <w:sz w:val="20"/>
          <w:szCs w:val="20"/>
          <w:lang w:val="en-CA"/>
        </w:rPr>
        <w:tab/>
      </w:r>
      <w:r w:rsidRPr="005A7D65">
        <w:rPr>
          <w:rFonts w:cs="Times New Roman"/>
          <w:sz w:val="20"/>
          <w:szCs w:val="20"/>
          <w:lang w:val="en-CA"/>
        </w:rPr>
        <w:tab/>
        <w:t>Quebec</w:t>
      </w:r>
    </w:p>
    <w:p w:rsidR="005A7D65" w:rsidRPr="005A7D65" w:rsidRDefault="005A7D65" w:rsidP="005A7D65">
      <w:pPr>
        <w:widowControl w:val="0"/>
        <w:jc w:val="both"/>
        <w:rPr>
          <w:rFonts w:cs="Times New Roman"/>
          <w:sz w:val="20"/>
          <w:szCs w:val="20"/>
          <w:lang w:val="en-CA"/>
        </w:rPr>
      </w:pPr>
    </w:p>
    <w:p w:rsidR="005A7D65" w:rsidRPr="005A7D65" w:rsidRDefault="005A7D65" w:rsidP="005A7D65">
      <w:pPr>
        <w:widowControl w:val="0"/>
        <w:jc w:val="both"/>
        <w:rPr>
          <w:rFonts w:cs="Times New Roman"/>
          <w:sz w:val="20"/>
          <w:szCs w:val="20"/>
          <w:lang w:val="en-CA"/>
        </w:rPr>
      </w:pPr>
      <w:r w:rsidRPr="005A7D65">
        <w:rPr>
          <w:rFonts w:cs="Times New Roman"/>
          <w:sz w:val="20"/>
          <w:szCs w:val="20"/>
          <w:lang w:val="en-CA"/>
        </w:rPr>
        <w:t>File No.:</w:t>
      </w:r>
      <w:r w:rsidRPr="005A7D65">
        <w:rPr>
          <w:rFonts w:cs="Times New Roman"/>
          <w:sz w:val="20"/>
          <w:szCs w:val="20"/>
          <w:lang w:val="en-CA"/>
        </w:rPr>
        <w:tab/>
      </w:r>
      <w:r w:rsidRPr="005A7D65">
        <w:rPr>
          <w:rFonts w:cs="Times New Roman"/>
          <w:sz w:val="20"/>
          <w:szCs w:val="20"/>
          <w:lang w:val="en-CA"/>
        </w:rPr>
        <w:tab/>
      </w:r>
      <w:r w:rsidRPr="005A7D65">
        <w:rPr>
          <w:rFonts w:cs="Times New Roman"/>
          <w:sz w:val="20"/>
          <w:szCs w:val="20"/>
          <w:lang w:val="en-CA"/>
        </w:rPr>
        <w:tab/>
      </w:r>
      <w:r w:rsidRPr="005A7D65">
        <w:rPr>
          <w:rFonts w:cs="Times New Roman"/>
          <w:sz w:val="20"/>
          <w:szCs w:val="20"/>
          <w:lang w:val="en-CA"/>
        </w:rPr>
        <w:tab/>
      </w:r>
      <w:r>
        <w:rPr>
          <w:rFonts w:cs="Times New Roman"/>
          <w:sz w:val="20"/>
          <w:szCs w:val="20"/>
          <w:lang w:val="en-CA"/>
        </w:rPr>
        <w:tab/>
      </w:r>
      <w:r w:rsidRPr="005A7D65">
        <w:rPr>
          <w:rFonts w:cs="Times New Roman"/>
          <w:sz w:val="20"/>
          <w:szCs w:val="20"/>
          <w:lang w:val="en-CA"/>
        </w:rPr>
        <w:t>34053</w:t>
      </w:r>
    </w:p>
    <w:p w:rsidR="005A7D65" w:rsidRPr="005A7D65" w:rsidRDefault="005A7D65" w:rsidP="005A7D65">
      <w:pPr>
        <w:widowControl w:val="0"/>
        <w:jc w:val="both"/>
        <w:rPr>
          <w:rFonts w:cs="Times New Roman"/>
          <w:sz w:val="20"/>
          <w:szCs w:val="20"/>
          <w:lang w:val="en-CA"/>
        </w:rPr>
      </w:pPr>
    </w:p>
    <w:p w:rsidR="005A7D65" w:rsidRPr="005A7D65" w:rsidRDefault="005A7D65" w:rsidP="005A7D65">
      <w:pPr>
        <w:widowControl w:val="0"/>
        <w:jc w:val="both"/>
        <w:rPr>
          <w:rFonts w:cs="Times New Roman"/>
          <w:sz w:val="20"/>
          <w:szCs w:val="20"/>
          <w:lang w:val="en-CA"/>
        </w:rPr>
      </w:pPr>
      <w:r w:rsidRPr="005A7D65">
        <w:rPr>
          <w:rFonts w:cs="Times New Roman"/>
          <w:sz w:val="20"/>
          <w:szCs w:val="20"/>
          <w:lang w:val="en-CA"/>
        </w:rPr>
        <w:t>Judgment of the Superior Court:</w:t>
      </w:r>
      <w:r w:rsidRPr="005A7D65">
        <w:rPr>
          <w:rFonts w:cs="Times New Roman"/>
          <w:sz w:val="20"/>
          <w:szCs w:val="20"/>
          <w:lang w:val="en-CA"/>
        </w:rPr>
        <w:tab/>
      </w:r>
      <w:r>
        <w:rPr>
          <w:rFonts w:cs="Times New Roman"/>
          <w:sz w:val="20"/>
          <w:szCs w:val="20"/>
          <w:lang w:val="en-CA"/>
        </w:rPr>
        <w:tab/>
      </w:r>
      <w:r w:rsidRPr="005A7D65">
        <w:rPr>
          <w:rFonts w:cs="Times New Roman"/>
          <w:sz w:val="20"/>
          <w:szCs w:val="20"/>
          <w:lang w:val="en-CA"/>
        </w:rPr>
        <w:t>September 17, 2010</w:t>
      </w:r>
    </w:p>
    <w:p w:rsidR="005A7D65" w:rsidRPr="005A7D65" w:rsidRDefault="005A7D65" w:rsidP="005A7D65">
      <w:pPr>
        <w:widowControl w:val="0"/>
        <w:jc w:val="both"/>
        <w:rPr>
          <w:rFonts w:cs="Times New Roman"/>
          <w:sz w:val="20"/>
          <w:szCs w:val="20"/>
          <w:lang w:val="en-CA"/>
        </w:rPr>
      </w:pPr>
    </w:p>
    <w:p w:rsidR="005A7D65" w:rsidRPr="005A7D65" w:rsidRDefault="005A7D65" w:rsidP="005A7D65">
      <w:pPr>
        <w:widowControl w:val="0"/>
        <w:jc w:val="both"/>
        <w:rPr>
          <w:rFonts w:cs="Times New Roman"/>
          <w:sz w:val="20"/>
          <w:szCs w:val="20"/>
          <w:lang w:val="en-CA"/>
        </w:rPr>
      </w:pPr>
      <w:r w:rsidRPr="005A7D65">
        <w:rPr>
          <w:rFonts w:cs="Times New Roman"/>
          <w:sz w:val="20"/>
          <w:szCs w:val="20"/>
          <w:lang w:val="en-CA"/>
        </w:rPr>
        <w:t>Counsel:</w:t>
      </w:r>
      <w:r w:rsidRPr="005A7D65">
        <w:rPr>
          <w:rFonts w:cs="Times New Roman"/>
          <w:sz w:val="20"/>
          <w:szCs w:val="20"/>
          <w:lang w:val="en-CA"/>
        </w:rPr>
        <w:tab/>
      </w:r>
      <w:r w:rsidRPr="005A7D65">
        <w:rPr>
          <w:rFonts w:cs="Times New Roman"/>
          <w:sz w:val="20"/>
          <w:szCs w:val="20"/>
          <w:lang w:val="en-CA"/>
        </w:rPr>
        <w:tab/>
      </w:r>
      <w:r w:rsidRPr="005A7D65">
        <w:rPr>
          <w:rFonts w:cs="Times New Roman"/>
          <w:sz w:val="20"/>
          <w:szCs w:val="20"/>
          <w:lang w:val="en-CA"/>
        </w:rPr>
        <w:tab/>
      </w:r>
      <w:r w:rsidRPr="005A7D65">
        <w:rPr>
          <w:rFonts w:cs="Times New Roman"/>
          <w:sz w:val="20"/>
          <w:szCs w:val="20"/>
          <w:lang w:val="en-CA"/>
        </w:rPr>
        <w:tab/>
      </w:r>
      <w:r>
        <w:rPr>
          <w:rFonts w:cs="Times New Roman"/>
          <w:sz w:val="20"/>
          <w:szCs w:val="20"/>
          <w:lang w:val="en-CA"/>
        </w:rPr>
        <w:tab/>
      </w:r>
      <w:r w:rsidRPr="005A7D65">
        <w:rPr>
          <w:rFonts w:cs="Times New Roman"/>
          <w:sz w:val="20"/>
          <w:szCs w:val="20"/>
          <w:lang w:val="en-CA"/>
        </w:rPr>
        <w:t>Dominique Bertrand for the appellant</w:t>
      </w:r>
    </w:p>
    <w:p w:rsidR="005A7D65" w:rsidRPr="005A7D65" w:rsidRDefault="005A7D65" w:rsidP="005A7D65">
      <w:pPr>
        <w:widowControl w:val="0"/>
        <w:jc w:val="both"/>
        <w:rPr>
          <w:rFonts w:cs="Times New Roman"/>
          <w:sz w:val="20"/>
          <w:szCs w:val="20"/>
          <w:lang w:val="fr-CA"/>
        </w:rPr>
      </w:pPr>
      <w:r w:rsidRPr="005A7D65">
        <w:rPr>
          <w:rFonts w:cs="Times New Roman"/>
          <w:sz w:val="20"/>
          <w:szCs w:val="20"/>
          <w:lang w:val="en-CA"/>
        </w:rPr>
        <w:tab/>
      </w:r>
      <w:r w:rsidRPr="005A7D65">
        <w:rPr>
          <w:rFonts w:cs="Times New Roman"/>
          <w:sz w:val="20"/>
          <w:szCs w:val="20"/>
          <w:lang w:val="en-CA"/>
        </w:rPr>
        <w:tab/>
      </w:r>
      <w:r w:rsidRPr="005A7D65">
        <w:rPr>
          <w:rFonts w:cs="Times New Roman"/>
          <w:sz w:val="20"/>
          <w:szCs w:val="20"/>
          <w:lang w:val="en-CA"/>
        </w:rPr>
        <w:tab/>
      </w:r>
      <w:r w:rsidRPr="005A7D65">
        <w:rPr>
          <w:rFonts w:cs="Times New Roman"/>
          <w:sz w:val="20"/>
          <w:szCs w:val="20"/>
          <w:lang w:val="en-CA"/>
        </w:rPr>
        <w:tab/>
      </w:r>
      <w:r w:rsidRPr="005A7D65">
        <w:rPr>
          <w:rFonts w:cs="Times New Roman"/>
          <w:sz w:val="20"/>
          <w:szCs w:val="20"/>
          <w:lang w:val="en-CA"/>
        </w:rPr>
        <w:tab/>
      </w:r>
      <w:r w:rsidRPr="005A7D65">
        <w:rPr>
          <w:rFonts w:cs="Times New Roman"/>
          <w:sz w:val="20"/>
          <w:szCs w:val="20"/>
          <w:lang w:val="fr-CA"/>
        </w:rPr>
        <w:t xml:space="preserve">Mélanie Dufour and Jacques </w:t>
      </w:r>
      <w:proofErr w:type="spellStart"/>
      <w:r w:rsidRPr="005A7D65">
        <w:rPr>
          <w:rFonts w:cs="Times New Roman"/>
          <w:sz w:val="20"/>
          <w:szCs w:val="20"/>
          <w:lang w:val="fr-CA"/>
        </w:rPr>
        <w:t>Casgrain</w:t>
      </w:r>
      <w:proofErr w:type="spellEnd"/>
      <w:r w:rsidRPr="005A7D65">
        <w:rPr>
          <w:rFonts w:cs="Times New Roman"/>
          <w:sz w:val="20"/>
          <w:szCs w:val="20"/>
          <w:lang w:val="fr-CA"/>
        </w:rPr>
        <w:t xml:space="preserve"> for the </w:t>
      </w:r>
      <w:proofErr w:type="spellStart"/>
      <w:r w:rsidRPr="005A7D65">
        <w:rPr>
          <w:rFonts w:cs="Times New Roman"/>
          <w:sz w:val="20"/>
          <w:szCs w:val="20"/>
          <w:lang w:val="fr-CA"/>
        </w:rPr>
        <w:t>respondent</w:t>
      </w:r>
      <w:proofErr w:type="spellEnd"/>
    </w:p>
    <w:p w:rsidR="005A7D65" w:rsidRPr="005A7D65" w:rsidRDefault="005A7D65" w:rsidP="005A7D65">
      <w:pPr>
        <w:widowControl w:val="0"/>
        <w:jc w:val="both"/>
        <w:rPr>
          <w:rFonts w:cs="Times New Roman"/>
          <w:sz w:val="20"/>
          <w:szCs w:val="20"/>
          <w:lang w:val="fr-CA"/>
        </w:rPr>
      </w:pP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t>Louis Belleau for Frédéric Faucher</w:t>
      </w:r>
    </w:p>
    <w:p w:rsidR="005A7D65" w:rsidRPr="005A7D65" w:rsidRDefault="005A7D65" w:rsidP="005A7D65">
      <w:pPr>
        <w:widowControl w:val="0"/>
        <w:jc w:val="both"/>
        <w:rPr>
          <w:rFonts w:cs="Times New Roman"/>
          <w:sz w:val="20"/>
          <w:szCs w:val="20"/>
          <w:lang w:val="fr-CA"/>
        </w:rPr>
      </w:pP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t xml:space="preserve">Patrick </w:t>
      </w:r>
      <w:proofErr w:type="spellStart"/>
      <w:r w:rsidRPr="005A7D65">
        <w:rPr>
          <w:rFonts w:cs="Times New Roman"/>
          <w:sz w:val="20"/>
          <w:szCs w:val="20"/>
          <w:lang w:val="fr-CA"/>
        </w:rPr>
        <w:t>Cozannet</w:t>
      </w:r>
      <w:proofErr w:type="spellEnd"/>
      <w:r w:rsidRPr="005A7D65">
        <w:rPr>
          <w:rFonts w:cs="Times New Roman"/>
          <w:sz w:val="20"/>
          <w:szCs w:val="20"/>
          <w:lang w:val="fr-CA"/>
        </w:rPr>
        <w:t xml:space="preserve"> for Jean-Claude Gagné</w:t>
      </w:r>
    </w:p>
    <w:p w:rsidR="005A7D65" w:rsidRPr="005A7D65" w:rsidRDefault="005A7D65" w:rsidP="005A7D65">
      <w:pPr>
        <w:widowControl w:val="0"/>
        <w:jc w:val="both"/>
        <w:rPr>
          <w:rFonts w:cs="Times New Roman"/>
          <w:sz w:val="20"/>
          <w:szCs w:val="20"/>
          <w:lang w:val="fr-CA"/>
        </w:rPr>
      </w:pP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t xml:space="preserve">Michel </w:t>
      </w:r>
      <w:proofErr w:type="spellStart"/>
      <w:r w:rsidRPr="005A7D65">
        <w:rPr>
          <w:rFonts w:cs="Times New Roman"/>
          <w:sz w:val="20"/>
          <w:szCs w:val="20"/>
          <w:lang w:val="fr-CA"/>
        </w:rPr>
        <w:t>Croteau</w:t>
      </w:r>
      <w:proofErr w:type="spellEnd"/>
      <w:r w:rsidRPr="005A7D65">
        <w:rPr>
          <w:rFonts w:cs="Times New Roman"/>
          <w:sz w:val="20"/>
          <w:szCs w:val="20"/>
          <w:lang w:val="fr-CA"/>
        </w:rPr>
        <w:t xml:space="preserve"> for Denis </w:t>
      </w:r>
      <w:proofErr w:type="spellStart"/>
      <w:r w:rsidRPr="005A7D65">
        <w:rPr>
          <w:rFonts w:cs="Times New Roman"/>
          <w:sz w:val="20"/>
          <w:szCs w:val="20"/>
          <w:lang w:val="fr-CA"/>
        </w:rPr>
        <w:t>Gaudreault</w:t>
      </w:r>
      <w:proofErr w:type="spellEnd"/>
    </w:p>
    <w:p w:rsidR="005A7D65" w:rsidRPr="005A7D65" w:rsidRDefault="005A7D65" w:rsidP="005A7D65">
      <w:pPr>
        <w:widowControl w:val="0"/>
        <w:jc w:val="both"/>
        <w:rPr>
          <w:rFonts w:cs="Times New Roman"/>
          <w:sz w:val="20"/>
          <w:szCs w:val="20"/>
          <w:lang w:val="fr-CA"/>
        </w:rPr>
      </w:pP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t xml:space="preserve">Véronique </w:t>
      </w:r>
      <w:proofErr w:type="spellStart"/>
      <w:r w:rsidRPr="005A7D65">
        <w:rPr>
          <w:rFonts w:cs="Times New Roman"/>
          <w:sz w:val="20"/>
          <w:szCs w:val="20"/>
          <w:lang w:val="fr-CA"/>
        </w:rPr>
        <w:t>Courtecuisse</w:t>
      </w:r>
      <w:proofErr w:type="spellEnd"/>
      <w:r w:rsidRPr="005A7D65">
        <w:rPr>
          <w:rFonts w:cs="Times New Roman"/>
          <w:sz w:val="20"/>
          <w:szCs w:val="20"/>
          <w:lang w:val="fr-CA"/>
        </w:rPr>
        <w:t xml:space="preserve"> for Raymond Bouchard</w:t>
      </w:r>
    </w:p>
    <w:p w:rsidR="005A7D65" w:rsidRPr="005A7D65" w:rsidRDefault="005A7D65" w:rsidP="005A7D65">
      <w:pPr>
        <w:widowControl w:val="0"/>
        <w:jc w:val="both"/>
        <w:rPr>
          <w:rFonts w:cs="Times New Roman"/>
          <w:sz w:val="20"/>
          <w:szCs w:val="20"/>
          <w:lang w:val="fr-CA"/>
        </w:rPr>
      </w:pP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t>Christian Gauthier for Denis Corriveau</w:t>
      </w:r>
    </w:p>
    <w:p w:rsidR="005A7D65" w:rsidRPr="005A7D65" w:rsidRDefault="005A7D65" w:rsidP="005A7D65">
      <w:pPr>
        <w:widowControl w:val="0"/>
        <w:jc w:val="both"/>
        <w:rPr>
          <w:rFonts w:cs="Times New Roman"/>
          <w:sz w:val="20"/>
          <w:szCs w:val="20"/>
          <w:lang w:val="fr-CA"/>
        </w:rPr>
      </w:pP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t xml:space="preserve">Jacques </w:t>
      </w:r>
      <w:proofErr w:type="spellStart"/>
      <w:r w:rsidRPr="005A7D65">
        <w:rPr>
          <w:rFonts w:cs="Times New Roman"/>
          <w:sz w:val="20"/>
          <w:szCs w:val="20"/>
          <w:lang w:val="fr-CA"/>
        </w:rPr>
        <w:t>Larochelle</w:t>
      </w:r>
      <w:proofErr w:type="spellEnd"/>
      <w:r w:rsidRPr="005A7D65">
        <w:rPr>
          <w:rFonts w:cs="Times New Roman"/>
          <w:sz w:val="20"/>
          <w:szCs w:val="20"/>
          <w:lang w:val="fr-CA"/>
        </w:rPr>
        <w:t xml:space="preserve"> for Marcel Demers</w:t>
      </w:r>
    </w:p>
    <w:p w:rsidR="005A7D65" w:rsidRPr="005A7D65" w:rsidRDefault="005A7D65" w:rsidP="005A7D65">
      <w:pPr>
        <w:widowControl w:val="0"/>
        <w:jc w:val="both"/>
        <w:rPr>
          <w:rFonts w:cs="Times New Roman"/>
          <w:sz w:val="20"/>
          <w:szCs w:val="20"/>
          <w:lang w:val="fr-CA"/>
        </w:rPr>
      </w:pP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t xml:space="preserve">Élise </w:t>
      </w:r>
      <w:proofErr w:type="spellStart"/>
      <w:r w:rsidRPr="005A7D65">
        <w:rPr>
          <w:rFonts w:cs="Times New Roman"/>
          <w:sz w:val="20"/>
          <w:szCs w:val="20"/>
          <w:lang w:val="fr-CA"/>
        </w:rPr>
        <w:t>Pinsonnault</w:t>
      </w:r>
      <w:proofErr w:type="spellEnd"/>
      <w:r w:rsidRPr="005A7D65">
        <w:rPr>
          <w:rFonts w:cs="Times New Roman"/>
          <w:sz w:val="20"/>
          <w:szCs w:val="20"/>
          <w:lang w:val="fr-CA"/>
        </w:rPr>
        <w:t xml:space="preserve"> for Gérard Hubert</w:t>
      </w:r>
    </w:p>
    <w:p w:rsidR="005A7D65" w:rsidRPr="005A7D65" w:rsidRDefault="005A7D65" w:rsidP="005A7D65">
      <w:pPr>
        <w:widowControl w:val="0"/>
        <w:jc w:val="both"/>
        <w:rPr>
          <w:rFonts w:cs="Times New Roman"/>
          <w:sz w:val="20"/>
          <w:szCs w:val="20"/>
          <w:lang w:val="en-CA"/>
        </w:rPr>
      </w:pP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en-CA"/>
        </w:rPr>
        <w:t xml:space="preserve">Carl Thibault for Jacqueline </w:t>
      </w:r>
      <w:proofErr w:type="spellStart"/>
      <w:r w:rsidRPr="005A7D65">
        <w:rPr>
          <w:rFonts w:cs="Times New Roman"/>
          <w:sz w:val="20"/>
          <w:szCs w:val="20"/>
          <w:lang w:val="en-CA"/>
        </w:rPr>
        <w:t>Benoît</w:t>
      </w:r>
      <w:proofErr w:type="spellEnd"/>
    </w:p>
    <w:p w:rsidR="005A7D65" w:rsidRPr="005A7D65" w:rsidRDefault="005A7D65" w:rsidP="005A7D65">
      <w:pPr>
        <w:widowControl w:val="0"/>
        <w:jc w:val="both"/>
        <w:rPr>
          <w:rFonts w:cs="Times New Roman"/>
          <w:sz w:val="20"/>
          <w:szCs w:val="20"/>
          <w:lang w:val="en-CA"/>
        </w:rPr>
      </w:pPr>
      <w:r w:rsidRPr="005A7D65">
        <w:rPr>
          <w:rFonts w:cs="Times New Roman"/>
          <w:sz w:val="20"/>
          <w:szCs w:val="20"/>
          <w:lang w:val="en-CA"/>
        </w:rPr>
        <w:tab/>
      </w:r>
      <w:r w:rsidRPr="005A7D65">
        <w:rPr>
          <w:rFonts w:cs="Times New Roman"/>
          <w:sz w:val="20"/>
          <w:szCs w:val="20"/>
          <w:lang w:val="en-CA"/>
        </w:rPr>
        <w:tab/>
      </w:r>
      <w:r w:rsidRPr="005A7D65">
        <w:rPr>
          <w:rFonts w:cs="Times New Roman"/>
          <w:sz w:val="20"/>
          <w:szCs w:val="20"/>
          <w:lang w:val="en-CA"/>
        </w:rPr>
        <w:tab/>
      </w:r>
      <w:r w:rsidRPr="005A7D65">
        <w:rPr>
          <w:rFonts w:cs="Times New Roman"/>
          <w:sz w:val="20"/>
          <w:szCs w:val="20"/>
          <w:lang w:val="en-CA"/>
        </w:rPr>
        <w:tab/>
      </w:r>
      <w:r w:rsidRPr="005A7D65">
        <w:rPr>
          <w:rFonts w:cs="Times New Roman"/>
          <w:sz w:val="20"/>
          <w:szCs w:val="20"/>
          <w:lang w:val="en-CA"/>
        </w:rPr>
        <w:tab/>
        <w:t>Thomas Walsh for Gilles Dubois</w:t>
      </w:r>
    </w:p>
    <w:p w:rsidR="005A7D65" w:rsidRPr="005A7D65" w:rsidRDefault="005A7D65" w:rsidP="005A7D65">
      <w:pPr>
        <w:widowControl w:val="0"/>
        <w:jc w:val="both"/>
        <w:rPr>
          <w:rFonts w:cs="Times New Roman"/>
          <w:sz w:val="20"/>
          <w:szCs w:val="20"/>
          <w:lang w:val="en-CA"/>
        </w:rPr>
      </w:pPr>
      <w:r w:rsidRPr="005A7D65">
        <w:rPr>
          <w:rFonts w:cs="Times New Roman"/>
          <w:sz w:val="20"/>
          <w:szCs w:val="20"/>
          <w:lang w:val="en-CA"/>
        </w:rPr>
        <w:tab/>
      </w:r>
      <w:r w:rsidRPr="005A7D65">
        <w:rPr>
          <w:rFonts w:cs="Times New Roman"/>
          <w:sz w:val="20"/>
          <w:szCs w:val="20"/>
          <w:lang w:val="en-CA"/>
        </w:rPr>
        <w:tab/>
      </w:r>
      <w:r w:rsidRPr="005A7D65">
        <w:rPr>
          <w:rFonts w:cs="Times New Roman"/>
          <w:sz w:val="20"/>
          <w:szCs w:val="20"/>
          <w:lang w:val="en-CA"/>
        </w:rPr>
        <w:tab/>
      </w:r>
      <w:r w:rsidRPr="005A7D65">
        <w:rPr>
          <w:rFonts w:cs="Times New Roman"/>
          <w:sz w:val="20"/>
          <w:szCs w:val="20"/>
          <w:lang w:val="en-CA"/>
        </w:rPr>
        <w:tab/>
      </w:r>
      <w:r w:rsidRPr="005A7D65">
        <w:rPr>
          <w:rFonts w:cs="Times New Roman"/>
          <w:sz w:val="20"/>
          <w:szCs w:val="20"/>
          <w:lang w:val="en-CA"/>
        </w:rPr>
        <w:tab/>
        <w:t xml:space="preserve">Raymond </w:t>
      </w:r>
      <w:proofErr w:type="spellStart"/>
      <w:r w:rsidRPr="005A7D65">
        <w:rPr>
          <w:rFonts w:cs="Times New Roman"/>
          <w:sz w:val="20"/>
          <w:szCs w:val="20"/>
          <w:lang w:val="en-CA"/>
        </w:rPr>
        <w:t>Desfossés</w:t>
      </w:r>
      <w:proofErr w:type="spellEnd"/>
      <w:r w:rsidRPr="005A7D65">
        <w:rPr>
          <w:rFonts w:cs="Times New Roman"/>
          <w:sz w:val="20"/>
          <w:szCs w:val="20"/>
          <w:lang w:val="en-CA"/>
        </w:rPr>
        <w:t xml:space="preserve"> for himself</w:t>
      </w:r>
    </w:p>
    <w:p w:rsidR="0085721F" w:rsidRPr="005A7D65" w:rsidRDefault="0085721F" w:rsidP="0085721F">
      <w:pPr>
        <w:rPr>
          <w:rFonts w:cs="Times New Roman"/>
          <w:sz w:val="20"/>
          <w:szCs w:val="20"/>
          <w:lang w:val="fr-CA"/>
        </w:rPr>
      </w:pPr>
    </w:p>
    <w:p w:rsidR="005A7D65" w:rsidRPr="005A7D65" w:rsidRDefault="005A7D65" w:rsidP="0085721F">
      <w:pPr>
        <w:rPr>
          <w:rFonts w:cs="Times New Roman"/>
          <w:sz w:val="20"/>
          <w:szCs w:val="20"/>
          <w:lang w:val="fr-CA"/>
        </w:rPr>
      </w:pPr>
    </w:p>
    <w:p w:rsidR="005A7D65" w:rsidRPr="005A7D65" w:rsidRDefault="005A7D65" w:rsidP="00987F90">
      <w:pPr>
        <w:widowControl w:val="0"/>
        <w:ind w:left="720" w:hanging="720"/>
        <w:jc w:val="both"/>
        <w:rPr>
          <w:rFonts w:cs="Times New Roman"/>
          <w:b/>
          <w:i/>
          <w:sz w:val="20"/>
          <w:szCs w:val="20"/>
          <w:lang w:val="fr-CA"/>
        </w:rPr>
      </w:pPr>
      <w:r w:rsidRPr="005A7D65">
        <w:rPr>
          <w:rFonts w:cs="Times New Roman"/>
          <w:b/>
          <w:sz w:val="20"/>
          <w:szCs w:val="20"/>
          <w:lang w:val="fr-CA"/>
        </w:rPr>
        <w:fldChar w:fldCharType="begin"/>
      </w:r>
      <w:r w:rsidRPr="005A7D65">
        <w:rPr>
          <w:rFonts w:cs="Times New Roman"/>
          <w:b/>
          <w:sz w:val="20"/>
          <w:szCs w:val="20"/>
          <w:lang w:val="fr-CA"/>
        </w:rPr>
        <w:instrText xml:space="preserve"> SEQ CHAPTER \h \r 1</w:instrText>
      </w:r>
      <w:r w:rsidRPr="005A7D65">
        <w:rPr>
          <w:rFonts w:cs="Times New Roman"/>
          <w:b/>
          <w:sz w:val="20"/>
          <w:szCs w:val="20"/>
        </w:rPr>
        <w:fldChar w:fldCharType="end"/>
      </w:r>
      <w:r w:rsidRPr="005A7D65">
        <w:rPr>
          <w:rFonts w:cs="Times New Roman"/>
          <w:b/>
          <w:sz w:val="20"/>
          <w:szCs w:val="20"/>
          <w:lang w:val="fr-CA"/>
        </w:rPr>
        <w:t>34053</w:t>
      </w:r>
      <w:r w:rsidRPr="005A7D65">
        <w:rPr>
          <w:rFonts w:cs="Times New Roman"/>
          <w:sz w:val="20"/>
          <w:szCs w:val="20"/>
          <w:lang w:val="fr-CA"/>
        </w:rPr>
        <w:tab/>
      </w:r>
      <w:r w:rsidRPr="005A7D65">
        <w:rPr>
          <w:rFonts w:cs="Times New Roman"/>
          <w:b/>
          <w:i/>
          <w:sz w:val="20"/>
          <w:szCs w:val="20"/>
          <w:lang w:val="fr-CA"/>
        </w:rPr>
        <w:t>Personne désignée B c. Sa Majesté la Reine</w:t>
      </w:r>
      <w:r>
        <w:rPr>
          <w:rFonts w:cs="Times New Roman"/>
          <w:b/>
          <w:i/>
          <w:sz w:val="20"/>
          <w:szCs w:val="20"/>
          <w:lang w:val="fr-CA"/>
        </w:rPr>
        <w:t xml:space="preserve"> – </w:t>
      </w:r>
      <w:r w:rsidRPr="005A7D65">
        <w:rPr>
          <w:rFonts w:cs="Times New Roman"/>
          <w:b/>
          <w:i/>
          <w:sz w:val="20"/>
          <w:szCs w:val="20"/>
          <w:lang w:val="fr-CA"/>
        </w:rPr>
        <w:t>et</w:t>
      </w:r>
      <w:r>
        <w:rPr>
          <w:rFonts w:cs="Times New Roman"/>
          <w:b/>
          <w:i/>
          <w:sz w:val="20"/>
          <w:szCs w:val="20"/>
          <w:lang w:val="fr-CA"/>
        </w:rPr>
        <w:t xml:space="preserve"> – </w:t>
      </w:r>
      <w:r w:rsidRPr="005A7D65">
        <w:rPr>
          <w:rFonts w:cs="Times New Roman"/>
          <w:b/>
          <w:i/>
          <w:sz w:val="20"/>
          <w:szCs w:val="20"/>
          <w:lang w:val="fr-CA"/>
        </w:rPr>
        <w:t xml:space="preserve">Jacqueline Benoît, Raymond Bouchard, Denis Corriveau, Marcel Demers, Raymond Desfossés, Gilles Dubois, Frédéric Faucher, Jean-Claude Gagné, Denis </w:t>
      </w:r>
      <w:proofErr w:type="spellStart"/>
      <w:r w:rsidRPr="005A7D65">
        <w:rPr>
          <w:rFonts w:cs="Times New Roman"/>
          <w:b/>
          <w:i/>
          <w:sz w:val="20"/>
          <w:szCs w:val="20"/>
          <w:lang w:val="fr-CA"/>
        </w:rPr>
        <w:t>Gaudreault</w:t>
      </w:r>
      <w:proofErr w:type="spellEnd"/>
      <w:r w:rsidRPr="005A7D65">
        <w:rPr>
          <w:rFonts w:cs="Times New Roman"/>
          <w:b/>
          <w:i/>
          <w:sz w:val="20"/>
          <w:szCs w:val="20"/>
          <w:lang w:val="fr-CA"/>
        </w:rPr>
        <w:t xml:space="preserve"> et Gérard Hubert</w:t>
      </w:r>
    </w:p>
    <w:p w:rsidR="005A7D65" w:rsidRPr="005A7D65" w:rsidRDefault="005A7D65" w:rsidP="00987F90">
      <w:pPr>
        <w:widowControl w:val="0"/>
        <w:jc w:val="both"/>
        <w:rPr>
          <w:rFonts w:cs="Times New Roman"/>
          <w:sz w:val="20"/>
          <w:szCs w:val="20"/>
          <w:lang w:val="fr-CA"/>
        </w:rPr>
      </w:pPr>
    </w:p>
    <w:p w:rsidR="005A7D65" w:rsidRPr="005A7D65" w:rsidRDefault="005A7D65" w:rsidP="00987F90">
      <w:pPr>
        <w:jc w:val="both"/>
        <w:rPr>
          <w:rFonts w:cs="Times New Roman"/>
          <w:smallCaps/>
          <w:sz w:val="20"/>
          <w:szCs w:val="20"/>
          <w:lang w:val="fr-CA"/>
        </w:rPr>
      </w:pPr>
      <w:r w:rsidRPr="005A7D65">
        <w:rPr>
          <w:rFonts w:cs="Times New Roman"/>
          <w:smallCaps/>
          <w:sz w:val="20"/>
          <w:szCs w:val="20"/>
          <w:lang w:val="fr-CA"/>
        </w:rPr>
        <w:t>(</w:t>
      </w:r>
      <w:r>
        <w:rPr>
          <w:rFonts w:cs="Times New Roman"/>
          <w:smallCaps/>
          <w:sz w:val="20"/>
          <w:szCs w:val="20"/>
          <w:lang w:val="fr-CA"/>
        </w:rPr>
        <w:t>O</w:t>
      </w:r>
      <w:r w:rsidRPr="005A7D65">
        <w:rPr>
          <w:rFonts w:cs="Times New Roman"/>
          <w:smallCaps/>
          <w:sz w:val="20"/>
          <w:szCs w:val="20"/>
          <w:lang w:val="fr-CA"/>
        </w:rPr>
        <w:t>rdonnance de non publication dans le dossier) (</w:t>
      </w:r>
      <w:r>
        <w:rPr>
          <w:rFonts w:cs="Times New Roman"/>
          <w:smallCaps/>
          <w:sz w:val="20"/>
          <w:szCs w:val="20"/>
          <w:lang w:val="fr-CA"/>
        </w:rPr>
        <w:t>O</w:t>
      </w:r>
      <w:r w:rsidRPr="005A7D65">
        <w:rPr>
          <w:rFonts w:cs="Times New Roman"/>
          <w:smallCaps/>
          <w:sz w:val="20"/>
          <w:szCs w:val="20"/>
          <w:lang w:val="fr-CA"/>
        </w:rPr>
        <w:t>rdonnance de non publication visant une partie) (</w:t>
      </w:r>
      <w:r>
        <w:rPr>
          <w:rFonts w:cs="Times New Roman"/>
          <w:smallCaps/>
          <w:sz w:val="20"/>
          <w:szCs w:val="20"/>
          <w:lang w:val="fr-CA"/>
        </w:rPr>
        <w:t>O</w:t>
      </w:r>
      <w:r w:rsidRPr="005A7D65">
        <w:rPr>
          <w:rFonts w:cs="Times New Roman"/>
          <w:smallCaps/>
          <w:sz w:val="20"/>
          <w:szCs w:val="20"/>
          <w:lang w:val="fr-CA"/>
        </w:rPr>
        <w:t>rdonnance de mise sous scellés)</w:t>
      </w:r>
    </w:p>
    <w:p w:rsidR="005A7D65" w:rsidRPr="005A7D65" w:rsidRDefault="005A7D65" w:rsidP="00987F90">
      <w:pPr>
        <w:widowControl w:val="0"/>
        <w:jc w:val="both"/>
        <w:rPr>
          <w:rFonts w:cs="Times New Roman"/>
          <w:sz w:val="20"/>
          <w:szCs w:val="20"/>
          <w:lang w:val="fr-CA"/>
        </w:rPr>
      </w:pPr>
    </w:p>
    <w:p w:rsidR="005A7D65" w:rsidRPr="005A7D65" w:rsidRDefault="005A7D65" w:rsidP="00987F90">
      <w:pPr>
        <w:widowControl w:val="0"/>
        <w:jc w:val="both"/>
        <w:rPr>
          <w:rFonts w:cs="Times New Roman"/>
          <w:sz w:val="20"/>
          <w:szCs w:val="20"/>
          <w:lang w:val="fr-CA"/>
        </w:rPr>
      </w:pPr>
      <w:r w:rsidRPr="005A7D65">
        <w:rPr>
          <w:rFonts w:cs="Times New Roman"/>
          <w:sz w:val="20"/>
          <w:szCs w:val="20"/>
          <w:lang w:val="fr-CA"/>
        </w:rPr>
        <w:t xml:space="preserve">Droit criminel - Preuve - Privilège relatif aux indicateurs de police - Normes et directives - L’appelante bénéficie-t-elle du statut d’indicateur de police? - Quelles sont les normes et directives auxquelles les policiers et les avocats du ministère public doivent se conformer dans le cadre de l’exercice de leur pouvoir discrétionnaire de décider si une personne bénéficie du statut d’indicateur de police? </w:t>
      </w:r>
    </w:p>
    <w:p w:rsidR="005A7D65" w:rsidRPr="005A7D65" w:rsidRDefault="005A7D65" w:rsidP="00987F90">
      <w:pPr>
        <w:widowControl w:val="0"/>
        <w:jc w:val="both"/>
        <w:rPr>
          <w:rFonts w:cs="Times New Roman"/>
          <w:sz w:val="20"/>
          <w:szCs w:val="20"/>
          <w:lang w:val="fr-CA"/>
        </w:rPr>
      </w:pPr>
    </w:p>
    <w:p w:rsidR="005A7D65" w:rsidRPr="005A7D65" w:rsidRDefault="005A7D65" w:rsidP="00987F90">
      <w:pPr>
        <w:widowControl w:val="0"/>
        <w:jc w:val="both"/>
        <w:rPr>
          <w:rFonts w:cs="Times New Roman"/>
          <w:sz w:val="20"/>
          <w:szCs w:val="20"/>
          <w:lang w:val="fr-CA"/>
        </w:rPr>
      </w:pPr>
      <w:r w:rsidRPr="005A7D65">
        <w:rPr>
          <w:rFonts w:cs="Times New Roman"/>
          <w:sz w:val="20"/>
          <w:szCs w:val="20"/>
          <w:lang w:val="fr-CA"/>
        </w:rPr>
        <w:t>Le présent dossier est à la base d’un vaste projet de démantèlement d’un réseau de crime organisé au Québec.  Suite à un projet d’enquête, dix personnes sont arrêtées sous la foi, entre autres, d’informations révélées par l’appelante, B.  Dans le cadre des procès, le ministère public dépose une requête préliminaire visant à déterminer si B bénéficie du statut d’indicateur de police.  Le juge Gagnon de la Cour supérieure accueille la requête en partie.</w:t>
      </w:r>
    </w:p>
    <w:p w:rsidR="005A7D65" w:rsidRPr="005A7D65" w:rsidRDefault="005A7D65" w:rsidP="005A7D65">
      <w:pPr>
        <w:widowControl w:val="0"/>
        <w:jc w:val="both"/>
        <w:rPr>
          <w:rFonts w:cs="Times New Roman"/>
          <w:sz w:val="20"/>
          <w:szCs w:val="20"/>
          <w:lang w:val="fr-CA"/>
        </w:rPr>
      </w:pPr>
    </w:p>
    <w:p w:rsidR="005A7D65" w:rsidRPr="005A7D65" w:rsidRDefault="005A7D65" w:rsidP="005A7D65">
      <w:pPr>
        <w:widowControl w:val="0"/>
        <w:jc w:val="both"/>
        <w:rPr>
          <w:rFonts w:cs="Times New Roman"/>
          <w:sz w:val="20"/>
          <w:szCs w:val="20"/>
          <w:lang w:val="fr-CA"/>
        </w:rPr>
      </w:pPr>
    </w:p>
    <w:p w:rsidR="005A7D65" w:rsidRPr="005A7D65" w:rsidRDefault="005A7D65" w:rsidP="005A7D65">
      <w:pPr>
        <w:widowControl w:val="0"/>
        <w:jc w:val="both"/>
        <w:rPr>
          <w:rFonts w:cs="Times New Roman"/>
          <w:sz w:val="20"/>
          <w:szCs w:val="20"/>
          <w:lang w:val="fr-CA"/>
        </w:rPr>
      </w:pPr>
      <w:r w:rsidRPr="005A7D65">
        <w:rPr>
          <w:rFonts w:cs="Times New Roman"/>
          <w:sz w:val="20"/>
          <w:szCs w:val="20"/>
          <w:lang w:val="fr-CA"/>
        </w:rPr>
        <w:t>Origine:</w:t>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Pr>
          <w:rFonts w:cs="Times New Roman"/>
          <w:sz w:val="20"/>
          <w:szCs w:val="20"/>
          <w:lang w:val="fr-CA"/>
        </w:rPr>
        <w:tab/>
      </w:r>
      <w:r w:rsidRPr="005A7D65">
        <w:rPr>
          <w:rFonts w:cs="Times New Roman"/>
          <w:sz w:val="20"/>
          <w:szCs w:val="20"/>
          <w:lang w:val="fr-CA"/>
        </w:rPr>
        <w:t>Québec</w:t>
      </w:r>
    </w:p>
    <w:p w:rsidR="005A7D65" w:rsidRPr="005A7D65" w:rsidRDefault="005A7D65" w:rsidP="005A7D65">
      <w:pPr>
        <w:widowControl w:val="0"/>
        <w:jc w:val="both"/>
        <w:rPr>
          <w:rFonts w:cs="Times New Roman"/>
          <w:sz w:val="20"/>
          <w:szCs w:val="20"/>
          <w:lang w:val="fr-CA"/>
        </w:rPr>
      </w:pPr>
    </w:p>
    <w:p w:rsidR="005A7D65" w:rsidRPr="005A7D65" w:rsidRDefault="005A7D65" w:rsidP="005A7D65">
      <w:pPr>
        <w:widowControl w:val="0"/>
        <w:jc w:val="both"/>
        <w:rPr>
          <w:rFonts w:cs="Times New Roman"/>
          <w:sz w:val="20"/>
          <w:szCs w:val="20"/>
          <w:lang w:val="fr-CA"/>
        </w:rPr>
      </w:pPr>
      <w:r w:rsidRPr="005A7D65">
        <w:rPr>
          <w:rFonts w:cs="Times New Roman"/>
          <w:sz w:val="20"/>
          <w:szCs w:val="20"/>
          <w:lang w:val="fr-CA"/>
        </w:rPr>
        <w:t>N</w:t>
      </w:r>
      <w:r w:rsidRPr="005A7D65">
        <w:rPr>
          <w:rFonts w:cs="Times New Roman"/>
          <w:sz w:val="20"/>
          <w:szCs w:val="20"/>
          <w:vertAlign w:val="superscript"/>
          <w:lang w:val="fr-CA"/>
        </w:rPr>
        <w:t>o</w:t>
      </w:r>
      <w:r w:rsidRPr="005A7D65">
        <w:rPr>
          <w:rFonts w:cs="Times New Roman"/>
          <w:sz w:val="20"/>
          <w:szCs w:val="20"/>
          <w:lang w:val="fr-CA"/>
        </w:rPr>
        <w:t xml:space="preserve"> du greffe:</w:t>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t>34053</w:t>
      </w:r>
    </w:p>
    <w:p w:rsidR="005A7D65" w:rsidRPr="005A7D65" w:rsidRDefault="005A7D65" w:rsidP="005A7D65">
      <w:pPr>
        <w:widowControl w:val="0"/>
        <w:jc w:val="both"/>
        <w:rPr>
          <w:rFonts w:cs="Times New Roman"/>
          <w:sz w:val="20"/>
          <w:szCs w:val="20"/>
          <w:lang w:val="fr-CA"/>
        </w:rPr>
      </w:pPr>
    </w:p>
    <w:p w:rsidR="005A7D65" w:rsidRPr="005A7D65" w:rsidRDefault="005A7D65" w:rsidP="005A7D65">
      <w:pPr>
        <w:widowControl w:val="0"/>
        <w:jc w:val="both"/>
        <w:rPr>
          <w:rFonts w:cs="Times New Roman"/>
          <w:sz w:val="20"/>
          <w:szCs w:val="20"/>
          <w:lang w:val="fr-CA"/>
        </w:rPr>
      </w:pPr>
      <w:r w:rsidRPr="005A7D65">
        <w:rPr>
          <w:rFonts w:cs="Times New Roman"/>
          <w:sz w:val="20"/>
          <w:szCs w:val="20"/>
          <w:lang w:val="fr-CA"/>
        </w:rPr>
        <w:t>Arrêt de la Cour supérieure:</w:t>
      </w:r>
      <w:r w:rsidRPr="005A7D65">
        <w:rPr>
          <w:rFonts w:cs="Times New Roman"/>
          <w:sz w:val="20"/>
          <w:szCs w:val="20"/>
          <w:lang w:val="fr-CA"/>
        </w:rPr>
        <w:tab/>
      </w:r>
      <w:r w:rsidRPr="005A7D65">
        <w:rPr>
          <w:rFonts w:cs="Times New Roman"/>
          <w:sz w:val="20"/>
          <w:szCs w:val="20"/>
          <w:lang w:val="fr-CA"/>
        </w:rPr>
        <w:tab/>
        <w:t>Le 17 septembre 2010</w:t>
      </w:r>
    </w:p>
    <w:p w:rsidR="005A7D65" w:rsidRPr="005A7D65" w:rsidRDefault="005A7D65" w:rsidP="005A7D65">
      <w:pPr>
        <w:widowControl w:val="0"/>
        <w:jc w:val="both"/>
        <w:rPr>
          <w:rFonts w:cs="Times New Roman"/>
          <w:sz w:val="20"/>
          <w:szCs w:val="20"/>
          <w:lang w:val="fr-CA"/>
        </w:rPr>
      </w:pPr>
    </w:p>
    <w:p w:rsidR="005A7D65" w:rsidRPr="005A7D65" w:rsidRDefault="005A7D65" w:rsidP="005A7D65">
      <w:pPr>
        <w:widowControl w:val="0"/>
        <w:jc w:val="both"/>
        <w:rPr>
          <w:rFonts w:cs="Times New Roman"/>
          <w:sz w:val="20"/>
          <w:szCs w:val="20"/>
          <w:lang w:val="fr-CA"/>
        </w:rPr>
      </w:pPr>
      <w:r w:rsidRPr="005A7D65">
        <w:rPr>
          <w:rFonts w:cs="Times New Roman"/>
          <w:sz w:val="20"/>
          <w:szCs w:val="20"/>
          <w:lang w:val="fr-CA"/>
        </w:rPr>
        <w:t>Avocats:</w:t>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Pr>
          <w:rFonts w:cs="Times New Roman"/>
          <w:sz w:val="20"/>
          <w:szCs w:val="20"/>
          <w:lang w:val="fr-CA"/>
        </w:rPr>
        <w:tab/>
      </w:r>
      <w:r w:rsidRPr="005A7D65">
        <w:rPr>
          <w:rFonts w:cs="Times New Roman"/>
          <w:sz w:val="20"/>
          <w:szCs w:val="20"/>
          <w:lang w:val="fr-CA"/>
        </w:rPr>
        <w:t>Dominique Bertrand pour l’appelante</w:t>
      </w:r>
    </w:p>
    <w:p w:rsidR="005A7D65" w:rsidRPr="005A7D65" w:rsidRDefault="005A7D65" w:rsidP="005A7D65">
      <w:pPr>
        <w:widowControl w:val="0"/>
        <w:jc w:val="both"/>
        <w:rPr>
          <w:rFonts w:cs="Times New Roman"/>
          <w:sz w:val="20"/>
          <w:szCs w:val="20"/>
          <w:lang w:val="fr-CA"/>
        </w:rPr>
      </w:pP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t xml:space="preserve">Mélanie Dufour et Jacques </w:t>
      </w:r>
      <w:proofErr w:type="spellStart"/>
      <w:r w:rsidRPr="005A7D65">
        <w:rPr>
          <w:rFonts w:cs="Times New Roman"/>
          <w:sz w:val="20"/>
          <w:szCs w:val="20"/>
          <w:lang w:val="fr-CA"/>
        </w:rPr>
        <w:t>Casgrain</w:t>
      </w:r>
      <w:proofErr w:type="spellEnd"/>
      <w:r w:rsidRPr="005A7D65">
        <w:rPr>
          <w:rFonts w:cs="Times New Roman"/>
          <w:sz w:val="20"/>
          <w:szCs w:val="20"/>
          <w:lang w:val="fr-CA"/>
        </w:rPr>
        <w:t xml:space="preserve"> pour l’intimée</w:t>
      </w:r>
    </w:p>
    <w:p w:rsidR="005A7D65" w:rsidRPr="005A7D65" w:rsidRDefault="005A7D65" w:rsidP="005A7D65">
      <w:pPr>
        <w:widowControl w:val="0"/>
        <w:jc w:val="both"/>
        <w:rPr>
          <w:rFonts w:cs="Times New Roman"/>
          <w:sz w:val="20"/>
          <w:szCs w:val="20"/>
          <w:lang w:val="fr-CA"/>
        </w:rPr>
      </w:pP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t>Louis Belleau pour Frédéric Faucher</w:t>
      </w:r>
    </w:p>
    <w:p w:rsidR="005A7D65" w:rsidRPr="005A7D65" w:rsidRDefault="005A7D65" w:rsidP="005A7D65">
      <w:pPr>
        <w:widowControl w:val="0"/>
        <w:jc w:val="both"/>
        <w:rPr>
          <w:rFonts w:cs="Times New Roman"/>
          <w:sz w:val="20"/>
          <w:szCs w:val="20"/>
          <w:lang w:val="fr-CA"/>
        </w:rPr>
      </w:pP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t xml:space="preserve">Patrick </w:t>
      </w:r>
      <w:proofErr w:type="spellStart"/>
      <w:r w:rsidRPr="005A7D65">
        <w:rPr>
          <w:rFonts w:cs="Times New Roman"/>
          <w:sz w:val="20"/>
          <w:szCs w:val="20"/>
          <w:lang w:val="fr-CA"/>
        </w:rPr>
        <w:t>Cozannet</w:t>
      </w:r>
      <w:proofErr w:type="spellEnd"/>
      <w:r w:rsidRPr="005A7D65">
        <w:rPr>
          <w:rFonts w:cs="Times New Roman"/>
          <w:sz w:val="20"/>
          <w:szCs w:val="20"/>
          <w:lang w:val="fr-CA"/>
        </w:rPr>
        <w:t xml:space="preserve"> pour Jean-Claude Gagné</w:t>
      </w:r>
    </w:p>
    <w:p w:rsidR="005A7D65" w:rsidRPr="005A7D65" w:rsidRDefault="005A7D65" w:rsidP="005A7D65">
      <w:pPr>
        <w:widowControl w:val="0"/>
        <w:jc w:val="both"/>
        <w:rPr>
          <w:rFonts w:cs="Times New Roman"/>
          <w:sz w:val="20"/>
          <w:szCs w:val="20"/>
          <w:lang w:val="fr-CA"/>
        </w:rPr>
      </w:pP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t xml:space="preserve">Michel </w:t>
      </w:r>
      <w:proofErr w:type="spellStart"/>
      <w:r w:rsidRPr="005A7D65">
        <w:rPr>
          <w:rFonts w:cs="Times New Roman"/>
          <w:sz w:val="20"/>
          <w:szCs w:val="20"/>
          <w:lang w:val="fr-CA"/>
        </w:rPr>
        <w:t>Croteau</w:t>
      </w:r>
      <w:proofErr w:type="spellEnd"/>
      <w:r w:rsidRPr="005A7D65">
        <w:rPr>
          <w:rFonts w:cs="Times New Roman"/>
          <w:sz w:val="20"/>
          <w:szCs w:val="20"/>
          <w:lang w:val="fr-CA"/>
        </w:rPr>
        <w:t xml:space="preserve"> pour Denis </w:t>
      </w:r>
      <w:proofErr w:type="spellStart"/>
      <w:r w:rsidRPr="005A7D65">
        <w:rPr>
          <w:rFonts w:cs="Times New Roman"/>
          <w:sz w:val="20"/>
          <w:szCs w:val="20"/>
          <w:lang w:val="fr-CA"/>
        </w:rPr>
        <w:t>Gaudreault</w:t>
      </w:r>
      <w:proofErr w:type="spellEnd"/>
    </w:p>
    <w:p w:rsidR="005A7D65" w:rsidRPr="005A7D65" w:rsidRDefault="005A7D65" w:rsidP="005A7D65">
      <w:pPr>
        <w:widowControl w:val="0"/>
        <w:jc w:val="both"/>
        <w:rPr>
          <w:rFonts w:cs="Times New Roman"/>
          <w:sz w:val="20"/>
          <w:szCs w:val="20"/>
          <w:lang w:val="fr-CA"/>
        </w:rPr>
      </w:pP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t xml:space="preserve">Véronique </w:t>
      </w:r>
      <w:proofErr w:type="spellStart"/>
      <w:r w:rsidRPr="005A7D65">
        <w:rPr>
          <w:rFonts w:cs="Times New Roman"/>
          <w:sz w:val="20"/>
          <w:szCs w:val="20"/>
          <w:lang w:val="fr-CA"/>
        </w:rPr>
        <w:t>Courtecuisse</w:t>
      </w:r>
      <w:proofErr w:type="spellEnd"/>
      <w:r w:rsidRPr="005A7D65">
        <w:rPr>
          <w:rFonts w:cs="Times New Roman"/>
          <w:sz w:val="20"/>
          <w:szCs w:val="20"/>
          <w:lang w:val="fr-CA"/>
        </w:rPr>
        <w:t xml:space="preserve"> pour Raymond Bouchard</w:t>
      </w:r>
    </w:p>
    <w:p w:rsidR="005A7D65" w:rsidRPr="005A7D65" w:rsidRDefault="005A7D65" w:rsidP="005A7D65">
      <w:pPr>
        <w:widowControl w:val="0"/>
        <w:jc w:val="both"/>
        <w:rPr>
          <w:rFonts w:cs="Times New Roman"/>
          <w:sz w:val="20"/>
          <w:szCs w:val="20"/>
          <w:lang w:val="fr-CA"/>
        </w:rPr>
      </w:pP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t>Christian Gauthier pour Denis Corriveau</w:t>
      </w:r>
    </w:p>
    <w:p w:rsidR="005A7D65" w:rsidRPr="005A7D65" w:rsidRDefault="005A7D65" w:rsidP="005A7D65">
      <w:pPr>
        <w:widowControl w:val="0"/>
        <w:jc w:val="both"/>
        <w:rPr>
          <w:rFonts w:cs="Times New Roman"/>
          <w:sz w:val="20"/>
          <w:szCs w:val="20"/>
          <w:lang w:val="fr-CA"/>
        </w:rPr>
      </w:pP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t xml:space="preserve">Jacques </w:t>
      </w:r>
      <w:proofErr w:type="spellStart"/>
      <w:r w:rsidRPr="005A7D65">
        <w:rPr>
          <w:rFonts w:cs="Times New Roman"/>
          <w:sz w:val="20"/>
          <w:szCs w:val="20"/>
          <w:lang w:val="fr-CA"/>
        </w:rPr>
        <w:t>Larochelle</w:t>
      </w:r>
      <w:proofErr w:type="spellEnd"/>
      <w:r w:rsidRPr="005A7D65">
        <w:rPr>
          <w:rFonts w:cs="Times New Roman"/>
          <w:sz w:val="20"/>
          <w:szCs w:val="20"/>
          <w:lang w:val="fr-CA"/>
        </w:rPr>
        <w:t xml:space="preserve"> pour Marcel Demers</w:t>
      </w:r>
    </w:p>
    <w:p w:rsidR="005A7D65" w:rsidRPr="005A7D65" w:rsidRDefault="005A7D65" w:rsidP="005A7D65">
      <w:pPr>
        <w:widowControl w:val="0"/>
        <w:jc w:val="both"/>
        <w:rPr>
          <w:rFonts w:cs="Times New Roman"/>
          <w:sz w:val="20"/>
          <w:szCs w:val="20"/>
          <w:lang w:val="fr-CA"/>
        </w:rPr>
      </w:pP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t xml:space="preserve">Élise </w:t>
      </w:r>
      <w:proofErr w:type="spellStart"/>
      <w:r w:rsidRPr="005A7D65">
        <w:rPr>
          <w:rFonts w:cs="Times New Roman"/>
          <w:sz w:val="20"/>
          <w:szCs w:val="20"/>
          <w:lang w:val="fr-CA"/>
        </w:rPr>
        <w:t>Pinsonnault</w:t>
      </w:r>
      <w:proofErr w:type="spellEnd"/>
      <w:r w:rsidRPr="005A7D65">
        <w:rPr>
          <w:rFonts w:cs="Times New Roman"/>
          <w:sz w:val="20"/>
          <w:szCs w:val="20"/>
          <w:lang w:val="fr-CA"/>
        </w:rPr>
        <w:t xml:space="preserve"> pour Gérard Hubert</w:t>
      </w:r>
    </w:p>
    <w:p w:rsidR="005A7D65" w:rsidRPr="005A7D65" w:rsidRDefault="005A7D65" w:rsidP="005A7D65">
      <w:pPr>
        <w:widowControl w:val="0"/>
        <w:jc w:val="both"/>
        <w:rPr>
          <w:rFonts w:cs="Times New Roman"/>
          <w:sz w:val="20"/>
          <w:szCs w:val="20"/>
          <w:lang w:val="fr-CA"/>
        </w:rPr>
      </w:pP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t>Carl Thibault pour Jacqueline Benoît</w:t>
      </w:r>
    </w:p>
    <w:p w:rsidR="005A7D65" w:rsidRPr="005A7D65" w:rsidRDefault="005A7D65" w:rsidP="005A7D65">
      <w:pPr>
        <w:widowControl w:val="0"/>
        <w:jc w:val="both"/>
        <w:rPr>
          <w:rFonts w:cs="Times New Roman"/>
          <w:sz w:val="20"/>
          <w:szCs w:val="20"/>
          <w:lang w:val="fr-CA"/>
        </w:rPr>
      </w:pP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t>Thomas Walsh pour Gilles Dubois</w:t>
      </w:r>
    </w:p>
    <w:p w:rsidR="005A7D65" w:rsidRPr="005A7D65" w:rsidRDefault="005A7D65" w:rsidP="005A7D65">
      <w:pPr>
        <w:widowControl w:val="0"/>
        <w:jc w:val="both"/>
        <w:rPr>
          <w:rFonts w:cs="Times New Roman"/>
          <w:sz w:val="20"/>
          <w:szCs w:val="20"/>
          <w:lang w:val="fr-CA"/>
        </w:rPr>
      </w:pP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r>
      <w:r w:rsidRPr="005A7D65">
        <w:rPr>
          <w:rFonts w:cs="Times New Roman"/>
          <w:sz w:val="20"/>
          <w:szCs w:val="20"/>
          <w:lang w:val="fr-CA"/>
        </w:rPr>
        <w:tab/>
        <w:t>Raymond Desfossés pour lui-même</w:t>
      </w:r>
    </w:p>
    <w:p w:rsidR="005A7D65" w:rsidRPr="005A7D65" w:rsidRDefault="005A7D65" w:rsidP="0085721F">
      <w:pPr>
        <w:rPr>
          <w:rFonts w:cs="Times New Roman"/>
          <w:sz w:val="20"/>
          <w:szCs w:val="20"/>
          <w:lang w:val="fr-CA"/>
        </w:rPr>
      </w:pPr>
    </w:p>
    <w:p w:rsidR="005A7D65" w:rsidRPr="005A7D65" w:rsidRDefault="005A7D65" w:rsidP="0085721F">
      <w:pPr>
        <w:rPr>
          <w:rFonts w:cs="Times New Roman"/>
          <w:sz w:val="20"/>
          <w:szCs w:val="20"/>
          <w:lang w:val="fr-CA"/>
        </w:rPr>
      </w:pPr>
    </w:p>
    <w:bookmarkStart w:id="0" w:name="1"/>
    <w:bookmarkEnd w:id="0"/>
    <w:p w:rsidR="0085721F" w:rsidRPr="0085721F" w:rsidRDefault="00A148A3" w:rsidP="0085721F">
      <w:pPr>
        <w:widowControl w:val="0"/>
        <w:ind w:left="720" w:hanging="720"/>
        <w:jc w:val="both"/>
        <w:rPr>
          <w:rFonts w:cs="Times New Roman"/>
          <w:sz w:val="20"/>
          <w:szCs w:val="20"/>
          <w:lang w:val="en-CA"/>
        </w:rPr>
      </w:pPr>
      <w:r w:rsidRPr="00A148A3">
        <w:rPr>
          <w:rFonts w:cs="Times New Roman"/>
          <w:b/>
          <w:sz w:val="20"/>
          <w:szCs w:val="20"/>
          <w:lang w:val="en-CA"/>
        </w:rPr>
        <w:fldChar w:fldCharType="begin"/>
      </w:r>
      <w:r w:rsidR="0085721F" w:rsidRPr="0085721F">
        <w:rPr>
          <w:rFonts w:cs="Times New Roman"/>
          <w:b/>
          <w:sz w:val="20"/>
          <w:szCs w:val="20"/>
        </w:rPr>
        <w:instrText xml:space="preserve"> SEQ CHAPTER \h \r 1</w:instrText>
      </w:r>
      <w:r w:rsidRPr="0085721F">
        <w:rPr>
          <w:rFonts w:cs="Times New Roman"/>
          <w:b/>
          <w:sz w:val="20"/>
          <w:szCs w:val="20"/>
        </w:rPr>
        <w:fldChar w:fldCharType="end"/>
      </w:r>
      <w:proofErr w:type="gramStart"/>
      <w:r w:rsidR="0085721F" w:rsidRPr="0085721F">
        <w:rPr>
          <w:rFonts w:cs="Times New Roman"/>
          <w:b/>
          <w:sz w:val="20"/>
          <w:szCs w:val="20"/>
          <w:lang w:val="en-CA"/>
        </w:rPr>
        <w:t>34517</w:t>
      </w:r>
      <w:r w:rsidR="0085721F" w:rsidRPr="0085721F">
        <w:rPr>
          <w:rFonts w:cs="Times New Roman"/>
          <w:sz w:val="20"/>
          <w:szCs w:val="20"/>
          <w:lang w:val="en-CA"/>
        </w:rPr>
        <w:tab/>
      </w:r>
      <w:bookmarkStart w:id="1" w:name="3"/>
      <w:bookmarkEnd w:id="1"/>
      <w:r w:rsidR="0085721F" w:rsidRPr="0085721F">
        <w:rPr>
          <w:rFonts w:cs="Times New Roman"/>
          <w:b/>
          <w:i/>
          <w:sz w:val="20"/>
          <w:szCs w:val="20"/>
          <w:lang w:val="en-CA"/>
        </w:rPr>
        <w:t xml:space="preserve">Robert Joseph </w:t>
      </w:r>
      <w:proofErr w:type="spellStart"/>
      <w:r w:rsidR="0085721F" w:rsidRPr="0085721F">
        <w:rPr>
          <w:rFonts w:cs="Times New Roman"/>
          <w:b/>
          <w:i/>
          <w:sz w:val="20"/>
          <w:szCs w:val="20"/>
          <w:lang w:val="en-CA"/>
        </w:rPr>
        <w:t>Kociuk</w:t>
      </w:r>
      <w:proofErr w:type="spellEnd"/>
      <w:r w:rsidR="0085721F" w:rsidRPr="0085721F">
        <w:rPr>
          <w:rFonts w:cs="Times New Roman"/>
          <w:b/>
          <w:i/>
          <w:sz w:val="20"/>
          <w:szCs w:val="20"/>
          <w:lang w:val="en-CA"/>
        </w:rPr>
        <w:t xml:space="preserve"> v.</w:t>
      </w:r>
      <w:proofErr w:type="gramEnd"/>
      <w:r w:rsidR="0085721F" w:rsidRPr="0085721F">
        <w:rPr>
          <w:rFonts w:cs="Times New Roman"/>
          <w:b/>
          <w:i/>
          <w:sz w:val="20"/>
          <w:szCs w:val="20"/>
          <w:lang w:val="en-CA"/>
        </w:rPr>
        <w:t xml:space="preserve"> Her Majesty the Queen</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bookmarkStart w:id="2" w:name="QuickMark_1"/>
      <w:bookmarkEnd w:id="2"/>
      <w:r w:rsidRPr="0085721F">
        <w:rPr>
          <w:rFonts w:cs="Times New Roman"/>
          <w:sz w:val="20"/>
          <w:szCs w:val="20"/>
          <w:lang w:val="en-CA"/>
        </w:rPr>
        <w:t xml:space="preserve">Criminal law </w:t>
      </w:r>
      <w:r w:rsidRPr="0085721F">
        <w:rPr>
          <w:rFonts w:cs="Times New Roman"/>
          <w:sz w:val="20"/>
          <w:szCs w:val="20"/>
          <w:lang w:val="en-CA"/>
        </w:rPr>
        <w:noBreakHyphen/>
        <w:t xml:space="preserve"> Charge to the jury </w:t>
      </w:r>
      <w:r w:rsidRPr="0085721F">
        <w:rPr>
          <w:rFonts w:cs="Times New Roman"/>
          <w:sz w:val="20"/>
          <w:szCs w:val="20"/>
          <w:lang w:val="en-CA"/>
        </w:rPr>
        <w:noBreakHyphen/>
        <w:t xml:space="preserve"> Murder while committing sexual assault </w:t>
      </w:r>
      <w:r w:rsidRPr="0085721F">
        <w:rPr>
          <w:rFonts w:cs="Times New Roman"/>
          <w:sz w:val="20"/>
          <w:szCs w:val="20"/>
          <w:lang w:val="en-CA"/>
        </w:rPr>
        <w:noBreakHyphen/>
        <w:t xml:space="preserve"> Elements of the offence </w:t>
      </w:r>
      <w:r w:rsidRPr="0085721F">
        <w:rPr>
          <w:rFonts w:cs="Times New Roman"/>
          <w:sz w:val="20"/>
          <w:szCs w:val="20"/>
          <w:lang w:val="en-CA"/>
        </w:rPr>
        <w:noBreakHyphen/>
        <w:t xml:space="preserve"> Evidence </w:t>
      </w:r>
      <w:r w:rsidRPr="0085721F">
        <w:rPr>
          <w:rFonts w:cs="Times New Roman"/>
          <w:sz w:val="20"/>
          <w:szCs w:val="20"/>
          <w:lang w:val="en-CA"/>
        </w:rPr>
        <w:noBreakHyphen/>
        <w:t xml:space="preserve"> Whether the trial judge erred by failing to properly and fairly relate the evidence to the elements of the offence </w:t>
      </w:r>
      <w:r w:rsidRPr="0085721F">
        <w:rPr>
          <w:rFonts w:cs="Times New Roman"/>
          <w:sz w:val="20"/>
          <w:szCs w:val="20"/>
          <w:lang w:val="en-CA"/>
        </w:rPr>
        <w:noBreakHyphen/>
        <w:t xml:space="preserve"> Whether the trial judge must put to the jury all alternative bases of defence even where those alternatives are not stressed by trial counsel.</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r w:rsidRPr="0085721F">
        <w:rPr>
          <w:rFonts w:cs="Times New Roman"/>
          <w:sz w:val="20"/>
          <w:szCs w:val="20"/>
          <w:lang w:val="en-CA"/>
        </w:rPr>
        <w:t xml:space="preserve">The appellant was charged and convicted of first degree murder under s. 231(5) of the </w:t>
      </w:r>
      <w:r w:rsidRPr="0085721F">
        <w:rPr>
          <w:rFonts w:cs="Times New Roman"/>
          <w:i/>
          <w:sz w:val="20"/>
          <w:szCs w:val="20"/>
          <w:lang w:val="en-CA"/>
        </w:rPr>
        <w:t>Criminal Code</w:t>
      </w:r>
      <w:r w:rsidRPr="0085721F">
        <w:rPr>
          <w:rFonts w:cs="Times New Roman"/>
          <w:sz w:val="20"/>
          <w:szCs w:val="20"/>
          <w:lang w:val="en-CA"/>
        </w:rPr>
        <w:t xml:space="preserve">, which deems murder that occurs while committing a sexual assault to be first degree murder irrespective of whether the murder was planned and deliberate.  The victim’s body was discovered in a bush area and the autopsy revealed the cause of death to be multiple stab wounds, with evidence of recent sexual intercourse.  This was a “cold case” murder from 1984 when DNA profiling was only in its experimental stage.  Eventually, with the development of DNA profiling technology, a DNA analysis was conducted.  The DNA matched that of the appellant.  The appellant appealed his conviction.  The majority of the Court of Appeal dismissed the appeal.  Beard J.A., dissenting, would have allowed the appeal and ordered a new trial on the basis that the theory of the defence was not adequately put to the jury. </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r w:rsidRPr="0085721F">
        <w:rPr>
          <w:rFonts w:cs="Times New Roman"/>
          <w:sz w:val="20"/>
          <w:szCs w:val="20"/>
          <w:lang w:val="en-CA"/>
        </w:rPr>
        <w:t>Origin of the case:</w:t>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r>
      <w:bookmarkStart w:id="3" w:name="4"/>
      <w:bookmarkEnd w:id="3"/>
      <w:r w:rsidRPr="0085721F">
        <w:rPr>
          <w:rFonts w:cs="Times New Roman"/>
          <w:sz w:val="20"/>
          <w:szCs w:val="20"/>
          <w:lang w:val="en-CA"/>
        </w:rPr>
        <w:t>Manitoba</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r w:rsidRPr="0085721F">
        <w:rPr>
          <w:rFonts w:cs="Times New Roman"/>
          <w:sz w:val="20"/>
          <w:szCs w:val="20"/>
          <w:lang w:val="en-CA"/>
        </w:rPr>
        <w:t>File No.:</w:t>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r>
      <w:bookmarkStart w:id="4" w:name="2"/>
      <w:bookmarkEnd w:id="4"/>
      <w:r w:rsidR="00317C2D">
        <w:rPr>
          <w:rFonts w:cs="Times New Roman"/>
          <w:sz w:val="20"/>
          <w:szCs w:val="20"/>
          <w:lang w:val="en-CA"/>
        </w:rPr>
        <w:tab/>
      </w:r>
      <w:r w:rsidRPr="0085721F">
        <w:rPr>
          <w:rFonts w:cs="Times New Roman"/>
          <w:sz w:val="20"/>
          <w:szCs w:val="20"/>
          <w:lang w:val="en-CA"/>
        </w:rPr>
        <w:t>34517</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r w:rsidRPr="0085721F">
        <w:rPr>
          <w:rFonts w:cs="Times New Roman"/>
          <w:sz w:val="20"/>
          <w:szCs w:val="20"/>
          <w:lang w:val="en-CA"/>
        </w:rPr>
        <w:t>Judgment of the Court of Appeal:</w:t>
      </w:r>
      <w:r w:rsidRPr="0085721F">
        <w:rPr>
          <w:rFonts w:cs="Times New Roman"/>
          <w:sz w:val="20"/>
          <w:szCs w:val="20"/>
          <w:lang w:val="en-CA"/>
        </w:rPr>
        <w:tab/>
      </w:r>
      <w:bookmarkStart w:id="5" w:name="5"/>
      <w:bookmarkEnd w:id="5"/>
      <w:r w:rsidR="00317C2D">
        <w:rPr>
          <w:rFonts w:cs="Times New Roman"/>
          <w:sz w:val="20"/>
          <w:szCs w:val="20"/>
          <w:lang w:val="en-CA"/>
        </w:rPr>
        <w:tab/>
      </w:r>
      <w:r w:rsidRPr="0085721F">
        <w:rPr>
          <w:rFonts w:cs="Times New Roman"/>
          <w:sz w:val="20"/>
          <w:szCs w:val="20"/>
          <w:lang w:val="en-CA"/>
        </w:rPr>
        <w:t>October 21, 2011</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r w:rsidRPr="0085721F">
        <w:rPr>
          <w:rFonts w:cs="Times New Roman"/>
          <w:sz w:val="20"/>
          <w:szCs w:val="20"/>
          <w:lang w:val="en-CA"/>
        </w:rPr>
        <w:t>Counsel:</w:t>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r>
      <w:bookmarkStart w:id="6" w:name="6"/>
      <w:bookmarkEnd w:id="6"/>
      <w:r w:rsidR="00317C2D">
        <w:rPr>
          <w:rFonts w:cs="Times New Roman"/>
          <w:sz w:val="20"/>
          <w:szCs w:val="20"/>
          <w:lang w:val="en-CA"/>
        </w:rPr>
        <w:tab/>
      </w:r>
      <w:r w:rsidRPr="0085721F">
        <w:rPr>
          <w:rFonts w:cs="Times New Roman"/>
          <w:sz w:val="20"/>
          <w:szCs w:val="20"/>
          <w:lang w:val="en-CA"/>
        </w:rPr>
        <w:t xml:space="preserve">Leonard J. W. </w:t>
      </w:r>
      <w:proofErr w:type="spellStart"/>
      <w:r w:rsidRPr="0085721F">
        <w:rPr>
          <w:rFonts w:cs="Times New Roman"/>
          <w:sz w:val="20"/>
          <w:szCs w:val="20"/>
          <w:lang w:val="en-CA"/>
        </w:rPr>
        <w:t>Tailleur</w:t>
      </w:r>
      <w:proofErr w:type="spellEnd"/>
      <w:r w:rsidRPr="0085721F">
        <w:rPr>
          <w:rFonts w:cs="Times New Roman"/>
          <w:sz w:val="20"/>
          <w:szCs w:val="20"/>
          <w:lang w:val="en-CA"/>
        </w:rPr>
        <w:t xml:space="preserve"> for the appellant</w:t>
      </w:r>
    </w:p>
    <w:p w:rsidR="0085721F" w:rsidRPr="005A7D65" w:rsidRDefault="0085721F" w:rsidP="0085721F">
      <w:pPr>
        <w:widowControl w:val="0"/>
        <w:jc w:val="both"/>
        <w:rPr>
          <w:rFonts w:cs="Times New Roman"/>
          <w:sz w:val="20"/>
          <w:szCs w:val="20"/>
          <w:lang w:val="fr-CA"/>
        </w:rPr>
      </w:pP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r>
      <w:bookmarkStart w:id="7" w:name="7"/>
      <w:bookmarkEnd w:id="7"/>
      <w:r w:rsidRPr="005A7D65">
        <w:rPr>
          <w:rFonts w:cs="Times New Roman"/>
          <w:sz w:val="20"/>
          <w:szCs w:val="20"/>
          <w:lang w:val="fr-CA"/>
        </w:rPr>
        <w:t xml:space="preserve">Elizabeth Thomson for the </w:t>
      </w:r>
      <w:proofErr w:type="spellStart"/>
      <w:r w:rsidRPr="005A7D65">
        <w:rPr>
          <w:rFonts w:cs="Times New Roman"/>
          <w:sz w:val="20"/>
          <w:szCs w:val="20"/>
          <w:lang w:val="fr-CA"/>
        </w:rPr>
        <w:t>respondent</w:t>
      </w:r>
      <w:proofErr w:type="spellEnd"/>
    </w:p>
    <w:p w:rsidR="0085721F" w:rsidRPr="005A7D65" w:rsidRDefault="0085721F" w:rsidP="0085721F">
      <w:pPr>
        <w:rPr>
          <w:rFonts w:cs="Times New Roman"/>
          <w:sz w:val="20"/>
          <w:szCs w:val="20"/>
          <w:lang w:val="fr-CA"/>
        </w:rPr>
      </w:pPr>
    </w:p>
    <w:p w:rsidR="00317C2D" w:rsidRPr="005A7D65" w:rsidRDefault="00317C2D" w:rsidP="0085721F">
      <w:pPr>
        <w:rPr>
          <w:rFonts w:cs="Times New Roman"/>
          <w:sz w:val="20"/>
          <w:szCs w:val="20"/>
          <w:lang w:val="fr-CA"/>
        </w:rPr>
      </w:pPr>
    </w:p>
    <w:p w:rsidR="0085721F" w:rsidRPr="0085721F" w:rsidRDefault="00A148A3" w:rsidP="0085721F">
      <w:pPr>
        <w:widowControl w:val="0"/>
        <w:ind w:left="720" w:hanging="720"/>
        <w:jc w:val="both"/>
        <w:rPr>
          <w:rFonts w:cs="Times New Roman"/>
          <w:sz w:val="20"/>
          <w:szCs w:val="20"/>
          <w:lang w:val="fr-CA"/>
        </w:rPr>
      </w:pPr>
      <w:r w:rsidRPr="0085721F">
        <w:rPr>
          <w:rFonts w:cs="Times New Roman"/>
          <w:b/>
          <w:sz w:val="20"/>
          <w:szCs w:val="20"/>
          <w:lang w:val="fr-CA"/>
        </w:rPr>
        <w:fldChar w:fldCharType="begin"/>
      </w:r>
      <w:r w:rsidR="0085721F" w:rsidRPr="00317C2D">
        <w:rPr>
          <w:rFonts w:cs="Times New Roman"/>
          <w:b/>
          <w:sz w:val="20"/>
          <w:szCs w:val="20"/>
          <w:lang w:val="fr-CA"/>
        </w:rPr>
        <w:instrText xml:space="preserve"> SEQ CHAPTER \h \r 1</w:instrText>
      </w:r>
      <w:r w:rsidRPr="0085721F">
        <w:rPr>
          <w:rFonts w:cs="Times New Roman"/>
          <w:b/>
          <w:sz w:val="20"/>
          <w:szCs w:val="20"/>
          <w:lang w:val="fr-CA"/>
        </w:rPr>
        <w:fldChar w:fldCharType="end"/>
      </w:r>
      <w:r w:rsidR="0085721F" w:rsidRPr="00317C2D">
        <w:rPr>
          <w:rFonts w:cs="Times New Roman"/>
          <w:b/>
          <w:sz w:val="20"/>
          <w:szCs w:val="20"/>
          <w:lang w:val="fr-CA"/>
        </w:rPr>
        <w:t>34517</w:t>
      </w:r>
      <w:r w:rsidR="0085721F" w:rsidRPr="00317C2D">
        <w:rPr>
          <w:rFonts w:cs="Times New Roman"/>
          <w:sz w:val="20"/>
          <w:szCs w:val="20"/>
          <w:lang w:val="fr-CA"/>
        </w:rPr>
        <w:tab/>
      </w:r>
      <w:r w:rsidR="0085721F" w:rsidRPr="00317C2D">
        <w:rPr>
          <w:rFonts w:cs="Times New Roman"/>
          <w:b/>
          <w:i/>
          <w:sz w:val="20"/>
          <w:szCs w:val="20"/>
          <w:lang w:val="fr-CA"/>
        </w:rPr>
        <w:t>R</w:t>
      </w:r>
      <w:r w:rsidR="0085721F" w:rsidRPr="0085721F">
        <w:rPr>
          <w:rFonts w:cs="Times New Roman"/>
          <w:b/>
          <w:i/>
          <w:sz w:val="20"/>
          <w:szCs w:val="20"/>
          <w:lang w:val="fr-CA"/>
        </w:rPr>
        <w:t xml:space="preserve">obert Joseph </w:t>
      </w:r>
      <w:proofErr w:type="spellStart"/>
      <w:r w:rsidR="0085721F" w:rsidRPr="0085721F">
        <w:rPr>
          <w:rFonts w:cs="Times New Roman"/>
          <w:b/>
          <w:i/>
          <w:sz w:val="20"/>
          <w:szCs w:val="20"/>
          <w:lang w:val="fr-CA"/>
        </w:rPr>
        <w:t>Kociuk</w:t>
      </w:r>
      <w:proofErr w:type="spellEnd"/>
      <w:r w:rsidR="0085721F" w:rsidRPr="0085721F">
        <w:rPr>
          <w:rFonts w:cs="Times New Roman"/>
          <w:b/>
          <w:i/>
          <w:sz w:val="20"/>
          <w:szCs w:val="20"/>
          <w:lang w:val="fr-CA"/>
        </w:rPr>
        <w:t xml:space="preserve"> c. Sa Majesté la Reine</w:t>
      </w:r>
    </w:p>
    <w:p w:rsidR="0085721F" w:rsidRPr="0085721F" w:rsidRDefault="0085721F" w:rsidP="0085721F">
      <w:pPr>
        <w:widowControl w:val="0"/>
        <w:jc w:val="both"/>
        <w:rPr>
          <w:rFonts w:cs="Times New Roman"/>
          <w:sz w:val="20"/>
          <w:szCs w:val="20"/>
          <w:lang w:val="fr-CA"/>
        </w:rPr>
      </w:pPr>
    </w:p>
    <w:p w:rsidR="0085721F" w:rsidRPr="0085721F" w:rsidRDefault="0085721F" w:rsidP="0085721F">
      <w:pPr>
        <w:widowControl w:val="0"/>
        <w:jc w:val="both"/>
        <w:rPr>
          <w:rFonts w:cs="Times New Roman"/>
          <w:sz w:val="20"/>
          <w:szCs w:val="20"/>
          <w:lang w:val="fr-CA"/>
        </w:rPr>
      </w:pPr>
      <w:r w:rsidRPr="0085721F">
        <w:rPr>
          <w:rFonts w:cs="Times New Roman"/>
          <w:sz w:val="20"/>
          <w:szCs w:val="20"/>
          <w:lang w:val="fr-CA"/>
        </w:rPr>
        <w:t xml:space="preserve">Droit criminel </w:t>
      </w:r>
      <w:r w:rsidRPr="0085721F">
        <w:rPr>
          <w:rFonts w:cs="Times New Roman"/>
          <w:sz w:val="20"/>
          <w:szCs w:val="20"/>
          <w:lang w:val="fr-CA"/>
        </w:rPr>
        <w:noBreakHyphen/>
        <w:t xml:space="preserve"> Exposé au jury </w:t>
      </w:r>
      <w:r w:rsidRPr="0085721F">
        <w:rPr>
          <w:rFonts w:cs="Times New Roman"/>
          <w:sz w:val="20"/>
          <w:szCs w:val="20"/>
          <w:lang w:val="fr-CA"/>
        </w:rPr>
        <w:noBreakHyphen/>
        <w:t xml:space="preserve"> Meurtre commis en commettant une agression sexuelle </w:t>
      </w:r>
      <w:r w:rsidRPr="0085721F">
        <w:rPr>
          <w:rFonts w:cs="Times New Roman"/>
          <w:sz w:val="20"/>
          <w:szCs w:val="20"/>
          <w:lang w:val="fr-CA"/>
        </w:rPr>
        <w:noBreakHyphen/>
        <w:t xml:space="preserve"> Éléments de l'infraction </w:t>
      </w:r>
      <w:r w:rsidRPr="0085721F">
        <w:rPr>
          <w:rFonts w:cs="Times New Roman"/>
          <w:sz w:val="20"/>
          <w:szCs w:val="20"/>
          <w:lang w:val="fr-CA"/>
        </w:rPr>
        <w:noBreakHyphen/>
        <w:t xml:space="preserve"> Preuve </w:t>
      </w:r>
      <w:r w:rsidRPr="0085721F">
        <w:rPr>
          <w:rFonts w:cs="Times New Roman"/>
          <w:sz w:val="20"/>
          <w:szCs w:val="20"/>
          <w:lang w:val="fr-CA"/>
        </w:rPr>
        <w:noBreakHyphen/>
        <w:t xml:space="preserve"> Le juge du procès a</w:t>
      </w:r>
      <w:r w:rsidR="007E3F55">
        <w:rPr>
          <w:rFonts w:cs="Times New Roman"/>
          <w:sz w:val="20"/>
          <w:szCs w:val="20"/>
          <w:lang w:val="fr-CA"/>
        </w:rPr>
        <w:t>-</w:t>
      </w:r>
      <w:r w:rsidRPr="0085721F">
        <w:rPr>
          <w:rFonts w:cs="Times New Roman"/>
          <w:sz w:val="20"/>
          <w:szCs w:val="20"/>
          <w:lang w:val="fr-CA"/>
        </w:rPr>
        <w:t>t</w:t>
      </w:r>
      <w:r w:rsidR="007E3F55">
        <w:rPr>
          <w:rFonts w:cs="Times New Roman"/>
          <w:sz w:val="20"/>
          <w:szCs w:val="20"/>
          <w:lang w:val="fr-CA"/>
        </w:rPr>
        <w:t>-</w:t>
      </w:r>
      <w:r w:rsidRPr="0085721F">
        <w:rPr>
          <w:rFonts w:cs="Times New Roman"/>
          <w:sz w:val="20"/>
          <w:szCs w:val="20"/>
          <w:lang w:val="fr-CA"/>
        </w:rPr>
        <w:t xml:space="preserve">il eu tort de ne pas avoir adéquatement et équitablement lié la preuve aux éléments de l'infraction? </w:t>
      </w:r>
      <w:r w:rsidRPr="0085721F">
        <w:rPr>
          <w:rFonts w:cs="Times New Roman"/>
          <w:sz w:val="20"/>
          <w:szCs w:val="20"/>
          <w:lang w:val="fr-CA"/>
        </w:rPr>
        <w:noBreakHyphen/>
        <w:t xml:space="preserve"> Le juge du procès doit</w:t>
      </w:r>
      <w:r w:rsidR="007E3F55">
        <w:rPr>
          <w:rFonts w:cs="Times New Roman"/>
          <w:sz w:val="20"/>
          <w:szCs w:val="20"/>
          <w:lang w:val="fr-CA"/>
        </w:rPr>
        <w:t>-</w:t>
      </w:r>
      <w:r w:rsidRPr="0085721F">
        <w:rPr>
          <w:rFonts w:cs="Times New Roman"/>
          <w:sz w:val="20"/>
          <w:szCs w:val="20"/>
          <w:lang w:val="fr-CA"/>
        </w:rPr>
        <w:t>il exposer au jury tous les autres moyens de défense, même ceux sur lesquels l'avocat au procès n’a pas insisté?</w:t>
      </w:r>
    </w:p>
    <w:p w:rsidR="0085721F" w:rsidRPr="0085721F" w:rsidRDefault="0085721F" w:rsidP="0085721F">
      <w:pPr>
        <w:widowControl w:val="0"/>
        <w:jc w:val="both"/>
        <w:rPr>
          <w:rFonts w:cs="Times New Roman"/>
          <w:sz w:val="20"/>
          <w:szCs w:val="20"/>
          <w:lang w:val="fr-CA"/>
        </w:rPr>
      </w:pPr>
    </w:p>
    <w:p w:rsidR="0085721F" w:rsidRPr="0085721F" w:rsidRDefault="0085721F" w:rsidP="0085721F">
      <w:pPr>
        <w:widowControl w:val="0"/>
        <w:jc w:val="both"/>
        <w:rPr>
          <w:rFonts w:cs="Times New Roman"/>
          <w:sz w:val="20"/>
          <w:szCs w:val="20"/>
          <w:lang w:val="fr-CA"/>
        </w:rPr>
      </w:pPr>
      <w:r w:rsidRPr="0085721F">
        <w:rPr>
          <w:rFonts w:cs="Times New Roman"/>
          <w:sz w:val="20"/>
          <w:szCs w:val="20"/>
          <w:lang w:val="fr-CA"/>
        </w:rPr>
        <w:t>L'appelant a été accusé et déclaré coupable de meurtre au premier degré aux termes du par. 231(5) du</w:t>
      </w:r>
      <w:r w:rsidRPr="0085721F">
        <w:rPr>
          <w:rFonts w:cs="Times New Roman"/>
          <w:i/>
          <w:sz w:val="20"/>
          <w:szCs w:val="20"/>
          <w:lang w:val="fr-CA"/>
        </w:rPr>
        <w:t xml:space="preserve"> Code criminel</w:t>
      </w:r>
      <w:r w:rsidRPr="0085721F">
        <w:rPr>
          <w:rFonts w:cs="Times New Roman"/>
          <w:sz w:val="20"/>
          <w:szCs w:val="20"/>
          <w:lang w:val="fr-CA"/>
        </w:rPr>
        <w:t xml:space="preserve">, qui assimile à un meurtre au premier degré le meurtre que commet une personne en commettant une agression sexuelle, indépendamment de toute préméditation.  Le corps de la victime a été découvert dans un boisé et l'autopsie a révélé que le décès avait été causé par de nombreuses plaies par arme blanche, avec des éléments de preuve de rapports sexuels récents.  Il s’agissait d’un « vieux crime » de meurtre qui remontait à 1984, alors que la technique des empreintes génétiques en était encore au stade expérimental.  Avec le développement de la technologie des empreintes génétiques, une analyse d’empreintes génétiques a fini par être effectuée.  L'ADN correspondait à celui de l'appelant.  L'appelant a interjeté appel de sa condamnation.  Les juges majoritaires de la Cour d'appel ont rejeté l'appel.  La juge </w:t>
      </w:r>
      <w:proofErr w:type="spellStart"/>
      <w:r w:rsidRPr="0085721F">
        <w:rPr>
          <w:rFonts w:cs="Times New Roman"/>
          <w:sz w:val="20"/>
          <w:szCs w:val="20"/>
          <w:lang w:val="fr-CA"/>
        </w:rPr>
        <w:t>Beard</w:t>
      </w:r>
      <w:proofErr w:type="spellEnd"/>
      <w:r w:rsidRPr="0085721F">
        <w:rPr>
          <w:rFonts w:cs="Times New Roman"/>
          <w:sz w:val="20"/>
          <w:szCs w:val="20"/>
          <w:lang w:val="fr-CA"/>
        </w:rPr>
        <w:t xml:space="preserve">, dissidente, aurait accueilli l'appel et ordonné la tenue d'un nouveau procès au motif que la </w:t>
      </w:r>
      <w:r w:rsidRPr="0085721F">
        <w:rPr>
          <w:rFonts w:cs="Times New Roman"/>
          <w:sz w:val="20"/>
          <w:szCs w:val="20"/>
          <w:lang w:val="fr-CA"/>
        </w:rPr>
        <w:lastRenderedPageBreak/>
        <w:t xml:space="preserve">thèse de la défense n'avait pas été adéquatement présentée au jury. </w:t>
      </w:r>
    </w:p>
    <w:p w:rsidR="0085721F" w:rsidRPr="0085721F" w:rsidRDefault="0085721F" w:rsidP="0085721F">
      <w:pPr>
        <w:widowControl w:val="0"/>
        <w:jc w:val="both"/>
        <w:rPr>
          <w:rFonts w:cs="Times New Roman"/>
          <w:sz w:val="20"/>
          <w:szCs w:val="20"/>
          <w:lang w:val="fr-CA"/>
        </w:rPr>
      </w:pPr>
    </w:p>
    <w:p w:rsidR="0085721F" w:rsidRPr="0085721F" w:rsidRDefault="0085721F" w:rsidP="0085721F">
      <w:pPr>
        <w:widowControl w:val="0"/>
        <w:jc w:val="both"/>
        <w:rPr>
          <w:rFonts w:cs="Times New Roman"/>
          <w:sz w:val="20"/>
          <w:szCs w:val="20"/>
          <w:lang w:val="fr-CA"/>
        </w:rPr>
      </w:pPr>
    </w:p>
    <w:p w:rsidR="0085721F" w:rsidRPr="0085721F" w:rsidRDefault="0085721F" w:rsidP="0085721F">
      <w:pPr>
        <w:widowControl w:val="0"/>
        <w:jc w:val="both"/>
        <w:rPr>
          <w:rFonts w:cs="Times New Roman"/>
          <w:sz w:val="20"/>
          <w:szCs w:val="20"/>
          <w:lang w:val="fr-CA"/>
        </w:rPr>
      </w:pPr>
      <w:r w:rsidRPr="0085721F">
        <w:rPr>
          <w:rFonts w:cs="Times New Roman"/>
          <w:sz w:val="20"/>
          <w:szCs w:val="20"/>
          <w:lang w:val="fr-CA"/>
        </w:rPr>
        <w:t>Origine :</w:t>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00317C2D">
        <w:rPr>
          <w:rFonts w:cs="Times New Roman"/>
          <w:sz w:val="20"/>
          <w:szCs w:val="20"/>
          <w:lang w:val="fr-CA"/>
        </w:rPr>
        <w:tab/>
      </w:r>
      <w:r w:rsidRPr="0085721F">
        <w:rPr>
          <w:rFonts w:cs="Times New Roman"/>
          <w:sz w:val="20"/>
          <w:szCs w:val="20"/>
          <w:lang w:val="fr-CA"/>
        </w:rPr>
        <w:t>Manitoba</w:t>
      </w:r>
    </w:p>
    <w:p w:rsidR="0085721F" w:rsidRPr="0085721F" w:rsidRDefault="0085721F" w:rsidP="0085721F">
      <w:pPr>
        <w:widowControl w:val="0"/>
        <w:jc w:val="both"/>
        <w:rPr>
          <w:rFonts w:cs="Times New Roman"/>
          <w:sz w:val="20"/>
          <w:szCs w:val="20"/>
          <w:lang w:val="fr-CA"/>
        </w:rPr>
      </w:pPr>
    </w:p>
    <w:p w:rsidR="0085721F" w:rsidRPr="0085721F" w:rsidRDefault="0085721F" w:rsidP="0085721F">
      <w:pPr>
        <w:widowControl w:val="0"/>
        <w:jc w:val="both"/>
        <w:rPr>
          <w:rFonts w:cs="Times New Roman"/>
          <w:sz w:val="20"/>
          <w:szCs w:val="20"/>
          <w:lang w:val="fr-CA"/>
        </w:rPr>
      </w:pPr>
      <w:r w:rsidRPr="0085721F">
        <w:rPr>
          <w:rFonts w:cs="Times New Roman"/>
          <w:sz w:val="20"/>
          <w:szCs w:val="20"/>
          <w:lang w:val="fr-CA"/>
        </w:rPr>
        <w:t>N</w:t>
      </w:r>
      <w:r w:rsidRPr="0085721F">
        <w:rPr>
          <w:rFonts w:cs="Times New Roman"/>
          <w:sz w:val="20"/>
          <w:szCs w:val="20"/>
          <w:vertAlign w:val="superscript"/>
          <w:lang w:val="fr-CA"/>
        </w:rPr>
        <w:t>o</w:t>
      </w:r>
      <w:r w:rsidRPr="0085721F">
        <w:rPr>
          <w:rFonts w:cs="Times New Roman"/>
          <w:sz w:val="20"/>
          <w:szCs w:val="20"/>
          <w:lang w:val="fr-CA"/>
        </w:rPr>
        <w:t xml:space="preserve"> du greffe :</w:t>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t>34517</w:t>
      </w:r>
    </w:p>
    <w:p w:rsidR="0085721F" w:rsidRPr="0085721F" w:rsidRDefault="0085721F" w:rsidP="0085721F">
      <w:pPr>
        <w:widowControl w:val="0"/>
        <w:jc w:val="both"/>
        <w:rPr>
          <w:rFonts w:cs="Times New Roman"/>
          <w:sz w:val="20"/>
          <w:szCs w:val="20"/>
          <w:lang w:val="fr-CA"/>
        </w:rPr>
      </w:pPr>
    </w:p>
    <w:p w:rsidR="0085721F" w:rsidRPr="0085721F" w:rsidRDefault="0085721F" w:rsidP="0085721F">
      <w:pPr>
        <w:widowControl w:val="0"/>
        <w:jc w:val="both"/>
        <w:rPr>
          <w:rFonts w:cs="Times New Roman"/>
          <w:sz w:val="20"/>
          <w:szCs w:val="20"/>
          <w:lang w:val="fr-CA"/>
        </w:rPr>
      </w:pPr>
      <w:r w:rsidRPr="0085721F">
        <w:rPr>
          <w:rFonts w:cs="Times New Roman"/>
          <w:sz w:val="20"/>
          <w:szCs w:val="20"/>
          <w:lang w:val="fr-CA"/>
        </w:rPr>
        <w:t>Arrêt de la Cour d'appel :</w:t>
      </w:r>
      <w:r w:rsidRPr="0085721F">
        <w:rPr>
          <w:rFonts w:cs="Times New Roman"/>
          <w:sz w:val="20"/>
          <w:szCs w:val="20"/>
          <w:lang w:val="fr-CA"/>
        </w:rPr>
        <w:tab/>
      </w:r>
      <w:r w:rsidRPr="0085721F">
        <w:rPr>
          <w:rFonts w:cs="Times New Roman"/>
          <w:sz w:val="20"/>
          <w:szCs w:val="20"/>
          <w:lang w:val="fr-CA"/>
        </w:rPr>
        <w:tab/>
      </w:r>
      <w:r w:rsidR="00317C2D">
        <w:rPr>
          <w:rFonts w:cs="Times New Roman"/>
          <w:sz w:val="20"/>
          <w:szCs w:val="20"/>
          <w:lang w:val="fr-CA"/>
        </w:rPr>
        <w:tab/>
      </w:r>
      <w:r w:rsidRPr="0085721F">
        <w:rPr>
          <w:rFonts w:cs="Times New Roman"/>
          <w:sz w:val="20"/>
          <w:szCs w:val="20"/>
          <w:lang w:val="fr-CA"/>
        </w:rPr>
        <w:t>le 21 octobre 2011</w:t>
      </w:r>
    </w:p>
    <w:p w:rsidR="0085721F" w:rsidRPr="0085721F" w:rsidRDefault="0085721F" w:rsidP="0085721F">
      <w:pPr>
        <w:widowControl w:val="0"/>
        <w:jc w:val="both"/>
        <w:rPr>
          <w:rFonts w:cs="Times New Roman"/>
          <w:sz w:val="20"/>
          <w:szCs w:val="20"/>
          <w:lang w:val="fr-CA"/>
        </w:rPr>
      </w:pPr>
    </w:p>
    <w:p w:rsidR="0085721F" w:rsidRPr="0085721F" w:rsidRDefault="0085721F" w:rsidP="0085721F">
      <w:pPr>
        <w:widowControl w:val="0"/>
        <w:jc w:val="both"/>
        <w:rPr>
          <w:rFonts w:cs="Times New Roman"/>
          <w:sz w:val="20"/>
          <w:szCs w:val="20"/>
          <w:lang w:val="fr-CA"/>
        </w:rPr>
      </w:pPr>
      <w:r w:rsidRPr="0085721F">
        <w:rPr>
          <w:rFonts w:cs="Times New Roman"/>
          <w:sz w:val="20"/>
          <w:szCs w:val="20"/>
          <w:lang w:val="fr-CA"/>
        </w:rPr>
        <w:t>Avocats :</w:t>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t>Leonard J. W. Tailleur pour l'appelant</w:t>
      </w:r>
    </w:p>
    <w:p w:rsidR="0085721F" w:rsidRPr="008E7499" w:rsidRDefault="0085721F" w:rsidP="0085721F">
      <w:pPr>
        <w:widowControl w:val="0"/>
        <w:jc w:val="both"/>
        <w:rPr>
          <w:rFonts w:cs="Times New Roman"/>
          <w:sz w:val="20"/>
          <w:szCs w:val="20"/>
        </w:rPr>
      </w:pP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E7499">
        <w:rPr>
          <w:rFonts w:cs="Times New Roman"/>
          <w:sz w:val="20"/>
          <w:szCs w:val="20"/>
        </w:rPr>
        <w:t xml:space="preserve">Elizabeth Thomson pour </w:t>
      </w:r>
      <w:proofErr w:type="spellStart"/>
      <w:r w:rsidRPr="008E7499">
        <w:rPr>
          <w:rFonts w:cs="Times New Roman"/>
          <w:sz w:val="20"/>
          <w:szCs w:val="20"/>
        </w:rPr>
        <w:t>l'intimée</w:t>
      </w:r>
      <w:proofErr w:type="spellEnd"/>
    </w:p>
    <w:p w:rsidR="0085721F" w:rsidRPr="0085721F" w:rsidRDefault="0085721F" w:rsidP="0085721F">
      <w:pPr>
        <w:rPr>
          <w:rFonts w:cs="Times New Roman"/>
          <w:sz w:val="20"/>
          <w:szCs w:val="20"/>
          <w:lang w:val="en-CA"/>
        </w:rPr>
      </w:pPr>
    </w:p>
    <w:p w:rsidR="0085721F" w:rsidRPr="0085721F" w:rsidRDefault="0085721F" w:rsidP="0085721F">
      <w:pPr>
        <w:rPr>
          <w:rFonts w:cs="Times New Roman"/>
          <w:sz w:val="20"/>
          <w:szCs w:val="20"/>
          <w:lang w:val="en-CA"/>
        </w:rPr>
      </w:pPr>
    </w:p>
    <w:p w:rsidR="0085721F" w:rsidRPr="0085721F" w:rsidRDefault="00A148A3" w:rsidP="0085721F">
      <w:pPr>
        <w:widowControl w:val="0"/>
        <w:ind w:left="720" w:hanging="720"/>
        <w:jc w:val="both"/>
        <w:rPr>
          <w:rFonts w:cs="Times New Roman"/>
          <w:sz w:val="20"/>
          <w:szCs w:val="20"/>
          <w:lang w:val="en-CA"/>
        </w:rPr>
      </w:pPr>
      <w:r w:rsidRPr="00A148A3">
        <w:rPr>
          <w:rFonts w:cs="Times New Roman"/>
          <w:b/>
          <w:sz w:val="20"/>
          <w:szCs w:val="20"/>
          <w:lang w:val="en-CA"/>
        </w:rPr>
        <w:fldChar w:fldCharType="begin"/>
      </w:r>
      <w:r w:rsidR="0085721F" w:rsidRPr="0085721F">
        <w:rPr>
          <w:rFonts w:cs="Times New Roman"/>
          <w:b/>
          <w:sz w:val="20"/>
          <w:szCs w:val="20"/>
        </w:rPr>
        <w:instrText xml:space="preserve"> SEQ CHAPTER \h \r 1</w:instrText>
      </w:r>
      <w:r w:rsidRPr="0085721F">
        <w:rPr>
          <w:rFonts w:cs="Times New Roman"/>
          <w:b/>
          <w:sz w:val="20"/>
          <w:szCs w:val="20"/>
        </w:rPr>
        <w:fldChar w:fldCharType="end"/>
      </w:r>
      <w:proofErr w:type="gramStart"/>
      <w:r w:rsidR="0085721F" w:rsidRPr="0085721F">
        <w:rPr>
          <w:rFonts w:cs="Times New Roman"/>
          <w:b/>
          <w:sz w:val="20"/>
          <w:szCs w:val="20"/>
          <w:lang w:val="en-CA"/>
        </w:rPr>
        <w:t>34080</w:t>
      </w:r>
      <w:r w:rsidR="0085721F" w:rsidRPr="0085721F">
        <w:rPr>
          <w:rFonts w:cs="Times New Roman"/>
          <w:sz w:val="20"/>
          <w:szCs w:val="20"/>
          <w:lang w:val="en-CA"/>
        </w:rPr>
        <w:tab/>
      </w:r>
      <w:r w:rsidR="0085721F" w:rsidRPr="0085721F">
        <w:rPr>
          <w:rFonts w:cs="Times New Roman"/>
          <w:b/>
          <w:i/>
          <w:sz w:val="20"/>
          <w:szCs w:val="20"/>
          <w:lang w:val="en-CA"/>
        </w:rPr>
        <w:t xml:space="preserve">Adrian John </w:t>
      </w:r>
      <w:proofErr w:type="spellStart"/>
      <w:r w:rsidR="0085721F" w:rsidRPr="0085721F">
        <w:rPr>
          <w:rFonts w:cs="Times New Roman"/>
          <w:b/>
          <w:i/>
          <w:sz w:val="20"/>
          <w:szCs w:val="20"/>
          <w:lang w:val="en-CA"/>
        </w:rPr>
        <w:t>Walle</w:t>
      </w:r>
      <w:proofErr w:type="spellEnd"/>
      <w:r w:rsidR="0085721F" w:rsidRPr="0085721F">
        <w:rPr>
          <w:rFonts w:cs="Times New Roman"/>
          <w:b/>
          <w:i/>
          <w:sz w:val="20"/>
          <w:szCs w:val="20"/>
          <w:lang w:val="en-CA"/>
        </w:rPr>
        <w:t xml:space="preserve"> v.</w:t>
      </w:r>
      <w:proofErr w:type="gramEnd"/>
      <w:r w:rsidR="0085721F" w:rsidRPr="0085721F">
        <w:rPr>
          <w:rFonts w:cs="Times New Roman"/>
          <w:b/>
          <w:i/>
          <w:sz w:val="20"/>
          <w:szCs w:val="20"/>
          <w:lang w:val="en-CA"/>
        </w:rPr>
        <w:t xml:space="preserve"> Her Majesty the Queen</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r w:rsidRPr="0085721F">
        <w:rPr>
          <w:rFonts w:cs="Times New Roman"/>
          <w:sz w:val="20"/>
          <w:szCs w:val="20"/>
          <w:lang w:val="en-CA"/>
        </w:rPr>
        <w:t xml:space="preserve">Criminal law </w:t>
      </w:r>
      <w:r w:rsidRPr="0085721F">
        <w:rPr>
          <w:rFonts w:cs="Times New Roman"/>
          <w:sz w:val="20"/>
          <w:szCs w:val="20"/>
          <w:lang w:val="en-CA"/>
        </w:rPr>
        <w:noBreakHyphen/>
        <w:t xml:space="preserve"> Defences </w:t>
      </w:r>
      <w:r w:rsidRPr="0085721F">
        <w:rPr>
          <w:rFonts w:cs="Times New Roman"/>
          <w:sz w:val="20"/>
          <w:szCs w:val="20"/>
          <w:lang w:val="en-CA"/>
        </w:rPr>
        <w:noBreakHyphen/>
        <w:t xml:space="preserve"> Common sense inference </w:t>
      </w:r>
      <w:r w:rsidRPr="0085721F">
        <w:rPr>
          <w:rFonts w:cs="Times New Roman"/>
          <w:sz w:val="20"/>
          <w:szCs w:val="20"/>
          <w:lang w:val="en-CA"/>
        </w:rPr>
        <w:noBreakHyphen/>
        <w:t xml:space="preserve"> Whether the Court of Appeal erred in failing to find that the appellant’s developmental deficits and alcohol consumption must be considered before relying on the common sense inference that a sane and sober person intends the natural and probable consequence of his actions as proof beyond a reasonable doubt of intent for second degree murder. </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proofErr w:type="spellStart"/>
      <w:r w:rsidRPr="0085721F">
        <w:rPr>
          <w:rFonts w:cs="Times New Roman"/>
          <w:sz w:val="20"/>
          <w:szCs w:val="20"/>
          <w:lang w:val="en-CA"/>
        </w:rPr>
        <w:t>Walle</w:t>
      </w:r>
      <w:proofErr w:type="spellEnd"/>
      <w:r w:rsidRPr="0085721F">
        <w:rPr>
          <w:rFonts w:cs="Times New Roman"/>
          <w:sz w:val="20"/>
          <w:szCs w:val="20"/>
          <w:lang w:val="en-CA"/>
        </w:rPr>
        <w:t xml:space="preserve"> was convicted of the second degree murder of Jeffery </w:t>
      </w:r>
      <w:proofErr w:type="spellStart"/>
      <w:r w:rsidRPr="0085721F">
        <w:rPr>
          <w:rFonts w:cs="Times New Roman"/>
          <w:sz w:val="20"/>
          <w:szCs w:val="20"/>
          <w:lang w:val="en-CA"/>
        </w:rPr>
        <w:t>Shuckburgh</w:t>
      </w:r>
      <w:proofErr w:type="spellEnd"/>
      <w:r w:rsidRPr="0085721F">
        <w:rPr>
          <w:rFonts w:cs="Times New Roman"/>
          <w:sz w:val="20"/>
          <w:szCs w:val="20"/>
          <w:lang w:val="en-CA"/>
        </w:rPr>
        <w:t xml:space="preserve">.  He appealed on the basis that he should have instead been convicted of manslaughter.  </w:t>
      </w:r>
      <w:proofErr w:type="spellStart"/>
      <w:r w:rsidRPr="0085721F">
        <w:rPr>
          <w:rFonts w:cs="Times New Roman"/>
          <w:sz w:val="20"/>
          <w:szCs w:val="20"/>
          <w:lang w:val="en-CA"/>
        </w:rPr>
        <w:t>Walle</w:t>
      </w:r>
      <w:proofErr w:type="spellEnd"/>
      <w:r w:rsidRPr="0085721F">
        <w:rPr>
          <w:rFonts w:cs="Times New Roman"/>
          <w:sz w:val="20"/>
          <w:szCs w:val="20"/>
          <w:lang w:val="en-CA"/>
        </w:rPr>
        <w:t xml:space="preserve"> argued that the trial judge erred in inferring intent based on the “common</w:t>
      </w:r>
      <w:r w:rsidRPr="0085721F">
        <w:rPr>
          <w:rFonts w:cs="Times New Roman"/>
          <w:sz w:val="20"/>
          <w:szCs w:val="20"/>
          <w:lang w:val="en-CA"/>
        </w:rPr>
        <w:noBreakHyphen/>
        <w:t xml:space="preserve">sense” inference that a sane and sober person intends the natural and probable consequences of his actions.  The Court of Appeal found that evidence that </w:t>
      </w:r>
      <w:proofErr w:type="spellStart"/>
      <w:r w:rsidRPr="0085721F">
        <w:rPr>
          <w:rFonts w:cs="Times New Roman"/>
          <w:sz w:val="20"/>
          <w:szCs w:val="20"/>
          <w:lang w:val="en-CA"/>
        </w:rPr>
        <w:t>Walle</w:t>
      </w:r>
      <w:proofErr w:type="spellEnd"/>
      <w:r w:rsidRPr="0085721F">
        <w:rPr>
          <w:rFonts w:cs="Times New Roman"/>
          <w:sz w:val="20"/>
          <w:szCs w:val="20"/>
          <w:lang w:val="en-CA"/>
        </w:rPr>
        <w:t xml:space="preserve"> had recently been held in hospital under a mental health warrant, had developmental delays, and had been drinking to a point short of impairment before the killing was insufficient, in and of itself, to lend an air of reality to the argument that he may therefore have lacked the requisite intent to kill.  </w:t>
      </w:r>
      <w:proofErr w:type="spellStart"/>
      <w:r w:rsidRPr="0085721F">
        <w:rPr>
          <w:rFonts w:cs="Times New Roman"/>
          <w:sz w:val="20"/>
          <w:szCs w:val="20"/>
          <w:lang w:val="en-CA"/>
        </w:rPr>
        <w:t>Walle’s</w:t>
      </w:r>
      <w:proofErr w:type="spellEnd"/>
      <w:r w:rsidRPr="0085721F">
        <w:rPr>
          <w:rFonts w:cs="Times New Roman"/>
          <w:sz w:val="20"/>
          <w:szCs w:val="20"/>
          <w:lang w:val="en-CA"/>
        </w:rPr>
        <w:t xml:space="preserve"> appeal was dismissed.</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r w:rsidRPr="0085721F">
        <w:rPr>
          <w:rFonts w:cs="Times New Roman"/>
          <w:sz w:val="20"/>
          <w:szCs w:val="20"/>
          <w:lang w:val="en-CA"/>
        </w:rPr>
        <w:t>Origin of the case:</w:t>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t>Alberta</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r w:rsidRPr="0085721F">
        <w:rPr>
          <w:rFonts w:cs="Times New Roman"/>
          <w:sz w:val="20"/>
          <w:szCs w:val="20"/>
          <w:lang w:val="en-CA"/>
        </w:rPr>
        <w:t>File No.:</w:t>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r>
      <w:r w:rsidR="00317C2D">
        <w:rPr>
          <w:rFonts w:cs="Times New Roman"/>
          <w:sz w:val="20"/>
          <w:szCs w:val="20"/>
          <w:lang w:val="en-CA"/>
        </w:rPr>
        <w:tab/>
      </w:r>
      <w:r w:rsidRPr="0085721F">
        <w:rPr>
          <w:rFonts w:cs="Times New Roman"/>
          <w:sz w:val="20"/>
          <w:szCs w:val="20"/>
          <w:lang w:val="en-CA"/>
        </w:rPr>
        <w:t>34080</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r w:rsidRPr="0085721F">
        <w:rPr>
          <w:rFonts w:cs="Times New Roman"/>
          <w:sz w:val="20"/>
          <w:szCs w:val="20"/>
          <w:lang w:val="en-CA"/>
        </w:rPr>
        <w:t>Judgment of the Court of Appeal:</w:t>
      </w:r>
      <w:r w:rsidRPr="0085721F">
        <w:rPr>
          <w:rFonts w:cs="Times New Roman"/>
          <w:sz w:val="20"/>
          <w:szCs w:val="20"/>
          <w:lang w:val="en-CA"/>
        </w:rPr>
        <w:tab/>
      </w:r>
      <w:r w:rsidR="00317C2D">
        <w:rPr>
          <w:rFonts w:cs="Times New Roman"/>
          <w:sz w:val="20"/>
          <w:szCs w:val="20"/>
          <w:lang w:val="en-CA"/>
        </w:rPr>
        <w:tab/>
      </w:r>
      <w:r w:rsidRPr="0085721F">
        <w:rPr>
          <w:rFonts w:cs="Times New Roman"/>
          <w:sz w:val="20"/>
          <w:szCs w:val="20"/>
          <w:lang w:val="en-CA"/>
        </w:rPr>
        <w:t>December 13, 2010</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r w:rsidRPr="0085721F">
        <w:rPr>
          <w:rFonts w:cs="Times New Roman"/>
          <w:sz w:val="20"/>
          <w:szCs w:val="20"/>
          <w:lang w:val="en-CA"/>
        </w:rPr>
        <w:t>Counsel:</w:t>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r>
      <w:r w:rsidR="00317C2D">
        <w:rPr>
          <w:rFonts w:cs="Times New Roman"/>
          <w:sz w:val="20"/>
          <w:szCs w:val="20"/>
          <w:lang w:val="en-CA"/>
        </w:rPr>
        <w:tab/>
      </w:r>
      <w:r w:rsidRPr="0085721F">
        <w:rPr>
          <w:rFonts w:cs="Times New Roman"/>
          <w:sz w:val="20"/>
          <w:szCs w:val="20"/>
          <w:lang w:val="en-CA"/>
        </w:rPr>
        <w:t xml:space="preserve">Karen </w:t>
      </w:r>
      <w:proofErr w:type="spellStart"/>
      <w:r w:rsidRPr="0085721F">
        <w:rPr>
          <w:rFonts w:cs="Times New Roman"/>
          <w:sz w:val="20"/>
          <w:szCs w:val="20"/>
          <w:lang w:val="en-CA"/>
        </w:rPr>
        <w:t>Molle</w:t>
      </w:r>
      <w:proofErr w:type="spellEnd"/>
      <w:r w:rsidRPr="0085721F">
        <w:rPr>
          <w:rFonts w:cs="Times New Roman"/>
          <w:sz w:val="20"/>
          <w:szCs w:val="20"/>
          <w:lang w:val="en-CA"/>
        </w:rPr>
        <w:t xml:space="preserve"> and Jennifer </w:t>
      </w:r>
      <w:proofErr w:type="spellStart"/>
      <w:r w:rsidRPr="0085721F">
        <w:rPr>
          <w:rFonts w:cs="Times New Roman"/>
          <w:sz w:val="20"/>
          <w:szCs w:val="20"/>
          <w:lang w:val="en-CA"/>
        </w:rPr>
        <w:t>Ruttan</w:t>
      </w:r>
      <w:proofErr w:type="spellEnd"/>
      <w:r w:rsidRPr="0085721F">
        <w:rPr>
          <w:rFonts w:cs="Times New Roman"/>
          <w:sz w:val="20"/>
          <w:szCs w:val="20"/>
          <w:lang w:val="en-CA"/>
        </w:rPr>
        <w:t xml:space="preserve"> for the appellant</w:t>
      </w:r>
    </w:p>
    <w:p w:rsidR="0085721F" w:rsidRPr="00324AB5" w:rsidRDefault="0085721F" w:rsidP="0085721F">
      <w:pPr>
        <w:widowControl w:val="0"/>
        <w:jc w:val="both"/>
        <w:rPr>
          <w:rFonts w:cs="Times New Roman"/>
          <w:sz w:val="20"/>
          <w:szCs w:val="20"/>
          <w:lang w:val="fr-CA"/>
        </w:rPr>
      </w:pP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r>
      <w:proofErr w:type="spellStart"/>
      <w:r w:rsidRPr="00324AB5">
        <w:rPr>
          <w:rFonts w:cs="Times New Roman"/>
          <w:sz w:val="20"/>
          <w:szCs w:val="20"/>
          <w:lang w:val="fr-CA"/>
        </w:rPr>
        <w:t>Jolaine</w:t>
      </w:r>
      <w:proofErr w:type="spellEnd"/>
      <w:r w:rsidRPr="00324AB5">
        <w:rPr>
          <w:rFonts w:cs="Times New Roman"/>
          <w:sz w:val="20"/>
          <w:szCs w:val="20"/>
          <w:lang w:val="fr-CA"/>
        </w:rPr>
        <w:t xml:space="preserve"> Antonio for the </w:t>
      </w:r>
      <w:proofErr w:type="spellStart"/>
      <w:r w:rsidRPr="00324AB5">
        <w:rPr>
          <w:rFonts w:cs="Times New Roman"/>
          <w:sz w:val="20"/>
          <w:szCs w:val="20"/>
          <w:lang w:val="fr-CA"/>
        </w:rPr>
        <w:t>respondent</w:t>
      </w:r>
      <w:proofErr w:type="spellEnd"/>
    </w:p>
    <w:p w:rsidR="0085721F" w:rsidRPr="00324AB5" w:rsidRDefault="0085721F" w:rsidP="0085721F">
      <w:pPr>
        <w:rPr>
          <w:rFonts w:cs="Times New Roman"/>
          <w:sz w:val="20"/>
          <w:szCs w:val="20"/>
          <w:lang w:val="fr-CA"/>
        </w:rPr>
      </w:pPr>
    </w:p>
    <w:p w:rsidR="0085721F" w:rsidRPr="00324AB5" w:rsidRDefault="0085721F" w:rsidP="0085721F">
      <w:pPr>
        <w:rPr>
          <w:rFonts w:cs="Times New Roman"/>
          <w:sz w:val="20"/>
          <w:szCs w:val="20"/>
          <w:lang w:val="fr-CA"/>
        </w:rPr>
      </w:pPr>
    </w:p>
    <w:p w:rsidR="00317C2D" w:rsidRPr="0085721F" w:rsidRDefault="00317C2D" w:rsidP="00317C2D">
      <w:pPr>
        <w:pStyle w:val="SCCLsocParty"/>
        <w:rPr>
          <w:i/>
          <w:sz w:val="20"/>
          <w:szCs w:val="20"/>
          <w:lang w:val="fr-CA"/>
        </w:rPr>
      </w:pPr>
      <w:r w:rsidRPr="00317C2D">
        <w:rPr>
          <w:rStyle w:val="SCCFileNumberChar"/>
          <w:sz w:val="20"/>
          <w:szCs w:val="20"/>
          <w:lang w:val="fr-CA"/>
        </w:rPr>
        <w:t>34080</w:t>
      </w:r>
      <w:r w:rsidRPr="00317C2D">
        <w:rPr>
          <w:rFonts w:eastAsiaTheme="minorHAnsi"/>
          <w:b w:val="0"/>
          <w:bCs w:val="0"/>
          <w:sz w:val="20"/>
          <w:szCs w:val="20"/>
          <w:lang w:val="fr-CA"/>
        </w:rPr>
        <w:tab/>
      </w:r>
      <w:r w:rsidRPr="00317C2D">
        <w:rPr>
          <w:i/>
          <w:sz w:val="20"/>
          <w:szCs w:val="20"/>
          <w:lang w:val="fr-CA"/>
        </w:rPr>
        <w:t xml:space="preserve">Adrian John </w:t>
      </w:r>
      <w:proofErr w:type="spellStart"/>
      <w:r w:rsidRPr="00317C2D">
        <w:rPr>
          <w:i/>
          <w:sz w:val="20"/>
          <w:szCs w:val="20"/>
          <w:lang w:val="fr-CA"/>
        </w:rPr>
        <w:t>Wall</w:t>
      </w:r>
      <w:r w:rsidRPr="0085721F">
        <w:rPr>
          <w:i/>
          <w:sz w:val="20"/>
          <w:szCs w:val="20"/>
          <w:lang w:val="fr-CA"/>
        </w:rPr>
        <w:t>e</w:t>
      </w:r>
      <w:proofErr w:type="spellEnd"/>
      <w:r w:rsidRPr="0085721F">
        <w:rPr>
          <w:i/>
          <w:sz w:val="20"/>
          <w:szCs w:val="20"/>
          <w:lang w:val="fr-CA"/>
        </w:rPr>
        <w:t xml:space="preserve"> c. Sa Majesté la Reine</w:t>
      </w:r>
    </w:p>
    <w:p w:rsidR="00317C2D" w:rsidRPr="0085721F" w:rsidRDefault="00317C2D" w:rsidP="00317C2D">
      <w:pPr>
        <w:tabs>
          <w:tab w:val="left" w:pos="1009"/>
        </w:tabs>
        <w:ind w:left="2"/>
        <w:rPr>
          <w:rFonts w:cs="Times New Roman"/>
          <w:sz w:val="20"/>
          <w:szCs w:val="20"/>
          <w:lang w:val="fr-CA"/>
        </w:rPr>
      </w:pPr>
    </w:p>
    <w:p w:rsidR="00317C2D" w:rsidRPr="0085721F" w:rsidRDefault="00317C2D" w:rsidP="00246DDB">
      <w:pPr>
        <w:jc w:val="both"/>
        <w:rPr>
          <w:rFonts w:cs="Times New Roman"/>
          <w:sz w:val="20"/>
          <w:szCs w:val="20"/>
          <w:lang w:val="fr-CA"/>
        </w:rPr>
      </w:pPr>
      <w:r w:rsidRPr="0085721F">
        <w:rPr>
          <w:rFonts w:cs="Times New Roman"/>
          <w:sz w:val="20"/>
          <w:szCs w:val="20"/>
          <w:lang w:val="fr-CA"/>
        </w:rPr>
        <w:t xml:space="preserve">Droit criminel </w:t>
      </w:r>
      <w:r w:rsidRPr="0085721F">
        <w:rPr>
          <w:rFonts w:cs="Times New Roman"/>
          <w:sz w:val="20"/>
          <w:szCs w:val="20"/>
          <w:lang w:val="fr-CA"/>
        </w:rPr>
        <w:noBreakHyphen/>
        <w:t xml:space="preserve"> Moyens de défense </w:t>
      </w:r>
      <w:r w:rsidRPr="0085721F">
        <w:rPr>
          <w:rFonts w:cs="Times New Roman"/>
          <w:sz w:val="20"/>
          <w:szCs w:val="20"/>
          <w:lang w:val="fr-CA"/>
        </w:rPr>
        <w:noBreakHyphen/>
        <w:t xml:space="preserve"> Déduction conforme au bon sens </w:t>
      </w:r>
      <w:r w:rsidRPr="0085721F">
        <w:rPr>
          <w:rFonts w:cs="Times New Roman"/>
          <w:sz w:val="20"/>
          <w:szCs w:val="20"/>
          <w:lang w:val="fr-CA"/>
        </w:rPr>
        <w:noBreakHyphen/>
        <w:t xml:space="preserve"> La Cour d’appel </w:t>
      </w:r>
      <w:proofErr w:type="spellStart"/>
      <w:r w:rsidRPr="0085721F">
        <w:rPr>
          <w:rFonts w:cs="Times New Roman"/>
          <w:sz w:val="20"/>
          <w:szCs w:val="20"/>
          <w:lang w:val="fr-CA"/>
        </w:rPr>
        <w:t>a</w:t>
      </w:r>
      <w:r w:rsidRPr="0085721F">
        <w:rPr>
          <w:rFonts w:cs="Times New Roman"/>
          <w:sz w:val="20"/>
          <w:szCs w:val="20"/>
          <w:lang w:val="fr-CA"/>
        </w:rPr>
        <w:noBreakHyphen/>
        <w:t>t</w:t>
      </w:r>
      <w:r w:rsidRPr="0085721F">
        <w:rPr>
          <w:rFonts w:cs="Times New Roman"/>
          <w:sz w:val="20"/>
          <w:szCs w:val="20"/>
          <w:lang w:val="fr-CA"/>
        </w:rPr>
        <w:noBreakHyphen/>
        <w:t>elle</w:t>
      </w:r>
      <w:proofErr w:type="spellEnd"/>
      <w:r w:rsidRPr="0085721F">
        <w:rPr>
          <w:rFonts w:cs="Times New Roman"/>
          <w:sz w:val="20"/>
          <w:szCs w:val="20"/>
          <w:lang w:val="fr-CA"/>
        </w:rPr>
        <w:t xml:space="preserve"> eu tort de conclure que les troubles de développement de l’appelant et sa consommation d’alcool doivent être pris en considération avant de se fonder sur une déduction conforme au bon sens qu’une personne saine et sobre veut les conséquences naturelles et probables de ses actes comme preuve hors de tout doute de l’intention de commettre un meurtre au deuxième degré. </w:t>
      </w:r>
    </w:p>
    <w:p w:rsidR="00317C2D" w:rsidRPr="0085721F" w:rsidRDefault="00317C2D" w:rsidP="00246DDB">
      <w:pPr>
        <w:ind w:left="2"/>
        <w:jc w:val="both"/>
        <w:rPr>
          <w:rFonts w:cs="Times New Roman"/>
          <w:sz w:val="20"/>
          <w:szCs w:val="20"/>
          <w:lang w:val="fr-CA"/>
        </w:rPr>
      </w:pPr>
    </w:p>
    <w:p w:rsidR="00317C2D" w:rsidRPr="0085721F" w:rsidRDefault="00317C2D" w:rsidP="00246DDB">
      <w:pPr>
        <w:jc w:val="both"/>
        <w:rPr>
          <w:rFonts w:cs="Times New Roman"/>
          <w:sz w:val="20"/>
          <w:szCs w:val="20"/>
          <w:lang w:val="fr-CA"/>
        </w:rPr>
      </w:pPr>
      <w:r w:rsidRPr="0085721F">
        <w:rPr>
          <w:rFonts w:cs="Times New Roman"/>
          <w:sz w:val="20"/>
          <w:szCs w:val="20"/>
          <w:lang w:val="fr-CA"/>
        </w:rPr>
        <w:t xml:space="preserve">Monsieur </w:t>
      </w:r>
      <w:proofErr w:type="spellStart"/>
      <w:r w:rsidRPr="0085721F">
        <w:rPr>
          <w:rFonts w:cs="Times New Roman"/>
          <w:sz w:val="20"/>
          <w:szCs w:val="20"/>
          <w:lang w:val="fr-CA"/>
        </w:rPr>
        <w:t>Walle</w:t>
      </w:r>
      <w:proofErr w:type="spellEnd"/>
      <w:r w:rsidRPr="0085721F">
        <w:rPr>
          <w:rFonts w:cs="Times New Roman"/>
          <w:sz w:val="20"/>
          <w:szCs w:val="20"/>
          <w:lang w:val="fr-CA"/>
        </w:rPr>
        <w:t xml:space="preserve"> a été déclaré coupable du meurtre au deuxième degré de </w:t>
      </w:r>
      <w:proofErr w:type="spellStart"/>
      <w:r w:rsidRPr="0085721F">
        <w:rPr>
          <w:rFonts w:cs="Times New Roman"/>
          <w:sz w:val="20"/>
          <w:szCs w:val="20"/>
          <w:lang w:val="fr-CA"/>
        </w:rPr>
        <w:t>Jeffery</w:t>
      </w:r>
      <w:proofErr w:type="spellEnd"/>
      <w:r w:rsidRPr="0085721F">
        <w:rPr>
          <w:rFonts w:cs="Times New Roman"/>
          <w:sz w:val="20"/>
          <w:szCs w:val="20"/>
          <w:lang w:val="fr-CA"/>
        </w:rPr>
        <w:t xml:space="preserve"> </w:t>
      </w:r>
      <w:proofErr w:type="spellStart"/>
      <w:r w:rsidRPr="0085721F">
        <w:rPr>
          <w:rFonts w:cs="Times New Roman"/>
          <w:sz w:val="20"/>
          <w:szCs w:val="20"/>
          <w:lang w:val="fr-CA"/>
        </w:rPr>
        <w:t>Shuckburgh</w:t>
      </w:r>
      <w:proofErr w:type="spellEnd"/>
      <w:r w:rsidRPr="0085721F">
        <w:rPr>
          <w:rFonts w:cs="Times New Roman"/>
          <w:sz w:val="20"/>
          <w:szCs w:val="20"/>
          <w:lang w:val="fr-CA"/>
        </w:rPr>
        <w:t xml:space="preserve">.   Il a interjeté appel, plaidant qu’il aurait plutôt dû être déclaré coupable d’homicide involontaire coupable.  Monsieur </w:t>
      </w:r>
      <w:proofErr w:type="spellStart"/>
      <w:r w:rsidRPr="0085721F">
        <w:rPr>
          <w:rFonts w:cs="Times New Roman"/>
          <w:sz w:val="20"/>
          <w:szCs w:val="20"/>
          <w:lang w:val="fr-CA"/>
        </w:rPr>
        <w:t>Walle</w:t>
      </w:r>
      <w:proofErr w:type="spellEnd"/>
      <w:r w:rsidRPr="0085721F">
        <w:rPr>
          <w:rFonts w:cs="Times New Roman"/>
          <w:sz w:val="20"/>
          <w:szCs w:val="20"/>
          <w:lang w:val="fr-CA"/>
        </w:rPr>
        <w:t xml:space="preserve"> a plaidé que le juge du procès avait eu tort d’inférer une intention en s’appuyant sur la déduction « conforme au bon sens » qu’une personne saine et sobre veut les conséquences naturelles et probables de ses actes.  La Cour d’appel a conclu que la preuve selon laquelle M. </w:t>
      </w:r>
      <w:proofErr w:type="spellStart"/>
      <w:r w:rsidRPr="0085721F">
        <w:rPr>
          <w:rFonts w:cs="Times New Roman"/>
          <w:sz w:val="20"/>
          <w:szCs w:val="20"/>
          <w:lang w:val="fr-CA"/>
        </w:rPr>
        <w:t>Walle</w:t>
      </w:r>
      <w:proofErr w:type="spellEnd"/>
      <w:r w:rsidRPr="0085721F">
        <w:rPr>
          <w:rFonts w:cs="Times New Roman"/>
          <w:sz w:val="20"/>
          <w:szCs w:val="20"/>
          <w:lang w:val="fr-CA"/>
        </w:rPr>
        <w:t xml:space="preserve"> avait été récemment hospitalisé en vertu d’un mandat de santé mentale, qu’il avait des retards de développement et qu’il avait bu presque au point d’être ivre avant l’homicide était insuffisante à elle seule pour conférer vraisemblance à l’argument selon lequel il n’avait </w:t>
      </w:r>
      <w:proofErr w:type="spellStart"/>
      <w:r w:rsidRPr="0085721F">
        <w:rPr>
          <w:rFonts w:cs="Times New Roman"/>
          <w:sz w:val="20"/>
          <w:szCs w:val="20"/>
          <w:lang w:val="fr-CA"/>
        </w:rPr>
        <w:t>peut</w:t>
      </w:r>
      <w:r w:rsidRPr="0085721F">
        <w:rPr>
          <w:rFonts w:cs="Times New Roman"/>
          <w:sz w:val="20"/>
          <w:szCs w:val="20"/>
          <w:lang w:val="fr-CA"/>
        </w:rPr>
        <w:noBreakHyphen/>
        <w:t>être</w:t>
      </w:r>
      <w:proofErr w:type="spellEnd"/>
      <w:r w:rsidRPr="0085721F">
        <w:rPr>
          <w:rFonts w:cs="Times New Roman"/>
          <w:sz w:val="20"/>
          <w:szCs w:val="20"/>
          <w:lang w:val="fr-CA"/>
        </w:rPr>
        <w:t xml:space="preserve"> donc pas eu l’intention requise pour tuer.  L’appel de M. </w:t>
      </w:r>
      <w:proofErr w:type="spellStart"/>
      <w:r w:rsidRPr="0085721F">
        <w:rPr>
          <w:rFonts w:cs="Times New Roman"/>
          <w:sz w:val="20"/>
          <w:szCs w:val="20"/>
          <w:lang w:val="fr-CA"/>
        </w:rPr>
        <w:t>Walle</w:t>
      </w:r>
      <w:proofErr w:type="spellEnd"/>
      <w:r w:rsidRPr="0085721F">
        <w:rPr>
          <w:rFonts w:cs="Times New Roman"/>
          <w:sz w:val="20"/>
          <w:szCs w:val="20"/>
          <w:lang w:val="fr-CA"/>
        </w:rPr>
        <w:t xml:space="preserve"> a été rejeté.</w:t>
      </w:r>
    </w:p>
    <w:p w:rsidR="00317C2D" w:rsidRPr="0085721F" w:rsidRDefault="00317C2D" w:rsidP="00317C2D">
      <w:pPr>
        <w:rPr>
          <w:rFonts w:cs="Times New Roman"/>
          <w:sz w:val="20"/>
          <w:szCs w:val="20"/>
          <w:lang w:val="fr-CA"/>
        </w:rPr>
      </w:pPr>
    </w:p>
    <w:p w:rsidR="00317C2D" w:rsidRPr="0085721F" w:rsidRDefault="00317C2D" w:rsidP="00317C2D">
      <w:pPr>
        <w:ind w:left="2"/>
        <w:rPr>
          <w:rFonts w:cs="Times New Roman"/>
          <w:sz w:val="20"/>
          <w:szCs w:val="20"/>
          <w:lang w:val="fr-CA"/>
        </w:rPr>
      </w:pPr>
    </w:p>
    <w:p w:rsidR="0085721F" w:rsidRPr="0085721F" w:rsidRDefault="0085721F" w:rsidP="0085721F">
      <w:pPr>
        <w:rPr>
          <w:rFonts w:cs="Times New Roman"/>
          <w:sz w:val="20"/>
          <w:szCs w:val="20"/>
          <w:lang w:val="fr-CA"/>
        </w:rPr>
      </w:pPr>
      <w:r w:rsidRPr="0085721F">
        <w:rPr>
          <w:rFonts w:cs="Times New Roman"/>
          <w:sz w:val="20"/>
          <w:szCs w:val="20"/>
          <w:lang w:val="fr-CA"/>
        </w:rPr>
        <w:t>Origine de la cause :</w:t>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t>Alberta</w:t>
      </w:r>
    </w:p>
    <w:p w:rsidR="0085721F" w:rsidRPr="0085721F" w:rsidRDefault="0085721F" w:rsidP="0085721F">
      <w:pPr>
        <w:rPr>
          <w:rFonts w:cs="Times New Roman"/>
          <w:sz w:val="20"/>
          <w:szCs w:val="20"/>
          <w:lang w:val="fr-CA"/>
        </w:rPr>
      </w:pPr>
    </w:p>
    <w:p w:rsidR="0085721F" w:rsidRPr="0085721F" w:rsidRDefault="0085721F" w:rsidP="0085721F">
      <w:pPr>
        <w:rPr>
          <w:rFonts w:cs="Times New Roman"/>
          <w:sz w:val="20"/>
          <w:szCs w:val="20"/>
          <w:lang w:val="fr-CA"/>
        </w:rPr>
      </w:pPr>
      <w:r w:rsidRPr="0085721F">
        <w:rPr>
          <w:rFonts w:cs="Times New Roman"/>
          <w:sz w:val="20"/>
          <w:szCs w:val="20"/>
          <w:lang w:val="fr-CA"/>
        </w:rPr>
        <w:t>N</w:t>
      </w:r>
      <w:r w:rsidRPr="0085721F">
        <w:rPr>
          <w:rFonts w:cs="Times New Roman"/>
          <w:sz w:val="20"/>
          <w:szCs w:val="20"/>
          <w:vertAlign w:val="superscript"/>
          <w:lang w:val="fr-CA"/>
        </w:rPr>
        <w:t>o</w:t>
      </w:r>
      <w:r w:rsidRPr="0085721F">
        <w:rPr>
          <w:rFonts w:cs="Times New Roman"/>
          <w:sz w:val="20"/>
          <w:szCs w:val="20"/>
          <w:lang w:val="fr-CA"/>
        </w:rPr>
        <w:t xml:space="preserve"> du greffe :</w:t>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t>34080</w:t>
      </w:r>
    </w:p>
    <w:p w:rsidR="0085721F" w:rsidRPr="0085721F" w:rsidRDefault="0085721F" w:rsidP="0085721F">
      <w:pPr>
        <w:rPr>
          <w:rFonts w:cs="Times New Roman"/>
          <w:sz w:val="20"/>
          <w:szCs w:val="20"/>
          <w:lang w:val="fr-CA"/>
        </w:rPr>
      </w:pPr>
    </w:p>
    <w:p w:rsidR="0085721F" w:rsidRPr="0085721F" w:rsidRDefault="0085721F" w:rsidP="0085721F">
      <w:pPr>
        <w:rPr>
          <w:rFonts w:cs="Times New Roman"/>
          <w:sz w:val="20"/>
          <w:szCs w:val="20"/>
          <w:lang w:val="fr-CA"/>
        </w:rPr>
      </w:pPr>
      <w:r w:rsidRPr="0085721F">
        <w:rPr>
          <w:rFonts w:cs="Times New Roman"/>
          <w:sz w:val="20"/>
          <w:szCs w:val="20"/>
          <w:lang w:val="fr-CA"/>
        </w:rPr>
        <w:t>Jugement de la Cour d’appel :</w:t>
      </w:r>
      <w:r w:rsidRPr="0085721F">
        <w:rPr>
          <w:rFonts w:cs="Times New Roman"/>
          <w:sz w:val="20"/>
          <w:szCs w:val="20"/>
          <w:lang w:val="fr-CA"/>
        </w:rPr>
        <w:tab/>
      </w:r>
      <w:r w:rsidR="00317C2D">
        <w:rPr>
          <w:rFonts w:cs="Times New Roman"/>
          <w:sz w:val="20"/>
          <w:szCs w:val="20"/>
          <w:lang w:val="fr-CA"/>
        </w:rPr>
        <w:tab/>
      </w:r>
      <w:r w:rsidRPr="0085721F">
        <w:rPr>
          <w:rFonts w:cs="Times New Roman"/>
          <w:sz w:val="20"/>
          <w:szCs w:val="20"/>
          <w:lang w:val="fr-CA"/>
        </w:rPr>
        <w:t>13 décembre 2010</w:t>
      </w:r>
    </w:p>
    <w:p w:rsidR="0085721F" w:rsidRPr="0085721F" w:rsidRDefault="0085721F" w:rsidP="0085721F">
      <w:pPr>
        <w:rPr>
          <w:rFonts w:cs="Times New Roman"/>
          <w:sz w:val="20"/>
          <w:szCs w:val="20"/>
          <w:lang w:val="fr-CA"/>
        </w:rPr>
      </w:pPr>
    </w:p>
    <w:p w:rsidR="0085721F" w:rsidRPr="0085721F" w:rsidRDefault="0085721F" w:rsidP="0085721F">
      <w:pPr>
        <w:rPr>
          <w:rFonts w:cs="Times New Roman"/>
          <w:sz w:val="20"/>
          <w:szCs w:val="20"/>
          <w:lang w:val="fr-CA"/>
        </w:rPr>
      </w:pPr>
      <w:r w:rsidRPr="0085721F">
        <w:rPr>
          <w:rFonts w:cs="Times New Roman"/>
          <w:sz w:val="20"/>
          <w:szCs w:val="20"/>
          <w:lang w:val="fr-CA"/>
        </w:rPr>
        <w:t>Avocates :</w:t>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t xml:space="preserve">Karen Molle et Jennifer </w:t>
      </w:r>
      <w:proofErr w:type="spellStart"/>
      <w:r w:rsidRPr="0085721F">
        <w:rPr>
          <w:rFonts w:cs="Times New Roman"/>
          <w:sz w:val="20"/>
          <w:szCs w:val="20"/>
          <w:lang w:val="fr-CA"/>
        </w:rPr>
        <w:t>Ruttan</w:t>
      </w:r>
      <w:proofErr w:type="spellEnd"/>
      <w:r w:rsidRPr="0085721F">
        <w:rPr>
          <w:rFonts w:cs="Times New Roman"/>
          <w:sz w:val="20"/>
          <w:szCs w:val="20"/>
          <w:lang w:val="fr-CA"/>
        </w:rPr>
        <w:t xml:space="preserve"> pour l’appelant</w:t>
      </w:r>
    </w:p>
    <w:p w:rsidR="0085721F" w:rsidRPr="0085721F" w:rsidRDefault="0085721F" w:rsidP="0085721F">
      <w:pPr>
        <w:rPr>
          <w:rFonts w:cs="Times New Roman"/>
          <w:sz w:val="20"/>
          <w:szCs w:val="20"/>
          <w:lang w:val="fr-CA"/>
        </w:rPr>
      </w:pP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proofErr w:type="spellStart"/>
      <w:r w:rsidRPr="0085721F">
        <w:rPr>
          <w:rFonts w:cs="Times New Roman"/>
          <w:sz w:val="20"/>
          <w:szCs w:val="20"/>
          <w:lang w:val="fr-CA"/>
        </w:rPr>
        <w:t>Jolaine</w:t>
      </w:r>
      <w:proofErr w:type="spellEnd"/>
      <w:r w:rsidRPr="0085721F">
        <w:rPr>
          <w:rFonts w:cs="Times New Roman"/>
          <w:sz w:val="20"/>
          <w:szCs w:val="20"/>
          <w:lang w:val="fr-CA"/>
        </w:rPr>
        <w:t xml:space="preserve"> Antonio pour l’intimée</w:t>
      </w:r>
    </w:p>
    <w:p w:rsidR="0085721F" w:rsidRPr="00324AB5" w:rsidRDefault="0085721F" w:rsidP="0085721F">
      <w:pPr>
        <w:rPr>
          <w:rFonts w:cs="Times New Roman"/>
          <w:sz w:val="20"/>
          <w:szCs w:val="20"/>
          <w:lang w:val="fr-CA"/>
        </w:rPr>
      </w:pPr>
    </w:p>
    <w:p w:rsidR="0085721F" w:rsidRPr="00324AB5" w:rsidRDefault="0085721F" w:rsidP="0085721F">
      <w:pPr>
        <w:rPr>
          <w:rFonts w:cs="Times New Roman"/>
          <w:sz w:val="20"/>
          <w:szCs w:val="20"/>
          <w:lang w:val="fr-CA"/>
        </w:rPr>
      </w:pPr>
    </w:p>
    <w:p w:rsidR="0085721F" w:rsidRPr="008E7499" w:rsidRDefault="00A148A3" w:rsidP="0085721F">
      <w:pPr>
        <w:widowControl w:val="0"/>
        <w:ind w:left="720" w:hanging="720"/>
        <w:jc w:val="both"/>
        <w:rPr>
          <w:rFonts w:cs="Times New Roman"/>
          <w:sz w:val="20"/>
          <w:szCs w:val="20"/>
        </w:rPr>
      </w:pPr>
      <w:r w:rsidRPr="0085721F">
        <w:rPr>
          <w:rFonts w:cs="Times New Roman"/>
          <w:b/>
          <w:sz w:val="20"/>
          <w:szCs w:val="20"/>
          <w:lang w:val="en-CA"/>
        </w:rPr>
        <w:fldChar w:fldCharType="begin"/>
      </w:r>
      <w:r w:rsidR="0085721F" w:rsidRPr="008E7499">
        <w:rPr>
          <w:rFonts w:cs="Times New Roman"/>
          <w:b/>
          <w:sz w:val="20"/>
          <w:szCs w:val="20"/>
        </w:rPr>
        <w:instrText xml:space="preserve"> SEQ CHAPTER \h \r 1</w:instrText>
      </w:r>
      <w:r w:rsidRPr="0085721F">
        <w:rPr>
          <w:rFonts w:cs="Times New Roman"/>
          <w:b/>
          <w:sz w:val="20"/>
          <w:szCs w:val="20"/>
          <w:lang w:val="en-CA"/>
        </w:rPr>
        <w:fldChar w:fldCharType="end"/>
      </w:r>
      <w:r w:rsidR="0085721F" w:rsidRPr="008E7499">
        <w:rPr>
          <w:rFonts w:cs="Times New Roman"/>
          <w:b/>
          <w:sz w:val="20"/>
          <w:szCs w:val="20"/>
        </w:rPr>
        <w:t>34523</w:t>
      </w:r>
      <w:r w:rsidR="0085721F" w:rsidRPr="008E7499">
        <w:rPr>
          <w:rFonts w:cs="Times New Roman"/>
          <w:sz w:val="20"/>
          <w:szCs w:val="20"/>
        </w:rPr>
        <w:tab/>
      </w:r>
      <w:r w:rsidR="0085721F" w:rsidRPr="008E7499">
        <w:rPr>
          <w:rFonts w:cs="Times New Roman"/>
          <w:b/>
          <w:i/>
          <w:sz w:val="20"/>
          <w:szCs w:val="20"/>
        </w:rPr>
        <w:t xml:space="preserve">Her Majesty the Queen v. Carmelo </w:t>
      </w:r>
      <w:proofErr w:type="spellStart"/>
      <w:r w:rsidR="0085721F" w:rsidRPr="008E7499">
        <w:rPr>
          <w:rFonts w:cs="Times New Roman"/>
          <w:b/>
          <w:i/>
          <w:sz w:val="20"/>
          <w:szCs w:val="20"/>
        </w:rPr>
        <w:t>Venneri</w:t>
      </w:r>
      <w:proofErr w:type="spellEnd"/>
    </w:p>
    <w:p w:rsidR="0085721F" w:rsidRPr="008E7499" w:rsidRDefault="0085721F" w:rsidP="0085721F">
      <w:pPr>
        <w:widowControl w:val="0"/>
        <w:jc w:val="both"/>
        <w:rPr>
          <w:rFonts w:cs="Times New Roman"/>
          <w:sz w:val="20"/>
          <w:szCs w:val="20"/>
        </w:rPr>
      </w:pPr>
    </w:p>
    <w:p w:rsidR="0085721F" w:rsidRPr="0085721F" w:rsidRDefault="0085721F" w:rsidP="0085721F">
      <w:pPr>
        <w:widowControl w:val="0"/>
        <w:jc w:val="both"/>
        <w:rPr>
          <w:rFonts w:cs="Times New Roman"/>
          <w:sz w:val="20"/>
          <w:szCs w:val="20"/>
          <w:lang w:val="en-CA"/>
        </w:rPr>
      </w:pPr>
      <w:r w:rsidRPr="0085721F">
        <w:rPr>
          <w:rFonts w:cs="Times New Roman"/>
          <w:sz w:val="20"/>
          <w:szCs w:val="20"/>
          <w:lang w:val="en-CA"/>
        </w:rPr>
        <w:t xml:space="preserve">Criminal law - Reasonable verdict - Offences - Elements of offence - Offence for benefit of criminal organization - Interpretation of expression “criminal organization” used in s. 467.1 of </w:t>
      </w:r>
      <w:r w:rsidRPr="0085721F">
        <w:rPr>
          <w:rFonts w:cs="Times New Roman"/>
          <w:i/>
          <w:sz w:val="20"/>
          <w:szCs w:val="20"/>
          <w:lang w:val="en-CA"/>
        </w:rPr>
        <w:t xml:space="preserve">Criminal Code </w:t>
      </w:r>
      <w:r w:rsidRPr="0085721F">
        <w:rPr>
          <w:rFonts w:cs="Times New Roman"/>
          <w:sz w:val="20"/>
          <w:szCs w:val="20"/>
          <w:lang w:val="en-CA"/>
        </w:rPr>
        <w:t>- Whether verdicts reached by trial judge were unreasonable.</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r w:rsidRPr="0085721F">
        <w:rPr>
          <w:rFonts w:cs="Times New Roman"/>
          <w:sz w:val="20"/>
          <w:szCs w:val="20"/>
          <w:lang w:val="en-CA"/>
        </w:rPr>
        <w:t xml:space="preserve">The respondent and </w:t>
      </w:r>
      <w:proofErr w:type="gramStart"/>
      <w:r w:rsidRPr="0085721F">
        <w:rPr>
          <w:rFonts w:cs="Times New Roman"/>
          <w:sz w:val="20"/>
          <w:szCs w:val="20"/>
          <w:lang w:val="en-CA"/>
        </w:rPr>
        <w:t>two co-accused</w:t>
      </w:r>
      <w:proofErr w:type="gramEnd"/>
      <w:r w:rsidRPr="0085721F">
        <w:rPr>
          <w:rFonts w:cs="Times New Roman"/>
          <w:sz w:val="20"/>
          <w:szCs w:val="20"/>
          <w:lang w:val="en-CA"/>
        </w:rPr>
        <w:t xml:space="preserve"> were convicted of numerous joint and individual charges related to trafficking in narcotics for the benefit of a criminal organization.  The majority of the Court of Appeal allowed the respondent’s appeal against the convictions in part, finding him not guilty of the offences of trafficking in narcotics for the benefit of a criminal organization, possession for the purposes of trafficking, and instructing a person to commit an indictable offence while he himself was one of the persons who constituted a criminal organization.  The Court of Appeal also granted a conditional stay of proceedings with respect to the offence of possession of a restricted firearm without a licence.  Duval </w:t>
      </w:r>
      <w:proofErr w:type="spellStart"/>
      <w:r w:rsidRPr="0085721F">
        <w:rPr>
          <w:rFonts w:cs="Times New Roman"/>
          <w:sz w:val="20"/>
          <w:szCs w:val="20"/>
          <w:lang w:val="en-CA"/>
        </w:rPr>
        <w:t>Hesler</w:t>
      </w:r>
      <w:proofErr w:type="spellEnd"/>
      <w:r w:rsidRPr="0085721F">
        <w:rPr>
          <w:rFonts w:cs="Times New Roman"/>
          <w:sz w:val="20"/>
          <w:szCs w:val="20"/>
          <w:lang w:val="en-CA"/>
        </w:rPr>
        <w:t xml:space="preserve"> J., dissenting, would have dismissed the appeal.</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r w:rsidRPr="0085721F">
        <w:rPr>
          <w:rFonts w:cs="Times New Roman"/>
          <w:sz w:val="20"/>
          <w:szCs w:val="20"/>
          <w:lang w:val="en-CA"/>
        </w:rPr>
        <w:t>Origin of the case:</w:t>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t>Quebec</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r w:rsidRPr="0085721F">
        <w:rPr>
          <w:rFonts w:cs="Times New Roman"/>
          <w:sz w:val="20"/>
          <w:szCs w:val="20"/>
          <w:lang w:val="en-CA"/>
        </w:rPr>
        <w:t>File No.:</w:t>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r>
      <w:r w:rsidR="003C6AC4">
        <w:rPr>
          <w:rFonts w:cs="Times New Roman"/>
          <w:sz w:val="20"/>
          <w:szCs w:val="20"/>
          <w:lang w:val="en-CA"/>
        </w:rPr>
        <w:tab/>
      </w:r>
      <w:r w:rsidRPr="0085721F">
        <w:rPr>
          <w:rFonts w:cs="Times New Roman"/>
          <w:sz w:val="20"/>
          <w:szCs w:val="20"/>
          <w:lang w:val="en-CA"/>
        </w:rPr>
        <w:t>34523</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r w:rsidRPr="0085721F">
        <w:rPr>
          <w:rFonts w:cs="Times New Roman"/>
          <w:sz w:val="20"/>
          <w:szCs w:val="20"/>
          <w:lang w:val="en-CA"/>
        </w:rPr>
        <w:t>Judgment of the Court of Appeal:</w:t>
      </w:r>
      <w:r w:rsidRPr="0085721F">
        <w:rPr>
          <w:rFonts w:cs="Times New Roman"/>
          <w:sz w:val="20"/>
          <w:szCs w:val="20"/>
          <w:lang w:val="en-CA"/>
        </w:rPr>
        <w:tab/>
      </w:r>
      <w:r w:rsidR="003C6AC4">
        <w:rPr>
          <w:rFonts w:cs="Times New Roman"/>
          <w:sz w:val="20"/>
          <w:szCs w:val="20"/>
          <w:lang w:val="en-CA"/>
        </w:rPr>
        <w:tab/>
      </w:r>
      <w:r w:rsidRPr="0085721F">
        <w:rPr>
          <w:rFonts w:cs="Times New Roman"/>
          <w:sz w:val="20"/>
          <w:szCs w:val="20"/>
          <w:lang w:val="en-CA"/>
        </w:rPr>
        <w:t>October 4, 2011</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r w:rsidRPr="0085721F">
        <w:rPr>
          <w:rFonts w:cs="Times New Roman"/>
          <w:sz w:val="20"/>
          <w:szCs w:val="20"/>
          <w:lang w:val="en-CA"/>
        </w:rPr>
        <w:t>Counsel:</w:t>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r>
      <w:r w:rsidR="003C6AC4">
        <w:rPr>
          <w:rFonts w:cs="Times New Roman"/>
          <w:sz w:val="20"/>
          <w:szCs w:val="20"/>
          <w:lang w:val="en-CA"/>
        </w:rPr>
        <w:tab/>
      </w:r>
      <w:r w:rsidRPr="0085721F">
        <w:rPr>
          <w:rFonts w:cs="Times New Roman"/>
          <w:sz w:val="20"/>
          <w:szCs w:val="20"/>
          <w:lang w:val="en-CA"/>
        </w:rPr>
        <w:t>Madeleine Giauque for the appellant</w:t>
      </w:r>
    </w:p>
    <w:p w:rsidR="0085721F" w:rsidRDefault="0085721F" w:rsidP="0085721F">
      <w:pPr>
        <w:widowControl w:val="0"/>
        <w:jc w:val="both"/>
        <w:rPr>
          <w:rFonts w:cs="Times New Roman"/>
          <w:sz w:val="20"/>
          <w:szCs w:val="20"/>
          <w:lang w:val="fr-CA"/>
        </w:rPr>
      </w:pP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fr-CA"/>
        </w:rPr>
        <w:t xml:space="preserve">Marie-Hélène Giroux for the </w:t>
      </w:r>
      <w:proofErr w:type="spellStart"/>
      <w:r w:rsidRPr="0085721F">
        <w:rPr>
          <w:rFonts w:cs="Times New Roman"/>
          <w:sz w:val="20"/>
          <w:szCs w:val="20"/>
          <w:lang w:val="fr-CA"/>
        </w:rPr>
        <w:t>respondent</w:t>
      </w:r>
      <w:proofErr w:type="spellEnd"/>
    </w:p>
    <w:p w:rsidR="003C6AC4" w:rsidRDefault="003C6AC4" w:rsidP="0085721F">
      <w:pPr>
        <w:widowControl w:val="0"/>
        <w:jc w:val="both"/>
        <w:rPr>
          <w:rFonts w:cs="Times New Roman"/>
          <w:sz w:val="20"/>
          <w:szCs w:val="20"/>
          <w:lang w:val="fr-CA"/>
        </w:rPr>
      </w:pPr>
    </w:p>
    <w:p w:rsidR="003C6AC4" w:rsidRPr="0085721F" w:rsidRDefault="003C6AC4" w:rsidP="0085721F">
      <w:pPr>
        <w:widowControl w:val="0"/>
        <w:jc w:val="both"/>
        <w:rPr>
          <w:rFonts w:cs="Times New Roman"/>
          <w:sz w:val="20"/>
          <w:szCs w:val="20"/>
          <w:lang w:val="fr-CA"/>
        </w:rPr>
      </w:pPr>
    </w:p>
    <w:p w:rsidR="0085721F" w:rsidRPr="0085721F" w:rsidRDefault="00A148A3" w:rsidP="0085721F">
      <w:pPr>
        <w:widowControl w:val="0"/>
        <w:ind w:left="720" w:hanging="720"/>
        <w:jc w:val="both"/>
        <w:rPr>
          <w:rFonts w:cs="Times New Roman"/>
          <w:sz w:val="20"/>
          <w:szCs w:val="20"/>
          <w:lang w:val="fr-CA"/>
        </w:rPr>
      </w:pPr>
      <w:r w:rsidRPr="00A148A3">
        <w:rPr>
          <w:rFonts w:cs="Times New Roman"/>
          <w:b/>
          <w:sz w:val="20"/>
          <w:szCs w:val="20"/>
          <w:lang w:val="fr-CA"/>
        </w:rPr>
        <w:fldChar w:fldCharType="begin"/>
      </w:r>
      <w:r w:rsidR="0085721F" w:rsidRPr="0085721F">
        <w:rPr>
          <w:rFonts w:cs="Times New Roman"/>
          <w:b/>
          <w:sz w:val="20"/>
          <w:szCs w:val="20"/>
          <w:lang w:val="fr-CA"/>
        </w:rPr>
        <w:instrText xml:space="preserve"> SEQ CHAPTER \h \r 1</w:instrText>
      </w:r>
      <w:r w:rsidRPr="0085721F">
        <w:rPr>
          <w:rFonts w:cs="Times New Roman"/>
          <w:b/>
          <w:sz w:val="20"/>
          <w:szCs w:val="20"/>
        </w:rPr>
        <w:fldChar w:fldCharType="end"/>
      </w:r>
      <w:r w:rsidR="0085721F" w:rsidRPr="0085721F">
        <w:rPr>
          <w:rFonts w:cs="Times New Roman"/>
          <w:b/>
          <w:sz w:val="20"/>
          <w:szCs w:val="20"/>
          <w:lang w:val="fr-CA"/>
        </w:rPr>
        <w:t>34523</w:t>
      </w:r>
      <w:r w:rsidR="0085721F" w:rsidRPr="0085721F">
        <w:rPr>
          <w:rFonts w:cs="Times New Roman"/>
          <w:sz w:val="20"/>
          <w:szCs w:val="20"/>
          <w:lang w:val="fr-CA"/>
        </w:rPr>
        <w:tab/>
      </w:r>
      <w:r w:rsidR="0085721F" w:rsidRPr="0085721F">
        <w:rPr>
          <w:rFonts w:cs="Times New Roman"/>
          <w:b/>
          <w:i/>
          <w:sz w:val="20"/>
          <w:szCs w:val="20"/>
          <w:lang w:val="fr-CA"/>
        </w:rPr>
        <w:t xml:space="preserve">Sa Majesté la Reine c. Carmelo </w:t>
      </w:r>
      <w:proofErr w:type="spellStart"/>
      <w:r w:rsidR="0085721F" w:rsidRPr="0085721F">
        <w:rPr>
          <w:rFonts w:cs="Times New Roman"/>
          <w:b/>
          <w:i/>
          <w:sz w:val="20"/>
          <w:szCs w:val="20"/>
          <w:lang w:val="fr-CA"/>
        </w:rPr>
        <w:t>Venneri</w:t>
      </w:r>
      <w:proofErr w:type="spellEnd"/>
    </w:p>
    <w:p w:rsidR="0085721F" w:rsidRPr="0085721F" w:rsidRDefault="0085721F" w:rsidP="0085721F">
      <w:pPr>
        <w:widowControl w:val="0"/>
        <w:jc w:val="both"/>
        <w:rPr>
          <w:rFonts w:cs="Times New Roman"/>
          <w:sz w:val="20"/>
          <w:szCs w:val="20"/>
          <w:lang w:val="fr-CA"/>
        </w:rPr>
      </w:pPr>
    </w:p>
    <w:p w:rsidR="0085721F" w:rsidRPr="0085721F" w:rsidRDefault="0085721F" w:rsidP="0085721F">
      <w:pPr>
        <w:widowControl w:val="0"/>
        <w:jc w:val="both"/>
        <w:rPr>
          <w:rFonts w:cs="Times New Roman"/>
          <w:sz w:val="20"/>
          <w:szCs w:val="20"/>
          <w:lang w:val="fr-CA"/>
        </w:rPr>
      </w:pPr>
      <w:r w:rsidRPr="0085721F">
        <w:rPr>
          <w:rFonts w:cs="Times New Roman"/>
          <w:sz w:val="20"/>
          <w:szCs w:val="20"/>
          <w:lang w:val="fr-CA"/>
        </w:rPr>
        <w:t xml:space="preserve">Droit criminel </w:t>
      </w:r>
      <w:r w:rsidRPr="0085721F">
        <w:rPr>
          <w:rFonts w:cs="Times New Roman"/>
          <w:sz w:val="20"/>
          <w:szCs w:val="20"/>
          <w:lang w:val="fr-CA"/>
        </w:rPr>
        <w:noBreakHyphen/>
        <w:t xml:space="preserve"> Verdict raisonnable </w:t>
      </w:r>
      <w:r w:rsidRPr="0085721F">
        <w:rPr>
          <w:rFonts w:cs="Times New Roman"/>
          <w:sz w:val="20"/>
          <w:szCs w:val="20"/>
          <w:lang w:val="fr-CA"/>
        </w:rPr>
        <w:noBreakHyphen/>
        <w:t xml:space="preserve"> Infractions </w:t>
      </w:r>
      <w:r w:rsidRPr="0085721F">
        <w:rPr>
          <w:rFonts w:cs="Times New Roman"/>
          <w:sz w:val="20"/>
          <w:szCs w:val="20"/>
          <w:lang w:val="fr-CA"/>
        </w:rPr>
        <w:noBreakHyphen/>
        <w:t xml:space="preserve"> Éléments de l’infraction </w:t>
      </w:r>
      <w:r w:rsidRPr="0085721F">
        <w:rPr>
          <w:rFonts w:cs="Times New Roman"/>
          <w:sz w:val="20"/>
          <w:szCs w:val="20"/>
          <w:lang w:val="fr-CA"/>
        </w:rPr>
        <w:noBreakHyphen/>
        <w:t xml:space="preserve"> Infraction au profit d’une organisation criminelle </w:t>
      </w:r>
      <w:r w:rsidRPr="0085721F">
        <w:rPr>
          <w:rFonts w:cs="Times New Roman"/>
          <w:sz w:val="20"/>
          <w:szCs w:val="20"/>
          <w:lang w:val="fr-CA"/>
        </w:rPr>
        <w:noBreakHyphen/>
        <w:t xml:space="preserve"> Quelle est l’interprétation à donner à l’expression « organisation criminelle » au sens de l’art. 467.1 </w:t>
      </w:r>
      <w:proofErr w:type="gramStart"/>
      <w:r w:rsidRPr="0085721F">
        <w:rPr>
          <w:rFonts w:cs="Times New Roman"/>
          <w:sz w:val="20"/>
          <w:szCs w:val="20"/>
          <w:lang w:val="fr-CA"/>
        </w:rPr>
        <w:t>du</w:t>
      </w:r>
      <w:proofErr w:type="gramEnd"/>
      <w:r w:rsidRPr="0085721F">
        <w:rPr>
          <w:rFonts w:cs="Times New Roman"/>
          <w:sz w:val="20"/>
          <w:szCs w:val="20"/>
          <w:lang w:val="fr-CA"/>
        </w:rPr>
        <w:t xml:space="preserve"> </w:t>
      </w:r>
      <w:r w:rsidRPr="0085721F">
        <w:rPr>
          <w:rFonts w:cs="Times New Roman"/>
          <w:i/>
          <w:sz w:val="20"/>
          <w:szCs w:val="20"/>
          <w:lang w:val="fr-CA"/>
        </w:rPr>
        <w:t>Code criminel</w:t>
      </w:r>
      <w:r w:rsidRPr="0085721F">
        <w:rPr>
          <w:rFonts w:cs="Times New Roman"/>
          <w:sz w:val="20"/>
          <w:szCs w:val="20"/>
          <w:lang w:val="fr-CA"/>
        </w:rPr>
        <w:t xml:space="preserve">? </w:t>
      </w:r>
      <w:r w:rsidRPr="0085721F">
        <w:rPr>
          <w:rFonts w:cs="Times New Roman"/>
          <w:sz w:val="20"/>
          <w:szCs w:val="20"/>
          <w:lang w:val="fr-CA"/>
        </w:rPr>
        <w:noBreakHyphen/>
        <w:t xml:space="preserve"> Les verdicts rendus par le juge de première instance </w:t>
      </w:r>
      <w:proofErr w:type="spellStart"/>
      <w:r w:rsidRPr="0085721F">
        <w:rPr>
          <w:rFonts w:cs="Times New Roman"/>
          <w:sz w:val="20"/>
          <w:szCs w:val="20"/>
          <w:lang w:val="fr-CA"/>
        </w:rPr>
        <w:t>étaient</w:t>
      </w:r>
      <w:r w:rsidRPr="0085721F">
        <w:rPr>
          <w:rFonts w:cs="Times New Roman"/>
          <w:sz w:val="20"/>
          <w:szCs w:val="20"/>
          <w:lang w:val="fr-CA"/>
        </w:rPr>
        <w:noBreakHyphen/>
        <w:t>ils</w:t>
      </w:r>
      <w:proofErr w:type="spellEnd"/>
      <w:r w:rsidRPr="0085721F">
        <w:rPr>
          <w:rFonts w:cs="Times New Roman"/>
          <w:sz w:val="20"/>
          <w:szCs w:val="20"/>
          <w:lang w:val="fr-CA"/>
        </w:rPr>
        <w:t xml:space="preserve"> déraisonnables?</w:t>
      </w:r>
    </w:p>
    <w:p w:rsidR="0085721F" w:rsidRPr="0085721F" w:rsidRDefault="0085721F" w:rsidP="0085721F">
      <w:pPr>
        <w:widowControl w:val="0"/>
        <w:jc w:val="both"/>
        <w:rPr>
          <w:rFonts w:cs="Times New Roman"/>
          <w:sz w:val="20"/>
          <w:szCs w:val="20"/>
          <w:lang w:val="fr-CA"/>
        </w:rPr>
      </w:pPr>
    </w:p>
    <w:p w:rsidR="0085721F" w:rsidRPr="0085721F" w:rsidRDefault="0085721F" w:rsidP="0085721F">
      <w:pPr>
        <w:widowControl w:val="0"/>
        <w:jc w:val="both"/>
        <w:rPr>
          <w:rFonts w:cs="Times New Roman"/>
          <w:sz w:val="20"/>
          <w:szCs w:val="20"/>
          <w:lang w:val="fr-CA"/>
        </w:rPr>
      </w:pPr>
      <w:r w:rsidRPr="0085721F">
        <w:rPr>
          <w:rFonts w:cs="Times New Roman"/>
          <w:sz w:val="20"/>
          <w:szCs w:val="20"/>
          <w:lang w:val="fr-CA"/>
        </w:rPr>
        <w:t xml:space="preserve">L’intimé et deux coaccusés sont reconnus coupables de nombreux chefs conjoints et individualisés reliés au trafic de stupéfiants au bénéfice d’une organisation criminelle.  La majorité de la Cour d’appel accueille en partie l’appel de l’intimé contre les déclarations de culpabilité.  Elle déclare l’intimé non coupable des infractions de trafic de stupéfiants au profit d’une organisation criminelle, de possession en vue de trafic et de l’infraction d’avoir chargé une personne de commettre un acte criminel, alors qu’il faisait partie d’une organisation criminelle.  La Cour d’appel prononce également un arrêt conditionnel de la procédure concernant l’infraction de possession d’une arme à autorisation restreinte sans permis.  La juge Duval </w:t>
      </w:r>
      <w:proofErr w:type="spellStart"/>
      <w:r w:rsidRPr="0085721F">
        <w:rPr>
          <w:rFonts w:cs="Times New Roman"/>
          <w:sz w:val="20"/>
          <w:szCs w:val="20"/>
          <w:lang w:val="fr-CA"/>
        </w:rPr>
        <w:t>Hesler</w:t>
      </w:r>
      <w:proofErr w:type="spellEnd"/>
      <w:r w:rsidRPr="0085721F">
        <w:rPr>
          <w:rFonts w:cs="Times New Roman"/>
          <w:sz w:val="20"/>
          <w:szCs w:val="20"/>
          <w:lang w:val="fr-CA"/>
        </w:rPr>
        <w:t>, dissidente, aurait rejeté l’appel.</w:t>
      </w:r>
    </w:p>
    <w:p w:rsidR="0085721F" w:rsidRPr="0085721F" w:rsidRDefault="0085721F" w:rsidP="0085721F">
      <w:pPr>
        <w:widowControl w:val="0"/>
        <w:jc w:val="both"/>
        <w:rPr>
          <w:rFonts w:cs="Times New Roman"/>
          <w:sz w:val="20"/>
          <w:szCs w:val="20"/>
          <w:lang w:val="fr-CA"/>
        </w:rPr>
      </w:pPr>
    </w:p>
    <w:p w:rsidR="0085721F" w:rsidRPr="0085721F" w:rsidRDefault="0085721F" w:rsidP="0085721F">
      <w:pPr>
        <w:widowControl w:val="0"/>
        <w:jc w:val="both"/>
        <w:rPr>
          <w:rFonts w:cs="Times New Roman"/>
          <w:sz w:val="20"/>
          <w:szCs w:val="20"/>
          <w:lang w:val="fr-CA"/>
        </w:rPr>
      </w:pPr>
    </w:p>
    <w:p w:rsidR="0085721F" w:rsidRPr="0085721F" w:rsidRDefault="0085721F" w:rsidP="0085721F">
      <w:pPr>
        <w:widowControl w:val="0"/>
        <w:jc w:val="both"/>
        <w:rPr>
          <w:rFonts w:cs="Times New Roman"/>
          <w:sz w:val="20"/>
          <w:szCs w:val="20"/>
          <w:lang w:val="fr-CA"/>
        </w:rPr>
      </w:pPr>
      <w:r w:rsidRPr="0085721F">
        <w:rPr>
          <w:rFonts w:cs="Times New Roman"/>
          <w:sz w:val="20"/>
          <w:szCs w:val="20"/>
          <w:lang w:val="fr-CA"/>
        </w:rPr>
        <w:t>Origine :</w:t>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003C6AC4">
        <w:rPr>
          <w:rFonts w:cs="Times New Roman"/>
          <w:sz w:val="20"/>
          <w:szCs w:val="20"/>
          <w:lang w:val="fr-CA"/>
        </w:rPr>
        <w:tab/>
      </w:r>
      <w:r w:rsidRPr="0085721F">
        <w:rPr>
          <w:rFonts w:cs="Times New Roman"/>
          <w:sz w:val="20"/>
          <w:szCs w:val="20"/>
          <w:lang w:val="fr-CA"/>
        </w:rPr>
        <w:t>Québec</w:t>
      </w:r>
    </w:p>
    <w:p w:rsidR="0085721F" w:rsidRPr="0085721F" w:rsidRDefault="0085721F" w:rsidP="0085721F">
      <w:pPr>
        <w:widowControl w:val="0"/>
        <w:jc w:val="both"/>
        <w:rPr>
          <w:rFonts w:cs="Times New Roman"/>
          <w:sz w:val="20"/>
          <w:szCs w:val="20"/>
          <w:lang w:val="fr-CA"/>
        </w:rPr>
      </w:pPr>
    </w:p>
    <w:p w:rsidR="0085721F" w:rsidRPr="0085721F" w:rsidRDefault="0085721F" w:rsidP="0085721F">
      <w:pPr>
        <w:widowControl w:val="0"/>
        <w:jc w:val="both"/>
        <w:rPr>
          <w:rFonts w:cs="Times New Roman"/>
          <w:sz w:val="20"/>
          <w:szCs w:val="20"/>
          <w:lang w:val="fr-CA"/>
        </w:rPr>
      </w:pPr>
      <w:r w:rsidRPr="0085721F">
        <w:rPr>
          <w:rFonts w:cs="Times New Roman"/>
          <w:sz w:val="20"/>
          <w:szCs w:val="20"/>
          <w:lang w:val="fr-CA"/>
        </w:rPr>
        <w:t>N</w:t>
      </w:r>
      <w:r w:rsidRPr="0085721F">
        <w:rPr>
          <w:rFonts w:cs="Times New Roman"/>
          <w:sz w:val="20"/>
          <w:szCs w:val="20"/>
          <w:vertAlign w:val="superscript"/>
          <w:lang w:val="fr-CA"/>
        </w:rPr>
        <w:t>o</w:t>
      </w:r>
      <w:r w:rsidRPr="0085721F">
        <w:rPr>
          <w:rFonts w:cs="Times New Roman"/>
          <w:sz w:val="20"/>
          <w:szCs w:val="20"/>
          <w:lang w:val="fr-CA"/>
        </w:rPr>
        <w:t xml:space="preserve"> du greffe :</w:t>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t>34523</w:t>
      </w:r>
    </w:p>
    <w:p w:rsidR="0085721F" w:rsidRPr="0085721F" w:rsidRDefault="0085721F" w:rsidP="0085721F">
      <w:pPr>
        <w:widowControl w:val="0"/>
        <w:jc w:val="both"/>
        <w:rPr>
          <w:rFonts w:cs="Times New Roman"/>
          <w:sz w:val="20"/>
          <w:szCs w:val="20"/>
          <w:lang w:val="fr-CA"/>
        </w:rPr>
      </w:pPr>
    </w:p>
    <w:p w:rsidR="0085721F" w:rsidRPr="0085721F" w:rsidRDefault="0085721F" w:rsidP="0085721F">
      <w:pPr>
        <w:widowControl w:val="0"/>
        <w:jc w:val="both"/>
        <w:rPr>
          <w:rFonts w:cs="Times New Roman"/>
          <w:sz w:val="20"/>
          <w:szCs w:val="20"/>
          <w:lang w:val="fr-CA"/>
        </w:rPr>
      </w:pPr>
      <w:r w:rsidRPr="0085721F">
        <w:rPr>
          <w:rFonts w:cs="Times New Roman"/>
          <w:sz w:val="20"/>
          <w:szCs w:val="20"/>
          <w:lang w:val="fr-CA"/>
        </w:rPr>
        <w:t>Arrêt de la Cour d’appel :</w:t>
      </w:r>
      <w:r w:rsidRPr="0085721F">
        <w:rPr>
          <w:rFonts w:cs="Times New Roman"/>
          <w:sz w:val="20"/>
          <w:szCs w:val="20"/>
          <w:lang w:val="fr-CA"/>
        </w:rPr>
        <w:tab/>
      </w:r>
      <w:r w:rsidRPr="0085721F">
        <w:rPr>
          <w:rFonts w:cs="Times New Roman"/>
          <w:sz w:val="20"/>
          <w:szCs w:val="20"/>
          <w:lang w:val="fr-CA"/>
        </w:rPr>
        <w:tab/>
      </w:r>
      <w:r w:rsidR="003C6AC4">
        <w:rPr>
          <w:rFonts w:cs="Times New Roman"/>
          <w:sz w:val="20"/>
          <w:szCs w:val="20"/>
          <w:lang w:val="fr-CA"/>
        </w:rPr>
        <w:tab/>
      </w:r>
      <w:r w:rsidRPr="0085721F">
        <w:rPr>
          <w:rFonts w:cs="Times New Roman"/>
          <w:sz w:val="20"/>
          <w:szCs w:val="20"/>
          <w:lang w:val="fr-CA"/>
        </w:rPr>
        <w:t>Le 4 octobre 2011</w:t>
      </w:r>
    </w:p>
    <w:p w:rsidR="0085721F" w:rsidRPr="0085721F" w:rsidRDefault="0085721F" w:rsidP="0085721F">
      <w:pPr>
        <w:widowControl w:val="0"/>
        <w:jc w:val="both"/>
        <w:rPr>
          <w:rFonts w:cs="Times New Roman"/>
          <w:sz w:val="20"/>
          <w:szCs w:val="20"/>
          <w:lang w:val="fr-CA"/>
        </w:rPr>
      </w:pPr>
    </w:p>
    <w:p w:rsidR="0085721F" w:rsidRPr="0085721F" w:rsidRDefault="0085721F" w:rsidP="0085721F">
      <w:pPr>
        <w:widowControl w:val="0"/>
        <w:jc w:val="both"/>
        <w:rPr>
          <w:rFonts w:cs="Times New Roman"/>
          <w:sz w:val="20"/>
          <w:szCs w:val="20"/>
          <w:lang w:val="fr-CA"/>
        </w:rPr>
      </w:pPr>
      <w:r w:rsidRPr="0085721F">
        <w:rPr>
          <w:rFonts w:cs="Times New Roman"/>
          <w:sz w:val="20"/>
          <w:szCs w:val="20"/>
          <w:lang w:val="fr-CA"/>
        </w:rPr>
        <w:t>Avocats :</w:t>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t>Madeleine Giauque pour l’appelante</w:t>
      </w:r>
    </w:p>
    <w:p w:rsidR="0085721F" w:rsidRPr="0085721F" w:rsidRDefault="0085721F" w:rsidP="0085721F">
      <w:pPr>
        <w:widowControl w:val="0"/>
        <w:jc w:val="both"/>
        <w:rPr>
          <w:rFonts w:cs="Times New Roman"/>
          <w:sz w:val="20"/>
          <w:szCs w:val="20"/>
          <w:lang w:val="fr-CA"/>
        </w:rPr>
      </w:pP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proofErr w:type="spellStart"/>
      <w:r w:rsidRPr="0085721F">
        <w:rPr>
          <w:rFonts w:cs="Times New Roman"/>
          <w:sz w:val="20"/>
          <w:szCs w:val="20"/>
          <w:lang w:val="fr-CA"/>
        </w:rPr>
        <w:t>Marie</w:t>
      </w:r>
      <w:r w:rsidRPr="0085721F">
        <w:rPr>
          <w:rFonts w:cs="Times New Roman"/>
          <w:sz w:val="20"/>
          <w:szCs w:val="20"/>
          <w:lang w:val="fr-CA"/>
        </w:rPr>
        <w:noBreakHyphen/>
        <w:t>Hélène</w:t>
      </w:r>
      <w:proofErr w:type="spellEnd"/>
      <w:r w:rsidRPr="0085721F">
        <w:rPr>
          <w:rFonts w:cs="Times New Roman"/>
          <w:sz w:val="20"/>
          <w:szCs w:val="20"/>
          <w:lang w:val="fr-CA"/>
        </w:rPr>
        <w:t xml:space="preserve"> Giroux pour l’intimé</w:t>
      </w:r>
    </w:p>
    <w:p w:rsidR="0085721F" w:rsidRPr="0085721F" w:rsidRDefault="0085721F" w:rsidP="0085721F">
      <w:pPr>
        <w:rPr>
          <w:rFonts w:cs="Times New Roman"/>
          <w:sz w:val="20"/>
          <w:szCs w:val="20"/>
          <w:lang w:val="fr-CA"/>
        </w:rPr>
      </w:pPr>
    </w:p>
    <w:p w:rsidR="0085721F" w:rsidRPr="0085721F" w:rsidRDefault="0085721F" w:rsidP="0085721F">
      <w:pPr>
        <w:rPr>
          <w:rFonts w:cs="Times New Roman"/>
          <w:sz w:val="20"/>
          <w:szCs w:val="20"/>
          <w:lang w:val="fr-CA"/>
        </w:rPr>
      </w:pPr>
    </w:p>
    <w:p w:rsidR="0085721F" w:rsidRPr="0085721F" w:rsidRDefault="00A148A3" w:rsidP="0085721F">
      <w:pPr>
        <w:widowControl w:val="0"/>
        <w:ind w:left="720" w:hanging="720"/>
        <w:jc w:val="both"/>
        <w:rPr>
          <w:rFonts w:cs="Times New Roman"/>
          <w:b/>
          <w:sz w:val="20"/>
          <w:szCs w:val="20"/>
          <w:lang w:val="en-CA"/>
        </w:rPr>
      </w:pPr>
      <w:r w:rsidRPr="00A148A3">
        <w:rPr>
          <w:rFonts w:cs="Times New Roman"/>
          <w:b/>
          <w:sz w:val="20"/>
          <w:szCs w:val="20"/>
          <w:lang w:val="en-CA"/>
        </w:rPr>
        <w:fldChar w:fldCharType="begin"/>
      </w:r>
      <w:r w:rsidR="0085721F" w:rsidRPr="0085721F">
        <w:rPr>
          <w:rFonts w:cs="Times New Roman"/>
          <w:b/>
          <w:sz w:val="20"/>
          <w:szCs w:val="20"/>
        </w:rPr>
        <w:instrText xml:space="preserve"> SEQ CHAPTER \h \r 1</w:instrText>
      </w:r>
      <w:r w:rsidRPr="0085721F">
        <w:rPr>
          <w:rFonts w:cs="Times New Roman"/>
          <w:b/>
          <w:sz w:val="20"/>
          <w:szCs w:val="20"/>
        </w:rPr>
        <w:fldChar w:fldCharType="end"/>
      </w:r>
      <w:r w:rsidR="0085721F" w:rsidRPr="0085721F">
        <w:rPr>
          <w:rFonts w:cs="Times New Roman"/>
          <w:b/>
          <w:sz w:val="20"/>
          <w:szCs w:val="20"/>
          <w:lang w:val="en-CA"/>
        </w:rPr>
        <w:t>34231</w:t>
      </w:r>
      <w:r w:rsidR="0085721F" w:rsidRPr="0085721F">
        <w:rPr>
          <w:rFonts w:cs="Times New Roman"/>
          <w:sz w:val="20"/>
          <w:szCs w:val="20"/>
          <w:lang w:val="en-CA"/>
        </w:rPr>
        <w:tab/>
      </w:r>
      <w:proofErr w:type="spellStart"/>
      <w:r w:rsidR="0085721F" w:rsidRPr="0085721F">
        <w:rPr>
          <w:rFonts w:cs="Times New Roman"/>
          <w:b/>
          <w:i/>
          <w:sz w:val="20"/>
          <w:szCs w:val="20"/>
          <w:lang w:val="en-CA"/>
        </w:rPr>
        <w:t>Cogeco</w:t>
      </w:r>
      <w:proofErr w:type="spellEnd"/>
      <w:r w:rsidR="0085721F" w:rsidRPr="0085721F">
        <w:rPr>
          <w:rFonts w:cs="Times New Roman"/>
          <w:b/>
          <w:i/>
          <w:sz w:val="20"/>
          <w:szCs w:val="20"/>
          <w:lang w:val="en-CA"/>
        </w:rPr>
        <w:t xml:space="preserve"> Cable Inc. v. Bell Media Inc. et al. </w:t>
      </w:r>
      <w:r w:rsidR="0085721F" w:rsidRPr="0085721F">
        <w:rPr>
          <w:rFonts w:cs="Times New Roman"/>
          <w:b/>
          <w:i/>
          <w:sz w:val="20"/>
          <w:szCs w:val="20"/>
          <w:lang w:val="en-CA"/>
        </w:rPr>
        <w:noBreakHyphen/>
        <w:t xml:space="preserve"> and </w:t>
      </w:r>
      <w:r w:rsidR="0085721F" w:rsidRPr="0085721F">
        <w:rPr>
          <w:rFonts w:cs="Times New Roman"/>
          <w:b/>
          <w:i/>
          <w:sz w:val="20"/>
          <w:szCs w:val="20"/>
          <w:lang w:val="en-CA"/>
        </w:rPr>
        <w:noBreakHyphen/>
        <w:t xml:space="preserve"> Canadian </w:t>
      </w:r>
      <w:proofErr w:type="spellStart"/>
      <w:r w:rsidR="0085721F" w:rsidRPr="0085721F">
        <w:rPr>
          <w:rFonts w:cs="Times New Roman"/>
          <w:b/>
          <w:i/>
          <w:sz w:val="20"/>
          <w:szCs w:val="20"/>
          <w:lang w:val="en-CA"/>
        </w:rPr>
        <w:t>Radio</w:t>
      </w:r>
      <w:r w:rsidR="0085721F" w:rsidRPr="0085721F">
        <w:rPr>
          <w:rFonts w:cs="Times New Roman"/>
          <w:b/>
          <w:i/>
          <w:sz w:val="20"/>
          <w:szCs w:val="20"/>
          <w:lang w:val="en-CA"/>
        </w:rPr>
        <w:noBreakHyphen/>
        <w:t>Television</w:t>
      </w:r>
      <w:proofErr w:type="spellEnd"/>
      <w:r w:rsidR="0085721F" w:rsidRPr="0085721F">
        <w:rPr>
          <w:rFonts w:cs="Times New Roman"/>
          <w:b/>
          <w:i/>
          <w:sz w:val="20"/>
          <w:szCs w:val="20"/>
          <w:lang w:val="en-CA"/>
        </w:rPr>
        <w:t xml:space="preserve"> and Telecommunications Commission (CRTC) </w:t>
      </w:r>
      <w:r w:rsidR="0085721F" w:rsidRPr="0085721F">
        <w:rPr>
          <w:rFonts w:cs="Times New Roman"/>
          <w:b/>
          <w:i/>
          <w:sz w:val="20"/>
          <w:szCs w:val="20"/>
          <w:lang w:val="en-CA"/>
        </w:rPr>
        <w:noBreakHyphen/>
        <w:t xml:space="preserve"> and between </w:t>
      </w:r>
      <w:r w:rsidR="0085721F" w:rsidRPr="0085721F">
        <w:rPr>
          <w:rFonts w:cs="Times New Roman"/>
          <w:b/>
          <w:i/>
          <w:sz w:val="20"/>
          <w:szCs w:val="20"/>
          <w:lang w:val="en-CA"/>
        </w:rPr>
        <w:noBreakHyphen/>
        <w:t xml:space="preserve"> Rogers Communications Inc. and </w:t>
      </w:r>
      <w:proofErr w:type="spellStart"/>
      <w:r w:rsidR="0085721F" w:rsidRPr="0085721F">
        <w:rPr>
          <w:rFonts w:cs="Times New Roman"/>
          <w:b/>
          <w:i/>
          <w:sz w:val="20"/>
          <w:szCs w:val="20"/>
          <w:lang w:val="en-CA"/>
        </w:rPr>
        <w:t>Telus</w:t>
      </w:r>
      <w:proofErr w:type="spellEnd"/>
      <w:r w:rsidR="0085721F" w:rsidRPr="0085721F">
        <w:rPr>
          <w:rFonts w:cs="Times New Roman"/>
          <w:b/>
          <w:i/>
          <w:sz w:val="20"/>
          <w:szCs w:val="20"/>
          <w:lang w:val="en-CA"/>
        </w:rPr>
        <w:t xml:space="preserve"> Communications Company v. Bell Media Inc. et al. </w:t>
      </w:r>
      <w:r w:rsidR="0085721F" w:rsidRPr="0085721F">
        <w:rPr>
          <w:rFonts w:cs="Times New Roman"/>
          <w:b/>
          <w:i/>
          <w:sz w:val="20"/>
          <w:szCs w:val="20"/>
          <w:lang w:val="en-CA"/>
        </w:rPr>
        <w:noBreakHyphen/>
        <w:t>and</w:t>
      </w:r>
      <w:r w:rsidR="0085721F" w:rsidRPr="0085721F">
        <w:rPr>
          <w:rFonts w:cs="Times New Roman"/>
          <w:b/>
          <w:i/>
          <w:sz w:val="20"/>
          <w:szCs w:val="20"/>
          <w:lang w:val="en-CA"/>
        </w:rPr>
        <w:noBreakHyphen/>
        <w:t xml:space="preserve"> Canadian </w:t>
      </w:r>
      <w:proofErr w:type="spellStart"/>
      <w:r w:rsidR="0085721F" w:rsidRPr="0085721F">
        <w:rPr>
          <w:rFonts w:cs="Times New Roman"/>
          <w:b/>
          <w:i/>
          <w:sz w:val="20"/>
          <w:szCs w:val="20"/>
          <w:lang w:val="en-CA"/>
        </w:rPr>
        <w:t>Radio</w:t>
      </w:r>
      <w:r w:rsidR="0085721F" w:rsidRPr="0085721F">
        <w:rPr>
          <w:rFonts w:cs="Times New Roman"/>
          <w:b/>
          <w:i/>
          <w:sz w:val="20"/>
          <w:szCs w:val="20"/>
          <w:lang w:val="en-CA"/>
        </w:rPr>
        <w:noBreakHyphen/>
        <w:t>Television</w:t>
      </w:r>
      <w:proofErr w:type="spellEnd"/>
      <w:r w:rsidR="0085721F" w:rsidRPr="0085721F">
        <w:rPr>
          <w:rFonts w:cs="Times New Roman"/>
          <w:b/>
          <w:i/>
          <w:sz w:val="20"/>
          <w:szCs w:val="20"/>
          <w:lang w:val="en-CA"/>
        </w:rPr>
        <w:t xml:space="preserve"> and Telecommunications Commission (CRTC) </w:t>
      </w:r>
      <w:r w:rsidR="0085721F" w:rsidRPr="0085721F">
        <w:rPr>
          <w:rFonts w:cs="Times New Roman"/>
          <w:b/>
          <w:i/>
          <w:sz w:val="20"/>
          <w:szCs w:val="20"/>
          <w:lang w:val="en-CA"/>
        </w:rPr>
        <w:noBreakHyphen/>
        <w:t xml:space="preserve"> and between </w:t>
      </w:r>
      <w:r w:rsidR="0085721F" w:rsidRPr="0085721F">
        <w:rPr>
          <w:rFonts w:cs="Times New Roman"/>
          <w:b/>
          <w:i/>
          <w:sz w:val="20"/>
          <w:szCs w:val="20"/>
          <w:lang w:val="en-CA"/>
        </w:rPr>
        <w:noBreakHyphen/>
        <w:t xml:space="preserve"> Shaw Communications Inc. v. Bell Media Inc. et al. </w:t>
      </w:r>
      <w:r w:rsidR="0085721F" w:rsidRPr="0085721F">
        <w:rPr>
          <w:rFonts w:cs="Times New Roman"/>
          <w:b/>
          <w:i/>
          <w:sz w:val="20"/>
          <w:szCs w:val="20"/>
          <w:lang w:val="en-CA"/>
        </w:rPr>
        <w:noBreakHyphen/>
        <w:t>and</w:t>
      </w:r>
      <w:r w:rsidR="0085721F" w:rsidRPr="0085721F">
        <w:rPr>
          <w:rFonts w:cs="Times New Roman"/>
          <w:b/>
          <w:i/>
          <w:sz w:val="20"/>
          <w:szCs w:val="20"/>
          <w:lang w:val="en-CA"/>
        </w:rPr>
        <w:noBreakHyphen/>
        <w:t xml:space="preserve"> Canadian </w:t>
      </w:r>
      <w:proofErr w:type="spellStart"/>
      <w:r w:rsidR="0085721F" w:rsidRPr="0085721F">
        <w:rPr>
          <w:rFonts w:cs="Times New Roman"/>
          <w:b/>
          <w:i/>
          <w:sz w:val="20"/>
          <w:szCs w:val="20"/>
          <w:lang w:val="en-CA"/>
        </w:rPr>
        <w:t>Radio</w:t>
      </w:r>
      <w:r w:rsidR="0085721F" w:rsidRPr="0085721F">
        <w:rPr>
          <w:rFonts w:cs="Times New Roman"/>
          <w:b/>
          <w:i/>
          <w:sz w:val="20"/>
          <w:szCs w:val="20"/>
          <w:lang w:val="en-CA"/>
        </w:rPr>
        <w:noBreakHyphen/>
        <w:t>Television</w:t>
      </w:r>
      <w:proofErr w:type="spellEnd"/>
      <w:r w:rsidR="0085721F" w:rsidRPr="0085721F">
        <w:rPr>
          <w:rFonts w:cs="Times New Roman"/>
          <w:b/>
          <w:i/>
          <w:sz w:val="20"/>
          <w:szCs w:val="20"/>
          <w:lang w:val="en-CA"/>
        </w:rPr>
        <w:t xml:space="preserve"> and Telecommunications Commission (CRTC)</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r w:rsidRPr="0085721F">
        <w:rPr>
          <w:rFonts w:cs="Times New Roman"/>
          <w:sz w:val="20"/>
          <w:szCs w:val="20"/>
          <w:lang w:val="en-CA"/>
        </w:rPr>
        <w:t xml:space="preserve">Communications law </w:t>
      </w:r>
      <w:r w:rsidRPr="0085721F">
        <w:rPr>
          <w:rFonts w:cs="Times New Roman"/>
          <w:sz w:val="20"/>
          <w:szCs w:val="20"/>
          <w:lang w:val="en-CA"/>
        </w:rPr>
        <w:noBreakHyphen/>
        <w:t xml:space="preserve"> Broadcasting </w:t>
      </w:r>
      <w:r w:rsidRPr="0085721F">
        <w:rPr>
          <w:rFonts w:cs="Times New Roman"/>
          <w:sz w:val="20"/>
          <w:szCs w:val="20"/>
          <w:lang w:val="en-CA"/>
        </w:rPr>
        <w:noBreakHyphen/>
        <w:t xml:space="preserve"> Broadcasting policy </w:t>
      </w:r>
      <w:r w:rsidRPr="0085721F">
        <w:rPr>
          <w:rFonts w:cs="Times New Roman"/>
          <w:sz w:val="20"/>
          <w:szCs w:val="20"/>
          <w:lang w:val="en-CA"/>
        </w:rPr>
        <w:noBreakHyphen/>
        <w:t xml:space="preserve"> Legislation </w:t>
      </w:r>
      <w:r w:rsidRPr="0085721F">
        <w:rPr>
          <w:rFonts w:cs="Times New Roman"/>
          <w:sz w:val="20"/>
          <w:szCs w:val="20"/>
          <w:lang w:val="en-CA"/>
        </w:rPr>
        <w:noBreakHyphen/>
        <w:t xml:space="preserve"> Interpretation </w:t>
      </w:r>
      <w:r w:rsidRPr="0085721F">
        <w:rPr>
          <w:rFonts w:cs="Times New Roman"/>
          <w:sz w:val="20"/>
          <w:szCs w:val="20"/>
          <w:lang w:val="en-CA"/>
        </w:rPr>
        <w:noBreakHyphen/>
        <w:t xml:space="preserve"> Conflicting legislation </w:t>
      </w:r>
      <w:r w:rsidRPr="0085721F">
        <w:rPr>
          <w:rFonts w:cs="Times New Roman"/>
          <w:sz w:val="20"/>
          <w:szCs w:val="20"/>
          <w:lang w:val="en-CA"/>
        </w:rPr>
        <w:noBreakHyphen/>
        <w:t xml:space="preserve"> Jurisdiction of Canadian Radio </w:t>
      </w:r>
      <w:r w:rsidRPr="0085721F">
        <w:rPr>
          <w:rFonts w:cs="Times New Roman"/>
          <w:sz w:val="20"/>
          <w:szCs w:val="20"/>
          <w:lang w:val="en-CA"/>
        </w:rPr>
        <w:noBreakHyphen/>
        <w:t xml:space="preserve"> Television and Telecommunications Commission (CRTC) </w:t>
      </w:r>
      <w:r w:rsidRPr="0085721F">
        <w:rPr>
          <w:rFonts w:cs="Times New Roman"/>
          <w:sz w:val="20"/>
          <w:szCs w:val="20"/>
          <w:lang w:val="en-CA"/>
        </w:rPr>
        <w:noBreakHyphen/>
        <w:t xml:space="preserve"> Whether CRTC empowered, pursuant to mandate under </w:t>
      </w:r>
      <w:r w:rsidRPr="0085721F">
        <w:rPr>
          <w:rFonts w:cs="Times New Roman"/>
          <w:i/>
          <w:sz w:val="20"/>
          <w:szCs w:val="20"/>
          <w:lang w:val="en-CA"/>
        </w:rPr>
        <w:t>Broadcasting Act</w:t>
      </w:r>
      <w:r w:rsidRPr="0085721F">
        <w:rPr>
          <w:rFonts w:cs="Times New Roman"/>
          <w:sz w:val="20"/>
          <w:szCs w:val="20"/>
          <w:lang w:val="en-CA"/>
        </w:rPr>
        <w:t xml:space="preserve">, to establish regime enabling private local television stations to negotiate with broadcasting distribution undertakings a fair value in exchange for distribution of programming services broadcast by local television stations </w:t>
      </w:r>
      <w:r w:rsidRPr="0085721F">
        <w:rPr>
          <w:rFonts w:cs="Times New Roman"/>
          <w:sz w:val="20"/>
          <w:szCs w:val="20"/>
          <w:lang w:val="en-CA"/>
        </w:rPr>
        <w:noBreakHyphen/>
        <w:t xml:space="preserve"> Whether value for signal regime proposed by CRTC necessarily conflicts with rights of broadcasting distribution undertakings under </w:t>
      </w:r>
      <w:r w:rsidRPr="0085721F">
        <w:rPr>
          <w:rFonts w:cs="Times New Roman"/>
          <w:i/>
          <w:sz w:val="20"/>
          <w:szCs w:val="20"/>
          <w:lang w:val="en-CA"/>
        </w:rPr>
        <w:t>Copyright Act</w:t>
      </w:r>
      <w:r w:rsidRPr="0085721F">
        <w:rPr>
          <w:rFonts w:cs="Times New Roman"/>
          <w:sz w:val="20"/>
          <w:szCs w:val="20"/>
          <w:lang w:val="en-CA"/>
        </w:rPr>
        <w:t xml:space="preserve"> </w:t>
      </w:r>
      <w:r w:rsidRPr="0085721F">
        <w:rPr>
          <w:rFonts w:cs="Times New Roman"/>
          <w:sz w:val="20"/>
          <w:szCs w:val="20"/>
          <w:lang w:val="en-CA"/>
        </w:rPr>
        <w:noBreakHyphen/>
        <w:t xml:space="preserve"> </w:t>
      </w:r>
      <w:r w:rsidRPr="0085721F">
        <w:rPr>
          <w:rFonts w:cs="Times New Roman"/>
          <w:i/>
          <w:sz w:val="20"/>
          <w:szCs w:val="20"/>
          <w:lang w:val="en-CA"/>
        </w:rPr>
        <w:t>Broadcasting Act</w:t>
      </w:r>
      <w:r w:rsidRPr="0085721F">
        <w:rPr>
          <w:rFonts w:cs="Times New Roman"/>
          <w:sz w:val="20"/>
          <w:szCs w:val="20"/>
          <w:lang w:val="en-CA"/>
        </w:rPr>
        <w:t xml:space="preserve">, S.C. 1991, c. 11, ss. 2(1), 3(1), 3(2), 5 </w:t>
      </w:r>
      <w:r w:rsidRPr="0085721F">
        <w:rPr>
          <w:rFonts w:cs="Times New Roman"/>
          <w:sz w:val="20"/>
          <w:szCs w:val="20"/>
          <w:lang w:val="en-CA"/>
        </w:rPr>
        <w:noBreakHyphen/>
        <w:t xml:space="preserve"> </w:t>
      </w:r>
      <w:r w:rsidRPr="0085721F">
        <w:rPr>
          <w:rFonts w:cs="Times New Roman"/>
          <w:i/>
          <w:sz w:val="20"/>
          <w:szCs w:val="20"/>
          <w:lang w:val="en-CA"/>
        </w:rPr>
        <w:t>Copyright Act</w:t>
      </w:r>
      <w:r w:rsidRPr="0085721F">
        <w:rPr>
          <w:rFonts w:cs="Times New Roman"/>
          <w:sz w:val="20"/>
          <w:szCs w:val="20"/>
          <w:lang w:val="en-CA"/>
        </w:rPr>
        <w:t>, R.S.C. 1985, c. C</w:t>
      </w:r>
      <w:r w:rsidRPr="0085721F">
        <w:rPr>
          <w:rFonts w:cs="Times New Roman"/>
          <w:sz w:val="20"/>
          <w:szCs w:val="20"/>
          <w:lang w:val="en-CA"/>
        </w:rPr>
        <w:noBreakHyphen/>
        <w:t>42, ss. 21, 31.</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r w:rsidRPr="0085721F">
        <w:rPr>
          <w:rFonts w:cs="Times New Roman"/>
          <w:sz w:val="20"/>
          <w:szCs w:val="20"/>
          <w:lang w:val="en-CA"/>
        </w:rPr>
        <w:t xml:space="preserve">The Canadian </w:t>
      </w:r>
      <w:proofErr w:type="spellStart"/>
      <w:r w:rsidRPr="0085721F">
        <w:rPr>
          <w:rFonts w:cs="Times New Roman"/>
          <w:sz w:val="20"/>
          <w:szCs w:val="20"/>
          <w:lang w:val="en-CA"/>
        </w:rPr>
        <w:t>Radio</w:t>
      </w:r>
      <w:r w:rsidRPr="0085721F">
        <w:rPr>
          <w:rFonts w:cs="Times New Roman"/>
          <w:sz w:val="20"/>
          <w:szCs w:val="20"/>
          <w:lang w:val="en-CA"/>
        </w:rPr>
        <w:noBreakHyphen/>
        <w:t>Television</w:t>
      </w:r>
      <w:proofErr w:type="spellEnd"/>
      <w:r w:rsidRPr="0085721F">
        <w:rPr>
          <w:rFonts w:cs="Times New Roman"/>
          <w:sz w:val="20"/>
          <w:szCs w:val="20"/>
          <w:lang w:val="en-CA"/>
        </w:rPr>
        <w:t xml:space="preserve"> and Telecommunications Commission (CRTC) referred the following question to the Federal Court of Appeal:</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ind w:left="720" w:right="720"/>
        <w:jc w:val="both"/>
        <w:rPr>
          <w:rFonts w:cs="Times New Roman"/>
          <w:sz w:val="20"/>
          <w:szCs w:val="20"/>
          <w:lang w:val="en-CA"/>
        </w:rPr>
      </w:pPr>
      <w:r w:rsidRPr="0085721F">
        <w:rPr>
          <w:rFonts w:cs="Times New Roman"/>
          <w:sz w:val="20"/>
          <w:szCs w:val="20"/>
          <w:lang w:val="en-CA"/>
        </w:rPr>
        <w:t xml:space="preserve">Is the Commission empowered, pursuant to its mandate under the </w:t>
      </w:r>
      <w:r w:rsidRPr="0085721F">
        <w:rPr>
          <w:rFonts w:cs="Times New Roman"/>
          <w:i/>
          <w:sz w:val="20"/>
          <w:szCs w:val="20"/>
          <w:lang w:val="en-CA"/>
        </w:rPr>
        <w:t>Broadcasting Act</w:t>
      </w:r>
      <w:r w:rsidRPr="0085721F">
        <w:rPr>
          <w:rFonts w:cs="Times New Roman"/>
          <w:sz w:val="20"/>
          <w:szCs w:val="20"/>
          <w:lang w:val="en-CA"/>
        </w:rPr>
        <w:t>, to establish a regime to enable private local television stations to choose to negotiate with broadcasting distribution undertakings a fair value in exchange for the distribution of the programming services broadcast by those local television stations?</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r w:rsidRPr="0085721F">
        <w:rPr>
          <w:rFonts w:cs="Times New Roman"/>
          <w:sz w:val="20"/>
          <w:szCs w:val="20"/>
          <w:lang w:val="en-CA"/>
        </w:rPr>
        <w:t xml:space="preserve">The regime to which this question refers is sometimes called the “value for signal” regime, which would permit a private local television station to negotiate with cable television service providers (“broadcast distribution undertakings” or “BDUs”) for an arrangement under which the BDUs provide consideration to the television station for the right to retransmit its signals.  The CRTC has determined that such a value for signal regime is necessary to ensure the fulfilment of the broadcasting policy objectives set out in s. 3(1) of the </w:t>
      </w:r>
      <w:r w:rsidRPr="0085721F">
        <w:rPr>
          <w:rFonts w:cs="Times New Roman"/>
          <w:i/>
          <w:sz w:val="20"/>
          <w:szCs w:val="20"/>
          <w:lang w:val="en-CA"/>
        </w:rPr>
        <w:t>Broadcasting Act</w:t>
      </w:r>
      <w:r w:rsidRPr="0085721F">
        <w:rPr>
          <w:rFonts w:cs="Times New Roman"/>
          <w:sz w:val="20"/>
          <w:szCs w:val="20"/>
          <w:lang w:val="en-CA"/>
        </w:rPr>
        <w:t xml:space="preserve">.  The operators of private local television stations generally favour the proposed value for signal regime while BDUs generally do not.  Under the current regulatory model, BDUs pick up the </w:t>
      </w:r>
      <w:proofErr w:type="spellStart"/>
      <w:r w:rsidRPr="0085721F">
        <w:rPr>
          <w:rFonts w:cs="Times New Roman"/>
          <w:sz w:val="20"/>
          <w:szCs w:val="20"/>
          <w:lang w:val="en-CA"/>
        </w:rPr>
        <w:t>over</w:t>
      </w:r>
      <w:r w:rsidRPr="0085721F">
        <w:rPr>
          <w:rFonts w:cs="Times New Roman"/>
          <w:sz w:val="20"/>
          <w:szCs w:val="20"/>
          <w:lang w:val="en-CA"/>
        </w:rPr>
        <w:noBreakHyphen/>
        <w:t>the</w:t>
      </w:r>
      <w:r w:rsidRPr="0085721F">
        <w:rPr>
          <w:rFonts w:cs="Times New Roman"/>
          <w:sz w:val="20"/>
          <w:szCs w:val="20"/>
          <w:lang w:val="en-CA"/>
        </w:rPr>
        <w:noBreakHyphen/>
        <w:t>air</w:t>
      </w:r>
      <w:proofErr w:type="spellEnd"/>
      <w:r w:rsidRPr="0085721F">
        <w:rPr>
          <w:rFonts w:cs="Times New Roman"/>
          <w:sz w:val="20"/>
          <w:szCs w:val="20"/>
          <w:lang w:val="en-CA"/>
        </w:rPr>
        <w:t xml:space="preserve"> signals of private local television stations and retransmit them to their subscribers for a fee.  The CRTC requires BDUs to provide certain benefits to private local television stations for those signals.  The CRTC has concluded that the existing model does not adequately deal with recent changes to the broadcasting business environment.  Among the changes noted by the CRTC are the development of </w:t>
      </w:r>
      <w:proofErr w:type="spellStart"/>
      <w:r w:rsidRPr="0085721F">
        <w:rPr>
          <w:rFonts w:cs="Times New Roman"/>
          <w:sz w:val="20"/>
          <w:szCs w:val="20"/>
          <w:lang w:val="en-CA"/>
        </w:rPr>
        <w:t>direct</w:t>
      </w:r>
      <w:r w:rsidRPr="0085721F">
        <w:rPr>
          <w:rFonts w:cs="Times New Roman"/>
          <w:sz w:val="20"/>
          <w:szCs w:val="20"/>
          <w:lang w:val="en-CA"/>
        </w:rPr>
        <w:noBreakHyphen/>
        <w:t>to</w:t>
      </w:r>
      <w:r w:rsidRPr="0085721F">
        <w:rPr>
          <w:rFonts w:cs="Times New Roman"/>
          <w:sz w:val="20"/>
          <w:szCs w:val="20"/>
          <w:lang w:val="en-CA"/>
        </w:rPr>
        <w:noBreakHyphen/>
        <w:t>home</w:t>
      </w:r>
      <w:proofErr w:type="spellEnd"/>
      <w:r w:rsidRPr="0085721F">
        <w:rPr>
          <w:rFonts w:cs="Times New Roman"/>
          <w:sz w:val="20"/>
          <w:szCs w:val="20"/>
          <w:lang w:val="en-CA"/>
        </w:rPr>
        <w:t xml:space="preserve"> satellite television services, the development of speciality television channels that are permitted to receive fees directly from BDUs that carry them, and the widespread adoption of alternative media platforms.  These changes have caused advertising revenues for private local television stations to fall while the revenues of BDUs have increased, resulting in a significant shift in their relative market positions and a financial crisis for the private local television stations.  The CRTC concluded that this financial crisis may be averted by adopting a value for signal regime that invokes market forces.  The CRTC therefore brought an application for a reference to the Federal Court of Appeal to determine its jurisdiction to implement the proposed regime.</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r w:rsidRPr="0085721F">
        <w:rPr>
          <w:rFonts w:cs="Times New Roman"/>
          <w:sz w:val="20"/>
          <w:szCs w:val="20"/>
          <w:lang w:val="en-CA"/>
        </w:rPr>
        <w:t>Origin of the case:</w:t>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t>Federal Court of Appeal</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r w:rsidRPr="0085721F">
        <w:rPr>
          <w:rFonts w:cs="Times New Roman"/>
          <w:sz w:val="20"/>
          <w:szCs w:val="20"/>
          <w:lang w:val="en-CA"/>
        </w:rPr>
        <w:t>File No.:</w:t>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r>
      <w:r w:rsidR="003C6AC4">
        <w:rPr>
          <w:rFonts w:cs="Times New Roman"/>
          <w:sz w:val="20"/>
          <w:szCs w:val="20"/>
          <w:lang w:val="en-CA"/>
        </w:rPr>
        <w:tab/>
      </w:r>
      <w:r w:rsidRPr="0085721F">
        <w:rPr>
          <w:rFonts w:cs="Times New Roman"/>
          <w:sz w:val="20"/>
          <w:szCs w:val="20"/>
          <w:lang w:val="en-CA"/>
        </w:rPr>
        <w:t>34231</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r w:rsidRPr="0085721F">
        <w:rPr>
          <w:rFonts w:cs="Times New Roman"/>
          <w:sz w:val="20"/>
          <w:szCs w:val="20"/>
          <w:lang w:val="en-CA"/>
        </w:rPr>
        <w:t>Judgment of the Court of Appeal:</w:t>
      </w:r>
      <w:r w:rsidRPr="0085721F">
        <w:rPr>
          <w:rFonts w:cs="Times New Roman"/>
          <w:sz w:val="20"/>
          <w:szCs w:val="20"/>
          <w:lang w:val="en-CA"/>
        </w:rPr>
        <w:tab/>
      </w:r>
      <w:r w:rsidR="003C6AC4">
        <w:rPr>
          <w:rFonts w:cs="Times New Roman"/>
          <w:sz w:val="20"/>
          <w:szCs w:val="20"/>
          <w:lang w:val="en-CA"/>
        </w:rPr>
        <w:tab/>
      </w:r>
      <w:r w:rsidRPr="0085721F">
        <w:rPr>
          <w:rFonts w:cs="Times New Roman"/>
          <w:sz w:val="20"/>
          <w:szCs w:val="20"/>
          <w:lang w:val="en-CA"/>
        </w:rPr>
        <w:t>February 28, 2011</w:t>
      </w:r>
    </w:p>
    <w:p w:rsidR="0085721F" w:rsidRPr="0085721F" w:rsidRDefault="0085721F" w:rsidP="0085721F">
      <w:pPr>
        <w:widowControl w:val="0"/>
        <w:jc w:val="both"/>
        <w:rPr>
          <w:rFonts w:cs="Times New Roman"/>
          <w:sz w:val="20"/>
          <w:szCs w:val="20"/>
          <w:lang w:val="en-CA"/>
        </w:rPr>
      </w:pPr>
    </w:p>
    <w:p w:rsidR="0085721F" w:rsidRPr="0085721F" w:rsidRDefault="003C6AC4" w:rsidP="003C6AC4">
      <w:pPr>
        <w:widowControl w:val="0"/>
        <w:ind w:left="3600" w:hanging="3600"/>
        <w:jc w:val="both"/>
        <w:rPr>
          <w:rFonts w:cs="Times New Roman"/>
          <w:sz w:val="20"/>
          <w:szCs w:val="20"/>
          <w:lang w:val="en-CA"/>
        </w:rPr>
      </w:pPr>
      <w:r>
        <w:rPr>
          <w:rFonts w:cs="Times New Roman"/>
          <w:sz w:val="20"/>
          <w:szCs w:val="20"/>
          <w:lang w:val="en-CA"/>
        </w:rPr>
        <w:t>Counsel:</w:t>
      </w:r>
      <w:r>
        <w:rPr>
          <w:rFonts w:cs="Times New Roman"/>
          <w:sz w:val="20"/>
          <w:szCs w:val="20"/>
          <w:lang w:val="en-CA"/>
        </w:rPr>
        <w:tab/>
      </w:r>
      <w:r w:rsidR="0085721F" w:rsidRPr="0085721F">
        <w:rPr>
          <w:rFonts w:cs="Times New Roman"/>
          <w:sz w:val="20"/>
          <w:szCs w:val="20"/>
          <w:lang w:val="en-CA"/>
        </w:rPr>
        <w:t xml:space="preserve">Gerald </w:t>
      </w:r>
      <w:proofErr w:type="spellStart"/>
      <w:r w:rsidR="0085721F" w:rsidRPr="0085721F">
        <w:rPr>
          <w:rFonts w:cs="Times New Roman"/>
          <w:sz w:val="20"/>
          <w:szCs w:val="20"/>
          <w:lang w:val="en-CA"/>
        </w:rPr>
        <w:t>Kerr</w:t>
      </w:r>
      <w:r w:rsidR="0085721F" w:rsidRPr="0085721F">
        <w:rPr>
          <w:rFonts w:cs="Times New Roman"/>
          <w:sz w:val="20"/>
          <w:szCs w:val="20"/>
          <w:lang w:val="en-CA"/>
        </w:rPr>
        <w:noBreakHyphen/>
        <w:t>Wilson</w:t>
      </w:r>
      <w:proofErr w:type="spellEnd"/>
      <w:r w:rsidR="0085721F" w:rsidRPr="0085721F">
        <w:rPr>
          <w:rFonts w:cs="Times New Roman"/>
          <w:sz w:val="20"/>
          <w:szCs w:val="20"/>
          <w:lang w:val="en-CA"/>
        </w:rPr>
        <w:t xml:space="preserve"> and Ariel Thomas for the appellants Rogers and </w:t>
      </w:r>
      <w:proofErr w:type="spellStart"/>
      <w:r w:rsidR="0085721F" w:rsidRPr="0085721F">
        <w:rPr>
          <w:rFonts w:cs="Times New Roman"/>
          <w:sz w:val="20"/>
          <w:szCs w:val="20"/>
          <w:lang w:val="en-CA"/>
        </w:rPr>
        <w:t>Telus</w:t>
      </w:r>
      <w:proofErr w:type="spellEnd"/>
    </w:p>
    <w:p w:rsidR="0085721F" w:rsidRPr="0085721F" w:rsidRDefault="0085721F" w:rsidP="003C6AC4">
      <w:pPr>
        <w:widowControl w:val="0"/>
        <w:ind w:left="3600" w:hanging="3600"/>
        <w:jc w:val="both"/>
        <w:rPr>
          <w:rFonts w:cs="Times New Roman"/>
          <w:sz w:val="20"/>
          <w:szCs w:val="20"/>
          <w:lang w:val="en-CA"/>
        </w:rPr>
      </w:pPr>
      <w:r w:rsidRPr="0085721F">
        <w:rPr>
          <w:rFonts w:cs="Times New Roman"/>
          <w:sz w:val="20"/>
          <w:szCs w:val="20"/>
          <w:lang w:val="en-CA"/>
        </w:rPr>
        <w:tab/>
        <w:t>Kent E. Thomson, James Doris and Sarah Weingarten for the appellant Shaw Communications</w:t>
      </w:r>
    </w:p>
    <w:p w:rsidR="0085721F" w:rsidRPr="0085721F" w:rsidRDefault="0085721F" w:rsidP="003C6AC4">
      <w:pPr>
        <w:widowControl w:val="0"/>
        <w:ind w:left="3600" w:hanging="3600"/>
        <w:jc w:val="both"/>
        <w:rPr>
          <w:rFonts w:cs="Times New Roman"/>
          <w:sz w:val="20"/>
          <w:szCs w:val="20"/>
          <w:lang w:val="en-CA"/>
        </w:rPr>
      </w:pPr>
      <w:r w:rsidRPr="0085721F">
        <w:rPr>
          <w:rFonts w:cs="Times New Roman"/>
          <w:sz w:val="20"/>
          <w:szCs w:val="20"/>
          <w:lang w:val="en-CA"/>
        </w:rPr>
        <w:tab/>
        <w:t>Neil Finkelstein, Steven G. Mason and Daniel G. C. Glover</w:t>
      </w:r>
      <w:r w:rsidR="003C6AC4">
        <w:rPr>
          <w:rFonts w:cs="Times New Roman"/>
          <w:sz w:val="20"/>
          <w:szCs w:val="20"/>
          <w:lang w:val="en-CA"/>
        </w:rPr>
        <w:t xml:space="preserve"> </w:t>
      </w:r>
      <w:r w:rsidRPr="0085721F">
        <w:rPr>
          <w:rFonts w:cs="Times New Roman"/>
          <w:sz w:val="20"/>
          <w:szCs w:val="20"/>
          <w:lang w:val="en-CA"/>
        </w:rPr>
        <w:t xml:space="preserve">for the appellant </w:t>
      </w:r>
      <w:proofErr w:type="spellStart"/>
      <w:r w:rsidRPr="0085721F">
        <w:rPr>
          <w:rFonts w:cs="Times New Roman"/>
          <w:sz w:val="20"/>
          <w:szCs w:val="20"/>
          <w:lang w:val="en-CA"/>
        </w:rPr>
        <w:t>Cogeco</w:t>
      </w:r>
      <w:proofErr w:type="spellEnd"/>
      <w:r w:rsidRPr="0085721F">
        <w:rPr>
          <w:rFonts w:cs="Times New Roman"/>
          <w:sz w:val="20"/>
          <w:szCs w:val="20"/>
          <w:lang w:val="en-CA"/>
        </w:rPr>
        <w:t xml:space="preserve"> Cable</w:t>
      </w:r>
    </w:p>
    <w:p w:rsidR="0085721F" w:rsidRPr="0085721F" w:rsidRDefault="0085721F" w:rsidP="003C6AC4">
      <w:pPr>
        <w:widowControl w:val="0"/>
        <w:ind w:left="3600" w:hanging="3600"/>
        <w:jc w:val="both"/>
        <w:rPr>
          <w:rFonts w:cs="Times New Roman"/>
          <w:sz w:val="20"/>
          <w:szCs w:val="20"/>
          <w:lang w:val="en-CA"/>
        </w:rPr>
      </w:pPr>
      <w:r w:rsidRPr="0085721F">
        <w:rPr>
          <w:rFonts w:cs="Times New Roman"/>
          <w:sz w:val="20"/>
          <w:szCs w:val="20"/>
          <w:lang w:val="en-CA"/>
        </w:rPr>
        <w:tab/>
        <w:t xml:space="preserve">Benjamin </w:t>
      </w:r>
      <w:proofErr w:type="spellStart"/>
      <w:r w:rsidRPr="0085721F">
        <w:rPr>
          <w:rFonts w:cs="Times New Roman"/>
          <w:sz w:val="20"/>
          <w:szCs w:val="20"/>
          <w:lang w:val="en-CA"/>
        </w:rPr>
        <w:t>Zarnett</w:t>
      </w:r>
      <w:proofErr w:type="spellEnd"/>
      <w:r w:rsidRPr="0085721F">
        <w:rPr>
          <w:rFonts w:cs="Times New Roman"/>
          <w:sz w:val="20"/>
          <w:szCs w:val="20"/>
          <w:lang w:val="en-CA"/>
        </w:rPr>
        <w:t xml:space="preserve"> and Robert </w:t>
      </w:r>
      <w:proofErr w:type="spellStart"/>
      <w:r w:rsidRPr="0085721F">
        <w:rPr>
          <w:rFonts w:cs="Times New Roman"/>
          <w:sz w:val="20"/>
          <w:szCs w:val="20"/>
          <w:lang w:val="en-CA"/>
        </w:rPr>
        <w:t>Malcolmson</w:t>
      </w:r>
      <w:proofErr w:type="spellEnd"/>
      <w:r w:rsidRPr="0085721F">
        <w:rPr>
          <w:rFonts w:cs="Times New Roman"/>
          <w:sz w:val="20"/>
          <w:szCs w:val="20"/>
          <w:lang w:val="en-CA"/>
        </w:rPr>
        <w:t xml:space="preserve"> for the respondents Bell Media, Newf</w:t>
      </w:r>
      <w:r w:rsidR="003C6AC4">
        <w:rPr>
          <w:rFonts w:cs="Times New Roman"/>
          <w:sz w:val="20"/>
          <w:szCs w:val="20"/>
          <w:lang w:val="en-CA"/>
        </w:rPr>
        <w:t xml:space="preserve">oundland Broadcasting and </w:t>
      </w:r>
      <w:r w:rsidRPr="0085721F">
        <w:rPr>
          <w:rFonts w:cs="Times New Roman"/>
          <w:sz w:val="20"/>
          <w:szCs w:val="20"/>
          <w:lang w:val="en-CA"/>
        </w:rPr>
        <w:t>V Interactions</w:t>
      </w:r>
    </w:p>
    <w:p w:rsidR="0085721F" w:rsidRDefault="0085721F" w:rsidP="003C6AC4">
      <w:pPr>
        <w:widowControl w:val="0"/>
        <w:ind w:left="3600" w:hanging="3600"/>
        <w:jc w:val="both"/>
        <w:rPr>
          <w:rFonts w:cs="Times New Roman"/>
          <w:sz w:val="20"/>
          <w:szCs w:val="20"/>
          <w:lang w:val="en-CA"/>
        </w:rPr>
      </w:pPr>
      <w:r w:rsidRPr="0085721F">
        <w:rPr>
          <w:rFonts w:cs="Times New Roman"/>
          <w:sz w:val="20"/>
          <w:szCs w:val="20"/>
          <w:lang w:val="en-CA"/>
        </w:rPr>
        <w:tab/>
        <w:t xml:space="preserve">Chris </w:t>
      </w:r>
      <w:proofErr w:type="spellStart"/>
      <w:r w:rsidRPr="0085721F">
        <w:rPr>
          <w:rFonts w:cs="Times New Roman"/>
          <w:sz w:val="20"/>
          <w:szCs w:val="20"/>
          <w:lang w:val="en-CA"/>
        </w:rPr>
        <w:t>Paliare</w:t>
      </w:r>
      <w:proofErr w:type="spellEnd"/>
      <w:r w:rsidRPr="0085721F">
        <w:rPr>
          <w:rFonts w:cs="Times New Roman"/>
          <w:sz w:val="20"/>
          <w:szCs w:val="20"/>
          <w:lang w:val="en-CA"/>
        </w:rPr>
        <w:t xml:space="preserve"> for the respondent </w:t>
      </w:r>
      <w:proofErr w:type="spellStart"/>
      <w:r w:rsidRPr="0085721F">
        <w:rPr>
          <w:rFonts w:cs="Times New Roman"/>
          <w:sz w:val="20"/>
          <w:szCs w:val="20"/>
          <w:lang w:val="en-CA"/>
        </w:rPr>
        <w:t>Canwest</w:t>
      </w:r>
      <w:proofErr w:type="spellEnd"/>
      <w:r w:rsidRPr="0085721F">
        <w:rPr>
          <w:rFonts w:cs="Times New Roman"/>
          <w:sz w:val="20"/>
          <w:szCs w:val="20"/>
          <w:lang w:val="en-CA"/>
        </w:rPr>
        <w:t xml:space="preserve"> Television</w:t>
      </w:r>
    </w:p>
    <w:p w:rsidR="003C6AC4" w:rsidRPr="0085721F" w:rsidRDefault="003C6AC4" w:rsidP="003C6AC4">
      <w:pPr>
        <w:widowControl w:val="0"/>
        <w:jc w:val="both"/>
        <w:rPr>
          <w:rFonts w:cs="Times New Roman"/>
          <w:sz w:val="20"/>
          <w:szCs w:val="20"/>
          <w:lang w:val="en-CA"/>
        </w:rPr>
      </w:pPr>
    </w:p>
    <w:p w:rsidR="0085721F" w:rsidRPr="0085721F" w:rsidRDefault="0085721F" w:rsidP="0085721F">
      <w:pPr>
        <w:rPr>
          <w:rFonts w:cs="Times New Roman"/>
          <w:sz w:val="20"/>
          <w:szCs w:val="20"/>
          <w:lang w:val="en-CA"/>
        </w:rPr>
      </w:pPr>
    </w:p>
    <w:p w:rsidR="003C6AC4" w:rsidRPr="0085721F" w:rsidRDefault="003C6AC4" w:rsidP="003C6AC4">
      <w:pPr>
        <w:pStyle w:val="SCCLsocParty"/>
        <w:ind w:left="720" w:hanging="720"/>
        <w:rPr>
          <w:i/>
          <w:sz w:val="20"/>
          <w:szCs w:val="20"/>
          <w:lang w:val="fr-CA"/>
        </w:rPr>
      </w:pPr>
      <w:r w:rsidRPr="003C6AC4">
        <w:rPr>
          <w:rStyle w:val="SCCFileNumberChar"/>
          <w:sz w:val="20"/>
          <w:szCs w:val="20"/>
          <w:lang w:val="en-US"/>
        </w:rPr>
        <w:t>34231</w:t>
      </w:r>
      <w:r w:rsidRPr="003C6AC4">
        <w:rPr>
          <w:rFonts w:eastAsiaTheme="minorHAnsi"/>
          <w:b w:val="0"/>
          <w:bCs w:val="0"/>
          <w:sz w:val="20"/>
          <w:szCs w:val="20"/>
          <w:lang w:val="en-US"/>
        </w:rPr>
        <w:tab/>
      </w:r>
      <w:proofErr w:type="spellStart"/>
      <w:r w:rsidRPr="0085721F">
        <w:rPr>
          <w:i/>
          <w:sz w:val="20"/>
          <w:szCs w:val="20"/>
          <w:lang w:val="en-US"/>
        </w:rPr>
        <w:t>Cogeco</w:t>
      </w:r>
      <w:proofErr w:type="spellEnd"/>
      <w:r w:rsidRPr="0085721F">
        <w:rPr>
          <w:i/>
          <w:sz w:val="20"/>
          <w:szCs w:val="20"/>
          <w:lang w:val="en-US"/>
        </w:rPr>
        <w:t xml:space="preserve"> Cable Inc. c. Bell Media Inc. et al. </w:t>
      </w:r>
      <w:r w:rsidRPr="0085721F">
        <w:rPr>
          <w:i/>
          <w:sz w:val="20"/>
          <w:szCs w:val="20"/>
          <w:lang w:val="fr-CA"/>
        </w:rPr>
        <w:noBreakHyphen/>
      </w:r>
      <w:proofErr w:type="spellStart"/>
      <w:r w:rsidRPr="0085721F">
        <w:rPr>
          <w:i/>
          <w:sz w:val="20"/>
          <w:szCs w:val="20"/>
          <w:lang w:val="fr-CA"/>
        </w:rPr>
        <w:t>et</w:t>
      </w:r>
      <w:r w:rsidRPr="0085721F">
        <w:rPr>
          <w:i/>
          <w:sz w:val="20"/>
          <w:szCs w:val="20"/>
          <w:lang w:val="fr-CA"/>
        </w:rPr>
        <w:noBreakHyphen/>
      </w:r>
      <w:proofErr w:type="spellEnd"/>
      <w:r w:rsidRPr="0085721F">
        <w:rPr>
          <w:i/>
          <w:sz w:val="20"/>
          <w:szCs w:val="20"/>
          <w:lang w:val="fr-CA"/>
        </w:rPr>
        <w:t xml:space="preserve"> </w:t>
      </w:r>
      <w:r w:rsidRPr="0085721F">
        <w:rPr>
          <w:bCs w:val="0"/>
          <w:i/>
          <w:sz w:val="20"/>
          <w:szCs w:val="20"/>
          <w:lang w:val="fr-CA"/>
        </w:rPr>
        <w:t>Conseil de la radiodiffusion et des télécommunications canadiennes</w:t>
      </w:r>
      <w:r w:rsidRPr="0085721F">
        <w:rPr>
          <w:i/>
          <w:sz w:val="20"/>
          <w:szCs w:val="20"/>
          <w:lang w:val="fr-CA"/>
        </w:rPr>
        <w:t xml:space="preserve"> (</w:t>
      </w:r>
      <w:proofErr w:type="gramStart"/>
      <w:r w:rsidRPr="0085721F">
        <w:rPr>
          <w:i/>
          <w:sz w:val="20"/>
          <w:szCs w:val="20"/>
          <w:lang w:val="fr-CA"/>
        </w:rPr>
        <w:t>CRTC )</w:t>
      </w:r>
      <w:proofErr w:type="gramEnd"/>
      <w:r w:rsidRPr="0085721F">
        <w:rPr>
          <w:i/>
          <w:sz w:val="20"/>
          <w:szCs w:val="20"/>
          <w:lang w:val="fr-CA"/>
        </w:rPr>
        <w:noBreakHyphen/>
        <w:t xml:space="preserve"> et entre </w:t>
      </w:r>
      <w:r w:rsidRPr="0085721F">
        <w:rPr>
          <w:i/>
          <w:sz w:val="20"/>
          <w:szCs w:val="20"/>
          <w:lang w:val="fr-CA"/>
        </w:rPr>
        <w:noBreakHyphen/>
        <w:t xml:space="preserve"> Rogers Communications Inc. et </w:t>
      </w:r>
      <w:proofErr w:type="spellStart"/>
      <w:r w:rsidRPr="0085721F">
        <w:rPr>
          <w:i/>
          <w:sz w:val="20"/>
          <w:szCs w:val="20"/>
          <w:lang w:val="fr-CA"/>
        </w:rPr>
        <w:t>Telus</w:t>
      </w:r>
      <w:proofErr w:type="spellEnd"/>
      <w:r w:rsidRPr="0085721F">
        <w:rPr>
          <w:i/>
          <w:sz w:val="20"/>
          <w:szCs w:val="20"/>
          <w:lang w:val="fr-CA"/>
        </w:rPr>
        <w:t xml:space="preserve"> Communications </w:t>
      </w:r>
      <w:proofErr w:type="spellStart"/>
      <w:r w:rsidRPr="0085721F">
        <w:rPr>
          <w:i/>
          <w:sz w:val="20"/>
          <w:szCs w:val="20"/>
          <w:lang w:val="fr-CA"/>
        </w:rPr>
        <w:t>Company</w:t>
      </w:r>
      <w:proofErr w:type="spellEnd"/>
      <w:r w:rsidRPr="0085721F">
        <w:rPr>
          <w:i/>
          <w:sz w:val="20"/>
          <w:szCs w:val="20"/>
          <w:lang w:val="fr-CA"/>
        </w:rPr>
        <w:t xml:space="preserve"> c. Bell Media Inc. et al.</w:t>
      </w:r>
      <w:r w:rsidRPr="0085721F">
        <w:rPr>
          <w:i/>
          <w:sz w:val="20"/>
          <w:szCs w:val="20"/>
          <w:lang w:val="fr-CA"/>
        </w:rPr>
        <w:noBreakHyphen/>
      </w:r>
      <w:proofErr w:type="spellStart"/>
      <w:r w:rsidRPr="0085721F">
        <w:rPr>
          <w:i/>
          <w:sz w:val="20"/>
          <w:szCs w:val="20"/>
          <w:lang w:val="fr-CA"/>
        </w:rPr>
        <w:t>et</w:t>
      </w:r>
      <w:r w:rsidRPr="0085721F">
        <w:rPr>
          <w:i/>
          <w:sz w:val="20"/>
          <w:szCs w:val="20"/>
          <w:lang w:val="fr-CA"/>
        </w:rPr>
        <w:noBreakHyphen/>
      </w:r>
      <w:r w:rsidRPr="0085721F">
        <w:rPr>
          <w:bCs w:val="0"/>
          <w:i/>
          <w:sz w:val="20"/>
          <w:szCs w:val="20"/>
          <w:lang w:val="fr-CA"/>
        </w:rPr>
        <w:t>Conseil</w:t>
      </w:r>
      <w:proofErr w:type="spellEnd"/>
      <w:r w:rsidRPr="0085721F">
        <w:rPr>
          <w:bCs w:val="0"/>
          <w:i/>
          <w:sz w:val="20"/>
          <w:szCs w:val="20"/>
          <w:lang w:val="fr-CA"/>
        </w:rPr>
        <w:t xml:space="preserve"> de la radiodiffusion et des télécommunications canadiennes</w:t>
      </w:r>
      <w:r w:rsidRPr="0085721F">
        <w:rPr>
          <w:i/>
          <w:sz w:val="20"/>
          <w:szCs w:val="20"/>
          <w:lang w:val="fr-CA"/>
        </w:rPr>
        <w:t xml:space="preserve"> (CRTC) </w:t>
      </w:r>
      <w:r w:rsidRPr="0085721F">
        <w:rPr>
          <w:i/>
          <w:sz w:val="20"/>
          <w:szCs w:val="20"/>
          <w:lang w:val="fr-CA"/>
        </w:rPr>
        <w:noBreakHyphen/>
        <w:t xml:space="preserve"> et entre </w:t>
      </w:r>
      <w:r w:rsidRPr="0085721F">
        <w:rPr>
          <w:i/>
          <w:sz w:val="20"/>
          <w:szCs w:val="20"/>
          <w:lang w:val="fr-CA"/>
        </w:rPr>
        <w:noBreakHyphen/>
        <w:t xml:space="preserve"> Shaw Communications Inc. c. Bell Media Inc. et al. et </w:t>
      </w:r>
      <w:r w:rsidRPr="0085721F">
        <w:rPr>
          <w:bCs w:val="0"/>
          <w:i/>
          <w:sz w:val="20"/>
          <w:szCs w:val="20"/>
          <w:lang w:val="fr-CA"/>
        </w:rPr>
        <w:t>Conseil de la radiodiffusion et des télécommunications canadiennes</w:t>
      </w:r>
      <w:r w:rsidRPr="0085721F">
        <w:rPr>
          <w:i/>
          <w:sz w:val="20"/>
          <w:szCs w:val="20"/>
          <w:lang w:val="fr-CA"/>
        </w:rPr>
        <w:t xml:space="preserve"> (CRTC)</w:t>
      </w:r>
    </w:p>
    <w:p w:rsidR="003C6AC4" w:rsidRPr="0085721F" w:rsidRDefault="003C6AC4" w:rsidP="00317C2D">
      <w:pPr>
        <w:tabs>
          <w:tab w:val="left" w:pos="1007"/>
        </w:tabs>
        <w:rPr>
          <w:rFonts w:cs="Times New Roman"/>
          <w:sz w:val="20"/>
          <w:szCs w:val="20"/>
          <w:lang w:val="fr-CA"/>
        </w:rPr>
      </w:pPr>
    </w:p>
    <w:p w:rsidR="003C6AC4" w:rsidRPr="0085721F" w:rsidRDefault="003C6AC4" w:rsidP="00246DDB">
      <w:pPr>
        <w:jc w:val="both"/>
        <w:rPr>
          <w:rFonts w:cs="Times New Roman"/>
          <w:sz w:val="20"/>
          <w:szCs w:val="20"/>
          <w:lang w:val="fr-CA"/>
        </w:rPr>
      </w:pPr>
      <w:r w:rsidRPr="0085721F">
        <w:rPr>
          <w:rFonts w:cs="Times New Roman"/>
          <w:sz w:val="20"/>
          <w:szCs w:val="20"/>
          <w:lang w:val="fr-CA"/>
        </w:rPr>
        <w:t xml:space="preserve">Droit des communications </w:t>
      </w:r>
      <w:r w:rsidRPr="0085721F">
        <w:rPr>
          <w:rFonts w:cs="Times New Roman"/>
          <w:sz w:val="20"/>
          <w:szCs w:val="20"/>
          <w:lang w:val="fr-CA"/>
        </w:rPr>
        <w:noBreakHyphen/>
        <w:t xml:space="preserve"> Radiodiffusion </w:t>
      </w:r>
      <w:r w:rsidRPr="0085721F">
        <w:rPr>
          <w:rFonts w:cs="Times New Roman"/>
          <w:sz w:val="20"/>
          <w:szCs w:val="20"/>
          <w:lang w:val="fr-CA"/>
        </w:rPr>
        <w:noBreakHyphen/>
        <w:t xml:space="preserve"> Politique de radiodiffusion </w:t>
      </w:r>
      <w:r w:rsidRPr="0085721F">
        <w:rPr>
          <w:rFonts w:cs="Times New Roman"/>
          <w:sz w:val="20"/>
          <w:szCs w:val="20"/>
          <w:lang w:val="fr-CA"/>
        </w:rPr>
        <w:noBreakHyphen/>
        <w:t xml:space="preserve"> Législation </w:t>
      </w:r>
      <w:r w:rsidRPr="0085721F">
        <w:rPr>
          <w:rFonts w:cs="Times New Roman"/>
          <w:sz w:val="20"/>
          <w:szCs w:val="20"/>
          <w:lang w:val="fr-CA"/>
        </w:rPr>
        <w:noBreakHyphen/>
        <w:t xml:space="preserve"> Interprétation </w:t>
      </w:r>
      <w:r w:rsidRPr="0085721F">
        <w:rPr>
          <w:rFonts w:cs="Times New Roman"/>
          <w:sz w:val="20"/>
          <w:szCs w:val="20"/>
          <w:lang w:val="fr-CA"/>
        </w:rPr>
        <w:noBreakHyphen/>
        <w:t xml:space="preserve"> Loi incompatible </w:t>
      </w:r>
      <w:r w:rsidRPr="0085721F">
        <w:rPr>
          <w:rFonts w:cs="Times New Roman"/>
          <w:sz w:val="20"/>
          <w:szCs w:val="20"/>
          <w:lang w:val="fr-CA"/>
        </w:rPr>
        <w:noBreakHyphen/>
        <w:t xml:space="preserve"> Compétence du Conseil de la radiodiffusion et des télécommunications canadiennes (CRTC) </w:t>
      </w:r>
      <w:r w:rsidRPr="0085721F">
        <w:rPr>
          <w:rFonts w:cs="Times New Roman"/>
          <w:sz w:val="20"/>
          <w:szCs w:val="20"/>
          <w:lang w:val="fr-CA"/>
        </w:rPr>
        <w:noBreakHyphen/>
        <w:t xml:space="preserve"> Le CRTC </w:t>
      </w:r>
      <w:proofErr w:type="spellStart"/>
      <w:r w:rsidRPr="0085721F">
        <w:rPr>
          <w:rFonts w:cs="Times New Roman"/>
          <w:sz w:val="20"/>
          <w:szCs w:val="20"/>
          <w:lang w:val="fr-CA"/>
        </w:rPr>
        <w:t>a</w:t>
      </w:r>
      <w:r w:rsidRPr="0085721F">
        <w:rPr>
          <w:rFonts w:cs="Times New Roman"/>
          <w:sz w:val="20"/>
          <w:szCs w:val="20"/>
          <w:lang w:val="fr-CA"/>
        </w:rPr>
        <w:noBreakHyphen/>
        <w:t>t</w:t>
      </w:r>
      <w:r w:rsidRPr="0085721F">
        <w:rPr>
          <w:rFonts w:cs="Times New Roman"/>
          <w:sz w:val="20"/>
          <w:szCs w:val="20"/>
          <w:lang w:val="fr-CA"/>
        </w:rPr>
        <w:noBreakHyphen/>
        <w:t>il</w:t>
      </w:r>
      <w:proofErr w:type="spellEnd"/>
      <w:r w:rsidRPr="0085721F">
        <w:rPr>
          <w:rFonts w:cs="Times New Roman"/>
          <w:sz w:val="20"/>
          <w:szCs w:val="20"/>
          <w:lang w:val="fr-CA"/>
        </w:rPr>
        <w:t xml:space="preserve"> la compétence, en vertu du mandat que lui confère la </w:t>
      </w:r>
      <w:r w:rsidRPr="0085721F">
        <w:rPr>
          <w:rFonts w:cs="Times New Roman"/>
          <w:i/>
          <w:iCs/>
          <w:sz w:val="20"/>
          <w:szCs w:val="20"/>
          <w:lang w:val="fr-CA"/>
        </w:rPr>
        <w:t>Loi sur la radiodiffusion</w:t>
      </w:r>
      <w:r w:rsidRPr="0085721F">
        <w:rPr>
          <w:rFonts w:cs="Times New Roman"/>
          <w:sz w:val="20"/>
          <w:szCs w:val="20"/>
          <w:lang w:val="fr-CA"/>
        </w:rPr>
        <w:t xml:space="preserve">, pour établir un régime permettant aux stations privées de télévision locale de négocier avec les entreprises de distribution de radiodiffusion une juste valeur en échange de la distribution des services de programmation diffusée par ces stations de télévision locales? </w:t>
      </w:r>
      <w:r w:rsidRPr="0085721F">
        <w:rPr>
          <w:rFonts w:cs="Times New Roman"/>
          <w:sz w:val="20"/>
          <w:szCs w:val="20"/>
          <w:lang w:val="fr-CA"/>
        </w:rPr>
        <w:noBreakHyphen/>
        <w:t xml:space="preserve"> Le régime de compensation pour la valeur des signaux proposé par le CRTC </w:t>
      </w:r>
      <w:proofErr w:type="spellStart"/>
      <w:r w:rsidRPr="0085721F">
        <w:rPr>
          <w:rFonts w:cs="Times New Roman"/>
          <w:sz w:val="20"/>
          <w:szCs w:val="20"/>
          <w:lang w:val="fr-CA"/>
        </w:rPr>
        <w:t>entrerait</w:t>
      </w:r>
      <w:r w:rsidRPr="0085721F">
        <w:rPr>
          <w:rFonts w:cs="Times New Roman"/>
          <w:sz w:val="20"/>
          <w:szCs w:val="20"/>
          <w:lang w:val="fr-CA"/>
        </w:rPr>
        <w:noBreakHyphen/>
        <w:t>il</w:t>
      </w:r>
      <w:proofErr w:type="spellEnd"/>
      <w:r w:rsidRPr="0085721F">
        <w:rPr>
          <w:rFonts w:cs="Times New Roman"/>
          <w:sz w:val="20"/>
          <w:szCs w:val="20"/>
          <w:lang w:val="fr-CA"/>
        </w:rPr>
        <w:t xml:space="preserve"> nécessairement en conflit avec les droits conférés aux entreprises de distribution de radiodiffusion en vertu de la</w:t>
      </w:r>
      <w:r w:rsidRPr="0085721F">
        <w:rPr>
          <w:rFonts w:cs="Times New Roman"/>
          <w:i/>
          <w:sz w:val="20"/>
          <w:szCs w:val="20"/>
          <w:lang w:val="fr-CA"/>
        </w:rPr>
        <w:t xml:space="preserve"> Loi sur le droit d’auteur</w:t>
      </w:r>
      <w:r w:rsidRPr="0085721F">
        <w:rPr>
          <w:rFonts w:cs="Times New Roman"/>
          <w:sz w:val="20"/>
          <w:szCs w:val="20"/>
          <w:lang w:val="fr-CA"/>
        </w:rPr>
        <w:t>?</w:t>
      </w:r>
      <w:r w:rsidRPr="0085721F">
        <w:rPr>
          <w:rFonts w:cs="Times New Roman"/>
          <w:i/>
          <w:sz w:val="20"/>
          <w:szCs w:val="20"/>
          <w:lang w:val="fr-CA"/>
        </w:rPr>
        <w:t xml:space="preserve"> </w:t>
      </w:r>
      <w:r w:rsidRPr="0085721F">
        <w:rPr>
          <w:rFonts w:cs="Times New Roman"/>
          <w:sz w:val="20"/>
          <w:szCs w:val="20"/>
          <w:lang w:val="fr-CA"/>
        </w:rPr>
        <w:noBreakHyphen/>
      </w:r>
      <w:r w:rsidRPr="0085721F">
        <w:rPr>
          <w:rFonts w:cs="Times New Roman"/>
          <w:i/>
          <w:sz w:val="20"/>
          <w:szCs w:val="20"/>
          <w:lang w:val="fr-CA"/>
        </w:rPr>
        <w:t xml:space="preserve"> Loi sur la radiodiffusion</w:t>
      </w:r>
      <w:r w:rsidRPr="0085721F">
        <w:rPr>
          <w:rFonts w:cs="Times New Roman"/>
          <w:sz w:val="20"/>
          <w:szCs w:val="20"/>
          <w:lang w:val="fr-CA"/>
        </w:rPr>
        <w:t xml:space="preserve">, L.C. 1991, ch. 11, art. 2(1), 3(1), 3(2), 5 </w:t>
      </w:r>
      <w:r w:rsidRPr="0085721F">
        <w:rPr>
          <w:rFonts w:cs="Times New Roman"/>
          <w:sz w:val="20"/>
          <w:szCs w:val="20"/>
          <w:lang w:val="fr-CA"/>
        </w:rPr>
        <w:noBreakHyphen/>
      </w:r>
      <w:r w:rsidRPr="0085721F">
        <w:rPr>
          <w:rFonts w:cs="Times New Roman"/>
          <w:i/>
          <w:sz w:val="20"/>
          <w:szCs w:val="20"/>
          <w:lang w:val="fr-CA"/>
        </w:rPr>
        <w:t xml:space="preserve"> Loi sur le droit d’auteur</w:t>
      </w:r>
      <w:r w:rsidRPr="0085721F">
        <w:rPr>
          <w:rFonts w:cs="Times New Roman"/>
          <w:sz w:val="20"/>
          <w:szCs w:val="20"/>
          <w:lang w:val="fr-CA"/>
        </w:rPr>
        <w:t>, L.R.C. 1985, ch. C</w:t>
      </w:r>
      <w:r w:rsidRPr="0085721F">
        <w:rPr>
          <w:rFonts w:cs="Times New Roman"/>
          <w:sz w:val="20"/>
          <w:szCs w:val="20"/>
          <w:lang w:val="fr-CA"/>
        </w:rPr>
        <w:noBreakHyphen/>
        <w:t>42, art. 21, 31.</w:t>
      </w:r>
    </w:p>
    <w:p w:rsidR="003C6AC4" w:rsidRPr="0085721F" w:rsidRDefault="003C6AC4" w:rsidP="00246DDB">
      <w:pPr>
        <w:pStyle w:val="SCCBanSummary"/>
        <w:rPr>
          <w:sz w:val="20"/>
          <w:szCs w:val="20"/>
          <w:lang w:val="fr-CA"/>
        </w:rPr>
      </w:pPr>
    </w:p>
    <w:p w:rsidR="003C6AC4" w:rsidRPr="0085721F" w:rsidRDefault="003C6AC4" w:rsidP="00246DDB">
      <w:pPr>
        <w:jc w:val="both"/>
        <w:rPr>
          <w:rFonts w:cs="Times New Roman"/>
          <w:sz w:val="20"/>
          <w:szCs w:val="20"/>
          <w:lang w:val="fr-CA"/>
        </w:rPr>
      </w:pPr>
      <w:r w:rsidRPr="0085721F">
        <w:rPr>
          <w:rFonts w:cs="Times New Roman"/>
          <w:sz w:val="20"/>
          <w:szCs w:val="20"/>
          <w:lang w:val="fr-CA"/>
        </w:rPr>
        <w:t>Le Conseil de la radiodiffusion et des télécommunications canadiennes (CRTC) renvoie la question suivante à la Cour d’appel fédérale:</w:t>
      </w:r>
    </w:p>
    <w:p w:rsidR="003C6AC4" w:rsidRPr="0085721F" w:rsidRDefault="003C6AC4" w:rsidP="00246DDB">
      <w:pPr>
        <w:jc w:val="both"/>
        <w:rPr>
          <w:rFonts w:cs="Times New Roman"/>
          <w:sz w:val="20"/>
          <w:szCs w:val="20"/>
          <w:lang w:val="fr-CA"/>
        </w:rPr>
      </w:pPr>
    </w:p>
    <w:p w:rsidR="003C6AC4" w:rsidRPr="0085721F" w:rsidRDefault="003C6AC4" w:rsidP="00562497">
      <w:pPr>
        <w:ind w:left="720" w:right="720"/>
        <w:jc w:val="both"/>
        <w:rPr>
          <w:rFonts w:cs="Times New Roman"/>
          <w:sz w:val="20"/>
          <w:szCs w:val="20"/>
          <w:lang w:val="fr-CA"/>
        </w:rPr>
      </w:pPr>
      <w:r w:rsidRPr="0085721F">
        <w:rPr>
          <w:rFonts w:cs="Times New Roman"/>
          <w:sz w:val="20"/>
          <w:szCs w:val="20"/>
          <w:lang w:val="fr-CA"/>
        </w:rPr>
        <w:t xml:space="preserve">Le Conseil </w:t>
      </w:r>
      <w:proofErr w:type="spellStart"/>
      <w:r w:rsidRPr="0085721F">
        <w:rPr>
          <w:rFonts w:cs="Times New Roman"/>
          <w:sz w:val="20"/>
          <w:szCs w:val="20"/>
          <w:lang w:val="fr-CA"/>
        </w:rPr>
        <w:t>a</w:t>
      </w:r>
      <w:r w:rsidRPr="0085721F">
        <w:rPr>
          <w:rFonts w:cs="Times New Roman"/>
          <w:sz w:val="20"/>
          <w:szCs w:val="20"/>
          <w:lang w:val="fr-CA"/>
        </w:rPr>
        <w:noBreakHyphen/>
        <w:t>t</w:t>
      </w:r>
      <w:r w:rsidRPr="0085721F">
        <w:rPr>
          <w:rFonts w:cs="Times New Roman"/>
          <w:sz w:val="20"/>
          <w:szCs w:val="20"/>
          <w:lang w:val="fr-CA"/>
        </w:rPr>
        <w:noBreakHyphen/>
        <w:t>il</w:t>
      </w:r>
      <w:proofErr w:type="spellEnd"/>
      <w:r w:rsidRPr="0085721F">
        <w:rPr>
          <w:rFonts w:cs="Times New Roman"/>
          <w:sz w:val="20"/>
          <w:szCs w:val="20"/>
          <w:lang w:val="fr-CA"/>
        </w:rPr>
        <w:t xml:space="preserve"> la compétence, en vertu du mandat que lui confère la </w:t>
      </w:r>
      <w:r w:rsidRPr="0085721F">
        <w:rPr>
          <w:rFonts w:cs="Times New Roman"/>
          <w:i/>
          <w:iCs/>
          <w:sz w:val="20"/>
          <w:szCs w:val="20"/>
          <w:lang w:val="fr-CA"/>
        </w:rPr>
        <w:t>Loi sur la radiodiffusion</w:t>
      </w:r>
      <w:r w:rsidRPr="0085721F">
        <w:rPr>
          <w:rFonts w:cs="Times New Roman"/>
          <w:sz w:val="20"/>
          <w:szCs w:val="20"/>
          <w:lang w:val="fr-CA"/>
        </w:rPr>
        <w:t>, pour établir un régime permettant aux stations privées de télévision locale de choisir de négocier avec les entreprises de distribution de radiodiffusion une juste valeur en échange de la distribution des services de programmation diffusée par ces stations de télévision locales?</w:t>
      </w:r>
    </w:p>
    <w:p w:rsidR="003C6AC4" w:rsidRPr="0085721F" w:rsidRDefault="003C6AC4" w:rsidP="00246DDB">
      <w:pPr>
        <w:ind w:left="720"/>
        <w:jc w:val="both"/>
        <w:rPr>
          <w:rFonts w:cs="Times New Roman"/>
          <w:sz w:val="20"/>
          <w:szCs w:val="20"/>
          <w:lang w:val="fr-CA"/>
        </w:rPr>
      </w:pPr>
    </w:p>
    <w:p w:rsidR="003C6AC4" w:rsidRPr="0085721F" w:rsidRDefault="003C6AC4" w:rsidP="00246DDB">
      <w:pPr>
        <w:jc w:val="both"/>
        <w:rPr>
          <w:rFonts w:cs="Times New Roman"/>
          <w:sz w:val="20"/>
          <w:szCs w:val="20"/>
          <w:lang w:val="fr-CA"/>
        </w:rPr>
      </w:pPr>
      <w:r w:rsidRPr="0085721F">
        <w:rPr>
          <w:rFonts w:cs="Times New Roman"/>
          <w:sz w:val="20"/>
          <w:szCs w:val="20"/>
          <w:lang w:val="fr-CA"/>
        </w:rPr>
        <w:t>Le régime auquel la question fait référence est parfois désigné sous le nom de régime « de compensation pour la valeur des signaux », qui permettrait à une station privée de télévision locale de négocier avec des fournisseurs de service de télévision par câble (appelés « entreprises de distribution de radiodiffusion » ou « EDR ») une entente selon laquelle ces derniers lui verseraient une contrepartie en échange du droit de retransmettre ses signaux.  Le CRTC a déterminé qu’un tel régime de compensation pour la valeur des signaux était nécessaire à la réalisation des objectifs stratégiques de radiodiffusion énoncés au paragraphe 3(1) de la </w:t>
      </w:r>
      <w:r w:rsidRPr="0085721F">
        <w:rPr>
          <w:rFonts w:cs="Times New Roman"/>
          <w:i/>
          <w:iCs/>
          <w:sz w:val="20"/>
          <w:szCs w:val="20"/>
          <w:lang w:val="fr-CA"/>
        </w:rPr>
        <w:t>Loi sur la radiodiffusion</w:t>
      </w:r>
      <w:r w:rsidRPr="0085721F">
        <w:rPr>
          <w:rFonts w:cs="Times New Roman"/>
          <w:sz w:val="20"/>
          <w:szCs w:val="20"/>
          <w:lang w:val="fr-CA"/>
        </w:rPr>
        <w:t>.  Les exploitants de stations privées de télévision locale sont généralement favorables au régime proposé alors que, de façon générale, les EDR sont contre.  Selon le régime actuel, les EDR captent les signaux diffusés en direct par des stations privées de télévision locale et les retransmettent à leurs abonnés moyennant le paiement de certains frais.   Le CRTC exige des EDR qu’elles accordent certains avantages aux stations privées de télévision locale pour ces signaux.  Le CRTC a conclu que le modèle réglementaire existant ne répondait pas adéquatement aux changements récents survenus dans l’industrie de la radiodiffusion.  Parmi les changements constatés par le CRTC, il y a le développement de services de radiodiffusion directe à domicile par satellite, le développement de canaux de télévision spécialisés qui sont autorisés à percevoir des frais directement des EDR qui les distribuent et l’adoption à grande échelle de nouvelles plateformes médiatiques.  Par suite de ces changements, les stations de télévision locale ont subi une baisse de revenus de publicité alors que les EDR ont vu leurs revenus augmenter, ce qui s’est traduit par un changement important de leur position respective sur le marché et par une crise financière pour les stations privées de télévision locale.  Le CRTC a conclu qu’il était possible d’éviter cette crise financière en adoptant un régime de compensation pour la valeur des signaux qui ferait intervenir les forces du marché.  Le CRTC a donc présenté une demande de renvoi à la Cour d’appel fédérale pour déterminer sa compétence à instaurer le régime proposé.</w:t>
      </w:r>
    </w:p>
    <w:p w:rsidR="003C6AC4" w:rsidRPr="0085721F" w:rsidRDefault="003C6AC4" w:rsidP="00246DDB">
      <w:pPr>
        <w:jc w:val="both"/>
        <w:rPr>
          <w:rFonts w:cs="Times New Roman"/>
          <w:sz w:val="20"/>
          <w:szCs w:val="20"/>
          <w:lang w:val="fr-CA"/>
        </w:rPr>
      </w:pPr>
    </w:p>
    <w:p w:rsidR="0085721F" w:rsidRPr="0085721F" w:rsidRDefault="0085721F" w:rsidP="0085721F">
      <w:pPr>
        <w:rPr>
          <w:rFonts w:cs="Times New Roman"/>
          <w:sz w:val="20"/>
          <w:szCs w:val="20"/>
          <w:lang w:val="fr-CA"/>
        </w:rPr>
      </w:pPr>
    </w:p>
    <w:p w:rsidR="0085721F" w:rsidRPr="0085721F" w:rsidRDefault="0085721F" w:rsidP="0085721F">
      <w:pPr>
        <w:rPr>
          <w:rFonts w:cs="Times New Roman"/>
          <w:sz w:val="20"/>
          <w:szCs w:val="20"/>
          <w:lang w:val="fr-CA"/>
        </w:rPr>
      </w:pPr>
      <w:r w:rsidRPr="0085721F">
        <w:rPr>
          <w:rFonts w:cs="Times New Roman"/>
          <w:sz w:val="20"/>
          <w:szCs w:val="20"/>
          <w:lang w:val="fr-CA"/>
        </w:rPr>
        <w:t xml:space="preserve">Origine de la cause : </w:t>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t>Cour d’appel fédérale</w:t>
      </w:r>
    </w:p>
    <w:p w:rsidR="0085721F" w:rsidRPr="0085721F" w:rsidRDefault="0085721F" w:rsidP="0085721F">
      <w:pPr>
        <w:rPr>
          <w:rFonts w:cs="Times New Roman"/>
          <w:sz w:val="20"/>
          <w:szCs w:val="20"/>
          <w:lang w:val="fr-CA"/>
        </w:rPr>
      </w:pPr>
    </w:p>
    <w:p w:rsidR="0085721F" w:rsidRPr="0085721F" w:rsidRDefault="0085721F" w:rsidP="0085721F">
      <w:pPr>
        <w:rPr>
          <w:rFonts w:cs="Times New Roman"/>
          <w:sz w:val="20"/>
          <w:szCs w:val="20"/>
          <w:lang w:val="fr-CA"/>
        </w:rPr>
      </w:pPr>
      <w:r w:rsidRPr="0085721F">
        <w:rPr>
          <w:rFonts w:cs="Times New Roman"/>
          <w:sz w:val="20"/>
          <w:szCs w:val="20"/>
          <w:lang w:val="fr-CA"/>
        </w:rPr>
        <w:t>N</w:t>
      </w:r>
      <w:r w:rsidRPr="0085721F">
        <w:rPr>
          <w:rFonts w:cs="Times New Roman"/>
          <w:sz w:val="20"/>
          <w:szCs w:val="20"/>
          <w:vertAlign w:val="superscript"/>
          <w:lang w:val="fr-CA"/>
        </w:rPr>
        <w:t>o</w:t>
      </w:r>
      <w:r w:rsidRPr="0085721F">
        <w:rPr>
          <w:rFonts w:cs="Times New Roman"/>
          <w:sz w:val="20"/>
          <w:szCs w:val="20"/>
          <w:lang w:val="fr-CA"/>
        </w:rPr>
        <w:t xml:space="preserve"> du greffe :</w:t>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t>34231</w:t>
      </w:r>
    </w:p>
    <w:p w:rsidR="0085721F" w:rsidRPr="0085721F" w:rsidRDefault="0085721F" w:rsidP="0085721F">
      <w:pPr>
        <w:rPr>
          <w:rFonts w:cs="Times New Roman"/>
          <w:sz w:val="20"/>
          <w:szCs w:val="20"/>
          <w:lang w:val="fr-CA"/>
        </w:rPr>
      </w:pPr>
    </w:p>
    <w:p w:rsidR="0085721F" w:rsidRPr="0085721F" w:rsidRDefault="0085721F" w:rsidP="0085721F">
      <w:pPr>
        <w:rPr>
          <w:rFonts w:cs="Times New Roman"/>
          <w:sz w:val="20"/>
          <w:szCs w:val="20"/>
          <w:lang w:val="fr-CA"/>
        </w:rPr>
      </w:pPr>
      <w:r w:rsidRPr="0085721F">
        <w:rPr>
          <w:rFonts w:cs="Times New Roman"/>
          <w:sz w:val="20"/>
          <w:szCs w:val="20"/>
          <w:lang w:val="fr-CA"/>
        </w:rPr>
        <w:t xml:space="preserve">Arrêt de la Cour d’appel : </w:t>
      </w:r>
      <w:r w:rsidRPr="0085721F">
        <w:rPr>
          <w:rFonts w:cs="Times New Roman"/>
          <w:sz w:val="20"/>
          <w:szCs w:val="20"/>
          <w:lang w:val="fr-CA"/>
        </w:rPr>
        <w:tab/>
      </w:r>
      <w:r w:rsidRPr="0085721F">
        <w:rPr>
          <w:rFonts w:cs="Times New Roman"/>
          <w:sz w:val="20"/>
          <w:szCs w:val="20"/>
          <w:lang w:val="fr-CA"/>
        </w:rPr>
        <w:tab/>
      </w:r>
      <w:r w:rsidR="003C6AC4">
        <w:rPr>
          <w:rFonts w:cs="Times New Roman"/>
          <w:sz w:val="20"/>
          <w:szCs w:val="20"/>
          <w:lang w:val="fr-CA"/>
        </w:rPr>
        <w:tab/>
      </w:r>
      <w:r w:rsidRPr="0085721F">
        <w:rPr>
          <w:rFonts w:cs="Times New Roman"/>
          <w:sz w:val="20"/>
          <w:szCs w:val="20"/>
          <w:lang w:val="fr-CA"/>
        </w:rPr>
        <w:t>28 février 2011</w:t>
      </w:r>
    </w:p>
    <w:p w:rsidR="0085721F" w:rsidRPr="0085721F" w:rsidRDefault="0085721F" w:rsidP="0085721F">
      <w:pPr>
        <w:rPr>
          <w:rFonts w:cs="Times New Roman"/>
          <w:sz w:val="20"/>
          <w:szCs w:val="20"/>
          <w:lang w:val="fr-CA"/>
        </w:rPr>
      </w:pPr>
    </w:p>
    <w:p w:rsidR="0085721F" w:rsidRPr="0085721F" w:rsidRDefault="0085721F" w:rsidP="0085721F">
      <w:pPr>
        <w:ind w:left="3600" w:hanging="3600"/>
        <w:rPr>
          <w:rFonts w:cs="Times New Roman"/>
          <w:sz w:val="20"/>
          <w:szCs w:val="20"/>
          <w:lang w:val="fr-CA"/>
        </w:rPr>
      </w:pPr>
      <w:r w:rsidRPr="0085721F">
        <w:rPr>
          <w:rFonts w:cs="Times New Roman"/>
          <w:sz w:val="20"/>
          <w:szCs w:val="20"/>
          <w:lang w:val="fr-CA"/>
        </w:rPr>
        <w:t>Avocats :</w:t>
      </w:r>
      <w:r w:rsidRPr="0085721F">
        <w:rPr>
          <w:rFonts w:cs="Times New Roman"/>
          <w:sz w:val="20"/>
          <w:szCs w:val="20"/>
          <w:lang w:val="fr-CA"/>
        </w:rPr>
        <w:tab/>
        <w:t xml:space="preserve">Gerald </w:t>
      </w:r>
      <w:proofErr w:type="spellStart"/>
      <w:r w:rsidRPr="0085721F">
        <w:rPr>
          <w:rFonts w:cs="Times New Roman"/>
          <w:sz w:val="20"/>
          <w:szCs w:val="20"/>
          <w:lang w:val="fr-CA"/>
        </w:rPr>
        <w:t>Kerr</w:t>
      </w:r>
      <w:r w:rsidRPr="0085721F">
        <w:rPr>
          <w:rFonts w:cs="Times New Roman"/>
          <w:sz w:val="20"/>
          <w:szCs w:val="20"/>
          <w:lang w:val="fr-CA"/>
        </w:rPr>
        <w:noBreakHyphen/>
        <w:t>Wilson</w:t>
      </w:r>
      <w:proofErr w:type="spellEnd"/>
      <w:r w:rsidRPr="0085721F">
        <w:rPr>
          <w:rFonts w:cs="Times New Roman"/>
          <w:sz w:val="20"/>
          <w:szCs w:val="20"/>
          <w:lang w:val="fr-CA"/>
        </w:rPr>
        <w:t xml:space="preserve"> et Ariel Thomas pour les appelantes Rogers et </w:t>
      </w:r>
      <w:proofErr w:type="spellStart"/>
      <w:r w:rsidRPr="0085721F">
        <w:rPr>
          <w:rFonts w:cs="Times New Roman"/>
          <w:sz w:val="20"/>
          <w:szCs w:val="20"/>
          <w:lang w:val="fr-CA"/>
        </w:rPr>
        <w:t>Telus</w:t>
      </w:r>
      <w:proofErr w:type="spellEnd"/>
    </w:p>
    <w:p w:rsidR="0085721F" w:rsidRPr="0085721F" w:rsidRDefault="0085721F" w:rsidP="0085721F">
      <w:pPr>
        <w:ind w:left="3600" w:hanging="3600"/>
        <w:rPr>
          <w:rFonts w:cs="Times New Roman"/>
          <w:sz w:val="20"/>
          <w:szCs w:val="20"/>
          <w:lang w:val="fr-CA"/>
        </w:rPr>
      </w:pPr>
      <w:r w:rsidRPr="0085721F">
        <w:rPr>
          <w:rFonts w:cs="Times New Roman"/>
          <w:sz w:val="20"/>
          <w:szCs w:val="20"/>
          <w:lang w:val="fr-CA"/>
        </w:rPr>
        <w:tab/>
        <w:t>Kent E. Thomson, James Doris et Sarah Weingarten pour l’appelante Shaw Communications</w:t>
      </w:r>
    </w:p>
    <w:p w:rsidR="0085721F" w:rsidRPr="0085721F" w:rsidRDefault="0085721F" w:rsidP="0085721F">
      <w:pPr>
        <w:ind w:left="3600" w:hanging="3600"/>
        <w:rPr>
          <w:rFonts w:cs="Times New Roman"/>
          <w:sz w:val="20"/>
          <w:szCs w:val="20"/>
          <w:lang w:val="fr-CA"/>
        </w:rPr>
      </w:pPr>
      <w:r w:rsidRPr="0085721F">
        <w:rPr>
          <w:rFonts w:cs="Times New Roman"/>
          <w:sz w:val="20"/>
          <w:szCs w:val="20"/>
          <w:lang w:val="fr-CA"/>
        </w:rPr>
        <w:tab/>
        <w:t xml:space="preserve">Neil </w:t>
      </w:r>
      <w:proofErr w:type="spellStart"/>
      <w:r w:rsidRPr="0085721F">
        <w:rPr>
          <w:rFonts w:cs="Times New Roman"/>
          <w:sz w:val="20"/>
          <w:szCs w:val="20"/>
          <w:lang w:val="fr-CA"/>
        </w:rPr>
        <w:t>Finkelstein</w:t>
      </w:r>
      <w:proofErr w:type="spellEnd"/>
      <w:r w:rsidRPr="0085721F">
        <w:rPr>
          <w:rFonts w:cs="Times New Roman"/>
          <w:sz w:val="20"/>
          <w:szCs w:val="20"/>
          <w:lang w:val="fr-CA"/>
        </w:rPr>
        <w:t xml:space="preserve">, Steven G. </w:t>
      </w:r>
      <w:proofErr w:type="spellStart"/>
      <w:r w:rsidRPr="0085721F">
        <w:rPr>
          <w:rFonts w:cs="Times New Roman"/>
          <w:sz w:val="20"/>
          <w:szCs w:val="20"/>
          <w:lang w:val="fr-CA"/>
        </w:rPr>
        <w:t>Mason</w:t>
      </w:r>
      <w:proofErr w:type="spellEnd"/>
      <w:r w:rsidRPr="0085721F">
        <w:rPr>
          <w:rFonts w:cs="Times New Roman"/>
          <w:sz w:val="20"/>
          <w:szCs w:val="20"/>
          <w:lang w:val="fr-CA"/>
        </w:rPr>
        <w:t xml:space="preserve"> et Daniel G. C. Glover pour l’appelante </w:t>
      </w:r>
      <w:proofErr w:type="spellStart"/>
      <w:r w:rsidRPr="0085721F">
        <w:rPr>
          <w:rFonts w:cs="Times New Roman"/>
          <w:sz w:val="20"/>
          <w:szCs w:val="20"/>
          <w:lang w:val="fr-CA"/>
        </w:rPr>
        <w:t>Cogeco</w:t>
      </w:r>
      <w:proofErr w:type="spellEnd"/>
      <w:r w:rsidRPr="0085721F">
        <w:rPr>
          <w:rFonts w:cs="Times New Roman"/>
          <w:sz w:val="20"/>
          <w:szCs w:val="20"/>
          <w:lang w:val="fr-CA"/>
        </w:rPr>
        <w:t xml:space="preserve"> </w:t>
      </w:r>
      <w:proofErr w:type="spellStart"/>
      <w:r w:rsidRPr="0085721F">
        <w:rPr>
          <w:rFonts w:cs="Times New Roman"/>
          <w:sz w:val="20"/>
          <w:szCs w:val="20"/>
          <w:lang w:val="fr-CA"/>
        </w:rPr>
        <w:t>Cable</w:t>
      </w:r>
      <w:proofErr w:type="spellEnd"/>
    </w:p>
    <w:p w:rsidR="0085721F" w:rsidRPr="0085721F" w:rsidRDefault="0085721F" w:rsidP="0085721F">
      <w:pPr>
        <w:ind w:left="3600" w:hanging="3600"/>
        <w:rPr>
          <w:rFonts w:cs="Times New Roman"/>
          <w:sz w:val="20"/>
          <w:szCs w:val="20"/>
          <w:lang w:val="fr-CA"/>
        </w:rPr>
      </w:pPr>
      <w:r w:rsidRPr="0085721F">
        <w:rPr>
          <w:rFonts w:cs="Times New Roman"/>
          <w:sz w:val="20"/>
          <w:szCs w:val="20"/>
          <w:lang w:val="fr-CA"/>
        </w:rPr>
        <w:tab/>
        <w:t xml:space="preserve">Benjamin </w:t>
      </w:r>
      <w:proofErr w:type="spellStart"/>
      <w:r w:rsidRPr="0085721F">
        <w:rPr>
          <w:rFonts w:cs="Times New Roman"/>
          <w:sz w:val="20"/>
          <w:szCs w:val="20"/>
          <w:lang w:val="fr-CA"/>
        </w:rPr>
        <w:t>Zarnett</w:t>
      </w:r>
      <w:proofErr w:type="spellEnd"/>
      <w:r w:rsidRPr="0085721F">
        <w:rPr>
          <w:rFonts w:cs="Times New Roman"/>
          <w:sz w:val="20"/>
          <w:szCs w:val="20"/>
          <w:lang w:val="fr-CA"/>
        </w:rPr>
        <w:t xml:space="preserve"> et Robert </w:t>
      </w:r>
      <w:proofErr w:type="spellStart"/>
      <w:r w:rsidRPr="0085721F">
        <w:rPr>
          <w:rFonts w:cs="Times New Roman"/>
          <w:sz w:val="20"/>
          <w:szCs w:val="20"/>
          <w:lang w:val="fr-CA"/>
        </w:rPr>
        <w:t>Malcolmson</w:t>
      </w:r>
      <w:proofErr w:type="spellEnd"/>
      <w:r w:rsidRPr="0085721F">
        <w:rPr>
          <w:rFonts w:cs="Times New Roman"/>
          <w:sz w:val="20"/>
          <w:szCs w:val="20"/>
          <w:lang w:val="fr-CA"/>
        </w:rPr>
        <w:t xml:space="preserve"> pour les intimées Bell Media, Newfoundland </w:t>
      </w:r>
      <w:proofErr w:type="spellStart"/>
      <w:r w:rsidRPr="0085721F">
        <w:rPr>
          <w:rFonts w:cs="Times New Roman"/>
          <w:sz w:val="20"/>
          <w:szCs w:val="20"/>
          <w:lang w:val="fr-CA"/>
        </w:rPr>
        <w:t>Broadcasting</w:t>
      </w:r>
      <w:proofErr w:type="spellEnd"/>
      <w:r w:rsidRPr="0085721F">
        <w:rPr>
          <w:rFonts w:cs="Times New Roman"/>
          <w:sz w:val="20"/>
          <w:szCs w:val="20"/>
          <w:lang w:val="fr-CA"/>
        </w:rPr>
        <w:t xml:space="preserve"> et V Interactions</w:t>
      </w:r>
    </w:p>
    <w:p w:rsidR="0085721F" w:rsidRPr="0085721F" w:rsidRDefault="0085721F" w:rsidP="0085721F">
      <w:pPr>
        <w:ind w:left="3600" w:hanging="3600"/>
        <w:rPr>
          <w:rFonts w:cs="Times New Roman"/>
          <w:sz w:val="20"/>
          <w:szCs w:val="20"/>
          <w:lang w:val="fr-CA"/>
        </w:rPr>
      </w:pPr>
      <w:r w:rsidRPr="0085721F">
        <w:rPr>
          <w:rFonts w:cs="Times New Roman"/>
          <w:sz w:val="20"/>
          <w:szCs w:val="20"/>
          <w:lang w:val="fr-CA"/>
        </w:rPr>
        <w:tab/>
        <w:t xml:space="preserve">Chris </w:t>
      </w:r>
      <w:proofErr w:type="spellStart"/>
      <w:r w:rsidRPr="0085721F">
        <w:rPr>
          <w:rFonts w:cs="Times New Roman"/>
          <w:sz w:val="20"/>
          <w:szCs w:val="20"/>
          <w:lang w:val="fr-CA"/>
        </w:rPr>
        <w:t>Paliare</w:t>
      </w:r>
      <w:proofErr w:type="spellEnd"/>
      <w:r w:rsidRPr="0085721F">
        <w:rPr>
          <w:rFonts w:cs="Times New Roman"/>
          <w:sz w:val="20"/>
          <w:szCs w:val="20"/>
          <w:lang w:val="fr-CA"/>
        </w:rPr>
        <w:t xml:space="preserve"> pour l’intimée </w:t>
      </w:r>
      <w:proofErr w:type="spellStart"/>
      <w:r w:rsidRPr="0085721F">
        <w:rPr>
          <w:rFonts w:cs="Times New Roman"/>
          <w:sz w:val="20"/>
          <w:szCs w:val="20"/>
          <w:lang w:val="fr-CA"/>
        </w:rPr>
        <w:t>Canwest</w:t>
      </w:r>
      <w:proofErr w:type="spellEnd"/>
      <w:r w:rsidRPr="0085721F">
        <w:rPr>
          <w:rFonts w:cs="Times New Roman"/>
          <w:sz w:val="20"/>
          <w:szCs w:val="20"/>
          <w:lang w:val="fr-CA"/>
        </w:rPr>
        <w:t xml:space="preserve"> </w:t>
      </w:r>
      <w:proofErr w:type="spellStart"/>
      <w:r w:rsidRPr="0085721F">
        <w:rPr>
          <w:rFonts w:cs="Times New Roman"/>
          <w:sz w:val="20"/>
          <w:szCs w:val="20"/>
          <w:lang w:val="fr-CA"/>
        </w:rPr>
        <w:t>Television</w:t>
      </w:r>
      <w:proofErr w:type="spellEnd"/>
    </w:p>
    <w:p w:rsidR="0085721F" w:rsidRPr="0085721F" w:rsidRDefault="0085721F" w:rsidP="0085721F">
      <w:pPr>
        <w:rPr>
          <w:rFonts w:cs="Times New Roman"/>
          <w:sz w:val="20"/>
          <w:szCs w:val="20"/>
          <w:lang w:val="fr-CA"/>
        </w:rPr>
      </w:pPr>
    </w:p>
    <w:p w:rsidR="0085721F" w:rsidRPr="0085721F" w:rsidRDefault="0085721F" w:rsidP="0085721F">
      <w:pPr>
        <w:rPr>
          <w:rFonts w:cs="Times New Roman"/>
          <w:sz w:val="20"/>
          <w:szCs w:val="20"/>
          <w:lang w:val="fr-CA"/>
        </w:rPr>
      </w:pPr>
    </w:p>
    <w:p w:rsidR="0085721F" w:rsidRPr="0085721F" w:rsidRDefault="00A148A3" w:rsidP="0085721F">
      <w:pPr>
        <w:widowControl w:val="0"/>
        <w:ind w:left="720" w:hanging="720"/>
        <w:jc w:val="both"/>
        <w:rPr>
          <w:rFonts w:cs="Times New Roman"/>
          <w:sz w:val="20"/>
          <w:szCs w:val="20"/>
          <w:lang w:val="en-CA"/>
        </w:rPr>
      </w:pPr>
      <w:r w:rsidRPr="00A148A3">
        <w:rPr>
          <w:rFonts w:cs="Times New Roman"/>
          <w:b/>
          <w:sz w:val="20"/>
          <w:szCs w:val="20"/>
          <w:lang w:val="en-CA"/>
        </w:rPr>
        <w:fldChar w:fldCharType="begin"/>
      </w:r>
      <w:r w:rsidR="0085721F" w:rsidRPr="0085721F">
        <w:rPr>
          <w:rFonts w:cs="Times New Roman"/>
          <w:b/>
          <w:sz w:val="20"/>
          <w:szCs w:val="20"/>
        </w:rPr>
        <w:instrText xml:space="preserve"> SEQ CHAPTER \h \r 1</w:instrText>
      </w:r>
      <w:r w:rsidRPr="0085721F">
        <w:rPr>
          <w:rFonts w:cs="Times New Roman"/>
          <w:b/>
          <w:sz w:val="20"/>
          <w:szCs w:val="20"/>
        </w:rPr>
        <w:fldChar w:fldCharType="end"/>
      </w:r>
      <w:r w:rsidR="0085721F" w:rsidRPr="0085721F">
        <w:rPr>
          <w:rFonts w:cs="Times New Roman"/>
          <w:b/>
          <w:sz w:val="20"/>
          <w:szCs w:val="20"/>
          <w:lang w:val="en-CA"/>
        </w:rPr>
        <w:t>33951</w:t>
      </w:r>
      <w:r w:rsidR="0085721F" w:rsidRPr="0085721F">
        <w:rPr>
          <w:rFonts w:cs="Times New Roman"/>
          <w:sz w:val="20"/>
          <w:szCs w:val="20"/>
          <w:lang w:val="en-CA"/>
        </w:rPr>
        <w:tab/>
      </w:r>
      <w:proofErr w:type="spellStart"/>
      <w:r w:rsidR="0085721F" w:rsidRPr="0085721F">
        <w:rPr>
          <w:rFonts w:cs="Times New Roman"/>
          <w:b/>
          <w:i/>
          <w:sz w:val="20"/>
          <w:szCs w:val="20"/>
          <w:lang w:val="en-CA"/>
        </w:rPr>
        <w:t>Teva</w:t>
      </w:r>
      <w:proofErr w:type="spellEnd"/>
      <w:r w:rsidR="0085721F" w:rsidRPr="0085721F">
        <w:rPr>
          <w:rFonts w:cs="Times New Roman"/>
          <w:b/>
          <w:i/>
          <w:sz w:val="20"/>
          <w:szCs w:val="20"/>
          <w:lang w:val="en-CA"/>
        </w:rPr>
        <w:t xml:space="preserve"> Canada Limited v. Pfizer Canada Inc., Pfizer Inc., Pfizer Ireland Pharmaceuticals, Pfizer Research and Development Company N.V./S.A. and the Minister of Health</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b/>
          <w:bCs/>
          <w:sz w:val="20"/>
          <w:szCs w:val="20"/>
        </w:rPr>
      </w:pPr>
      <w:r w:rsidRPr="0085721F">
        <w:rPr>
          <w:rFonts w:cs="Times New Roman"/>
          <w:sz w:val="20"/>
          <w:szCs w:val="20"/>
          <w:lang w:val="en-CA"/>
        </w:rPr>
        <w:t xml:space="preserve">Patents </w:t>
      </w:r>
      <w:r w:rsidRPr="0085721F">
        <w:rPr>
          <w:rFonts w:cs="Times New Roman"/>
          <w:sz w:val="20"/>
          <w:szCs w:val="20"/>
          <w:lang w:val="en-CA"/>
        </w:rPr>
        <w:noBreakHyphen/>
        <w:t xml:space="preserve"> Medicines </w:t>
      </w:r>
      <w:r w:rsidRPr="0085721F">
        <w:rPr>
          <w:rFonts w:cs="Times New Roman"/>
          <w:sz w:val="20"/>
          <w:szCs w:val="20"/>
          <w:lang w:val="en-CA"/>
        </w:rPr>
        <w:noBreakHyphen/>
        <w:t xml:space="preserve"> Construction of patents </w:t>
      </w:r>
      <w:r w:rsidRPr="0085721F">
        <w:rPr>
          <w:rFonts w:cs="Times New Roman"/>
          <w:sz w:val="20"/>
          <w:szCs w:val="20"/>
          <w:lang w:val="en-CA"/>
        </w:rPr>
        <w:noBreakHyphen/>
        <w:t xml:space="preserve"> Disclosure </w:t>
      </w:r>
      <w:r w:rsidRPr="0085721F">
        <w:rPr>
          <w:rFonts w:cs="Times New Roman"/>
          <w:sz w:val="20"/>
          <w:szCs w:val="20"/>
          <w:lang w:val="en-CA"/>
        </w:rPr>
        <w:noBreakHyphen/>
        <w:t xml:space="preserve"> Sufficiency of disclosure </w:t>
      </w:r>
      <w:r w:rsidRPr="0085721F">
        <w:rPr>
          <w:rFonts w:cs="Times New Roman"/>
          <w:sz w:val="20"/>
          <w:szCs w:val="20"/>
          <w:lang w:val="en-CA"/>
        </w:rPr>
        <w:noBreakHyphen/>
        <w:t xml:space="preserve"> Whether the courts below erred by failing to hold the patent invalid for concealment and avoidable obscurity </w:t>
      </w:r>
      <w:r w:rsidRPr="0085721F">
        <w:rPr>
          <w:rFonts w:cs="Times New Roman"/>
          <w:sz w:val="20"/>
          <w:szCs w:val="20"/>
          <w:lang w:val="en-CA"/>
        </w:rPr>
        <w:noBreakHyphen/>
        <w:t xml:space="preserve"> Whether the courts below erred by failing to hold claim 7 invalid for insufficient disclosure of sound prediction </w:t>
      </w:r>
      <w:r w:rsidRPr="0085721F">
        <w:rPr>
          <w:rFonts w:cs="Times New Roman"/>
          <w:sz w:val="20"/>
          <w:szCs w:val="20"/>
          <w:lang w:val="en-CA"/>
        </w:rPr>
        <w:noBreakHyphen/>
        <w:t xml:space="preserve"> Whether the courts below erred by failing to hold claim 7 invalid for insufficient disclosure of demonstrated utility </w:t>
      </w:r>
      <w:r w:rsidRPr="0085721F">
        <w:rPr>
          <w:rFonts w:cs="Times New Roman"/>
          <w:sz w:val="20"/>
          <w:szCs w:val="20"/>
          <w:lang w:val="en-CA"/>
        </w:rPr>
        <w:noBreakHyphen/>
        <w:t xml:space="preserve"> Whether the courts below erred by holding that </w:t>
      </w:r>
      <w:proofErr w:type="spellStart"/>
      <w:r w:rsidRPr="0085721F">
        <w:rPr>
          <w:rFonts w:cs="Times New Roman"/>
          <w:bCs/>
          <w:i/>
          <w:sz w:val="20"/>
          <w:szCs w:val="20"/>
        </w:rPr>
        <w:t>Consolboard</w:t>
      </w:r>
      <w:proofErr w:type="spellEnd"/>
      <w:r w:rsidRPr="0085721F">
        <w:rPr>
          <w:rFonts w:cs="Times New Roman"/>
          <w:bCs/>
          <w:i/>
          <w:sz w:val="20"/>
          <w:szCs w:val="20"/>
        </w:rPr>
        <w:t xml:space="preserve"> Inc. v. MacMillan </w:t>
      </w:r>
      <w:proofErr w:type="spellStart"/>
      <w:r w:rsidRPr="0085721F">
        <w:rPr>
          <w:rFonts w:cs="Times New Roman"/>
          <w:bCs/>
          <w:i/>
          <w:sz w:val="20"/>
          <w:szCs w:val="20"/>
        </w:rPr>
        <w:t>Bloedel</w:t>
      </w:r>
      <w:proofErr w:type="spellEnd"/>
      <w:r w:rsidRPr="0085721F">
        <w:rPr>
          <w:rFonts w:cs="Times New Roman"/>
          <w:bCs/>
          <w:i/>
          <w:sz w:val="20"/>
          <w:szCs w:val="20"/>
        </w:rPr>
        <w:t xml:space="preserve"> (Sask.) Ltd.</w:t>
      </w:r>
      <w:r w:rsidRPr="0085721F">
        <w:rPr>
          <w:rFonts w:cs="Times New Roman"/>
          <w:bCs/>
          <w:sz w:val="20"/>
          <w:szCs w:val="20"/>
        </w:rPr>
        <w:t>, [1981] 1 S.C.R. 504</w:t>
      </w:r>
      <w:r w:rsidRPr="0085721F">
        <w:rPr>
          <w:rFonts w:cs="Times New Roman"/>
          <w:sz w:val="20"/>
          <w:szCs w:val="20"/>
          <w:lang w:val="en-CA"/>
        </w:rPr>
        <w:t xml:space="preserve">, limits the sufficiency inquiry </w:t>
      </w:r>
      <w:r w:rsidRPr="0085721F">
        <w:rPr>
          <w:rFonts w:cs="Times New Roman"/>
          <w:sz w:val="20"/>
          <w:szCs w:val="20"/>
          <w:lang w:val="en-CA"/>
        </w:rPr>
        <w:noBreakHyphen/>
        <w:t xml:space="preserve"> Whether the courts below erred by confining the sufficiency of disclosure analysis to claim 7.</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r w:rsidRPr="0085721F">
        <w:rPr>
          <w:rFonts w:cs="Times New Roman"/>
          <w:sz w:val="20"/>
          <w:szCs w:val="20"/>
          <w:lang w:val="en-CA"/>
        </w:rPr>
        <w:t>In 1994, Pfizer applied for a patent for a range of compounds, of which it claimed that one compound was effective for the oral treatment of erectile dysfunction.  It received Patent 2,163,446 on July 7, 1998.  Patent ’446 expires in 2014.</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r w:rsidRPr="0085721F">
        <w:rPr>
          <w:rFonts w:cs="Times New Roman"/>
          <w:sz w:val="20"/>
          <w:szCs w:val="20"/>
          <w:lang w:val="en-CA"/>
        </w:rPr>
        <w:t xml:space="preserve">The disclosure explains that the invention concerns the use of a compound of formula (I) or a salt thereof as a medicament for the treatment of erectile dysfunction.  Claim 1 </w:t>
      </w:r>
      <w:proofErr w:type="gramStart"/>
      <w:r w:rsidRPr="0085721F">
        <w:rPr>
          <w:rFonts w:cs="Times New Roman"/>
          <w:sz w:val="20"/>
          <w:szCs w:val="20"/>
          <w:lang w:val="en-CA"/>
        </w:rPr>
        <w:t>sets</w:t>
      </w:r>
      <w:proofErr w:type="gramEnd"/>
      <w:r w:rsidRPr="0085721F">
        <w:rPr>
          <w:rFonts w:cs="Times New Roman"/>
          <w:sz w:val="20"/>
          <w:szCs w:val="20"/>
          <w:lang w:val="en-CA"/>
        </w:rPr>
        <w:t xml:space="preserve"> out formula (I), which produces 260 quintillion possible compounds.  Claims 2</w:t>
      </w:r>
      <w:r w:rsidRPr="0085721F">
        <w:rPr>
          <w:rFonts w:cs="Times New Roman"/>
          <w:sz w:val="20"/>
          <w:szCs w:val="20"/>
          <w:lang w:val="en-CA"/>
        </w:rPr>
        <w:noBreakHyphen/>
        <w:t xml:space="preserve">5 are for successively smaller ranges of compounds of formula (I), with Claim 5 being narrowed to a range of nine compounds.  Claims 6 and 7 refer to one compound each.  Neither the disclosure nor the claims disclose that Claim 7 contains the effective </w:t>
      </w:r>
      <w:proofErr w:type="gramStart"/>
      <w:r w:rsidRPr="0085721F">
        <w:rPr>
          <w:rFonts w:cs="Times New Roman"/>
          <w:sz w:val="20"/>
          <w:szCs w:val="20"/>
          <w:lang w:val="en-CA"/>
        </w:rPr>
        <w:t>compound, that</w:t>
      </w:r>
      <w:proofErr w:type="gramEnd"/>
      <w:r w:rsidRPr="0085721F">
        <w:rPr>
          <w:rFonts w:cs="Times New Roman"/>
          <w:sz w:val="20"/>
          <w:szCs w:val="20"/>
          <w:lang w:val="en-CA"/>
        </w:rPr>
        <w:t xml:space="preserve"> </w:t>
      </w:r>
      <w:proofErr w:type="spellStart"/>
      <w:r w:rsidRPr="0085721F">
        <w:rPr>
          <w:rFonts w:cs="Times New Roman"/>
          <w:sz w:val="20"/>
          <w:szCs w:val="20"/>
          <w:lang w:val="en-CA"/>
        </w:rPr>
        <w:t>sildenafil</w:t>
      </w:r>
      <w:proofErr w:type="spellEnd"/>
      <w:r w:rsidRPr="0085721F">
        <w:rPr>
          <w:rFonts w:cs="Times New Roman"/>
          <w:sz w:val="20"/>
          <w:szCs w:val="20"/>
          <w:lang w:val="en-CA"/>
        </w:rPr>
        <w:t xml:space="preserve"> is that compound, or that it is the only active compound sold commercially under the trade name Viagra.  Nor does it disclose that the remaining compounds in the patent had not been found to treat erectile dysfunction.</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proofErr w:type="spellStart"/>
      <w:r w:rsidRPr="0085721F">
        <w:rPr>
          <w:rFonts w:cs="Times New Roman"/>
          <w:sz w:val="20"/>
          <w:szCs w:val="20"/>
          <w:lang w:val="en-CA"/>
        </w:rPr>
        <w:t>Novopharm</w:t>
      </w:r>
      <w:proofErr w:type="spellEnd"/>
      <w:r w:rsidRPr="0085721F">
        <w:rPr>
          <w:rFonts w:cs="Times New Roman"/>
          <w:sz w:val="20"/>
          <w:szCs w:val="20"/>
          <w:lang w:val="en-CA"/>
        </w:rPr>
        <w:t xml:space="preserve">, now </w:t>
      </w:r>
      <w:proofErr w:type="spellStart"/>
      <w:r w:rsidRPr="0085721F">
        <w:rPr>
          <w:rFonts w:cs="Times New Roman"/>
          <w:sz w:val="20"/>
          <w:szCs w:val="20"/>
          <w:lang w:val="en-CA"/>
        </w:rPr>
        <w:t>Teva</w:t>
      </w:r>
      <w:proofErr w:type="spellEnd"/>
      <w:r w:rsidRPr="0085721F">
        <w:rPr>
          <w:rFonts w:cs="Times New Roman"/>
          <w:sz w:val="20"/>
          <w:szCs w:val="20"/>
          <w:lang w:val="en-CA"/>
        </w:rPr>
        <w:t xml:space="preserve">, applied for a Notice of Compliance to produce a generic version of Viagra, alleging that the patent was invalid for obviousness, lack of </w:t>
      </w:r>
      <w:proofErr w:type="gramStart"/>
      <w:r w:rsidRPr="0085721F">
        <w:rPr>
          <w:rFonts w:cs="Times New Roman"/>
          <w:sz w:val="20"/>
          <w:szCs w:val="20"/>
          <w:lang w:val="en-CA"/>
        </w:rPr>
        <w:t>utility,</w:t>
      </w:r>
      <w:proofErr w:type="gramEnd"/>
      <w:r w:rsidRPr="0085721F">
        <w:rPr>
          <w:rFonts w:cs="Times New Roman"/>
          <w:sz w:val="20"/>
          <w:szCs w:val="20"/>
          <w:lang w:val="en-CA"/>
        </w:rPr>
        <w:t xml:space="preserve"> and insufficient disclosure.  The Federal Court judge found that the patent was not obvious, had utility, and did not fail to adequately disclose the invention.  He prohibited the Minister from issuing the requested Notice of Compliance.  The Federal Court of Appeal dismissed an appeal.</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r w:rsidRPr="0085721F">
        <w:rPr>
          <w:rFonts w:cs="Times New Roman"/>
          <w:sz w:val="20"/>
          <w:szCs w:val="20"/>
          <w:lang w:val="en-CA"/>
        </w:rPr>
        <w:t>Origin of the case:</w:t>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t>Federal Court of Appeal</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r w:rsidRPr="0085721F">
        <w:rPr>
          <w:rFonts w:cs="Times New Roman"/>
          <w:sz w:val="20"/>
          <w:szCs w:val="20"/>
          <w:lang w:val="en-CA"/>
        </w:rPr>
        <w:t>File No.:</w:t>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r>
      <w:r w:rsidR="003C6AC4">
        <w:rPr>
          <w:rFonts w:cs="Times New Roman"/>
          <w:sz w:val="20"/>
          <w:szCs w:val="20"/>
          <w:lang w:val="en-CA"/>
        </w:rPr>
        <w:tab/>
      </w:r>
      <w:r w:rsidRPr="0085721F">
        <w:rPr>
          <w:rFonts w:cs="Times New Roman"/>
          <w:sz w:val="20"/>
          <w:szCs w:val="20"/>
          <w:lang w:val="en-CA"/>
        </w:rPr>
        <w:t>33951</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r w:rsidRPr="0085721F">
        <w:rPr>
          <w:rFonts w:cs="Times New Roman"/>
          <w:sz w:val="20"/>
          <w:szCs w:val="20"/>
          <w:lang w:val="en-CA"/>
        </w:rPr>
        <w:t>Judgment of the Court of Appeal:</w:t>
      </w:r>
      <w:r w:rsidRPr="0085721F">
        <w:rPr>
          <w:rFonts w:cs="Times New Roman"/>
          <w:sz w:val="20"/>
          <w:szCs w:val="20"/>
          <w:lang w:val="en-CA"/>
        </w:rPr>
        <w:tab/>
      </w:r>
      <w:r w:rsidR="003C6AC4">
        <w:rPr>
          <w:rFonts w:cs="Times New Roman"/>
          <w:sz w:val="20"/>
          <w:szCs w:val="20"/>
          <w:lang w:val="en-CA"/>
        </w:rPr>
        <w:tab/>
      </w:r>
      <w:r w:rsidRPr="0085721F">
        <w:rPr>
          <w:rFonts w:cs="Times New Roman"/>
          <w:sz w:val="20"/>
          <w:szCs w:val="20"/>
          <w:lang w:val="en-CA"/>
        </w:rPr>
        <w:t>September 24, 2010</w:t>
      </w:r>
    </w:p>
    <w:p w:rsidR="0085721F" w:rsidRPr="0085721F" w:rsidRDefault="0085721F" w:rsidP="0085721F">
      <w:pPr>
        <w:widowControl w:val="0"/>
        <w:jc w:val="both"/>
        <w:rPr>
          <w:rFonts w:cs="Times New Roman"/>
          <w:sz w:val="20"/>
          <w:szCs w:val="20"/>
          <w:lang w:val="en-CA"/>
        </w:rPr>
      </w:pPr>
    </w:p>
    <w:p w:rsidR="0085721F" w:rsidRPr="0085721F" w:rsidRDefault="00164E80" w:rsidP="00164E80">
      <w:pPr>
        <w:widowControl w:val="0"/>
        <w:ind w:left="3600" w:hanging="3600"/>
        <w:jc w:val="both"/>
        <w:rPr>
          <w:rFonts w:cs="Times New Roman"/>
          <w:sz w:val="20"/>
          <w:szCs w:val="20"/>
          <w:lang w:val="en-CA"/>
        </w:rPr>
      </w:pPr>
      <w:r>
        <w:rPr>
          <w:rFonts w:cs="Times New Roman"/>
          <w:sz w:val="20"/>
          <w:szCs w:val="20"/>
          <w:lang w:val="en-CA"/>
        </w:rPr>
        <w:t>Counsel:</w:t>
      </w:r>
      <w:r>
        <w:rPr>
          <w:rFonts w:cs="Times New Roman"/>
          <w:sz w:val="20"/>
          <w:szCs w:val="20"/>
          <w:lang w:val="en-CA"/>
        </w:rPr>
        <w:tab/>
      </w:r>
      <w:r w:rsidR="0085721F" w:rsidRPr="0085721F">
        <w:rPr>
          <w:rFonts w:cs="Times New Roman"/>
          <w:sz w:val="20"/>
          <w:szCs w:val="20"/>
          <w:lang w:val="en-CA"/>
        </w:rPr>
        <w:t xml:space="preserve">David W. </w:t>
      </w:r>
      <w:proofErr w:type="spellStart"/>
      <w:r w:rsidR="0085721F" w:rsidRPr="0085721F">
        <w:rPr>
          <w:rFonts w:cs="Times New Roman"/>
          <w:sz w:val="20"/>
          <w:szCs w:val="20"/>
          <w:lang w:val="en-CA"/>
        </w:rPr>
        <w:t>Aitken</w:t>
      </w:r>
      <w:proofErr w:type="spellEnd"/>
      <w:r w:rsidR="0085721F" w:rsidRPr="0085721F">
        <w:rPr>
          <w:rFonts w:cs="Times New Roman"/>
          <w:sz w:val="20"/>
          <w:szCs w:val="20"/>
          <w:lang w:val="en-CA"/>
        </w:rPr>
        <w:t xml:space="preserve"> and Marcus Klee for the appellant</w:t>
      </w:r>
    </w:p>
    <w:p w:rsidR="0085721F" w:rsidRPr="00E42BDE" w:rsidRDefault="0085721F" w:rsidP="00164E80">
      <w:pPr>
        <w:widowControl w:val="0"/>
        <w:ind w:left="3600" w:hanging="3600"/>
        <w:jc w:val="both"/>
        <w:rPr>
          <w:rFonts w:cs="Times New Roman"/>
          <w:sz w:val="20"/>
          <w:szCs w:val="20"/>
          <w:lang w:val="en-CA"/>
        </w:rPr>
      </w:pPr>
      <w:r w:rsidRPr="0085721F">
        <w:rPr>
          <w:rFonts w:cs="Times New Roman"/>
          <w:sz w:val="20"/>
          <w:szCs w:val="20"/>
          <w:lang w:val="en-CA"/>
        </w:rPr>
        <w:tab/>
        <w:t xml:space="preserve">Andrew M. </w:t>
      </w:r>
      <w:proofErr w:type="spellStart"/>
      <w:r w:rsidRPr="0085721F">
        <w:rPr>
          <w:rFonts w:cs="Times New Roman"/>
          <w:sz w:val="20"/>
          <w:szCs w:val="20"/>
          <w:lang w:val="en-CA"/>
        </w:rPr>
        <w:t>Shaughnessy</w:t>
      </w:r>
      <w:proofErr w:type="spellEnd"/>
      <w:r w:rsidRPr="0085721F">
        <w:rPr>
          <w:rFonts w:cs="Times New Roman"/>
          <w:sz w:val="20"/>
          <w:szCs w:val="20"/>
          <w:lang w:val="en-CA"/>
        </w:rPr>
        <w:t xml:space="preserve"> and Andrew Bernstein </w:t>
      </w:r>
      <w:r w:rsidRPr="00E42BDE">
        <w:rPr>
          <w:rFonts w:cs="Times New Roman"/>
          <w:sz w:val="20"/>
          <w:szCs w:val="20"/>
          <w:lang w:val="en-CA"/>
        </w:rPr>
        <w:t>for the</w:t>
      </w:r>
      <w:r w:rsidR="00E42BDE" w:rsidRPr="00E42BDE">
        <w:rPr>
          <w:rFonts w:cs="Times New Roman"/>
          <w:sz w:val="20"/>
          <w:szCs w:val="20"/>
          <w:lang w:val="en-CA"/>
        </w:rPr>
        <w:t xml:space="preserve"> respondents</w:t>
      </w:r>
      <w:r w:rsidRPr="00E42BDE">
        <w:rPr>
          <w:rFonts w:cs="Times New Roman"/>
          <w:sz w:val="20"/>
          <w:szCs w:val="20"/>
          <w:lang w:val="en-CA"/>
        </w:rPr>
        <w:t xml:space="preserve"> Pfizer </w:t>
      </w:r>
    </w:p>
    <w:p w:rsidR="0085721F" w:rsidRPr="0085721F" w:rsidRDefault="0085721F" w:rsidP="00164E80">
      <w:pPr>
        <w:widowControl w:val="0"/>
        <w:ind w:left="3600" w:hanging="3600"/>
        <w:jc w:val="both"/>
        <w:rPr>
          <w:rFonts w:cs="Times New Roman"/>
          <w:sz w:val="20"/>
          <w:szCs w:val="20"/>
          <w:lang w:val="en-CA"/>
        </w:rPr>
      </w:pPr>
      <w:r w:rsidRPr="0085721F">
        <w:rPr>
          <w:rFonts w:cs="Times New Roman"/>
          <w:sz w:val="20"/>
          <w:szCs w:val="20"/>
          <w:lang w:val="en-CA"/>
        </w:rPr>
        <w:tab/>
        <w:t>Eric Peterson for the respondent Minister of Health</w:t>
      </w:r>
    </w:p>
    <w:p w:rsidR="0085721F" w:rsidRPr="0085721F" w:rsidRDefault="0085721F" w:rsidP="0085721F">
      <w:pPr>
        <w:rPr>
          <w:rFonts w:cs="Times New Roman"/>
          <w:sz w:val="20"/>
          <w:szCs w:val="20"/>
          <w:lang w:val="en-CA"/>
        </w:rPr>
      </w:pPr>
    </w:p>
    <w:p w:rsidR="0085721F" w:rsidRPr="0085721F" w:rsidRDefault="0085721F" w:rsidP="0085721F">
      <w:pPr>
        <w:rPr>
          <w:rFonts w:cs="Times New Roman"/>
          <w:sz w:val="20"/>
          <w:szCs w:val="20"/>
          <w:lang w:val="en-CA"/>
        </w:rPr>
      </w:pPr>
    </w:p>
    <w:p w:rsidR="00164E80" w:rsidRPr="00164E80" w:rsidRDefault="00164E80" w:rsidP="00164E80">
      <w:pPr>
        <w:pStyle w:val="SCCLsocParty"/>
        <w:ind w:left="720" w:hanging="720"/>
        <w:rPr>
          <w:sz w:val="20"/>
          <w:szCs w:val="20"/>
        </w:rPr>
      </w:pPr>
      <w:r w:rsidRPr="00164E80">
        <w:rPr>
          <w:rStyle w:val="SCCFileNumberChar"/>
          <w:sz w:val="20"/>
          <w:szCs w:val="20"/>
        </w:rPr>
        <w:t>33951</w:t>
      </w:r>
      <w:r w:rsidRPr="00164E80">
        <w:rPr>
          <w:rFonts w:eastAsiaTheme="minorHAnsi"/>
          <w:b w:val="0"/>
          <w:bCs w:val="0"/>
          <w:sz w:val="20"/>
          <w:szCs w:val="20"/>
        </w:rPr>
        <w:tab/>
      </w:r>
      <w:proofErr w:type="spellStart"/>
      <w:r w:rsidRPr="00164E80">
        <w:rPr>
          <w:sz w:val="20"/>
          <w:szCs w:val="20"/>
        </w:rPr>
        <w:t>Teva</w:t>
      </w:r>
      <w:proofErr w:type="spellEnd"/>
      <w:r w:rsidRPr="00164E80">
        <w:rPr>
          <w:sz w:val="20"/>
          <w:szCs w:val="20"/>
        </w:rPr>
        <w:t xml:space="preserve"> Canada </w:t>
      </w:r>
      <w:proofErr w:type="spellStart"/>
      <w:r w:rsidRPr="00164E80">
        <w:rPr>
          <w:sz w:val="20"/>
          <w:szCs w:val="20"/>
        </w:rPr>
        <w:t>Limitée</w:t>
      </w:r>
      <w:proofErr w:type="spellEnd"/>
      <w:r w:rsidRPr="00164E80">
        <w:rPr>
          <w:sz w:val="20"/>
          <w:szCs w:val="20"/>
        </w:rPr>
        <w:t xml:space="preserve"> c. Pfizer Canada Inc., Pfizer Inc., Pfizer Ireland Pharmaceuticals, Pfizer Research and Development Company N.V</w:t>
      </w:r>
      <w:proofErr w:type="gramStart"/>
      <w:r w:rsidRPr="00164E80">
        <w:rPr>
          <w:sz w:val="20"/>
          <w:szCs w:val="20"/>
        </w:rPr>
        <w:t>./</w:t>
      </w:r>
      <w:proofErr w:type="gramEnd"/>
      <w:r w:rsidRPr="00164E80">
        <w:rPr>
          <w:sz w:val="20"/>
          <w:szCs w:val="20"/>
        </w:rPr>
        <w:t xml:space="preserve">S.A., </w:t>
      </w:r>
      <w:proofErr w:type="spellStart"/>
      <w:r w:rsidRPr="00164E80">
        <w:rPr>
          <w:sz w:val="20"/>
          <w:szCs w:val="20"/>
        </w:rPr>
        <w:t>ministre</w:t>
      </w:r>
      <w:proofErr w:type="spellEnd"/>
      <w:r w:rsidRPr="00164E80">
        <w:rPr>
          <w:sz w:val="20"/>
          <w:szCs w:val="20"/>
        </w:rPr>
        <w:t xml:space="preserve"> de la Santé</w:t>
      </w:r>
    </w:p>
    <w:p w:rsidR="00164E80" w:rsidRPr="00324AB5" w:rsidRDefault="00164E80" w:rsidP="00164E80">
      <w:pPr>
        <w:tabs>
          <w:tab w:val="left" w:pos="1009"/>
        </w:tabs>
        <w:ind w:left="720" w:hanging="720"/>
        <w:rPr>
          <w:rFonts w:cs="Times New Roman"/>
          <w:sz w:val="20"/>
          <w:szCs w:val="20"/>
          <w:lang w:val="en-CA"/>
        </w:rPr>
      </w:pPr>
    </w:p>
    <w:p w:rsidR="00164E80" w:rsidRPr="0085721F" w:rsidRDefault="00164E80" w:rsidP="00246DDB">
      <w:pPr>
        <w:jc w:val="both"/>
        <w:rPr>
          <w:rFonts w:cs="Times New Roman"/>
          <w:sz w:val="20"/>
          <w:szCs w:val="20"/>
          <w:lang w:val="fr-CA"/>
        </w:rPr>
      </w:pPr>
      <w:r w:rsidRPr="0085721F">
        <w:rPr>
          <w:rFonts w:cs="Times New Roman"/>
          <w:sz w:val="20"/>
          <w:szCs w:val="20"/>
          <w:lang w:val="fr-CA"/>
        </w:rPr>
        <w:t xml:space="preserve">Brevets </w:t>
      </w:r>
      <w:r w:rsidRPr="0085721F">
        <w:rPr>
          <w:rFonts w:cs="Times New Roman"/>
          <w:sz w:val="20"/>
          <w:szCs w:val="20"/>
          <w:lang w:val="fr-CA"/>
        </w:rPr>
        <w:noBreakHyphen/>
        <w:t xml:space="preserve"> Médicaments </w:t>
      </w:r>
      <w:r w:rsidRPr="0085721F">
        <w:rPr>
          <w:rFonts w:cs="Times New Roman"/>
          <w:sz w:val="20"/>
          <w:szCs w:val="20"/>
          <w:lang w:val="fr-CA"/>
        </w:rPr>
        <w:noBreakHyphen/>
        <w:t xml:space="preserve"> Interprétation des brevets </w:t>
      </w:r>
      <w:r w:rsidRPr="0085721F">
        <w:rPr>
          <w:rFonts w:cs="Times New Roman"/>
          <w:sz w:val="20"/>
          <w:szCs w:val="20"/>
          <w:lang w:val="fr-CA"/>
        </w:rPr>
        <w:noBreakHyphen/>
        <w:t xml:space="preserve"> Divulgation </w:t>
      </w:r>
      <w:r w:rsidRPr="0085721F">
        <w:rPr>
          <w:rFonts w:cs="Times New Roman"/>
          <w:sz w:val="20"/>
          <w:szCs w:val="20"/>
          <w:lang w:val="fr-CA"/>
        </w:rPr>
        <w:noBreakHyphen/>
        <w:t xml:space="preserve"> Caractère suffisant de la divulgation </w:t>
      </w:r>
      <w:r w:rsidRPr="0085721F">
        <w:rPr>
          <w:rFonts w:cs="Times New Roman"/>
          <w:sz w:val="20"/>
          <w:szCs w:val="20"/>
          <w:lang w:val="fr-CA"/>
        </w:rPr>
        <w:noBreakHyphen/>
        <w:t xml:space="preserve"> Les juridictions inférieures </w:t>
      </w:r>
      <w:proofErr w:type="spellStart"/>
      <w:r w:rsidRPr="0085721F">
        <w:rPr>
          <w:rFonts w:cs="Times New Roman"/>
          <w:sz w:val="20"/>
          <w:szCs w:val="20"/>
          <w:lang w:val="fr-CA"/>
        </w:rPr>
        <w:t>ont</w:t>
      </w:r>
      <w:r w:rsidRPr="0085721F">
        <w:rPr>
          <w:rFonts w:cs="Times New Roman"/>
          <w:sz w:val="20"/>
          <w:szCs w:val="20"/>
          <w:lang w:val="fr-CA"/>
        </w:rPr>
        <w:noBreakHyphen/>
        <w:t>elles</w:t>
      </w:r>
      <w:proofErr w:type="spellEnd"/>
      <w:r w:rsidRPr="0085721F">
        <w:rPr>
          <w:rFonts w:cs="Times New Roman"/>
          <w:sz w:val="20"/>
          <w:szCs w:val="20"/>
          <w:lang w:val="fr-CA"/>
        </w:rPr>
        <w:t xml:space="preserve"> eu tort de ne pas invalider le brevet parce qu’il n’aurait pas fait l’objet d’une divulgation suffisante et n’aurait pas été dénué d’obscurité ? </w:t>
      </w:r>
      <w:r w:rsidRPr="0085721F">
        <w:rPr>
          <w:rFonts w:cs="Times New Roman"/>
          <w:sz w:val="20"/>
          <w:szCs w:val="20"/>
          <w:lang w:val="fr-CA"/>
        </w:rPr>
        <w:noBreakHyphen/>
        <w:t xml:space="preserve"> Les juridictions inférieures </w:t>
      </w:r>
      <w:proofErr w:type="spellStart"/>
      <w:r w:rsidRPr="0085721F">
        <w:rPr>
          <w:rFonts w:cs="Times New Roman"/>
          <w:sz w:val="20"/>
          <w:szCs w:val="20"/>
          <w:lang w:val="fr-CA"/>
        </w:rPr>
        <w:t>ont</w:t>
      </w:r>
      <w:r w:rsidRPr="0085721F">
        <w:rPr>
          <w:rFonts w:cs="Times New Roman"/>
          <w:sz w:val="20"/>
          <w:szCs w:val="20"/>
          <w:lang w:val="fr-CA"/>
        </w:rPr>
        <w:noBreakHyphen/>
        <w:t>elles</w:t>
      </w:r>
      <w:proofErr w:type="spellEnd"/>
      <w:r w:rsidRPr="0085721F">
        <w:rPr>
          <w:rFonts w:cs="Times New Roman"/>
          <w:sz w:val="20"/>
          <w:szCs w:val="20"/>
          <w:lang w:val="fr-CA"/>
        </w:rPr>
        <w:t xml:space="preserve"> eu tort de ne pas conclure à l’invalidité de la revendication 7 pour divulgation insuffisante de prédiction valable ? </w:t>
      </w:r>
      <w:r w:rsidRPr="0085721F">
        <w:rPr>
          <w:rFonts w:cs="Times New Roman"/>
          <w:sz w:val="20"/>
          <w:szCs w:val="20"/>
          <w:lang w:val="fr-CA"/>
        </w:rPr>
        <w:noBreakHyphen/>
        <w:t xml:space="preserve"> Les juridictions inférieures </w:t>
      </w:r>
      <w:proofErr w:type="spellStart"/>
      <w:r w:rsidRPr="0085721F">
        <w:rPr>
          <w:rFonts w:cs="Times New Roman"/>
          <w:sz w:val="20"/>
          <w:szCs w:val="20"/>
          <w:lang w:val="fr-CA"/>
        </w:rPr>
        <w:t>ont</w:t>
      </w:r>
      <w:r w:rsidRPr="0085721F">
        <w:rPr>
          <w:rFonts w:cs="Times New Roman"/>
          <w:sz w:val="20"/>
          <w:szCs w:val="20"/>
          <w:lang w:val="fr-CA"/>
        </w:rPr>
        <w:noBreakHyphen/>
        <w:t>elles</w:t>
      </w:r>
      <w:proofErr w:type="spellEnd"/>
      <w:r w:rsidRPr="0085721F">
        <w:rPr>
          <w:rFonts w:cs="Times New Roman"/>
          <w:sz w:val="20"/>
          <w:szCs w:val="20"/>
          <w:lang w:val="fr-CA"/>
        </w:rPr>
        <w:t xml:space="preserve"> eu tort de ne pas conclure à l’invalidité de la revendication 7 pour divulgation insuffisante d’une utilité démontrée ? </w:t>
      </w:r>
      <w:r w:rsidRPr="0085721F">
        <w:rPr>
          <w:rFonts w:cs="Times New Roman"/>
          <w:sz w:val="20"/>
          <w:szCs w:val="20"/>
          <w:lang w:val="fr-CA"/>
        </w:rPr>
        <w:noBreakHyphen/>
        <w:t xml:space="preserve"> Les juridictions inférieures </w:t>
      </w:r>
      <w:proofErr w:type="spellStart"/>
      <w:r w:rsidRPr="0085721F">
        <w:rPr>
          <w:rFonts w:cs="Times New Roman"/>
          <w:sz w:val="20"/>
          <w:szCs w:val="20"/>
          <w:lang w:val="fr-CA"/>
        </w:rPr>
        <w:t>ont</w:t>
      </w:r>
      <w:r w:rsidRPr="0085721F">
        <w:rPr>
          <w:rFonts w:cs="Times New Roman"/>
          <w:sz w:val="20"/>
          <w:szCs w:val="20"/>
          <w:lang w:val="fr-CA"/>
        </w:rPr>
        <w:noBreakHyphen/>
        <w:t>elles</w:t>
      </w:r>
      <w:proofErr w:type="spellEnd"/>
      <w:r w:rsidRPr="0085721F">
        <w:rPr>
          <w:rFonts w:cs="Times New Roman"/>
          <w:sz w:val="20"/>
          <w:szCs w:val="20"/>
          <w:lang w:val="fr-CA"/>
        </w:rPr>
        <w:t xml:space="preserve"> conclu à tort que </w:t>
      </w:r>
      <w:r w:rsidRPr="0085721F">
        <w:rPr>
          <w:rFonts w:cs="Times New Roman"/>
          <w:color w:val="000000"/>
          <w:sz w:val="20"/>
          <w:szCs w:val="20"/>
          <w:lang w:val="fr-FR"/>
        </w:rPr>
        <w:t xml:space="preserve">l’arrêt </w:t>
      </w:r>
      <w:proofErr w:type="spellStart"/>
      <w:r w:rsidRPr="0085721F">
        <w:rPr>
          <w:rFonts w:cs="Times New Roman"/>
          <w:i/>
          <w:iCs/>
          <w:color w:val="000000"/>
          <w:sz w:val="20"/>
          <w:szCs w:val="20"/>
          <w:lang w:val="fr-FR"/>
        </w:rPr>
        <w:t>Consolboard</w:t>
      </w:r>
      <w:proofErr w:type="spellEnd"/>
      <w:r w:rsidRPr="0085721F">
        <w:rPr>
          <w:rFonts w:cs="Times New Roman"/>
          <w:i/>
          <w:iCs/>
          <w:color w:val="000000"/>
          <w:sz w:val="20"/>
          <w:szCs w:val="20"/>
          <w:lang w:val="fr-FR"/>
        </w:rPr>
        <w:t xml:space="preserve"> Inc.</w:t>
      </w:r>
      <w:r w:rsidRPr="0085721F">
        <w:rPr>
          <w:rFonts w:cs="Times New Roman"/>
          <w:color w:val="000000"/>
          <w:sz w:val="20"/>
          <w:szCs w:val="20"/>
          <w:lang w:val="fr-FR"/>
        </w:rPr>
        <w:t> </w:t>
      </w:r>
      <w:r w:rsidRPr="0085721F">
        <w:rPr>
          <w:rFonts w:cs="Times New Roman"/>
          <w:i/>
          <w:iCs/>
          <w:color w:val="000000"/>
          <w:sz w:val="20"/>
          <w:szCs w:val="20"/>
          <w:lang w:val="fr-FR"/>
        </w:rPr>
        <w:t>c.</w:t>
      </w:r>
      <w:r w:rsidRPr="0085721F">
        <w:rPr>
          <w:rFonts w:cs="Times New Roman"/>
          <w:color w:val="000000"/>
          <w:sz w:val="20"/>
          <w:szCs w:val="20"/>
          <w:lang w:val="fr-FR"/>
        </w:rPr>
        <w:t xml:space="preserve"> </w:t>
      </w:r>
      <w:proofErr w:type="spellStart"/>
      <w:r w:rsidRPr="0085721F">
        <w:rPr>
          <w:rFonts w:cs="Times New Roman"/>
          <w:i/>
          <w:iCs/>
          <w:color w:val="000000"/>
          <w:sz w:val="20"/>
          <w:szCs w:val="20"/>
          <w:lang w:val="fr-FR"/>
        </w:rPr>
        <w:t>MacMillan</w:t>
      </w:r>
      <w:proofErr w:type="spellEnd"/>
      <w:r w:rsidRPr="0085721F">
        <w:rPr>
          <w:rFonts w:cs="Times New Roman"/>
          <w:i/>
          <w:iCs/>
          <w:color w:val="000000"/>
          <w:sz w:val="20"/>
          <w:szCs w:val="20"/>
          <w:lang w:val="fr-FR"/>
        </w:rPr>
        <w:t xml:space="preserve"> </w:t>
      </w:r>
      <w:proofErr w:type="spellStart"/>
      <w:r w:rsidRPr="0085721F">
        <w:rPr>
          <w:rFonts w:cs="Times New Roman"/>
          <w:i/>
          <w:iCs/>
          <w:color w:val="000000"/>
          <w:sz w:val="20"/>
          <w:szCs w:val="20"/>
          <w:lang w:val="fr-FR"/>
        </w:rPr>
        <w:t>Bloedel</w:t>
      </w:r>
      <w:proofErr w:type="spellEnd"/>
      <w:r w:rsidRPr="0085721F">
        <w:rPr>
          <w:rFonts w:cs="Times New Roman"/>
          <w:i/>
          <w:iCs/>
          <w:color w:val="000000"/>
          <w:sz w:val="20"/>
          <w:szCs w:val="20"/>
          <w:lang w:val="fr-FR"/>
        </w:rPr>
        <w:t xml:space="preserve"> (Saskatchewan Ltd.)</w:t>
      </w:r>
      <w:r w:rsidRPr="0085721F">
        <w:rPr>
          <w:rFonts w:cs="Times New Roman"/>
          <w:color w:val="000000"/>
          <w:sz w:val="20"/>
          <w:szCs w:val="20"/>
          <w:lang w:val="fr-FR"/>
        </w:rPr>
        <w:t xml:space="preserve">, [1981] 1 R.C.S. 504 limite l’examen du caractère suffisant ? </w:t>
      </w:r>
      <w:r w:rsidRPr="0085721F">
        <w:rPr>
          <w:rFonts w:cs="Times New Roman"/>
          <w:color w:val="000000"/>
          <w:sz w:val="20"/>
          <w:szCs w:val="20"/>
          <w:lang w:val="fr-FR"/>
        </w:rPr>
        <w:noBreakHyphen/>
        <w:t xml:space="preserve"> Les juridictions inférieures </w:t>
      </w:r>
      <w:proofErr w:type="spellStart"/>
      <w:r w:rsidRPr="0085721F">
        <w:rPr>
          <w:rFonts w:cs="Times New Roman"/>
          <w:color w:val="000000"/>
          <w:sz w:val="20"/>
          <w:szCs w:val="20"/>
          <w:lang w:val="fr-FR"/>
        </w:rPr>
        <w:t>ont</w:t>
      </w:r>
      <w:r w:rsidRPr="0085721F">
        <w:rPr>
          <w:rFonts w:cs="Times New Roman"/>
          <w:color w:val="000000"/>
          <w:sz w:val="20"/>
          <w:szCs w:val="20"/>
          <w:lang w:val="fr-FR"/>
        </w:rPr>
        <w:noBreakHyphen/>
        <w:t>elles</w:t>
      </w:r>
      <w:proofErr w:type="spellEnd"/>
      <w:r w:rsidRPr="0085721F">
        <w:rPr>
          <w:rFonts w:cs="Times New Roman"/>
          <w:color w:val="000000"/>
          <w:sz w:val="20"/>
          <w:szCs w:val="20"/>
          <w:lang w:val="fr-FR"/>
        </w:rPr>
        <w:t xml:space="preserve"> commis une erreur en limitant l’analyse de la suffisance de la divulgation à la revendication 7 ?</w:t>
      </w:r>
    </w:p>
    <w:p w:rsidR="00164E80" w:rsidRPr="0085721F" w:rsidRDefault="00164E80" w:rsidP="00246DDB">
      <w:pPr>
        <w:jc w:val="both"/>
        <w:rPr>
          <w:rFonts w:cs="Times New Roman"/>
          <w:sz w:val="20"/>
          <w:szCs w:val="20"/>
          <w:lang w:val="fr-CA"/>
        </w:rPr>
      </w:pPr>
    </w:p>
    <w:p w:rsidR="00164E80" w:rsidRPr="0085721F" w:rsidRDefault="00164E80" w:rsidP="00246DDB">
      <w:pPr>
        <w:jc w:val="both"/>
        <w:rPr>
          <w:rFonts w:cs="Times New Roman"/>
          <w:sz w:val="20"/>
          <w:szCs w:val="20"/>
          <w:lang w:val="fr-CA"/>
        </w:rPr>
      </w:pPr>
      <w:r w:rsidRPr="0085721F">
        <w:rPr>
          <w:rFonts w:cs="Times New Roman"/>
          <w:sz w:val="20"/>
          <w:szCs w:val="20"/>
          <w:lang w:val="fr-CA"/>
        </w:rPr>
        <w:t>En 1994, Pfizer a demandé un brevet pour un groupe de composés, revendiquant l’efficacité de l'un dans le traitement oral de la dysfonction érectile.  Elle a reçu le brevet 2 163 446 le 7 juillet 1998.  Le brevet 446 expire en 2014.</w:t>
      </w:r>
    </w:p>
    <w:p w:rsidR="00164E80" w:rsidRPr="0085721F" w:rsidRDefault="00164E80" w:rsidP="00246DDB">
      <w:pPr>
        <w:jc w:val="both"/>
        <w:rPr>
          <w:rFonts w:cs="Times New Roman"/>
          <w:sz w:val="20"/>
          <w:szCs w:val="20"/>
          <w:lang w:val="fr-CA"/>
        </w:rPr>
      </w:pPr>
    </w:p>
    <w:p w:rsidR="00164E80" w:rsidRPr="0085721F" w:rsidRDefault="00164E80" w:rsidP="00246DDB">
      <w:pPr>
        <w:jc w:val="both"/>
        <w:rPr>
          <w:rFonts w:cs="Times New Roman"/>
          <w:sz w:val="20"/>
          <w:szCs w:val="20"/>
          <w:lang w:val="fr-CA"/>
        </w:rPr>
      </w:pPr>
      <w:r w:rsidRPr="0085721F">
        <w:rPr>
          <w:rFonts w:cs="Times New Roman"/>
          <w:sz w:val="20"/>
          <w:szCs w:val="20"/>
          <w:lang w:val="fr-CA"/>
        </w:rPr>
        <w:t xml:space="preserve">Dans la revendication, il est dit que l'invention porte sur l'utilisation d'un composé de la formule (I) ou d’un sel de </w:t>
      </w:r>
      <w:proofErr w:type="spellStart"/>
      <w:r w:rsidRPr="0085721F">
        <w:rPr>
          <w:rFonts w:cs="Times New Roman"/>
          <w:sz w:val="20"/>
          <w:szCs w:val="20"/>
          <w:lang w:val="fr-CA"/>
        </w:rPr>
        <w:t>celui</w:t>
      </w:r>
      <w:r w:rsidRPr="0085721F">
        <w:rPr>
          <w:rFonts w:cs="Times New Roman"/>
          <w:sz w:val="20"/>
          <w:szCs w:val="20"/>
          <w:lang w:val="fr-CA"/>
        </w:rPr>
        <w:noBreakHyphen/>
        <w:t>ci</w:t>
      </w:r>
      <w:proofErr w:type="spellEnd"/>
      <w:r w:rsidRPr="0085721F">
        <w:rPr>
          <w:rFonts w:cs="Times New Roman"/>
          <w:sz w:val="20"/>
          <w:szCs w:val="20"/>
          <w:lang w:val="fr-CA"/>
        </w:rPr>
        <w:t xml:space="preserve"> comme médicament pour le traitement de la dysfonction érectile.  La revendication 1 énonce de la formule (I), qui produit 260 quintillions de composés possibles.  Les revendications 2 à 5 portent sur des groupes plus restreints de la formule (I), la revendication 5 étant restreinte à un groupe de neuf composés.  Les revendications 6 et 7 portent sur un composé chacune.  Ni l’exposé de l’invention ni les revendications ne divulgue le fait que la revendication 7 renferme le composé efficace, que le sildénafil est ce composé ou s'il s'agit du seul le composé actif vendu commercialement sous le nom commercial de Viagra.  Ils ne divulguent pas non plus que les autres composés du brevet pouvaient traiter la dysfonction érectile.</w:t>
      </w:r>
    </w:p>
    <w:p w:rsidR="00164E80" w:rsidRPr="0085721F" w:rsidRDefault="00164E80" w:rsidP="00246DDB">
      <w:pPr>
        <w:jc w:val="both"/>
        <w:rPr>
          <w:rFonts w:cs="Times New Roman"/>
          <w:sz w:val="20"/>
          <w:szCs w:val="20"/>
          <w:lang w:val="fr-CA"/>
        </w:rPr>
      </w:pPr>
    </w:p>
    <w:p w:rsidR="00164E80" w:rsidRPr="0085721F" w:rsidRDefault="00164E80" w:rsidP="00246DDB">
      <w:pPr>
        <w:jc w:val="both"/>
        <w:rPr>
          <w:rFonts w:cs="Times New Roman"/>
          <w:sz w:val="20"/>
          <w:szCs w:val="20"/>
          <w:lang w:val="fr-CA"/>
        </w:rPr>
      </w:pPr>
      <w:proofErr w:type="spellStart"/>
      <w:r w:rsidRPr="0085721F">
        <w:rPr>
          <w:rFonts w:cs="Times New Roman"/>
          <w:sz w:val="20"/>
          <w:szCs w:val="20"/>
          <w:lang w:val="fr-CA"/>
        </w:rPr>
        <w:t>Novopharm</w:t>
      </w:r>
      <w:proofErr w:type="spellEnd"/>
      <w:r w:rsidRPr="0085721F">
        <w:rPr>
          <w:rFonts w:cs="Times New Roman"/>
          <w:sz w:val="20"/>
          <w:szCs w:val="20"/>
          <w:lang w:val="fr-CA"/>
        </w:rPr>
        <w:t xml:space="preserve">, maintenant </w:t>
      </w:r>
      <w:proofErr w:type="spellStart"/>
      <w:r w:rsidRPr="0085721F">
        <w:rPr>
          <w:rFonts w:cs="Times New Roman"/>
          <w:sz w:val="20"/>
          <w:szCs w:val="20"/>
          <w:lang w:val="fr-CA"/>
        </w:rPr>
        <w:t>Teva</w:t>
      </w:r>
      <w:proofErr w:type="spellEnd"/>
      <w:r w:rsidRPr="0085721F">
        <w:rPr>
          <w:rFonts w:cs="Times New Roman"/>
          <w:sz w:val="20"/>
          <w:szCs w:val="20"/>
          <w:lang w:val="fr-CA"/>
        </w:rPr>
        <w:t>, a demandé un avis de conformité pour produire une version générique du Viagra, alléguant que le brevet était invalide pour cause d’évidence, d’absence d’utilité et d’insuffisance de la divulgation.  Le juge de la Cour fédérale a conclu que le brevet n'était pas évident, qu'il était utile et qu'il divulguait adéquatement l'invention.  Il a interdit au ministre de délivrer l'avis de conformité demandé.  La Cour d'appel fédérale a rejeté l'appel.</w:t>
      </w:r>
    </w:p>
    <w:p w:rsidR="00164E80" w:rsidRDefault="00164E80" w:rsidP="00317C2D">
      <w:pPr>
        <w:rPr>
          <w:rFonts w:cs="Times New Roman"/>
          <w:sz w:val="20"/>
          <w:szCs w:val="20"/>
          <w:lang w:val="fr-CA"/>
        </w:rPr>
      </w:pPr>
    </w:p>
    <w:p w:rsidR="00164E80" w:rsidRPr="0085721F" w:rsidRDefault="00164E80" w:rsidP="00317C2D">
      <w:pPr>
        <w:rPr>
          <w:rFonts w:cs="Times New Roman"/>
          <w:sz w:val="20"/>
          <w:szCs w:val="20"/>
          <w:lang w:val="fr-CA"/>
        </w:rPr>
      </w:pPr>
    </w:p>
    <w:p w:rsidR="0085721F" w:rsidRPr="0085721F" w:rsidRDefault="0085721F" w:rsidP="0085721F">
      <w:pPr>
        <w:rPr>
          <w:rFonts w:cs="Times New Roman"/>
          <w:sz w:val="20"/>
          <w:szCs w:val="20"/>
          <w:lang w:val="fr-CA"/>
        </w:rPr>
      </w:pPr>
      <w:r w:rsidRPr="0085721F">
        <w:rPr>
          <w:rFonts w:cs="Times New Roman"/>
          <w:sz w:val="20"/>
          <w:szCs w:val="20"/>
          <w:lang w:val="fr-CA"/>
        </w:rPr>
        <w:t>Origine de la cause :</w:t>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t>Cour d’appel fédérale</w:t>
      </w:r>
    </w:p>
    <w:p w:rsidR="0085721F" w:rsidRPr="0085721F" w:rsidRDefault="0085721F" w:rsidP="0085721F">
      <w:pPr>
        <w:rPr>
          <w:rFonts w:cs="Times New Roman"/>
          <w:sz w:val="20"/>
          <w:szCs w:val="20"/>
          <w:lang w:val="fr-CA"/>
        </w:rPr>
      </w:pPr>
    </w:p>
    <w:p w:rsidR="0085721F" w:rsidRPr="0085721F" w:rsidRDefault="0085721F" w:rsidP="0085721F">
      <w:pPr>
        <w:rPr>
          <w:rFonts w:cs="Times New Roman"/>
          <w:sz w:val="20"/>
          <w:szCs w:val="20"/>
          <w:lang w:val="fr-CA"/>
        </w:rPr>
      </w:pPr>
      <w:r w:rsidRPr="0085721F">
        <w:rPr>
          <w:rFonts w:cs="Times New Roman"/>
          <w:sz w:val="20"/>
          <w:szCs w:val="20"/>
          <w:lang w:val="fr-CA"/>
        </w:rPr>
        <w:t>No du greffe :</w:t>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t>33951</w:t>
      </w:r>
    </w:p>
    <w:p w:rsidR="0085721F" w:rsidRPr="0085721F" w:rsidRDefault="0085721F" w:rsidP="0085721F">
      <w:pPr>
        <w:rPr>
          <w:rFonts w:cs="Times New Roman"/>
          <w:sz w:val="20"/>
          <w:szCs w:val="20"/>
          <w:lang w:val="fr-CA"/>
        </w:rPr>
      </w:pPr>
    </w:p>
    <w:p w:rsidR="0085721F" w:rsidRPr="0085721F" w:rsidRDefault="0085721F" w:rsidP="0085721F">
      <w:pPr>
        <w:rPr>
          <w:rFonts w:cs="Times New Roman"/>
          <w:sz w:val="20"/>
          <w:szCs w:val="20"/>
          <w:lang w:val="fr-CA"/>
        </w:rPr>
      </w:pPr>
      <w:r w:rsidRPr="0085721F">
        <w:rPr>
          <w:rFonts w:cs="Times New Roman"/>
          <w:sz w:val="20"/>
          <w:szCs w:val="20"/>
          <w:lang w:val="fr-CA"/>
        </w:rPr>
        <w:t>Arrêt de la Cour d’appel :</w:t>
      </w:r>
      <w:r w:rsidRPr="0085721F">
        <w:rPr>
          <w:rFonts w:cs="Times New Roman"/>
          <w:sz w:val="20"/>
          <w:szCs w:val="20"/>
          <w:lang w:val="fr-CA"/>
        </w:rPr>
        <w:tab/>
      </w:r>
      <w:r w:rsidRPr="0085721F">
        <w:rPr>
          <w:rFonts w:cs="Times New Roman"/>
          <w:sz w:val="20"/>
          <w:szCs w:val="20"/>
          <w:lang w:val="fr-CA"/>
        </w:rPr>
        <w:tab/>
      </w:r>
      <w:r w:rsidR="00164E80">
        <w:rPr>
          <w:rFonts w:cs="Times New Roman"/>
          <w:sz w:val="20"/>
          <w:szCs w:val="20"/>
          <w:lang w:val="fr-CA"/>
        </w:rPr>
        <w:tab/>
      </w:r>
      <w:r w:rsidRPr="0085721F">
        <w:rPr>
          <w:rFonts w:cs="Times New Roman"/>
          <w:sz w:val="20"/>
          <w:szCs w:val="20"/>
          <w:lang w:val="fr-CA"/>
        </w:rPr>
        <w:t>24 septembre 2010</w:t>
      </w:r>
    </w:p>
    <w:p w:rsidR="0085721F" w:rsidRPr="0085721F" w:rsidRDefault="0085721F" w:rsidP="0085721F">
      <w:pPr>
        <w:rPr>
          <w:rFonts w:cs="Times New Roman"/>
          <w:sz w:val="20"/>
          <w:szCs w:val="20"/>
          <w:lang w:val="fr-CA"/>
        </w:rPr>
      </w:pPr>
    </w:p>
    <w:p w:rsidR="0085721F" w:rsidRPr="0085721F" w:rsidRDefault="0085721F" w:rsidP="0085721F">
      <w:pPr>
        <w:rPr>
          <w:rFonts w:cs="Times New Roman"/>
          <w:sz w:val="20"/>
          <w:szCs w:val="20"/>
          <w:lang w:val="fr-CA"/>
        </w:rPr>
      </w:pPr>
      <w:r w:rsidRPr="0085721F">
        <w:rPr>
          <w:rFonts w:cs="Times New Roman"/>
          <w:sz w:val="20"/>
          <w:szCs w:val="20"/>
          <w:lang w:val="fr-CA"/>
        </w:rPr>
        <w:t>Avocats :</w:t>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t xml:space="preserve">David W. </w:t>
      </w:r>
      <w:proofErr w:type="spellStart"/>
      <w:r w:rsidRPr="0085721F">
        <w:rPr>
          <w:rFonts w:cs="Times New Roman"/>
          <w:sz w:val="20"/>
          <w:szCs w:val="20"/>
          <w:lang w:val="fr-CA"/>
        </w:rPr>
        <w:t>Aitken</w:t>
      </w:r>
      <w:proofErr w:type="spellEnd"/>
      <w:r w:rsidRPr="0085721F">
        <w:rPr>
          <w:rFonts w:cs="Times New Roman"/>
          <w:sz w:val="20"/>
          <w:szCs w:val="20"/>
          <w:lang w:val="fr-CA"/>
        </w:rPr>
        <w:t xml:space="preserve"> et Marcus Klee pour l’appelante</w:t>
      </w:r>
    </w:p>
    <w:p w:rsidR="0085721F" w:rsidRPr="0085721F" w:rsidRDefault="0085721F" w:rsidP="0085721F">
      <w:pPr>
        <w:ind w:left="3600"/>
        <w:rPr>
          <w:rFonts w:cs="Times New Roman"/>
          <w:sz w:val="20"/>
          <w:szCs w:val="20"/>
          <w:lang w:val="fr-CA"/>
        </w:rPr>
      </w:pPr>
      <w:r w:rsidRPr="0085721F">
        <w:rPr>
          <w:rFonts w:cs="Times New Roman"/>
          <w:sz w:val="20"/>
          <w:szCs w:val="20"/>
          <w:lang w:val="fr-CA"/>
        </w:rPr>
        <w:t xml:space="preserve">Andrew M. </w:t>
      </w:r>
      <w:proofErr w:type="spellStart"/>
      <w:r w:rsidRPr="0085721F">
        <w:rPr>
          <w:rFonts w:cs="Times New Roman"/>
          <w:sz w:val="20"/>
          <w:szCs w:val="20"/>
          <w:lang w:val="fr-CA"/>
        </w:rPr>
        <w:t>Shaughnessy</w:t>
      </w:r>
      <w:proofErr w:type="spellEnd"/>
      <w:r w:rsidRPr="0085721F">
        <w:rPr>
          <w:rFonts w:cs="Times New Roman"/>
          <w:sz w:val="20"/>
          <w:szCs w:val="20"/>
          <w:lang w:val="fr-CA"/>
        </w:rPr>
        <w:t xml:space="preserve"> et Andrew Bernstein pour les intimées Pfizer</w:t>
      </w:r>
    </w:p>
    <w:p w:rsidR="0085721F" w:rsidRPr="0085721F" w:rsidRDefault="0085721F" w:rsidP="0085721F">
      <w:pPr>
        <w:ind w:left="3600"/>
        <w:rPr>
          <w:rFonts w:cs="Times New Roman"/>
          <w:sz w:val="20"/>
          <w:szCs w:val="20"/>
          <w:lang w:val="fr-CA"/>
        </w:rPr>
      </w:pPr>
      <w:proofErr w:type="spellStart"/>
      <w:r w:rsidRPr="0085721F">
        <w:rPr>
          <w:rFonts w:cs="Times New Roman"/>
          <w:sz w:val="20"/>
          <w:szCs w:val="20"/>
          <w:lang w:val="fr-CA"/>
        </w:rPr>
        <w:t>Eric</w:t>
      </w:r>
      <w:proofErr w:type="spellEnd"/>
      <w:r w:rsidRPr="0085721F">
        <w:rPr>
          <w:rFonts w:cs="Times New Roman"/>
          <w:sz w:val="20"/>
          <w:szCs w:val="20"/>
          <w:lang w:val="fr-CA"/>
        </w:rPr>
        <w:t xml:space="preserve"> Peterson pour l’intimé le ministre de la Santé</w:t>
      </w:r>
    </w:p>
    <w:p w:rsidR="0085721F" w:rsidRPr="0085721F" w:rsidRDefault="0085721F" w:rsidP="0085721F">
      <w:pPr>
        <w:rPr>
          <w:rFonts w:cs="Times New Roman"/>
          <w:sz w:val="20"/>
          <w:szCs w:val="20"/>
          <w:lang w:val="fr-CA"/>
        </w:rPr>
      </w:pPr>
    </w:p>
    <w:p w:rsidR="0085721F" w:rsidRPr="0085721F" w:rsidRDefault="0085721F" w:rsidP="0085721F">
      <w:pPr>
        <w:rPr>
          <w:rFonts w:cs="Times New Roman"/>
          <w:sz w:val="20"/>
          <w:szCs w:val="20"/>
          <w:lang w:val="fr-CA"/>
        </w:rPr>
      </w:pPr>
    </w:p>
    <w:p w:rsidR="0085721F" w:rsidRPr="0085721F" w:rsidRDefault="00A148A3" w:rsidP="0085721F">
      <w:pPr>
        <w:widowControl w:val="0"/>
        <w:ind w:left="720" w:hanging="720"/>
        <w:jc w:val="both"/>
        <w:rPr>
          <w:rFonts w:cs="Times New Roman"/>
          <w:sz w:val="20"/>
          <w:szCs w:val="20"/>
          <w:lang w:val="en-CA"/>
        </w:rPr>
      </w:pPr>
      <w:r w:rsidRPr="0085721F">
        <w:rPr>
          <w:rFonts w:cs="Times New Roman"/>
          <w:b/>
          <w:sz w:val="20"/>
          <w:szCs w:val="20"/>
          <w:lang w:val="en-CA"/>
        </w:rPr>
        <w:fldChar w:fldCharType="begin"/>
      </w:r>
      <w:r w:rsidR="0085721F" w:rsidRPr="0085721F">
        <w:rPr>
          <w:rFonts w:cs="Times New Roman"/>
          <w:b/>
          <w:sz w:val="20"/>
          <w:szCs w:val="20"/>
          <w:lang w:val="en-CA"/>
        </w:rPr>
        <w:instrText xml:space="preserve"> SEQ CHAPTER \h \r 1</w:instrText>
      </w:r>
      <w:r w:rsidRPr="0085721F">
        <w:rPr>
          <w:rFonts w:cs="Times New Roman"/>
          <w:b/>
          <w:sz w:val="20"/>
          <w:szCs w:val="20"/>
          <w:lang w:val="en-CA"/>
        </w:rPr>
        <w:fldChar w:fldCharType="end"/>
      </w:r>
      <w:r w:rsidR="0085721F" w:rsidRPr="0085721F">
        <w:rPr>
          <w:rFonts w:cs="Times New Roman"/>
          <w:b/>
          <w:sz w:val="20"/>
          <w:szCs w:val="20"/>
          <w:lang w:val="en-CA"/>
        </w:rPr>
        <w:t>34526</w:t>
      </w:r>
      <w:r w:rsidR="0085721F" w:rsidRPr="0085721F">
        <w:rPr>
          <w:rFonts w:cs="Times New Roman"/>
          <w:sz w:val="20"/>
          <w:szCs w:val="20"/>
          <w:lang w:val="en-CA"/>
        </w:rPr>
        <w:tab/>
      </w:r>
      <w:r w:rsidR="0085721F" w:rsidRPr="0085721F">
        <w:rPr>
          <w:rFonts w:cs="Times New Roman"/>
          <w:b/>
          <w:i/>
          <w:sz w:val="20"/>
          <w:szCs w:val="20"/>
          <w:lang w:val="en-CA"/>
        </w:rPr>
        <w:t xml:space="preserve">Her Majesty the Queen v. </w:t>
      </w:r>
      <w:proofErr w:type="spellStart"/>
      <w:r w:rsidR="0085721F" w:rsidRPr="0085721F">
        <w:rPr>
          <w:rFonts w:cs="Times New Roman"/>
          <w:b/>
          <w:i/>
          <w:sz w:val="20"/>
          <w:szCs w:val="20"/>
          <w:lang w:val="en-CA"/>
        </w:rPr>
        <w:t>Suganthini</w:t>
      </w:r>
      <w:proofErr w:type="spellEnd"/>
      <w:r w:rsidR="0085721F" w:rsidRPr="0085721F">
        <w:rPr>
          <w:rFonts w:cs="Times New Roman"/>
          <w:b/>
          <w:i/>
          <w:sz w:val="20"/>
          <w:szCs w:val="20"/>
          <w:lang w:val="en-CA"/>
        </w:rPr>
        <w:t xml:space="preserve"> </w:t>
      </w:r>
      <w:proofErr w:type="spellStart"/>
      <w:r w:rsidR="0085721F" w:rsidRPr="0085721F">
        <w:rPr>
          <w:rFonts w:cs="Times New Roman"/>
          <w:b/>
          <w:i/>
          <w:sz w:val="20"/>
          <w:szCs w:val="20"/>
          <w:lang w:val="en-CA"/>
        </w:rPr>
        <w:t>Mayuran</w:t>
      </w:r>
      <w:proofErr w:type="spellEnd"/>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r w:rsidRPr="0085721F">
        <w:rPr>
          <w:rFonts w:cs="Times New Roman"/>
          <w:sz w:val="20"/>
          <w:szCs w:val="20"/>
          <w:lang w:val="en-CA"/>
        </w:rPr>
        <w:t xml:space="preserve">Criminal law </w:t>
      </w:r>
      <w:r w:rsidRPr="0085721F">
        <w:rPr>
          <w:rFonts w:cs="Times New Roman"/>
          <w:sz w:val="20"/>
          <w:szCs w:val="20"/>
          <w:lang w:val="en-CA"/>
        </w:rPr>
        <w:noBreakHyphen/>
        <w:t xml:space="preserve"> Defences </w:t>
      </w:r>
      <w:r w:rsidRPr="0085721F">
        <w:rPr>
          <w:rFonts w:cs="Times New Roman"/>
          <w:sz w:val="20"/>
          <w:szCs w:val="20"/>
          <w:lang w:val="en-CA"/>
        </w:rPr>
        <w:noBreakHyphen/>
        <w:t xml:space="preserve"> Provocation </w:t>
      </w:r>
      <w:r w:rsidRPr="0085721F">
        <w:rPr>
          <w:rFonts w:cs="Times New Roman"/>
          <w:sz w:val="20"/>
          <w:szCs w:val="20"/>
          <w:lang w:val="en-CA"/>
        </w:rPr>
        <w:noBreakHyphen/>
        <w:t xml:space="preserve"> </w:t>
      </w:r>
      <w:proofErr w:type="gramStart"/>
      <w:r w:rsidRPr="0085721F">
        <w:rPr>
          <w:rFonts w:cs="Times New Roman"/>
          <w:sz w:val="20"/>
          <w:szCs w:val="20"/>
          <w:lang w:val="en-CA"/>
        </w:rPr>
        <w:t>Whether</w:t>
      </w:r>
      <w:proofErr w:type="gramEnd"/>
      <w:r w:rsidRPr="0085721F">
        <w:rPr>
          <w:rFonts w:cs="Times New Roman"/>
          <w:sz w:val="20"/>
          <w:szCs w:val="20"/>
          <w:lang w:val="en-CA"/>
        </w:rPr>
        <w:t xml:space="preserve"> defence of provocation meets air of reality test. </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r w:rsidRPr="0085721F">
        <w:rPr>
          <w:rFonts w:cs="Times New Roman"/>
          <w:sz w:val="20"/>
          <w:szCs w:val="20"/>
          <w:lang w:val="en-CA"/>
        </w:rPr>
        <w:t xml:space="preserve">The respondent was convicted of second degree murder in respect of the death of her </w:t>
      </w:r>
      <w:proofErr w:type="spellStart"/>
      <w:r w:rsidRPr="0085721F">
        <w:rPr>
          <w:rFonts w:cs="Times New Roman"/>
          <w:sz w:val="20"/>
          <w:szCs w:val="20"/>
          <w:lang w:val="en-CA"/>
        </w:rPr>
        <w:t>sister</w:t>
      </w:r>
      <w:r w:rsidRPr="0085721F">
        <w:rPr>
          <w:rFonts w:cs="Times New Roman"/>
          <w:sz w:val="20"/>
          <w:szCs w:val="20"/>
          <w:lang w:val="en-CA"/>
        </w:rPr>
        <w:noBreakHyphen/>
        <w:t>in</w:t>
      </w:r>
      <w:r w:rsidRPr="0085721F">
        <w:rPr>
          <w:rFonts w:cs="Times New Roman"/>
          <w:sz w:val="20"/>
          <w:szCs w:val="20"/>
          <w:lang w:val="en-CA"/>
        </w:rPr>
        <w:noBreakHyphen/>
        <w:t>law</w:t>
      </w:r>
      <w:proofErr w:type="spellEnd"/>
      <w:r w:rsidRPr="0085721F">
        <w:rPr>
          <w:rFonts w:cs="Times New Roman"/>
          <w:sz w:val="20"/>
          <w:szCs w:val="20"/>
          <w:lang w:val="en-CA"/>
        </w:rPr>
        <w:t xml:space="preserve">.  The majority of the Court of Appeal allowed her appeal and ordered a new trial on the basis that the trial judge had erred in failing to bring s. 232 of the </w:t>
      </w:r>
      <w:r w:rsidRPr="0085721F">
        <w:rPr>
          <w:rFonts w:cs="Times New Roman"/>
          <w:i/>
          <w:sz w:val="20"/>
          <w:szCs w:val="20"/>
          <w:lang w:val="en-CA"/>
        </w:rPr>
        <w:t>Criminal Code</w:t>
      </w:r>
      <w:r w:rsidRPr="0085721F">
        <w:rPr>
          <w:rFonts w:cs="Times New Roman"/>
          <w:sz w:val="20"/>
          <w:szCs w:val="20"/>
          <w:lang w:val="en-CA"/>
        </w:rPr>
        <w:t xml:space="preserve">, which sets out the defence of provocation, to the jury’s attention.  </w:t>
      </w:r>
      <w:proofErr w:type="spellStart"/>
      <w:r w:rsidRPr="0085721F">
        <w:rPr>
          <w:rFonts w:cs="Times New Roman"/>
          <w:sz w:val="20"/>
          <w:szCs w:val="20"/>
        </w:rPr>
        <w:t>Rochon</w:t>
      </w:r>
      <w:proofErr w:type="spellEnd"/>
      <w:r w:rsidRPr="0085721F">
        <w:rPr>
          <w:rFonts w:cs="Times New Roman"/>
          <w:sz w:val="20"/>
          <w:szCs w:val="20"/>
        </w:rPr>
        <w:t> J</w:t>
      </w:r>
      <w:r w:rsidRPr="0085721F">
        <w:rPr>
          <w:rFonts w:cs="Times New Roman"/>
          <w:sz w:val="20"/>
          <w:szCs w:val="20"/>
          <w:lang w:val="en-CA"/>
        </w:rPr>
        <w:t xml:space="preserve">.A., dissenting, would have dismissed the appeal.  </w:t>
      </w:r>
      <w:proofErr w:type="gramStart"/>
      <w:r w:rsidRPr="0085721F">
        <w:rPr>
          <w:rFonts w:cs="Times New Roman"/>
          <w:sz w:val="20"/>
          <w:szCs w:val="20"/>
          <w:lang w:val="en-CA"/>
        </w:rPr>
        <w:t>In his opinion, that defence did not have to be put to the jury, because the evidence did not lend an air of reality to it.</w:t>
      </w:r>
      <w:proofErr w:type="gramEnd"/>
      <w:r w:rsidRPr="0085721F">
        <w:rPr>
          <w:rFonts w:cs="Times New Roman"/>
          <w:sz w:val="20"/>
          <w:szCs w:val="20"/>
          <w:lang w:val="en-CA"/>
        </w:rPr>
        <w:t xml:space="preserve"> </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r w:rsidRPr="0085721F">
        <w:rPr>
          <w:rFonts w:cs="Times New Roman"/>
          <w:sz w:val="20"/>
          <w:szCs w:val="20"/>
          <w:lang w:val="en-CA"/>
        </w:rPr>
        <w:t>Origin of the case:</w:t>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t>Quebec</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r w:rsidRPr="0085721F">
        <w:rPr>
          <w:rFonts w:cs="Times New Roman"/>
          <w:sz w:val="20"/>
          <w:szCs w:val="20"/>
          <w:lang w:val="en-CA"/>
        </w:rPr>
        <w:t>File No.:</w:t>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r>
      <w:r w:rsidR="00164E80">
        <w:rPr>
          <w:rFonts w:cs="Times New Roman"/>
          <w:sz w:val="20"/>
          <w:szCs w:val="20"/>
          <w:lang w:val="en-CA"/>
        </w:rPr>
        <w:tab/>
      </w:r>
      <w:r w:rsidRPr="0085721F">
        <w:rPr>
          <w:rFonts w:cs="Times New Roman"/>
          <w:sz w:val="20"/>
          <w:szCs w:val="20"/>
          <w:lang w:val="en-CA"/>
        </w:rPr>
        <w:t>34526</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r w:rsidRPr="0085721F">
        <w:rPr>
          <w:rFonts w:cs="Times New Roman"/>
          <w:sz w:val="20"/>
          <w:szCs w:val="20"/>
          <w:lang w:val="en-CA"/>
        </w:rPr>
        <w:t>Judgment of the Court of Appeal:</w:t>
      </w:r>
      <w:r w:rsidRPr="0085721F">
        <w:rPr>
          <w:rFonts w:cs="Times New Roman"/>
          <w:sz w:val="20"/>
          <w:szCs w:val="20"/>
          <w:lang w:val="en-CA"/>
        </w:rPr>
        <w:tab/>
      </w:r>
      <w:r w:rsidR="00164E80">
        <w:rPr>
          <w:rFonts w:cs="Times New Roman"/>
          <w:sz w:val="20"/>
          <w:szCs w:val="20"/>
          <w:lang w:val="en-CA"/>
        </w:rPr>
        <w:tab/>
      </w:r>
      <w:r w:rsidRPr="0085721F">
        <w:rPr>
          <w:rFonts w:cs="Times New Roman"/>
          <w:sz w:val="20"/>
          <w:szCs w:val="20"/>
          <w:lang w:val="en-CA"/>
        </w:rPr>
        <w:t>October 4, 2011</w:t>
      </w:r>
    </w:p>
    <w:p w:rsidR="0085721F" w:rsidRPr="0085721F" w:rsidRDefault="0085721F" w:rsidP="0085721F">
      <w:pPr>
        <w:widowControl w:val="0"/>
        <w:jc w:val="both"/>
        <w:rPr>
          <w:rFonts w:cs="Times New Roman"/>
          <w:sz w:val="20"/>
          <w:szCs w:val="20"/>
          <w:lang w:val="en-CA"/>
        </w:rPr>
      </w:pPr>
    </w:p>
    <w:p w:rsidR="0085721F" w:rsidRPr="0085721F" w:rsidRDefault="0085721F" w:rsidP="0085721F">
      <w:pPr>
        <w:widowControl w:val="0"/>
        <w:jc w:val="both"/>
        <w:rPr>
          <w:rFonts w:cs="Times New Roman"/>
          <w:sz w:val="20"/>
          <w:szCs w:val="20"/>
          <w:lang w:val="en-CA"/>
        </w:rPr>
      </w:pPr>
      <w:r w:rsidRPr="0085721F">
        <w:rPr>
          <w:rFonts w:cs="Times New Roman"/>
          <w:sz w:val="20"/>
          <w:szCs w:val="20"/>
          <w:lang w:val="en-CA"/>
        </w:rPr>
        <w:t>Counsel:</w:t>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r>
      <w:r w:rsidR="00164E80">
        <w:rPr>
          <w:rFonts w:cs="Times New Roman"/>
          <w:sz w:val="20"/>
          <w:szCs w:val="20"/>
          <w:lang w:val="en-CA"/>
        </w:rPr>
        <w:tab/>
      </w:r>
      <w:r w:rsidRPr="0085721F">
        <w:rPr>
          <w:rFonts w:cs="Times New Roman"/>
          <w:sz w:val="20"/>
          <w:szCs w:val="20"/>
          <w:lang w:val="en-CA"/>
        </w:rPr>
        <w:t xml:space="preserve">Louis </w:t>
      </w:r>
      <w:proofErr w:type="spellStart"/>
      <w:r w:rsidRPr="0085721F">
        <w:rPr>
          <w:rFonts w:cs="Times New Roman"/>
          <w:sz w:val="20"/>
          <w:szCs w:val="20"/>
          <w:lang w:val="en-CA"/>
        </w:rPr>
        <w:t>Bouthillier</w:t>
      </w:r>
      <w:proofErr w:type="spellEnd"/>
      <w:r w:rsidRPr="0085721F">
        <w:rPr>
          <w:rFonts w:cs="Times New Roman"/>
          <w:sz w:val="20"/>
          <w:szCs w:val="20"/>
          <w:lang w:val="en-CA"/>
        </w:rPr>
        <w:t xml:space="preserve"> for the appellant</w:t>
      </w:r>
    </w:p>
    <w:p w:rsidR="0085721F" w:rsidRPr="005A7D65" w:rsidRDefault="0085721F" w:rsidP="0085721F">
      <w:pPr>
        <w:widowControl w:val="0"/>
        <w:jc w:val="both"/>
        <w:rPr>
          <w:rFonts w:cs="Times New Roman"/>
          <w:sz w:val="20"/>
          <w:szCs w:val="20"/>
          <w:lang w:val="fr-CA"/>
        </w:rPr>
      </w:pP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r>
      <w:r w:rsidRPr="0085721F">
        <w:rPr>
          <w:rFonts w:cs="Times New Roman"/>
          <w:sz w:val="20"/>
          <w:szCs w:val="20"/>
          <w:lang w:val="en-CA"/>
        </w:rPr>
        <w:tab/>
      </w:r>
      <w:r w:rsidRPr="005A7D65">
        <w:rPr>
          <w:rFonts w:cs="Times New Roman"/>
          <w:sz w:val="20"/>
          <w:szCs w:val="20"/>
          <w:lang w:val="fr-CA"/>
        </w:rPr>
        <w:t xml:space="preserve">Martin </w:t>
      </w:r>
      <w:proofErr w:type="spellStart"/>
      <w:r w:rsidRPr="005A7D65">
        <w:rPr>
          <w:rFonts w:cs="Times New Roman"/>
          <w:sz w:val="20"/>
          <w:szCs w:val="20"/>
          <w:lang w:val="fr-CA"/>
        </w:rPr>
        <w:t>Latour</w:t>
      </w:r>
      <w:proofErr w:type="spellEnd"/>
      <w:r w:rsidRPr="005A7D65">
        <w:rPr>
          <w:rFonts w:cs="Times New Roman"/>
          <w:sz w:val="20"/>
          <w:szCs w:val="20"/>
          <w:lang w:val="fr-CA"/>
        </w:rPr>
        <w:t xml:space="preserve"> for the </w:t>
      </w:r>
      <w:proofErr w:type="spellStart"/>
      <w:r w:rsidRPr="005A7D65">
        <w:rPr>
          <w:rFonts w:cs="Times New Roman"/>
          <w:sz w:val="20"/>
          <w:szCs w:val="20"/>
          <w:lang w:val="fr-CA"/>
        </w:rPr>
        <w:t>respondent</w:t>
      </w:r>
      <w:proofErr w:type="spellEnd"/>
    </w:p>
    <w:p w:rsidR="0085721F" w:rsidRPr="005A7D65" w:rsidRDefault="0085721F" w:rsidP="0085721F">
      <w:pPr>
        <w:rPr>
          <w:rFonts w:cs="Times New Roman"/>
          <w:sz w:val="20"/>
          <w:szCs w:val="20"/>
          <w:lang w:val="fr-CA"/>
        </w:rPr>
      </w:pPr>
    </w:p>
    <w:p w:rsidR="0085721F" w:rsidRPr="005A7D65" w:rsidRDefault="0085721F" w:rsidP="0085721F">
      <w:pPr>
        <w:rPr>
          <w:rFonts w:cs="Times New Roman"/>
          <w:sz w:val="20"/>
          <w:szCs w:val="20"/>
          <w:lang w:val="fr-CA"/>
        </w:rPr>
      </w:pPr>
    </w:p>
    <w:p w:rsidR="0085721F" w:rsidRPr="0085721F" w:rsidRDefault="00A148A3" w:rsidP="0085721F">
      <w:pPr>
        <w:widowControl w:val="0"/>
        <w:ind w:left="720" w:hanging="720"/>
        <w:jc w:val="both"/>
        <w:rPr>
          <w:rFonts w:cs="Times New Roman"/>
          <w:sz w:val="20"/>
          <w:szCs w:val="20"/>
          <w:lang w:val="fr-CA"/>
        </w:rPr>
      </w:pPr>
      <w:r w:rsidRPr="00A148A3">
        <w:rPr>
          <w:rFonts w:cs="Times New Roman"/>
          <w:b/>
          <w:sz w:val="20"/>
          <w:szCs w:val="20"/>
          <w:lang w:val="fr-CA"/>
        </w:rPr>
        <w:fldChar w:fldCharType="begin"/>
      </w:r>
      <w:r w:rsidR="0085721F" w:rsidRPr="00324AB5">
        <w:rPr>
          <w:rFonts w:cs="Times New Roman"/>
          <w:b/>
          <w:sz w:val="20"/>
          <w:szCs w:val="20"/>
          <w:lang w:val="fr-CA"/>
        </w:rPr>
        <w:instrText xml:space="preserve"> SEQ CHAPTER \h \r 1</w:instrText>
      </w:r>
      <w:r w:rsidRPr="0085721F">
        <w:rPr>
          <w:rFonts w:cs="Times New Roman"/>
          <w:b/>
          <w:sz w:val="20"/>
          <w:szCs w:val="20"/>
        </w:rPr>
        <w:fldChar w:fldCharType="end"/>
      </w:r>
      <w:r w:rsidR="0085721F" w:rsidRPr="00324AB5">
        <w:rPr>
          <w:rFonts w:cs="Times New Roman"/>
          <w:b/>
          <w:sz w:val="20"/>
          <w:szCs w:val="20"/>
          <w:lang w:val="fr-CA"/>
        </w:rPr>
        <w:t>34526</w:t>
      </w:r>
      <w:r w:rsidR="0085721F" w:rsidRPr="00324AB5">
        <w:rPr>
          <w:rFonts w:cs="Times New Roman"/>
          <w:sz w:val="20"/>
          <w:szCs w:val="20"/>
          <w:lang w:val="fr-CA"/>
        </w:rPr>
        <w:tab/>
      </w:r>
      <w:r w:rsidR="0085721F" w:rsidRPr="00324AB5">
        <w:rPr>
          <w:rFonts w:cs="Times New Roman"/>
          <w:b/>
          <w:i/>
          <w:sz w:val="20"/>
          <w:szCs w:val="20"/>
          <w:lang w:val="fr-CA"/>
        </w:rPr>
        <w:t>Sa Majest</w:t>
      </w:r>
      <w:r w:rsidR="0085721F" w:rsidRPr="0085721F">
        <w:rPr>
          <w:rFonts w:cs="Times New Roman"/>
          <w:b/>
          <w:i/>
          <w:sz w:val="20"/>
          <w:szCs w:val="20"/>
          <w:lang w:val="fr-CA"/>
        </w:rPr>
        <w:t xml:space="preserve">é la Reine c. </w:t>
      </w:r>
      <w:proofErr w:type="spellStart"/>
      <w:r w:rsidR="0085721F" w:rsidRPr="0085721F">
        <w:rPr>
          <w:rFonts w:cs="Times New Roman"/>
          <w:b/>
          <w:i/>
          <w:sz w:val="20"/>
          <w:szCs w:val="20"/>
          <w:lang w:val="fr-CA"/>
        </w:rPr>
        <w:t>Suganthini</w:t>
      </w:r>
      <w:proofErr w:type="spellEnd"/>
      <w:r w:rsidR="0085721F" w:rsidRPr="0085721F">
        <w:rPr>
          <w:rFonts w:cs="Times New Roman"/>
          <w:b/>
          <w:i/>
          <w:sz w:val="20"/>
          <w:szCs w:val="20"/>
          <w:lang w:val="fr-CA"/>
        </w:rPr>
        <w:t xml:space="preserve"> </w:t>
      </w:r>
      <w:proofErr w:type="spellStart"/>
      <w:r w:rsidR="0085721F" w:rsidRPr="0085721F">
        <w:rPr>
          <w:rFonts w:cs="Times New Roman"/>
          <w:b/>
          <w:i/>
          <w:sz w:val="20"/>
          <w:szCs w:val="20"/>
          <w:lang w:val="fr-CA"/>
        </w:rPr>
        <w:t>Mayuran</w:t>
      </w:r>
      <w:proofErr w:type="spellEnd"/>
    </w:p>
    <w:p w:rsidR="0085721F" w:rsidRPr="0085721F" w:rsidRDefault="0085721F" w:rsidP="0085721F">
      <w:pPr>
        <w:widowControl w:val="0"/>
        <w:jc w:val="both"/>
        <w:rPr>
          <w:rFonts w:cs="Times New Roman"/>
          <w:sz w:val="20"/>
          <w:szCs w:val="20"/>
          <w:lang w:val="fr-CA"/>
        </w:rPr>
      </w:pPr>
    </w:p>
    <w:p w:rsidR="0085721F" w:rsidRPr="0085721F" w:rsidRDefault="0085721F" w:rsidP="0085721F">
      <w:pPr>
        <w:widowControl w:val="0"/>
        <w:jc w:val="both"/>
        <w:rPr>
          <w:rFonts w:cs="Times New Roman"/>
          <w:sz w:val="20"/>
          <w:szCs w:val="20"/>
          <w:lang w:val="fr-CA"/>
        </w:rPr>
      </w:pPr>
      <w:r w:rsidRPr="0085721F">
        <w:rPr>
          <w:rFonts w:cs="Times New Roman"/>
          <w:sz w:val="20"/>
          <w:szCs w:val="20"/>
          <w:lang w:val="fr-CA"/>
        </w:rPr>
        <w:t xml:space="preserve">Droit criminel </w:t>
      </w:r>
      <w:r w:rsidRPr="0085721F">
        <w:rPr>
          <w:rFonts w:cs="Times New Roman"/>
          <w:sz w:val="20"/>
          <w:szCs w:val="20"/>
          <w:lang w:val="fr-CA"/>
        </w:rPr>
        <w:noBreakHyphen/>
        <w:t xml:space="preserve"> Moyens de défense </w:t>
      </w:r>
      <w:r w:rsidRPr="0085721F">
        <w:rPr>
          <w:rFonts w:cs="Times New Roman"/>
          <w:sz w:val="20"/>
          <w:szCs w:val="20"/>
          <w:lang w:val="fr-CA"/>
        </w:rPr>
        <w:noBreakHyphen/>
        <w:t xml:space="preserve"> Provocation </w:t>
      </w:r>
      <w:r w:rsidRPr="0085721F">
        <w:rPr>
          <w:rFonts w:cs="Times New Roman"/>
          <w:sz w:val="20"/>
          <w:szCs w:val="20"/>
          <w:lang w:val="fr-CA"/>
        </w:rPr>
        <w:noBreakHyphen/>
        <w:t xml:space="preserve"> Le moyen de défense fondé sur la provocation </w:t>
      </w:r>
      <w:proofErr w:type="spellStart"/>
      <w:r w:rsidRPr="0085721F">
        <w:rPr>
          <w:rFonts w:cs="Times New Roman"/>
          <w:sz w:val="20"/>
          <w:szCs w:val="20"/>
          <w:lang w:val="fr-CA"/>
        </w:rPr>
        <w:t>rencontre</w:t>
      </w:r>
      <w:r w:rsidRPr="0085721F">
        <w:rPr>
          <w:rFonts w:cs="Times New Roman"/>
          <w:sz w:val="20"/>
          <w:szCs w:val="20"/>
          <w:lang w:val="fr-CA"/>
        </w:rPr>
        <w:noBreakHyphen/>
        <w:t>t</w:t>
      </w:r>
      <w:r w:rsidRPr="0085721F">
        <w:rPr>
          <w:rFonts w:cs="Times New Roman"/>
          <w:sz w:val="20"/>
          <w:szCs w:val="20"/>
          <w:lang w:val="fr-CA"/>
        </w:rPr>
        <w:noBreakHyphen/>
        <w:t>il</w:t>
      </w:r>
      <w:proofErr w:type="spellEnd"/>
      <w:r w:rsidRPr="0085721F">
        <w:rPr>
          <w:rFonts w:cs="Times New Roman"/>
          <w:sz w:val="20"/>
          <w:szCs w:val="20"/>
          <w:lang w:val="fr-CA"/>
        </w:rPr>
        <w:t xml:space="preserve"> le critère de la vraisemblance? </w:t>
      </w:r>
    </w:p>
    <w:p w:rsidR="0085721F" w:rsidRPr="0085721F" w:rsidRDefault="0085721F" w:rsidP="0085721F">
      <w:pPr>
        <w:widowControl w:val="0"/>
        <w:jc w:val="both"/>
        <w:rPr>
          <w:rFonts w:cs="Times New Roman"/>
          <w:sz w:val="20"/>
          <w:szCs w:val="20"/>
          <w:lang w:val="fr-CA"/>
        </w:rPr>
      </w:pPr>
    </w:p>
    <w:p w:rsidR="0085721F" w:rsidRPr="0085721F" w:rsidRDefault="0085721F" w:rsidP="0085721F">
      <w:pPr>
        <w:widowControl w:val="0"/>
        <w:jc w:val="both"/>
        <w:rPr>
          <w:rFonts w:cs="Times New Roman"/>
          <w:sz w:val="20"/>
          <w:szCs w:val="20"/>
          <w:lang w:val="fr-CA"/>
        </w:rPr>
      </w:pPr>
      <w:r w:rsidRPr="0085721F">
        <w:rPr>
          <w:rFonts w:cs="Times New Roman"/>
          <w:sz w:val="20"/>
          <w:szCs w:val="20"/>
          <w:lang w:val="fr-CA"/>
        </w:rPr>
        <w:t xml:space="preserve">L’intimée est déclarée coupable du meurtre au deuxième degré de sa </w:t>
      </w:r>
      <w:proofErr w:type="spellStart"/>
      <w:r w:rsidRPr="0085721F">
        <w:rPr>
          <w:rFonts w:cs="Times New Roman"/>
          <w:sz w:val="20"/>
          <w:szCs w:val="20"/>
          <w:lang w:val="fr-CA"/>
        </w:rPr>
        <w:t>belle</w:t>
      </w:r>
      <w:r w:rsidRPr="0085721F">
        <w:rPr>
          <w:rFonts w:cs="Times New Roman"/>
          <w:sz w:val="20"/>
          <w:szCs w:val="20"/>
          <w:lang w:val="fr-CA"/>
        </w:rPr>
        <w:noBreakHyphen/>
        <w:t>sœur</w:t>
      </w:r>
      <w:proofErr w:type="spellEnd"/>
      <w:r w:rsidRPr="0085721F">
        <w:rPr>
          <w:rFonts w:cs="Times New Roman"/>
          <w:sz w:val="20"/>
          <w:szCs w:val="20"/>
          <w:lang w:val="fr-CA"/>
        </w:rPr>
        <w:t xml:space="preserve">.  En appel, la majorité de la Cour d’appel accueille l’appel et ordonne la tenue d’un nouveau procès au motif que le premier juge a fait erreur en omettant de porter à l’attention du jury l’art. 232 du </w:t>
      </w:r>
      <w:r w:rsidRPr="0085721F">
        <w:rPr>
          <w:rFonts w:cs="Times New Roman"/>
          <w:i/>
          <w:sz w:val="20"/>
          <w:szCs w:val="20"/>
          <w:lang w:val="fr-CA"/>
        </w:rPr>
        <w:t>Code criminel</w:t>
      </w:r>
      <w:r w:rsidRPr="0085721F">
        <w:rPr>
          <w:rFonts w:cs="Times New Roman"/>
          <w:sz w:val="20"/>
          <w:szCs w:val="20"/>
          <w:lang w:val="fr-CA"/>
        </w:rPr>
        <w:t xml:space="preserve">, soit la défense de provocation.  Le juge </w:t>
      </w:r>
      <w:proofErr w:type="spellStart"/>
      <w:r w:rsidRPr="0085721F">
        <w:rPr>
          <w:rFonts w:cs="Times New Roman"/>
          <w:sz w:val="20"/>
          <w:szCs w:val="20"/>
          <w:lang w:val="fr-CA"/>
        </w:rPr>
        <w:t>Rochon</w:t>
      </w:r>
      <w:proofErr w:type="spellEnd"/>
      <w:r w:rsidRPr="0085721F">
        <w:rPr>
          <w:rFonts w:cs="Times New Roman"/>
          <w:sz w:val="20"/>
          <w:szCs w:val="20"/>
          <w:lang w:val="fr-CA"/>
        </w:rPr>
        <w:t xml:space="preserve">, dissident, aurait rejeté l’appel.  À son avis, cette défense n’avait pas à être soumise au jury puisque la preuve ne la rendait pas vraisemblable. </w:t>
      </w:r>
    </w:p>
    <w:p w:rsidR="0085721F" w:rsidRPr="0085721F" w:rsidRDefault="0085721F" w:rsidP="0085721F">
      <w:pPr>
        <w:widowControl w:val="0"/>
        <w:jc w:val="both"/>
        <w:rPr>
          <w:rFonts w:cs="Times New Roman"/>
          <w:sz w:val="20"/>
          <w:szCs w:val="20"/>
          <w:lang w:val="fr-CA"/>
        </w:rPr>
      </w:pPr>
    </w:p>
    <w:p w:rsidR="0085721F" w:rsidRPr="0085721F" w:rsidRDefault="0085721F" w:rsidP="0085721F">
      <w:pPr>
        <w:widowControl w:val="0"/>
        <w:jc w:val="both"/>
        <w:rPr>
          <w:rFonts w:cs="Times New Roman"/>
          <w:sz w:val="20"/>
          <w:szCs w:val="20"/>
          <w:lang w:val="fr-CA"/>
        </w:rPr>
      </w:pPr>
    </w:p>
    <w:p w:rsidR="0085721F" w:rsidRPr="0085721F" w:rsidRDefault="0085721F" w:rsidP="0085721F">
      <w:pPr>
        <w:widowControl w:val="0"/>
        <w:jc w:val="both"/>
        <w:rPr>
          <w:rFonts w:cs="Times New Roman"/>
          <w:sz w:val="20"/>
          <w:szCs w:val="20"/>
          <w:lang w:val="fr-CA"/>
        </w:rPr>
      </w:pPr>
      <w:r w:rsidRPr="0085721F">
        <w:rPr>
          <w:rFonts w:cs="Times New Roman"/>
          <w:sz w:val="20"/>
          <w:szCs w:val="20"/>
          <w:lang w:val="fr-CA"/>
        </w:rPr>
        <w:t>Origine :</w:t>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00164E80">
        <w:rPr>
          <w:rFonts w:cs="Times New Roman"/>
          <w:sz w:val="20"/>
          <w:szCs w:val="20"/>
          <w:lang w:val="fr-CA"/>
        </w:rPr>
        <w:tab/>
      </w:r>
      <w:r w:rsidRPr="0085721F">
        <w:rPr>
          <w:rFonts w:cs="Times New Roman"/>
          <w:sz w:val="20"/>
          <w:szCs w:val="20"/>
          <w:lang w:val="fr-CA"/>
        </w:rPr>
        <w:t>Québec</w:t>
      </w:r>
    </w:p>
    <w:p w:rsidR="0085721F" w:rsidRPr="0085721F" w:rsidRDefault="0085721F" w:rsidP="0085721F">
      <w:pPr>
        <w:widowControl w:val="0"/>
        <w:jc w:val="both"/>
        <w:rPr>
          <w:rFonts w:cs="Times New Roman"/>
          <w:sz w:val="20"/>
          <w:szCs w:val="20"/>
          <w:lang w:val="fr-CA"/>
        </w:rPr>
      </w:pPr>
    </w:p>
    <w:p w:rsidR="0085721F" w:rsidRPr="0085721F" w:rsidRDefault="0085721F" w:rsidP="0085721F">
      <w:pPr>
        <w:widowControl w:val="0"/>
        <w:jc w:val="both"/>
        <w:rPr>
          <w:rFonts w:cs="Times New Roman"/>
          <w:sz w:val="20"/>
          <w:szCs w:val="20"/>
          <w:lang w:val="fr-CA"/>
        </w:rPr>
      </w:pPr>
      <w:r w:rsidRPr="0085721F">
        <w:rPr>
          <w:rFonts w:cs="Times New Roman"/>
          <w:sz w:val="20"/>
          <w:szCs w:val="20"/>
          <w:lang w:val="fr-CA"/>
        </w:rPr>
        <w:t>N</w:t>
      </w:r>
      <w:r w:rsidRPr="0085721F">
        <w:rPr>
          <w:rFonts w:cs="Times New Roman"/>
          <w:sz w:val="20"/>
          <w:szCs w:val="20"/>
          <w:vertAlign w:val="superscript"/>
          <w:lang w:val="fr-CA"/>
        </w:rPr>
        <w:t>o</w:t>
      </w:r>
      <w:r w:rsidRPr="0085721F">
        <w:rPr>
          <w:rFonts w:cs="Times New Roman"/>
          <w:sz w:val="20"/>
          <w:szCs w:val="20"/>
          <w:lang w:val="fr-CA"/>
        </w:rPr>
        <w:t xml:space="preserve"> du greffe :</w:t>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t>34526</w:t>
      </w:r>
    </w:p>
    <w:p w:rsidR="0085721F" w:rsidRPr="0085721F" w:rsidRDefault="0085721F" w:rsidP="0085721F">
      <w:pPr>
        <w:widowControl w:val="0"/>
        <w:jc w:val="both"/>
        <w:rPr>
          <w:rFonts w:cs="Times New Roman"/>
          <w:sz w:val="20"/>
          <w:szCs w:val="20"/>
          <w:lang w:val="fr-CA"/>
        </w:rPr>
      </w:pPr>
    </w:p>
    <w:p w:rsidR="0085721F" w:rsidRPr="0085721F" w:rsidRDefault="0085721F" w:rsidP="0085721F">
      <w:pPr>
        <w:widowControl w:val="0"/>
        <w:jc w:val="both"/>
        <w:rPr>
          <w:rFonts w:cs="Times New Roman"/>
          <w:sz w:val="20"/>
          <w:szCs w:val="20"/>
          <w:lang w:val="fr-CA"/>
        </w:rPr>
      </w:pPr>
      <w:r w:rsidRPr="0085721F">
        <w:rPr>
          <w:rFonts w:cs="Times New Roman"/>
          <w:sz w:val="20"/>
          <w:szCs w:val="20"/>
          <w:lang w:val="fr-CA"/>
        </w:rPr>
        <w:t>Arrêt de la Cour d’appel :</w:t>
      </w:r>
      <w:r w:rsidRPr="0085721F">
        <w:rPr>
          <w:rFonts w:cs="Times New Roman"/>
          <w:sz w:val="20"/>
          <w:szCs w:val="20"/>
          <w:lang w:val="fr-CA"/>
        </w:rPr>
        <w:tab/>
      </w:r>
      <w:r w:rsidRPr="0085721F">
        <w:rPr>
          <w:rFonts w:cs="Times New Roman"/>
          <w:sz w:val="20"/>
          <w:szCs w:val="20"/>
          <w:lang w:val="fr-CA"/>
        </w:rPr>
        <w:tab/>
      </w:r>
      <w:r w:rsidR="00164E80">
        <w:rPr>
          <w:rFonts w:cs="Times New Roman"/>
          <w:sz w:val="20"/>
          <w:szCs w:val="20"/>
          <w:lang w:val="fr-CA"/>
        </w:rPr>
        <w:tab/>
      </w:r>
      <w:r w:rsidRPr="0085721F">
        <w:rPr>
          <w:rFonts w:cs="Times New Roman"/>
          <w:sz w:val="20"/>
          <w:szCs w:val="20"/>
          <w:lang w:val="fr-CA"/>
        </w:rPr>
        <w:t>Le 4 octobre 2011</w:t>
      </w:r>
    </w:p>
    <w:p w:rsidR="0085721F" w:rsidRPr="0085721F" w:rsidRDefault="0085721F" w:rsidP="0085721F">
      <w:pPr>
        <w:widowControl w:val="0"/>
        <w:jc w:val="both"/>
        <w:rPr>
          <w:rFonts w:cs="Times New Roman"/>
          <w:sz w:val="20"/>
          <w:szCs w:val="20"/>
          <w:lang w:val="fr-CA"/>
        </w:rPr>
      </w:pPr>
    </w:p>
    <w:p w:rsidR="0085721F" w:rsidRPr="0085721F" w:rsidRDefault="0085721F" w:rsidP="0085721F">
      <w:pPr>
        <w:widowControl w:val="0"/>
        <w:jc w:val="both"/>
        <w:rPr>
          <w:rFonts w:cs="Times New Roman"/>
          <w:sz w:val="20"/>
          <w:szCs w:val="20"/>
          <w:lang w:val="fr-CA"/>
        </w:rPr>
      </w:pPr>
      <w:r w:rsidRPr="0085721F">
        <w:rPr>
          <w:rFonts w:cs="Times New Roman"/>
          <w:sz w:val="20"/>
          <w:szCs w:val="20"/>
          <w:lang w:val="fr-CA"/>
        </w:rPr>
        <w:t>Avocats :</w:t>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t>Louis Bouthillier pour l’appelante</w:t>
      </w:r>
    </w:p>
    <w:p w:rsidR="0085721F" w:rsidRPr="0085721F" w:rsidRDefault="0085721F" w:rsidP="0085721F">
      <w:pPr>
        <w:widowControl w:val="0"/>
        <w:jc w:val="both"/>
        <w:rPr>
          <w:rFonts w:cs="Times New Roman"/>
          <w:sz w:val="20"/>
          <w:szCs w:val="20"/>
          <w:lang w:val="fr-CA"/>
        </w:rPr>
      </w:pP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r>
      <w:r w:rsidRPr="0085721F">
        <w:rPr>
          <w:rFonts w:cs="Times New Roman"/>
          <w:sz w:val="20"/>
          <w:szCs w:val="20"/>
          <w:lang w:val="fr-CA"/>
        </w:rPr>
        <w:tab/>
        <w:t xml:space="preserve">Martin </w:t>
      </w:r>
      <w:proofErr w:type="spellStart"/>
      <w:r w:rsidRPr="0085721F">
        <w:rPr>
          <w:rFonts w:cs="Times New Roman"/>
          <w:sz w:val="20"/>
          <w:szCs w:val="20"/>
          <w:lang w:val="fr-CA"/>
        </w:rPr>
        <w:t>Latour</w:t>
      </w:r>
      <w:proofErr w:type="spellEnd"/>
      <w:r w:rsidRPr="0085721F">
        <w:rPr>
          <w:rFonts w:cs="Times New Roman"/>
          <w:sz w:val="20"/>
          <w:szCs w:val="20"/>
          <w:lang w:val="fr-CA"/>
        </w:rPr>
        <w:t xml:space="preserve"> pour l’intimée</w:t>
      </w:r>
    </w:p>
    <w:p w:rsidR="0085721F" w:rsidRPr="0085721F" w:rsidRDefault="0085721F" w:rsidP="0085721F">
      <w:pPr>
        <w:rPr>
          <w:rFonts w:cs="Times New Roman"/>
          <w:sz w:val="20"/>
          <w:szCs w:val="20"/>
          <w:lang w:val="fr-CA"/>
        </w:rPr>
      </w:pPr>
    </w:p>
    <w:p w:rsidR="0085721F" w:rsidRPr="0085721F" w:rsidRDefault="0085721F">
      <w:pPr>
        <w:rPr>
          <w:rFonts w:cs="Times New Roman"/>
          <w:sz w:val="20"/>
          <w:szCs w:val="20"/>
          <w:lang w:val="fr-CA"/>
        </w:rPr>
      </w:pPr>
    </w:p>
    <w:sectPr w:rsidR="0085721F" w:rsidRPr="0085721F" w:rsidSect="00F85CC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4CD" w:rsidRDefault="004C14CD" w:rsidP="004C14CD">
      <w:r>
        <w:separator/>
      </w:r>
    </w:p>
  </w:endnote>
  <w:endnote w:type="continuationSeparator" w:id="0">
    <w:p w:rsidR="004C14CD" w:rsidRDefault="004C14CD" w:rsidP="004C1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CD" w:rsidRDefault="004C14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CD" w:rsidRDefault="004C14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CD" w:rsidRDefault="004C1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4CD" w:rsidRDefault="004C14CD" w:rsidP="004C14CD">
      <w:r>
        <w:separator/>
      </w:r>
    </w:p>
  </w:footnote>
  <w:footnote w:type="continuationSeparator" w:id="0">
    <w:p w:rsidR="004C14CD" w:rsidRDefault="004C14CD" w:rsidP="004C1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CD" w:rsidRDefault="004C14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CD" w:rsidRDefault="004C14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CD" w:rsidRDefault="004C14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DB65D1"/>
    <w:rsid w:val="00164E80"/>
    <w:rsid w:val="00184669"/>
    <w:rsid w:val="00246DDB"/>
    <w:rsid w:val="00317C2D"/>
    <w:rsid w:val="00324AB5"/>
    <w:rsid w:val="003B0C96"/>
    <w:rsid w:val="003C6AC4"/>
    <w:rsid w:val="00416403"/>
    <w:rsid w:val="004C14CD"/>
    <w:rsid w:val="0054697C"/>
    <w:rsid w:val="00546E4B"/>
    <w:rsid w:val="00562497"/>
    <w:rsid w:val="005A7D65"/>
    <w:rsid w:val="007C6EF6"/>
    <w:rsid w:val="007E3F55"/>
    <w:rsid w:val="008242A9"/>
    <w:rsid w:val="0085721F"/>
    <w:rsid w:val="008E7499"/>
    <w:rsid w:val="00946D20"/>
    <w:rsid w:val="00987F90"/>
    <w:rsid w:val="00A148A3"/>
    <w:rsid w:val="00A710D6"/>
    <w:rsid w:val="00A92F30"/>
    <w:rsid w:val="00DB65D1"/>
    <w:rsid w:val="00E42BDE"/>
    <w:rsid w:val="00E44369"/>
    <w:rsid w:val="00E57889"/>
    <w:rsid w:val="00EE7ECD"/>
    <w:rsid w:val="00F85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LsocParty">
    <w:name w:val="SCC.Lsoc.Party"/>
    <w:basedOn w:val="Normal"/>
    <w:next w:val="Normal"/>
    <w:link w:val="SCCLsocPartyChar"/>
    <w:uiPriority w:val="99"/>
    <w:rsid w:val="0085721F"/>
    <w:pPr>
      <w:jc w:val="both"/>
    </w:pPr>
    <w:rPr>
      <w:rFonts w:eastAsia="Calibri" w:cs="Times New Roman"/>
      <w:b/>
      <w:bCs/>
      <w:szCs w:val="24"/>
      <w:lang w:val="en-CA"/>
    </w:rPr>
  </w:style>
  <w:style w:type="character" w:customStyle="1" w:styleId="SCCLsocPartyChar">
    <w:name w:val="SCC.Lsoc.Party Char"/>
    <w:basedOn w:val="DefaultParagraphFont"/>
    <w:link w:val="SCCLsocParty"/>
    <w:uiPriority w:val="99"/>
    <w:locked/>
    <w:rsid w:val="0085721F"/>
    <w:rPr>
      <w:rFonts w:eastAsia="Calibri" w:cs="Times New Roman"/>
      <w:b/>
      <w:bCs/>
      <w:szCs w:val="24"/>
      <w:lang w:val="en-CA"/>
    </w:rPr>
  </w:style>
  <w:style w:type="paragraph" w:customStyle="1" w:styleId="SCCFileNumber">
    <w:name w:val="SCC.FileNumber"/>
    <w:basedOn w:val="Normal"/>
    <w:next w:val="Normal"/>
    <w:link w:val="SCCFileNumberChar"/>
    <w:uiPriority w:val="99"/>
    <w:rsid w:val="0085721F"/>
    <w:pPr>
      <w:jc w:val="both"/>
    </w:pPr>
    <w:rPr>
      <w:rFonts w:eastAsia="Calibri" w:cs="Times New Roman"/>
      <w:b/>
      <w:bCs/>
      <w:szCs w:val="24"/>
      <w:lang w:val="en-CA"/>
    </w:rPr>
  </w:style>
  <w:style w:type="character" w:customStyle="1" w:styleId="SCCFileNumberChar">
    <w:name w:val="SCC.FileNumber Char"/>
    <w:basedOn w:val="DefaultParagraphFont"/>
    <w:link w:val="SCCFileNumber"/>
    <w:uiPriority w:val="99"/>
    <w:locked/>
    <w:rsid w:val="0085721F"/>
    <w:rPr>
      <w:rFonts w:eastAsia="Calibri" w:cs="Times New Roman"/>
      <w:b/>
      <w:bCs/>
      <w:szCs w:val="24"/>
      <w:lang w:val="en-CA"/>
    </w:rPr>
  </w:style>
  <w:style w:type="paragraph" w:customStyle="1" w:styleId="SCCBanSummary">
    <w:name w:val="SCC.BanSummary"/>
    <w:basedOn w:val="Normal"/>
    <w:next w:val="Normal"/>
    <w:link w:val="SCCBanSummaryChar"/>
    <w:uiPriority w:val="99"/>
    <w:rsid w:val="0085721F"/>
    <w:pPr>
      <w:jc w:val="both"/>
    </w:pPr>
    <w:rPr>
      <w:rFonts w:eastAsia="Calibri" w:cs="Times New Roman"/>
      <w:smallCaps/>
      <w:lang w:val="en-CA"/>
    </w:rPr>
  </w:style>
  <w:style w:type="character" w:customStyle="1" w:styleId="SCCBanSummaryChar">
    <w:name w:val="SCC.BanSummary Char"/>
    <w:basedOn w:val="DefaultParagraphFont"/>
    <w:link w:val="SCCBanSummary"/>
    <w:uiPriority w:val="99"/>
    <w:locked/>
    <w:rsid w:val="0085721F"/>
    <w:rPr>
      <w:rFonts w:eastAsia="Calibri" w:cs="Times New Roman"/>
      <w:smallCaps/>
      <w:lang w:val="en-CA"/>
    </w:rPr>
  </w:style>
  <w:style w:type="paragraph" w:customStyle="1" w:styleId="SCCSsoc">
    <w:name w:val="SCC.Ssoc"/>
    <w:basedOn w:val="Normal"/>
    <w:next w:val="Normal"/>
    <w:link w:val="SCCSsocChar"/>
    <w:rsid w:val="00EE7ECD"/>
    <w:rPr>
      <w:rFonts w:eastAsia="Calibri" w:cs="Times New Roman"/>
      <w:i/>
      <w:sz w:val="20"/>
      <w:szCs w:val="20"/>
      <w:lang w:val="en-CA"/>
    </w:rPr>
  </w:style>
  <w:style w:type="character" w:customStyle="1" w:styleId="SCCSsocChar">
    <w:name w:val="SCC.Ssoc Char"/>
    <w:basedOn w:val="DefaultParagraphFont"/>
    <w:link w:val="SCCSsoc"/>
    <w:rsid w:val="00EE7ECD"/>
    <w:rPr>
      <w:rFonts w:eastAsia="Calibri" w:cs="Times New Roman"/>
      <w:i/>
      <w:sz w:val="20"/>
      <w:szCs w:val="20"/>
      <w:lang w:val="en-CA"/>
    </w:rPr>
  </w:style>
  <w:style w:type="character" w:customStyle="1" w:styleId="SCCSystemDate">
    <w:name w:val="SCC.SystemDate"/>
    <w:basedOn w:val="DefaultParagraphFont"/>
    <w:uiPriority w:val="1"/>
    <w:rsid w:val="00416403"/>
    <w:rPr>
      <w:rFonts w:ascii="Times New Roman" w:hAnsi="Times New Roman"/>
      <w:sz w:val="24"/>
      <w:lang w:val="fr-CA"/>
    </w:rPr>
  </w:style>
  <w:style w:type="character" w:customStyle="1" w:styleId="SCCMonth">
    <w:name w:val="SCC.Month"/>
    <w:basedOn w:val="DefaultParagraphFont"/>
    <w:uiPriority w:val="1"/>
    <w:rsid w:val="00416403"/>
    <w:rPr>
      <w:rFonts w:ascii="Times New Roman" w:hAnsi="Times New Roman"/>
      <w:sz w:val="24"/>
      <w:lang w:val="fr-CA"/>
    </w:rPr>
  </w:style>
  <w:style w:type="character" w:styleId="Hyperlink">
    <w:name w:val="Hyperlink"/>
    <w:basedOn w:val="DefaultParagraphFont"/>
    <w:uiPriority w:val="99"/>
    <w:unhideWhenUsed/>
    <w:rsid w:val="00416403"/>
    <w:rPr>
      <w:color w:val="0000FF"/>
      <w:u w:val="single"/>
    </w:rPr>
  </w:style>
  <w:style w:type="paragraph" w:styleId="Header">
    <w:name w:val="header"/>
    <w:basedOn w:val="Normal"/>
    <w:link w:val="HeaderChar"/>
    <w:uiPriority w:val="99"/>
    <w:semiHidden/>
    <w:unhideWhenUsed/>
    <w:rsid w:val="004C14CD"/>
    <w:pPr>
      <w:tabs>
        <w:tab w:val="center" w:pos="4680"/>
        <w:tab w:val="right" w:pos="9360"/>
      </w:tabs>
    </w:pPr>
  </w:style>
  <w:style w:type="character" w:customStyle="1" w:styleId="HeaderChar">
    <w:name w:val="Header Char"/>
    <w:basedOn w:val="DefaultParagraphFont"/>
    <w:link w:val="Header"/>
    <w:uiPriority w:val="99"/>
    <w:semiHidden/>
    <w:rsid w:val="004C14CD"/>
  </w:style>
  <w:style w:type="paragraph" w:styleId="Footer">
    <w:name w:val="footer"/>
    <w:basedOn w:val="Normal"/>
    <w:link w:val="FooterChar"/>
    <w:uiPriority w:val="99"/>
    <w:semiHidden/>
    <w:unhideWhenUsed/>
    <w:rsid w:val="004C14CD"/>
    <w:pPr>
      <w:tabs>
        <w:tab w:val="center" w:pos="4680"/>
        <w:tab w:val="right" w:pos="9360"/>
      </w:tabs>
    </w:pPr>
  </w:style>
  <w:style w:type="character" w:customStyle="1" w:styleId="FooterChar">
    <w:name w:val="Footer Char"/>
    <w:basedOn w:val="DefaultParagraphFont"/>
    <w:link w:val="Footer"/>
    <w:uiPriority w:val="99"/>
    <w:semiHidden/>
    <w:rsid w:val="004C14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lexum.org/en/news_release/2012/12-04-02.1a/12-04-02.1a.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c-csc.gc.c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comments-commentaires@scc-csc.gc.ca" TargetMode="External"/><Relationship Id="rId11" Type="http://schemas.openxmlformats.org/officeDocument/2006/relationships/hyperlink" Target="http://scc.lexum.org/fr/news_release/2012/12-04-02.1a/12-04-02.1a.html"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scc-csc.gc.ca"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scc-csc.gc.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4830</Words>
  <Characters>27537</Characters>
  <Application>Microsoft Office Word</Application>
  <DocSecurity>0</DocSecurity>
  <Lines>229</Lines>
  <Paragraphs>64</Paragraphs>
  <ScaleCrop>false</ScaleCrop>
  <Company/>
  <LinksUpToDate>false</LinksUpToDate>
  <CharactersWithSpaces>32303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2012-04-02T15:04:00Z</dcterms:created>
  <dcterms:modified xsi:type="dcterms:W3CDTF">2012-04-02T15:28:00Z</dcterms:modified>
</cp:coreProperties>
</file>