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8D2930"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235A05" w:rsidP="00EC79B0">
      <w:pPr>
        <w:widowControl w:val="0"/>
        <w:rPr>
          <w:b/>
        </w:rPr>
      </w:pPr>
      <w:r>
        <w:rPr>
          <w:b/>
        </w:rPr>
        <w:t xml:space="preserve">June </w:t>
      </w:r>
      <w:r w:rsidR="00203F40">
        <w:rPr>
          <w:b/>
        </w:rPr>
        <w:t>15</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2423AA"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E63199">
        <w:t>D</w:t>
      </w:r>
      <w:r w:rsidR="00DC6C1E">
        <w:t>T</w:t>
      </w:r>
      <w:r w:rsidR="00D74667">
        <w:t xml:space="preserve"> on</w:t>
      </w:r>
      <w:r w:rsidR="00DC6C1E">
        <w:t xml:space="preserve"> </w:t>
      </w:r>
      <w:r w:rsidR="00203F40">
        <w:t>Fri</w:t>
      </w:r>
      <w:r w:rsidR="00164196">
        <w:t>day</w:t>
      </w:r>
      <w:r w:rsidR="007E79BD">
        <w:t xml:space="preserve">, </w:t>
      </w:r>
      <w:r w:rsidR="00235A05">
        <w:t xml:space="preserve">June </w:t>
      </w:r>
      <w:r w:rsidR="00C500F2">
        <w:t>1</w:t>
      </w:r>
      <w:r w:rsidR="00203F40">
        <w:t>9</w:t>
      </w:r>
      <w:r w:rsidR="007E79BD">
        <w:t>,</w:t>
      </w:r>
      <w:r w:rsidR="00E63199">
        <w:t xml:space="preserve"> 2</w:t>
      </w:r>
      <w:r w:rsidR="0086609D">
        <w:t>015</w:t>
      </w:r>
      <w:r w:rsidR="00455BB9">
        <w:t xml:space="preserve">.  </w:t>
      </w:r>
      <w:r w:rsidR="00455BB9" w:rsidRPr="002423AA">
        <w:rPr>
          <w:lang w:val="fr-CA"/>
        </w:rPr>
        <w:t>This</w:t>
      </w:r>
      <w:r w:rsidRPr="002423AA">
        <w:rPr>
          <w:lang w:val="fr-CA"/>
        </w:rPr>
        <w:t xml:space="preserve"> list is subject to change.</w:t>
      </w:r>
    </w:p>
    <w:p w:rsidR="001C4415" w:rsidRPr="002423AA" w:rsidRDefault="001C4415" w:rsidP="001C4415">
      <w:pPr>
        <w:widowControl w:val="0"/>
        <w:rPr>
          <w:lang w:val="fr-CA"/>
        </w:rPr>
      </w:pPr>
    </w:p>
    <w:p w:rsidR="001C4415" w:rsidRPr="002423AA"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203F40">
        <w:rPr>
          <w:b/>
          <w:lang w:val="fr-CA"/>
        </w:rPr>
        <w:t>15</w:t>
      </w:r>
      <w:r w:rsidR="00235A05">
        <w:rPr>
          <w:b/>
          <w:lang w:val="fr-CA"/>
        </w:rPr>
        <w:t xml:space="preserve"> juin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203F40">
        <w:rPr>
          <w:lang w:val="fr-CA"/>
        </w:rPr>
        <w:t>vendredi</w:t>
      </w:r>
      <w:r w:rsidR="002001C7">
        <w:rPr>
          <w:lang w:val="fr-CA"/>
        </w:rPr>
        <w:t xml:space="preserve"> </w:t>
      </w:r>
      <w:r w:rsidR="00C500F2">
        <w:rPr>
          <w:lang w:val="fr-CA"/>
        </w:rPr>
        <w:t>1</w:t>
      </w:r>
      <w:r w:rsidR="00203F40">
        <w:rPr>
          <w:lang w:val="fr-CA"/>
        </w:rPr>
        <w:t>9</w:t>
      </w:r>
      <w:r w:rsidR="00235A05">
        <w:rPr>
          <w:lang w:val="fr-CA"/>
        </w:rPr>
        <w:t xml:space="preserve"> juin</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2423AA" w:rsidP="001335A1">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1" type="#_x0000_t32" style="position:absolute;margin-left:0;margin-top:7.25pt;width:246.95pt;height:0;z-index:251657728;mso-position-horizontal:center;mso-position-horizontal-relative:margin" o:connectortype="straight">
            <w10:wrap anchorx="margin"/>
          </v:shape>
        </w:pict>
      </w:r>
    </w:p>
    <w:p w:rsidR="00072A63" w:rsidRPr="001A4436" w:rsidRDefault="00072A63" w:rsidP="00CF1ED7">
      <w:pPr>
        <w:jc w:val="both"/>
        <w:rPr>
          <w:szCs w:val="24"/>
          <w:lang w:val="fr-CA"/>
        </w:rPr>
      </w:pPr>
    </w:p>
    <w:p w:rsidR="00203F40" w:rsidRPr="00203F40" w:rsidRDefault="00203F40" w:rsidP="00203F40">
      <w:pPr>
        <w:jc w:val="both"/>
        <w:rPr>
          <w:b/>
          <w:i/>
          <w:lang w:val="fr-CA"/>
        </w:rPr>
      </w:pPr>
      <w:r w:rsidRPr="00203F40">
        <w:rPr>
          <w:i/>
          <w:lang w:val="fr-CA"/>
        </w:rPr>
        <w:t xml:space="preserve">Réjean </w:t>
      </w:r>
      <w:proofErr w:type="spellStart"/>
      <w:r w:rsidRPr="00203F40">
        <w:rPr>
          <w:i/>
          <w:lang w:val="fr-CA"/>
        </w:rPr>
        <w:t>Hinse</w:t>
      </w:r>
      <w:proofErr w:type="spellEnd"/>
      <w:r w:rsidRPr="00203F40">
        <w:rPr>
          <w:i/>
          <w:lang w:val="fr-CA"/>
        </w:rPr>
        <w:t xml:space="preserve"> c. Procureur général du Canada </w:t>
      </w:r>
      <w:r w:rsidRPr="00203F40">
        <w:rPr>
          <w:lang w:val="fr-CA"/>
        </w:rPr>
        <w:t>(</w:t>
      </w:r>
      <w:proofErr w:type="spellStart"/>
      <w:r w:rsidRPr="00203F40">
        <w:rPr>
          <w:lang w:val="fr-CA"/>
        </w:rPr>
        <w:t>Qc</w:t>
      </w:r>
      <w:proofErr w:type="spellEnd"/>
      <w:r w:rsidRPr="00203F40">
        <w:rPr>
          <w:lang w:val="fr-CA"/>
        </w:rPr>
        <w:t>) (</w:t>
      </w:r>
      <w:r w:rsidR="002423AA">
        <w:fldChar w:fldCharType="begin"/>
      </w:r>
      <w:r w:rsidR="002423AA" w:rsidRPr="002423AA">
        <w:rPr>
          <w:lang w:val="fr-CA"/>
        </w:rPr>
        <w:instrText xml:space="preserve"> HYPERLINK "http://www.scc-csc.ca</w:instrText>
      </w:r>
      <w:r w:rsidR="002423AA" w:rsidRPr="002423AA">
        <w:rPr>
          <w:lang w:val="fr-CA"/>
        </w:rPr>
        <w:instrText xml:space="preserve">/case-dossier/info/sum-som-fra.aspx?cas=35613" </w:instrText>
      </w:r>
      <w:r w:rsidR="002423AA">
        <w:fldChar w:fldCharType="separate"/>
      </w:r>
      <w:r w:rsidRPr="00203F40">
        <w:rPr>
          <w:rStyle w:val="Hyperlink"/>
          <w:lang w:val="fr-CA"/>
        </w:rPr>
        <w:t>35613</w:t>
      </w:r>
      <w:r w:rsidR="002423AA">
        <w:rPr>
          <w:rStyle w:val="Hyperlink"/>
          <w:lang w:val="fr-CA"/>
        </w:rPr>
        <w:fldChar w:fldCharType="end"/>
      </w:r>
      <w:r w:rsidRPr="00203F40">
        <w:rPr>
          <w:lang w:val="fr-CA"/>
        </w:rPr>
        <w:t>)</w:t>
      </w:r>
    </w:p>
    <w:p w:rsidR="00235A05" w:rsidRDefault="00235A05" w:rsidP="00976E20">
      <w:pPr>
        <w:jc w:val="both"/>
        <w:rPr>
          <w:sz w:val="20"/>
          <w:lang w:val="fr-CA"/>
        </w:rPr>
      </w:pPr>
    </w:p>
    <w:p w:rsidR="00976E20" w:rsidRPr="00976E20" w:rsidRDefault="00976E20" w:rsidP="00976E20">
      <w:pPr>
        <w:jc w:val="both"/>
        <w:rPr>
          <w:sz w:val="20"/>
          <w:lang w:val="fr-CA"/>
        </w:rPr>
      </w:pPr>
    </w:p>
    <w:p w:rsidR="00235A05" w:rsidRPr="00976E20" w:rsidRDefault="00235A05" w:rsidP="00976E20">
      <w:pPr>
        <w:jc w:val="both"/>
        <w:rPr>
          <w:sz w:val="20"/>
          <w:lang w:val="fr-CA"/>
        </w:rPr>
      </w:pPr>
    </w:p>
    <w:bookmarkStart w:id="1" w:name="1"/>
    <w:bookmarkStart w:id="2" w:name="QuickMark_1"/>
    <w:bookmarkEnd w:id="1"/>
    <w:bookmarkEnd w:id="2"/>
    <w:p w:rsidR="00976E20" w:rsidRPr="00976E20" w:rsidRDefault="00976E20" w:rsidP="00976E20">
      <w:pPr>
        <w:widowControl w:val="0"/>
        <w:ind w:left="720" w:hanging="720"/>
        <w:jc w:val="both"/>
        <w:rPr>
          <w:sz w:val="20"/>
          <w:lang w:val="en-CA"/>
        </w:rPr>
      </w:pPr>
      <w:r w:rsidRPr="00976E20">
        <w:rPr>
          <w:b/>
          <w:sz w:val="20"/>
          <w:lang w:val="en-CA"/>
        </w:rPr>
        <w:fldChar w:fldCharType="begin"/>
      </w:r>
      <w:r w:rsidRPr="00976E20">
        <w:rPr>
          <w:b/>
          <w:sz w:val="20"/>
          <w:lang w:val="en-CA"/>
        </w:rPr>
        <w:instrText xml:space="preserve"> SEQ CHAPTER \h \r 1</w:instrText>
      </w:r>
      <w:r w:rsidRPr="00976E20">
        <w:rPr>
          <w:b/>
          <w:sz w:val="20"/>
          <w:lang w:val="en-CA"/>
        </w:rPr>
        <w:fldChar w:fldCharType="end"/>
      </w:r>
      <w:r w:rsidRPr="00976E20">
        <w:rPr>
          <w:b/>
          <w:sz w:val="20"/>
          <w:lang w:val="en-CA"/>
        </w:rPr>
        <w:t>35613</w:t>
      </w:r>
      <w:r w:rsidRPr="00976E20">
        <w:rPr>
          <w:sz w:val="20"/>
          <w:lang w:val="en-CA"/>
        </w:rPr>
        <w:tab/>
      </w:r>
      <w:bookmarkStart w:id="3" w:name="3"/>
      <w:bookmarkEnd w:id="3"/>
      <w:proofErr w:type="spellStart"/>
      <w:r w:rsidRPr="00976E20">
        <w:rPr>
          <w:b/>
          <w:i/>
          <w:sz w:val="20"/>
          <w:lang w:val="en-CA"/>
        </w:rPr>
        <w:t>Réjean</w:t>
      </w:r>
      <w:proofErr w:type="spellEnd"/>
      <w:r w:rsidRPr="00976E20">
        <w:rPr>
          <w:b/>
          <w:i/>
          <w:sz w:val="20"/>
          <w:lang w:val="en-CA"/>
        </w:rPr>
        <w:t xml:space="preserve"> </w:t>
      </w:r>
      <w:proofErr w:type="spellStart"/>
      <w:r w:rsidRPr="00976E20">
        <w:rPr>
          <w:b/>
          <w:i/>
          <w:sz w:val="20"/>
          <w:lang w:val="en-CA"/>
        </w:rPr>
        <w:t>Hinse</w:t>
      </w:r>
      <w:proofErr w:type="spellEnd"/>
      <w:r w:rsidRPr="00976E20">
        <w:rPr>
          <w:b/>
          <w:i/>
          <w:sz w:val="20"/>
          <w:lang w:val="en-CA"/>
        </w:rPr>
        <w:t xml:space="preserve"> v. Attorney General of Canada</w:t>
      </w:r>
    </w:p>
    <w:p w:rsidR="00976E20" w:rsidRPr="00976E20" w:rsidRDefault="00976E20" w:rsidP="00976E20">
      <w:pPr>
        <w:widowControl w:val="0"/>
        <w:jc w:val="both"/>
        <w:rPr>
          <w:sz w:val="20"/>
          <w:lang w:val="en-CA"/>
        </w:rPr>
      </w:pPr>
    </w:p>
    <w:p w:rsidR="00976E20" w:rsidRPr="00976E20" w:rsidRDefault="00976E20" w:rsidP="00976E20">
      <w:pPr>
        <w:jc w:val="both"/>
        <w:rPr>
          <w:sz w:val="20"/>
          <w:lang w:val="en-CA"/>
        </w:rPr>
      </w:pPr>
      <w:r w:rsidRPr="00976E20">
        <w:rPr>
          <w:sz w:val="20"/>
          <w:lang w:val="en-CA"/>
        </w:rPr>
        <w:t>Crown law - Crown liability - Fault - Prejudice - Action brought against federal Crown on basis of miscarriage of justice - Standard of liability applicable to conduct in issue - Whether Quebec Court of Appeal erred in reversing trial judge’s conclusions concerning lack of meaningful review of appellant’s applications - Whether trial judge’s conclusions concerning award of various heads of damages should be upheld.</w:t>
      </w:r>
    </w:p>
    <w:p w:rsidR="00976E20" w:rsidRPr="00976E20" w:rsidRDefault="00976E20" w:rsidP="00976E20">
      <w:pPr>
        <w:widowControl w:val="0"/>
        <w:jc w:val="both"/>
        <w:rPr>
          <w:sz w:val="20"/>
          <w:lang w:val="en-CA"/>
        </w:rPr>
      </w:pPr>
    </w:p>
    <w:p w:rsidR="00976E20" w:rsidRPr="00976E20" w:rsidRDefault="00976E20" w:rsidP="00976E20">
      <w:pPr>
        <w:widowControl w:val="0"/>
        <w:jc w:val="both"/>
        <w:rPr>
          <w:sz w:val="20"/>
          <w:lang w:val="en-CA"/>
        </w:rPr>
      </w:pPr>
      <w:r w:rsidRPr="00976E20">
        <w:rPr>
          <w:sz w:val="20"/>
          <w:lang w:val="en-CA"/>
        </w:rPr>
        <w:t xml:space="preserve">On November 3, 1964, </w:t>
      </w:r>
      <w:proofErr w:type="spellStart"/>
      <w:r w:rsidRPr="00976E20">
        <w:rPr>
          <w:sz w:val="20"/>
          <w:lang w:val="en-CA"/>
        </w:rPr>
        <w:t>Réjean</w:t>
      </w:r>
      <w:proofErr w:type="spellEnd"/>
      <w:r w:rsidRPr="00976E20">
        <w:rPr>
          <w:sz w:val="20"/>
          <w:lang w:val="en-CA"/>
        </w:rPr>
        <w:t> </w:t>
      </w:r>
      <w:proofErr w:type="spellStart"/>
      <w:r w:rsidRPr="00976E20">
        <w:rPr>
          <w:sz w:val="20"/>
          <w:lang w:val="en-CA"/>
        </w:rPr>
        <w:t>Hinse</w:t>
      </w:r>
      <w:proofErr w:type="spellEnd"/>
      <w:r w:rsidRPr="00976E20">
        <w:rPr>
          <w:sz w:val="20"/>
          <w:lang w:val="en-CA"/>
        </w:rPr>
        <w:t xml:space="preserve"> was convicted of robbery and sentenced to imprisonment for 15 years.  From that time on, Mr. </w:t>
      </w:r>
      <w:proofErr w:type="spellStart"/>
      <w:r w:rsidRPr="00976E20">
        <w:rPr>
          <w:sz w:val="20"/>
          <w:lang w:val="en-CA"/>
        </w:rPr>
        <w:t>Hinse</w:t>
      </w:r>
      <w:proofErr w:type="spellEnd"/>
      <w:r w:rsidRPr="00976E20">
        <w:rPr>
          <w:sz w:val="20"/>
          <w:lang w:val="en-CA"/>
        </w:rPr>
        <w:t xml:space="preserve"> repeatedly, and by various means, sought recognition that he was a victim of a miscarriage of justice, including by trying to obtain a pardon from the Governor in Council and by appealing to the Crown’s power of mercy.  It was not until 33 years later, on January 21, 1997, that Mr. </w:t>
      </w:r>
      <w:proofErr w:type="spellStart"/>
      <w:r w:rsidRPr="00976E20">
        <w:rPr>
          <w:sz w:val="20"/>
          <w:lang w:val="en-CA"/>
        </w:rPr>
        <w:t>Hinse</w:t>
      </w:r>
      <w:proofErr w:type="spellEnd"/>
      <w:r w:rsidRPr="00976E20">
        <w:rPr>
          <w:sz w:val="20"/>
          <w:lang w:val="en-CA"/>
        </w:rPr>
        <w:t xml:space="preserve"> was acquitted by the Supreme Court of Canada after obtaining an extension of the time for appealing his conviction.  Following the acquittal, Mr. </w:t>
      </w:r>
      <w:proofErr w:type="spellStart"/>
      <w:r w:rsidRPr="00976E20">
        <w:rPr>
          <w:sz w:val="20"/>
          <w:lang w:val="en-CA"/>
        </w:rPr>
        <w:t>Hinse</w:t>
      </w:r>
      <w:proofErr w:type="spellEnd"/>
      <w:r w:rsidRPr="00976E20">
        <w:rPr>
          <w:sz w:val="20"/>
          <w:lang w:val="en-CA"/>
        </w:rPr>
        <w:t xml:space="preserve"> brought an action against the town of Mont-Laurier, the Attorney General of Quebec and the Attorney General of Canada </w:t>
      </w:r>
      <w:proofErr w:type="spellStart"/>
      <w:r w:rsidRPr="00976E20">
        <w:rPr>
          <w:sz w:val="20"/>
          <w:lang w:val="en-CA"/>
        </w:rPr>
        <w:t>solidarily</w:t>
      </w:r>
      <w:proofErr w:type="spellEnd"/>
      <w:r w:rsidRPr="00976E20">
        <w:rPr>
          <w:sz w:val="20"/>
          <w:lang w:val="en-CA"/>
        </w:rPr>
        <w:t>.  However, a settlement agreement was reached with the town ($250,000) and the Attorney General of Quebec ($5,300,000).</w:t>
      </w:r>
    </w:p>
    <w:p w:rsidR="00976E20" w:rsidRPr="00976E20" w:rsidRDefault="00976E20" w:rsidP="00976E20">
      <w:pPr>
        <w:widowControl w:val="0"/>
        <w:jc w:val="both"/>
        <w:rPr>
          <w:sz w:val="20"/>
          <w:lang w:val="en-CA"/>
        </w:rPr>
      </w:pPr>
    </w:p>
    <w:p w:rsidR="00976E20" w:rsidRPr="00976E20" w:rsidRDefault="00976E20" w:rsidP="00976E20">
      <w:pPr>
        <w:widowControl w:val="0"/>
        <w:jc w:val="both"/>
        <w:rPr>
          <w:sz w:val="20"/>
          <w:lang w:val="en-CA"/>
        </w:rPr>
      </w:pPr>
      <w:r w:rsidRPr="00976E20">
        <w:rPr>
          <w:sz w:val="20"/>
          <w:lang w:val="en-CA"/>
        </w:rPr>
        <w:t>Against the Attorney General of Canada, Mr. </w:t>
      </w:r>
      <w:proofErr w:type="spellStart"/>
      <w:r w:rsidRPr="00976E20">
        <w:rPr>
          <w:sz w:val="20"/>
          <w:lang w:val="en-CA"/>
        </w:rPr>
        <w:t>Hinse</w:t>
      </w:r>
      <w:proofErr w:type="spellEnd"/>
      <w:r w:rsidRPr="00976E20">
        <w:rPr>
          <w:sz w:val="20"/>
          <w:lang w:val="en-CA"/>
        </w:rPr>
        <w:t xml:space="preserve"> alleged that the federal government had helped to perpetuate and exacerbate the prejudice he had suffered as a result of the miscarriage of justice and was guilty of systemic contributory fault in failing to act to acknowledge and remedy the miscarriage.  He also argued that the conduct of the federal authorities in his case [translation] “was indicative of reprehensible carelessness, recklessness and total denial, which must be denounced and condemned”.  He claimed $1,079,871 in compensation for pecuniary damage, $1,900,000 in compensation for non-pecuniary damage and $10,000,000 in punitive damages.  The Superior Court allowed the action and ordered the Attorney General of Canada to pay nearly $5.8 million.  Finding that Mr. </w:t>
      </w:r>
      <w:proofErr w:type="spellStart"/>
      <w:r w:rsidRPr="00976E20">
        <w:rPr>
          <w:sz w:val="20"/>
          <w:lang w:val="en-CA"/>
        </w:rPr>
        <w:t>Hinse</w:t>
      </w:r>
      <w:proofErr w:type="spellEnd"/>
      <w:r w:rsidRPr="00976E20">
        <w:rPr>
          <w:sz w:val="20"/>
          <w:lang w:val="en-CA"/>
        </w:rPr>
        <w:t xml:space="preserve"> </w:t>
      </w:r>
      <w:r w:rsidRPr="00976E20">
        <w:rPr>
          <w:sz w:val="20"/>
          <w:lang w:val="en-CA"/>
        </w:rPr>
        <w:lastRenderedPageBreak/>
        <w:t>had not discharged his burden of establishing the fault of the federal authorities, the Court of Appeal set aside the decision.</w:t>
      </w:r>
    </w:p>
    <w:p w:rsidR="00976E20" w:rsidRPr="00976E20" w:rsidRDefault="00976E20" w:rsidP="00976E20">
      <w:pPr>
        <w:widowControl w:val="0"/>
        <w:jc w:val="both"/>
        <w:rPr>
          <w:sz w:val="20"/>
          <w:lang w:val="en-CA"/>
        </w:rPr>
      </w:pPr>
    </w:p>
    <w:p w:rsidR="00976E20" w:rsidRPr="00976E20" w:rsidRDefault="00976E20" w:rsidP="00976E20">
      <w:pPr>
        <w:widowControl w:val="0"/>
        <w:jc w:val="both"/>
        <w:rPr>
          <w:sz w:val="20"/>
          <w:lang w:val="en-CA"/>
        </w:rPr>
      </w:pPr>
    </w:p>
    <w:p w:rsidR="00976E20" w:rsidRPr="00976E20" w:rsidRDefault="00976E20" w:rsidP="00976E20">
      <w:pPr>
        <w:widowControl w:val="0"/>
        <w:jc w:val="both"/>
        <w:rPr>
          <w:sz w:val="20"/>
          <w:lang w:val="en-CA"/>
        </w:rPr>
      </w:pPr>
      <w:r w:rsidRPr="00976E20">
        <w:rPr>
          <w:sz w:val="20"/>
          <w:lang w:val="en-CA"/>
        </w:rPr>
        <w:t>Origin of the case:</w:t>
      </w:r>
      <w:r w:rsidRPr="00976E20">
        <w:rPr>
          <w:sz w:val="20"/>
          <w:lang w:val="en-CA"/>
        </w:rPr>
        <w:tab/>
      </w:r>
      <w:r>
        <w:rPr>
          <w:sz w:val="20"/>
          <w:lang w:val="en-CA"/>
        </w:rPr>
        <w:tab/>
      </w:r>
      <w:r w:rsidRPr="00976E20">
        <w:rPr>
          <w:sz w:val="20"/>
          <w:lang w:val="en-CA"/>
        </w:rPr>
        <w:tab/>
      </w:r>
      <w:r w:rsidRPr="00976E20">
        <w:rPr>
          <w:sz w:val="20"/>
          <w:lang w:val="en-CA"/>
        </w:rPr>
        <w:tab/>
      </w:r>
      <w:bookmarkStart w:id="4" w:name="4"/>
      <w:bookmarkEnd w:id="4"/>
      <w:r w:rsidRPr="00976E20">
        <w:rPr>
          <w:sz w:val="20"/>
          <w:lang w:val="en-CA"/>
        </w:rPr>
        <w:t>Quebec</w:t>
      </w:r>
    </w:p>
    <w:p w:rsidR="00976E20" w:rsidRPr="00976E20" w:rsidRDefault="00976E20" w:rsidP="00976E20">
      <w:pPr>
        <w:widowControl w:val="0"/>
        <w:jc w:val="both"/>
        <w:rPr>
          <w:sz w:val="20"/>
          <w:lang w:val="en-CA"/>
        </w:rPr>
      </w:pPr>
    </w:p>
    <w:p w:rsidR="00976E20" w:rsidRPr="00976E20" w:rsidRDefault="00976E20" w:rsidP="00976E20">
      <w:pPr>
        <w:widowControl w:val="0"/>
        <w:jc w:val="both"/>
        <w:rPr>
          <w:sz w:val="20"/>
          <w:lang w:val="en-CA"/>
        </w:rPr>
      </w:pPr>
      <w:r w:rsidRPr="00976E20">
        <w:rPr>
          <w:sz w:val="20"/>
          <w:lang w:val="en-CA"/>
        </w:rPr>
        <w:t>File No.:</w:t>
      </w:r>
      <w:r w:rsidRPr="00976E20">
        <w:rPr>
          <w:sz w:val="20"/>
          <w:lang w:val="en-CA"/>
        </w:rPr>
        <w:tab/>
      </w:r>
      <w:r w:rsidRPr="00976E20">
        <w:rPr>
          <w:sz w:val="20"/>
          <w:lang w:val="en-CA"/>
        </w:rPr>
        <w:tab/>
      </w:r>
      <w:r w:rsidRPr="00976E20">
        <w:rPr>
          <w:sz w:val="20"/>
          <w:lang w:val="en-CA"/>
        </w:rPr>
        <w:tab/>
      </w:r>
      <w:r w:rsidRPr="00976E20">
        <w:rPr>
          <w:sz w:val="20"/>
          <w:lang w:val="en-CA"/>
        </w:rPr>
        <w:tab/>
      </w:r>
      <w:bookmarkStart w:id="5" w:name="2"/>
      <w:bookmarkEnd w:id="5"/>
      <w:r>
        <w:rPr>
          <w:sz w:val="20"/>
          <w:lang w:val="en-CA"/>
        </w:rPr>
        <w:tab/>
      </w:r>
      <w:r>
        <w:rPr>
          <w:sz w:val="20"/>
          <w:lang w:val="en-CA"/>
        </w:rPr>
        <w:tab/>
      </w:r>
      <w:r>
        <w:rPr>
          <w:sz w:val="20"/>
          <w:lang w:val="en-CA"/>
        </w:rPr>
        <w:tab/>
      </w:r>
      <w:r w:rsidRPr="00976E20">
        <w:rPr>
          <w:sz w:val="20"/>
          <w:lang w:val="en-CA"/>
        </w:rPr>
        <w:t>35613</w:t>
      </w:r>
    </w:p>
    <w:p w:rsidR="00976E20" w:rsidRPr="00976E20" w:rsidRDefault="00976E20" w:rsidP="00976E20">
      <w:pPr>
        <w:widowControl w:val="0"/>
        <w:jc w:val="both"/>
        <w:rPr>
          <w:sz w:val="20"/>
          <w:lang w:val="en-CA"/>
        </w:rPr>
      </w:pPr>
    </w:p>
    <w:p w:rsidR="00976E20" w:rsidRPr="00976E20" w:rsidRDefault="00976E20" w:rsidP="00976E20">
      <w:pPr>
        <w:widowControl w:val="0"/>
        <w:jc w:val="both"/>
        <w:rPr>
          <w:sz w:val="20"/>
          <w:lang w:val="en-CA"/>
        </w:rPr>
      </w:pPr>
      <w:r w:rsidRPr="00976E20">
        <w:rPr>
          <w:sz w:val="20"/>
          <w:lang w:val="en-CA"/>
        </w:rPr>
        <w:t>Judgment of the Court of Appeal:</w:t>
      </w:r>
      <w:r w:rsidRPr="00976E20">
        <w:rPr>
          <w:sz w:val="20"/>
          <w:lang w:val="en-CA"/>
        </w:rPr>
        <w:tab/>
        <w:t>September 11, 2013</w:t>
      </w:r>
    </w:p>
    <w:p w:rsidR="00976E20" w:rsidRPr="00976E20" w:rsidRDefault="00976E20" w:rsidP="00976E20">
      <w:pPr>
        <w:widowControl w:val="0"/>
        <w:jc w:val="both"/>
        <w:rPr>
          <w:sz w:val="20"/>
          <w:lang w:val="en-CA"/>
        </w:rPr>
      </w:pPr>
    </w:p>
    <w:p w:rsidR="00976E20" w:rsidRPr="002423AA" w:rsidRDefault="00976E20" w:rsidP="00976E20">
      <w:pPr>
        <w:widowControl w:val="0"/>
        <w:jc w:val="both"/>
        <w:rPr>
          <w:sz w:val="20"/>
        </w:rPr>
      </w:pPr>
      <w:r w:rsidRPr="002423AA">
        <w:rPr>
          <w:sz w:val="20"/>
        </w:rPr>
        <w:t>Counsel:</w:t>
      </w:r>
      <w:r w:rsidRPr="002423AA">
        <w:rPr>
          <w:sz w:val="20"/>
        </w:rPr>
        <w:tab/>
      </w:r>
      <w:bookmarkStart w:id="6" w:name="6"/>
      <w:bookmarkEnd w:id="6"/>
      <w:r w:rsidRPr="002423AA">
        <w:rPr>
          <w:sz w:val="20"/>
        </w:rPr>
        <w:tab/>
      </w:r>
      <w:r w:rsidRPr="002423AA">
        <w:rPr>
          <w:sz w:val="20"/>
        </w:rPr>
        <w:tab/>
      </w:r>
      <w:r w:rsidRPr="002423AA">
        <w:rPr>
          <w:sz w:val="20"/>
        </w:rPr>
        <w:tab/>
      </w:r>
      <w:r w:rsidRPr="002423AA">
        <w:rPr>
          <w:sz w:val="20"/>
        </w:rPr>
        <w:tab/>
      </w:r>
      <w:r w:rsidRPr="002423AA">
        <w:rPr>
          <w:sz w:val="20"/>
        </w:rPr>
        <w:tab/>
      </w:r>
      <w:r w:rsidRPr="002423AA">
        <w:rPr>
          <w:sz w:val="20"/>
        </w:rPr>
        <w:tab/>
        <w:t>Guy J. Pratte, Alexander L. De Zordo and Marc-André Grou for the appellant</w:t>
      </w:r>
    </w:p>
    <w:p w:rsidR="00976E20" w:rsidRPr="002423AA" w:rsidRDefault="00976E20" w:rsidP="00976E20">
      <w:pPr>
        <w:widowControl w:val="0"/>
        <w:jc w:val="both"/>
        <w:rPr>
          <w:sz w:val="20"/>
        </w:rPr>
      </w:pPr>
      <w:r w:rsidRPr="002423AA">
        <w:rPr>
          <w:sz w:val="20"/>
        </w:rPr>
        <w:tab/>
      </w:r>
      <w:r w:rsidRPr="002423AA">
        <w:rPr>
          <w:sz w:val="20"/>
        </w:rPr>
        <w:tab/>
      </w:r>
      <w:r w:rsidRPr="002423AA">
        <w:rPr>
          <w:sz w:val="20"/>
        </w:rPr>
        <w:tab/>
      </w:r>
      <w:r w:rsidRPr="002423AA">
        <w:rPr>
          <w:sz w:val="20"/>
        </w:rPr>
        <w:tab/>
      </w:r>
      <w:r w:rsidRPr="002423AA">
        <w:rPr>
          <w:sz w:val="20"/>
        </w:rPr>
        <w:tab/>
      </w:r>
      <w:r w:rsidRPr="002423AA">
        <w:rPr>
          <w:sz w:val="20"/>
        </w:rPr>
        <w:tab/>
      </w:r>
      <w:r w:rsidRPr="002423AA">
        <w:rPr>
          <w:sz w:val="20"/>
        </w:rPr>
        <w:tab/>
      </w:r>
      <w:r w:rsidRPr="002423AA">
        <w:rPr>
          <w:sz w:val="20"/>
        </w:rPr>
        <w:tab/>
      </w:r>
      <w:bookmarkStart w:id="7" w:name="7"/>
      <w:bookmarkEnd w:id="7"/>
      <w:r w:rsidRPr="002423AA">
        <w:rPr>
          <w:sz w:val="20"/>
        </w:rPr>
        <w:t>Bernard Letarte for the respondent</w:t>
      </w:r>
    </w:p>
    <w:p w:rsidR="00976E20" w:rsidRPr="002423AA" w:rsidRDefault="00976E20" w:rsidP="00976E20">
      <w:pPr>
        <w:widowControl w:val="0"/>
        <w:jc w:val="both"/>
        <w:rPr>
          <w:sz w:val="20"/>
        </w:rPr>
      </w:pPr>
    </w:p>
    <w:p w:rsidR="00CF1ED7" w:rsidRPr="002423AA" w:rsidRDefault="00CF1ED7" w:rsidP="00976E20">
      <w:pPr>
        <w:jc w:val="both"/>
        <w:rPr>
          <w:sz w:val="20"/>
        </w:rPr>
      </w:pPr>
    </w:p>
    <w:p w:rsidR="00976E20" w:rsidRPr="00976E20" w:rsidRDefault="00976E20" w:rsidP="00976E20">
      <w:pPr>
        <w:widowControl w:val="0"/>
        <w:ind w:left="720" w:hanging="720"/>
        <w:jc w:val="both"/>
        <w:rPr>
          <w:sz w:val="20"/>
          <w:lang w:val="fr-CA"/>
        </w:rPr>
      </w:pPr>
      <w:r w:rsidRPr="00976E20">
        <w:rPr>
          <w:b/>
          <w:sz w:val="20"/>
          <w:lang w:val="fr-CA"/>
        </w:rPr>
        <w:fldChar w:fldCharType="begin"/>
      </w:r>
      <w:r w:rsidRPr="00976E20">
        <w:rPr>
          <w:b/>
          <w:sz w:val="20"/>
          <w:lang w:val="fr-CA"/>
        </w:rPr>
        <w:instrText xml:space="preserve"> SEQ CHAPTER \h \r 1</w:instrText>
      </w:r>
      <w:r w:rsidRPr="00976E20">
        <w:rPr>
          <w:b/>
          <w:sz w:val="20"/>
          <w:lang w:val="fr-CA"/>
        </w:rPr>
        <w:fldChar w:fldCharType="end"/>
      </w:r>
      <w:r w:rsidRPr="00976E20">
        <w:rPr>
          <w:b/>
          <w:sz w:val="20"/>
          <w:lang w:val="fr-CA"/>
        </w:rPr>
        <w:t>35613</w:t>
      </w:r>
      <w:r w:rsidRPr="00976E20">
        <w:rPr>
          <w:sz w:val="20"/>
          <w:lang w:val="fr-CA"/>
        </w:rPr>
        <w:tab/>
      </w:r>
      <w:r w:rsidRPr="00976E20">
        <w:rPr>
          <w:b/>
          <w:i/>
          <w:sz w:val="20"/>
          <w:lang w:val="fr-CA"/>
        </w:rPr>
        <w:t xml:space="preserve">Réjean </w:t>
      </w:r>
      <w:proofErr w:type="spellStart"/>
      <w:r w:rsidRPr="00976E20">
        <w:rPr>
          <w:b/>
          <w:i/>
          <w:sz w:val="20"/>
          <w:lang w:val="fr-CA"/>
        </w:rPr>
        <w:t>Hinse</w:t>
      </w:r>
      <w:proofErr w:type="spellEnd"/>
      <w:r w:rsidRPr="00976E20">
        <w:rPr>
          <w:b/>
          <w:i/>
          <w:sz w:val="20"/>
          <w:lang w:val="fr-CA"/>
        </w:rPr>
        <w:t xml:space="preserve"> c. Procureur général du Canada</w:t>
      </w:r>
    </w:p>
    <w:p w:rsidR="00976E20" w:rsidRPr="00976E20" w:rsidRDefault="00976E20" w:rsidP="00976E20">
      <w:pPr>
        <w:widowControl w:val="0"/>
        <w:jc w:val="both"/>
        <w:rPr>
          <w:sz w:val="20"/>
          <w:lang w:val="fr-CA"/>
        </w:rPr>
      </w:pPr>
    </w:p>
    <w:p w:rsidR="00976E20" w:rsidRPr="00976E20" w:rsidRDefault="00976E20" w:rsidP="00976E20">
      <w:pPr>
        <w:jc w:val="both"/>
        <w:rPr>
          <w:sz w:val="20"/>
          <w:lang w:val="fr-CA"/>
        </w:rPr>
      </w:pPr>
      <w:r w:rsidRPr="00976E20">
        <w:rPr>
          <w:sz w:val="20"/>
          <w:lang w:val="fr-CA"/>
        </w:rPr>
        <w:t>Droit de la Couronne - Responsabilité de l’État - Faute - Préjudice - Poursuite intentée contre l’État fédéral à la suite d’une erreur judiciaire - Quelle est la norme de responsabilité applicable à la conduite en litige? - La Cour d’appel du Québec a-t-elle erré en infirmant les conclusions de la première juge quant à l’absence d’un examen sérieux des demandes de l’appelant? - Les conclusions de la première juge quant à l’octroi des différents chefs de dommages-intérêts doivent-elles être maintenues?</w:t>
      </w:r>
    </w:p>
    <w:p w:rsidR="00976E20" w:rsidRPr="00976E20" w:rsidRDefault="00976E20" w:rsidP="00976E20">
      <w:pPr>
        <w:widowControl w:val="0"/>
        <w:jc w:val="both"/>
        <w:rPr>
          <w:sz w:val="20"/>
          <w:lang w:val="fr-CA"/>
        </w:rPr>
      </w:pPr>
    </w:p>
    <w:p w:rsidR="00976E20" w:rsidRPr="00976E20" w:rsidRDefault="00976E20" w:rsidP="00976E20">
      <w:pPr>
        <w:widowControl w:val="0"/>
        <w:jc w:val="both"/>
        <w:rPr>
          <w:sz w:val="20"/>
          <w:lang w:val="fr-CA"/>
        </w:rPr>
      </w:pPr>
      <w:r w:rsidRPr="00976E20">
        <w:rPr>
          <w:sz w:val="20"/>
          <w:lang w:val="fr-CA"/>
        </w:rPr>
        <w:t xml:space="preserve">Le 3 novembre 1964, Réjean </w:t>
      </w:r>
      <w:proofErr w:type="spellStart"/>
      <w:r w:rsidRPr="00976E20">
        <w:rPr>
          <w:sz w:val="20"/>
          <w:lang w:val="fr-CA"/>
        </w:rPr>
        <w:t>Hinse</w:t>
      </w:r>
      <w:proofErr w:type="spellEnd"/>
      <w:r w:rsidRPr="00976E20">
        <w:rPr>
          <w:sz w:val="20"/>
          <w:lang w:val="fr-CA"/>
        </w:rPr>
        <w:t xml:space="preserve"> est déclaré coupable de vol qualifié et condamné à une peine de 15 ans d’emprisonnement.  À compter de ce moment, M. </w:t>
      </w:r>
      <w:proofErr w:type="spellStart"/>
      <w:r w:rsidRPr="00976E20">
        <w:rPr>
          <w:sz w:val="20"/>
          <w:lang w:val="fr-CA"/>
        </w:rPr>
        <w:t>Hinse</w:t>
      </w:r>
      <w:proofErr w:type="spellEnd"/>
      <w:r w:rsidRPr="00976E20">
        <w:rPr>
          <w:sz w:val="20"/>
          <w:lang w:val="fr-CA"/>
        </w:rPr>
        <w:t xml:space="preserve"> tente à plusieurs reprises et de diverses façons de faire reconnaître qu’il est victime d’une erreur judiciaire, notamment en tentant d’obtenir un pardon du gouverneur en conseil et en faisant appel au pouvoir de clémence de la Couronne.  Ce n’est que le 21 janvier 1997, soit 33 ans plus tard, que M. </w:t>
      </w:r>
      <w:proofErr w:type="spellStart"/>
      <w:r w:rsidRPr="00976E20">
        <w:rPr>
          <w:sz w:val="20"/>
          <w:lang w:val="fr-CA"/>
        </w:rPr>
        <w:t>Hinse</w:t>
      </w:r>
      <w:proofErr w:type="spellEnd"/>
      <w:r w:rsidRPr="00976E20">
        <w:rPr>
          <w:sz w:val="20"/>
          <w:lang w:val="fr-CA"/>
        </w:rPr>
        <w:t xml:space="preserve"> sera acquitté par la Cour suprême du Canada, après avoir obtenu une prorogation du délai pour porter sa condamnation en appel.  Après l’acquittement, M. </w:t>
      </w:r>
      <w:proofErr w:type="spellStart"/>
      <w:r w:rsidRPr="00976E20">
        <w:rPr>
          <w:sz w:val="20"/>
          <w:lang w:val="fr-CA"/>
        </w:rPr>
        <w:t>Hinse</w:t>
      </w:r>
      <w:proofErr w:type="spellEnd"/>
      <w:r w:rsidRPr="00976E20">
        <w:rPr>
          <w:sz w:val="20"/>
          <w:lang w:val="fr-CA"/>
        </w:rPr>
        <w:t xml:space="preserve"> poursuit, solidairement, la Ville de Mont-Laurier, le procureur général du Québec et le procureur général du Canada.  Toutefois, une entente de règlement à l’amiable est conclue avec la Ville (250 000 $) et le procureur général du Québec (5 300 000 $). </w:t>
      </w:r>
    </w:p>
    <w:p w:rsidR="00976E20" w:rsidRPr="00976E20" w:rsidRDefault="00976E20" w:rsidP="00976E20">
      <w:pPr>
        <w:widowControl w:val="0"/>
        <w:jc w:val="both"/>
        <w:rPr>
          <w:sz w:val="20"/>
          <w:lang w:val="fr-CA"/>
        </w:rPr>
      </w:pPr>
    </w:p>
    <w:p w:rsidR="00976E20" w:rsidRPr="00976E20" w:rsidRDefault="00976E20" w:rsidP="00976E20">
      <w:pPr>
        <w:widowControl w:val="0"/>
        <w:jc w:val="both"/>
        <w:rPr>
          <w:sz w:val="20"/>
          <w:lang w:val="fr-CA"/>
        </w:rPr>
      </w:pPr>
      <w:r w:rsidRPr="00976E20">
        <w:rPr>
          <w:sz w:val="20"/>
          <w:lang w:val="fr-CA"/>
        </w:rPr>
        <w:t>À l’encontre du procureur général du Canada, M. </w:t>
      </w:r>
      <w:proofErr w:type="spellStart"/>
      <w:r w:rsidRPr="00976E20">
        <w:rPr>
          <w:sz w:val="20"/>
          <w:lang w:val="fr-CA"/>
        </w:rPr>
        <w:t>Hinse</w:t>
      </w:r>
      <w:proofErr w:type="spellEnd"/>
      <w:r w:rsidRPr="00976E20">
        <w:rPr>
          <w:sz w:val="20"/>
          <w:lang w:val="fr-CA"/>
        </w:rPr>
        <w:t xml:space="preserve"> allègue que l’administration fédérale a contribué à perpétuer et a exacerbé les préjudices qu’il a subis en raison de l’erreur judiciaire, et qu’elle a commis des fautes contributoires systémiques en omettant d’agir pour reconnaître et corriger l’erreur.  De plus, il soutient que la conduite des autorités fédérales dans son dossier « atteste d’une incurie, d’une insouciance et d’un déni total répréhensibles qui doivent être dénoncés et condamnés ».  Il réclame une somme de 1 079 871 $ en compensation de dommages pécuniaires, une autre de 1 900 000 $ en compensation de dommages non-pécuniaires et un montant de 10 000 000 $ à titre de dommages-intérêts punitifs.  La Cour supérieure accueille l’action et condamne le procureur général du Canada à payer une somme de près de 5,8 millions de dollars.  Estimant que M. </w:t>
      </w:r>
      <w:proofErr w:type="spellStart"/>
      <w:r w:rsidRPr="00976E20">
        <w:rPr>
          <w:sz w:val="20"/>
          <w:lang w:val="fr-CA"/>
        </w:rPr>
        <w:t>Hinse</w:t>
      </w:r>
      <w:proofErr w:type="spellEnd"/>
      <w:r w:rsidRPr="00976E20">
        <w:rPr>
          <w:sz w:val="20"/>
          <w:lang w:val="fr-CA"/>
        </w:rPr>
        <w:t xml:space="preserve"> ne s’était pas déchargé de son fardeau d’établir la faute des autorités fédérales, la Cour d’appel infirme la décision.</w:t>
      </w:r>
    </w:p>
    <w:p w:rsidR="00976E20" w:rsidRPr="00976E20" w:rsidRDefault="00976E20" w:rsidP="00976E20">
      <w:pPr>
        <w:widowControl w:val="0"/>
        <w:jc w:val="both"/>
        <w:rPr>
          <w:sz w:val="20"/>
          <w:lang w:val="fr-CA"/>
        </w:rPr>
      </w:pPr>
    </w:p>
    <w:p w:rsidR="00976E20" w:rsidRPr="00976E20" w:rsidRDefault="00976E20" w:rsidP="00976E20">
      <w:pPr>
        <w:widowControl w:val="0"/>
        <w:jc w:val="both"/>
        <w:rPr>
          <w:sz w:val="20"/>
          <w:lang w:val="fr-CA"/>
        </w:rPr>
      </w:pPr>
    </w:p>
    <w:p w:rsidR="00976E20" w:rsidRPr="00976E20" w:rsidRDefault="00976E20" w:rsidP="00976E20">
      <w:pPr>
        <w:widowControl w:val="0"/>
        <w:jc w:val="both"/>
        <w:rPr>
          <w:sz w:val="20"/>
          <w:lang w:val="fr-CA"/>
        </w:rPr>
      </w:pPr>
      <w:r w:rsidRPr="00976E20">
        <w:rPr>
          <w:sz w:val="20"/>
          <w:lang w:val="fr-CA"/>
        </w:rPr>
        <w:t>Origine:</w:t>
      </w:r>
      <w:r w:rsidRPr="00976E20">
        <w:rPr>
          <w:sz w:val="20"/>
          <w:lang w:val="fr-CA"/>
        </w:rPr>
        <w:tab/>
      </w:r>
      <w:r w:rsidRPr="00976E20">
        <w:rPr>
          <w:sz w:val="20"/>
          <w:lang w:val="fr-CA"/>
        </w:rPr>
        <w:tab/>
      </w:r>
      <w:r>
        <w:rPr>
          <w:sz w:val="20"/>
          <w:lang w:val="fr-CA"/>
        </w:rPr>
        <w:tab/>
      </w:r>
      <w:r w:rsidRPr="00976E20">
        <w:rPr>
          <w:sz w:val="20"/>
          <w:lang w:val="fr-CA"/>
        </w:rPr>
        <w:tab/>
      </w:r>
      <w:r w:rsidRPr="00976E20">
        <w:rPr>
          <w:sz w:val="20"/>
          <w:lang w:val="fr-CA"/>
        </w:rPr>
        <w:tab/>
        <w:t>Québec</w:t>
      </w:r>
    </w:p>
    <w:p w:rsidR="00976E20" w:rsidRPr="00976E20" w:rsidRDefault="00976E20" w:rsidP="00976E20">
      <w:pPr>
        <w:widowControl w:val="0"/>
        <w:jc w:val="both"/>
        <w:rPr>
          <w:sz w:val="20"/>
          <w:lang w:val="fr-CA"/>
        </w:rPr>
      </w:pPr>
    </w:p>
    <w:p w:rsidR="00976E20" w:rsidRPr="00976E20" w:rsidRDefault="00976E20" w:rsidP="00976E20">
      <w:pPr>
        <w:widowControl w:val="0"/>
        <w:jc w:val="both"/>
        <w:rPr>
          <w:sz w:val="20"/>
          <w:lang w:val="fr-CA"/>
        </w:rPr>
      </w:pPr>
      <w:r w:rsidRPr="00976E20">
        <w:rPr>
          <w:sz w:val="20"/>
          <w:lang w:val="fr-CA"/>
        </w:rPr>
        <w:t>N</w:t>
      </w:r>
      <w:r w:rsidRPr="00976E20">
        <w:rPr>
          <w:sz w:val="20"/>
          <w:vertAlign w:val="superscript"/>
          <w:lang w:val="fr-CA"/>
        </w:rPr>
        <w:t>o</w:t>
      </w:r>
      <w:r w:rsidRPr="00976E20">
        <w:rPr>
          <w:sz w:val="20"/>
          <w:lang w:val="fr-CA"/>
        </w:rPr>
        <w:t xml:space="preserve"> du greffe:</w:t>
      </w:r>
      <w:r w:rsidRPr="00976E20">
        <w:rPr>
          <w:sz w:val="20"/>
          <w:lang w:val="fr-CA"/>
        </w:rPr>
        <w:tab/>
      </w:r>
      <w:r w:rsidRPr="00976E20">
        <w:rPr>
          <w:sz w:val="20"/>
          <w:lang w:val="fr-CA"/>
        </w:rPr>
        <w:tab/>
      </w:r>
      <w:r w:rsidRPr="00976E20">
        <w:rPr>
          <w:sz w:val="20"/>
          <w:lang w:val="fr-CA"/>
        </w:rPr>
        <w:tab/>
      </w:r>
      <w:r w:rsidRPr="00976E20">
        <w:rPr>
          <w:sz w:val="20"/>
          <w:lang w:val="fr-CA"/>
        </w:rPr>
        <w:tab/>
        <w:t>35613</w:t>
      </w:r>
    </w:p>
    <w:p w:rsidR="00976E20" w:rsidRPr="00976E20" w:rsidRDefault="00976E20" w:rsidP="00976E20">
      <w:pPr>
        <w:widowControl w:val="0"/>
        <w:jc w:val="both"/>
        <w:rPr>
          <w:sz w:val="20"/>
          <w:lang w:val="fr-CA"/>
        </w:rPr>
      </w:pPr>
    </w:p>
    <w:p w:rsidR="00976E20" w:rsidRPr="00976E20" w:rsidRDefault="00976E20" w:rsidP="00976E20">
      <w:pPr>
        <w:widowControl w:val="0"/>
        <w:jc w:val="both"/>
        <w:rPr>
          <w:sz w:val="20"/>
          <w:lang w:val="fr-CA"/>
        </w:rPr>
      </w:pPr>
      <w:r w:rsidRPr="00976E20">
        <w:rPr>
          <w:sz w:val="20"/>
          <w:lang w:val="fr-CA"/>
        </w:rPr>
        <w:t>Arrêt de la Cour d’appel:</w:t>
      </w:r>
      <w:r w:rsidRPr="00976E20">
        <w:rPr>
          <w:sz w:val="20"/>
          <w:lang w:val="fr-CA"/>
        </w:rPr>
        <w:tab/>
        <w:t>le 11 septembre 2013</w:t>
      </w:r>
    </w:p>
    <w:p w:rsidR="00976E20" w:rsidRPr="00976E20" w:rsidRDefault="00976E20" w:rsidP="00976E20">
      <w:pPr>
        <w:widowControl w:val="0"/>
        <w:jc w:val="both"/>
        <w:rPr>
          <w:sz w:val="20"/>
          <w:lang w:val="fr-CA"/>
        </w:rPr>
      </w:pPr>
    </w:p>
    <w:p w:rsidR="00976E20" w:rsidRPr="00976E20" w:rsidRDefault="00976E20" w:rsidP="00976E20">
      <w:pPr>
        <w:widowControl w:val="0"/>
        <w:jc w:val="both"/>
        <w:rPr>
          <w:sz w:val="20"/>
          <w:lang w:val="fr-CA"/>
        </w:rPr>
      </w:pPr>
      <w:r w:rsidRPr="00976E20">
        <w:rPr>
          <w:sz w:val="20"/>
          <w:lang w:val="fr-CA"/>
        </w:rPr>
        <w:t>Avocats:</w:t>
      </w:r>
      <w:r w:rsidRPr="00976E20">
        <w:rPr>
          <w:sz w:val="20"/>
          <w:lang w:val="fr-CA"/>
        </w:rPr>
        <w:tab/>
      </w:r>
      <w:r>
        <w:rPr>
          <w:sz w:val="20"/>
          <w:lang w:val="fr-CA"/>
        </w:rPr>
        <w:tab/>
      </w:r>
      <w:r>
        <w:rPr>
          <w:sz w:val="20"/>
          <w:lang w:val="fr-CA"/>
        </w:rPr>
        <w:tab/>
      </w:r>
      <w:r>
        <w:rPr>
          <w:sz w:val="20"/>
          <w:lang w:val="fr-CA"/>
        </w:rPr>
        <w:tab/>
      </w:r>
      <w:r>
        <w:rPr>
          <w:sz w:val="20"/>
          <w:lang w:val="fr-CA"/>
        </w:rPr>
        <w:tab/>
      </w:r>
      <w:r w:rsidRPr="00976E20">
        <w:rPr>
          <w:sz w:val="20"/>
          <w:lang w:val="fr-CA"/>
        </w:rPr>
        <w:t xml:space="preserve">Guy J. </w:t>
      </w:r>
      <w:proofErr w:type="spellStart"/>
      <w:r w:rsidRPr="00976E20">
        <w:rPr>
          <w:sz w:val="20"/>
          <w:lang w:val="fr-CA"/>
        </w:rPr>
        <w:t>Pratte</w:t>
      </w:r>
      <w:proofErr w:type="spellEnd"/>
      <w:r w:rsidRPr="00976E20">
        <w:rPr>
          <w:sz w:val="20"/>
          <w:lang w:val="fr-CA"/>
        </w:rPr>
        <w:t xml:space="preserve">, Alexander L. De </w:t>
      </w:r>
      <w:proofErr w:type="spellStart"/>
      <w:r w:rsidRPr="00976E20">
        <w:rPr>
          <w:sz w:val="20"/>
          <w:lang w:val="fr-CA"/>
        </w:rPr>
        <w:t>Zordo</w:t>
      </w:r>
      <w:proofErr w:type="spellEnd"/>
      <w:r w:rsidRPr="00976E20">
        <w:rPr>
          <w:sz w:val="20"/>
          <w:lang w:val="fr-CA"/>
        </w:rPr>
        <w:t xml:space="preserve"> et Marc-André </w:t>
      </w:r>
      <w:proofErr w:type="spellStart"/>
      <w:r w:rsidRPr="00976E20">
        <w:rPr>
          <w:sz w:val="20"/>
          <w:lang w:val="fr-CA"/>
        </w:rPr>
        <w:t>Grou</w:t>
      </w:r>
      <w:proofErr w:type="spellEnd"/>
      <w:r w:rsidRPr="00976E20">
        <w:rPr>
          <w:sz w:val="20"/>
          <w:lang w:val="fr-CA"/>
        </w:rPr>
        <w:t xml:space="preserve"> pour l’appelant</w:t>
      </w:r>
    </w:p>
    <w:p w:rsidR="00976E20" w:rsidRPr="00976E20" w:rsidRDefault="00976E20" w:rsidP="00976E20">
      <w:pPr>
        <w:widowControl w:val="0"/>
        <w:jc w:val="both"/>
        <w:rPr>
          <w:sz w:val="20"/>
          <w:lang w:val="fr-CA"/>
        </w:rPr>
      </w:pPr>
      <w:r>
        <w:rPr>
          <w:sz w:val="20"/>
          <w:lang w:val="fr-CA"/>
        </w:rPr>
        <w:tab/>
      </w:r>
      <w:r w:rsidRPr="00976E20">
        <w:rPr>
          <w:sz w:val="20"/>
          <w:lang w:val="fr-CA"/>
        </w:rPr>
        <w:tab/>
      </w:r>
      <w:r w:rsidRPr="00976E20">
        <w:rPr>
          <w:sz w:val="20"/>
          <w:lang w:val="fr-CA"/>
        </w:rPr>
        <w:tab/>
      </w:r>
      <w:r w:rsidRPr="00976E20">
        <w:rPr>
          <w:sz w:val="20"/>
          <w:lang w:val="fr-CA"/>
        </w:rPr>
        <w:tab/>
      </w:r>
      <w:r w:rsidRPr="00976E20">
        <w:rPr>
          <w:sz w:val="20"/>
          <w:lang w:val="fr-CA"/>
        </w:rPr>
        <w:tab/>
      </w:r>
      <w:r w:rsidRPr="00976E20">
        <w:rPr>
          <w:sz w:val="20"/>
          <w:lang w:val="fr-CA"/>
        </w:rPr>
        <w:tab/>
        <w:t xml:space="preserve">Bernard </w:t>
      </w:r>
      <w:proofErr w:type="spellStart"/>
      <w:r w:rsidRPr="00976E20">
        <w:rPr>
          <w:sz w:val="20"/>
          <w:lang w:val="fr-CA"/>
        </w:rPr>
        <w:t>Letarte</w:t>
      </w:r>
      <w:proofErr w:type="spellEnd"/>
      <w:r w:rsidRPr="00976E20">
        <w:rPr>
          <w:sz w:val="20"/>
          <w:lang w:val="fr-CA"/>
        </w:rPr>
        <w:t xml:space="preserve"> pour l’intimé</w:t>
      </w:r>
    </w:p>
    <w:p w:rsidR="00976E20" w:rsidRPr="00976E20" w:rsidRDefault="00976E20" w:rsidP="00976E20">
      <w:pPr>
        <w:widowControl w:val="0"/>
        <w:jc w:val="both"/>
        <w:rPr>
          <w:sz w:val="20"/>
          <w:lang w:val="fr-CA"/>
        </w:rPr>
      </w:pPr>
    </w:p>
    <w:p w:rsidR="00EC6682" w:rsidRPr="00976E20" w:rsidRDefault="00EC6682" w:rsidP="00EC79B0">
      <w:pPr>
        <w:jc w:val="both"/>
        <w:rPr>
          <w:szCs w:val="24"/>
        </w:rPr>
      </w:pPr>
    </w:p>
    <w:p w:rsidR="00EC6682" w:rsidRPr="00976E20" w:rsidRDefault="00EC6682" w:rsidP="00EC79B0">
      <w:pPr>
        <w:jc w:val="both"/>
        <w:rPr>
          <w:szCs w:val="24"/>
        </w:rPr>
      </w:pPr>
    </w:p>
    <w:p w:rsidR="001C4415" w:rsidRPr="00FD7940" w:rsidRDefault="001C4415" w:rsidP="001C4415">
      <w:pPr>
        <w:widowControl w:val="0"/>
        <w:outlineLvl w:val="0"/>
      </w:pPr>
      <w:r w:rsidRPr="00FD7940">
        <w:t xml:space="preserve">Supreme Court of Canada / Cour </w:t>
      </w:r>
      <w:proofErr w:type="spellStart"/>
      <w:r w:rsidRPr="00FD7940">
        <w:t>suprême</w:t>
      </w:r>
      <w:proofErr w:type="spellEnd"/>
      <w:r w:rsidRPr="00FD7940">
        <w:t xml:space="preserve"> du Canada : </w:t>
      </w:r>
    </w:p>
    <w:p w:rsidR="001C4415" w:rsidRPr="00A83C7E" w:rsidRDefault="002423AA" w:rsidP="001C4415">
      <w:pPr>
        <w:widowControl w:val="0"/>
        <w:outlineLvl w:val="0"/>
        <w:rPr>
          <w:color w:val="0000FF"/>
          <w:u w:val="single"/>
        </w:rPr>
      </w:pPr>
      <w:hyperlink r:id="rId7" w:history="1">
        <w:r w:rsidR="001C4415" w:rsidRPr="00FD7940">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EC6682">
        <w:t>-</w:t>
      </w:r>
      <w:r w:rsidR="0036476C" w:rsidRPr="0036476C">
        <w:t xml:space="preserve"> </w:t>
      </w:r>
    </w:p>
    <w:sectPr w:rsidR="0036476C"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82" w:rsidRDefault="00EC6682">
      <w:r>
        <w:separator/>
      </w:r>
    </w:p>
  </w:endnote>
  <w:endnote w:type="continuationSeparator" w:id="0">
    <w:p w:rsidR="00EC6682" w:rsidRDefault="00EC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2" w:rsidRDefault="00EC6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2" w:rsidRDefault="00EC6682">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2" w:rsidRDefault="00EC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82" w:rsidRDefault="00EC6682">
      <w:r>
        <w:separator/>
      </w:r>
    </w:p>
  </w:footnote>
  <w:footnote w:type="continuationSeparator" w:id="0">
    <w:p w:rsidR="00EC6682" w:rsidRDefault="00EC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2" w:rsidRDefault="00EC6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2" w:rsidRDefault="00EC6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2" w:rsidRDefault="00EC6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71AA"/>
    <w:rsid w:val="001C0462"/>
    <w:rsid w:val="001C187A"/>
    <w:rsid w:val="001C3E08"/>
    <w:rsid w:val="001C4415"/>
    <w:rsid w:val="001C6FEC"/>
    <w:rsid w:val="001D3579"/>
    <w:rsid w:val="001E4A60"/>
    <w:rsid w:val="001E5E23"/>
    <w:rsid w:val="001E70CD"/>
    <w:rsid w:val="001F27D7"/>
    <w:rsid w:val="001F57C9"/>
    <w:rsid w:val="001F7F62"/>
    <w:rsid w:val="002001C7"/>
    <w:rsid w:val="002029F5"/>
    <w:rsid w:val="00203F40"/>
    <w:rsid w:val="00205278"/>
    <w:rsid w:val="00207AAB"/>
    <w:rsid w:val="00207BC4"/>
    <w:rsid w:val="00211F62"/>
    <w:rsid w:val="00214729"/>
    <w:rsid w:val="002160B0"/>
    <w:rsid w:val="00221703"/>
    <w:rsid w:val="00226AE8"/>
    <w:rsid w:val="00234B46"/>
    <w:rsid w:val="00235A05"/>
    <w:rsid w:val="002404C4"/>
    <w:rsid w:val="00241C35"/>
    <w:rsid w:val="00241F69"/>
    <w:rsid w:val="002423AA"/>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2854"/>
    <w:rsid w:val="004F3FB9"/>
    <w:rsid w:val="00504582"/>
    <w:rsid w:val="0051130D"/>
    <w:rsid w:val="0051320D"/>
    <w:rsid w:val="00520A3C"/>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2930"/>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2F05"/>
    <w:rsid w:val="00975F1B"/>
    <w:rsid w:val="00976E20"/>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A3B3C"/>
    <w:rsid w:val="00AB4EFD"/>
    <w:rsid w:val="00AB6E49"/>
    <w:rsid w:val="00AB76F5"/>
    <w:rsid w:val="00AC1EBB"/>
    <w:rsid w:val="00AC29C3"/>
    <w:rsid w:val="00AC4C6F"/>
    <w:rsid w:val="00AD28E3"/>
    <w:rsid w:val="00AE57A4"/>
    <w:rsid w:val="00AE77AE"/>
    <w:rsid w:val="00AF232B"/>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00F2"/>
    <w:rsid w:val="00C51144"/>
    <w:rsid w:val="00C54C7F"/>
    <w:rsid w:val="00C56239"/>
    <w:rsid w:val="00C56B06"/>
    <w:rsid w:val="00C724D2"/>
    <w:rsid w:val="00C7692E"/>
    <w:rsid w:val="00C76C3D"/>
    <w:rsid w:val="00C77D60"/>
    <w:rsid w:val="00C80CE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6682"/>
    <w:rsid w:val="00EC79B0"/>
    <w:rsid w:val="00ED1C3A"/>
    <w:rsid w:val="00ED2D18"/>
    <w:rsid w:val="00ED4D5F"/>
    <w:rsid w:val="00ED67B7"/>
    <w:rsid w:val="00EE1079"/>
    <w:rsid w:val="00EE1D6B"/>
    <w:rsid w:val="00EE77E0"/>
    <w:rsid w:val="00EF0BD7"/>
    <w:rsid w:val="00EF447F"/>
    <w:rsid w:val="00EF778F"/>
    <w:rsid w:val="00EF7999"/>
    <w:rsid w:val="00F006DA"/>
    <w:rsid w:val="00F020DF"/>
    <w:rsid w:val="00F05B65"/>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D7940"/>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1985085">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6054</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2015-06-15T15:09:00Z</dcterms:created>
  <dcterms:modified xsi:type="dcterms:W3CDTF">2015-11-27T16:05:00Z</dcterms:modified>
</cp:coreProperties>
</file>