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7E6328" w:rsidRDefault="001C4415" w:rsidP="001C4415">
      <w:pPr>
        <w:pStyle w:val="Header"/>
        <w:jc w:val="center"/>
        <w:rPr>
          <w:b/>
          <w:sz w:val="32"/>
        </w:rPr>
      </w:pPr>
      <w:bookmarkStart w:id="0" w:name="_GoBack"/>
      <w:bookmarkEnd w:id="0"/>
      <w:r w:rsidRPr="007E6328">
        <w:rPr>
          <w:b/>
          <w:sz w:val="32"/>
        </w:rPr>
        <w:t xml:space="preserve">Supreme Court of Canada / Cour </w:t>
      </w:r>
      <w:proofErr w:type="spellStart"/>
      <w:r w:rsidRPr="007E6328">
        <w:rPr>
          <w:b/>
          <w:sz w:val="32"/>
        </w:rPr>
        <w:t>suprême</w:t>
      </w:r>
      <w:proofErr w:type="spellEnd"/>
      <w:r w:rsidRPr="007E6328">
        <w:rPr>
          <w:b/>
          <w:sz w:val="32"/>
        </w:rPr>
        <w:t xml:space="preserve"> du Canada</w:t>
      </w:r>
    </w:p>
    <w:p w:rsidR="001C4415" w:rsidRPr="007E6328" w:rsidRDefault="001C4415" w:rsidP="001C4415">
      <w:pPr>
        <w:widowControl w:val="0"/>
        <w:rPr>
          <w:i/>
        </w:rPr>
      </w:pPr>
    </w:p>
    <w:p w:rsidR="001C4415" w:rsidRPr="007E6328" w:rsidRDefault="001C4415" w:rsidP="001C4415">
      <w:pPr>
        <w:widowControl w:val="0"/>
        <w:rPr>
          <w:i/>
        </w:rPr>
      </w:pPr>
    </w:p>
    <w:p w:rsidR="001C4415" w:rsidRPr="007E6328" w:rsidRDefault="001C4415" w:rsidP="001C4415">
      <w:pPr>
        <w:widowControl w:val="0"/>
        <w:rPr>
          <w:i/>
        </w:rPr>
      </w:pPr>
      <w:r w:rsidRPr="007E6328">
        <w:rPr>
          <w:i/>
        </w:rPr>
        <w:t xml:space="preserve">(le </w:t>
      </w:r>
      <w:proofErr w:type="spellStart"/>
      <w:r w:rsidRPr="007E6328">
        <w:rPr>
          <w:i/>
        </w:rPr>
        <w:t>français</w:t>
      </w:r>
      <w:proofErr w:type="spellEnd"/>
      <w:r w:rsidRPr="007E6328">
        <w:rPr>
          <w:i/>
        </w:rPr>
        <w:t xml:space="preserve"> suit)</w:t>
      </w:r>
    </w:p>
    <w:p w:rsidR="001C4415" w:rsidRPr="007E6328" w:rsidRDefault="001C4415" w:rsidP="001C4415">
      <w:pPr>
        <w:widowControl w:val="0"/>
      </w:pPr>
    </w:p>
    <w:p w:rsidR="001C4415" w:rsidRPr="007E6328" w:rsidRDefault="000D08CC" w:rsidP="00214729">
      <w:pPr>
        <w:widowControl w:val="0"/>
        <w:jc w:val="center"/>
        <w:rPr>
          <w:b/>
        </w:rPr>
      </w:pPr>
      <w:r w:rsidRPr="007E6328">
        <w:fldChar w:fldCharType="begin"/>
      </w:r>
      <w:r w:rsidR="00FA7412" w:rsidRPr="007E6328">
        <w:instrText xml:space="preserve"> SEQ CHAPTER \h \r 1</w:instrText>
      </w:r>
      <w:r w:rsidRPr="007E6328">
        <w:fldChar w:fldCharType="end"/>
      </w:r>
      <w:r w:rsidR="00455BB9" w:rsidRPr="007E6328">
        <w:rPr>
          <w:b/>
        </w:rPr>
        <w:t>JUDGMENT</w:t>
      </w:r>
      <w:r w:rsidR="00FA7412" w:rsidRPr="007E6328">
        <w:rPr>
          <w:b/>
        </w:rPr>
        <w:t xml:space="preserve"> TO BE RENDERED IN APPEAL</w:t>
      </w:r>
    </w:p>
    <w:p w:rsidR="005A7C1B" w:rsidRPr="007E6328" w:rsidRDefault="005A7C1B" w:rsidP="005A7C1B">
      <w:pPr>
        <w:widowControl w:val="0"/>
        <w:rPr>
          <w:b/>
        </w:rPr>
      </w:pPr>
    </w:p>
    <w:p w:rsidR="00EC79B0" w:rsidRPr="007E6328" w:rsidRDefault="00235A05" w:rsidP="00EC79B0">
      <w:pPr>
        <w:widowControl w:val="0"/>
        <w:rPr>
          <w:b/>
        </w:rPr>
      </w:pPr>
      <w:r w:rsidRPr="007E6328">
        <w:rPr>
          <w:b/>
        </w:rPr>
        <w:t>Ju</w:t>
      </w:r>
      <w:r w:rsidR="00524290" w:rsidRPr="007E6328">
        <w:rPr>
          <w:b/>
        </w:rPr>
        <w:t>ly 6</w:t>
      </w:r>
      <w:r w:rsidR="00EC79B0" w:rsidRPr="007E6328">
        <w:rPr>
          <w:b/>
        </w:rPr>
        <w:t>, 201</w:t>
      </w:r>
      <w:r w:rsidR="0086609D" w:rsidRPr="007E6328">
        <w:rPr>
          <w:b/>
        </w:rPr>
        <w:t>5</w:t>
      </w:r>
    </w:p>
    <w:p w:rsidR="00EC79B0" w:rsidRPr="007E6328" w:rsidRDefault="00EC79B0" w:rsidP="00EC79B0">
      <w:pPr>
        <w:widowControl w:val="0"/>
        <w:rPr>
          <w:b/>
        </w:rPr>
      </w:pPr>
      <w:r w:rsidRPr="007E6328">
        <w:rPr>
          <w:b/>
        </w:rPr>
        <w:t>For immediate release</w:t>
      </w:r>
    </w:p>
    <w:p w:rsidR="00EC79B0" w:rsidRPr="007E6328" w:rsidRDefault="00EC79B0" w:rsidP="00EC79B0">
      <w:pPr>
        <w:widowControl w:val="0"/>
      </w:pPr>
    </w:p>
    <w:p w:rsidR="00EC79B0" w:rsidRPr="007E6328" w:rsidRDefault="00EC79B0" w:rsidP="00EC79B0">
      <w:pPr>
        <w:widowControl w:val="0"/>
        <w:rPr>
          <w:lang w:val="fr-CA"/>
        </w:rPr>
      </w:pPr>
      <w:r w:rsidRPr="007E6328">
        <w:rPr>
          <w:b/>
        </w:rPr>
        <w:t>OTTAWA</w:t>
      </w:r>
      <w:r w:rsidRPr="007E6328">
        <w:t xml:space="preserve"> – The Supreme Court of Canad</w:t>
      </w:r>
      <w:r w:rsidR="00455BB9" w:rsidRPr="007E6328">
        <w:t>a announced today that judgment</w:t>
      </w:r>
      <w:r w:rsidRPr="007E6328">
        <w:t xml:space="preserve"> in the following appeal</w:t>
      </w:r>
      <w:r w:rsidR="00A80C95" w:rsidRPr="007E6328">
        <w:t xml:space="preserve"> </w:t>
      </w:r>
      <w:r w:rsidRPr="007E6328">
        <w:t>will be delivered at 9:45 a.m. E</w:t>
      </w:r>
      <w:r w:rsidR="00E63199" w:rsidRPr="007E6328">
        <w:t>D</w:t>
      </w:r>
      <w:r w:rsidR="00DC6C1E" w:rsidRPr="007E6328">
        <w:t>T</w:t>
      </w:r>
      <w:r w:rsidR="00D74667" w:rsidRPr="007E6328">
        <w:t xml:space="preserve"> on</w:t>
      </w:r>
      <w:r w:rsidR="00DC6C1E" w:rsidRPr="007E6328">
        <w:t xml:space="preserve"> </w:t>
      </w:r>
      <w:r w:rsidR="001B6B63" w:rsidRPr="007E6328">
        <w:t>Thurs</w:t>
      </w:r>
      <w:r w:rsidR="00164196" w:rsidRPr="007E6328">
        <w:t>day</w:t>
      </w:r>
      <w:r w:rsidR="007E79BD" w:rsidRPr="007E6328">
        <w:t xml:space="preserve">, </w:t>
      </w:r>
      <w:r w:rsidR="00235A05" w:rsidRPr="007E6328">
        <w:t>Ju</w:t>
      </w:r>
      <w:r w:rsidR="00524290" w:rsidRPr="007E6328">
        <w:t>ly</w:t>
      </w:r>
      <w:r w:rsidR="00235A05" w:rsidRPr="007E6328">
        <w:t xml:space="preserve"> </w:t>
      </w:r>
      <w:r w:rsidR="00524290" w:rsidRPr="007E6328">
        <w:t>9</w:t>
      </w:r>
      <w:r w:rsidR="007E79BD" w:rsidRPr="007E6328">
        <w:t>,</w:t>
      </w:r>
      <w:r w:rsidR="00E63199" w:rsidRPr="007E6328">
        <w:t xml:space="preserve"> 2</w:t>
      </w:r>
      <w:r w:rsidR="0086609D" w:rsidRPr="007E6328">
        <w:t>015</w:t>
      </w:r>
      <w:r w:rsidR="00455BB9" w:rsidRPr="007E6328">
        <w:t xml:space="preserve">.  </w:t>
      </w:r>
      <w:r w:rsidR="00455BB9" w:rsidRPr="007E6328">
        <w:rPr>
          <w:lang w:val="fr-CA"/>
        </w:rPr>
        <w:t>This</w:t>
      </w:r>
      <w:r w:rsidRPr="007E6328">
        <w:rPr>
          <w:lang w:val="fr-CA"/>
        </w:rPr>
        <w:t xml:space="preserve"> list is subject to change.</w:t>
      </w:r>
    </w:p>
    <w:p w:rsidR="001C4415" w:rsidRPr="007E6328" w:rsidRDefault="001C4415" w:rsidP="001C4415">
      <w:pPr>
        <w:widowControl w:val="0"/>
        <w:rPr>
          <w:lang w:val="fr-CA"/>
        </w:rPr>
      </w:pPr>
    </w:p>
    <w:p w:rsidR="001C4415" w:rsidRPr="007E6328" w:rsidRDefault="001C4415" w:rsidP="001C4415">
      <w:pPr>
        <w:widowControl w:val="0"/>
        <w:rPr>
          <w:lang w:val="fr-CA"/>
        </w:rPr>
      </w:pPr>
    </w:p>
    <w:p w:rsidR="001335A1" w:rsidRPr="007E6328" w:rsidRDefault="001335A1" w:rsidP="001335A1">
      <w:pPr>
        <w:widowControl w:val="0"/>
        <w:jc w:val="center"/>
        <w:rPr>
          <w:b/>
          <w:lang w:val="fr-CA"/>
        </w:rPr>
      </w:pPr>
      <w:r w:rsidRPr="007E6328">
        <w:rPr>
          <w:b/>
          <w:lang w:val="fr-CA"/>
        </w:rPr>
        <w:t>PROCHAIN JUGEMENT</w:t>
      </w:r>
      <w:r w:rsidR="00455BB9" w:rsidRPr="007E6328">
        <w:rPr>
          <w:b/>
          <w:lang w:val="fr-CA"/>
        </w:rPr>
        <w:t xml:space="preserve"> SUR APPEL</w:t>
      </w:r>
    </w:p>
    <w:p w:rsidR="001335A1" w:rsidRPr="007E6328" w:rsidRDefault="001335A1" w:rsidP="001335A1">
      <w:pPr>
        <w:widowControl w:val="0"/>
        <w:rPr>
          <w:lang w:val="fr-CA"/>
        </w:rPr>
      </w:pPr>
    </w:p>
    <w:p w:rsidR="00EC79B0" w:rsidRPr="007E6328" w:rsidRDefault="00EC79B0" w:rsidP="00EC79B0">
      <w:pPr>
        <w:widowControl w:val="0"/>
        <w:rPr>
          <w:b/>
          <w:lang w:val="fr-CA"/>
        </w:rPr>
      </w:pPr>
      <w:r w:rsidRPr="007E6328">
        <w:rPr>
          <w:b/>
          <w:lang w:val="fr-CA"/>
        </w:rPr>
        <w:t xml:space="preserve">Le </w:t>
      </w:r>
      <w:r w:rsidR="00524290" w:rsidRPr="007E6328">
        <w:rPr>
          <w:b/>
          <w:lang w:val="fr-CA"/>
        </w:rPr>
        <w:t>6</w:t>
      </w:r>
      <w:r w:rsidR="00235A05" w:rsidRPr="007E6328">
        <w:rPr>
          <w:b/>
          <w:lang w:val="fr-CA"/>
        </w:rPr>
        <w:t xml:space="preserve"> jui</w:t>
      </w:r>
      <w:r w:rsidR="00524290" w:rsidRPr="007E6328">
        <w:rPr>
          <w:b/>
          <w:lang w:val="fr-CA"/>
        </w:rPr>
        <w:t>llet</w:t>
      </w:r>
      <w:r w:rsidR="00235A05" w:rsidRPr="007E6328">
        <w:rPr>
          <w:b/>
          <w:lang w:val="fr-CA"/>
        </w:rPr>
        <w:t xml:space="preserve"> </w:t>
      </w:r>
      <w:r w:rsidR="0086609D" w:rsidRPr="007E6328">
        <w:rPr>
          <w:b/>
          <w:lang w:val="fr-CA"/>
        </w:rPr>
        <w:t>2015</w:t>
      </w:r>
    </w:p>
    <w:p w:rsidR="00EC79B0" w:rsidRPr="007E6328" w:rsidRDefault="00EC79B0" w:rsidP="00EC79B0">
      <w:pPr>
        <w:widowControl w:val="0"/>
        <w:rPr>
          <w:b/>
          <w:lang w:val="fr-CA"/>
        </w:rPr>
      </w:pPr>
      <w:r w:rsidRPr="007E6328">
        <w:rPr>
          <w:b/>
          <w:lang w:val="fr-CA"/>
        </w:rPr>
        <w:t>Pour diffusion immédiate</w:t>
      </w:r>
    </w:p>
    <w:p w:rsidR="00EC79B0" w:rsidRPr="007E6328" w:rsidRDefault="00EC79B0" w:rsidP="00EC79B0">
      <w:pPr>
        <w:widowControl w:val="0"/>
        <w:rPr>
          <w:b/>
          <w:lang w:val="fr-CA"/>
        </w:rPr>
      </w:pPr>
    </w:p>
    <w:p w:rsidR="00EC79B0" w:rsidRPr="007E6328" w:rsidRDefault="00EC79B0" w:rsidP="00EC79B0">
      <w:pPr>
        <w:widowControl w:val="0"/>
      </w:pPr>
      <w:r w:rsidRPr="007E6328">
        <w:rPr>
          <w:b/>
          <w:lang w:val="fr-CA"/>
        </w:rPr>
        <w:t>OTTAWA</w:t>
      </w:r>
      <w:r w:rsidRPr="007E6328">
        <w:rPr>
          <w:lang w:val="fr-CA"/>
        </w:rPr>
        <w:t xml:space="preserve"> – La Cour suprême du Canada annonce que jugement sera rendu dans l</w:t>
      </w:r>
      <w:r w:rsidR="00A80C95" w:rsidRPr="007E6328">
        <w:rPr>
          <w:lang w:val="fr-CA"/>
        </w:rPr>
        <w:t>’</w:t>
      </w:r>
      <w:r w:rsidRPr="007E6328">
        <w:rPr>
          <w:lang w:val="fr-CA"/>
        </w:rPr>
        <w:t xml:space="preserve">appel suivant </w:t>
      </w:r>
      <w:r w:rsidR="00C56239" w:rsidRPr="007E6328">
        <w:rPr>
          <w:lang w:val="fr-CA"/>
        </w:rPr>
        <w:t xml:space="preserve">le </w:t>
      </w:r>
      <w:r w:rsidR="001B6B63" w:rsidRPr="007E6328">
        <w:rPr>
          <w:lang w:val="fr-CA"/>
        </w:rPr>
        <w:t>jeu</w:t>
      </w:r>
      <w:r w:rsidR="00203F40" w:rsidRPr="007E6328">
        <w:rPr>
          <w:lang w:val="fr-CA"/>
        </w:rPr>
        <w:t>di</w:t>
      </w:r>
      <w:r w:rsidR="002001C7" w:rsidRPr="007E6328">
        <w:rPr>
          <w:lang w:val="fr-CA"/>
        </w:rPr>
        <w:t xml:space="preserve"> </w:t>
      </w:r>
      <w:r w:rsidR="00524290" w:rsidRPr="007E6328">
        <w:rPr>
          <w:lang w:val="fr-CA"/>
        </w:rPr>
        <w:t>9</w:t>
      </w:r>
      <w:r w:rsidR="00235A05" w:rsidRPr="007E6328">
        <w:rPr>
          <w:lang w:val="fr-CA"/>
        </w:rPr>
        <w:t xml:space="preserve"> jui</w:t>
      </w:r>
      <w:r w:rsidR="00524290" w:rsidRPr="007E6328">
        <w:rPr>
          <w:lang w:val="fr-CA"/>
        </w:rPr>
        <w:t>llet</w:t>
      </w:r>
      <w:r w:rsidR="00C56239" w:rsidRPr="007E6328">
        <w:rPr>
          <w:lang w:val="fr-CA"/>
        </w:rPr>
        <w:t xml:space="preserve"> </w:t>
      </w:r>
      <w:r w:rsidRPr="007E6328">
        <w:rPr>
          <w:lang w:val="fr-CA"/>
        </w:rPr>
        <w:t>201</w:t>
      </w:r>
      <w:r w:rsidR="0086609D" w:rsidRPr="007E6328">
        <w:rPr>
          <w:lang w:val="fr-CA"/>
        </w:rPr>
        <w:t>5</w:t>
      </w:r>
      <w:r w:rsidRPr="007E6328">
        <w:rPr>
          <w:lang w:val="fr-CA"/>
        </w:rPr>
        <w:t>, à 9 h 45 H</w:t>
      </w:r>
      <w:r w:rsidR="00E63199" w:rsidRPr="007E6328">
        <w:rPr>
          <w:lang w:val="fr-CA"/>
        </w:rPr>
        <w:t>A</w:t>
      </w:r>
      <w:r w:rsidRPr="007E6328">
        <w:rPr>
          <w:lang w:val="fr-CA"/>
        </w:rPr>
        <w:t xml:space="preserve">E.  </w:t>
      </w:r>
      <w:r w:rsidRPr="007E6328">
        <w:t>Cette liste est sujette à modifications.</w:t>
      </w:r>
    </w:p>
    <w:p w:rsidR="001335A1" w:rsidRPr="007E6328" w:rsidRDefault="001335A1" w:rsidP="001335A1">
      <w:pPr>
        <w:widowControl w:val="0"/>
        <w:outlineLvl w:val="0"/>
        <w:rPr>
          <w:szCs w:val="24"/>
        </w:rPr>
      </w:pPr>
    </w:p>
    <w:p w:rsidR="001335A1" w:rsidRPr="007E6328" w:rsidRDefault="00DC4E74" w:rsidP="001335A1">
      <w:pPr>
        <w:widowControl w:val="0"/>
        <w:rPr>
          <w:sz w:val="20"/>
        </w:rPr>
      </w:pPr>
      <w:r>
        <w:rPr>
          <w:noProof/>
          <w:sz w:val="20"/>
        </w:rPr>
        <w:pict>
          <v:shapetype id="_x0000_t32" coordsize="21600,21600" o:spt="32" o:oned="t" path="m,l21600,21600e" filled="f">
            <v:path arrowok="t" fillok="f" o:connecttype="none"/>
            <o:lock v:ext="edit" shapetype="t"/>
          </v:shapetype>
          <v:shape id="_x0000_s1031" type="#_x0000_t32" style="position:absolute;margin-left:0;margin-top:7.25pt;width:246.95pt;height:0;z-index:251657728;mso-position-horizontal:center;mso-position-horizontal-relative:margin" o:connectortype="straight">
            <w10:wrap anchorx="margin"/>
          </v:shape>
        </w:pict>
      </w:r>
    </w:p>
    <w:p w:rsidR="00E674FF" w:rsidRPr="007E6328" w:rsidRDefault="00E674FF" w:rsidP="00EC79B0">
      <w:pPr>
        <w:jc w:val="both"/>
        <w:rPr>
          <w:szCs w:val="24"/>
        </w:rPr>
      </w:pPr>
    </w:p>
    <w:p w:rsidR="00524290" w:rsidRPr="007E6328" w:rsidRDefault="00524290" w:rsidP="00524290">
      <w:pPr>
        <w:tabs>
          <w:tab w:val="center" w:pos="4680"/>
        </w:tabs>
      </w:pPr>
      <w:r w:rsidRPr="007E6328">
        <w:rPr>
          <w:i/>
        </w:rPr>
        <w:t>Robert T. Strickland et al. v. Attorney General of Canada</w:t>
      </w:r>
      <w:r w:rsidRPr="007E6328">
        <w:t xml:space="preserve"> (F.C.) (</w:t>
      </w:r>
      <w:hyperlink r:id="rId7" w:history="1">
        <w:r w:rsidRPr="007E6328">
          <w:rPr>
            <w:rStyle w:val="Hyperlink"/>
          </w:rPr>
          <w:t>35808</w:t>
        </w:r>
      </w:hyperlink>
      <w:r w:rsidRPr="007E6328">
        <w:t>)</w:t>
      </w:r>
    </w:p>
    <w:p w:rsidR="00E674FF" w:rsidRPr="007E6328" w:rsidRDefault="00E674FF" w:rsidP="00EC79B0">
      <w:pPr>
        <w:jc w:val="both"/>
        <w:rPr>
          <w:szCs w:val="24"/>
        </w:rPr>
      </w:pPr>
    </w:p>
    <w:p w:rsidR="00524290" w:rsidRPr="007E6328" w:rsidRDefault="00524290" w:rsidP="00EC79B0">
      <w:pPr>
        <w:jc w:val="both"/>
        <w:rPr>
          <w:sz w:val="20"/>
        </w:rPr>
      </w:pPr>
    </w:p>
    <w:bookmarkStart w:id="1" w:name="1"/>
    <w:bookmarkEnd w:id="1"/>
    <w:p w:rsidR="00C91D5F" w:rsidRPr="007E6328" w:rsidRDefault="000D08CC" w:rsidP="00C91D5F">
      <w:pPr>
        <w:widowControl w:val="0"/>
        <w:ind w:left="720" w:hanging="720"/>
        <w:jc w:val="both"/>
        <w:rPr>
          <w:sz w:val="20"/>
          <w:lang w:val="en-CA"/>
        </w:rPr>
      </w:pPr>
      <w:r w:rsidRPr="007E6328">
        <w:rPr>
          <w:b/>
          <w:sz w:val="20"/>
          <w:lang w:val="en-CA"/>
        </w:rPr>
        <w:fldChar w:fldCharType="begin"/>
      </w:r>
      <w:r w:rsidR="00C91D5F" w:rsidRPr="007E6328">
        <w:rPr>
          <w:b/>
          <w:sz w:val="20"/>
        </w:rPr>
        <w:instrText xml:space="preserve"> SEQ CHAPTER \h \r 1</w:instrText>
      </w:r>
      <w:r w:rsidRPr="007E6328">
        <w:rPr>
          <w:b/>
          <w:sz w:val="20"/>
        </w:rPr>
        <w:fldChar w:fldCharType="end"/>
      </w:r>
      <w:r w:rsidR="00C91D5F" w:rsidRPr="007E6328">
        <w:rPr>
          <w:b/>
          <w:sz w:val="20"/>
          <w:lang w:val="en-CA"/>
        </w:rPr>
        <w:t>35808</w:t>
      </w:r>
      <w:r w:rsidR="00C91D5F" w:rsidRPr="007E6328">
        <w:rPr>
          <w:sz w:val="20"/>
          <w:lang w:val="en-CA"/>
        </w:rPr>
        <w:tab/>
      </w:r>
      <w:bookmarkStart w:id="2" w:name="3"/>
      <w:bookmarkEnd w:id="2"/>
      <w:r w:rsidR="00C91D5F" w:rsidRPr="007E6328">
        <w:rPr>
          <w:b/>
          <w:i/>
          <w:sz w:val="20"/>
          <w:lang w:val="en-CA"/>
        </w:rPr>
        <w:t xml:space="preserve">Robert T. Strickland, George </w:t>
      </w:r>
      <w:proofErr w:type="spellStart"/>
      <w:r w:rsidR="00C91D5F" w:rsidRPr="007E6328">
        <w:rPr>
          <w:b/>
          <w:i/>
          <w:sz w:val="20"/>
          <w:lang w:val="en-CA"/>
        </w:rPr>
        <w:t>Connon</w:t>
      </w:r>
      <w:proofErr w:type="spellEnd"/>
      <w:r w:rsidR="00C91D5F" w:rsidRPr="007E6328">
        <w:rPr>
          <w:b/>
          <w:i/>
          <w:sz w:val="20"/>
          <w:lang w:val="en-CA"/>
        </w:rPr>
        <w:t xml:space="preserve">, Roland Auer, </w:t>
      </w:r>
      <w:proofErr w:type="spellStart"/>
      <w:r w:rsidR="00C91D5F" w:rsidRPr="007E6328">
        <w:rPr>
          <w:b/>
          <w:i/>
          <w:sz w:val="20"/>
          <w:lang w:val="en-CA"/>
        </w:rPr>
        <w:t>Iwona</w:t>
      </w:r>
      <w:proofErr w:type="spellEnd"/>
      <w:r w:rsidR="00C91D5F" w:rsidRPr="007E6328">
        <w:rPr>
          <w:b/>
          <w:i/>
          <w:sz w:val="20"/>
          <w:lang w:val="en-CA"/>
        </w:rPr>
        <w:t xml:space="preserve"> Auer-</w:t>
      </w:r>
      <w:proofErr w:type="spellStart"/>
      <w:r w:rsidR="00C91D5F" w:rsidRPr="007E6328">
        <w:rPr>
          <w:b/>
          <w:i/>
          <w:sz w:val="20"/>
          <w:lang w:val="en-CA"/>
        </w:rPr>
        <w:t>Grzesiak</w:t>
      </w:r>
      <w:proofErr w:type="spellEnd"/>
      <w:r w:rsidR="00C91D5F" w:rsidRPr="007E6328">
        <w:rPr>
          <w:b/>
          <w:i/>
          <w:sz w:val="20"/>
          <w:lang w:val="en-CA"/>
        </w:rPr>
        <w:t>, Mark Auer and Vladimir Auer by his Litigation Representative Roland Auer v. The Attorney General of Canada</w:t>
      </w:r>
    </w:p>
    <w:p w:rsidR="00C91D5F" w:rsidRPr="007E6328" w:rsidRDefault="00C91D5F" w:rsidP="00C91D5F">
      <w:pPr>
        <w:widowControl w:val="0"/>
        <w:jc w:val="both"/>
        <w:rPr>
          <w:sz w:val="20"/>
          <w:lang w:val="en-CA"/>
        </w:rPr>
      </w:pPr>
    </w:p>
    <w:p w:rsidR="00C91D5F" w:rsidRPr="007E6328" w:rsidRDefault="00C91D5F" w:rsidP="00C91D5F">
      <w:pPr>
        <w:widowControl w:val="0"/>
        <w:jc w:val="both"/>
        <w:rPr>
          <w:sz w:val="20"/>
          <w:lang w:val="en-CA"/>
        </w:rPr>
      </w:pPr>
      <w:bookmarkStart w:id="3" w:name="QuickMark_1"/>
      <w:bookmarkEnd w:id="3"/>
      <w:r w:rsidRPr="007E6328">
        <w:rPr>
          <w:sz w:val="20"/>
          <w:lang w:val="en-CA"/>
        </w:rPr>
        <w:t xml:space="preserve">Administrative law - Judicial Review - Jurisdiction to review the validity of federal subordinate legislation on an administrative law basis - Scope of Federal Court discretion to decline jurisdiction - </w:t>
      </w:r>
      <w:r w:rsidRPr="007E6328">
        <w:rPr>
          <w:i/>
          <w:sz w:val="20"/>
          <w:lang w:val="en-CA"/>
        </w:rPr>
        <w:t>Federal Courts Act</w:t>
      </w:r>
      <w:r w:rsidRPr="007E6328">
        <w:rPr>
          <w:sz w:val="20"/>
          <w:lang w:val="en-CA"/>
        </w:rPr>
        <w:t xml:space="preserve">, R.S.C. 1985, c. F-7, ss. 18 and 18.1 - </w:t>
      </w:r>
      <w:r w:rsidRPr="007E6328">
        <w:rPr>
          <w:sz w:val="20"/>
        </w:rPr>
        <w:t xml:space="preserve">Did the courts below err in concluding that the provincial superior courts have concurrent jurisdiction over these proceedings? - Did the courts below err in using judicial discretion to override clear legislative intent? - </w:t>
      </w:r>
      <w:r w:rsidRPr="007E6328">
        <w:rPr>
          <w:sz w:val="20"/>
          <w:lang w:val="en-CA"/>
        </w:rPr>
        <w:t>Did the courts below err in concluding that the appellants had access to an adequate alternative remedy?</w:t>
      </w:r>
    </w:p>
    <w:p w:rsidR="00C91D5F" w:rsidRPr="007E6328" w:rsidRDefault="00C91D5F" w:rsidP="00C91D5F">
      <w:pPr>
        <w:widowControl w:val="0"/>
        <w:jc w:val="both"/>
        <w:rPr>
          <w:sz w:val="20"/>
          <w:lang w:val="en-CA"/>
        </w:rPr>
      </w:pPr>
    </w:p>
    <w:p w:rsidR="00C91D5F" w:rsidRPr="007E6328" w:rsidRDefault="00C91D5F" w:rsidP="00C91D5F">
      <w:pPr>
        <w:widowControl w:val="0"/>
        <w:jc w:val="both"/>
        <w:rPr>
          <w:sz w:val="20"/>
          <w:lang w:val="en-CA"/>
        </w:rPr>
      </w:pPr>
      <w:r w:rsidRPr="007E6328">
        <w:rPr>
          <w:sz w:val="20"/>
          <w:lang w:val="en-CA"/>
        </w:rPr>
        <w:t xml:space="preserve">The appellants brought an application for judicial review in the Federal Court seeking to have the </w:t>
      </w:r>
      <w:r w:rsidRPr="007E6328">
        <w:rPr>
          <w:i/>
          <w:sz w:val="20"/>
          <w:lang w:val="en-CA"/>
        </w:rPr>
        <w:t>Federal Child Support Guidelines</w:t>
      </w:r>
      <w:r w:rsidRPr="007E6328">
        <w:rPr>
          <w:sz w:val="20"/>
          <w:lang w:val="en-CA"/>
        </w:rPr>
        <w:t>, SOR/97-175 (“</w:t>
      </w:r>
      <w:r w:rsidRPr="007E6328">
        <w:rPr>
          <w:i/>
          <w:sz w:val="20"/>
          <w:lang w:val="en-CA"/>
        </w:rPr>
        <w:t>Guidelines</w:t>
      </w:r>
      <w:r w:rsidRPr="007E6328">
        <w:rPr>
          <w:sz w:val="20"/>
          <w:lang w:val="en-CA"/>
        </w:rPr>
        <w:t xml:space="preserve">”), declared </w:t>
      </w:r>
      <w:r w:rsidRPr="007E6328">
        <w:rPr>
          <w:i/>
          <w:sz w:val="20"/>
          <w:lang w:val="en-CA"/>
        </w:rPr>
        <w:t>ultra vires</w:t>
      </w:r>
      <w:r w:rsidRPr="007E6328">
        <w:rPr>
          <w:sz w:val="20"/>
          <w:lang w:val="en-CA"/>
        </w:rPr>
        <w:t xml:space="preserve"> the </w:t>
      </w:r>
      <w:r w:rsidRPr="007E6328">
        <w:rPr>
          <w:i/>
          <w:sz w:val="20"/>
          <w:lang w:val="en-CA"/>
        </w:rPr>
        <w:t>Divorce Act</w:t>
      </w:r>
      <w:r w:rsidRPr="007E6328">
        <w:rPr>
          <w:sz w:val="20"/>
          <w:lang w:val="en-CA"/>
        </w:rPr>
        <w:t>, R.S.C. 1985, c. 3 (2</w:t>
      </w:r>
      <w:r w:rsidRPr="007E6328">
        <w:rPr>
          <w:sz w:val="20"/>
          <w:vertAlign w:val="superscript"/>
          <w:lang w:val="en-CA"/>
        </w:rPr>
        <w:t>nd</w:t>
      </w:r>
      <w:r w:rsidRPr="007E6328">
        <w:rPr>
          <w:sz w:val="20"/>
          <w:lang w:val="en-CA"/>
        </w:rPr>
        <w:t xml:space="preserve"> Supp). The Federal Court dismissed the application for judicial review for several reasons. First, all but one of the appellants lacked standing to bring the application. Second, the application constituted, in the court’s view, an impermissible collateral attack and an abuse of process in the case of one of the appellants. Finally, the Federal Court was not the appropriate forum in which to address the issue, given the minor role the court plays in issues under the </w:t>
      </w:r>
      <w:r w:rsidRPr="007E6328">
        <w:rPr>
          <w:i/>
          <w:sz w:val="20"/>
          <w:lang w:val="en-CA"/>
        </w:rPr>
        <w:t>Divorce Act</w:t>
      </w:r>
      <w:r w:rsidRPr="007E6328">
        <w:rPr>
          <w:sz w:val="20"/>
          <w:lang w:val="en-CA"/>
        </w:rPr>
        <w:t xml:space="preserve"> and the breadth of the jurisdiction and expertise of the provincial superior courts in matters related to divorce and child support. The Federal Court of Appeal dismissed the appeal.</w:t>
      </w:r>
    </w:p>
    <w:p w:rsidR="00C91D5F" w:rsidRPr="007E6328" w:rsidRDefault="00C91D5F" w:rsidP="00C91D5F">
      <w:pPr>
        <w:widowControl w:val="0"/>
        <w:jc w:val="both"/>
        <w:rPr>
          <w:sz w:val="20"/>
          <w:lang w:val="en-CA"/>
        </w:rPr>
      </w:pPr>
    </w:p>
    <w:p w:rsidR="00C91D5F" w:rsidRPr="007E6328" w:rsidRDefault="00C91D5F" w:rsidP="00C91D5F">
      <w:pPr>
        <w:widowControl w:val="0"/>
        <w:jc w:val="both"/>
        <w:rPr>
          <w:sz w:val="20"/>
          <w:lang w:val="en-CA"/>
        </w:rPr>
      </w:pPr>
    </w:p>
    <w:p w:rsidR="00C91D5F" w:rsidRPr="007E6328" w:rsidRDefault="00C91D5F" w:rsidP="00C91D5F">
      <w:pPr>
        <w:widowControl w:val="0"/>
        <w:jc w:val="both"/>
        <w:rPr>
          <w:sz w:val="20"/>
          <w:lang w:val="en-CA"/>
        </w:rPr>
      </w:pPr>
      <w:r w:rsidRPr="007E6328">
        <w:rPr>
          <w:sz w:val="20"/>
          <w:lang w:val="en-CA"/>
        </w:rPr>
        <w:t>Origin of the case:</w:t>
      </w:r>
      <w:r w:rsidRPr="007E6328">
        <w:rPr>
          <w:sz w:val="20"/>
          <w:lang w:val="en-CA"/>
        </w:rPr>
        <w:tab/>
      </w:r>
      <w:r w:rsidR="006F5838" w:rsidRPr="007E6328">
        <w:rPr>
          <w:sz w:val="20"/>
          <w:lang w:val="en-CA"/>
        </w:rPr>
        <w:tab/>
      </w:r>
      <w:r w:rsidRPr="007E6328">
        <w:rPr>
          <w:sz w:val="20"/>
          <w:lang w:val="en-CA"/>
        </w:rPr>
        <w:tab/>
      </w:r>
      <w:r w:rsidRPr="007E6328">
        <w:rPr>
          <w:sz w:val="20"/>
          <w:lang w:val="en-CA"/>
        </w:rPr>
        <w:tab/>
      </w:r>
      <w:bookmarkStart w:id="4" w:name="4"/>
      <w:bookmarkEnd w:id="4"/>
      <w:r w:rsidRPr="007E6328">
        <w:rPr>
          <w:sz w:val="20"/>
          <w:lang w:val="en-CA"/>
        </w:rPr>
        <w:t>Federal Court of Appeal</w:t>
      </w:r>
    </w:p>
    <w:p w:rsidR="00C91D5F" w:rsidRPr="007E6328" w:rsidRDefault="00C91D5F" w:rsidP="00C91D5F">
      <w:pPr>
        <w:widowControl w:val="0"/>
        <w:jc w:val="both"/>
        <w:rPr>
          <w:sz w:val="20"/>
          <w:lang w:val="en-CA"/>
        </w:rPr>
      </w:pPr>
    </w:p>
    <w:p w:rsidR="00C91D5F" w:rsidRPr="007E6328" w:rsidRDefault="00C91D5F" w:rsidP="00C91D5F">
      <w:pPr>
        <w:widowControl w:val="0"/>
        <w:jc w:val="both"/>
        <w:rPr>
          <w:sz w:val="20"/>
          <w:lang w:val="en-CA"/>
        </w:rPr>
      </w:pPr>
      <w:r w:rsidRPr="007E6328">
        <w:rPr>
          <w:sz w:val="20"/>
          <w:lang w:val="en-CA"/>
        </w:rPr>
        <w:t>File No.:</w:t>
      </w:r>
      <w:r w:rsidRPr="007E6328">
        <w:rPr>
          <w:sz w:val="20"/>
          <w:lang w:val="en-CA"/>
        </w:rPr>
        <w:tab/>
      </w:r>
      <w:r w:rsidRPr="007E6328">
        <w:rPr>
          <w:sz w:val="20"/>
          <w:lang w:val="en-CA"/>
        </w:rPr>
        <w:tab/>
      </w:r>
      <w:r w:rsidRPr="007E6328">
        <w:rPr>
          <w:sz w:val="20"/>
          <w:lang w:val="en-CA"/>
        </w:rPr>
        <w:tab/>
      </w:r>
      <w:r w:rsidRPr="007E6328">
        <w:rPr>
          <w:sz w:val="20"/>
          <w:lang w:val="en-CA"/>
        </w:rPr>
        <w:tab/>
      </w:r>
      <w:bookmarkStart w:id="5" w:name="2"/>
      <w:bookmarkEnd w:id="5"/>
      <w:r w:rsidR="006F5838" w:rsidRPr="007E6328">
        <w:rPr>
          <w:sz w:val="20"/>
          <w:lang w:val="en-CA"/>
        </w:rPr>
        <w:tab/>
      </w:r>
      <w:r w:rsidR="006F5838" w:rsidRPr="007E6328">
        <w:rPr>
          <w:sz w:val="20"/>
          <w:lang w:val="en-CA"/>
        </w:rPr>
        <w:tab/>
      </w:r>
      <w:r w:rsidR="006F5838" w:rsidRPr="007E6328">
        <w:rPr>
          <w:sz w:val="20"/>
          <w:lang w:val="en-CA"/>
        </w:rPr>
        <w:tab/>
      </w:r>
      <w:r w:rsidRPr="007E6328">
        <w:rPr>
          <w:sz w:val="20"/>
          <w:lang w:val="en-CA"/>
        </w:rPr>
        <w:t>35808</w:t>
      </w:r>
    </w:p>
    <w:p w:rsidR="00C91D5F" w:rsidRPr="007E6328" w:rsidRDefault="00C91D5F" w:rsidP="00C91D5F">
      <w:pPr>
        <w:widowControl w:val="0"/>
        <w:jc w:val="both"/>
        <w:rPr>
          <w:sz w:val="20"/>
          <w:lang w:val="en-CA"/>
        </w:rPr>
      </w:pPr>
    </w:p>
    <w:p w:rsidR="00C91D5F" w:rsidRPr="007E6328" w:rsidRDefault="00C91D5F" w:rsidP="00C91D5F">
      <w:pPr>
        <w:widowControl w:val="0"/>
        <w:jc w:val="both"/>
        <w:rPr>
          <w:sz w:val="20"/>
          <w:lang w:val="en-CA"/>
        </w:rPr>
      </w:pPr>
      <w:r w:rsidRPr="007E6328">
        <w:rPr>
          <w:sz w:val="20"/>
          <w:lang w:val="en-CA"/>
        </w:rPr>
        <w:t>Judgment of the Court of Appeal:</w:t>
      </w:r>
      <w:r w:rsidRPr="007E6328">
        <w:rPr>
          <w:sz w:val="20"/>
          <w:lang w:val="en-CA"/>
        </w:rPr>
        <w:tab/>
      </w:r>
      <w:bookmarkStart w:id="6" w:name="5"/>
      <w:bookmarkEnd w:id="6"/>
      <w:r w:rsidRPr="007E6328">
        <w:rPr>
          <w:sz w:val="20"/>
          <w:lang w:val="en-CA"/>
        </w:rPr>
        <w:t>February 5, 2014</w:t>
      </w:r>
    </w:p>
    <w:p w:rsidR="00C91D5F" w:rsidRPr="007E6328" w:rsidRDefault="00C91D5F" w:rsidP="00C91D5F">
      <w:pPr>
        <w:widowControl w:val="0"/>
        <w:jc w:val="both"/>
        <w:rPr>
          <w:sz w:val="20"/>
          <w:lang w:val="en-CA"/>
        </w:rPr>
      </w:pPr>
    </w:p>
    <w:p w:rsidR="00C91D5F" w:rsidRPr="007E6328" w:rsidRDefault="00C91D5F" w:rsidP="00C91D5F">
      <w:pPr>
        <w:widowControl w:val="0"/>
        <w:jc w:val="both"/>
        <w:rPr>
          <w:sz w:val="20"/>
          <w:lang w:val="en-CA"/>
        </w:rPr>
      </w:pPr>
      <w:r w:rsidRPr="007E6328">
        <w:rPr>
          <w:sz w:val="20"/>
          <w:lang w:val="en-CA"/>
        </w:rPr>
        <w:t>Counsel:</w:t>
      </w:r>
      <w:r w:rsidRPr="007E6328">
        <w:rPr>
          <w:sz w:val="20"/>
          <w:lang w:val="en-CA"/>
        </w:rPr>
        <w:tab/>
      </w:r>
      <w:r w:rsidRPr="007E6328">
        <w:rPr>
          <w:sz w:val="20"/>
          <w:lang w:val="en-CA"/>
        </w:rPr>
        <w:tab/>
      </w:r>
      <w:r w:rsidRPr="007E6328">
        <w:rPr>
          <w:sz w:val="20"/>
          <w:lang w:val="en-CA"/>
        </w:rPr>
        <w:tab/>
      </w:r>
      <w:r w:rsidRPr="007E6328">
        <w:rPr>
          <w:sz w:val="20"/>
          <w:lang w:val="en-CA"/>
        </w:rPr>
        <w:tab/>
      </w:r>
      <w:bookmarkStart w:id="7" w:name="6"/>
      <w:bookmarkEnd w:id="7"/>
      <w:r w:rsidR="006F5838" w:rsidRPr="007E6328">
        <w:rPr>
          <w:sz w:val="20"/>
          <w:lang w:val="en-CA"/>
        </w:rPr>
        <w:tab/>
      </w:r>
      <w:r w:rsidR="006F5838" w:rsidRPr="007E6328">
        <w:rPr>
          <w:sz w:val="20"/>
          <w:lang w:val="en-CA"/>
        </w:rPr>
        <w:tab/>
      </w:r>
      <w:r w:rsidR="006F5838" w:rsidRPr="007E6328">
        <w:rPr>
          <w:sz w:val="20"/>
          <w:lang w:val="en-CA"/>
        </w:rPr>
        <w:tab/>
      </w:r>
      <w:r w:rsidRPr="007E6328">
        <w:rPr>
          <w:sz w:val="20"/>
          <w:lang w:val="en-CA"/>
        </w:rPr>
        <w:t>Glenn Solomon, Q.C. and Laura Warner for the appellants</w:t>
      </w:r>
    </w:p>
    <w:p w:rsidR="00C91D5F" w:rsidRPr="007E6328" w:rsidRDefault="00C91D5F" w:rsidP="006F5838">
      <w:pPr>
        <w:widowControl w:val="0"/>
        <w:jc w:val="both"/>
        <w:rPr>
          <w:sz w:val="20"/>
          <w:lang w:val="en-CA"/>
        </w:rPr>
      </w:pPr>
      <w:r w:rsidRPr="007E6328">
        <w:rPr>
          <w:sz w:val="20"/>
          <w:lang w:val="en-CA"/>
        </w:rPr>
        <w:tab/>
      </w:r>
      <w:bookmarkStart w:id="8" w:name="7"/>
      <w:bookmarkEnd w:id="8"/>
      <w:r w:rsidR="006F5838" w:rsidRPr="007E6328">
        <w:rPr>
          <w:sz w:val="20"/>
          <w:lang w:val="en-CA"/>
        </w:rPr>
        <w:tab/>
      </w:r>
      <w:r w:rsidR="006F5838" w:rsidRPr="007E6328">
        <w:rPr>
          <w:sz w:val="20"/>
          <w:lang w:val="en-CA"/>
        </w:rPr>
        <w:tab/>
      </w:r>
      <w:r w:rsidR="006F5838" w:rsidRPr="007E6328">
        <w:rPr>
          <w:sz w:val="20"/>
          <w:lang w:val="en-CA"/>
        </w:rPr>
        <w:tab/>
      </w:r>
      <w:r w:rsidR="006F5838" w:rsidRPr="007E6328">
        <w:rPr>
          <w:sz w:val="20"/>
          <w:lang w:val="en-CA"/>
        </w:rPr>
        <w:tab/>
      </w:r>
      <w:r w:rsidR="006F5838" w:rsidRPr="007E6328">
        <w:rPr>
          <w:sz w:val="20"/>
          <w:lang w:val="en-CA"/>
        </w:rPr>
        <w:tab/>
      </w:r>
      <w:r w:rsidR="006F5838" w:rsidRPr="007E6328">
        <w:rPr>
          <w:sz w:val="20"/>
          <w:lang w:val="en-CA"/>
        </w:rPr>
        <w:tab/>
      </w:r>
      <w:r w:rsidR="006F5838" w:rsidRPr="007E6328">
        <w:rPr>
          <w:sz w:val="20"/>
          <w:lang w:val="en-CA"/>
        </w:rPr>
        <w:tab/>
      </w:r>
      <w:r w:rsidRPr="007E6328">
        <w:rPr>
          <w:sz w:val="20"/>
          <w:lang w:val="en-CA"/>
        </w:rPr>
        <w:t>Anne M. Turley and Catherine Lawrence for the respondent</w:t>
      </w:r>
    </w:p>
    <w:p w:rsidR="00C91D5F" w:rsidRPr="007E6328" w:rsidRDefault="00C91D5F" w:rsidP="00EC79B0">
      <w:pPr>
        <w:jc w:val="both"/>
        <w:rPr>
          <w:sz w:val="20"/>
          <w:lang w:val="en-CA"/>
        </w:rPr>
      </w:pPr>
    </w:p>
    <w:p w:rsidR="00C91D5F" w:rsidRPr="007E6328" w:rsidRDefault="00C91D5F" w:rsidP="00EC79B0">
      <w:pPr>
        <w:jc w:val="both"/>
        <w:rPr>
          <w:sz w:val="20"/>
          <w:lang w:val="en-CA"/>
        </w:rPr>
      </w:pPr>
    </w:p>
    <w:p w:rsidR="00C91D5F" w:rsidRPr="007E6328" w:rsidRDefault="000D08CC" w:rsidP="00C91D5F">
      <w:pPr>
        <w:widowControl w:val="0"/>
        <w:ind w:left="720" w:hanging="720"/>
        <w:contextualSpacing/>
        <w:jc w:val="both"/>
        <w:rPr>
          <w:sz w:val="20"/>
          <w:lang w:val="fr-CA"/>
        </w:rPr>
      </w:pPr>
      <w:r w:rsidRPr="007E6328">
        <w:rPr>
          <w:b/>
          <w:sz w:val="20"/>
          <w:lang w:val="fr-CA"/>
        </w:rPr>
        <w:fldChar w:fldCharType="begin"/>
      </w:r>
      <w:r w:rsidR="00C91D5F" w:rsidRPr="007E6328">
        <w:rPr>
          <w:b/>
          <w:sz w:val="20"/>
          <w:lang w:val="fr-CA"/>
        </w:rPr>
        <w:instrText xml:space="preserve"> SEQ CHAPTER \h \r 1</w:instrText>
      </w:r>
      <w:r w:rsidRPr="007E6328">
        <w:rPr>
          <w:b/>
          <w:sz w:val="20"/>
          <w:lang w:val="fr-CA"/>
        </w:rPr>
        <w:fldChar w:fldCharType="end"/>
      </w:r>
      <w:r w:rsidR="00C91D5F" w:rsidRPr="007E6328">
        <w:rPr>
          <w:b/>
          <w:sz w:val="20"/>
          <w:lang w:val="fr-CA"/>
        </w:rPr>
        <w:t>35808</w:t>
      </w:r>
      <w:r w:rsidR="00C91D5F" w:rsidRPr="007E6328">
        <w:rPr>
          <w:sz w:val="20"/>
          <w:lang w:val="fr-CA"/>
        </w:rPr>
        <w:tab/>
      </w:r>
      <w:r w:rsidR="00C91D5F" w:rsidRPr="007E6328">
        <w:rPr>
          <w:b/>
          <w:i/>
          <w:sz w:val="20"/>
          <w:lang w:val="fr-CA"/>
        </w:rPr>
        <w:t xml:space="preserve">Robert T. Strickland, George </w:t>
      </w:r>
      <w:proofErr w:type="spellStart"/>
      <w:r w:rsidR="00C91D5F" w:rsidRPr="007E6328">
        <w:rPr>
          <w:b/>
          <w:i/>
          <w:sz w:val="20"/>
          <w:lang w:val="fr-CA"/>
        </w:rPr>
        <w:t>Connon</w:t>
      </w:r>
      <w:proofErr w:type="spellEnd"/>
      <w:r w:rsidR="00C91D5F" w:rsidRPr="007E6328">
        <w:rPr>
          <w:b/>
          <w:i/>
          <w:sz w:val="20"/>
          <w:lang w:val="fr-CA"/>
        </w:rPr>
        <w:t xml:space="preserve">, Roland Auer, </w:t>
      </w:r>
      <w:proofErr w:type="spellStart"/>
      <w:r w:rsidR="00C91D5F" w:rsidRPr="007E6328">
        <w:rPr>
          <w:b/>
          <w:i/>
          <w:sz w:val="20"/>
          <w:lang w:val="fr-CA"/>
        </w:rPr>
        <w:t>Iwona</w:t>
      </w:r>
      <w:proofErr w:type="spellEnd"/>
      <w:r w:rsidR="00C91D5F" w:rsidRPr="007E6328">
        <w:rPr>
          <w:b/>
          <w:i/>
          <w:sz w:val="20"/>
          <w:lang w:val="fr-CA"/>
        </w:rPr>
        <w:t xml:space="preserve"> Auer-</w:t>
      </w:r>
      <w:proofErr w:type="spellStart"/>
      <w:r w:rsidR="00C91D5F" w:rsidRPr="007E6328">
        <w:rPr>
          <w:b/>
          <w:i/>
          <w:sz w:val="20"/>
          <w:lang w:val="fr-CA"/>
        </w:rPr>
        <w:t>Grzesiak</w:t>
      </w:r>
      <w:proofErr w:type="spellEnd"/>
      <w:r w:rsidR="00C91D5F" w:rsidRPr="007E6328">
        <w:rPr>
          <w:b/>
          <w:i/>
          <w:sz w:val="20"/>
          <w:lang w:val="fr-CA"/>
        </w:rPr>
        <w:t>, Mark Auer et Vladimir Auer, représenté par son tuteur à l’instance, Roland Auer c. Le procureur général du Canada</w:t>
      </w:r>
    </w:p>
    <w:p w:rsidR="00C91D5F" w:rsidRPr="007E6328" w:rsidRDefault="00C91D5F" w:rsidP="00C91D5F">
      <w:pPr>
        <w:widowControl w:val="0"/>
        <w:contextualSpacing/>
        <w:jc w:val="both"/>
        <w:rPr>
          <w:sz w:val="20"/>
          <w:lang w:val="fr-CA"/>
        </w:rPr>
      </w:pPr>
    </w:p>
    <w:p w:rsidR="00C91D5F" w:rsidRPr="007E6328" w:rsidRDefault="00C91D5F" w:rsidP="00C91D5F">
      <w:pPr>
        <w:widowControl w:val="0"/>
        <w:contextualSpacing/>
        <w:jc w:val="both"/>
        <w:rPr>
          <w:sz w:val="20"/>
          <w:lang w:val="fr-CA"/>
        </w:rPr>
      </w:pPr>
      <w:r w:rsidRPr="007E6328">
        <w:rPr>
          <w:sz w:val="20"/>
          <w:lang w:val="fr-CA"/>
        </w:rPr>
        <w:t xml:space="preserve">Droit administratif - Contrôle judiciaire - Pouvoir d’examiner la validité d’un texte législatif subordonné du gouvernement fédéral pour des raisons de droit administratif - Étendue du pouvoir discrétionnaire de la Cour fédérale de décliner compétence - </w:t>
      </w:r>
      <w:r w:rsidRPr="007E6328">
        <w:rPr>
          <w:i/>
          <w:sz w:val="20"/>
          <w:lang w:val="fr-CA"/>
        </w:rPr>
        <w:t>Loi sur les Cours fédérales</w:t>
      </w:r>
      <w:r w:rsidRPr="007E6328">
        <w:rPr>
          <w:sz w:val="20"/>
          <w:lang w:val="fr-CA"/>
        </w:rPr>
        <w:t>, L.R.C. 1985, ch. F-7, art. 18 et 18.1 - Les juridictions inférieures ont-elles eu tort de conclure que les cours supérieures provinciales avaient compétence concurrente en l’espèce? - Les juridictions inférieures ont-elles eu tort d’exercer leur pouvoir discrétionnaire pour passer outre à l’intention claire du législateur? - Les juridictions inférieures ont-elles eu tort de conclure que les appelants disposaient d’un autre recours approprié?</w:t>
      </w:r>
    </w:p>
    <w:p w:rsidR="00C91D5F" w:rsidRPr="007E6328" w:rsidRDefault="00C91D5F" w:rsidP="00C91D5F">
      <w:pPr>
        <w:widowControl w:val="0"/>
        <w:contextualSpacing/>
        <w:jc w:val="both"/>
        <w:rPr>
          <w:sz w:val="20"/>
          <w:lang w:val="fr-CA"/>
        </w:rPr>
      </w:pPr>
    </w:p>
    <w:p w:rsidR="00C91D5F" w:rsidRPr="007E6328" w:rsidRDefault="00C91D5F" w:rsidP="00C91D5F">
      <w:pPr>
        <w:widowControl w:val="0"/>
        <w:contextualSpacing/>
        <w:jc w:val="both"/>
        <w:rPr>
          <w:sz w:val="20"/>
          <w:lang w:val="fr-CA"/>
        </w:rPr>
      </w:pPr>
      <w:r w:rsidRPr="007E6328">
        <w:rPr>
          <w:sz w:val="20"/>
          <w:lang w:val="fr-CA"/>
        </w:rPr>
        <w:t xml:space="preserve">Les appelants ont présenté une demande de contrôle judiciaire à la Cour fédérale pour qu’elle déclare que les </w:t>
      </w:r>
      <w:r w:rsidRPr="007E6328">
        <w:rPr>
          <w:i/>
          <w:sz w:val="20"/>
          <w:lang w:val="fr-CA"/>
        </w:rPr>
        <w:t>Lignes directrices fédérales sur les pensions alimentaires pour enfants</w:t>
      </w:r>
      <w:r w:rsidRPr="007E6328">
        <w:rPr>
          <w:sz w:val="20"/>
          <w:lang w:val="fr-CA"/>
        </w:rPr>
        <w:t>, DORS/97-175 (« </w:t>
      </w:r>
      <w:r w:rsidRPr="007E6328">
        <w:rPr>
          <w:i/>
          <w:sz w:val="20"/>
          <w:lang w:val="fr-CA"/>
        </w:rPr>
        <w:t>Lignes directrices</w:t>
      </w:r>
      <w:r w:rsidRPr="007E6328">
        <w:rPr>
          <w:sz w:val="20"/>
          <w:lang w:val="fr-CA"/>
        </w:rPr>
        <w:t xml:space="preserve"> »), outrepassent le cadre prévu par la </w:t>
      </w:r>
      <w:r w:rsidRPr="007E6328">
        <w:rPr>
          <w:i/>
          <w:sz w:val="20"/>
          <w:lang w:val="fr-CA"/>
        </w:rPr>
        <w:t>Loi sur le divorce</w:t>
      </w:r>
      <w:r w:rsidRPr="007E6328">
        <w:rPr>
          <w:sz w:val="20"/>
          <w:lang w:val="fr-CA"/>
        </w:rPr>
        <w:t>, L.R.C. 1985, ch. 3 (2</w:t>
      </w:r>
      <w:r w:rsidRPr="007E6328">
        <w:rPr>
          <w:sz w:val="20"/>
          <w:vertAlign w:val="superscript"/>
          <w:lang w:val="fr-CA"/>
        </w:rPr>
        <w:t xml:space="preserve">e </w:t>
      </w:r>
      <w:r w:rsidRPr="007E6328">
        <w:rPr>
          <w:sz w:val="20"/>
          <w:lang w:val="fr-CA"/>
        </w:rPr>
        <w:t xml:space="preserve">suppl.).  La Cour fédérale a rejeté la demande de contrôle judiciaire pour plusieurs raisons. Premièrement, tous les appelants sauf un n’avaient pas qualité pour présenter la demande.  Deuxièmement, la demande constituait, de l’avis de la cour, une attaque indirecte prohibée et un abus de procédure dans le cas d’un des appelants.  Enfin, la Cour fédérale n’était pas le tribunal compétent pour trancher la question, vu le rôle mineur joué par le tribunal en ce qui concerne la </w:t>
      </w:r>
      <w:r w:rsidRPr="007E6328">
        <w:rPr>
          <w:i/>
          <w:sz w:val="20"/>
          <w:lang w:val="fr-CA"/>
        </w:rPr>
        <w:t xml:space="preserve">Loi sur le divorce </w:t>
      </w:r>
      <w:r w:rsidRPr="007E6328">
        <w:rPr>
          <w:sz w:val="20"/>
          <w:lang w:val="fr-CA"/>
        </w:rPr>
        <w:t>ainsi que la compétence et l’expertise des cours supérieures provinciales en matière de divorce et de pensions alimentaires pour enfants.  La Cour d’appel fédérale a rejeté l’appel.</w:t>
      </w:r>
    </w:p>
    <w:p w:rsidR="00C91D5F" w:rsidRPr="007E6328" w:rsidRDefault="00C91D5F" w:rsidP="00C91D5F">
      <w:pPr>
        <w:widowControl w:val="0"/>
        <w:contextualSpacing/>
        <w:jc w:val="both"/>
        <w:rPr>
          <w:sz w:val="20"/>
          <w:lang w:val="fr-CA"/>
        </w:rPr>
      </w:pPr>
    </w:p>
    <w:p w:rsidR="00C91D5F" w:rsidRPr="007E6328" w:rsidRDefault="00C91D5F" w:rsidP="00C91D5F">
      <w:pPr>
        <w:widowControl w:val="0"/>
        <w:contextualSpacing/>
        <w:jc w:val="both"/>
        <w:rPr>
          <w:sz w:val="20"/>
          <w:lang w:val="fr-CA"/>
        </w:rPr>
      </w:pPr>
    </w:p>
    <w:p w:rsidR="00C91D5F" w:rsidRPr="007E6328" w:rsidRDefault="00C91D5F" w:rsidP="00C91D5F">
      <w:pPr>
        <w:widowControl w:val="0"/>
        <w:contextualSpacing/>
        <w:jc w:val="both"/>
        <w:rPr>
          <w:sz w:val="20"/>
          <w:lang w:val="fr-CA"/>
        </w:rPr>
      </w:pPr>
      <w:r w:rsidRPr="007E6328">
        <w:rPr>
          <w:sz w:val="20"/>
          <w:lang w:val="fr-CA"/>
        </w:rPr>
        <w:t>Origine :</w:t>
      </w:r>
      <w:r w:rsidRPr="007E6328">
        <w:rPr>
          <w:sz w:val="20"/>
          <w:lang w:val="fr-CA"/>
        </w:rPr>
        <w:tab/>
      </w:r>
      <w:r w:rsidRPr="007E6328">
        <w:rPr>
          <w:sz w:val="20"/>
          <w:lang w:val="fr-CA"/>
        </w:rPr>
        <w:tab/>
      </w:r>
      <w:r w:rsidRPr="007E6328">
        <w:rPr>
          <w:sz w:val="20"/>
          <w:lang w:val="fr-CA"/>
        </w:rPr>
        <w:tab/>
      </w:r>
      <w:r w:rsidRPr="007E6328">
        <w:rPr>
          <w:sz w:val="20"/>
          <w:lang w:val="fr-CA"/>
        </w:rPr>
        <w:tab/>
      </w:r>
      <w:r w:rsidR="006F5838" w:rsidRPr="007E6328">
        <w:rPr>
          <w:sz w:val="20"/>
          <w:lang w:val="fr-CA"/>
        </w:rPr>
        <w:tab/>
      </w:r>
      <w:r w:rsidR="006F5838" w:rsidRPr="007E6328">
        <w:rPr>
          <w:sz w:val="20"/>
          <w:lang w:val="fr-CA"/>
        </w:rPr>
        <w:tab/>
      </w:r>
      <w:r w:rsidRPr="007E6328">
        <w:rPr>
          <w:sz w:val="20"/>
          <w:lang w:val="fr-CA"/>
        </w:rPr>
        <w:t>Cour d’appel fédérale</w:t>
      </w:r>
    </w:p>
    <w:p w:rsidR="00C91D5F" w:rsidRPr="007E6328" w:rsidRDefault="00C91D5F" w:rsidP="00C91D5F">
      <w:pPr>
        <w:widowControl w:val="0"/>
        <w:contextualSpacing/>
        <w:jc w:val="both"/>
        <w:rPr>
          <w:sz w:val="20"/>
          <w:lang w:val="fr-CA"/>
        </w:rPr>
      </w:pPr>
    </w:p>
    <w:p w:rsidR="00C91D5F" w:rsidRPr="007E6328" w:rsidRDefault="00C91D5F" w:rsidP="00C91D5F">
      <w:pPr>
        <w:widowControl w:val="0"/>
        <w:contextualSpacing/>
        <w:jc w:val="both"/>
        <w:rPr>
          <w:sz w:val="20"/>
          <w:lang w:val="fr-CA"/>
        </w:rPr>
      </w:pPr>
      <w:r w:rsidRPr="007E6328">
        <w:rPr>
          <w:sz w:val="20"/>
          <w:lang w:val="fr-CA"/>
        </w:rPr>
        <w:t>N</w:t>
      </w:r>
      <w:r w:rsidRPr="007E6328">
        <w:rPr>
          <w:sz w:val="20"/>
          <w:vertAlign w:val="superscript"/>
          <w:lang w:val="fr-CA"/>
        </w:rPr>
        <w:t>o</w:t>
      </w:r>
      <w:r w:rsidRPr="007E6328">
        <w:rPr>
          <w:sz w:val="20"/>
          <w:lang w:val="fr-CA"/>
        </w:rPr>
        <w:t xml:space="preserve"> du greffe :</w:t>
      </w:r>
      <w:r w:rsidRPr="007E6328">
        <w:rPr>
          <w:sz w:val="20"/>
          <w:lang w:val="fr-CA"/>
        </w:rPr>
        <w:tab/>
      </w:r>
      <w:r w:rsidRPr="007E6328">
        <w:rPr>
          <w:sz w:val="20"/>
          <w:lang w:val="fr-CA"/>
        </w:rPr>
        <w:tab/>
      </w:r>
      <w:r w:rsidRPr="007E6328">
        <w:rPr>
          <w:sz w:val="20"/>
          <w:lang w:val="fr-CA"/>
        </w:rPr>
        <w:tab/>
      </w:r>
      <w:r w:rsidRPr="007E6328">
        <w:rPr>
          <w:sz w:val="20"/>
          <w:lang w:val="fr-CA"/>
        </w:rPr>
        <w:tab/>
        <w:t>35808</w:t>
      </w:r>
    </w:p>
    <w:p w:rsidR="00C91D5F" w:rsidRPr="007E6328" w:rsidRDefault="00C91D5F" w:rsidP="00C91D5F">
      <w:pPr>
        <w:widowControl w:val="0"/>
        <w:contextualSpacing/>
        <w:jc w:val="both"/>
        <w:rPr>
          <w:sz w:val="20"/>
          <w:lang w:val="fr-CA"/>
        </w:rPr>
      </w:pPr>
    </w:p>
    <w:p w:rsidR="00C91D5F" w:rsidRPr="007E6328" w:rsidRDefault="00C91D5F" w:rsidP="00C91D5F">
      <w:pPr>
        <w:widowControl w:val="0"/>
        <w:contextualSpacing/>
        <w:jc w:val="both"/>
        <w:rPr>
          <w:sz w:val="20"/>
          <w:lang w:val="fr-CA"/>
        </w:rPr>
      </w:pPr>
      <w:r w:rsidRPr="007E6328">
        <w:rPr>
          <w:sz w:val="20"/>
          <w:lang w:val="fr-CA"/>
        </w:rPr>
        <w:t>Arrêt de la Cour d’appel :</w:t>
      </w:r>
      <w:r w:rsidRPr="007E6328">
        <w:rPr>
          <w:sz w:val="20"/>
          <w:lang w:val="fr-CA"/>
        </w:rPr>
        <w:tab/>
      </w:r>
      <w:r w:rsidRPr="007E6328">
        <w:rPr>
          <w:sz w:val="20"/>
          <w:lang w:val="fr-CA"/>
        </w:rPr>
        <w:tab/>
        <w:t>le 5 février 2014</w:t>
      </w:r>
    </w:p>
    <w:p w:rsidR="00C91D5F" w:rsidRPr="007E6328" w:rsidRDefault="00C91D5F" w:rsidP="00C91D5F">
      <w:pPr>
        <w:widowControl w:val="0"/>
        <w:contextualSpacing/>
        <w:jc w:val="both"/>
        <w:rPr>
          <w:sz w:val="20"/>
          <w:lang w:val="fr-CA"/>
        </w:rPr>
      </w:pPr>
    </w:p>
    <w:p w:rsidR="00C91D5F" w:rsidRPr="007E6328" w:rsidRDefault="00C91D5F" w:rsidP="00C91D5F">
      <w:pPr>
        <w:widowControl w:val="0"/>
        <w:contextualSpacing/>
        <w:jc w:val="both"/>
        <w:rPr>
          <w:sz w:val="20"/>
          <w:lang w:val="fr-CA"/>
        </w:rPr>
      </w:pPr>
      <w:r w:rsidRPr="007E6328">
        <w:rPr>
          <w:sz w:val="20"/>
          <w:lang w:val="fr-CA"/>
        </w:rPr>
        <w:t>Avocats :</w:t>
      </w:r>
      <w:r w:rsidRPr="007E6328">
        <w:rPr>
          <w:sz w:val="20"/>
          <w:lang w:val="fr-CA"/>
        </w:rPr>
        <w:tab/>
      </w:r>
      <w:r w:rsidRPr="007E6328">
        <w:rPr>
          <w:sz w:val="20"/>
          <w:lang w:val="fr-CA"/>
        </w:rPr>
        <w:tab/>
      </w:r>
      <w:r w:rsidRPr="007E6328">
        <w:rPr>
          <w:sz w:val="20"/>
          <w:lang w:val="fr-CA"/>
        </w:rPr>
        <w:tab/>
      </w:r>
      <w:r w:rsidR="006F5838" w:rsidRPr="007E6328">
        <w:rPr>
          <w:sz w:val="20"/>
          <w:lang w:val="fr-CA"/>
        </w:rPr>
        <w:tab/>
      </w:r>
      <w:r w:rsidRPr="007E6328">
        <w:rPr>
          <w:sz w:val="20"/>
          <w:lang w:val="fr-CA"/>
        </w:rPr>
        <w:tab/>
        <w:t xml:space="preserve">Glenn Solomon, </w:t>
      </w:r>
      <w:proofErr w:type="spellStart"/>
      <w:r w:rsidRPr="007E6328">
        <w:rPr>
          <w:sz w:val="20"/>
          <w:lang w:val="fr-CA"/>
        </w:rPr>
        <w:t>c.r</w:t>
      </w:r>
      <w:proofErr w:type="spellEnd"/>
      <w:r w:rsidRPr="007E6328">
        <w:rPr>
          <w:sz w:val="20"/>
          <w:lang w:val="fr-CA"/>
        </w:rPr>
        <w:t>. et Laura Warner pour les appelants</w:t>
      </w:r>
    </w:p>
    <w:p w:rsidR="00C91D5F" w:rsidRPr="007E6328" w:rsidRDefault="00C91D5F" w:rsidP="006F5838">
      <w:pPr>
        <w:widowControl w:val="0"/>
        <w:jc w:val="both"/>
        <w:rPr>
          <w:sz w:val="20"/>
          <w:lang w:val="fr-CA"/>
        </w:rPr>
      </w:pPr>
      <w:r w:rsidRPr="007E6328">
        <w:rPr>
          <w:sz w:val="20"/>
          <w:lang w:val="fr-CA"/>
        </w:rPr>
        <w:tab/>
      </w:r>
      <w:r w:rsidR="006F5838" w:rsidRPr="007E6328">
        <w:rPr>
          <w:sz w:val="20"/>
          <w:lang w:val="fr-CA"/>
        </w:rPr>
        <w:tab/>
      </w:r>
      <w:r w:rsidR="006F5838" w:rsidRPr="007E6328">
        <w:rPr>
          <w:sz w:val="20"/>
          <w:lang w:val="fr-CA"/>
        </w:rPr>
        <w:tab/>
      </w:r>
      <w:r w:rsidR="006F5838" w:rsidRPr="007E6328">
        <w:rPr>
          <w:sz w:val="20"/>
          <w:lang w:val="fr-CA"/>
        </w:rPr>
        <w:tab/>
      </w:r>
      <w:r w:rsidR="006F5838" w:rsidRPr="007E6328">
        <w:rPr>
          <w:sz w:val="20"/>
          <w:lang w:val="fr-CA"/>
        </w:rPr>
        <w:tab/>
      </w:r>
      <w:r w:rsidR="006F5838" w:rsidRPr="007E6328">
        <w:rPr>
          <w:sz w:val="20"/>
          <w:lang w:val="fr-CA"/>
        </w:rPr>
        <w:tab/>
      </w:r>
      <w:r w:rsidR="006F5838" w:rsidRPr="007E6328">
        <w:rPr>
          <w:sz w:val="20"/>
          <w:lang w:val="fr-CA"/>
        </w:rPr>
        <w:tab/>
      </w:r>
      <w:r w:rsidRPr="007E6328">
        <w:rPr>
          <w:sz w:val="20"/>
          <w:lang w:val="fr-CA"/>
        </w:rPr>
        <w:t xml:space="preserve">Anne M. </w:t>
      </w:r>
      <w:proofErr w:type="spellStart"/>
      <w:r w:rsidRPr="007E6328">
        <w:rPr>
          <w:sz w:val="20"/>
          <w:lang w:val="fr-CA"/>
        </w:rPr>
        <w:t>Turley</w:t>
      </w:r>
      <w:proofErr w:type="spellEnd"/>
      <w:r w:rsidRPr="007E6328">
        <w:rPr>
          <w:sz w:val="20"/>
          <w:lang w:val="fr-CA"/>
        </w:rPr>
        <w:t xml:space="preserve"> et Catherine Lawrence pour l’intimé</w:t>
      </w:r>
    </w:p>
    <w:p w:rsidR="00C91D5F" w:rsidRPr="007E6328" w:rsidRDefault="00C91D5F" w:rsidP="00EC79B0">
      <w:pPr>
        <w:jc w:val="both"/>
        <w:rPr>
          <w:sz w:val="20"/>
          <w:lang w:val="fr-CA"/>
        </w:rPr>
      </w:pPr>
    </w:p>
    <w:p w:rsidR="00524290" w:rsidRPr="007E6328" w:rsidRDefault="00524290" w:rsidP="00EC79B0">
      <w:pPr>
        <w:jc w:val="both"/>
        <w:rPr>
          <w:szCs w:val="24"/>
          <w:lang w:val="fr-CA"/>
        </w:rPr>
      </w:pPr>
    </w:p>
    <w:p w:rsidR="00CF1ED7" w:rsidRPr="007E6328" w:rsidRDefault="00CF1ED7" w:rsidP="00EC79B0">
      <w:pPr>
        <w:jc w:val="both"/>
        <w:rPr>
          <w:szCs w:val="24"/>
          <w:lang w:val="fr-CA"/>
        </w:rPr>
      </w:pPr>
    </w:p>
    <w:p w:rsidR="001C4415" w:rsidRPr="007E6328" w:rsidRDefault="001C4415" w:rsidP="001C4415">
      <w:pPr>
        <w:widowControl w:val="0"/>
        <w:outlineLvl w:val="0"/>
      </w:pPr>
      <w:r w:rsidRPr="007E6328">
        <w:t xml:space="preserve">Supreme Court of Canada / Cour </w:t>
      </w:r>
      <w:proofErr w:type="spellStart"/>
      <w:r w:rsidRPr="007E6328">
        <w:t>suprême</w:t>
      </w:r>
      <w:proofErr w:type="spellEnd"/>
      <w:r w:rsidRPr="007E6328">
        <w:t xml:space="preserve"> du Canada : </w:t>
      </w:r>
    </w:p>
    <w:p w:rsidR="001C4415" w:rsidRPr="007E6328" w:rsidRDefault="00DC4E74" w:rsidP="001C4415">
      <w:pPr>
        <w:widowControl w:val="0"/>
        <w:outlineLvl w:val="0"/>
        <w:rPr>
          <w:color w:val="0000FF"/>
          <w:u w:val="single"/>
        </w:rPr>
      </w:pPr>
      <w:hyperlink r:id="rId8" w:history="1">
        <w:r w:rsidR="001C4415" w:rsidRPr="007E6328">
          <w:rPr>
            <w:rStyle w:val="Hyperlink"/>
          </w:rPr>
          <w:t>comments-commentaires@scc-csc.ca</w:t>
        </w:r>
      </w:hyperlink>
    </w:p>
    <w:p w:rsidR="001C4415" w:rsidRPr="007E6328" w:rsidRDefault="001C4415" w:rsidP="001C4415">
      <w:pPr>
        <w:widowControl w:val="0"/>
        <w:outlineLvl w:val="0"/>
      </w:pPr>
      <w:r w:rsidRPr="007E6328">
        <w:t>(613) 995-4330</w:t>
      </w:r>
    </w:p>
    <w:p w:rsidR="001C4415" w:rsidRPr="007E6328" w:rsidRDefault="001C4415" w:rsidP="001C4415">
      <w:pPr>
        <w:widowControl w:val="0"/>
        <w:rPr>
          <w:sz w:val="20"/>
        </w:rPr>
      </w:pPr>
    </w:p>
    <w:p w:rsidR="0036476C" w:rsidRPr="007E6328" w:rsidRDefault="001C4415" w:rsidP="0036476C">
      <w:pPr>
        <w:pStyle w:val="Footer"/>
        <w:jc w:val="center"/>
      </w:pPr>
      <w:r w:rsidRPr="007E6328">
        <w:t xml:space="preserve">- 30 </w:t>
      </w:r>
      <w:r w:rsidR="00C91D5F" w:rsidRPr="007E6328">
        <w:t>-</w:t>
      </w:r>
    </w:p>
    <w:sectPr w:rsidR="0036476C" w:rsidRPr="007E6328"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CA6" w:rsidRDefault="00842CA6">
      <w:r>
        <w:separator/>
      </w:r>
    </w:p>
  </w:endnote>
  <w:endnote w:type="continuationSeparator" w:id="0">
    <w:p w:rsidR="00842CA6" w:rsidRDefault="00842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63" w:rsidRDefault="00072A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63" w:rsidRDefault="00072A63">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63" w:rsidRDefault="00072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CA6" w:rsidRDefault="00842CA6">
      <w:r>
        <w:separator/>
      </w:r>
    </w:p>
  </w:footnote>
  <w:footnote w:type="continuationSeparator" w:id="0">
    <w:p w:rsidR="00842CA6" w:rsidRDefault="00842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63" w:rsidRDefault="00072A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63" w:rsidRDefault="00072A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63" w:rsidRDefault="00072A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B8086C"/>
    <w:rsid w:val="000100BA"/>
    <w:rsid w:val="00010D78"/>
    <w:rsid w:val="0001212E"/>
    <w:rsid w:val="0001605B"/>
    <w:rsid w:val="0002161B"/>
    <w:rsid w:val="00021901"/>
    <w:rsid w:val="00035555"/>
    <w:rsid w:val="00035B99"/>
    <w:rsid w:val="0003611D"/>
    <w:rsid w:val="0003620E"/>
    <w:rsid w:val="00042B21"/>
    <w:rsid w:val="000446D3"/>
    <w:rsid w:val="000454BF"/>
    <w:rsid w:val="00060140"/>
    <w:rsid w:val="00060B39"/>
    <w:rsid w:val="00061A14"/>
    <w:rsid w:val="00072A63"/>
    <w:rsid w:val="0008116D"/>
    <w:rsid w:val="000855FD"/>
    <w:rsid w:val="0009615F"/>
    <w:rsid w:val="000A33B2"/>
    <w:rsid w:val="000A401F"/>
    <w:rsid w:val="000B0E38"/>
    <w:rsid w:val="000B216A"/>
    <w:rsid w:val="000C1225"/>
    <w:rsid w:val="000C1820"/>
    <w:rsid w:val="000C466B"/>
    <w:rsid w:val="000D08CC"/>
    <w:rsid w:val="000D25C5"/>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6CE5"/>
    <w:rsid w:val="001170D1"/>
    <w:rsid w:val="00127E76"/>
    <w:rsid w:val="001335A1"/>
    <w:rsid w:val="001364D9"/>
    <w:rsid w:val="0013792F"/>
    <w:rsid w:val="001439C6"/>
    <w:rsid w:val="001448DF"/>
    <w:rsid w:val="00145925"/>
    <w:rsid w:val="001476BD"/>
    <w:rsid w:val="00150BC6"/>
    <w:rsid w:val="001563FF"/>
    <w:rsid w:val="00164196"/>
    <w:rsid w:val="001642A1"/>
    <w:rsid w:val="00165E2A"/>
    <w:rsid w:val="00167E17"/>
    <w:rsid w:val="001710E4"/>
    <w:rsid w:val="001714EA"/>
    <w:rsid w:val="00172FC0"/>
    <w:rsid w:val="0017395A"/>
    <w:rsid w:val="00175566"/>
    <w:rsid w:val="00177C9B"/>
    <w:rsid w:val="001801D4"/>
    <w:rsid w:val="0018124A"/>
    <w:rsid w:val="001847AC"/>
    <w:rsid w:val="00191F98"/>
    <w:rsid w:val="001936BC"/>
    <w:rsid w:val="00194B53"/>
    <w:rsid w:val="001A1632"/>
    <w:rsid w:val="001A24F4"/>
    <w:rsid w:val="001A29BA"/>
    <w:rsid w:val="001A4436"/>
    <w:rsid w:val="001A4A73"/>
    <w:rsid w:val="001B092D"/>
    <w:rsid w:val="001B0D7E"/>
    <w:rsid w:val="001B4934"/>
    <w:rsid w:val="001B599A"/>
    <w:rsid w:val="001B6B63"/>
    <w:rsid w:val="001B71AA"/>
    <w:rsid w:val="001C0462"/>
    <w:rsid w:val="001C187A"/>
    <w:rsid w:val="001C3E08"/>
    <w:rsid w:val="001C4415"/>
    <w:rsid w:val="001C6FEC"/>
    <w:rsid w:val="001D3579"/>
    <w:rsid w:val="001E4A60"/>
    <w:rsid w:val="001E5E23"/>
    <w:rsid w:val="001E70CD"/>
    <w:rsid w:val="001F27D7"/>
    <w:rsid w:val="001F57C9"/>
    <w:rsid w:val="001F7F62"/>
    <w:rsid w:val="002001C7"/>
    <w:rsid w:val="002029F5"/>
    <w:rsid w:val="00203F40"/>
    <w:rsid w:val="00205278"/>
    <w:rsid w:val="00207AAB"/>
    <w:rsid w:val="00207BC4"/>
    <w:rsid w:val="00211F62"/>
    <w:rsid w:val="00214729"/>
    <w:rsid w:val="002160B0"/>
    <w:rsid w:val="00221703"/>
    <w:rsid w:val="00226AE8"/>
    <w:rsid w:val="00234B46"/>
    <w:rsid w:val="00235A05"/>
    <w:rsid w:val="002404C4"/>
    <w:rsid w:val="00241C35"/>
    <w:rsid w:val="00241F69"/>
    <w:rsid w:val="00242EC8"/>
    <w:rsid w:val="00243B49"/>
    <w:rsid w:val="00244461"/>
    <w:rsid w:val="00244D04"/>
    <w:rsid w:val="00245FBD"/>
    <w:rsid w:val="0024634F"/>
    <w:rsid w:val="00251D1B"/>
    <w:rsid w:val="0025452B"/>
    <w:rsid w:val="002617BB"/>
    <w:rsid w:val="0026289A"/>
    <w:rsid w:val="00264AA1"/>
    <w:rsid w:val="002667BA"/>
    <w:rsid w:val="002667ED"/>
    <w:rsid w:val="00266A8B"/>
    <w:rsid w:val="002723AE"/>
    <w:rsid w:val="00272EAB"/>
    <w:rsid w:val="002768F6"/>
    <w:rsid w:val="0028630C"/>
    <w:rsid w:val="00290F21"/>
    <w:rsid w:val="00291F84"/>
    <w:rsid w:val="00296461"/>
    <w:rsid w:val="00297E1D"/>
    <w:rsid w:val="002A2F5A"/>
    <w:rsid w:val="002A3DD8"/>
    <w:rsid w:val="002A4252"/>
    <w:rsid w:val="002A5496"/>
    <w:rsid w:val="002A6BD5"/>
    <w:rsid w:val="002A7752"/>
    <w:rsid w:val="002B06A9"/>
    <w:rsid w:val="002B4D23"/>
    <w:rsid w:val="002B4F4E"/>
    <w:rsid w:val="002C23CB"/>
    <w:rsid w:val="002C5CA9"/>
    <w:rsid w:val="002C5FAF"/>
    <w:rsid w:val="002D631B"/>
    <w:rsid w:val="002D6424"/>
    <w:rsid w:val="002E3F05"/>
    <w:rsid w:val="002E5644"/>
    <w:rsid w:val="002F2E89"/>
    <w:rsid w:val="002F4212"/>
    <w:rsid w:val="003054B8"/>
    <w:rsid w:val="003112E4"/>
    <w:rsid w:val="00311F53"/>
    <w:rsid w:val="00317C58"/>
    <w:rsid w:val="00321B31"/>
    <w:rsid w:val="00324B83"/>
    <w:rsid w:val="003255C3"/>
    <w:rsid w:val="00334E40"/>
    <w:rsid w:val="00337D5F"/>
    <w:rsid w:val="00346F0D"/>
    <w:rsid w:val="00350C6A"/>
    <w:rsid w:val="00350CE0"/>
    <w:rsid w:val="00353AB0"/>
    <w:rsid w:val="00362484"/>
    <w:rsid w:val="0036476C"/>
    <w:rsid w:val="0037261F"/>
    <w:rsid w:val="00374148"/>
    <w:rsid w:val="0037569E"/>
    <w:rsid w:val="00380CC3"/>
    <w:rsid w:val="003835A6"/>
    <w:rsid w:val="00387EA2"/>
    <w:rsid w:val="0039248C"/>
    <w:rsid w:val="003932EE"/>
    <w:rsid w:val="00393419"/>
    <w:rsid w:val="003959D2"/>
    <w:rsid w:val="0039607F"/>
    <w:rsid w:val="003A1FB4"/>
    <w:rsid w:val="003A2267"/>
    <w:rsid w:val="003B2784"/>
    <w:rsid w:val="003B3AD5"/>
    <w:rsid w:val="003B4E7E"/>
    <w:rsid w:val="003C381F"/>
    <w:rsid w:val="003D4D2A"/>
    <w:rsid w:val="003D74E7"/>
    <w:rsid w:val="003E0326"/>
    <w:rsid w:val="003E1BBF"/>
    <w:rsid w:val="003E222C"/>
    <w:rsid w:val="003E5C8D"/>
    <w:rsid w:val="003F127B"/>
    <w:rsid w:val="003F2710"/>
    <w:rsid w:val="003F7920"/>
    <w:rsid w:val="004005FE"/>
    <w:rsid w:val="004016BB"/>
    <w:rsid w:val="00405F0F"/>
    <w:rsid w:val="004115B2"/>
    <w:rsid w:val="0041533E"/>
    <w:rsid w:val="00421CC7"/>
    <w:rsid w:val="0042330C"/>
    <w:rsid w:val="0042470F"/>
    <w:rsid w:val="00424E50"/>
    <w:rsid w:val="00425FF3"/>
    <w:rsid w:val="00426675"/>
    <w:rsid w:val="00426798"/>
    <w:rsid w:val="00426F87"/>
    <w:rsid w:val="00427239"/>
    <w:rsid w:val="00432DE1"/>
    <w:rsid w:val="00442F1A"/>
    <w:rsid w:val="0045070D"/>
    <w:rsid w:val="00452E96"/>
    <w:rsid w:val="0045409A"/>
    <w:rsid w:val="00455BB9"/>
    <w:rsid w:val="00460580"/>
    <w:rsid w:val="00464E71"/>
    <w:rsid w:val="00467AE4"/>
    <w:rsid w:val="004824D8"/>
    <w:rsid w:val="0048671C"/>
    <w:rsid w:val="0048741E"/>
    <w:rsid w:val="00491284"/>
    <w:rsid w:val="00491C71"/>
    <w:rsid w:val="004927D1"/>
    <w:rsid w:val="004A40E1"/>
    <w:rsid w:val="004A56AC"/>
    <w:rsid w:val="004A6F06"/>
    <w:rsid w:val="004B4821"/>
    <w:rsid w:val="004B6E20"/>
    <w:rsid w:val="004B6F3A"/>
    <w:rsid w:val="004D4322"/>
    <w:rsid w:val="004D453B"/>
    <w:rsid w:val="004D465A"/>
    <w:rsid w:val="004D488A"/>
    <w:rsid w:val="004E5455"/>
    <w:rsid w:val="004F0A44"/>
    <w:rsid w:val="004F215A"/>
    <w:rsid w:val="004F2854"/>
    <w:rsid w:val="004F3FB9"/>
    <w:rsid w:val="00504582"/>
    <w:rsid w:val="0051130D"/>
    <w:rsid w:val="0051320D"/>
    <w:rsid w:val="00520A3C"/>
    <w:rsid w:val="00524290"/>
    <w:rsid w:val="00525362"/>
    <w:rsid w:val="00525B8E"/>
    <w:rsid w:val="00531567"/>
    <w:rsid w:val="00535691"/>
    <w:rsid w:val="005400BA"/>
    <w:rsid w:val="0054378D"/>
    <w:rsid w:val="005511F1"/>
    <w:rsid w:val="00552278"/>
    <w:rsid w:val="0055520C"/>
    <w:rsid w:val="00560D32"/>
    <w:rsid w:val="00563EF8"/>
    <w:rsid w:val="005717F4"/>
    <w:rsid w:val="00572E24"/>
    <w:rsid w:val="00575FA2"/>
    <w:rsid w:val="00580897"/>
    <w:rsid w:val="00580EBF"/>
    <w:rsid w:val="00591F70"/>
    <w:rsid w:val="005932DF"/>
    <w:rsid w:val="00595150"/>
    <w:rsid w:val="00595922"/>
    <w:rsid w:val="005A0FB1"/>
    <w:rsid w:val="005A5B16"/>
    <w:rsid w:val="005A5D20"/>
    <w:rsid w:val="005A6C38"/>
    <w:rsid w:val="005A7C1B"/>
    <w:rsid w:val="005B10FA"/>
    <w:rsid w:val="005B342F"/>
    <w:rsid w:val="005B4F58"/>
    <w:rsid w:val="005B7E1A"/>
    <w:rsid w:val="005C571B"/>
    <w:rsid w:val="005C7767"/>
    <w:rsid w:val="005D1FAA"/>
    <w:rsid w:val="005D4151"/>
    <w:rsid w:val="005E1617"/>
    <w:rsid w:val="005E1FA2"/>
    <w:rsid w:val="005E3E02"/>
    <w:rsid w:val="005E696E"/>
    <w:rsid w:val="005E74B7"/>
    <w:rsid w:val="005F3B17"/>
    <w:rsid w:val="005F6821"/>
    <w:rsid w:val="006004E2"/>
    <w:rsid w:val="00615DA3"/>
    <w:rsid w:val="006219EE"/>
    <w:rsid w:val="00622F54"/>
    <w:rsid w:val="006256B4"/>
    <w:rsid w:val="006268A3"/>
    <w:rsid w:val="006269C3"/>
    <w:rsid w:val="006306BF"/>
    <w:rsid w:val="0063116A"/>
    <w:rsid w:val="0063254B"/>
    <w:rsid w:val="00632844"/>
    <w:rsid w:val="0063679E"/>
    <w:rsid w:val="0063766F"/>
    <w:rsid w:val="00640A4E"/>
    <w:rsid w:val="006429EF"/>
    <w:rsid w:val="00650518"/>
    <w:rsid w:val="00651F3A"/>
    <w:rsid w:val="006630E5"/>
    <w:rsid w:val="00666E0D"/>
    <w:rsid w:val="0067017D"/>
    <w:rsid w:val="00676709"/>
    <w:rsid w:val="00680968"/>
    <w:rsid w:val="00682A71"/>
    <w:rsid w:val="00685A30"/>
    <w:rsid w:val="006942C4"/>
    <w:rsid w:val="006A58E0"/>
    <w:rsid w:val="006B4B4E"/>
    <w:rsid w:val="006B5529"/>
    <w:rsid w:val="006C4A8F"/>
    <w:rsid w:val="006C7633"/>
    <w:rsid w:val="006D2284"/>
    <w:rsid w:val="006D2DF8"/>
    <w:rsid w:val="006E1781"/>
    <w:rsid w:val="006E3A6A"/>
    <w:rsid w:val="006E6156"/>
    <w:rsid w:val="006E7CC3"/>
    <w:rsid w:val="006E7FD1"/>
    <w:rsid w:val="006F1899"/>
    <w:rsid w:val="006F1A6D"/>
    <w:rsid w:val="006F202E"/>
    <w:rsid w:val="006F36AE"/>
    <w:rsid w:val="006F5838"/>
    <w:rsid w:val="006F636B"/>
    <w:rsid w:val="006F7FC8"/>
    <w:rsid w:val="00711DBC"/>
    <w:rsid w:val="0071224C"/>
    <w:rsid w:val="00724998"/>
    <w:rsid w:val="00727681"/>
    <w:rsid w:val="00731F00"/>
    <w:rsid w:val="00732616"/>
    <w:rsid w:val="00743AB2"/>
    <w:rsid w:val="00743CD0"/>
    <w:rsid w:val="007464AD"/>
    <w:rsid w:val="007505FE"/>
    <w:rsid w:val="00753E0D"/>
    <w:rsid w:val="00762239"/>
    <w:rsid w:val="00767B87"/>
    <w:rsid w:val="0078318A"/>
    <w:rsid w:val="00793134"/>
    <w:rsid w:val="0079370B"/>
    <w:rsid w:val="00794A43"/>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20F6"/>
    <w:rsid w:val="007D4862"/>
    <w:rsid w:val="007D6B10"/>
    <w:rsid w:val="007E056E"/>
    <w:rsid w:val="007E6328"/>
    <w:rsid w:val="007E79BD"/>
    <w:rsid w:val="007E7DF1"/>
    <w:rsid w:val="007F29FE"/>
    <w:rsid w:val="00800066"/>
    <w:rsid w:val="00807EAE"/>
    <w:rsid w:val="00811E14"/>
    <w:rsid w:val="00815E69"/>
    <w:rsid w:val="008203B9"/>
    <w:rsid w:val="00820A00"/>
    <w:rsid w:val="008227A7"/>
    <w:rsid w:val="0083044B"/>
    <w:rsid w:val="008313A9"/>
    <w:rsid w:val="00831AFC"/>
    <w:rsid w:val="00841CE8"/>
    <w:rsid w:val="00842CA6"/>
    <w:rsid w:val="00843914"/>
    <w:rsid w:val="00844A0C"/>
    <w:rsid w:val="00845B97"/>
    <w:rsid w:val="00851B24"/>
    <w:rsid w:val="00857775"/>
    <w:rsid w:val="00861E1D"/>
    <w:rsid w:val="0086609D"/>
    <w:rsid w:val="008709FF"/>
    <w:rsid w:val="008716D8"/>
    <w:rsid w:val="00875923"/>
    <w:rsid w:val="008766B1"/>
    <w:rsid w:val="00893647"/>
    <w:rsid w:val="008B305D"/>
    <w:rsid w:val="008B5FA3"/>
    <w:rsid w:val="008B5FDB"/>
    <w:rsid w:val="008B6308"/>
    <w:rsid w:val="008C5D03"/>
    <w:rsid w:val="008D2829"/>
    <w:rsid w:val="008D2930"/>
    <w:rsid w:val="008D3DE1"/>
    <w:rsid w:val="008D557C"/>
    <w:rsid w:val="008D6BC4"/>
    <w:rsid w:val="008E5108"/>
    <w:rsid w:val="008E7015"/>
    <w:rsid w:val="008F15CD"/>
    <w:rsid w:val="008F246A"/>
    <w:rsid w:val="008F6C55"/>
    <w:rsid w:val="0090380F"/>
    <w:rsid w:val="009062BF"/>
    <w:rsid w:val="009079AF"/>
    <w:rsid w:val="00911071"/>
    <w:rsid w:val="00916404"/>
    <w:rsid w:val="00916B9F"/>
    <w:rsid w:val="00921102"/>
    <w:rsid w:val="009246D2"/>
    <w:rsid w:val="00931A3C"/>
    <w:rsid w:val="009421D0"/>
    <w:rsid w:val="00945199"/>
    <w:rsid w:val="00946EC7"/>
    <w:rsid w:val="00955BCE"/>
    <w:rsid w:val="009603A2"/>
    <w:rsid w:val="00962301"/>
    <w:rsid w:val="00972F05"/>
    <w:rsid w:val="00975F1B"/>
    <w:rsid w:val="0097705F"/>
    <w:rsid w:val="009773EE"/>
    <w:rsid w:val="009813C5"/>
    <w:rsid w:val="009907CD"/>
    <w:rsid w:val="0099092D"/>
    <w:rsid w:val="009927A8"/>
    <w:rsid w:val="00992E03"/>
    <w:rsid w:val="00993EF1"/>
    <w:rsid w:val="00995BAC"/>
    <w:rsid w:val="009A229C"/>
    <w:rsid w:val="009A7F40"/>
    <w:rsid w:val="009A7FCE"/>
    <w:rsid w:val="009B06DD"/>
    <w:rsid w:val="009B72F4"/>
    <w:rsid w:val="009C2A17"/>
    <w:rsid w:val="009C643F"/>
    <w:rsid w:val="009C7B71"/>
    <w:rsid w:val="009D109B"/>
    <w:rsid w:val="009D30BC"/>
    <w:rsid w:val="009E23BF"/>
    <w:rsid w:val="009E478A"/>
    <w:rsid w:val="009E6E2B"/>
    <w:rsid w:val="009E7F8F"/>
    <w:rsid w:val="009F5F96"/>
    <w:rsid w:val="00A06BFF"/>
    <w:rsid w:val="00A129AE"/>
    <w:rsid w:val="00A12B84"/>
    <w:rsid w:val="00A13112"/>
    <w:rsid w:val="00A17FF7"/>
    <w:rsid w:val="00A20D09"/>
    <w:rsid w:val="00A21A0F"/>
    <w:rsid w:val="00A253E7"/>
    <w:rsid w:val="00A2764E"/>
    <w:rsid w:val="00A40505"/>
    <w:rsid w:val="00A45E77"/>
    <w:rsid w:val="00A47417"/>
    <w:rsid w:val="00A52FC3"/>
    <w:rsid w:val="00A539FF"/>
    <w:rsid w:val="00A60F48"/>
    <w:rsid w:val="00A63056"/>
    <w:rsid w:val="00A64DFD"/>
    <w:rsid w:val="00A709E8"/>
    <w:rsid w:val="00A80C95"/>
    <w:rsid w:val="00A86D9C"/>
    <w:rsid w:val="00A9462E"/>
    <w:rsid w:val="00A96F68"/>
    <w:rsid w:val="00AA3B3C"/>
    <w:rsid w:val="00AB4EFD"/>
    <w:rsid w:val="00AB6E49"/>
    <w:rsid w:val="00AB76F5"/>
    <w:rsid w:val="00AC1EBB"/>
    <w:rsid w:val="00AC29C3"/>
    <w:rsid w:val="00AC4C6F"/>
    <w:rsid w:val="00AD28E3"/>
    <w:rsid w:val="00AE57A4"/>
    <w:rsid w:val="00AE77AE"/>
    <w:rsid w:val="00AF232B"/>
    <w:rsid w:val="00AF291D"/>
    <w:rsid w:val="00AF51A0"/>
    <w:rsid w:val="00AF5D67"/>
    <w:rsid w:val="00AF7C2C"/>
    <w:rsid w:val="00B00765"/>
    <w:rsid w:val="00B0252F"/>
    <w:rsid w:val="00B02858"/>
    <w:rsid w:val="00B10539"/>
    <w:rsid w:val="00B10F2E"/>
    <w:rsid w:val="00B11D20"/>
    <w:rsid w:val="00B11D74"/>
    <w:rsid w:val="00B15276"/>
    <w:rsid w:val="00B17303"/>
    <w:rsid w:val="00B26A2D"/>
    <w:rsid w:val="00B3375B"/>
    <w:rsid w:val="00B348B0"/>
    <w:rsid w:val="00B435C2"/>
    <w:rsid w:val="00B46448"/>
    <w:rsid w:val="00B46917"/>
    <w:rsid w:val="00B50803"/>
    <w:rsid w:val="00B622BC"/>
    <w:rsid w:val="00B67B8C"/>
    <w:rsid w:val="00B7734D"/>
    <w:rsid w:val="00B80672"/>
    <w:rsid w:val="00B8086C"/>
    <w:rsid w:val="00B809D3"/>
    <w:rsid w:val="00B80A40"/>
    <w:rsid w:val="00B90B28"/>
    <w:rsid w:val="00B92053"/>
    <w:rsid w:val="00BA5D3E"/>
    <w:rsid w:val="00BB4305"/>
    <w:rsid w:val="00BB4CC8"/>
    <w:rsid w:val="00BB5F43"/>
    <w:rsid w:val="00BB676C"/>
    <w:rsid w:val="00BC097C"/>
    <w:rsid w:val="00BC4F13"/>
    <w:rsid w:val="00BD0BD6"/>
    <w:rsid w:val="00BD2EF8"/>
    <w:rsid w:val="00BD4D56"/>
    <w:rsid w:val="00BD762D"/>
    <w:rsid w:val="00BF00CF"/>
    <w:rsid w:val="00BF07B1"/>
    <w:rsid w:val="00BF1E18"/>
    <w:rsid w:val="00BF5E12"/>
    <w:rsid w:val="00C02565"/>
    <w:rsid w:val="00C02A35"/>
    <w:rsid w:val="00C05DB6"/>
    <w:rsid w:val="00C06CDF"/>
    <w:rsid w:val="00C07D18"/>
    <w:rsid w:val="00C103A9"/>
    <w:rsid w:val="00C14970"/>
    <w:rsid w:val="00C173E2"/>
    <w:rsid w:val="00C210C3"/>
    <w:rsid w:val="00C26855"/>
    <w:rsid w:val="00C26ED7"/>
    <w:rsid w:val="00C343BF"/>
    <w:rsid w:val="00C34DBC"/>
    <w:rsid w:val="00C3754A"/>
    <w:rsid w:val="00C500F2"/>
    <w:rsid w:val="00C51144"/>
    <w:rsid w:val="00C54C7F"/>
    <w:rsid w:val="00C56239"/>
    <w:rsid w:val="00C56B06"/>
    <w:rsid w:val="00C724D2"/>
    <w:rsid w:val="00C7692E"/>
    <w:rsid w:val="00C76C3D"/>
    <w:rsid w:val="00C77D60"/>
    <w:rsid w:val="00C80CEE"/>
    <w:rsid w:val="00C82C3E"/>
    <w:rsid w:val="00C86E79"/>
    <w:rsid w:val="00C91D5F"/>
    <w:rsid w:val="00C92D07"/>
    <w:rsid w:val="00C9499A"/>
    <w:rsid w:val="00C96187"/>
    <w:rsid w:val="00C96700"/>
    <w:rsid w:val="00CA0D0B"/>
    <w:rsid w:val="00CA3243"/>
    <w:rsid w:val="00CA425B"/>
    <w:rsid w:val="00CA4B10"/>
    <w:rsid w:val="00CB05B1"/>
    <w:rsid w:val="00CB0F26"/>
    <w:rsid w:val="00CB3AE2"/>
    <w:rsid w:val="00CB3FBB"/>
    <w:rsid w:val="00CB5906"/>
    <w:rsid w:val="00CB65F1"/>
    <w:rsid w:val="00CC1869"/>
    <w:rsid w:val="00CC2CF7"/>
    <w:rsid w:val="00CD2A1C"/>
    <w:rsid w:val="00CD2EFD"/>
    <w:rsid w:val="00CD4BC4"/>
    <w:rsid w:val="00CD75D2"/>
    <w:rsid w:val="00CD77BC"/>
    <w:rsid w:val="00CE7729"/>
    <w:rsid w:val="00CF1ED7"/>
    <w:rsid w:val="00D00632"/>
    <w:rsid w:val="00D01F37"/>
    <w:rsid w:val="00D03A26"/>
    <w:rsid w:val="00D05D59"/>
    <w:rsid w:val="00D17D39"/>
    <w:rsid w:val="00D17D8F"/>
    <w:rsid w:val="00D22031"/>
    <w:rsid w:val="00D303D6"/>
    <w:rsid w:val="00D32687"/>
    <w:rsid w:val="00D3314A"/>
    <w:rsid w:val="00D362A2"/>
    <w:rsid w:val="00D37B27"/>
    <w:rsid w:val="00D424D2"/>
    <w:rsid w:val="00D47FA4"/>
    <w:rsid w:val="00D51791"/>
    <w:rsid w:val="00D5468E"/>
    <w:rsid w:val="00D61701"/>
    <w:rsid w:val="00D63A7D"/>
    <w:rsid w:val="00D641AC"/>
    <w:rsid w:val="00D64BC8"/>
    <w:rsid w:val="00D65268"/>
    <w:rsid w:val="00D70C1C"/>
    <w:rsid w:val="00D710A9"/>
    <w:rsid w:val="00D74667"/>
    <w:rsid w:val="00D75346"/>
    <w:rsid w:val="00D75A2B"/>
    <w:rsid w:val="00D77E31"/>
    <w:rsid w:val="00D8474E"/>
    <w:rsid w:val="00D86814"/>
    <w:rsid w:val="00D918E3"/>
    <w:rsid w:val="00D93AE3"/>
    <w:rsid w:val="00D94FA0"/>
    <w:rsid w:val="00DA1A84"/>
    <w:rsid w:val="00DA2EAA"/>
    <w:rsid w:val="00DA6A86"/>
    <w:rsid w:val="00DB2F91"/>
    <w:rsid w:val="00DB531C"/>
    <w:rsid w:val="00DC32EB"/>
    <w:rsid w:val="00DC4734"/>
    <w:rsid w:val="00DC4E25"/>
    <w:rsid w:val="00DC4E74"/>
    <w:rsid w:val="00DC6C1E"/>
    <w:rsid w:val="00DD4383"/>
    <w:rsid w:val="00DE04BB"/>
    <w:rsid w:val="00DE3506"/>
    <w:rsid w:val="00DE746A"/>
    <w:rsid w:val="00DF349B"/>
    <w:rsid w:val="00DF42A7"/>
    <w:rsid w:val="00DF44C2"/>
    <w:rsid w:val="00DF4A3F"/>
    <w:rsid w:val="00DF54E7"/>
    <w:rsid w:val="00DF614F"/>
    <w:rsid w:val="00E046A3"/>
    <w:rsid w:val="00E07FAA"/>
    <w:rsid w:val="00E128DB"/>
    <w:rsid w:val="00E12E0B"/>
    <w:rsid w:val="00E14E68"/>
    <w:rsid w:val="00E16926"/>
    <w:rsid w:val="00E228C8"/>
    <w:rsid w:val="00E363C5"/>
    <w:rsid w:val="00E36DE8"/>
    <w:rsid w:val="00E40153"/>
    <w:rsid w:val="00E41DF4"/>
    <w:rsid w:val="00E450FF"/>
    <w:rsid w:val="00E47A93"/>
    <w:rsid w:val="00E51DCC"/>
    <w:rsid w:val="00E575D4"/>
    <w:rsid w:val="00E602CC"/>
    <w:rsid w:val="00E60BCF"/>
    <w:rsid w:val="00E63199"/>
    <w:rsid w:val="00E631BB"/>
    <w:rsid w:val="00E66FC2"/>
    <w:rsid w:val="00E674FF"/>
    <w:rsid w:val="00E701AC"/>
    <w:rsid w:val="00E71B6C"/>
    <w:rsid w:val="00E71F47"/>
    <w:rsid w:val="00E75EDC"/>
    <w:rsid w:val="00E76F19"/>
    <w:rsid w:val="00E77DF7"/>
    <w:rsid w:val="00E802FE"/>
    <w:rsid w:val="00E82DB5"/>
    <w:rsid w:val="00E8450A"/>
    <w:rsid w:val="00E93DBE"/>
    <w:rsid w:val="00E9584F"/>
    <w:rsid w:val="00EA2FA7"/>
    <w:rsid w:val="00EA389B"/>
    <w:rsid w:val="00EB1B1D"/>
    <w:rsid w:val="00EB6CB3"/>
    <w:rsid w:val="00EC0B90"/>
    <w:rsid w:val="00EC103C"/>
    <w:rsid w:val="00EC79B0"/>
    <w:rsid w:val="00ED1C3A"/>
    <w:rsid w:val="00ED2D18"/>
    <w:rsid w:val="00ED4D5F"/>
    <w:rsid w:val="00ED67B7"/>
    <w:rsid w:val="00EE1079"/>
    <w:rsid w:val="00EE1D6B"/>
    <w:rsid w:val="00EE77E0"/>
    <w:rsid w:val="00EF0BD7"/>
    <w:rsid w:val="00EF447F"/>
    <w:rsid w:val="00EF778F"/>
    <w:rsid w:val="00EF7999"/>
    <w:rsid w:val="00F006DA"/>
    <w:rsid w:val="00F020DF"/>
    <w:rsid w:val="00F05B65"/>
    <w:rsid w:val="00F118D3"/>
    <w:rsid w:val="00F1242C"/>
    <w:rsid w:val="00F128C3"/>
    <w:rsid w:val="00F1711D"/>
    <w:rsid w:val="00F223F4"/>
    <w:rsid w:val="00F23EAF"/>
    <w:rsid w:val="00F269BB"/>
    <w:rsid w:val="00F317F9"/>
    <w:rsid w:val="00F33A4A"/>
    <w:rsid w:val="00F353AE"/>
    <w:rsid w:val="00F43DC9"/>
    <w:rsid w:val="00F441EF"/>
    <w:rsid w:val="00F443E2"/>
    <w:rsid w:val="00F52595"/>
    <w:rsid w:val="00F530EE"/>
    <w:rsid w:val="00F57324"/>
    <w:rsid w:val="00F64A4F"/>
    <w:rsid w:val="00F71933"/>
    <w:rsid w:val="00F74DE7"/>
    <w:rsid w:val="00F7795B"/>
    <w:rsid w:val="00F803D9"/>
    <w:rsid w:val="00F823B0"/>
    <w:rsid w:val="00F82D1B"/>
    <w:rsid w:val="00F85483"/>
    <w:rsid w:val="00F86DFC"/>
    <w:rsid w:val="00F950E6"/>
    <w:rsid w:val="00F960F5"/>
    <w:rsid w:val="00F97939"/>
    <w:rsid w:val="00FA3210"/>
    <w:rsid w:val="00FA62A2"/>
    <w:rsid w:val="00FA7412"/>
    <w:rsid w:val="00FB0F59"/>
    <w:rsid w:val="00FB3BF9"/>
    <w:rsid w:val="00FB55B6"/>
    <w:rsid w:val="00FB5B7E"/>
    <w:rsid w:val="00FB709E"/>
    <w:rsid w:val="00FC57AE"/>
    <w:rsid w:val="00FC6C27"/>
    <w:rsid w:val="00FD7940"/>
    <w:rsid w:val="00FE3585"/>
    <w:rsid w:val="00FF330A"/>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rules v:ext="edit">
        <o:r id="V:Rule2"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B3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AA3B3C"/>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customStyle="1" w:styleId="SCCLsocPrefix">
    <w:name w:val="SCC.Lsoc.Prefix"/>
    <w:basedOn w:val="Normal"/>
    <w:next w:val="Normal"/>
    <w:link w:val="SCCLsocPrefixChar"/>
    <w:rsid w:val="00164196"/>
    <w:rPr>
      <w:rFonts w:eastAsia="Calibri"/>
      <w:b/>
      <w:smallCaps/>
      <w:szCs w:val="24"/>
      <w:lang w:val="en-CA"/>
    </w:rPr>
  </w:style>
  <w:style w:type="character" w:customStyle="1" w:styleId="SCCLsocPrefixChar">
    <w:name w:val="SCC.Lsoc.Prefix Char"/>
    <w:basedOn w:val="DefaultParagraphFont"/>
    <w:link w:val="SCCLsocPrefix"/>
    <w:rsid w:val="00164196"/>
    <w:rPr>
      <w:rFonts w:eastAsia="Calibri" w:cs="Times New Roman"/>
      <w:b/>
      <w:smallCap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1985085">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708459005">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2248844">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525904105">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09304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580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5023</CharactersWithSpaces>
  <SharedDoc>false</SharedDoc>
  <HLinks>
    <vt:vector size="36" baseType="variant">
      <vt:variant>
        <vt:i4>524364</vt:i4>
      </vt:variant>
      <vt:variant>
        <vt:i4>17</vt:i4>
      </vt:variant>
      <vt:variant>
        <vt:i4>0</vt:i4>
      </vt:variant>
      <vt:variant>
        <vt:i4>5</vt:i4>
      </vt:variant>
      <vt:variant>
        <vt:lpwstr>http://www.scc-csc.gc.ca/news-nouv/rel-com/subs-abon-fra.aspx</vt:lpwstr>
      </vt:variant>
      <vt:variant>
        <vt:lpwstr/>
      </vt:variant>
      <vt:variant>
        <vt:i4>852048</vt:i4>
      </vt:variant>
      <vt:variant>
        <vt:i4>14</vt:i4>
      </vt:variant>
      <vt:variant>
        <vt:i4>0</vt:i4>
      </vt:variant>
      <vt:variant>
        <vt:i4>5</vt:i4>
      </vt:variant>
      <vt:variant>
        <vt:lpwstr>http://www.scc-csc.gc.ca/news-nouv/rel-com/subs-abon-eng.aspx</vt:lpwstr>
      </vt:variant>
      <vt:variant>
        <vt:lpwstr/>
      </vt:variant>
      <vt:variant>
        <vt:i4>3080213</vt:i4>
      </vt:variant>
      <vt:variant>
        <vt:i4>11</vt:i4>
      </vt:variant>
      <vt:variant>
        <vt:i4>0</vt:i4>
      </vt:variant>
      <vt:variant>
        <vt:i4>5</vt:i4>
      </vt:variant>
      <vt:variant>
        <vt:lpwstr>mailto:comments-commentaires@scc-csc.ca</vt:lpwstr>
      </vt:variant>
      <vt:variant>
        <vt:lpwstr/>
      </vt:variant>
      <vt:variant>
        <vt:i4>720924</vt:i4>
      </vt:variant>
      <vt:variant>
        <vt:i4>8</vt:i4>
      </vt:variant>
      <vt:variant>
        <vt:i4>0</vt:i4>
      </vt:variant>
      <vt:variant>
        <vt:i4>5</vt:i4>
      </vt:variant>
      <vt:variant>
        <vt:lpwstr>http://www.scc-csc.gc.ca/case-dossier/info/sum-som-fra.aspx?cas=35626</vt:lpwstr>
      </vt:variant>
      <vt:variant>
        <vt:lpwstr/>
      </vt:variant>
      <vt:variant>
        <vt:i4>2359358</vt:i4>
      </vt:variant>
      <vt:variant>
        <vt:i4>5</vt:i4>
      </vt:variant>
      <vt:variant>
        <vt:i4>0</vt:i4>
      </vt:variant>
      <vt:variant>
        <vt:i4>5</vt:i4>
      </vt:variant>
      <vt:variant>
        <vt:lpwstr>http://scc-csc.lexum.com/scc-csc/news/fr/item/4907/index.do</vt:lpwstr>
      </vt:variant>
      <vt:variant>
        <vt:lpwstr/>
      </vt:variant>
      <vt:variant>
        <vt:i4>3670077</vt:i4>
      </vt:variant>
      <vt:variant>
        <vt:i4>2</vt:i4>
      </vt:variant>
      <vt:variant>
        <vt:i4>0</vt:i4>
      </vt:variant>
      <vt:variant>
        <vt:i4>5</vt:i4>
      </vt:variant>
      <vt:variant>
        <vt:lpwstr>http://scc-csc.lexum.com/scc-csc/news/en/item/4907/index.do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2015-07-06T15:34:00Z</dcterms:created>
  <dcterms:modified xsi:type="dcterms:W3CDTF">2015-11-27T15:25:00Z</dcterms:modified>
</cp:coreProperties>
</file>