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FD4741" w:rsidP="00214729">
      <w:pPr>
        <w:widowControl w:val="0"/>
        <w:jc w:val="center"/>
        <w:rPr>
          <w:b/>
        </w:rPr>
      </w:pPr>
      <w:r>
        <w:fldChar w:fldCharType="begin"/>
      </w:r>
      <w:r w:rsidR="00FA7412">
        <w:instrText xml:space="preserve"> SEQ CHAPTER \h \r 1</w:instrText>
      </w:r>
      <w:r>
        <w:fldChar w:fldCharType="end"/>
      </w:r>
      <w:r w:rsidR="00455BB9">
        <w:rPr>
          <w:b/>
        </w:rPr>
        <w:t>JUDGMENT</w:t>
      </w:r>
      <w:r w:rsidR="00FA7412">
        <w:rPr>
          <w:b/>
        </w:rPr>
        <w:t xml:space="preserve"> TO BE RENDERED IN APPEAL</w:t>
      </w:r>
    </w:p>
    <w:p w:rsidR="005A7C1B" w:rsidRDefault="005A7C1B" w:rsidP="005A7C1B">
      <w:pPr>
        <w:widowControl w:val="0"/>
        <w:rPr>
          <w:b/>
        </w:rPr>
      </w:pPr>
    </w:p>
    <w:p w:rsidR="00EC79B0" w:rsidRPr="00497B5E" w:rsidRDefault="00235A05" w:rsidP="00EC79B0">
      <w:pPr>
        <w:widowControl w:val="0"/>
        <w:rPr>
          <w:b/>
        </w:rPr>
      </w:pPr>
      <w:r>
        <w:rPr>
          <w:b/>
        </w:rPr>
        <w:t>Ju</w:t>
      </w:r>
      <w:r w:rsidR="00524290">
        <w:rPr>
          <w:b/>
        </w:rPr>
        <w:t xml:space="preserve">ly </w:t>
      </w:r>
      <w:r w:rsidR="005930F7">
        <w:rPr>
          <w:b/>
        </w:rPr>
        <w:t>13</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Pr="00D27548" w:rsidRDefault="00EC79B0" w:rsidP="00EC79B0">
      <w:pPr>
        <w:widowControl w:val="0"/>
        <w:rPr>
          <w:lang w:val="fr-CA"/>
        </w:rPr>
      </w:pPr>
      <w:r w:rsidRPr="00497B5E">
        <w:rPr>
          <w:b/>
        </w:rPr>
        <w:t>OTTAWA</w:t>
      </w:r>
      <w:r w:rsidRPr="00497B5E">
        <w:t xml:space="preserve"> – </w:t>
      </w:r>
      <w:r>
        <w:t>The Supreme Court of Canad</w:t>
      </w:r>
      <w:r w:rsidR="00455BB9">
        <w:t>a announced today that judgment</w:t>
      </w:r>
      <w:r>
        <w:t xml:space="preserve"> in the following appeal</w:t>
      </w:r>
      <w:r w:rsidR="00A80C95">
        <w:t xml:space="preserve"> </w:t>
      </w:r>
      <w:r>
        <w:t>will be delivered at 9:45 a.m. E</w:t>
      </w:r>
      <w:r w:rsidR="00E63199">
        <w:t>D</w:t>
      </w:r>
      <w:r w:rsidR="00DC6C1E">
        <w:t>T</w:t>
      </w:r>
      <w:r w:rsidR="00D74667">
        <w:t xml:space="preserve"> on</w:t>
      </w:r>
      <w:r w:rsidR="00DC6C1E">
        <w:t xml:space="preserve"> </w:t>
      </w:r>
      <w:r w:rsidR="005930F7">
        <w:t>Fri</w:t>
      </w:r>
      <w:r w:rsidR="00164196">
        <w:t>day</w:t>
      </w:r>
      <w:r w:rsidR="007E79BD">
        <w:t xml:space="preserve">, </w:t>
      </w:r>
      <w:r w:rsidR="00235A05">
        <w:t>Ju</w:t>
      </w:r>
      <w:r w:rsidR="00524290">
        <w:t>ly</w:t>
      </w:r>
      <w:r w:rsidR="00235A05">
        <w:t xml:space="preserve"> </w:t>
      </w:r>
      <w:r w:rsidR="005930F7">
        <w:t>17</w:t>
      </w:r>
      <w:r w:rsidR="007E79BD">
        <w:t>,</w:t>
      </w:r>
      <w:r w:rsidR="00E63199">
        <w:t xml:space="preserve"> 2</w:t>
      </w:r>
      <w:r w:rsidR="0086609D">
        <w:t>015</w:t>
      </w:r>
      <w:r w:rsidR="00455BB9">
        <w:t xml:space="preserve">.  </w:t>
      </w:r>
      <w:r w:rsidR="00455BB9" w:rsidRPr="00D27548">
        <w:rPr>
          <w:lang w:val="fr-CA"/>
        </w:rPr>
        <w:t>This</w:t>
      </w:r>
      <w:r w:rsidRPr="00D27548">
        <w:rPr>
          <w:lang w:val="fr-CA"/>
        </w:rPr>
        <w:t xml:space="preserve"> list is subject to change.</w:t>
      </w:r>
    </w:p>
    <w:p w:rsidR="001C4415" w:rsidRPr="00D27548" w:rsidRDefault="001C4415" w:rsidP="001C4415">
      <w:pPr>
        <w:widowControl w:val="0"/>
        <w:rPr>
          <w:szCs w:val="24"/>
          <w:lang w:val="fr-CA"/>
        </w:rPr>
      </w:pPr>
    </w:p>
    <w:p w:rsidR="001C4415" w:rsidRPr="00D27548" w:rsidRDefault="001C4415" w:rsidP="001C4415">
      <w:pPr>
        <w:widowControl w:val="0"/>
        <w:rPr>
          <w:lang w:val="fr-CA"/>
        </w:rPr>
      </w:pPr>
    </w:p>
    <w:p w:rsidR="001335A1" w:rsidRDefault="001335A1" w:rsidP="001335A1">
      <w:pPr>
        <w:widowControl w:val="0"/>
        <w:jc w:val="center"/>
        <w:rPr>
          <w:b/>
          <w:lang w:val="fr-CA"/>
        </w:rPr>
      </w:pPr>
      <w:r w:rsidRPr="00E2187E">
        <w:rPr>
          <w:b/>
          <w:lang w:val="fr-CA"/>
        </w:rPr>
        <w:t>PROCHAIN JUGEMENT</w:t>
      </w:r>
      <w:r w:rsidR="00455BB9">
        <w:rPr>
          <w:b/>
          <w:lang w:val="fr-CA"/>
        </w:rPr>
        <w:t xml:space="preserve"> SUR APPEL</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5930F7">
        <w:rPr>
          <w:b/>
          <w:lang w:val="fr-CA"/>
        </w:rPr>
        <w:t>13</w:t>
      </w:r>
      <w:r w:rsidR="00235A05">
        <w:rPr>
          <w:b/>
          <w:lang w:val="fr-CA"/>
        </w:rPr>
        <w:t xml:space="preserve"> jui</w:t>
      </w:r>
      <w:r w:rsidR="00524290">
        <w:rPr>
          <w:b/>
          <w:lang w:val="fr-CA"/>
        </w:rPr>
        <w:t>llet</w:t>
      </w:r>
      <w:r w:rsidR="00235A05">
        <w:rPr>
          <w:b/>
          <w:lang w:val="fr-CA"/>
        </w:rPr>
        <w:t xml:space="preserve">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A80C95">
        <w:rPr>
          <w:lang w:val="fr-CA"/>
        </w:rPr>
        <w:t>’</w:t>
      </w:r>
      <w:r>
        <w:rPr>
          <w:lang w:val="fr-CA"/>
        </w:rPr>
        <w:t>appel suivant</w:t>
      </w:r>
      <w:r w:rsidRPr="00E2187E">
        <w:rPr>
          <w:lang w:val="fr-CA"/>
        </w:rPr>
        <w:t xml:space="preserve"> </w:t>
      </w:r>
      <w:r w:rsidR="00C56239">
        <w:rPr>
          <w:lang w:val="fr-CA"/>
        </w:rPr>
        <w:t xml:space="preserve">le </w:t>
      </w:r>
      <w:r w:rsidR="005930F7">
        <w:rPr>
          <w:lang w:val="fr-CA"/>
        </w:rPr>
        <w:t>vendre</w:t>
      </w:r>
      <w:r w:rsidR="00203F40">
        <w:rPr>
          <w:lang w:val="fr-CA"/>
        </w:rPr>
        <w:t>di</w:t>
      </w:r>
      <w:r w:rsidR="002001C7">
        <w:rPr>
          <w:lang w:val="fr-CA"/>
        </w:rPr>
        <w:t xml:space="preserve"> </w:t>
      </w:r>
      <w:r w:rsidR="005930F7">
        <w:rPr>
          <w:lang w:val="fr-CA"/>
        </w:rPr>
        <w:t>17</w:t>
      </w:r>
      <w:r w:rsidR="00235A05">
        <w:rPr>
          <w:lang w:val="fr-CA"/>
        </w:rPr>
        <w:t xml:space="preserve"> jui</w:t>
      </w:r>
      <w:r w:rsidR="00524290">
        <w:rPr>
          <w:lang w:val="fr-CA"/>
        </w:rPr>
        <w:t>llet</w:t>
      </w:r>
      <w:r w:rsidR="00C56239">
        <w:rPr>
          <w:lang w:val="fr-CA"/>
        </w:rPr>
        <w:t xml:space="preserve"> </w:t>
      </w:r>
      <w:r>
        <w:rPr>
          <w:lang w:val="fr-CA"/>
        </w:rPr>
        <w:t>201</w:t>
      </w:r>
      <w:r w:rsidR="0086609D">
        <w:rPr>
          <w:lang w:val="fr-CA"/>
        </w:rPr>
        <w:t>5</w:t>
      </w:r>
      <w:r>
        <w:rPr>
          <w:lang w:val="fr-CA"/>
        </w:rPr>
        <w:t>,</w:t>
      </w:r>
      <w:r w:rsidRPr="00E2187E">
        <w:rPr>
          <w:lang w:val="fr-CA"/>
        </w:rPr>
        <w:t xml:space="preserve"> à 9 h 45 </w:t>
      </w:r>
      <w:r>
        <w:rPr>
          <w:lang w:val="fr-CA"/>
        </w:rPr>
        <w:t>H</w:t>
      </w:r>
      <w:r w:rsidR="00E63199">
        <w:rPr>
          <w:lang w:val="fr-CA"/>
        </w:rPr>
        <w:t>A</w:t>
      </w:r>
      <w:r>
        <w:rPr>
          <w:lang w:val="fr-CA"/>
        </w:rPr>
        <w:t>E.  C</w:t>
      </w:r>
      <w:r w:rsidRPr="00E2187E">
        <w:rPr>
          <w:lang w:val="fr-CA"/>
        </w:rPr>
        <w:t>ette liste est</w:t>
      </w:r>
      <w:r>
        <w:rPr>
          <w:lang w:val="fr-CA"/>
        </w:rPr>
        <w:t xml:space="preserve"> sujette </w:t>
      </w:r>
      <w:r w:rsidRPr="00E2187E">
        <w:rPr>
          <w:lang w:val="fr-CA"/>
        </w:rPr>
        <w:t>à modifications.</w:t>
      </w:r>
    </w:p>
    <w:p w:rsidR="001335A1" w:rsidRPr="001D0423" w:rsidRDefault="001335A1" w:rsidP="001335A1">
      <w:pPr>
        <w:widowControl w:val="0"/>
        <w:outlineLvl w:val="0"/>
        <w:rPr>
          <w:szCs w:val="24"/>
          <w:lang w:val="fr-CA"/>
        </w:rPr>
      </w:pPr>
    </w:p>
    <w:p w:rsidR="001335A1" w:rsidRDefault="00D27548" w:rsidP="001335A1">
      <w:pPr>
        <w:widowControl w:val="0"/>
        <w:rPr>
          <w:sz w:val="20"/>
          <w:lang w:val="fr-CA"/>
        </w:rPr>
      </w:pPr>
      <w:r>
        <w:rPr>
          <w:noProof/>
          <w:sz w:val="20"/>
        </w:rPr>
        <w:pict>
          <v:shapetype id="_x0000_t32" coordsize="21600,21600" o:spt="32" o:oned="t" path="m,l21600,21600e" filled="f">
            <v:path arrowok="t" fillok="f" o:connecttype="none"/>
            <o:lock v:ext="edit" shapetype="t"/>
          </v:shapetype>
          <v:shape id="_x0000_s1031" type="#_x0000_t32" style="position:absolute;margin-left:0;margin-top:7.25pt;width:246.95pt;height:0;z-index:251657728;mso-position-horizontal:center;mso-position-horizontal-relative:margin" o:connectortype="straight">
            <w10:wrap anchorx="margin"/>
          </v:shape>
        </w:pict>
      </w:r>
    </w:p>
    <w:p w:rsidR="00E674FF" w:rsidRPr="000F5956" w:rsidRDefault="00E674FF" w:rsidP="00EC79B0">
      <w:pPr>
        <w:jc w:val="both"/>
        <w:rPr>
          <w:szCs w:val="24"/>
          <w:lang w:val="fr-CA"/>
        </w:rPr>
      </w:pPr>
    </w:p>
    <w:p w:rsidR="005930F7" w:rsidRPr="005930F7" w:rsidRDefault="005930F7" w:rsidP="005930F7">
      <w:pPr>
        <w:widowControl w:val="0"/>
        <w:tabs>
          <w:tab w:val="center" w:pos="4680"/>
        </w:tabs>
        <w:autoSpaceDE w:val="0"/>
        <w:autoSpaceDN w:val="0"/>
        <w:adjustRightInd w:val="0"/>
        <w:rPr>
          <w:rFonts w:eastAsiaTheme="minorEastAsia"/>
          <w:szCs w:val="24"/>
        </w:rPr>
      </w:pPr>
      <w:r w:rsidRPr="00D27548">
        <w:rPr>
          <w:rFonts w:eastAsiaTheme="minorEastAsia"/>
          <w:i/>
          <w:szCs w:val="24"/>
          <w:lang w:val="fr-CA"/>
        </w:rPr>
        <w:t xml:space="preserve">Her Majesty the Queen v. Jason Rodgerson </w:t>
      </w:r>
      <w:r w:rsidRPr="00D27548">
        <w:rPr>
          <w:rFonts w:eastAsiaTheme="minorEastAsia"/>
          <w:szCs w:val="24"/>
          <w:lang w:val="fr-CA"/>
        </w:rPr>
        <w:t xml:space="preserve">(Ont.) </w:t>
      </w:r>
      <w:r>
        <w:rPr>
          <w:rFonts w:eastAsiaTheme="minorEastAsia"/>
          <w:szCs w:val="24"/>
        </w:rPr>
        <w:t>(</w:t>
      </w:r>
      <w:hyperlink r:id="rId7" w:history="1">
        <w:r w:rsidRPr="005930F7">
          <w:rPr>
            <w:rStyle w:val="Hyperlink"/>
            <w:rFonts w:eastAsiaTheme="minorEastAsia"/>
            <w:szCs w:val="24"/>
          </w:rPr>
          <w:t>35947</w:t>
        </w:r>
      </w:hyperlink>
      <w:r>
        <w:rPr>
          <w:rFonts w:eastAsiaTheme="minorEastAsia"/>
          <w:szCs w:val="24"/>
        </w:rPr>
        <w:t>)</w:t>
      </w:r>
    </w:p>
    <w:p w:rsidR="00524290" w:rsidRPr="006722E4" w:rsidRDefault="00524290" w:rsidP="006722E4">
      <w:pPr>
        <w:jc w:val="both"/>
        <w:rPr>
          <w:sz w:val="20"/>
        </w:rPr>
      </w:pPr>
    </w:p>
    <w:p w:rsidR="00524290" w:rsidRPr="006722E4" w:rsidRDefault="00524290" w:rsidP="006722E4">
      <w:pPr>
        <w:jc w:val="both"/>
        <w:rPr>
          <w:sz w:val="20"/>
        </w:rPr>
      </w:pPr>
    </w:p>
    <w:bookmarkStart w:id="1" w:name="1"/>
    <w:bookmarkEnd w:id="1"/>
    <w:p w:rsidR="006722E4" w:rsidRPr="006722E4" w:rsidRDefault="006722E4" w:rsidP="006722E4">
      <w:pPr>
        <w:widowControl w:val="0"/>
        <w:ind w:left="567" w:hanging="567"/>
        <w:jc w:val="both"/>
        <w:rPr>
          <w:sz w:val="20"/>
          <w:lang w:val="en-CA"/>
        </w:rPr>
      </w:pPr>
      <w:r w:rsidRPr="006722E4">
        <w:rPr>
          <w:b/>
          <w:sz w:val="20"/>
          <w:lang w:val="en-CA"/>
        </w:rPr>
        <w:fldChar w:fldCharType="begin"/>
      </w:r>
      <w:r w:rsidRPr="006722E4">
        <w:rPr>
          <w:b/>
          <w:sz w:val="20"/>
        </w:rPr>
        <w:instrText xml:space="preserve"> SEQ CHAPTER \h \r 1</w:instrText>
      </w:r>
      <w:r w:rsidRPr="006722E4">
        <w:rPr>
          <w:b/>
          <w:sz w:val="20"/>
        </w:rPr>
        <w:fldChar w:fldCharType="end"/>
      </w:r>
      <w:r w:rsidRPr="006722E4">
        <w:rPr>
          <w:b/>
          <w:sz w:val="20"/>
          <w:lang w:val="en-CA"/>
        </w:rPr>
        <w:t>35947</w:t>
      </w:r>
      <w:r w:rsidRPr="006722E4">
        <w:rPr>
          <w:sz w:val="20"/>
          <w:lang w:val="en-CA"/>
        </w:rPr>
        <w:tab/>
      </w:r>
      <w:bookmarkStart w:id="2" w:name="3"/>
      <w:bookmarkEnd w:id="2"/>
      <w:r w:rsidRPr="006722E4">
        <w:rPr>
          <w:b/>
          <w:i/>
          <w:sz w:val="20"/>
          <w:lang w:val="en-CA"/>
        </w:rPr>
        <w:t xml:space="preserve">Her Majesty the Queen v. Jason </w:t>
      </w:r>
      <w:proofErr w:type="spellStart"/>
      <w:r w:rsidRPr="006722E4">
        <w:rPr>
          <w:b/>
          <w:i/>
          <w:sz w:val="20"/>
          <w:lang w:val="en-CA"/>
        </w:rPr>
        <w:t>Rodgerson</w:t>
      </w:r>
      <w:proofErr w:type="spellEnd"/>
    </w:p>
    <w:p w:rsidR="006722E4" w:rsidRPr="006722E4" w:rsidRDefault="006722E4" w:rsidP="006722E4">
      <w:pPr>
        <w:widowControl w:val="0"/>
        <w:jc w:val="both"/>
        <w:rPr>
          <w:sz w:val="20"/>
          <w:lang w:val="en-CA"/>
        </w:rPr>
      </w:pPr>
    </w:p>
    <w:p w:rsidR="006722E4" w:rsidRPr="006722E4" w:rsidRDefault="006722E4" w:rsidP="006722E4">
      <w:pPr>
        <w:widowControl w:val="0"/>
        <w:jc w:val="both"/>
        <w:rPr>
          <w:sz w:val="20"/>
          <w:lang w:val="en-CA"/>
        </w:rPr>
      </w:pPr>
      <w:r w:rsidRPr="006722E4">
        <w:rPr>
          <w:sz w:val="20"/>
          <w:lang w:val="en-CA"/>
        </w:rPr>
        <w:t xml:space="preserve">Criminal law - Evidence - Post-offence conduct - Curative proviso - Whether the majority of the Court of Appeal erred in law by finding reversible error in the jury charge because the judge failed to explain to the jury the mandatory reasoning process through which it could consider the relevant post-offence conduct in assessing the issue of intent for murder - Whether the majority erred in law by failing to apply the curative proviso in s. 686(1)(b)(iii) of the </w:t>
      </w:r>
      <w:r w:rsidRPr="006722E4">
        <w:rPr>
          <w:i/>
          <w:sz w:val="20"/>
          <w:lang w:val="en-CA"/>
        </w:rPr>
        <w:t>Criminal Code</w:t>
      </w:r>
      <w:r w:rsidRPr="006722E4">
        <w:rPr>
          <w:sz w:val="20"/>
          <w:lang w:val="en-CA"/>
        </w:rPr>
        <w:t xml:space="preserve">, R.S.C. 1985, c. C-46. </w:t>
      </w:r>
    </w:p>
    <w:p w:rsidR="006722E4" w:rsidRPr="006722E4" w:rsidRDefault="006722E4" w:rsidP="006722E4">
      <w:pPr>
        <w:widowControl w:val="0"/>
        <w:jc w:val="both"/>
        <w:rPr>
          <w:sz w:val="20"/>
          <w:lang w:val="en-CA"/>
        </w:rPr>
      </w:pPr>
    </w:p>
    <w:p w:rsidR="006722E4" w:rsidRPr="006722E4" w:rsidRDefault="006722E4" w:rsidP="006722E4">
      <w:pPr>
        <w:widowControl w:val="0"/>
        <w:jc w:val="both"/>
        <w:rPr>
          <w:sz w:val="20"/>
          <w:lang w:val="en-CA"/>
        </w:rPr>
      </w:pPr>
      <w:bookmarkStart w:id="3" w:name="QuickMark_1"/>
      <w:bookmarkEnd w:id="3"/>
      <w:r w:rsidRPr="006722E4">
        <w:rPr>
          <w:sz w:val="20"/>
          <w:lang w:val="en-CA"/>
        </w:rPr>
        <w:t xml:space="preserve">The respondent was convicted of second degree murder.  He killed a woman he met at a bar and buried her body outside in a shallow grave behind his garage.  At trial, the respondent argued that the forensic evidence supported his version of the events which was that a short altercation occurred in the bedroom, during which he was attacked and stabbed by the victim.  The respondent argued that in an attempt to defend himself, he inadvertently smothered the victim by placing his arm across her nose and mouth.  A majority of the Court of Appeal allowed the respondent’s appeal from conviction and ordered a new trial.  In its view, the trial judge committed two errors.  First, he misdirected the jury to consider the respondent’s flight and lies to police on the issue of intent for murder.  Second, while the respondent’s efforts to bury the body and clean up the scene were potentially probative of the respondent’s state of mind at the time he killed the victim, the trial judge failed to adequately instruct the jury on how that evidence could be used. MacPherson J.A., dissenting, would have dismissed the appeal. </w:t>
      </w:r>
    </w:p>
    <w:p w:rsidR="006722E4" w:rsidRPr="006722E4" w:rsidRDefault="006722E4" w:rsidP="006722E4">
      <w:pPr>
        <w:widowControl w:val="0"/>
        <w:jc w:val="both"/>
        <w:rPr>
          <w:sz w:val="20"/>
          <w:lang w:val="en-CA"/>
        </w:rPr>
      </w:pPr>
    </w:p>
    <w:p w:rsidR="006722E4" w:rsidRPr="006722E4" w:rsidRDefault="006722E4" w:rsidP="006722E4">
      <w:pPr>
        <w:widowControl w:val="0"/>
        <w:jc w:val="both"/>
        <w:rPr>
          <w:sz w:val="20"/>
          <w:lang w:val="en-CA"/>
        </w:rPr>
      </w:pPr>
    </w:p>
    <w:p w:rsidR="006722E4" w:rsidRPr="006722E4" w:rsidRDefault="006722E4" w:rsidP="006722E4">
      <w:pPr>
        <w:widowControl w:val="0"/>
        <w:jc w:val="both"/>
        <w:rPr>
          <w:sz w:val="20"/>
          <w:lang w:val="en-CA"/>
        </w:rPr>
      </w:pPr>
      <w:r w:rsidRPr="006722E4">
        <w:rPr>
          <w:sz w:val="20"/>
          <w:lang w:val="en-CA"/>
        </w:rPr>
        <w:t>Origin of the case:</w:t>
      </w:r>
      <w:r w:rsidRPr="006722E4">
        <w:rPr>
          <w:sz w:val="20"/>
          <w:lang w:val="en-CA"/>
        </w:rPr>
        <w:tab/>
      </w:r>
      <w:r w:rsidRPr="006722E4">
        <w:rPr>
          <w:sz w:val="20"/>
          <w:lang w:val="en-CA"/>
        </w:rPr>
        <w:tab/>
      </w:r>
      <w:r>
        <w:rPr>
          <w:sz w:val="20"/>
          <w:lang w:val="en-CA"/>
        </w:rPr>
        <w:tab/>
      </w:r>
      <w:r w:rsidRPr="006722E4">
        <w:rPr>
          <w:sz w:val="20"/>
          <w:lang w:val="en-CA"/>
        </w:rPr>
        <w:tab/>
      </w:r>
      <w:bookmarkStart w:id="4" w:name="4"/>
      <w:bookmarkEnd w:id="4"/>
      <w:r w:rsidRPr="006722E4">
        <w:rPr>
          <w:sz w:val="20"/>
          <w:lang w:val="en-CA"/>
        </w:rPr>
        <w:t>Ontario</w:t>
      </w:r>
    </w:p>
    <w:p w:rsidR="006722E4" w:rsidRPr="006722E4" w:rsidRDefault="006722E4" w:rsidP="006722E4">
      <w:pPr>
        <w:widowControl w:val="0"/>
        <w:jc w:val="both"/>
        <w:rPr>
          <w:sz w:val="20"/>
          <w:lang w:val="en-CA"/>
        </w:rPr>
      </w:pPr>
    </w:p>
    <w:p w:rsidR="006722E4" w:rsidRPr="006722E4" w:rsidRDefault="006722E4" w:rsidP="006722E4">
      <w:pPr>
        <w:widowControl w:val="0"/>
        <w:jc w:val="both"/>
        <w:rPr>
          <w:sz w:val="20"/>
          <w:lang w:val="en-CA"/>
        </w:rPr>
      </w:pPr>
      <w:r w:rsidRPr="006722E4">
        <w:rPr>
          <w:sz w:val="20"/>
          <w:lang w:val="en-CA"/>
        </w:rPr>
        <w:t>File No.:</w:t>
      </w:r>
      <w:r w:rsidRPr="006722E4">
        <w:rPr>
          <w:sz w:val="20"/>
          <w:lang w:val="en-CA"/>
        </w:rPr>
        <w:tab/>
      </w:r>
      <w:r w:rsidRPr="006722E4">
        <w:rPr>
          <w:sz w:val="20"/>
          <w:lang w:val="en-CA"/>
        </w:rPr>
        <w:tab/>
      </w:r>
      <w:r w:rsidRPr="006722E4">
        <w:rPr>
          <w:sz w:val="20"/>
          <w:lang w:val="en-CA"/>
        </w:rPr>
        <w:tab/>
      </w:r>
      <w:r w:rsidRPr="006722E4">
        <w:rPr>
          <w:sz w:val="20"/>
          <w:lang w:val="en-CA"/>
        </w:rPr>
        <w:tab/>
      </w:r>
      <w:bookmarkStart w:id="5" w:name="2"/>
      <w:bookmarkEnd w:id="5"/>
      <w:r>
        <w:rPr>
          <w:sz w:val="20"/>
          <w:lang w:val="en-CA"/>
        </w:rPr>
        <w:tab/>
      </w:r>
      <w:r>
        <w:rPr>
          <w:sz w:val="20"/>
          <w:lang w:val="en-CA"/>
        </w:rPr>
        <w:tab/>
      </w:r>
      <w:r>
        <w:rPr>
          <w:sz w:val="20"/>
          <w:lang w:val="en-CA"/>
        </w:rPr>
        <w:tab/>
      </w:r>
      <w:r w:rsidRPr="006722E4">
        <w:rPr>
          <w:sz w:val="20"/>
          <w:lang w:val="en-CA"/>
        </w:rPr>
        <w:t>35947</w:t>
      </w:r>
    </w:p>
    <w:p w:rsidR="006722E4" w:rsidRPr="006722E4" w:rsidRDefault="006722E4" w:rsidP="006722E4">
      <w:pPr>
        <w:widowControl w:val="0"/>
        <w:jc w:val="both"/>
        <w:rPr>
          <w:sz w:val="20"/>
          <w:lang w:val="en-CA"/>
        </w:rPr>
      </w:pPr>
    </w:p>
    <w:p w:rsidR="006722E4" w:rsidRPr="006722E4" w:rsidRDefault="006722E4" w:rsidP="006722E4">
      <w:pPr>
        <w:widowControl w:val="0"/>
        <w:jc w:val="both"/>
        <w:rPr>
          <w:sz w:val="20"/>
          <w:lang w:val="en-CA"/>
        </w:rPr>
      </w:pPr>
      <w:r w:rsidRPr="006722E4">
        <w:rPr>
          <w:sz w:val="20"/>
          <w:lang w:val="en-CA"/>
        </w:rPr>
        <w:lastRenderedPageBreak/>
        <w:t>Judgment of the Court of Appeal:</w:t>
      </w:r>
      <w:r w:rsidRPr="006722E4">
        <w:rPr>
          <w:sz w:val="20"/>
          <w:lang w:val="en-CA"/>
        </w:rPr>
        <w:tab/>
      </w:r>
      <w:bookmarkStart w:id="6" w:name="5"/>
      <w:bookmarkEnd w:id="6"/>
      <w:r w:rsidRPr="006722E4">
        <w:rPr>
          <w:sz w:val="20"/>
          <w:lang w:val="en-CA"/>
        </w:rPr>
        <w:t>May 8, 2014</w:t>
      </w:r>
    </w:p>
    <w:p w:rsidR="006722E4" w:rsidRPr="006722E4" w:rsidRDefault="006722E4" w:rsidP="006722E4">
      <w:pPr>
        <w:widowControl w:val="0"/>
        <w:jc w:val="both"/>
        <w:rPr>
          <w:sz w:val="20"/>
          <w:lang w:val="en-CA"/>
        </w:rPr>
      </w:pPr>
    </w:p>
    <w:p w:rsidR="006722E4" w:rsidRPr="006722E4" w:rsidRDefault="006722E4" w:rsidP="006722E4">
      <w:pPr>
        <w:widowControl w:val="0"/>
        <w:jc w:val="both"/>
        <w:rPr>
          <w:sz w:val="20"/>
          <w:lang w:val="en-CA"/>
        </w:rPr>
      </w:pPr>
      <w:r w:rsidRPr="006722E4">
        <w:rPr>
          <w:sz w:val="20"/>
          <w:lang w:val="en-CA"/>
        </w:rPr>
        <w:t>Counsel:</w:t>
      </w:r>
      <w:r w:rsidRPr="006722E4">
        <w:rPr>
          <w:sz w:val="20"/>
          <w:lang w:val="en-CA"/>
        </w:rPr>
        <w:tab/>
      </w:r>
      <w:r w:rsidRPr="006722E4">
        <w:rPr>
          <w:sz w:val="20"/>
          <w:lang w:val="en-CA"/>
        </w:rPr>
        <w:tab/>
      </w:r>
      <w:r w:rsidRPr="006722E4">
        <w:rPr>
          <w:sz w:val="20"/>
          <w:lang w:val="en-CA"/>
        </w:rPr>
        <w:tab/>
      </w:r>
      <w:r w:rsidRPr="006722E4">
        <w:rPr>
          <w:sz w:val="20"/>
          <w:lang w:val="en-CA"/>
        </w:rPr>
        <w:tab/>
      </w:r>
      <w:bookmarkStart w:id="7" w:name="6"/>
      <w:bookmarkEnd w:id="7"/>
      <w:r>
        <w:rPr>
          <w:sz w:val="20"/>
          <w:lang w:val="en-CA"/>
        </w:rPr>
        <w:tab/>
      </w:r>
      <w:r>
        <w:rPr>
          <w:sz w:val="20"/>
          <w:lang w:val="en-CA"/>
        </w:rPr>
        <w:tab/>
      </w:r>
      <w:r>
        <w:rPr>
          <w:sz w:val="20"/>
          <w:lang w:val="en-CA"/>
        </w:rPr>
        <w:tab/>
      </w:r>
      <w:r w:rsidRPr="006722E4">
        <w:rPr>
          <w:sz w:val="20"/>
          <w:lang w:val="en-CA"/>
        </w:rPr>
        <w:t>Megan Stephens for the appellant</w:t>
      </w:r>
    </w:p>
    <w:p w:rsidR="006722E4" w:rsidRPr="006722E4" w:rsidRDefault="006722E4" w:rsidP="006722E4">
      <w:pPr>
        <w:widowControl w:val="0"/>
        <w:jc w:val="both"/>
        <w:rPr>
          <w:sz w:val="20"/>
          <w:lang w:val="fr-CA"/>
        </w:rPr>
      </w:pPr>
      <w:r w:rsidRPr="006722E4">
        <w:rPr>
          <w:sz w:val="20"/>
          <w:lang w:val="en-CA"/>
        </w:rPr>
        <w:tab/>
      </w:r>
      <w:r w:rsidRPr="006722E4">
        <w:rPr>
          <w:sz w:val="20"/>
          <w:lang w:val="en-CA"/>
        </w:rPr>
        <w:tab/>
      </w:r>
      <w:r w:rsidRPr="006722E4">
        <w:rPr>
          <w:sz w:val="20"/>
          <w:lang w:val="en-CA"/>
        </w:rPr>
        <w:tab/>
      </w:r>
      <w:r w:rsidRPr="006722E4">
        <w:rPr>
          <w:sz w:val="20"/>
          <w:lang w:val="en-CA"/>
        </w:rPr>
        <w:tab/>
      </w:r>
      <w:r w:rsidRPr="006722E4">
        <w:rPr>
          <w:sz w:val="20"/>
          <w:lang w:val="en-CA"/>
        </w:rPr>
        <w:tab/>
      </w:r>
      <w:bookmarkStart w:id="8" w:name="7"/>
      <w:bookmarkEnd w:id="8"/>
      <w:r>
        <w:rPr>
          <w:sz w:val="20"/>
          <w:lang w:val="en-CA"/>
        </w:rPr>
        <w:tab/>
      </w:r>
      <w:r>
        <w:rPr>
          <w:sz w:val="20"/>
          <w:lang w:val="en-CA"/>
        </w:rPr>
        <w:tab/>
      </w:r>
      <w:r>
        <w:rPr>
          <w:sz w:val="20"/>
          <w:lang w:val="en-CA"/>
        </w:rPr>
        <w:tab/>
      </w:r>
      <w:r w:rsidRPr="00D27548">
        <w:rPr>
          <w:sz w:val="20"/>
          <w:lang w:val="fr-CA"/>
        </w:rPr>
        <w:t>Catriona Verner for the respond</w:t>
      </w:r>
      <w:proofErr w:type="spellStart"/>
      <w:r w:rsidRPr="006722E4">
        <w:rPr>
          <w:sz w:val="20"/>
          <w:lang w:val="fr-CA"/>
        </w:rPr>
        <w:t>ent</w:t>
      </w:r>
      <w:proofErr w:type="spellEnd"/>
    </w:p>
    <w:p w:rsidR="006722E4" w:rsidRPr="006722E4" w:rsidRDefault="006722E4" w:rsidP="006722E4">
      <w:pPr>
        <w:jc w:val="both"/>
        <w:rPr>
          <w:sz w:val="20"/>
          <w:lang w:val="fr-CA"/>
        </w:rPr>
      </w:pPr>
    </w:p>
    <w:p w:rsidR="006722E4" w:rsidRPr="006722E4" w:rsidRDefault="006722E4" w:rsidP="006722E4">
      <w:pPr>
        <w:jc w:val="both"/>
        <w:rPr>
          <w:sz w:val="20"/>
          <w:lang w:val="fr-CA"/>
        </w:rPr>
      </w:pPr>
    </w:p>
    <w:p w:rsidR="006722E4" w:rsidRPr="006722E4" w:rsidRDefault="006722E4" w:rsidP="006722E4">
      <w:pPr>
        <w:widowControl w:val="0"/>
        <w:ind w:left="567" w:hanging="567"/>
        <w:jc w:val="both"/>
        <w:rPr>
          <w:rFonts w:eastAsia="Calibri"/>
          <w:b/>
          <w:i/>
          <w:sz w:val="20"/>
          <w:lang w:val="fr-CA"/>
        </w:rPr>
      </w:pPr>
      <w:r w:rsidRPr="006722E4">
        <w:rPr>
          <w:rFonts w:eastAsia="Calibri"/>
          <w:b/>
          <w:sz w:val="20"/>
          <w:lang w:val="fr-CA"/>
        </w:rPr>
        <w:t>35947</w:t>
      </w:r>
      <w:r w:rsidRPr="006722E4">
        <w:rPr>
          <w:rFonts w:eastAsia="Calibri"/>
          <w:b/>
          <w:sz w:val="20"/>
          <w:lang w:val="fr-CA"/>
        </w:rPr>
        <w:tab/>
      </w:r>
      <w:r w:rsidRPr="006722E4">
        <w:rPr>
          <w:rFonts w:eastAsia="Calibri"/>
          <w:b/>
          <w:i/>
          <w:sz w:val="20"/>
          <w:lang w:val="fr-CA"/>
        </w:rPr>
        <w:t xml:space="preserve">Sa </w:t>
      </w:r>
      <w:r w:rsidRPr="006722E4">
        <w:rPr>
          <w:b/>
          <w:i/>
          <w:sz w:val="20"/>
          <w:lang w:val="fr-CA" w:eastAsia="en-CA"/>
        </w:rPr>
        <w:t>Majesté</w:t>
      </w:r>
      <w:r w:rsidRPr="006722E4">
        <w:rPr>
          <w:rFonts w:eastAsia="Calibri"/>
          <w:b/>
          <w:i/>
          <w:sz w:val="20"/>
          <w:lang w:val="fr-CA"/>
        </w:rPr>
        <w:t xml:space="preserve"> la Reine c. Jason </w:t>
      </w:r>
      <w:proofErr w:type="spellStart"/>
      <w:r w:rsidRPr="006722E4">
        <w:rPr>
          <w:rFonts w:eastAsia="Calibri"/>
          <w:b/>
          <w:i/>
          <w:sz w:val="20"/>
          <w:lang w:val="fr-CA"/>
        </w:rPr>
        <w:t>Rodgerson</w:t>
      </w:r>
      <w:proofErr w:type="spellEnd"/>
    </w:p>
    <w:p w:rsidR="006722E4" w:rsidRPr="006722E4" w:rsidRDefault="006722E4" w:rsidP="006722E4">
      <w:pPr>
        <w:widowControl w:val="0"/>
        <w:ind w:left="567" w:hanging="567"/>
        <w:jc w:val="both"/>
        <w:rPr>
          <w:rFonts w:eastAsia="Calibri"/>
          <w:b/>
          <w:sz w:val="20"/>
          <w:lang w:val="fr-CA"/>
        </w:rPr>
      </w:pPr>
    </w:p>
    <w:p w:rsidR="006722E4" w:rsidRPr="006722E4" w:rsidRDefault="006722E4" w:rsidP="006722E4">
      <w:pPr>
        <w:widowControl w:val="0"/>
        <w:jc w:val="both"/>
        <w:rPr>
          <w:rFonts w:eastAsia="Calibri"/>
          <w:sz w:val="20"/>
          <w:lang w:val="fr-CA"/>
        </w:rPr>
      </w:pPr>
      <w:r w:rsidRPr="006722E4">
        <w:rPr>
          <w:rFonts w:eastAsia="Calibri"/>
          <w:sz w:val="20"/>
          <w:lang w:val="fr-CA"/>
        </w:rPr>
        <w:t xml:space="preserve">Droit criminel - Preuve - Comportement postérieur à l’infraction - Disposition réparatrice - Les juges majoritaires de la cour d’appel ont-ils commis une erreur de droit en concluant que les directives du juge au jury comportaient une erreur justifiant l’annulation de la décision parce que le juge </w:t>
      </w:r>
      <w:r w:rsidRPr="006722E4">
        <w:rPr>
          <w:sz w:val="20"/>
          <w:lang w:val="fr-CA" w:eastAsia="en-CA"/>
        </w:rPr>
        <w:t>n’avait</w:t>
      </w:r>
      <w:r w:rsidRPr="006722E4">
        <w:rPr>
          <w:rFonts w:eastAsia="Calibri"/>
          <w:sz w:val="20"/>
          <w:lang w:val="fr-CA"/>
        </w:rPr>
        <w:t xml:space="preserve"> pas expliqué au jury le raisonnement qu’il devait appliquer à la prise en compte du comportement postérieur à l’infraction dans l’appréciation de la question de l’intention de commettre un meurtre? - Les juges majoritaires ont-ils commis une erreur de droit lorsqu’ils n’ont pas appliqué la disposition réparatrice du sous-al. 686(1)</w:t>
      </w:r>
      <w:r w:rsidRPr="006722E4">
        <w:rPr>
          <w:rFonts w:eastAsia="Calibri"/>
          <w:i/>
          <w:sz w:val="20"/>
          <w:lang w:val="fr-CA"/>
        </w:rPr>
        <w:t>b</w:t>
      </w:r>
      <w:r w:rsidRPr="006722E4">
        <w:rPr>
          <w:rFonts w:eastAsia="Calibri"/>
          <w:sz w:val="20"/>
          <w:lang w:val="fr-CA"/>
        </w:rPr>
        <w:t xml:space="preserve">)(iii) du </w:t>
      </w:r>
      <w:r w:rsidRPr="006722E4">
        <w:rPr>
          <w:rFonts w:eastAsia="Calibri"/>
          <w:i/>
          <w:sz w:val="20"/>
          <w:lang w:val="fr-CA"/>
        </w:rPr>
        <w:t>Code criminel</w:t>
      </w:r>
      <w:r w:rsidRPr="006722E4">
        <w:rPr>
          <w:rFonts w:eastAsia="Calibri"/>
          <w:sz w:val="20"/>
          <w:lang w:val="fr-CA"/>
        </w:rPr>
        <w:t>, L.R.C. 1985, ch. C-46?</w:t>
      </w:r>
    </w:p>
    <w:p w:rsidR="006722E4" w:rsidRPr="006722E4" w:rsidRDefault="006722E4" w:rsidP="006722E4">
      <w:pPr>
        <w:widowControl w:val="0"/>
        <w:jc w:val="both"/>
        <w:rPr>
          <w:rFonts w:eastAsia="Calibri"/>
          <w:sz w:val="20"/>
          <w:lang w:val="fr-CA"/>
        </w:rPr>
      </w:pPr>
    </w:p>
    <w:p w:rsidR="006722E4" w:rsidRPr="006722E4" w:rsidRDefault="006722E4" w:rsidP="006722E4">
      <w:pPr>
        <w:widowControl w:val="0"/>
        <w:jc w:val="both"/>
        <w:rPr>
          <w:rFonts w:eastAsia="Calibri"/>
          <w:sz w:val="20"/>
          <w:lang w:val="fr-CA"/>
        </w:rPr>
      </w:pPr>
      <w:r w:rsidRPr="006722E4">
        <w:rPr>
          <w:rFonts w:eastAsia="Calibri"/>
          <w:sz w:val="20"/>
          <w:lang w:val="fr-CA"/>
        </w:rPr>
        <w:t xml:space="preserve">L’intimé a été reconnu coupable de meurtre au deuxième degré.  Il a tué une femme rencontrée dans un bar et a enterré son corps dans une tombe peu profonde derrière son garage.  Au procès, l’intimé a plaidé que la preuve médico-légale appuyait sa version des faits, selon laquelle lors d’une courte altercation dans la chambre à coucher, la victime l’avait attaqué et poignardé. L’intimé a affirmé qu’en tentant se défendre, il a étouffé la victime par mégarde en plaçant son bras sur son nez et sa bouche.  Les juges majoritaires de la Cour d’appel ont accueilli l’appel interjeté par l’intimé à l’encontre de la déclaration de culpabilité et ont ordonné la tenue d’un nouveau procès.  À leur avis, le juge du procès a commis deux erreurs.  Premièrement, il a erronément demandé au jury de prendre en considération la fuite de l’intimé et ses mensonges aux policiers relativement à la question de l’intention de commettre un meurtre.  Deuxièmement, même si les efforts de l’intimé pour enterrer le corps et nettoyer la scène pouvaient éventuellement servir à prouver l’état d’esprit de l’intimé au moment où il a tué la victime, le juge du procès n’a pas donné des directives adéquates au jury sur la manière dont cette preuve pouvait être utilisée.  Le juge </w:t>
      </w:r>
      <w:proofErr w:type="spellStart"/>
      <w:r w:rsidRPr="006722E4">
        <w:rPr>
          <w:rFonts w:eastAsia="Calibri"/>
          <w:sz w:val="20"/>
          <w:lang w:val="fr-CA"/>
        </w:rPr>
        <w:t>MacPherson</w:t>
      </w:r>
      <w:proofErr w:type="spellEnd"/>
      <w:r w:rsidRPr="006722E4">
        <w:rPr>
          <w:rFonts w:eastAsia="Calibri"/>
          <w:sz w:val="20"/>
          <w:lang w:val="fr-CA"/>
        </w:rPr>
        <w:t>, dissident, aurait rejeté l’appel.</w:t>
      </w:r>
    </w:p>
    <w:p w:rsidR="006722E4" w:rsidRPr="006722E4" w:rsidRDefault="006722E4" w:rsidP="006722E4">
      <w:pPr>
        <w:jc w:val="both"/>
        <w:rPr>
          <w:rFonts w:eastAsia="Calibri"/>
          <w:sz w:val="20"/>
          <w:lang w:val="fr-CA"/>
        </w:rPr>
      </w:pPr>
    </w:p>
    <w:p w:rsidR="006722E4" w:rsidRPr="006722E4" w:rsidRDefault="006722E4" w:rsidP="006722E4">
      <w:pPr>
        <w:jc w:val="both"/>
        <w:rPr>
          <w:rFonts w:eastAsia="Calibri"/>
          <w:sz w:val="20"/>
          <w:lang w:val="fr-CA"/>
        </w:rPr>
      </w:pPr>
    </w:p>
    <w:p w:rsidR="006722E4" w:rsidRPr="006722E4" w:rsidRDefault="006722E4" w:rsidP="006722E4">
      <w:pPr>
        <w:widowControl w:val="0"/>
        <w:jc w:val="both"/>
        <w:rPr>
          <w:rFonts w:eastAsia="Calibri"/>
          <w:sz w:val="20"/>
          <w:lang w:val="fr-CA"/>
        </w:rPr>
      </w:pPr>
      <w:r w:rsidRPr="006722E4">
        <w:rPr>
          <w:rFonts w:eastAsia="Calibri"/>
          <w:sz w:val="20"/>
          <w:lang w:val="fr-CA"/>
        </w:rPr>
        <w:t>Origine :</w:t>
      </w:r>
      <w:r w:rsidRPr="006722E4">
        <w:rPr>
          <w:rFonts w:eastAsia="Calibri"/>
          <w:sz w:val="20"/>
          <w:lang w:val="fr-CA"/>
        </w:rPr>
        <w:tab/>
      </w:r>
      <w:r w:rsidRPr="006722E4">
        <w:rPr>
          <w:rFonts w:eastAsia="Calibri"/>
          <w:sz w:val="20"/>
          <w:lang w:val="fr-CA"/>
        </w:rPr>
        <w:tab/>
      </w:r>
      <w:r w:rsidRPr="006722E4">
        <w:rPr>
          <w:rFonts w:eastAsia="Calibri"/>
          <w:sz w:val="20"/>
          <w:lang w:val="fr-CA"/>
        </w:rPr>
        <w:tab/>
      </w:r>
      <w:r w:rsidRPr="006722E4">
        <w:rPr>
          <w:rFonts w:eastAsia="Calibri"/>
          <w:sz w:val="20"/>
          <w:lang w:val="fr-CA"/>
        </w:rPr>
        <w:tab/>
      </w:r>
      <w:r>
        <w:rPr>
          <w:rFonts w:eastAsia="Calibri"/>
          <w:sz w:val="20"/>
          <w:lang w:val="fr-CA"/>
        </w:rPr>
        <w:tab/>
      </w:r>
      <w:r>
        <w:rPr>
          <w:rFonts w:eastAsia="Calibri"/>
          <w:sz w:val="20"/>
          <w:lang w:val="fr-CA"/>
        </w:rPr>
        <w:tab/>
      </w:r>
      <w:r w:rsidRPr="006722E4">
        <w:rPr>
          <w:rFonts w:eastAsia="Calibri"/>
          <w:sz w:val="20"/>
          <w:lang w:val="fr-CA"/>
        </w:rPr>
        <w:t>Ontario</w:t>
      </w:r>
    </w:p>
    <w:p w:rsidR="006722E4" w:rsidRPr="006722E4" w:rsidRDefault="006722E4" w:rsidP="006722E4">
      <w:pPr>
        <w:widowControl w:val="0"/>
        <w:jc w:val="both"/>
        <w:rPr>
          <w:rFonts w:eastAsia="Calibri"/>
          <w:sz w:val="20"/>
          <w:lang w:val="fr-CA"/>
        </w:rPr>
      </w:pPr>
    </w:p>
    <w:p w:rsidR="006722E4" w:rsidRPr="006722E4" w:rsidRDefault="006722E4" w:rsidP="006722E4">
      <w:pPr>
        <w:widowControl w:val="0"/>
        <w:jc w:val="both"/>
        <w:rPr>
          <w:rFonts w:eastAsia="Calibri"/>
          <w:sz w:val="20"/>
          <w:lang w:val="fr-CA"/>
        </w:rPr>
      </w:pPr>
      <w:r w:rsidRPr="006722E4">
        <w:rPr>
          <w:rFonts w:eastAsia="Calibri"/>
          <w:sz w:val="20"/>
          <w:lang w:val="fr-CA"/>
        </w:rPr>
        <w:t>N</w:t>
      </w:r>
      <w:r w:rsidRPr="006722E4">
        <w:rPr>
          <w:rFonts w:eastAsia="Calibri"/>
          <w:sz w:val="20"/>
          <w:vertAlign w:val="superscript"/>
          <w:lang w:val="fr-CA"/>
        </w:rPr>
        <w:t>o</w:t>
      </w:r>
      <w:r w:rsidRPr="006722E4">
        <w:rPr>
          <w:rFonts w:eastAsia="Calibri"/>
          <w:sz w:val="20"/>
          <w:lang w:val="fr-CA"/>
        </w:rPr>
        <w:t xml:space="preserve"> du greffe :</w:t>
      </w:r>
      <w:r w:rsidRPr="006722E4">
        <w:rPr>
          <w:rFonts w:eastAsia="Calibri"/>
          <w:sz w:val="20"/>
          <w:lang w:val="fr-CA"/>
        </w:rPr>
        <w:tab/>
      </w:r>
      <w:r w:rsidRPr="006722E4">
        <w:rPr>
          <w:rFonts w:eastAsia="Calibri"/>
          <w:sz w:val="20"/>
          <w:lang w:val="fr-CA"/>
        </w:rPr>
        <w:tab/>
      </w:r>
      <w:r w:rsidRPr="006722E4">
        <w:rPr>
          <w:rFonts w:eastAsia="Calibri"/>
          <w:sz w:val="20"/>
          <w:lang w:val="fr-CA"/>
        </w:rPr>
        <w:tab/>
      </w:r>
      <w:r w:rsidRPr="006722E4">
        <w:rPr>
          <w:rFonts w:eastAsia="Calibri"/>
          <w:sz w:val="20"/>
          <w:lang w:val="fr-CA"/>
        </w:rPr>
        <w:tab/>
        <w:t>35947</w:t>
      </w:r>
    </w:p>
    <w:p w:rsidR="006722E4" w:rsidRPr="006722E4" w:rsidRDefault="006722E4" w:rsidP="006722E4">
      <w:pPr>
        <w:widowControl w:val="0"/>
        <w:jc w:val="both"/>
        <w:rPr>
          <w:rFonts w:eastAsia="Calibri"/>
          <w:sz w:val="20"/>
          <w:lang w:val="fr-CA"/>
        </w:rPr>
      </w:pPr>
    </w:p>
    <w:p w:rsidR="006722E4" w:rsidRPr="006722E4" w:rsidRDefault="006722E4" w:rsidP="006722E4">
      <w:pPr>
        <w:widowControl w:val="0"/>
        <w:jc w:val="both"/>
        <w:rPr>
          <w:rFonts w:eastAsia="Calibri"/>
          <w:sz w:val="20"/>
          <w:lang w:val="fr-CA"/>
        </w:rPr>
      </w:pPr>
      <w:r w:rsidRPr="006722E4">
        <w:rPr>
          <w:rFonts w:eastAsia="Calibri"/>
          <w:sz w:val="20"/>
          <w:lang w:val="fr-CA"/>
        </w:rPr>
        <w:t>Arrêt de la Cour d’appel :</w:t>
      </w:r>
      <w:r w:rsidRPr="006722E4">
        <w:rPr>
          <w:rFonts w:eastAsia="Calibri"/>
          <w:sz w:val="20"/>
          <w:lang w:val="fr-CA"/>
        </w:rPr>
        <w:tab/>
      </w:r>
      <w:r w:rsidRPr="006722E4">
        <w:rPr>
          <w:rFonts w:eastAsia="Calibri"/>
          <w:sz w:val="20"/>
          <w:lang w:val="fr-CA"/>
        </w:rPr>
        <w:tab/>
        <w:t>le 8 mai 2014</w:t>
      </w:r>
    </w:p>
    <w:p w:rsidR="006722E4" w:rsidRPr="006722E4" w:rsidRDefault="006722E4" w:rsidP="006722E4">
      <w:pPr>
        <w:widowControl w:val="0"/>
        <w:jc w:val="both"/>
        <w:rPr>
          <w:rFonts w:eastAsia="Calibri"/>
          <w:sz w:val="20"/>
          <w:lang w:val="fr-CA"/>
        </w:rPr>
      </w:pPr>
    </w:p>
    <w:p w:rsidR="006722E4" w:rsidRPr="006722E4" w:rsidRDefault="006722E4" w:rsidP="006722E4">
      <w:pPr>
        <w:widowControl w:val="0"/>
        <w:jc w:val="both"/>
        <w:rPr>
          <w:rFonts w:eastAsia="Calibri"/>
          <w:sz w:val="20"/>
          <w:lang w:val="fr-CA"/>
        </w:rPr>
      </w:pPr>
      <w:r w:rsidRPr="006722E4">
        <w:rPr>
          <w:rFonts w:eastAsia="Calibri"/>
          <w:sz w:val="20"/>
          <w:lang w:val="fr-CA"/>
        </w:rPr>
        <w:t>Avocats :</w:t>
      </w:r>
      <w:r w:rsidRPr="006722E4">
        <w:rPr>
          <w:rFonts w:eastAsia="Calibri"/>
          <w:sz w:val="20"/>
          <w:lang w:val="fr-CA"/>
        </w:rPr>
        <w:tab/>
      </w:r>
      <w:r w:rsidRPr="006722E4">
        <w:rPr>
          <w:rFonts w:eastAsia="Calibri"/>
          <w:sz w:val="20"/>
          <w:lang w:val="fr-CA"/>
        </w:rPr>
        <w:tab/>
      </w:r>
      <w:r w:rsidRPr="006722E4">
        <w:rPr>
          <w:rFonts w:eastAsia="Calibri"/>
          <w:sz w:val="20"/>
          <w:lang w:val="fr-CA"/>
        </w:rPr>
        <w:tab/>
      </w:r>
      <w:r>
        <w:rPr>
          <w:rFonts w:eastAsia="Calibri"/>
          <w:sz w:val="20"/>
          <w:lang w:val="fr-CA"/>
        </w:rPr>
        <w:tab/>
      </w:r>
      <w:r w:rsidRPr="006722E4">
        <w:rPr>
          <w:rFonts w:eastAsia="Calibri"/>
          <w:sz w:val="20"/>
          <w:lang w:val="fr-CA"/>
        </w:rPr>
        <w:tab/>
        <w:t>Megan Stephens pour l’appelante</w:t>
      </w:r>
    </w:p>
    <w:p w:rsidR="006722E4" w:rsidRPr="006722E4" w:rsidRDefault="006722E4" w:rsidP="006722E4">
      <w:pPr>
        <w:spacing w:after="200"/>
        <w:jc w:val="both"/>
        <w:rPr>
          <w:rFonts w:eastAsia="Calibri"/>
          <w:sz w:val="20"/>
          <w:lang w:val="fr-CA"/>
        </w:rPr>
      </w:pPr>
      <w:r w:rsidRPr="006722E4">
        <w:rPr>
          <w:rFonts w:eastAsia="Calibri"/>
          <w:sz w:val="20"/>
          <w:lang w:val="fr-CA"/>
        </w:rPr>
        <w:tab/>
      </w:r>
      <w:r w:rsidRPr="006722E4">
        <w:rPr>
          <w:rFonts w:eastAsia="Calibri"/>
          <w:sz w:val="20"/>
          <w:lang w:val="fr-CA"/>
        </w:rPr>
        <w:tab/>
      </w:r>
      <w:r w:rsidRPr="006722E4">
        <w:rPr>
          <w:rFonts w:eastAsia="Calibri"/>
          <w:sz w:val="20"/>
          <w:lang w:val="fr-CA"/>
        </w:rPr>
        <w:tab/>
      </w:r>
      <w:r w:rsidRPr="006722E4">
        <w:rPr>
          <w:rFonts w:eastAsia="Calibri"/>
          <w:sz w:val="20"/>
          <w:lang w:val="fr-CA"/>
        </w:rPr>
        <w:tab/>
      </w:r>
      <w:r w:rsidRPr="006722E4">
        <w:rPr>
          <w:rFonts w:eastAsia="Calibri"/>
          <w:sz w:val="20"/>
          <w:lang w:val="fr-CA"/>
        </w:rPr>
        <w:tab/>
      </w:r>
      <w:r>
        <w:rPr>
          <w:rFonts w:eastAsia="Calibri"/>
          <w:sz w:val="20"/>
          <w:lang w:val="fr-CA"/>
        </w:rPr>
        <w:tab/>
      </w:r>
      <w:r>
        <w:rPr>
          <w:rFonts w:eastAsia="Calibri"/>
          <w:sz w:val="20"/>
          <w:lang w:val="fr-CA"/>
        </w:rPr>
        <w:tab/>
      </w:r>
      <w:r w:rsidRPr="006722E4">
        <w:rPr>
          <w:rFonts w:eastAsia="Calibri"/>
          <w:sz w:val="20"/>
          <w:lang w:val="fr-CA"/>
        </w:rPr>
        <w:t xml:space="preserve">Catriona </w:t>
      </w:r>
      <w:proofErr w:type="spellStart"/>
      <w:r w:rsidRPr="006722E4">
        <w:rPr>
          <w:rFonts w:eastAsia="Calibri"/>
          <w:sz w:val="20"/>
          <w:lang w:val="fr-CA"/>
        </w:rPr>
        <w:t>Verner</w:t>
      </w:r>
      <w:proofErr w:type="spellEnd"/>
      <w:r w:rsidRPr="006722E4">
        <w:rPr>
          <w:rFonts w:eastAsia="Calibri"/>
          <w:sz w:val="20"/>
          <w:lang w:val="fr-CA"/>
        </w:rPr>
        <w:t xml:space="preserve"> pour l’intimé</w:t>
      </w:r>
    </w:p>
    <w:p w:rsidR="006722E4" w:rsidRPr="006722E4" w:rsidRDefault="006722E4" w:rsidP="00EC79B0">
      <w:pPr>
        <w:jc w:val="both"/>
        <w:rPr>
          <w:szCs w:val="24"/>
          <w:lang w:val="fr-CA"/>
        </w:rPr>
      </w:pPr>
    </w:p>
    <w:p w:rsidR="006722E4" w:rsidRPr="006722E4" w:rsidRDefault="006722E4" w:rsidP="00EC79B0">
      <w:pPr>
        <w:jc w:val="both"/>
        <w:rPr>
          <w:szCs w:val="24"/>
          <w:lang w:val="fr-CA"/>
        </w:rPr>
      </w:pPr>
    </w:p>
    <w:p w:rsidR="006722E4" w:rsidRPr="006722E4" w:rsidRDefault="006722E4" w:rsidP="00EC79B0">
      <w:pPr>
        <w:jc w:val="both"/>
        <w:rPr>
          <w:szCs w:val="24"/>
          <w:lang w:val="fr-CA"/>
        </w:rPr>
      </w:pPr>
    </w:p>
    <w:p w:rsidR="00CF1ED7" w:rsidRPr="006722E4" w:rsidRDefault="00CF1ED7" w:rsidP="00EC79B0">
      <w:pPr>
        <w:jc w:val="both"/>
        <w:rPr>
          <w:szCs w:val="24"/>
          <w:lang w:val="fr-CA"/>
        </w:rPr>
      </w:pPr>
    </w:p>
    <w:p w:rsidR="001C4415" w:rsidRPr="00524290" w:rsidRDefault="001C4415" w:rsidP="001C4415">
      <w:pPr>
        <w:widowControl w:val="0"/>
        <w:outlineLvl w:val="0"/>
      </w:pPr>
      <w:r w:rsidRPr="00524290">
        <w:t xml:space="preserve">Supreme Court of Canada / Cour </w:t>
      </w:r>
      <w:proofErr w:type="spellStart"/>
      <w:r w:rsidRPr="00524290">
        <w:t>suprême</w:t>
      </w:r>
      <w:proofErr w:type="spellEnd"/>
      <w:r w:rsidRPr="00524290">
        <w:t xml:space="preserve"> du Canada : </w:t>
      </w:r>
    </w:p>
    <w:p w:rsidR="001C4415" w:rsidRPr="00A83C7E" w:rsidRDefault="00D27548" w:rsidP="001C4415">
      <w:pPr>
        <w:widowControl w:val="0"/>
        <w:outlineLvl w:val="0"/>
        <w:rPr>
          <w:color w:val="0000FF"/>
          <w:u w:val="single"/>
        </w:rPr>
      </w:pPr>
      <w:hyperlink r:id="rId8" w:history="1">
        <w:r w:rsidR="001C4415" w:rsidRPr="00524290">
          <w:rPr>
            <w:rStyle w:val="Hyperlink"/>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1C4415" w:rsidP="0036476C">
      <w:pPr>
        <w:pStyle w:val="Footer"/>
        <w:jc w:val="center"/>
      </w:pPr>
      <w:r>
        <w:t xml:space="preserve">- 30 </w:t>
      </w:r>
      <w:r w:rsidR="006722E4">
        <w:t>-</w:t>
      </w:r>
      <w:r w:rsidR="0036476C" w:rsidRPr="0036476C">
        <w:t xml:space="preserve"> </w:t>
      </w:r>
    </w:p>
    <w:p w:rsidR="0036476C" w:rsidRPr="00080C5F" w:rsidRDefault="0036476C" w:rsidP="0036476C">
      <w:pPr>
        <w:pStyle w:val="Footer"/>
        <w:rPr>
          <w:szCs w:val="24"/>
          <w:lang w:val="fr-CA"/>
        </w:rPr>
      </w:pPr>
    </w:p>
    <w:p w:rsidR="0036476C" w:rsidRPr="00080C5F" w:rsidRDefault="0036476C" w:rsidP="0036476C">
      <w:pPr>
        <w:pStyle w:val="Footer"/>
        <w:rPr>
          <w:szCs w:val="24"/>
          <w:lang w:val="fr-CA"/>
        </w:rPr>
      </w:pPr>
    </w:p>
    <w:p w:rsidR="001C4415" w:rsidRPr="0036476C" w:rsidRDefault="001C4415" w:rsidP="001C4415">
      <w:pPr>
        <w:pStyle w:val="Footer"/>
        <w:jc w:val="center"/>
        <w:rPr>
          <w:sz w:val="20"/>
          <w:lang w:val="fr-CA"/>
        </w:rPr>
      </w:pPr>
    </w:p>
    <w:sectPr w:rsidR="001C4415" w:rsidRPr="0036476C"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A6" w:rsidRDefault="00842CA6">
      <w:r>
        <w:separator/>
      </w:r>
    </w:p>
  </w:endnote>
  <w:endnote w:type="continuationSeparator" w:id="0">
    <w:p w:rsidR="00842CA6" w:rsidRDefault="0084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A6" w:rsidRDefault="00842CA6">
      <w:r>
        <w:separator/>
      </w:r>
    </w:p>
  </w:footnote>
  <w:footnote w:type="continuationSeparator" w:id="0">
    <w:p w:rsidR="00842CA6" w:rsidRDefault="0084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B8086C"/>
    <w:rsid w:val="000100BA"/>
    <w:rsid w:val="00010D78"/>
    <w:rsid w:val="0001212E"/>
    <w:rsid w:val="0001605B"/>
    <w:rsid w:val="0002161B"/>
    <w:rsid w:val="00021901"/>
    <w:rsid w:val="00035555"/>
    <w:rsid w:val="00035B99"/>
    <w:rsid w:val="0003611D"/>
    <w:rsid w:val="0003620E"/>
    <w:rsid w:val="00042B21"/>
    <w:rsid w:val="000446D3"/>
    <w:rsid w:val="000454BF"/>
    <w:rsid w:val="00060140"/>
    <w:rsid w:val="00060B39"/>
    <w:rsid w:val="00061A14"/>
    <w:rsid w:val="00072A63"/>
    <w:rsid w:val="0008116D"/>
    <w:rsid w:val="000855FD"/>
    <w:rsid w:val="0009615F"/>
    <w:rsid w:val="000A33B2"/>
    <w:rsid w:val="000A401F"/>
    <w:rsid w:val="000B0E38"/>
    <w:rsid w:val="000B216A"/>
    <w:rsid w:val="000C1225"/>
    <w:rsid w:val="000C1820"/>
    <w:rsid w:val="000C466B"/>
    <w:rsid w:val="000D25C5"/>
    <w:rsid w:val="000D413D"/>
    <w:rsid w:val="000D682D"/>
    <w:rsid w:val="000E1FA5"/>
    <w:rsid w:val="000E33A8"/>
    <w:rsid w:val="000E457A"/>
    <w:rsid w:val="000F2225"/>
    <w:rsid w:val="000F2F73"/>
    <w:rsid w:val="000F5730"/>
    <w:rsid w:val="000F5956"/>
    <w:rsid w:val="000F7714"/>
    <w:rsid w:val="001002A7"/>
    <w:rsid w:val="00103400"/>
    <w:rsid w:val="00105085"/>
    <w:rsid w:val="001065AF"/>
    <w:rsid w:val="00114B52"/>
    <w:rsid w:val="00116CE5"/>
    <w:rsid w:val="001170D1"/>
    <w:rsid w:val="00127E76"/>
    <w:rsid w:val="001335A1"/>
    <w:rsid w:val="001364D9"/>
    <w:rsid w:val="0013792F"/>
    <w:rsid w:val="001439C6"/>
    <w:rsid w:val="001448DF"/>
    <w:rsid w:val="00145925"/>
    <w:rsid w:val="001476BD"/>
    <w:rsid w:val="00150BC6"/>
    <w:rsid w:val="001563FF"/>
    <w:rsid w:val="00164196"/>
    <w:rsid w:val="001642A1"/>
    <w:rsid w:val="00165E2A"/>
    <w:rsid w:val="00167E17"/>
    <w:rsid w:val="001710E4"/>
    <w:rsid w:val="001714EA"/>
    <w:rsid w:val="00172FC0"/>
    <w:rsid w:val="0017395A"/>
    <w:rsid w:val="00175566"/>
    <w:rsid w:val="00177C9B"/>
    <w:rsid w:val="001801D4"/>
    <w:rsid w:val="0018124A"/>
    <w:rsid w:val="001847AC"/>
    <w:rsid w:val="00191F98"/>
    <w:rsid w:val="001936BC"/>
    <w:rsid w:val="00194B53"/>
    <w:rsid w:val="001A1632"/>
    <w:rsid w:val="001A24F4"/>
    <w:rsid w:val="001A29BA"/>
    <w:rsid w:val="001A4436"/>
    <w:rsid w:val="001A4A73"/>
    <w:rsid w:val="001B092D"/>
    <w:rsid w:val="001B0D7E"/>
    <w:rsid w:val="001B4934"/>
    <w:rsid w:val="001B599A"/>
    <w:rsid w:val="001B6B63"/>
    <w:rsid w:val="001B71AA"/>
    <w:rsid w:val="001C0462"/>
    <w:rsid w:val="001C187A"/>
    <w:rsid w:val="001C3E08"/>
    <w:rsid w:val="001C4415"/>
    <w:rsid w:val="001C6FEC"/>
    <w:rsid w:val="001D3579"/>
    <w:rsid w:val="001E4A60"/>
    <w:rsid w:val="001E5E23"/>
    <w:rsid w:val="001E70CD"/>
    <w:rsid w:val="001F27D7"/>
    <w:rsid w:val="001F57C9"/>
    <w:rsid w:val="001F7F62"/>
    <w:rsid w:val="002001C7"/>
    <w:rsid w:val="002029F5"/>
    <w:rsid w:val="00203F40"/>
    <w:rsid w:val="00205278"/>
    <w:rsid w:val="00207AAB"/>
    <w:rsid w:val="00207BC4"/>
    <w:rsid w:val="00211F62"/>
    <w:rsid w:val="00214729"/>
    <w:rsid w:val="002160B0"/>
    <w:rsid w:val="00221703"/>
    <w:rsid w:val="00226AE8"/>
    <w:rsid w:val="00234B46"/>
    <w:rsid w:val="00235A05"/>
    <w:rsid w:val="002404C4"/>
    <w:rsid w:val="00241C35"/>
    <w:rsid w:val="00241F69"/>
    <w:rsid w:val="00242EC8"/>
    <w:rsid w:val="00243B49"/>
    <w:rsid w:val="00244461"/>
    <w:rsid w:val="00244D04"/>
    <w:rsid w:val="00245FBD"/>
    <w:rsid w:val="0024634F"/>
    <w:rsid w:val="00251D1B"/>
    <w:rsid w:val="0025452B"/>
    <w:rsid w:val="002617BB"/>
    <w:rsid w:val="0026289A"/>
    <w:rsid w:val="00264AA1"/>
    <w:rsid w:val="002667BA"/>
    <w:rsid w:val="002667ED"/>
    <w:rsid w:val="00266A8B"/>
    <w:rsid w:val="002723AE"/>
    <w:rsid w:val="00272EAB"/>
    <w:rsid w:val="002768F6"/>
    <w:rsid w:val="0028630C"/>
    <w:rsid w:val="00290F21"/>
    <w:rsid w:val="00291F84"/>
    <w:rsid w:val="00296461"/>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112E4"/>
    <w:rsid w:val="00311F53"/>
    <w:rsid w:val="00317C58"/>
    <w:rsid w:val="00321B31"/>
    <w:rsid w:val="00324B83"/>
    <w:rsid w:val="003255C3"/>
    <w:rsid w:val="00334E40"/>
    <w:rsid w:val="00337D5F"/>
    <w:rsid w:val="00346F0D"/>
    <w:rsid w:val="00350C6A"/>
    <w:rsid w:val="00350CE0"/>
    <w:rsid w:val="00353AB0"/>
    <w:rsid w:val="00362484"/>
    <w:rsid w:val="0036476C"/>
    <w:rsid w:val="0037261F"/>
    <w:rsid w:val="00374148"/>
    <w:rsid w:val="0037569E"/>
    <w:rsid w:val="00380CC3"/>
    <w:rsid w:val="003835A6"/>
    <w:rsid w:val="00387EA2"/>
    <w:rsid w:val="0039248C"/>
    <w:rsid w:val="003932EE"/>
    <w:rsid w:val="00393419"/>
    <w:rsid w:val="003959D2"/>
    <w:rsid w:val="0039607F"/>
    <w:rsid w:val="003A1FB4"/>
    <w:rsid w:val="003A2267"/>
    <w:rsid w:val="003B2784"/>
    <w:rsid w:val="003B3AD5"/>
    <w:rsid w:val="003B4E7E"/>
    <w:rsid w:val="003C381F"/>
    <w:rsid w:val="003D4D2A"/>
    <w:rsid w:val="003D74E7"/>
    <w:rsid w:val="003E0326"/>
    <w:rsid w:val="003E1BBF"/>
    <w:rsid w:val="003E222C"/>
    <w:rsid w:val="003E5C8D"/>
    <w:rsid w:val="003F127B"/>
    <w:rsid w:val="003F2710"/>
    <w:rsid w:val="003F7920"/>
    <w:rsid w:val="004005FE"/>
    <w:rsid w:val="004016BB"/>
    <w:rsid w:val="00405F0F"/>
    <w:rsid w:val="004115B2"/>
    <w:rsid w:val="0041533E"/>
    <w:rsid w:val="00421CC7"/>
    <w:rsid w:val="0042330C"/>
    <w:rsid w:val="0042470F"/>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7AE4"/>
    <w:rsid w:val="00475CB4"/>
    <w:rsid w:val="004824D8"/>
    <w:rsid w:val="0048671C"/>
    <w:rsid w:val="0048741E"/>
    <w:rsid w:val="00491284"/>
    <w:rsid w:val="00491C71"/>
    <w:rsid w:val="004927D1"/>
    <w:rsid w:val="004A40E1"/>
    <w:rsid w:val="004A56AC"/>
    <w:rsid w:val="004A6F06"/>
    <w:rsid w:val="004B4821"/>
    <w:rsid w:val="004B6E20"/>
    <w:rsid w:val="004B6F3A"/>
    <w:rsid w:val="004D4322"/>
    <w:rsid w:val="004D453B"/>
    <w:rsid w:val="004D465A"/>
    <w:rsid w:val="004D488A"/>
    <w:rsid w:val="004E5455"/>
    <w:rsid w:val="004F0A44"/>
    <w:rsid w:val="004F215A"/>
    <w:rsid w:val="004F2854"/>
    <w:rsid w:val="004F3FB9"/>
    <w:rsid w:val="00504582"/>
    <w:rsid w:val="0051130D"/>
    <w:rsid w:val="0051320D"/>
    <w:rsid w:val="00520A3C"/>
    <w:rsid w:val="00524290"/>
    <w:rsid w:val="00525362"/>
    <w:rsid w:val="00525B8E"/>
    <w:rsid w:val="00531567"/>
    <w:rsid w:val="00535691"/>
    <w:rsid w:val="005400BA"/>
    <w:rsid w:val="0054378D"/>
    <w:rsid w:val="005511F1"/>
    <w:rsid w:val="00552278"/>
    <w:rsid w:val="0055520C"/>
    <w:rsid w:val="00560D32"/>
    <w:rsid w:val="00563EF8"/>
    <w:rsid w:val="005717F4"/>
    <w:rsid w:val="00572E24"/>
    <w:rsid w:val="00575FA2"/>
    <w:rsid w:val="00580897"/>
    <w:rsid w:val="00580EBF"/>
    <w:rsid w:val="00591F70"/>
    <w:rsid w:val="005930F7"/>
    <w:rsid w:val="005932DF"/>
    <w:rsid w:val="00595150"/>
    <w:rsid w:val="00595922"/>
    <w:rsid w:val="005A0FB1"/>
    <w:rsid w:val="005A5B16"/>
    <w:rsid w:val="005A5D20"/>
    <w:rsid w:val="005A6C38"/>
    <w:rsid w:val="005A7C1B"/>
    <w:rsid w:val="005B10FA"/>
    <w:rsid w:val="005B342F"/>
    <w:rsid w:val="005B4F58"/>
    <w:rsid w:val="005B7E1A"/>
    <w:rsid w:val="005C571B"/>
    <w:rsid w:val="005C7767"/>
    <w:rsid w:val="005D1FAA"/>
    <w:rsid w:val="005D4151"/>
    <w:rsid w:val="005E1617"/>
    <w:rsid w:val="005E1FA2"/>
    <w:rsid w:val="005E3E02"/>
    <w:rsid w:val="005E696E"/>
    <w:rsid w:val="005E74B7"/>
    <w:rsid w:val="005F3B17"/>
    <w:rsid w:val="005F6821"/>
    <w:rsid w:val="006004E2"/>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22E4"/>
    <w:rsid w:val="00676709"/>
    <w:rsid w:val="00680968"/>
    <w:rsid w:val="00682A71"/>
    <w:rsid w:val="00685A30"/>
    <w:rsid w:val="006942C4"/>
    <w:rsid w:val="006A58E0"/>
    <w:rsid w:val="006B4B4E"/>
    <w:rsid w:val="006B5529"/>
    <w:rsid w:val="006C4A8F"/>
    <w:rsid w:val="006C7633"/>
    <w:rsid w:val="006D2284"/>
    <w:rsid w:val="006D2DF8"/>
    <w:rsid w:val="006E1781"/>
    <w:rsid w:val="006E3A6A"/>
    <w:rsid w:val="006E6156"/>
    <w:rsid w:val="006E7CC3"/>
    <w:rsid w:val="006E7FD1"/>
    <w:rsid w:val="006F1899"/>
    <w:rsid w:val="006F1A6D"/>
    <w:rsid w:val="006F202E"/>
    <w:rsid w:val="006F36A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056E"/>
    <w:rsid w:val="007E79BD"/>
    <w:rsid w:val="007E7DF1"/>
    <w:rsid w:val="007F29FE"/>
    <w:rsid w:val="00800066"/>
    <w:rsid w:val="00807EAE"/>
    <w:rsid w:val="00811E14"/>
    <w:rsid w:val="00815E69"/>
    <w:rsid w:val="008203B9"/>
    <w:rsid w:val="00820A00"/>
    <w:rsid w:val="008227A7"/>
    <w:rsid w:val="0083044B"/>
    <w:rsid w:val="008313A9"/>
    <w:rsid w:val="00831AFC"/>
    <w:rsid w:val="00841CE8"/>
    <w:rsid w:val="00842CA6"/>
    <w:rsid w:val="00843914"/>
    <w:rsid w:val="00844A0C"/>
    <w:rsid w:val="00845B97"/>
    <w:rsid w:val="00851B24"/>
    <w:rsid w:val="00857775"/>
    <w:rsid w:val="00861E1D"/>
    <w:rsid w:val="0086609D"/>
    <w:rsid w:val="008709FF"/>
    <w:rsid w:val="008716D8"/>
    <w:rsid w:val="00875923"/>
    <w:rsid w:val="008766B1"/>
    <w:rsid w:val="00893647"/>
    <w:rsid w:val="008B305D"/>
    <w:rsid w:val="008B5FA3"/>
    <w:rsid w:val="008B5FDB"/>
    <w:rsid w:val="008B6308"/>
    <w:rsid w:val="008C5D03"/>
    <w:rsid w:val="008D2829"/>
    <w:rsid w:val="008D2930"/>
    <w:rsid w:val="008D3DE1"/>
    <w:rsid w:val="008D557C"/>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21D0"/>
    <w:rsid w:val="00945199"/>
    <w:rsid w:val="00946EC7"/>
    <w:rsid w:val="00955BCE"/>
    <w:rsid w:val="009603A2"/>
    <w:rsid w:val="00962301"/>
    <w:rsid w:val="00972F05"/>
    <w:rsid w:val="00975F1B"/>
    <w:rsid w:val="0097705F"/>
    <w:rsid w:val="009773EE"/>
    <w:rsid w:val="009813C5"/>
    <w:rsid w:val="009907CD"/>
    <w:rsid w:val="0099092D"/>
    <w:rsid w:val="009927A8"/>
    <w:rsid w:val="00992E03"/>
    <w:rsid w:val="00993EF1"/>
    <w:rsid w:val="00995BAC"/>
    <w:rsid w:val="009A229C"/>
    <w:rsid w:val="009A7F40"/>
    <w:rsid w:val="009A7FCE"/>
    <w:rsid w:val="009B06DD"/>
    <w:rsid w:val="009B72F4"/>
    <w:rsid w:val="009C2A17"/>
    <w:rsid w:val="009C643F"/>
    <w:rsid w:val="009C7B71"/>
    <w:rsid w:val="009D109B"/>
    <w:rsid w:val="009D30BC"/>
    <w:rsid w:val="009E23BF"/>
    <w:rsid w:val="009E478A"/>
    <w:rsid w:val="009E6E2B"/>
    <w:rsid w:val="009E7F8F"/>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3056"/>
    <w:rsid w:val="00A64DFD"/>
    <w:rsid w:val="00A709E8"/>
    <w:rsid w:val="00A80C95"/>
    <w:rsid w:val="00A86D9C"/>
    <w:rsid w:val="00A9462E"/>
    <w:rsid w:val="00A96F68"/>
    <w:rsid w:val="00AA3B3C"/>
    <w:rsid w:val="00AB4EFD"/>
    <w:rsid w:val="00AB6E49"/>
    <w:rsid w:val="00AB76F5"/>
    <w:rsid w:val="00AC1EBB"/>
    <w:rsid w:val="00AC29C3"/>
    <w:rsid w:val="00AC4C6F"/>
    <w:rsid w:val="00AD28E3"/>
    <w:rsid w:val="00AE57A4"/>
    <w:rsid w:val="00AE77AE"/>
    <w:rsid w:val="00AF232B"/>
    <w:rsid w:val="00AF291D"/>
    <w:rsid w:val="00AF51A0"/>
    <w:rsid w:val="00AF5D67"/>
    <w:rsid w:val="00AF7C2C"/>
    <w:rsid w:val="00B00765"/>
    <w:rsid w:val="00B0252F"/>
    <w:rsid w:val="00B02858"/>
    <w:rsid w:val="00B10539"/>
    <w:rsid w:val="00B10F2E"/>
    <w:rsid w:val="00B11D20"/>
    <w:rsid w:val="00B11D74"/>
    <w:rsid w:val="00B15276"/>
    <w:rsid w:val="00B17303"/>
    <w:rsid w:val="00B26A2D"/>
    <w:rsid w:val="00B3375B"/>
    <w:rsid w:val="00B348B0"/>
    <w:rsid w:val="00B435C2"/>
    <w:rsid w:val="00B46448"/>
    <w:rsid w:val="00B46917"/>
    <w:rsid w:val="00B50803"/>
    <w:rsid w:val="00B622BC"/>
    <w:rsid w:val="00B67B8C"/>
    <w:rsid w:val="00B7734D"/>
    <w:rsid w:val="00B80672"/>
    <w:rsid w:val="00B8086C"/>
    <w:rsid w:val="00B809D3"/>
    <w:rsid w:val="00B80A40"/>
    <w:rsid w:val="00B90B28"/>
    <w:rsid w:val="00B92053"/>
    <w:rsid w:val="00BA5D3E"/>
    <w:rsid w:val="00BB4305"/>
    <w:rsid w:val="00BB4CC8"/>
    <w:rsid w:val="00BB5F43"/>
    <w:rsid w:val="00BB676C"/>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00F2"/>
    <w:rsid w:val="00C51144"/>
    <w:rsid w:val="00C54C7F"/>
    <w:rsid w:val="00C56239"/>
    <w:rsid w:val="00C56B06"/>
    <w:rsid w:val="00C724D2"/>
    <w:rsid w:val="00C7692E"/>
    <w:rsid w:val="00C76C3D"/>
    <w:rsid w:val="00C77D60"/>
    <w:rsid w:val="00C80CEE"/>
    <w:rsid w:val="00C82C3E"/>
    <w:rsid w:val="00C86E79"/>
    <w:rsid w:val="00C92D07"/>
    <w:rsid w:val="00C9499A"/>
    <w:rsid w:val="00C96187"/>
    <w:rsid w:val="00C96700"/>
    <w:rsid w:val="00CA0D0B"/>
    <w:rsid w:val="00CA3243"/>
    <w:rsid w:val="00CA425B"/>
    <w:rsid w:val="00CA4B10"/>
    <w:rsid w:val="00CB05B1"/>
    <w:rsid w:val="00CB0F26"/>
    <w:rsid w:val="00CB3AE2"/>
    <w:rsid w:val="00CB3FBB"/>
    <w:rsid w:val="00CB5906"/>
    <w:rsid w:val="00CB65F1"/>
    <w:rsid w:val="00CC1869"/>
    <w:rsid w:val="00CC2CF7"/>
    <w:rsid w:val="00CD2A1C"/>
    <w:rsid w:val="00CD2EFD"/>
    <w:rsid w:val="00CD4BC4"/>
    <w:rsid w:val="00CD75D2"/>
    <w:rsid w:val="00CD77BC"/>
    <w:rsid w:val="00CE7729"/>
    <w:rsid w:val="00CF1ED7"/>
    <w:rsid w:val="00D00632"/>
    <w:rsid w:val="00D01F37"/>
    <w:rsid w:val="00D03A26"/>
    <w:rsid w:val="00D05D59"/>
    <w:rsid w:val="00D17D39"/>
    <w:rsid w:val="00D17D8F"/>
    <w:rsid w:val="00D22031"/>
    <w:rsid w:val="00D27548"/>
    <w:rsid w:val="00D303D6"/>
    <w:rsid w:val="00D32687"/>
    <w:rsid w:val="00D3314A"/>
    <w:rsid w:val="00D362A2"/>
    <w:rsid w:val="00D37B27"/>
    <w:rsid w:val="00D424D2"/>
    <w:rsid w:val="00D47FA4"/>
    <w:rsid w:val="00D51791"/>
    <w:rsid w:val="00D5468E"/>
    <w:rsid w:val="00D61701"/>
    <w:rsid w:val="00D63A7D"/>
    <w:rsid w:val="00D641AC"/>
    <w:rsid w:val="00D64BC8"/>
    <w:rsid w:val="00D65268"/>
    <w:rsid w:val="00D70C1C"/>
    <w:rsid w:val="00D710A9"/>
    <w:rsid w:val="00D74667"/>
    <w:rsid w:val="00D75346"/>
    <w:rsid w:val="00D75A2B"/>
    <w:rsid w:val="00D77E31"/>
    <w:rsid w:val="00D8474E"/>
    <w:rsid w:val="00D86814"/>
    <w:rsid w:val="00D918E3"/>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674FF"/>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447F"/>
    <w:rsid w:val="00EF778F"/>
    <w:rsid w:val="00EF7999"/>
    <w:rsid w:val="00F006DA"/>
    <w:rsid w:val="00F020DF"/>
    <w:rsid w:val="00F05B65"/>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86DFC"/>
    <w:rsid w:val="00F950E6"/>
    <w:rsid w:val="00F960F5"/>
    <w:rsid w:val="00F97939"/>
    <w:rsid w:val="00FA3210"/>
    <w:rsid w:val="00FA62A2"/>
    <w:rsid w:val="00FA7412"/>
    <w:rsid w:val="00FB0F59"/>
    <w:rsid w:val="00FB3BF9"/>
    <w:rsid w:val="00FB55B6"/>
    <w:rsid w:val="00FB5B7E"/>
    <w:rsid w:val="00FB709E"/>
    <w:rsid w:val="00FC57AE"/>
    <w:rsid w:val="00FC6C27"/>
    <w:rsid w:val="00FD4741"/>
    <w:rsid w:val="00FD7940"/>
    <w:rsid w:val="00FE3585"/>
    <w:rsid w:val="00FF330A"/>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rules v:ext="edit">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AA3B3C"/>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LsocPrefix">
    <w:name w:val="SCC.Lsoc.Prefix"/>
    <w:basedOn w:val="Normal"/>
    <w:next w:val="Normal"/>
    <w:link w:val="SCCLsocPrefixChar"/>
    <w:rsid w:val="00164196"/>
    <w:rPr>
      <w:rFonts w:eastAsia="Calibri"/>
      <w:b/>
      <w:smallCaps/>
      <w:szCs w:val="24"/>
      <w:lang w:val="en-CA"/>
    </w:rPr>
  </w:style>
  <w:style w:type="character" w:customStyle="1" w:styleId="SCCLsocPrefixChar">
    <w:name w:val="SCC.Lsoc.Prefix Char"/>
    <w:basedOn w:val="DefaultParagraphFont"/>
    <w:link w:val="SCCLsocPrefix"/>
    <w:rsid w:val="00164196"/>
    <w:rPr>
      <w:rFonts w:eastAsia="Calibri" w:cs="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1985085">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590510386">
      <w:bodyDiv w:val="1"/>
      <w:marLeft w:val="0"/>
      <w:marRight w:val="0"/>
      <w:marTop w:val="0"/>
      <w:marBottom w:val="0"/>
      <w:divBdr>
        <w:top w:val="none" w:sz="0" w:space="0" w:color="auto"/>
        <w:left w:val="none" w:sz="0" w:space="0" w:color="auto"/>
        <w:bottom w:val="none" w:sz="0" w:space="0" w:color="auto"/>
        <w:right w:val="none" w:sz="0" w:space="0" w:color="auto"/>
      </w:divBdr>
    </w:div>
    <w:div w:id="708459005">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2248844">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320228720">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525904105">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0930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594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5020</CharactersWithSpaces>
  <SharedDoc>false</SharedDoc>
  <HLinks>
    <vt:vector size="36" baseType="variant">
      <vt:variant>
        <vt:i4>524364</vt:i4>
      </vt:variant>
      <vt:variant>
        <vt:i4>17</vt:i4>
      </vt:variant>
      <vt:variant>
        <vt:i4>0</vt:i4>
      </vt:variant>
      <vt:variant>
        <vt:i4>5</vt:i4>
      </vt:variant>
      <vt:variant>
        <vt:lpwstr>http://www.scc-csc.gc.ca/news-nouv/rel-com/subs-abon-fra.aspx</vt:lpwstr>
      </vt:variant>
      <vt:variant>
        <vt:lpwstr/>
      </vt:variant>
      <vt:variant>
        <vt:i4>852048</vt:i4>
      </vt:variant>
      <vt:variant>
        <vt:i4>14</vt:i4>
      </vt:variant>
      <vt:variant>
        <vt:i4>0</vt:i4>
      </vt:variant>
      <vt:variant>
        <vt:i4>5</vt:i4>
      </vt:variant>
      <vt:variant>
        <vt:lpwstr>http://www.scc-csc.gc.ca/news-nouv/rel-com/subs-abon-eng.aspx</vt:lpwstr>
      </vt:variant>
      <vt:variant>
        <vt:lpwstr/>
      </vt:variant>
      <vt:variant>
        <vt:i4>3080213</vt:i4>
      </vt:variant>
      <vt:variant>
        <vt:i4>11</vt:i4>
      </vt:variant>
      <vt:variant>
        <vt:i4>0</vt:i4>
      </vt:variant>
      <vt:variant>
        <vt:i4>5</vt:i4>
      </vt:variant>
      <vt:variant>
        <vt:lpwstr>mailto:comments-commentaires@scc-csc.ca</vt:lpwstr>
      </vt:variant>
      <vt:variant>
        <vt:lpwstr/>
      </vt:variant>
      <vt:variant>
        <vt:i4>720924</vt:i4>
      </vt:variant>
      <vt:variant>
        <vt:i4>8</vt:i4>
      </vt:variant>
      <vt:variant>
        <vt:i4>0</vt:i4>
      </vt:variant>
      <vt:variant>
        <vt:i4>5</vt:i4>
      </vt:variant>
      <vt:variant>
        <vt:lpwstr>http://www.scc-csc.gc.ca/case-dossier/info/sum-som-fra.aspx?cas=35626</vt:lpwstr>
      </vt:variant>
      <vt:variant>
        <vt:lpwstr/>
      </vt:variant>
      <vt:variant>
        <vt:i4>2359358</vt:i4>
      </vt:variant>
      <vt:variant>
        <vt:i4>5</vt:i4>
      </vt:variant>
      <vt:variant>
        <vt:i4>0</vt:i4>
      </vt:variant>
      <vt:variant>
        <vt:i4>5</vt:i4>
      </vt:variant>
      <vt:variant>
        <vt:lpwstr>http://scc-csc.lexum.com/scc-csc/news/fr/item/4907/index.do</vt:lpwstr>
      </vt:variant>
      <vt:variant>
        <vt:lpwstr/>
      </vt:variant>
      <vt:variant>
        <vt:i4>3670077</vt:i4>
      </vt:variant>
      <vt:variant>
        <vt:i4>2</vt:i4>
      </vt:variant>
      <vt:variant>
        <vt:i4>0</vt:i4>
      </vt:variant>
      <vt:variant>
        <vt:i4>5</vt:i4>
      </vt:variant>
      <vt:variant>
        <vt:lpwstr>http://scc-csc.lexum.com/scc-csc/news/en/item/4907/index.do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2015-07-13T16:25:00Z</dcterms:created>
  <dcterms:modified xsi:type="dcterms:W3CDTF">2015-11-27T15:26:00Z</dcterms:modified>
</cp:coreProperties>
</file>