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B6193" w:rsidP="006F2579">
      <w:pPr>
        <w:widowControl w:val="0"/>
        <w:rPr>
          <w:b/>
        </w:rPr>
      </w:pPr>
      <w:r>
        <w:rPr>
          <w:b/>
        </w:rPr>
        <w:t>September 8</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53798C"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E14D31">
        <w:t xml:space="preserve">September </w:t>
      </w:r>
      <w:r w:rsidR="000B6193">
        <w:t>10</w:t>
      </w:r>
      <w:r w:rsidR="00960719" w:rsidRPr="004B4D42">
        <w:t>,</w:t>
      </w:r>
      <w:r w:rsidR="002F38D7" w:rsidRPr="004B4D42">
        <w:t xml:space="preserve"> </w:t>
      </w:r>
      <w:r w:rsidR="006648D1" w:rsidRPr="004B4D42">
        <w:t>2015</w:t>
      </w:r>
      <w:r w:rsidRPr="004B4D42">
        <w:t xml:space="preserve">.  </w:t>
      </w:r>
      <w:r w:rsidRPr="0053798C">
        <w:rPr>
          <w:lang w:val="fr-CA"/>
        </w:rPr>
        <w:t>This list is subject to change.</w:t>
      </w:r>
    </w:p>
    <w:p w:rsidR="006F2579" w:rsidRPr="0053798C" w:rsidRDefault="006F2579" w:rsidP="006F2579">
      <w:pPr>
        <w:widowControl w:val="0"/>
        <w:rPr>
          <w:lang w:val="fr-CA"/>
        </w:rPr>
      </w:pPr>
    </w:p>
    <w:p w:rsidR="00FF5AA4" w:rsidRPr="0053798C"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0B6193">
        <w:rPr>
          <w:b/>
          <w:lang w:val="fr-CA"/>
        </w:rPr>
        <w:t>8 septembre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0B6193">
        <w:rPr>
          <w:lang w:val="fr-CA"/>
        </w:rPr>
        <w:t>10</w:t>
      </w:r>
      <w:r w:rsidR="00E14D31">
        <w:rPr>
          <w:lang w:val="fr-CA"/>
        </w:rPr>
        <w:t xml:space="preserve"> septembre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0B6193" w:rsidRDefault="00E14D31" w:rsidP="000B6193">
      <w:pPr>
        <w:jc w:val="both"/>
        <w:rPr>
          <w:sz w:val="20"/>
          <w:lang w:val="en-CA"/>
        </w:rPr>
      </w:pPr>
    </w:p>
    <w:p w:rsidR="000B6193" w:rsidRPr="007B2DB6" w:rsidRDefault="000B6193" w:rsidP="007B2DB6">
      <w:pPr>
        <w:pStyle w:val="ListParagraph"/>
        <w:numPr>
          <w:ilvl w:val="0"/>
          <w:numId w:val="1"/>
        </w:numPr>
        <w:ind w:left="360"/>
        <w:jc w:val="both"/>
        <w:rPr>
          <w:sz w:val="20"/>
          <w:lang w:val="en-CA"/>
        </w:rPr>
      </w:pPr>
      <w:r w:rsidRPr="007B2DB6">
        <w:rPr>
          <w:i/>
          <w:sz w:val="20"/>
          <w:lang w:val="en-CA"/>
        </w:rPr>
        <w:t xml:space="preserve">Christopher Michael </w:t>
      </w:r>
      <w:proofErr w:type="spellStart"/>
      <w:r w:rsidRPr="007B2DB6">
        <w:rPr>
          <w:i/>
          <w:sz w:val="20"/>
          <w:lang w:val="en-CA"/>
        </w:rPr>
        <w:t>Staetter</w:t>
      </w:r>
      <w:proofErr w:type="spellEnd"/>
      <w:r w:rsidRPr="007B2DB6">
        <w:rPr>
          <w:i/>
          <w:sz w:val="20"/>
          <w:lang w:val="en-CA"/>
        </w:rPr>
        <w:t xml:space="preserve"> v. Director of Adult Forensic Psychiatric Services et al.</w:t>
      </w:r>
      <w:r w:rsidRPr="007B2DB6">
        <w:rPr>
          <w:sz w:val="20"/>
          <w:lang w:val="en-CA"/>
        </w:rPr>
        <w:t xml:space="preserve"> (B.C.) (Criminal) (By Leave) (</w:t>
      </w:r>
      <w:hyperlink r:id="rId8" w:history="1">
        <w:r w:rsidRPr="00771F1C">
          <w:rPr>
            <w:rStyle w:val="Hyperlink"/>
            <w:sz w:val="20"/>
            <w:lang w:val="en-CA"/>
          </w:rPr>
          <w:t>36396</w:t>
        </w:r>
      </w:hyperlink>
      <w:r w:rsidRPr="007B2DB6">
        <w:rPr>
          <w:sz w:val="20"/>
          <w:lang w:val="en-CA"/>
        </w:rPr>
        <w:t>)</w:t>
      </w:r>
    </w:p>
    <w:p w:rsidR="000B6193" w:rsidRPr="007B2DB6" w:rsidRDefault="000B6193" w:rsidP="000B6193">
      <w:pPr>
        <w:pStyle w:val="ListParagraph"/>
        <w:ind w:left="360" w:hanging="360"/>
        <w:jc w:val="both"/>
        <w:rPr>
          <w:sz w:val="20"/>
          <w:szCs w:val="20"/>
          <w:lang w:val="en-CA"/>
        </w:rPr>
      </w:pPr>
    </w:p>
    <w:p w:rsidR="000B6193" w:rsidRPr="007B2DB6" w:rsidRDefault="000B6193" w:rsidP="007B2DB6">
      <w:pPr>
        <w:pStyle w:val="ListParagraph"/>
        <w:numPr>
          <w:ilvl w:val="0"/>
          <w:numId w:val="1"/>
        </w:numPr>
        <w:ind w:left="360"/>
        <w:jc w:val="both"/>
        <w:rPr>
          <w:sz w:val="20"/>
          <w:szCs w:val="20"/>
          <w:lang w:val="en-CA"/>
        </w:rPr>
      </w:pPr>
      <w:r w:rsidRPr="007B2DB6">
        <w:rPr>
          <w:i/>
          <w:sz w:val="20"/>
          <w:szCs w:val="20"/>
          <w:lang w:val="en-CA"/>
        </w:rPr>
        <w:t xml:space="preserve">Matthew John Anthony-Cook v. Her Majesty the Queen </w:t>
      </w:r>
      <w:r w:rsidRPr="007B2DB6">
        <w:rPr>
          <w:sz w:val="20"/>
          <w:szCs w:val="20"/>
          <w:lang w:val="en-CA"/>
        </w:rPr>
        <w:t>(B.C.) (Criminal) (By Leave) (</w:t>
      </w:r>
      <w:hyperlink r:id="rId9" w:history="1">
        <w:r w:rsidRPr="00771F1C">
          <w:rPr>
            <w:rStyle w:val="Hyperlink"/>
            <w:sz w:val="20"/>
            <w:szCs w:val="20"/>
            <w:lang w:val="en-CA"/>
          </w:rPr>
          <w:t>36410</w:t>
        </w:r>
      </w:hyperlink>
      <w:r w:rsidRPr="007B2DB6">
        <w:rPr>
          <w:sz w:val="20"/>
          <w:szCs w:val="20"/>
          <w:lang w:val="en-CA"/>
        </w:rPr>
        <w:t>)</w:t>
      </w:r>
    </w:p>
    <w:p w:rsidR="000B6193" w:rsidRPr="007B2DB6" w:rsidRDefault="000B6193" w:rsidP="000B6193">
      <w:pPr>
        <w:pStyle w:val="ListParagraph"/>
        <w:ind w:left="360" w:hanging="360"/>
        <w:jc w:val="both"/>
        <w:rPr>
          <w:sz w:val="20"/>
          <w:szCs w:val="20"/>
          <w:lang w:val="en-CA"/>
        </w:rPr>
      </w:pPr>
    </w:p>
    <w:p w:rsidR="000B6193" w:rsidRPr="007B2DB6" w:rsidRDefault="000B6193" w:rsidP="007B2DB6">
      <w:pPr>
        <w:pStyle w:val="ListParagraph"/>
        <w:numPr>
          <w:ilvl w:val="0"/>
          <w:numId w:val="1"/>
        </w:numPr>
        <w:ind w:left="360"/>
        <w:jc w:val="both"/>
        <w:rPr>
          <w:sz w:val="20"/>
          <w:szCs w:val="20"/>
          <w:lang w:val="en-CA"/>
        </w:rPr>
      </w:pPr>
      <w:r w:rsidRPr="007B2DB6">
        <w:rPr>
          <w:i/>
          <w:sz w:val="20"/>
          <w:szCs w:val="20"/>
          <w:lang w:val="en-CA"/>
        </w:rPr>
        <w:t xml:space="preserve">C. P. v. RBC Life Insurance Company </w:t>
      </w:r>
      <w:r w:rsidRPr="007B2DB6">
        <w:rPr>
          <w:sz w:val="20"/>
          <w:szCs w:val="20"/>
          <w:lang w:val="en-CA"/>
        </w:rPr>
        <w:t>(B.C.) (Civil) (By Leave) (</w:t>
      </w:r>
      <w:hyperlink r:id="rId10" w:history="1">
        <w:r w:rsidRPr="00771F1C">
          <w:rPr>
            <w:rStyle w:val="Hyperlink"/>
            <w:sz w:val="20"/>
            <w:szCs w:val="20"/>
            <w:lang w:val="en-CA"/>
          </w:rPr>
          <w:t>36360</w:t>
        </w:r>
      </w:hyperlink>
      <w:r w:rsidRPr="007B2DB6">
        <w:rPr>
          <w:sz w:val="20"/>
          <w:szCs w:val="20"/>
          <w:lang w:val="en-CA"/>
        </w:rPr>
        <w:t>)</w:t>
      </w:r>
    </w:p>
    <w:p w:rsidR="000B6193" w:rsidRPr="007B2DB6" w:rsidRDefault="000B6193" w:rsidP="000B6193">
      <w:pPr>
        <w:pStyle w:val="ListParagraph"/>
        <w:ind w:left="360" w:hanging="360"/>
        <w:jc w:val="both"/>
        <w:rPr>
          <w:sz w:val="20"/>
          <w:szCs w:val="20"/>
          <w:lang w:val="en-CA"/>
        </w:rPr>
      </w:pPr>
    </w:p>
    <w:p w:rsidR="000B6193" w:rsidRPr="007B2DB6" w:rsidRDefault="000B6193" w:rsidP="007B2DB6">
      <w:pPr>
        <w:pStyle w:val="ListParagraph"/>
        <w:numPr>
          <w:ilvl w:val="0"/>
          <w:numId w:val="1"/>
        </w:numPr>
        <w:ind w:left="360"/>
        <w:jc w:val="both"/>
        <w:rPr>
          <w:sz w:val="20"/>
          <w:lang w:val="en-CA"/>
        </w:rPr>
      </w:pPr>
      <w:r w:rsidRPr="007B2DB6">
        <w:rPr>
          <w:i/>
          <w:sz w:val="20"/>
          <w:lang w:val="en-CA"/>
        </w:rPr>
        <w:t xml:space="preserve">D.J.S. v. Her Majesty the Queen </w:t>
      </w:r>
      <w:r w:rsidRPr="007B2DB6">
        <w:rPr>
          <w:sz w:val="20"/>
          <w:lang w:val="en-CA"/>
        </w:rPr>
        <w:t>(B.C.) (Criminal) (By Leave) (</w:t>
      </w:r>
      <w:hyperlink r:id="rId11" w:history="1">
        <w:r w:rsidRPr="00771F1C">
          <w:rPr>
            <w:rStyle w:val="Hyperlink"/>
            <w:sz w:val="20"/>
            <w:lang w:val="en-CA"/>
          </w:rPr>
          <w:t>36444</w:t>
        </w:r>
      </w:hyperlink>
      <w:r w:rsidRPr="007B2DB6">
        <w:rPr>
          <w:sz w:val="20"/>
          <w:lang w:val="en-CA"/>
        </w:rPr>
        <w:t>)</w:t>
      </w:r>
    </w:p>
    <w:p w:rsidR="000B6193" w:rsidRPr="007B2DB6" w:rsidRDefault="000B6193" w:rsidP="000B6193">
      <w:pPr>
        <w:pStyle w:val="ListParagraph"/>
        <w:ind w:left="360" w:hanging="360"/>
        <w:jc w:val="both"/>
        <w:rPr>
          <w:sz w:val="20"/>
          <w:szCs w:val="20"/>
          <w:lang w:val="en-CA"/>
        </w:rPr>
      </w:pPr>
    </w:p>
    <w:p w:rsidR="000B6193" w:rsidRPr="007B2DB6" w:rsidRDefault="000B6193" w:rsidP="007B2DB6">
      <w:pPr>
        <w:pStyle w:val="ListParagraph"/>
        <w:numPr>
          <w:ilvl w:val="0"/>
          <w:numId w:val="1"/>
        </w:numPr>
        <w:ind w:left="360"/>
        <w:jc w:val="both"/>
        <w:rPr>
          <w:sz w:val="20"/>
          <w:szCs w:val="20"/>
          <w:lang w:val="en-CA"/>
        </w:rPr>
      </w:pPr>
      <w:r w:rsidRPr="007B2DB6">
        <w:rPr>
          <w:i/>
          <w:sz w:val="20"/>
          <w:szCs w:val="20"/>
          <w:lang w:val="en-CA"/>
        </w:rPr>
        <w:t xml:space="preserve">Lynne M. </w:t>
      </w:r>
      <w:proofErr w:type="spellStart"/>
      <w:r w:rsidRPr="007B2DB6">
        <w:rPr>
          <w:i/>
          <w:sz w:val="20"/>
          <w:szCs w:val="20"/>
          <w:lang w:val="en-CA"/>
        </w:rPr>
        <w:t>Quarmby</w:t>
      </w:r>
      <w:proofErr w:type="spellEnd"/>
      <w:r w:rsidRPr="007B2DB6">
        <w:rPr>
          <w:i/>
          <w:sz w:val="20"/>
          <w:szCs w:val="20"/>
          <w:lang w:val="en-CA"/>
        </w:rPr>
        <w:t xml:space="preserve"> et al. v. Attorney General of Canada et al. </w:t>
      </w:r>
      <w:r w:rsidRPr="007B2DB6">
        <w:rPr>
          <w:sz w:val="20"/>
          <w:szCs w:val="20"/>
          <w:lang w:val="en-CA"/>
        </w:rPr>
        <w:t>(F</w:t>
      </w:r>
      <w:r w:rsidR="007B2DB6">
        <w:rPr>
          <w:sz w:val="20"/>
          <w:szCs w:val="20"/>
          <w:lang w:val="en-CA"/>
        </w:rPr>
        <w:t>.</w:t>
      </w:r>
      <w:r w:rsidRPr="007B2DB6">
        <w:rPr>
          <w:sz w:val="20"/>
          <w:szCs w:val="20"/>
          <w:lang w:val="en-CA"/>
        </w:rPr>
        <w:t>C</w:t>
      </w:r>
      <w:r w:rsidR="007B2DB6">
        <w:rPr>
          <w:sz w:val="20"/>
          <w:szCs w:val="20"/>
          <w:lang w:val="en-CA"/>
        </w:rPr>
        <w:t>.</w:t>
      </w:r>
      <w:r w:rsidRPr="007B2DB6">
        <w:rPr>
          <w:sz w:val="20"/>
          <w:szCs w:val="20"/>
          <w:lang w:val="en-CA"/>
        </w:rPr>
        <w:t>) (Civil) (By Leave) (</w:t>
      </w:r>
      <w:hyperlink r:id="rId12" w:history="1">
        <w:r w:rsidRPr="00771F1C">
          <w:rPr>
            <w:rStyle w:val="Hyperlink"/>
            <w:sz w:val="20"/>
            <w:szCs w:val="20"/>
            <w:lang w:val="en-CA"/>
          </w:rPr>
          <w:t>36353</w:t>
        </w:r>
      </w:hyperlink>
      <w:r w:rsidRPr="007B2DB6">
        <w:rPr>
          <w:sz w:val="20"/>
          <w:szCs w:val="20"/>
          <w:lang w:val="en-CA"/>
        </w:rPr>
        <w:t>)</w:t>
      </w:r>
    </w:p>
    <w:p w:rsidR="000B6193" w:rsidRPr="007B2DB6" w:rsidRDefault="000B6193" w:rsidP="000B6193">
      <w:pPr>
        <w:pStyle w:val="ListParagraph"/>
        <w:ind w:left="360" w:hanging="360"/>
        <w:jc w:val="both"/>
        <w:rPr>
          <w:sz w:val="20"/>
          <w:szCs w:val="20"/>
          <w:lang w:val="en-CA"/>
        </w:rPr>
      </w:pPr>
    </w:p>
    <w:p w:rsidR="000B6193" w:rsidRPr="007B2DB6" w:rsidRDefault="000B6193" w:rsidP="007B2DB6">
      <w:pPr>
        <w:pStyle w:val="ListParagraph"/>
        <w:numPr>
          <w:ilvl w:val="0"/>
          <w:numId w:val="1"/>
        </w:numPr>
        <w:ind w:left="360"/>
        <w:jc w:val="both"/>
        <w:rPr>
          <w:sz w:val="20"/>
          <w:szCs w:val="20"/>
        </w:rPr>
      </w:pPr>
      <w:r w:rsidRPr="007B2DB6">
        <w:rPr>
          <w:i/>
          <w:sz w:val="20"/>
          <w:szCs w:val="20"/>
          <w:lang w:val="en-CA"/>
        </w:rPr>
        <w:t xml:space="preserve">Robert </w:t>
      </w:r>
      <w:proofErr w:type="spellStart"/>
      <w:r w:rsidRPr="007B2DB6">
        <w:rPr>
          <w:i/>
          <w:sz w:val="20"/>
          <w:szCs w:val="20"/>
          <w:lang w:val="en-CA"/>
        </w:rPr>
        <w:t>Semenoff</w:t>
      </w:r>
      <w:proofErr w:type="spellEnd"/>
      <w:r w:rsidRPr="007B2DB6">
        <w:rPr>
          <w:i/>
          <w:sz w:val="20"/>
          <w:szCs w:val="20"/>
          <w:lang w:val="en-CA"/>
        </w:rPr>
        <w:t xml:space="preserve">, Executor of the Estate of Bill </w:t>
      </w:r>
      <w:proofErr w:type="spellStart"/>
      <w:r w:rsidRPr="007B2DB6">
        <w:rPr>
          <w:i/>
          <w:sz w:val="20"/>
          <w:szCs w:val="20"/>
          <w:lang w:val="en-CA"/>
        </w:rPr>
        <w:t>Semenoff</w:t>
      </w:r>
      <w:proofErr w:type="spellEnd"/>
      <w:r w:rsidRPr="007B2DB6">
        <w:rPr>
          <w:i/>
          <w:sz w:val="20"/>
          <w:szCs w:val="20"/>
          <w:lang w:val="en-CA"/>
        </w:rPr>
        <w:t>,</w:t>
      </w:r>
      <w:r w:rsidR="007B2DB6">
        <w:rPr>
          <w:i/>
          <w:sz w:val="20"/>
          <w:szCs w:val="20"/>
          <w:lang w:val="en-CA"/>
        </w:rPr>
        <w:t xml:space="preserve"> Deceased v. Lewis J. Bridgeman</w:t>
      </w:r>
      <w:r w:rsidRPr="007B2DB6">
        <w:rPr>
          <w:i/>
          <w:sz w:val="20"/>
          <w:szCs w:val="20"/>
          <w:lang w:val="en-CA"/>
        </w:rPr>
        <w:t xml:space="preserve"> et al. </w:t>
      </w:r>
      <w:r w:rsidRPr="007B2DB6">
        <w:rPr>
          <w:sz w:val="20"/>
          <w:szCs w:val="20"/>
        </w:rPr>
        <w:t>(B.C.) (Civil) (By Leave) (</w:t>
      </w:r>
      <w:hyperlink r:id="rId13" w:history="1">
        <w:r w:rsidRPr="00771F1C">
          <w:rPr>
            <w:rStyle w:val="Hyperlink"/>
            <w:sz w:val="20"/>
            <w:szCs w:val="20"/>
          </w:rPr>
          <w:t>36461</w:t>
        </w:r>
      </w:hyperlink>
      <w:r w:rsidRPr="007B2DB6">
        <w:rPr>
          <w:sz w:val="20"/>
          <w:szCs w:val="20"/>
        </w:rPr>
        <w:t>)</w:t>
      </w:r>
    </w:p>
    <w:p w:rsidR="000B6193" w:rsidRPr="007B2DB6" w:rsidRDefault="000B6193" w:rsidP="000B6193">
      <w:pPr>
        <w:pStyle w:val="ListParagraph"/>
        <w:ind w:left="360" w:hanging="360"/>
        <w:jc w:val="both"/>
        <w:rPr>
          <w:i/>
          <w:sz w:val="20"/>
          <w:szCs w:val="20"/>
        </w:rPr>
      </w:pPr>
    </w:p>
    <w:p w:rsidR="000B6193" w:rsidRPr="007B2DB6" w:rsidRDefault="007B2DB6" w:rsidP="007B2DB6">
      <w:pPr>
        <w:pStyle w:val="ListParagraph"/>
        <w:numPr>
          <w:ilvl w:val="0"/>
          <w:numId w:val="1"/>
        </w:numPr>
        <w:ind w:left="360"/>
        <w:jc w:val="both"/>
        <w:rPr>
          <w:sz w:val="20"/>
          <w:szCs w:val="20"/>
          <w:lang w:val="fr-CA"/>
        </w:rPr>
      </w:pPr>
      <w:r>
        <w:rPr>
          <w:i/>
          <w:sz w:val="20"/>
          <w:szCs w:val="20"/>
          <w:lang w:val="fr-CA"/>
        </w:rPr>
        <w:t>Steve Côté</w:t>
      </w:r>
      <w:r w:rsidR="000B6193" w:rsidRPr="007B2DB6">
        <w:rPr>
          <w:i/>
          <w:sz w:val="20"/>
          <w:szCs w:val="20"/>
          <w:lang w:val="fr-CA"/>
        </w:rPr>
        <w:t xml:space="preserve"> et a</w:t>
      </w:r>
      <w:r>
        <w:rPr>
          <w:i/>
          <w:sz w:val="20"/>
          <w:szCs w:val="20"/>
          <w:lang w:val="fr-CA"/>
        </w:rPr>
        <w:t>utres</w:t>
      </w:r>
      <w:r w:rsidR="000B6193" w:rsidRPr="007B2DB6">
        <w:rPr>
          <w:i/>
          <w:sz w:val="20"/>
          <w:szCs w:val="20"/>
          <w:lang w:val="fr-CA"/>
        </w:rPr>
        <w:t xml:space="preserve"> c. Fédération des producteurs acéricoles du Québec et a</w:t>
      </w:r>
      <w:r>
        <w:rPr>
          <w:i/>
          <w:sz w:val="20"/>
          <w:szCs w:val="20"/>
          <w:lang w:val="fr-CA"/>
        </w:rPr>
        <w:t>utre</w:t>
      </w:r>
      <w:r w:rsidR="000B6193" w:rsidRPr="007B2DB6">
        <w:rPr>
          <w:sz w:val="20"/>
          <w:szCs w:val="20"/>
          <w:lang w:val="fr-CA"/>
        </w:rPr>
        <w:t xml:space="preserve"> (</w:t>
      </w:r>
      <w:proofErr w:type="spellStart"/>
      <w:r w:rsidR="000B6193" w:rsidRPr="007B2DB6">
        <w:rPr>
          <w:sz w:val="20"/>
          <w:szCs w:val="20"/>
          <w:lang w:val="fr-CA"/>
        </w:rPr>
        <w:t>Qc</w:t>
      </w:r>
      <w:proofErr w:type="spellEnd"/>
      <w:r w:rsidR="000B6193" w:rsidRPr="007B2DB6">
        <w:rPr>
          <w:sz w:val="20"/>
          <w:szCs w:val="20"/>
          <w:lang w:val="fr-CA"/>
        </w:rPr>
        <w:t>) (Civile) (Autorisation) (</w:t>
      </w:r>
      <w:r w:rsidR="0053798C">
        <w:fldChar w:fldCharType="begin"/>
      </w:r>
      <w:r w:rsidR="0053798C" w:rsidRPr="0053798C">
        <w:rPr>
          <w:lang w:val="fr-CA"/>
        </w:rPr>
        <w:instrText xml:space="preserve"> HYPERLINK "http://www.scc-csc.ca</w:instrText>
      </w:r>
      <w:r w:rsidR="0053798C" w:rsidRPr="0053798C">
        <w:rPr>
          <w:lang w:val="fr-CA"/>
        </w:rPr>
        <w:instrText xml:space="preserve">/case-dossier/info/sum-som-fra.aspx?cas=36367" </w:instrText>
      </w:r>
      <w:r w:rsidR="0053798C">
        <w:fldChar w:fldCharType="separate"/>
      </w:r>
      <w:r w:rsidR="000B6193" w:rsidRPr="00771F1C">
        <w:rPr>
          <w:rStyle w:val="Hyperlink"/>
          <w:sz w:val="20"/>
          <w:szCs w:val="20"/>
          <w:lang w:val="fr-CA"/>
        </w:rPr>
        <w:t>36367</w:t>
      </w:r>
      <w:r w:rsidR="0053798C">
        <w:rPr>
          <w:rStyle w:val="Hyperlink"/>
          <w:sz w:val="20"/>
          <w:szCs w:val="20"/>
          <w:lang w:val="fr-CA"/>
        </w:rPr>
        <w:fldChar w:fldCharType="end"/>
      </w:r>
      <w:r w:rsidR="000B6193" w:rsidRPr="007B2DB6">
        <w:rPr>
          <w:sz w:val="20"/>
          <w:szCs w:val="20"/>
          <w:lang w:val="fr-CA"/>
        </w:rPr>
        <w:t>)</w:t>
      </w:r>
    </w:p>
    <w:p w:rsidR="000B6193" w:rsidRPr="007B2DB6" w:rsidRDefault="000B6193" w:rsidP="000B6193">
      <w:pPr>
        <w:pStyle w:val="ListParagraph"/>
        <w:ind w:left="360" w:hanging="360"/>
        <w:jc w:val="both"/>
        <w:rPr>
          <w:sz w:val="20"/>
          <w:szCs w:val="20"/>
          <w:lang w:val="fr-CA"/>
        </w:rPr>
      </w:pPr>
    </w:p>
    <w:p w:rsidR="000B6193" w:rsidRDefault="000B6193" w:rsidP="007B2DB6">
      <w:pPr>
        <w:pStyle w:val="ListParagraph"/>
        <w:numPr>
          <w:ilvl w:val="0"/>
          <w:numId w:val="1"/>
        </w:numPr>
        <w:ind w:left="360"/>
        <w:jc w:val="both"/>
        <w:rPr>
          <w:sz w:val="20"/>
          <w:szCs w:val="20"/>
          <w:lang w:val="en-CA"/>
        </w:rPr>
      </w:pPr>
      <w:r w:rsidRPr="007B2DB6">
        <w:rPr>
          <w:i/>
          <w:sz w:val="20"/>
          <w:szCs w:val="20"/>
          <w:lang w:val="en-CA"/>
        </w:rPr>
        <w:lastRenderedPageBreak/>
        <w:t xml:space="preserve">Frederic </w:t>
      </w:r>
      <w:proofErr w:type="spellStart"/>
      <w:r w:rsidRPr="007B2DB6">
        <w:rPr>
          <w:i/>
          <w:sz w:val="20"/>
          <w:szCs w:val="20"/>
          <w:lang w:val="en-CA"/>
        </w:rPr>
        <w:t>Ntibarimungu</w:t>
      </w:r>
      <w:proofErr w:type="spellEnd"/>
      <w:r w:rsidRPr="007B2DB6">
        <w:rPr>
          <w:i/>
          <w:sz w:val="20"/>
          <w:szCs w:val="20"/>
          <w:lang w:val="en-CA"/>
        </w:rPr>
        <w:t xml:space="preserve"> v. Insurance Corporation of British Columbia </w:t>
      </w:r>
      <w:r w:rsidRPr="007B2DB6">
        <w:rPr>
          <w:sz w:val="20"/>
          <w:szCs w:val="20"/>
          <w:lang w:val="en-CA"/>
        </w:rPr>
        <w:t>(B.C.) (Civil) (By Leave) (</w:t>
      </w:r>
      <w:hyperlink r:id="rId14" w:history="1">
        <w:r w:rsidRPr="00771F1C">
          <w:rPr>
            <w:rStyle w:val="Hyperlink"/>
            <w:sz w:val="20"/>
            <w:szCs w:val="20"/>
            <w:lang w:val="en-CA"/>
          </w:rPr>
          <w:t>36423</w:t>
        </w:r>
      </w:hyperlink>
      <w:r w:rsidRPr="007B2DB6">
        <w:rPr>
          <w:sz w:val="20"/>
          <w:szCs w:val="20"/>
          <w:lang w:val="en-CA"/>
        </w:rPr>
        <w:t>)</w:t>
      </w:r>
    </w:p>
    <w:p w:rsidR="007B2DB6" w:rsidRPr="007B2DB6" w:rsidRDefault="007B2DB6" w:rsidP="007B2DB6">
      <w:pPr>
        <w:rPr>
          <w:sz w:val="20"/>
          <w:lang w:val="en-CA"/>
        </w:rPr>
      </w:pPr>
    </w:p>
    <w:p w:rsidR="000B6193" w:rsidRPr="007B2DB6" w:rsidRDefault="000B6193" w:rsidP="007B2DB6">
      <w:pPr>
        <w:pStyle w:val="ListParagraph"/>
        <w:numPr>
          <w:ilvl w:val="0"/>
          <w:numId w:val="1"/>
        </w:numPr>
        <w:ind w:left="360"/>
        <w:jc w:val="both"/>
        <w:rPr>
          <w:sz w:val="20"/>
          <w:lang w:val="fr-CA"/>
        </w:rPr>
      </w:pPr>
      <w:r w:rsidRPr="007B2DB6">
        <w:rPr>
          <w:i/>
          <w:sz w:val="20"/>
          <w:lang w:val="fr-CA"/>
        </w:rPr>
        <w:t xml:space="preserve">Karine </w:t>
      </w:r>
      <w:proofErr w:type="spellStart"/>
      <w:r w:rsidRPr="007B2DB6">
        <w:rPr>
          <w:i/>
          <w:sz w:val="20"/>
          <w:lang w:val="fr-CA"/>
        </w:rPr>
        <w:t>Lizotte</w:t>
      </w:r>
      <w:proofErr w:type="spellEnd"/>
      <w:r w:rsidRPr="007B2DB6">
        <w:rPr>
          <w:i/>
          <w:sz w:val="20"/>
          <w:lang w:val="fr-CA"/>
        </w:rPr>
        <w:t xml:space="preserve">, ès qualités de syndic adjoint de la Chambre de l’assurance de dommages c. Aviva, </w:t>
      </w:r>
      <w:r w:rsidR="007B2DB6">
        <w:rPr>
          <w:i/>
          <w:sz w:val="20"/>
          <w:lang w:val="fr-CA"/>
        </w:rPr>
        <w:t>Compagnie d’assurance du Canada et autre</w:t>
      </w:r>
      <w:r w:rsidRPr="007B2DB6">
        <w:rPr>
          <w:sz w:val="20"/>
          <w:lang w:val="fr-CA"/>
        </w:rPr>
        <w:t xml:space="preserve"> (</w:t>
      </w:r>
      <w:proofErr w:type="spellStart"/>
      <w:r w:rsidRPr="007B2DB6">
        <w:rPr>
          <w:sz w:val="20"/>
          <w:lang w:val="fr-CA"/>
        </w:rPr>
        <w:t>Qc</w:t>
      </w:r>
      <w:proofErr w:type="spellEnd"/>
      <w:r w:rsidRPr="007B2DB6">
        <w:rPr>
          <w:sz w:val="20"/>
          <w:lang w:val="fr-CA"/>
        </w:rPr>
        <w:t>) (Civile) (Autorisation) (</w:t>
      </w:r>
      <w:r w:rsidR="0053798C">
        <w:fldChar w:fldCharType="begin"/>
      </w:r>
      <w:r w:rsidR="0053798C" w:rsidRPr="0053798C">
        <w:rPr>
          <w:lang w:val="fr-CA"/>
        </w:rPr>
        <w:instrText xml:space="preserve"> HYPERLINK "http://www.scc-csc.ca</w:instrText>
      </w:r>
      <w:r w:rsidR="0053798C" w:rsidRPr="0053798C">
        <w:rPr>
          <w:lang w:val="fr-CA"/>
        </w:rPr>
        <w:instrText>/case-dossier/info/sum-som</w:instrText>
      </w:r>
      <w:r w:rsidR="0053798C" w:rsidRPr="0053798C">
        <w:rPr>
          <w:lang w:val="fr-CA"/>
        </w:rPr>
        <w:instrText xml:space="preserve">-fra.aspx?cas=36373" </w:instrText>
      </w:r>
      <w:r w:rsidR="0053798C">
        <w:fldChar w:fldCharType="separate"/>
      </w:r>
      <w:r w:rsidRPr="00771F1C">
        <w:rPr>
          <w:rStyle w:val="Hyperlink"/>
          <w:sz w:val="20"/>
          <w:lang w:val="fr-CA"/>
        </w:rPr>
        <w:t>36373</w:t>
      </w:r>
      <w:r w:rsidR="0053798C">
        <w:rPr>
          <w:rStyle w:val="Hyperlink"/>
          <w:sz w:val="20"/>
          <w:lang w:val="fr-CA"/>
        </w:rPr>
        <w:fldChar w:fldCharType="end"/>
      </w:r>
      <w:r w:rsidRPr="007B2DB6">
        <w:rPr>
          <w:sz w:val="20"/>
          <w:lang w:val="fr-CA"/>
        </w:rPr>
        <w:t>)</w:t>
      </w:r>
    </w:p>
    <w:p w:rsidR="000B6193" w:rsidRPr="007B2DB6" w:rsidRDefault="000B6193" w:rsidP="00E14D31">
      <w:pPr>
        <w:ind w:left="360" w:hanging="360"/>
        <w:rPr>
          <w:sz w:val="20"/>
          <w:lang w:val="fr-CA"/>
        </w:rPr>
      </w:pPr>
    </w:p>
    <w:p w:rsidR="00D07A82" w:rsidRDefault="00D07A82" w:rsidP="00762A4C">
      <w:pPr>
        <w:ind w:left="360" w:hanging="360"/>
        <w:rPr>
          <w:sz w:val="20"/>
          <w:lang w:val="fr-CA"/>
        </w:rPr>
      </w:pPr>
    </w:p>
    <w:p w:rsidR="005F1D6B" w:rsidRPr="00762A4C" w:rsidRDefault="005F1D6B" w:rsidP="00762A4C">
      <w:pPr>
        <w:ind w:left="360" w:hanging="360"/>
        <w:rPr>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D07A82" w:rsidTr="00D07A82">
        <w:tc>
          <w:tcPr>
            <w:tcW w:w="543" w:type="pct"/>
            <w:hideMark/>
          </w:tcPr>
          <w:p w:rsidR="00D07A82" w:rsidRPr="00D07A82" w:rsidRDefault="00D07A82" w:rsidP="00762A4C">
            <w:pPr>
              <w:jc w:val="both"/>
              <w:rPr>
                <w:rFonts w:eastAsia="Calibri"/>
                <w:sz w:val="20"/>
                <w:lang w:val="en-CA"/>
              </w:rPr>
            </w:pPr>
            <w:r w:rsidRPr="00762A4C">
              <w:rPr>
                <w:rFonts w:eastAsia="Calibri"/>
                <w:b/>
                <w:sz w:val="20"/>
                <w:lang w:val="en-CA"/>
              </w:rPr>
              <w:t>36396</w:t>
            </w:r>
          </w:p>
        </w:tc>
        <w:tc>
          <w:tcPr>
            <w:tcW w:w="4457" w:type="pct"/>
            <w:gridSpan w:val="3"/>
            <w:hideMark/>
          </w:tcPr>
          <w:p w:rsidR="00D07A82" w:rsidRPr="00D07A82" w:rsidRDefault="00D07A82" w:rsidP="00762A4C">
            <w:pPr>
              <w:jc w:val="both"/>
              <w:rPr>
                <w:rFonts w:eastAsia="Calibri"/>
                <w:b/>
                <w:sz w:val="20"/>
                <w:lang w:val="en-CA"/>
              </w:rPr>
            </w:pPr>
            <w:r w:rsidRPr="00D07A82">
              <w:rPr>
                <w:rFonts w:eastAsia="Calibri"/>
                <w:b/>
                <w:sz w:val="20"/>
                <w:lang w:val="en-CA"/>
              </w:rPr>
              <w:t xml:space="preserve">Christopher Michael </w:t>
            </w:r>
            <w:proofErr w:type="spellStart"/>
            <w:r w:rsidRPr="00D07A82">
              <w:rPr>
                <w:rFonts w:eastAsia="Calibri"/>
                <w:b/>
                <w:sz w:val="20"/>
                <w:lang w:val="en-CA"/>
              </w:rPr>
              <w:t>Staetter</w:t>
            </w:r>
            <w:proofErr w:type="spellEnd"/>
            <w:r w:rsidRPr="00D07A82">
              <w:rPr>
                <w:rFonts w:eastAsia="Calibri"/>
                <w:b/>
                <w:sz w:val="20"/>
                <w:lang w:val="en-CA"/>
              </w:rPr>
              <w:t xml:space="preserve"> v. Director of Adult Forensic Psychiatric Services, Attorney General of British Columbia</w:t>
            </w:r>
          </w:p>
          <w:p w:rsidR="00D07A82" w:rsidRPr="00D07A82" w:rsidRDefault="00D07A82" w:rsidP="00762A4C">
            <w:pPr>
              <w:jc w:val="both"/>
              <w:rPr>
                <w:rFonts w:eastAsia="Calibri"/>
                <w:sz w:val="20"/>
                <w:lang w:val="en-CA"/>
              </w:rPr>
            </w:pPr>
            <w:r w:rsidRPr="00D07A82">
              <w:rPr>
                <w:rFonts w:eastAsia="Calibri"/>
                <w:sz w:val="20"/>
                <w:lang w:val="en-CA"/>
              </w:rPr>
              <w:t>(B.C.) (Criminal) (By Leave)</w:t>
            </w:r>
          </w:p>
        </w:tc>
      </w:tr>
      <w:tr w:rsidR="00D07A82" w:rsidRPr="00D07A82" w:rsidTr="00D07A82">
        <w:tc>
          <w:tcPr>
            <w:tcW w:w="5000" w:type="pct"/>
            <w:gridSpan w:val="4"/>
          </w:tcPr>
          <w:p w:rsidR="00D07A82" w:rsidRPr="00D07A82" w:rsidRDefault="00D07A82" w:rsidP="00762A4C">
            <w:pPr>
              <w:jc w:val="both"/>
              <w:rPr>
                <w:rFonts w:eastAsia="Calibri"/>
                <w:sz w:val="20"/>
                <w:lang w:val="en-CA"/>
              </w:rPr>
            </w:pPr>
            <w:r w:rsidRPr="00D07A82">
              <w:rPr>
                <w:rFonts w:eastAsia="Calibri"/>
                <w:sz w:val="20"/>
                <w:lang w:val="en-CA"/>
              </w:rPr>
              <w:t>Criminal Law – Appeal – Leave to Appeal – Whether applicant raises a legal issue – Whether issue is of public importance.</w:t>
            </w:r>
          </w:p>
        </w:tc>
      </w:tr>
      <w:tr w:rsidR="00D07A82" w:rsidRPr="00D07A82" w:rsidTr="00D07A82">
        <w:tc>
          <w:tcPr>
            <w:tcW w:w="5000" w:type="pct"/>
            <w:gridSpan w:val="4"/>
          </w:tcPr>
          <w:p w:rsidR="00D07A82" w:rsidRPr="00D07A82" w:rsidRDefault="00D07A82" w:rsidP="00762A4C">
            <w:pPr>
              <w:jc w:val="both"/>
              <w:rPr>
                <w:rFonts w:eastAsia="Calibri"/>
                <w:sz w:val="20"/>
                <w:lang w:val="en-CA"/>
              </w:rPr>
            </w:pPr>
          </w:p>
        </w:tc>
      </w:tr>
      <w:tr w:rsidR="00D07A82" w:rsidRPr="00D07A82" w:rsidTr="00D07A82">
        <w:tc>
          <w:tcPr>
            <w:tcW w:w="5000" w:type="pct"/>
            <w:gridSpan w:val="4"/>
            <w:hideMark/>
          </w:tcPr>
          <w:p w:rsidR="00D07A82" w:rsidRDefault="00D07A82" w:rsidP="00762A4C">
            <w:pPr>
              <w:shd w:val="clear" w:color="auto" w:fill="FFFFFF"/>
              <w:jc w:val="both"/>
              <w:rPr>
                <w:sz w:val="20"/>
              </w:rPr>
            </w:pPr>
            <w:r w:rsidRPr="00D07A82">
              <w:rPr>
                <w:sz w:val="20"/>
              </w:rPr>
              <w:t xml:space="preserve">Mr. </w:t>
            </w:r>
            <w:proofErr w:type="spellStart"/>
            <w:r w:rsidRPr="00D07A82">
              <w:rPr>
                <w:sz w:val="20"/>
              </w:rPr>
              <w:t>Staetter</w:t>
            </w:r>
            <w:proofErr w:type="spellEnd"/>
            <w:r w:rsidRPr="00D07A82">
              <w:rPr>
                <w:sz w:val="20"/>
              </w:rPr>
              <w:t xml:space="preserve"> was charged with counts of uttering threats and criminal harassment. He was declared not criminally responsible on account of mental disorder and referred to the British Columbia Review Board. The Board issued a custodial order. In 2014, the Board re-assessed Mr. </w:t>
            </w:r>
            <w:proofErr w:type="spellStart"/>
            <w:r w:rsidRPr="00D07A82">
              <w:rPr>
                <w:sz w:val="20"/>
              </w:rPr>
              <w:t>Staetter</w:t>
            </w:r>
            <w:proofErr w:type="spellEnd"/>
            <w:r w:rsidRPr="00D07A82">
              <w:rPr>
                <w:sz w:val="20"/>
              </w:rPr>
              <w:t xml:space="preserve"> and remanded him for a further 12 months.</w:t>
            </w:r>
          </w:p>
          <w:p w:rsidR="00316BA5" w:rsidRPr="00D07A82" w:rsidRDefault="00316BA5" w:rsidP="00762A4C">
            <w:pPr>
              <w:shd w:val="clear" w:color="auto" w:fill="FFFFFF"/>
              <w:jc w:val="both"/>
              <w:rPr>
                <w:sz w:val="20"/>
              </w:rPr>
            </w:pPr>
          </w:p>
        </w:tc>
      </w:tr>
      <w:tr w:rsidR="00D07A82" w:rsidRPr="00D07A82" w:rsidTr="00D07A82">
        <w:tc>
          <w:tcPr>
            <w:tcW w:w="2427" w:type="pct"/>
            <w:gridSpan w:val="2"/>
            <w:hideMark/>
          </w:tcPr>
          <w:p w:rsidR="00D07A82" w:rsidRPr="00D07A82" w:rsidRDefault="00D07A82" w:rsidP="00762A4C">
            <w:pPr>
              <w:jc w:val="both"/>
              <w:rPr>
                <w:rFonts w:eastAsia="Calibri"/>
                <w:sz w:val="20"/>
                <w:lang w:val="en-CA"/>
              </w:rPr>
            </w:pPr>
            <w:r w:rsidRPr="00D07A82">
              <w:rPr>
                <w:rFonts w:eastAsia="Calibri"/>
                <w:sz w:val="20"/>
                <w:lang w:val="en-CA"/>
              </w:rPr>
              <w:t>October 19, 2012</w:t>
            </w:r>
          </w:p>
          <w:p w:rsidR="00D07A82" w:rsidRPr="00D07A82" w:rsidRDefault="00D07A82" w:rsidP="00762A4C">
            <w:pPr>
              <w:jc w:val="both"/>
              <w:rPr>
                <w:rFonts w:eastAsia="Calibri"/>
                <w:sz w:val="20"/>
                <w:lang w:val="en-CA"/>
              </w:rPr>
            </w:pPr>
            <w:r w:rsidRPr="00D07A82">
              <w:rPr>
                <w:rFonts w:eastAsia="Calibri"/>
                <w:sz w:val="20"/>
                <w:lang w:val="en-CA"/>
              </w:rPr>
              <w:t>Provincial Court of British Columbia</w:t>
            </w:r>
          </w:p>
          <w:p w:rsidR="00D07A82" w:rsidRPr="00D07A82" w:rsidRDefault="00D07A82" w:rsidP="00762A4C">
            <w:pPr>
              <w:jc w:val="both"/>
              <w:rPr>
                <w:rFonts w:eastAsia="Calibri"/>
                <w:sz w:val="20"/>
                <w:lang w:val="en-CA"/>
              </w:rPr>
            </w:pPr>
            <w:r w:rsidRPr="00D07A82">
              <w:rPr>
                <w:rFonts w:eastAsia="Calibri"/>
                <w:sz w:val="20"/>
                <w:lang w:val="en-CA"/>
              </w:rPr>
              <w:t>(Challenger J.)</w:t>
            </w:r>
          </w:p>
          <w:p w:rsidR="00D07A82" w:rsidRPr="00D07A82" w:rsidRDefault="00D07A82" w:rsidP="00762A4C">
            <w:pPr>
              <w:jc w:val="both"/>
              <w:rPr>
                <w:rFonts w:eastAsia="Calibri"/>
                <w:sz w:val="20"/>
                <w:lang w:val="en-CA"/>
              </w:rPr>
            </w:pPr>
            <w:r w:rsidRPr="00D07A82">
              <w:rPr>
                <w:rFonts w:eastAsia="Calibri"/>
                <w:sz w:val="20"/>
                <w:lang w:val="en-CA"/>
              </w:rPr>
              <w:t>2012 BCPC 413</w:t>
            </w: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Applicant found not criminally responsible by reason of mental disorder on counts of uttering threats and criminal harassment; Committal to psychiatric hospital</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November 27, 2012</w:t>
            </w:r>
          </w:p>
          <w:p w:rsidR="00D07A82" w:rsidRPr="00D07A82" w:rsidRDefault="00D07A82" w:rsidP="00762A4C">
            <w:pPr>
              <w:jc w:val="both"/>
              <w:rPr>
                <w:rFonts w:eastAsia="Calibri"/>
                <w:sz w:val="20"/>
                <w:lang w:val="en-CA"/>
              </w:rPr>
            </w:pPr>
            <w:r w:rsidRPr="00D07A82">
              <w:rPr>
                <w:rFonts w:eastAsia="Calibri"/>
                <w:sz w:val="20"/>
                <w:lang w:val="en-CA"/>
              </w:rPr>
              <w:t>British Columbia Review Board</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Custodial order</w:t>
            </w: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 xml:space="preserve">June 24, 2013 </w:t>
            </w:r>
          </w:p>
          <w:p w:rsidR="00D07A82" w:rsidRPr="00D07A82" w:rsidRDefault="00D07A82" w:rsidP="00762A4C">
            <w:pPr>
              <w:jc w:val="both"/>
              <w:rPr>
                <w:rFonts w:eastAsia="Calibri"/>
                <w:sz w:val="20"/>
                <w:lang w:val="en-CA"/>
              </w:rPr>
            </w:pPr>
            <w:r w:rsidRPr="00D07A82">
              <w:rPr>
                <w:rFonts w:eastAsia="Calibri"/>
                <w:sz w:val="20"/>
                <w:lang w:val="en-CA"/>
              </w:rPr>
              <w:t xml:space="preserve">Court of Appeal for British Columbia </w:t>
            </w:r>
          </w:p>
          <w:p w:rsidR="00D07A82" w:rsidRPr="00D07A82" w:rsidRDefault="00D07A82" w:rsidP="00762A4C">
            <w:pPr>
              <w:jc w:val="both"/>
              <w:rPr>
                <w:rFonts w:eastAsia="Calibri"/>
                <w:sz w:val="20"/>
                <w:lang w:val="en-CA"/>
              </w:rPr>
            </w:pPr>
            <w:r w:rsidRPr="00D07A82">
              <w:rPr>
                <w:rFonts w:eastAsia="Calibri"/>
                <w:sz w:val="20"/>
                <w:lang w:val="en-CA"/>
              </w:rPr>
              <w:t>(Vancouver)</w:t>
            </w:r>
          </w:p>
          <w:p w:rsidR="00D07A82" w:rsidRPr="00D07A82" w:rsidRDefault="00D07A82" w:rsidP="00762A4C">
            <w:pPr>
              <w:jc w:val="both"/>
              <w:rPr>
                <w:rFonts w:eastAsia="Calibri"/>
                <w:sz w:val="20"/>
                <w:lang w:val="en-CA"/>
              </w:rPr>
            </w:pPr>
            <w:r w:rsidRPr="00D07A82">
              <w:rPr>
                <w:rFonts w:eastAsia="Calibri"/>
                <w:sz w:val="20"/>
                <w:lang w:val="en-CA"/>
              </w:rPr>
              <w:t>(Saunders, Low, Neilson JJ.A.)</w:t>
            </w:r>
          </w:p>
          <w:p w:rsidR="00D07A82" w:rsidRPr="00D07A82" w:rsidRDefault="00D07A82" w:rsidP="00762A4C">
            <w:pPr>
              <w:jc w:val="both"/>
              <w:rPr>
                <w:rFonts w:eastAsia="Calibri"/>
                <w:sz w:val="20"/>
                <w:lang w:val="en-CA"/>
              </w:rPr>
            </w:pPr>
            <w:r w:rsidRPr="00D07A82">
              <w:rPr>
                <w:rFonts w:eastAsia="Calibri"/>
                <w:sz w:val="20"/>
                <w:lang w:val="en-CA"/>
              </w:rPr>
              <w:t xml:space="preserve">CA040771; </w:t>
            </w:r>
            <w:hyperlink r:id="rId15" w:history="1">
              <w:r w:rsidRPr="00762A4C">
                <w:rPr>
                  <w:rFonts w:eastAsia="Calibri"/>
                  <w:color w:val="0000FF" w:themeColor="hyperlink"/>
                  <w:sz w:val="20"/>
                  <w:u w:val="single"/>
                  <w:lang w:val="en-CA"/>
                </w:rPr>
                <w:t>2103 BCCA 307</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Appeal from custodial order dismissed</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 xml:space="preserve">September 16, 2014 </w:t>
            </w:r>
          </w:p>
          <w:p w:rsidR="00D07A82" w:rsidRPr="00D07A82" w:rsidRDefault="00D07A82" w:rsidP="00762A4C">
            <w:pPr>
              <w:jc w:val="both"/>
              <w:rPr>
                <w:rFonts w:eastAsia="Calibri"/>
                <w:sz w:val="20"/>
                <w:lang w:val="en-CA"/>
              </w:rPr>
            </w:pPr>
            <w:r w:rsidRPr="00D07A82">
              <w:rPr>
                <w:rFonts w:eastAsia="Calibri"/>
                <w:sz w:val="20"/>
                <w:lang w:val="en-CA"/>
              </w:rPr>
              <w:t>British Columbia Review Board</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Remand for a further 12 months</w:t>
            </w: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February 19, 2015</w:t>
            </w:r>
          </w:p>
          <w:p w:rsidR="00D07A82" w:rsidRPr="00D07A82" w:rsidRDefault="00D07A82" w:rsidP="00762A4C">
            <w:pPr>
              <w:jc w:val="both"/>
              <w:rPr>
                <w:rFonts w:eastAsia="Calibri"/>
                <w:sz w:val="20"/>
                <w:lang w:val="en-CA"/>
              </w:rPr>
            </w:pPr>
            <w:r w:rsidRPr="00D07A82">
              <w:rPr>
                <w:rFonts w:eastAsia="Calibri"/>
                <w:sz w:val="20"/>
                <w:lang w:val="en-CA"/>
              </w:rPr>
              <w:t xml:space="preserve">Court of Appeal for British Columbia </w:t>
            </w:r>
          </w:p>
          <w:p w:rsidR="00D07A82" w:rsidRPr="00D07A82" w:rsidRDefault="00D07A82" w:rsidP="00762A4C">
            <w:pPr>
              <w:jc w:val="both"/>
              <w:rPr>
                <w:rFonts w:eastAsia="Calibri"/>
                <w:sz w:val="20"/>
                <w:lang w:val="en-CA"/>
              </w:rPr>
            </w:pPr>
            <w:r w:rsidRPr="00D07A82">
              <w:rPr>
                <w:rFonts w:eastAsia="Calibri"/>
                <w:sz w:val="20"/>
                <w:lang w:val="en-CA"/>
              </w:rPr>
              <w:t>(Vancouver)</w:t>
            </w:r>
          </w:p>
          <w:p w:rsidR="00D07A82" w:rsidRPr="00D07A82" w:rsidRDefault="00D07A82" w:rsidP="00762A4C">
            <w:pPr>
              <w:jc w:val="both"/>
              <w:rPr>
                <w:rFonts w:eastAsia="Calibri"/>
                <w:sz w:val="20"/>
                <w:lang w:val="en-CA"/>
              </w:rPr>
            </w:pPr>
            <w:r w:rsidRPr="00D07A82">
              <w:rPr>
                <w:rFonts w:eastAsia="Calibri"/>
                <w:sz w:val="20"/>
                <w:lang w:val="en-CA"/>
              </w:rPr>
              <w:t xml:space="preserve">(Smith, Bennett, </w:t>
            </w:r>
            <w:proofErr w:type="spellStart"/>
            <w:r w:rsidRPr="00D07A82">
              <w:rPr>
                <w:rFonts w:eastAsia="Calibri"/>
                <w:sz w:val="20"/>
                <w:lang w:val="en-CA"/>
              </w:rPr>
              <w:t>Willcock</w:t>
            </w:r>
            <w:proofErr w:type="spellEnd"/>
            <w:r w:rsidRPr="00D07A82">
              <w:rPr>
                <w:rFonts w:eastAsia="Calibri"/>
                <w:sz w:val="20"/>
                <w:lang w:val="en-CA"/>
              </w:rPr>
              <w:t xml:space="preserve"> JJ.A.)</w:t>
            </w:r>
          </w:p>
          <w:p w:rsidR="00D07A82" w:rsidRPr="00D07A82" w:rsidRDefault="00D07A82" w:rsidP="00762A4C">
            <w:pPr>
              <w:jc w:val="both"/>
              <w:rPr>
                <w:rFonts w:eastAsia="Calibri"/>
                <w:sz w:val="20"/>
                <w:lang w:val="en-CA"/>
              </w:rPr>
            </w:pPr>
            <w:r w:rsidRPr="00D07A82">
              <w:rPr>
                <w:rFonts w:eastAsia="Calibri"/>
                <w:sz w:val="20"/>
                <w:lang w:val="en-CA"/>
              </w:rPr>
              <w:t xml:space="preserve">CA042322; </w:t>
            </w:r>
            <w:hyperlink r:id="rId16" w:history="1">
              <w:r w:rsidRPr="00762A4C">
                <w:rPr>
                  <w:rFonts w:eastAsia="Calibri"/>
                  <w:color w:val="0000FF" w:themeColor="hyperlink"/>
                  <w:sz w:val="20"/>
                  <w:u w:val="single"/>
                  <w:lang w:val="en-CA"/>
                </w:rPr>
                <w:t>2015 BCCA 63</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Appeal dismissed</w:t>
            </w: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March 17, 2015</w:t>
            </w:r>
          </w:p>
          <w:p w:rsidR="00D07A82" w:rsidRPr="00D07A82" w:rsidRDefault="00D07A82" w:rsidP="00762A4C">
            <w:pPr>
              <w:jc w:val="both"/>
              <w:rPr>
                <w:rFonts w:eastAsia="Calibri"/>
                <w:sz w:val="20"/>
                <w:lang w:val="en-CA"/>
              </w:rPr>
            </w:pPr>
            <w:r w:rsidRPr="00D07A82">
              <w:rPr>
                <w:rFonts w:eastAsia="Calibri"/>
                <w:sz w:val="20"/>
                <w:lang w:val="en-CA"/>
              </w:rPr>
              <w:t>Supreme Court of Canada</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Application for leave to appeal filed</w:t>
            </w:r>
            <w:r w:rsidRPr="00D07A82">
              <w:rPr>
                <w:rFonts w:eastAsia="Calibri"/>
                <w:sz w:val="20"/>
                <w:lang w:val="en-CA"/>
              </w:rPr>
              <w:tab/>
            </w:r>
          </w:p>
        </w:tc>
      </w:tr>
      <w:tr w:rsidR="00D07A82" w:rsidRPr="00D07A82" w:rsidTr="00D07A82">
        <w:tc>
          <w:tcPr>
            <w:tcW w:w="2427" w:type="pct"/>
            <w:gridSpan w:val="2"/>
            <w:hideMark/>
          </w:tcPr>
          <w:p w:rsidR="00D07A82" w:rsidRPr="00D07A82" w:rsidRDefault="00D07A82" w:rsidP="00762A4C">
            <w:pPr>
              <w:jc w:val="both"/>
              <w:rPr>
                <w:rFonts w:eastAsia="Calibri"/>
                <w:sz w:val="20"/>
                <w:lang w:val="en-CA"/>
              </w:rPr>
            </w:pPr>
            <w:r w:rsidRPr="00D07A82">
              <w:rPr>
                <w:rFonts w:eastAsia="Calibri"/>
                <w:sz w:val="20"/>
                <w:lang w:val="en-CA"/>
              </w:rPr>
              <w:lastRenderedPageBreak/>
              <w:t xml:space="preserve">June 30, 2015 </w:t>
            </w:r>
          </w:p>
          <w:p w:rsidR="00D07A82" w:rsidRPr="00D07A82" w:rsidRDefault="00D07A82" w:rsidP="00762A4C">
            <w:pPr>
              <w:jc w:val="both"/>
              <w:rPr>
                <w:rFonts w:eastAsia="Calibri"/>
                <w:sz w:val="20"/>
                <w:lang w:val="en-CA"/>
              </w:rPr>
            </w:pPr>
            <w:r w:rsidRPr="00D07A82">
              <w:rPr>
                <w:rFonts w:eastAsia="Calibri"/>
                <w:sz w:val="20"/>
                <w:lang w:val="en-CA"/>
              </w:rPr>
              <w:t>Supreme Court of Canada</w:t>
            </w: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Motion for extension of time to file Response filed by Attorney General of British Columbia</w:t>
            </w:r>
          </w:p>
        </w:tc>
      </w:tr>
    </w:tbl>
    <w:p w:rsidR="00D07A82" w:rsidRPr="00D07A82" w:rsidRDefault="00D07A82" w:rsidP="00762A4C">
      <w:pPr>
        <w:jc w:val="both"/>
        <w:rPr>
          <w:rFonts w:eastAsia="Calibri"/>
          <w:sz w:val="20"/>
          <w:lang w:val="en-CA"/>
        </w:rPr>
      </w:pPr>
    </w:p>
    <w:p w:rsidR="00D07A82" w:rsidRPr="00762A4C" w:rsidRDefault="00D07A82" w:rsidP="00762A4C">
      <w:pPr>
        <w:ind w:left="360" w:hanging="360"/>
        <w:rPr>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53798C" w:rsidTr="00D07A82">
        <w:tc>
          <w:tcPr>
            <w:tcW w:w="543" w:type="pct"/>
            <w:hideMark/>
          </w:tcPr>
          <w:p w:rsidR="00D07A82" w:rsidRPr="00D07A82" w:rsidRDefault="00D07A82" w:rsidP="00762A4C">
            <w:pPr>
              <w:jc w:val="both"/>
              <w:rPr>
                <w:rFonts w:eastAsia="Calibri"/>
                <w:sz w:val="20"/>
                <w:lang w:val="fr-CA"/>
              </w:rPr>
            </w:pPr>
            <w:r w:rsidRPr="00762A4C">
              <w:rPr>
                <w:rFonts w:eastAsia="Calibri"/>
                <w:b/>
                <w:sz w:val="20"/>
                <w:lang w:val="fr-CA"/>
              </w:rPr>
              <w:t>36396</w:t>
            </w:r>
          </w:p>
        </w:tc>
        <w:tc>
          <w:tcPr>
            <w:tcW w:w="4457" w:type="pct"/>
            <w:gridSpan w:val="3"/>
            <w:hideMark/>
          </w:tcPr>
          <w:p w:rsidR="00D07A82" w:rsidRPr="00D07A82" w:rsidRDefault="00D07A82" w:rsidP="00762A4C">
            <w:pPr>
              <w:jc w:val="both"/>
              <w:rPr>
                <w:rFonts w:eastAsia="Calibri"/>
                <w:b/>
                <w:sz w:val="20"/>
                <w:lang w:val="fr-CA"/>
              </w:rPr>
            </w:pPr>
            <w:r w:rsidRPr="00D07A82">
              <w:rPr>
                <w:rFonts w:eastAsia="Calibri"/>
                <w:b/>
                <w:sz w:val="20"/>
                <w:lang w:val="fr-CA"/>
              </w:rPr>
              <w:t xml:space="preserve">Christopher Michael </w:t>
            </w:r>
            <w:proofErr w:type="spellStart"/>
            <w:r w:rsidRPr="00D07A82">
              <w:rPr>
                <w:rFonts w:eastAsia="Calibri"/>
                <w:b/>
                <w:sz w:val="20"/>
                <w:lang w:val="fr-CA"/>
              </w:rPr>
              <w:t>Staetter</w:t>
            </w:r>
            <w:proofErr w:type="spellEnd"/>
            <w:r w:rsidRPr="00D07A82">
              <w:rPr>
                <w:rFonts w:eastAsia="Calibri"/>
                <w:b/>
                <w:sz w:val="20"/>
                <w:lang w:val="fr-CA"/>
              </w:rPr>
              <w:t xml:space="preserve"> c. Directeur des </w:t>
            </w:r>
            <w:proofErr w:type="spellStart"/>
            <w:r w:rsidRPr="00D07A82">
              <w:rPr>
                <w:rFonts w:eastAsia="Calibri"/>
                <w:b/>
                <w:sz w:val="20"/>
                <w:lang w:val="fr-CA"/>
              </w:rPr>
              <w:t>Adult</w:t>
            </w:r>
            <w:proofErr w:type="spellEnd"/>
            <w:r w:rsidRPr="00D07A82">
              <w:rPr>
                <w:rFonts w:eastAsia="Calibri"/>
                <w:b/>
                <w:sz w:val="20"/>
                <w:lang w:val="fr-CA"/>
              </w:rPr>
              <w:t xml:space="preserve"> </w:t>
            </w:r>
            <w:proofErr w:type="spellStart"/>
            <w:r w:rsidRPr="00D07A82">
              <w:rPr>
                <w:rFonts w:eastAsia="Calibri"/>
                <w:b/>
                <w:sz w:val="20"/>
                <w:lang w:val="fr-CA"/>
              </w:rPr>
              <w:t>Forensic</w:t>
            </w:r>
            <w:proofErr w:type="spellEnd"/>
            <w:r w:rsidRPr="00D07A82">
              <w:rPr>
                <w:rFonts w:eastAsia="Calibri"/>
                <w:b/>
                <w:sz w:val="20"/>
                <w:lang w:val="fr-CA"/>
              </w:rPr>
              <w:t xml:space="preserve"> </w:t>
            </w:r>
            <w:proofErr w:type="spellStart"/>
            <w:r w:rsidRPr="00D07A82">
              <w:rPr>
                <w:rFonts w:eastAsia="Calibri"/>
                <w:b/>
                <w:sz w:val="20"/>
                <w:lang w:val="fr-CA"/>
              </w:rPr>
              <w:t>Psychiatric</w:t>
            </w:r>
            <w:proofErr w:type="spellEnd"/>
            <w:r w:rsidRPr="00D07A82">
              <w:rPr>
                <w:rFonts w:eastAsia="Calibri"/>
                <w:b/>
                <w:sz w:val="20"/>
                <w:lang w:val="fr-CA"/>
              </w:rPr>
              <w:t xml:space="preserve"> Services, Procureur général de la Colombie-Britannique</w:t>
            </w:r>
          </w:p>
          <w:p w:rsidR="00D07A82" w:rsidRPr="00D07A82" w:rsidRDefault="00D07A82" w:rsidP="00762A4C">
            <w:pPr>
              <w:jc w:val="both"/>
              <w:rPr>
                <w:rFonts w:eastAsia="Calibri"/>
                <w:sz w:val="20"/>
                <w:lang w:val="fr-CA"/>
              </w:rPr>
            </w:pPr>
            <w:r w:rsidRPr="00D07A82">
              <w:rPr>
                <w:rFonts w:eastAsia="Calibri"/>
                <w:sz w:val="20"/>
                <w:lang w:val="fr-CA"/>
              </w:rPr>
              <w:t>(C.-B.) (Criminelle) (Sur autorisation)</w:t>
            </w:r>
          </w:p>
        </w:tc>
      </w:tr>
      <w:tr w:rsidR="00D07A82" w:rsidRPr="0053798C" w:rsidTr="00D07A82">
        <w:tc>
          <w:tcPr>
            <w:tcW w:w="5000" w:type="pct"/>
            <w:gridSpan w:val="4"/>
          </w:tcPr>
          <w:p w:rsidR="00D07A82" w:rsidRPr="00D07A82" w:rsidRDefault="00D07A82" w:rsidP="00762A4C">
            <w:pPr>
              <w:jc w:val="both"/>
              <w:rPr>
                <w:rFonts w:eastAsia="Calibri"/>
                <w:sz w:val="20"/>
                <w:lang w:val="fr-CA"/>
              </w:rPr>
            </w:pPr>
            <w:r w:rsidRPr="00D07A82">
              <w:rPr>
                <w:rFonts w:eastAsia="Calibri"/>
                <w:sz w:val="20"/>
                <w:lang w:val="fr-CA"/>
              </w:rPr>
              <w:t>Droit criminel – Appel – Autorisation d’appel – Le demandeur soulève-t-il une question de droit? – La question revêt-elle de l’importance pour le public?</w:t>
            </w:r>
          </w:p>
        </w:tc>
      </w:tr>
      <w:tr w:rsidR="00D07A82" w:rsidRPr="0053798C" w:rsidTr="00D07A82">
        <w:tc>
          <w:tcPr>
            <w:tcW w:w="5000" w:type="pct"/>
            <w:gridSpan w:val="4"/>
          </w:tcPr>
          <w:p w:rsidR="00D07A82" w:rsidRPr="00D07A82" w:rsidRDefault="00D07A82" w:rsidP="00762A4C">
            <w:pPr>
              <w:jc w:val="both"/>
              <w:rPr>
                <w:rFonts w:eastAsia="Calibri"/>
                <w:sz w:val="20"/>
                <w:lang w:val="fr-CA"/>
              </w:rPr>
            </w:pPr>
          </w:p>
        </w:tc>
      </w:tr>
      <w:tr w:rsidR="00D07A82" w:rsidRPr="0053798C" w:rsidTr="00D07A82">
        <w:tc>
          <w:tcPr>
            <w:tcW w:w="5000" w:type="pct"/>
            <w:gridSpan w:val="4"/>
            <w:hideMark/>
          </w:tcPr>
          <w:p w:rsidR="00D07A82" w:rsidRDefault="00D07A82" w:rsidP="00762A4C">
            <w:pPr>
              <w:shd w:val="clear" w:color="auto" w:fill="FFFFFF"/>
              <w:jc w:val="both"/>
              <w:rPr>
                <w:sz w:val="20"/>
                <w:lang w:val="fr-CA"/>
              </w:rPr>
            </w:pPr>
            <w:r w:rsidRPr="00D07A82">
              <w:rPr>
                <w:sz w:val="20"/>
                <w:lang w:val="fr-CA"/>
              </w:rPr>
              <w:t xml:space="preserve">Monsieur </w:t>
            </w:r>
            <w:proofErr w:type="spellStart"/>
            <w:r w:rsidRPr="00D07A82">
              <w:rPr>
                <w:sz w:val="20"/>
                <w:lang w:val="fr-CA"/>
              </w:rPr>
              <w:t>Staetter</w:t>
            </w:r>
            <w:proofErr w:type="spellEnd"/>
            <w:r w:rsidRPr="00D07A82">
              <w:rPr>
                <w:sz w:val="20"/>
                <w:lang w:val="fr-CA"/>
              </w:rPr>
              <w:t xml:space="preserve"> a été inculpé de chefs de profération de menaces et de harcèlement criminel. Il a été déclaré non criminellement responsable pour cause de troubles mentaux et renvoyé à la Commission d’examen de la Colombie-Britannique. La Commission a délivré une ordonnance de détention. En 2014, la Commission a réévalué M. </w:t>
            </w:r>
            <w:proofErr w:type="spellStart"/>
            <w:r w:rsidRPr="00D07A82">
              <w:rPr>
                <w:sz w:val="20"/>
                <w:lang w:val="fr-CA"/>
              </w:rPr>
              <w:t>Staetter</w:t>
            </w:r>
            <w:proofErr w:type="spellEnd"/>
            <w:r w:rsidRPr="00D07A82">
              <w:rPr>
                <w:sz w:val="20"/>
                <w:lang w:val="fr-CA"/>
              </w:rPr>
              <w:t xml:space="preserve"> et l’a renvoyé en détention pour une période additionnelle de douze mois.</w:t>
            </w:r>
          </w:p>
          <w:p w:rsidR="00762A4C" w:rsidRPr="00D07A82" w:rsidRDefault="00762A4C" w:rsidP="00762A4C">
            <w:pPr>
              <w:shd w:val="clear" w:color="auto" w:fill="FFFFFF"/>
              <w:jc w:val="both"/>
              <w:rPr>
                <w:sz w:val="20"/>
                <w:lang w:val="fr-CA"/>
              </w:rPr>
            </w:pPr>
          </w:p>
        </w:tc>
      </w:tr>
      <w:tr w:rsidR="00D07A82" w:rsidRPr="0053798C" w:rsidTr="00D07A82">
        <w:tc>
          <w:tcPr>
            <w:tcW w:w="2427" w:type="pct"/>
            <w:gridSpan w:val="2"/>
            <w:hideMark/>
          </w:tcPr>
          <w:p w:rsidR="00D07A82" w:rsidRPr="00D07A82" w:rsidRDefault="00D07A82" w:rsidP="00762A4C">
            <w:pPr>
              <w:jc w:val="both"/>
              <w:rPr>
                <w:rFonts w:eastAsia="Calibri"/>
                <w:sz w:val="20"/>
                <w:lang w:val="fr-CA"/>
              </w:rPr>
            </w:pPr>
            <w:r w:rsidRPr="00D07A82">
              <w:rPr>
                <w:rFonts w:eastAsia="Calibri"/>
                <w:sz w:val="20"/>
                <w:lang w:val="fr-CA"/>
              </w:rPr>
              <w:t>19 octobre 2012</w:t>
            </w:r>
          </w:p>
          <w:p w:rsidR="00D07A82" w:rsidRPr="00D07A82" w:rsidRDefault="00D07A82" w:rsidP="00762A4C">
            <w:pPr>
              <w:jc w:val="both"/>
              <w:rPr>
                <w:rFonts w:eastAsia="Calibri"/>
                <w:sz w:val="20"/>
                <w:lang w:val="fr-CA"/>
              </w:rPr>
            </w:pPr>
            <w:r w:rsidRPr="00D07A82">
              <w:rPr>
                <w:rFonts w:eastAsia="Calibri"/>
                <w:sz w:val="20"/>
                <w:lang w:val="fr-CA"/>
              </w:rPr>
              <w:t>Cour provinciale de la Colombie-Britannique</w:t>
            </w:r>
          </w:p>
          <w:p w:rsidR="00D07A82" w:rsidRPr="00D07A82" w:rsidRDefault="00D07A82" w:rsidP="00762A4C">
            <w:pPr>
              <w:jc w:val="both"/>
              <w:rPr>
                <w:rFonts w:eastAsia="Calibri"/>
                <w:sz w:val="20"/>
                <w:lang w:val="fr-CA"/>
              </w:rPr>
            </w:pPr>
            <w:r w:rsidRPr="00D07A82">
              <w:rPr>
                <w:rFonts w:eastAsia="Calibri"/>
                <w:sz w:val="20"/>
                <w:lang w:val="fr-CA"/>
              </w:rPr>
              <w:t>(Juge Challenger)</w:t>
            </w:r>
          </w:p>
          <w:p w:rsidR="00D07A82" w:rsidRPr="00D07A82" w:rsidRDefault="00D07A82" w:rsidP="00762A4C">
            <w:pPr>
              <w:jc w:val="both"/>
              <w:rPr>
                <w:rFonts w:eastAsia="Calibri"/>
                <w:sz w:val="20"/>
                <w:lang w:val="fr-CA"/>
              </w:rPr>
            </w:pPr>
            <w:r w:rsidRPr="00D07A82">
              <w:rPr>
                <w:rFonts w:eastAsia="Calibri"/>
                <w:sz w:val="20"/>
                <w:lang w:val="fr-CA"/>
              </w:rPr>
              <w:t>2012 BCPC 413</w:t>
            </w:r>
          </w:p>
        </w:tc>
        <w:tc>
          <w:tcPr>
            <w:tcW w:w="243" w:type="pct"/>
          </w:tcPr>
          <w:p w:rsidR="00D07A82" w:rsidRPr="00D07A82" w:rsidRDefault="00D07A82" w:rsidP="00762A4C">
            <w:pPr>
              <w:jc w:val="both"/>
              <w:rPr>
                <w:rFonts w:eastAsia="Calibri"/>
                <w:sz w:val="20"/>
                <w:lang w:val="fr-CA"/>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 xml:space="preserve">Verdict de non-responsabilité criminelle pour cause de troubles mentaux prononcé à l’égard du demandeur, inculpé de chefs de profération de menaces et de harcèlement criminel; renvoi en détention dans un hôpital psychiatrique </w:t>
            </w:r>
          </w:p>
          <w:p w:rsidR="00D07A82" w:rsidRPr="00D07A82" w:rsidRDefault="00D07A82" w:rsidP="00762A4C">
            <w:pPr>
              <w:jc w:val="both"/>
              <w:rPr>
                <w:rFonts w:eastAsia="Calibri"/>
                <w:sz w:val="20"/>
                <w:lang w:val="fr-CA"/>
              </w:rPr>
            </w:pPr>
          </w:p>
        </w:tc>
      </w:tr>
      <w:tr w:rsidR="00D07A82" w:rsidRPr="00D07A82"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27 novembre 2012</w:t>
            </w:r>
          </w:p>
          <w:p w:rsidR="00D07A82" w:rsidRPr="00D07A82" w:rsidRDefault="00D07A82" w:rsidP="00762A4C">
            <w:pPr>
              <w:jc w:val="both"/>
              <w:rPr>
                <w:rFonts w:eastAsia="Calibri"/>
                <w:sz w:val="20"/>
                <w:lang w:val="fr-CA"/>
              </w:rPr>
            </w:pPr>
            <w:r w:rsidRPr="00D07A82">
              <w:rPr>
                <w:rFonts w:eastAsia="Calibri"/>
                <w:sz w:val="20"/>
                <w:lang w:val="fr-CA"/>
              </w:rPr>
              <w:t>Commission d’examen de la Colombie-Britannique</w:t>
            </w:r>
          </w:p>
          <w:p w:rsidR="00D07A82" w:rsidRPr="00D07A82" w:rsidRDefault="00D07A82" w:rsidP="00762A4C">
            <w:pPr>
              <w:jc w:val="both"/>
              <w:rPr>
                <w:rFonts w:eastAsia="Calibri"/>
                <w:sz w:val="20"/>
                <w:lang w:val="fr-CA"/>
              </w:rPr>
            </w:pPr>
          </w:p>
        </w:tc>
        <w:tc>
          <w:tcPr>
            <w:tcW w:w="243" w:type="pct"/>
          </w:tcPr>
          <w:p w:rsidR="00D07A82" w:rsidRPr="00D07A82" w:rsidRDefault="00D07A82" w:rsidP="00762A4C">
            <w:pPr>
              <w:jc w:val="both"/>
              <w:rPr>
                <w:rFonts w:eastAsia="Calibri"/>
                <w:sz w:val="20"/>
                <w:lang w:val="fr-CA"/>
              </w:rPr>
            </w:pPr>
          </w:p>
        </w:tc>
        <w:tc>
          <w:tcPr>
            <w:tcW w:w="2330" w:type="pct"/>
            <w:hideMark/>
          </w:tcPr>
          <w:p w:rsidR="00D07A82" w:rsidRPr="00D07A82" w:rsidRDefault="00D07A82" w:rsidP="00762A4C">
            <w:pPr>
              <w:jc w:val="both"/>
              <w:rPr>
                <w:rFonts w:eastAsia="Calibri"/>
                <w:sz w:val="20"/>
                <w:lang w:val="fr-CA"/>
              </w:rPr>
            </w:pPr>
            <w:r w:rsidRPr="00D07A82">
              <w:rPr>
                <w:rFonts w:eastAsia="Calibri"/>
                <w:sz w:val="20"/>
                <w:lang w:val="fr-CA"/>
              </w:rPr>
              <w:t>Ordonnance de détention</w:t>
            </w:r>
          </w:p>
        </w:tc>
      </w:tr>
      <w:tr w:rsidR="00D07A82" w:rsidRPr="0053798C"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 xml:space="preserve">24 juin 2013 </w:t>
            </w:r>
          </w:p>
          <w:p w:rsidR="00D07A82" w:rsidRPr="00D07A82" w:rsidRDefault="00D07A82" w:rsidP="00762A4C">
            <w:pPr>
              <w:jc w:val="both"/>
              <w:rPr>
                <w:rFonts w:eastAsia="Calibri"/>
                <w:sz w:val="20"/>
                <w:lang w:val="fr-CA"/>
              </w:rPr>
            </w:pPr>
            <w:r w:rsidRPr="00D07A82">
              <w:rPr>
                <w:rFonts w:eastAsia="Calibri"/>
                <w:sz w:val="20"/>
                <w:lang w:val="fr-CA"/>
              </w:rPr>
              <w:t>Cour d’appel de la Colombie-Britannique</w:t>
            </w:r>
          </w:p>
          <w:p w:rsidR="00D07A82" w:rsidRPr="00D07A82" w:rsidRDefault="00D07A82" w:rsidP="00762A4C">
            <w:pPr>
              <w:jc w:val="both"/>
              <w:rPr>
                <w:rFonts w:eastAsia="Calibri"/>
                <w:sz w:val="20"/>
                <w:lang w:val="fr-CA"/>
              </w:rPr>
            </w:pPr>
            <w:r w:rsidRPr="00D07A82">
              <w:rPr>
                <w:rFonts w:eastAsia="Calibri"/>
                <w:sz w:val="20"/>
                <w:lang w:val="fr-CA"/>
              </w:rPr>
              <w:t>(Vancouver)</w:t>
            </w:r>
          </w:p>
          <w:p w:rsidR="00D07A82" w:rsidRPr="00D07A82" w:rsidRDefault="00D07A82" w:rsidP="00762A4C">
            <w:pPr>
              <w:jc w:val="both"/>
              <w:rPr>
                <w:rFonts w:eastAsia="Calibri"/>
                <w:sz w:val="20"/>
                <w:lang w:val="fr-CA"/>
              </w:rPr>
            </w:pPr>
            <w:r w:rsidRPr="00D07A82">
              <w:rPr>
                <w:rFonts w:eastAsia="Calibri"/>
                <w:sz w:val="20"/>
                <w:lang w:val="fr-CA"/>
              </w:rPr>
              <w:t xml:space="preserve">(Juges Saunders, </w:t>
            </w:r>
            <w:proofErr w:type="spellStart"/>
            <w:r w:rsidRPr="00D07A82">
              <w:rPr>
                <w:rFonts w:eastAsia="Calibri"/>
                <w:sz w:val="20"/>
                <w:lang w:val="fr-CA"/>
              </w:rPr>
              <w:t>Low</w:t>
            </w:r>
            <w:proofErr w:type="spellEnd"/>
            <w:r w:rsidRPr="00D07A82">
              <w:rPr>
                <w:rFonts w:eastAsia="Calibri"/>
                <w:sz w:val="20"/>
                <w:lang w:val="fr-CA"/>
              </w:rPr>
              <w:t xml:space="preserve"> et </w:t>
            </w:r>
            <w:proofErr w:type="spellStart"/>
            <w:r w:rsidRPr="00D07A82">
              <w:rPr>
                <w:rFonts w:eastAsia="Calibri"/>
                <w:sz w:val="20"/>
                <w:lang w:val="fr-CA"/>
              </w:rPr>
              <w:t>Neilson</w:t>
            </w:r>
            <w:proofErr w:type="spellEnd"/>
            <w:r w:rsidRPr="00D07A82">
              <w:rPr>
                <w:rFonts w:eastAsia="Calibri"/>
                <w:sz w:val="20"/>
                <w:lang w:val="fr-CA"/>
              </w:rPr>
              <w:t>)</w:t>
            </w:r>
          </w:p>
          <w:p w:rsidR="00D07A82" w:rsidRPr="00D07A82" w:rsidRDefault="00D07A82" w:rsidP="00762A4C">
            <w:pPr>
              <w:jc w:val="both"/>
              <w:rPr>
                <w:rFonts w:eastAsia="Calibri"/>
                <w:sz w:val="20"/>
                <w:lang w:val="fr-CA"/>
              </w:rPr>
            </w:pPr>
            <w:r w:rsidRPr="00D07A82">
              <w:rPr>
                <w:rFonts w:eastAsia="Calibri"/>
                <w:sz w:val="20"/>
                <w:lang w:val="fr-CA"/>
              </w:rPr>
              <w:t xml:space="preserve">CA040771; </w:t>
            </w:r>
            <w:hyperlink r:id="rId17" w:history="1">
              <w:r w:rsidRPr="00762A4C">
                <w:rPr>
                  <w:rFonts w:eastAsia="Calibri"/>
                  <w:color w:val="0000FF" w:themeColor="hyperlink"/>
                  <w:sz w:val="20"/>
                  <w:u w:val="single"/>
                  <w:lang w:val="fr-CA"/>
                </w:rPr>
                <w:t>2103 BCCA 307</w:t>
              </w:r>
            </w:hyperlink>
          </w:p>
          <w:p w:rsidR="00D07A82" w:rsidRPr="00D07A82" w:rsidRDefault="00D07A82" w:rsidP="00762A4C">
            <w:pPr>
              <w:jc w:val="both"/>
              <w:rPr>
                <w:rFonts w:eastAsia="Calibri"/>
                <w:sz w:val="20"/>
                <w:lang w:val="fr-CA"/>
              </w:rPr>
            </w:pPr>
          </w:p>
        </w:tc>
        <w:tc>
          <w:tcPr>
            <w:tcW w:w="243" w:type="pct"/>
          </w:tcPr>
          <w:p w:rsidR="00D07A82" w:rsidRPr="00D07A82" w:rsidRDefault="00D07A82" w:rsidP="00762A4C">
            <w:pPr>
              <w:jc w:val="both"/>
              <w:rPr>
                <w:rFonts w:eastAsia="Calibri"/>
                <w:sz w:val="20"/>
                <w:lang w:val="fr-CA"/>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Rejet de l’appel de l’ordonnance de détention</w:t>
            </w:r>
          </w:p>
          <w:p w:rsidR="00D07A82" w:rsidRPr="00D07A82" w:rsidRDefault="00D07A82" w:rsidP="00762A4C">
            <w:pPr>
              <w:jc w:val="both"/>
              <w:rPr>
                <w:rFonts w:eastAsia="Calibri"/>
                <w:sz w:val="20"/>
                <w:lang w:val="fr-CA"/>
              </w:rPr>
            </w:pPr>
          </w:p>
        </w:tc>
      </w:tr>
      <w:tr w:rsidR="00D07A82" w:rsidRPr="0053798C"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 xml:space="preserve">16 septembre 2014 </w:t>
            </w:r>
          </w:p>
          <w:p w:rsidR="00D07A82" w:rsidRPr="00D07A82" w:rsidRDefault="00D07A82" w:rsidP="00762A4C">
            <w:pPr>
              <w:jc w:val="both"/>
              <w:rPr>
                <w:rFonts w:eastAsia="Calibri"/>
                <w:sz w:val="20"/>
                <w:lang w:val="fr-CA"/>
              </w:rPr>
            </w:pPr>
            <w:r w:rsidRPr="00D07A82">
              <w:rPr>
                <w:rFonts w:eastAsia="Calibri"/>
                <w:sz w:val="20"/>
                <w:lang w:val="fr-CA"/>
              </w:rPr>
              <w:t>Commission d’examen de la Colombie-Britannique</w:t>
            </w:r>
          </w:p>
          <w:p w:rsidR="00D07A82" w:rsidRPr="00D07A82" w:rsidRDefault="00D07A82" w:rsidP="00762A4C">
            <w:pPr>
              <w:jc w:val="both"/>
              <w:rPr>
                <w:rFonts w:eastAsia="Calibri"/>
                <w:sz w:val="20"/>
                <w:lang w:val="fr-CA"/>
              </w:rPr>
            </w:pPr>
          </w:p>
        </w:tc>
        <w:tc>
          <w:tcPr>
            <w:tcW w:w="243" w:type="pct"/>
          </w:tcPr>
          <w:p w:rsidR="00D07A82" w:rsidRPr="00D07A82" w:rsidRDefault="00D07A82" w:rsidP="00762A4C">
            <w:pPr>
              <w:jc w:val="both"/>
              <w:rPr>
                <w:rFonts w:eastAsia="Calibri"/>
                <w:sz w:val="20"/>
                <w:lang w:val="fr-CA"/>
              </w:rPr>
            </w:pPr>
          </w:p>
        </w:tc>
        <w:tc>
          <w:tcPr>
            <w:tcW w:w="2330" w:type="pct"/>
            <w:hideMark/>
          </w:tcPr>
          <w:p w:rsidR="00D07A82" w:rsidRPr="00D07A82" w:rsidRDefault="00D07A82" w:rsidP="00762A4C">
            <w:pPr>
              <w:jc w:val="both"/>
              <w:rPr>
                <w:rFonts w:eastAsia="Calibri"/>
                <w:sz w:val="20"/>
                <w:lang w:val="fr-CA"/>
              </w:rPr>
            </w:pPr>
            <w:r w:rsidRPr="00D07A82">
              <w:rPr>
                <w:rFonts w:eastAsia="Calibri"/>
                <w:sz w:val="20"/>
                <w:lang w:val="fr-CA"/>
              </w:rPr>
              <w:t>Renvoi en détention pour une période additionnelle de 12 mois</w:t>
            </w:r>
          </w:p>
        </w:tc>
      </w:tr>
      <w:tr w:rsidR="00D07A82" w:rsidRPr="00D07A82"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19 février 2015</w:t>
            </w:r>
          </w:p>
          <w:p w:rsidR="00D07A82" w:rsidRPr="00D07A82" w:rsidRDefault="00D07A82" w:rsidP="00762A4C">
            <w:pPr>
              <w:jc w:val="both"/>
              <w:rPr>
                <w:rFonts w:eastAsia="Calibri"/>
                <w:sz w:val="20"/>
                <w:lang w:val="fr-CA"/>
              </w:rPr>
            </w:pPr>
            <w:r w:rsidRPr="00D07A82">
              <w:rPr>
                <w:rFonts w:eastAsia="Calibri"/>
                <w:sz w:val="20"/>
                <w:lang w:val="fr-CA"/>
              </w:rPr>
              <w:t>Cour d’appel de la Colombie-Britannique</w:t>
            </w:r>
          </w:p>
          <w:p w:rsidR="00D07A82" w:rsidRPr="00D07A82" w:rsidRDefault="00D07A82" w:rsidP="00762A4C">
            <w:pPr>
              <w:jc w:val="both"/>
              <w:rPr>
                <w:rFonts w:eastAsia="Calibri"/>
                <w:sz w:val="20"/>
                <w:lang w:val="fr-CA"/>
              </w:rPr>
            </w:pPr>
            <w:r w:rsidRPr="00D07A82">
              <w:rPr>
                <w:rFonts w:eastAsia="Calibri"/>
                <w:sz w:val="20"/>
                <w:lang w:val="fr-CA"/>
              </w:rPr>
              <w:t>(Vancouver)</w:t>
            </w:r>
          </w:p>
          <w:p w:rsidR="00D07A82" w:rsidRPr="00D07A82" w:rsidRDefault="00D07A82" w:rsidP="00762A4C">
            <w:pPr>
              <w:jc w:val="both"/>
              <w:rPr>
                <w:rFonts w:eastAsia="Calibri"/>
                <w:sz w:val="20"/>
                <w:lang w:val="fr-CA"/>
              </w:rPr>
            </w:pPr>
            <w:r w:rsidRPr="00D07A82">
              <w:rPr>
                <w:rFonts w:eastAsia="Calibri"/>
                <w:sz w:val="20"/>
                <w:lang w:val="fr-CA"/>
              </w:rPr>
              <w:t xml:space="preserve">(Juges Smith, Bennett et </w:t>
            </w:r>
            <w:proofErr w:type="spellStart"/>
            <w:r w:rsidRPr="00D07A82">
              <w:rPr>
                <w:rFonts w:eastAsia="Calibri"/>
                <w:sz w:val="20"/>
                <w:lang w:val="fr-CA"/>
              </w:rPr>
              <w:t>Willcock</w:t>
            </w:r>
            <w:proofErr w:type="spellEnd"/>
            <w:r w:rsidRPr="00D07A82">
              <w:rPr>
                <w:rFonts w:eastAsia="Calibri"/>
                <w:sz w:val="20"/>
                <w:lang w:val="fr-CA"/>
              </w:rPr>
              <w:t>)</w:t>
            </w:r>
          </w:p>
          <w:p w:rsidR="00D07A82" w:rsidRPr="00D07A82" w:rsidRDefault="00D07A82" w:rsidP="00762A4C">
            <w:pPr>
              <w:jc w:val="both"/>
              <w:rPr>
                <w:rFonts w:eastAsia="Calibri"/>
                <w:sz w:val="20"/>
                <w:lang w:val="fr-CA"/>
              </w:rPr>
            </w:pPr>
            <w:r w:rsidRPr="00D07A82">
              <w:rPr>
                <w:rFonts w:eastAsia="Calibri"/>
                <w:sz w:val="20"/>
                <w:lang w:val="fr-CA"/>
              </w:rPr>
              <w:t xml:space="preserve">CA042322; </w:t>
            </w:r>
            <w:hyperlink r:id="rId18" w:history="1">
              <w:r w:rsidRPr="00762A4C">
                <w:rPr>
                  <w:rFonts w:eastAsia="Calibri"/>
                  <w:color w:val="0000FF" w:themeColor="hyperlink"/>
                  <w:sz w:val="20"/>
                  <w:u w:val="single"/>
                  <w:lang w:val="fr-CA"/>
                </w:rPr>
                <w:t>2015 BCCA 63</w:t>
              </w:r>
            </w:hyperlink>
          </w:p>
          <w:p w:rsidR="00D07A82" w:rsidRPr="00D07A82" w:rsidRDefault="00D07A82" w:rsidP="00762A4C">
            <w:pPr>
              <w:jc w:val="both"/>
              <w:rPr>
                <w:rFonts w:eastAsia="Calibri"/>
                <w:sz w:val="20"/>
                <w:lang w:val="fr-CA"/>
              </w:rPr>
            </w:pPr>
          </w:p>
        </w:tc>
        <w:tc>
          <w:tcPr>
            <w:tcW w:w="243" w:type="pct"/>
          </w:tcPr>
          <w:p w:rsidR="00D07A82" w:rsidRPr="00D07A82" w:rsidRDefault="00D07A82" w:rsidP="00762A4C">
            <w:pPr>
              <w:jc w:val="both"/>
              <w:rPr>
                <w:rFonts w:eastAsia="Calibri"/>
                <w:sz w:val="20"/>
                <w:lang w:val="fr-CA"/>
              </w:rPr>
            </w:pPr>
          </w:p>
        </w:tc>
        <w:tc>
          <w:tcPr>
            <w:tcW w:w="2330" w:type="pct"/>
            <w:hideMark/>
          </w:tcPr>
          <w:p w:rsidR="00D07A82" w:rsidRPr="00D07A82" w:rsidRDefault="00D07A82" w:rsidP="00762A4C">
            <w:pPr>
              <w:jc w:val="both"/>
              <w:rPr>
                <w:rFonts w:eastAsia="Calibri"/>
                <w:sz w:val="20"/>
                <w:lang w:val="fr-CA"/>
              </w:rPr>
            </w:pPr>
            <w:r w:rsidRPr="00D07A82">
              <w:rPr>
                <w:rFonts w:eastAsia="Calibri"/>
                <w:sz w:val="20"/>
                <w:lang w:val="fr-CA"/>
              </w:rPr>
              <w:t>Rejet de l’appel</w:t>
            </w:r>
          </w:p>
        </w:tc>
      </w:tr>
      <w:tr w:rsidR="00D07A82" w:rsidRPr="0053798C"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17 mars 2015</w:t>
            </w:r>
          </w:p>
          <w:p w:rsidR="00D07A82" w:rsidRPr="00D07A82" w:rsidRDefault="00D07A82" w:rsidP="00762A4C">
            <w:pPr>
              <w:jc w:val="both"/>
              <w:rPr>
                <w:rFonts w:eastAsia="Calibri"/>
                <w:sz w:val="20"/>
                <w:lang w:val="fr-CA"/>
              </w:rPr>
            </w:pPr>
            <w:r w:rsidRPr="00D07A82">
              <w:rPr>
                <w:rFonts w:eastAsia="Calibri"/>
                <w:sz w:val="20"/>
                <w:lang w:val="fr-CA"/>
              </w:rPr>
              <w:t>Cour suprême du Canada</w:t>
            </w:r>
          </w:p>
          <w:p w:rsidR="00D07A82" w:rsidRPr="00D07A82" w:rsidRDefault="00D07A82" w:rsidP="00762A4C">
            <w:pPr>
              <w:jc w:val="both"/>
              <w:rPr>
                <w:rFonts w:eastAsia="Calibri"/>
                <w:sz w:val="20"/>
                <w:lang w:val="fr-CA"/>
              </w:rPr>
            </w:pPr>
          </w:p>
        </w:tc>
        <w:tc>
          <w:tcPr>
            <w:tcW w:w="243" w:type="pct"/>
          </w:tcPr>
          <w:p w:rsidR="00D07A82" w:rsidRPr="00D07A82" w:rsidRDefault="00D07A82" w:rsidP="00762A4C">
            <w:pPr>
              <w:jc w:val="both"/>
              <w:rPr>
                <w:rFonts w:eastAsia="Calibri"/>
                <w:sz w:val="20"/>
                <w:lang w:val="fr-CA"/>
              </w:rPr>
            </w:pPr>
          </w:p>
        </w:tc>
        <w:tc>
          <w:tcPr>
            <w:tcW w:w="2330" w:type="pct"/>
            <w:hideMark/>
          </w:tcPr>
          <w:p w:rsidR="00D07A82" w:rsidRPr="00D07A82" w:rsidRDefault="00D07A82" w:rsidP="00762A4C">
            <w:pPr>
              <w:jc w:val="both"/>
              <w:rPr>
                <w:rFonts w:eastAsia="Calibri"/>
                <w:sz w:val="20"/>
                <w:lang w:val="fr-CA"/>
              </w:rPr>
            </w:pPr>
            <w:r w:rsidRPr="00D07A82">
              <w:rPr>
                <w:rFonts w:eastAsia="Calibri"/>
                <w:sz w:val="20"/>
                <w:lang w:val="fr-CA"/>
              </w:rPr>
              <w:t>Dépôt de la demande d’autorisation d’appel</w:t>
            </w:r>
            <w:r w:rsidRPr="00D07A82">
              <w:rPr>
                <w:rFonts w:eastAsia="Calibri"/>
                <w:sz w:val="20"/>
                <w:lang w:val="fr-CA"/>
              </w:rPr>
              <w:tab/>
            </w:r>
          </w:p>
        </w:tc>
      </w:tr>
      <w:tr w:rsidR="00D07A82" w:rsidRPr="0053798C" w:rsidTr="00D07A82">
        <w:tc>
          <w:tcPr>
            <w:tcW w:w="2427" w:type="pct"/>
            <w:gridSpan w:val="2"/>
            <w:hideMark/>
          </w:tcPr>
          <w:p w:rsidR="00D07A82" w:rsidRPr="00D07A82" w:rsidRDefault="00D07A82" w:rsidP="00762A4C">
            <w:pPr>
              <w:jc w:val="both"/>
              <w:rPr>
                <w:rFonts w:eastAsia="Calibri"/>
                <w:sz w:val="20"/>
                <w:lang w:val="fr-CA"/>
              </w:rPr>
            </w:pPr>
            <w:r w:rsidRPr="00D07A82">
              <w:rPr>
                <w:rFonts w:eastAsia="Calibri"/>
                <w:sz w:val="20"/>
                <w:lang w:val="fr-CA"/>
              </w:rPr>
              <w:lastRenderedPageBreak/>
              <w:t xml:space="preserve">30 juin 2015 </w:t>
            </w:r>
          </w:p>
          <w:p w:rsidR="00D07A82" w:rsidRPr="00D07A82" w:rsidRDefault="00D07A82" w:rsidP="00762A4C">
            <w:pPr>
              <w:jc w:val="both"/>
              <w:rPr>
                <w:rFonts w:eastAsia="Calibri"/>
                <w:sz w:val="20"/>
                <w:lang w:val="fr-CA"/>
              </w:rPr>
            </w:pPr>
            <w:r w:rsidRPr="00D07A82">
              <w:rPr>
                <w:rFonts w:eastAsia="Calibri"/>
                <w:sz w:val="20"/>
                <w:lang w:val="fr-CA"/>
              </w:rPr>
              <w:t>Cour suprême du Canada</w:t>
            </w:r>
          </w:p>
        </w:tc>
        <w:tc>
          <w:tcPr>
            <w:tcW w:w="243" w:type="pct"/>
          </w:tcPr>
          <w:p w:rsidR="00D07A82" w:rsidRPr="00D07A82" w:rsidRDefault="00D07A82" w:rsidP="00762A4C">
            <w:pPr>
              <w:jc w:val="both"/>
              <w:rPr>
                <w:rFonts w:eastAsia="Calibri"/>
                <w:sz w:val="20"/>
                <w:lang w:val="fr-CA"/>
              </w:rPr>
            </w:pPr>
          </w:p>
        </w:tc>
        <w:tc>
          <w:tcPr>
            <w:tcW w:w="2330" w:type="pct"/>
            <w:hideMark/>
          </w:tcPr>
          <w:p w:rsidR="00D07A82" w:rsidRPr="00D07A82" w:rsidRDefault="00D07A82" w:rsidP="00762A4C">
            <w:pPr>
              <w:jc w:val="both"/>
              <w:rPr>
                <w:rFonts w:eastAsia="Calibri"/>
                <w:sz w:val="20"/>
                <w:lang w:val="fr-CA"/>
              </w:rPr>
            </w:pPr>
            <w:r w:rsidRPr="00D07A82">
              <w:rPr>
                <w:rFonts w:eastAsia="Calibri"/>
                <w:sz w:val="20"/>
                <w:lang w:val="fr-CA"/>
              </w:rPr>
              <w:t>Dépôt par le procureur général de la Colombie-Britannique de la requête en prorogation du délai de dépôt de la réponse</w:t>
            </w:r>
          </w:p>
        </w:tc>
      </w:tr>
    </w:tbl>
    <w:p w:rsidR="00D07A82" w:rsidRPr="00D07A82" w:rsidRDefault="00D07A82" w:rsidP="00762A4C">
      <w:pPr>
        <w:jc w:val="both"/>
        <w:rPr>
          <w:rFonts w:eastAsia="Calibri"/>
          <w:sz w:val="20"/>
          <w:lang w:val="fr-CA"/>
        </w:rPr>
      </w:pPr>
    </w:p>
    <w:p w:rsidR="00D07A82" w:rsidRPr="00762A4C" w:rsidRDefault="00D07A82" w:rsidP="00762A4C">
      <w:pPr>
        <w:ind w:left="360" w:hanging="360"/>
        <w:rPr>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D07A82" w:rsidTr="00D07A82">
        <w:tc>
          <w:tcPr>
            <w:tcW w:w="543" w:type="pct"/>
            <w:hideMark/>
          </w:tcPr>
          <w:p w:rsidR="00D07A82" w:rsidRPr="00D07A82" w:rsidRDefault="00D07A82" w:rsidP="00762A4C">
            <w:pPr>
              <w:jc w:val="both"/>
              <w:rPr>
                <w:rFonts w:eastAsia="Calibri"/>
                <w:sz w:val="20"/>
                <w:lang w:val="en-CA"/>
              </w:rPr>
            </w:pPr>
            <w:r w:rsidRPr="00762A4C">
              <w:rPr>
                <w:rFonts w:eastAsia="Calibri"/>
                <w:b/>
                <w:sz w:val="20"/>
                <w:lang w:val="en-CA"/>
              </w:rPr>
              <w:t>36410</w:t>
            </w:r>
          </w:p>
        </w:tc>
        <w:tc>
          <w:tcPr>
            <w:tcW w:w="4457" w:type="pct"/>
            <w:gridSpan w:val="3"/>
            <w:hideMark/>
          </w:tcPr>
          <w:p w:rsidR="00D07A82" w:rsidRPr="00D07A82" w:rsidRDefault="00D07A82" w:rsidP="00762A4C">
            <w:pPr>
              <w:jc w:val="both"/>
              <w:rPr>
                <w:rFonts w:eastAsia="Calibri"/>
                <w:b/>
                <w:sz w:val="20"/>
                <w:lang w:val="en-CA"/>
              </w:rPr>
            </w:pPr>
            <w:r w:rsidRPr="00D07A82">
              <w:rPr>
                <w:rFonts w:eastAsia="Calibri"/>
                <w:b/>
                <w:sz w:val="20"/>
                <w:lang w:val="en-CA"/>
              </w:rPr>
              <w:t>Matthew John Anthony-Cook v. Her Majesty the Queen</w:t>
            </w:r>
          </w:p>
          <w:p w:rsidR="00D07A82" w:rsidRPr="00D07A82" w:rsidRDefault="00D07A82" w:rsidP="00762A4C">
            <w:pPr>
              <w:jc w:val="both"/>
              <w:rPr>
                <w:rFonts w:eastAsia="Calibri"/>
                <w:sz w:val="20"/>
                <w:lang w:val="en-CA"/>
              </w:rPr>
            </w:pPr>
            <w:r w:rsidRPr="00D07A82">
              <w:rPr>
                <w:rFonts w:eastAsia="Calibri"/>
                <w:sz w:val="20"/>
                <w:lang w:val="en-CA"/>
              </w:rPr>
              <w:t>(B.C.) (Criminal) (By Leave)</w:t>
            </w:r>
          </w:p>
        </w:tc>
      </w:tr>
      <w:tr w:rsidR="00D07A82" w:rsidRPr="00D07A82" w:rsidTr="00D07A82">
        <w:tc>
          <w:tcPr>
            <w:tcW w:w="5000" w:type="pct"/>
            <w:gridSpan w:val="4"/>
          </w:tcPr>
          <w:p w:rsidR="00D07A82" w:rsidRPr="00D07A82" w:rsidRDefault="00D07A82" w:rsidP="00762A4C">
            <w:pPr>
              <w:jc w:val="both"/>
              <w:rPr>
                <w:rFonts w:eastAsia="Calibri"/>
                <w:sz w:val="20"/>
                <w:lang w:val="en-CA"/>
              </w:rPr>
            </w:pPr>
            <w:r w:rsidRPr="00D07A82">
              <w:rPr>
                <w:rFonts w:eastAsia="Calibri"/>
                <w:sz w:val="20"/>
                <w:lang w:val="en-CA"/>
              </w:rPr>
              <w:t>Criminal law – Sentencing – Joint submission on sentencing rejected – What test should a sentencing judge apply in deciding whether to accept or reject a joint sentencing submission.</w:t>
            </w:r>
          </w:p>
        </w:tc>
      </w:tr>
      <w:tr w:rsidR="00D07A82" w:rsidRPr="00D07A82" w:rsidTr="00D07A82">
        <w:tc>
          <w:tcPr>
            <w:tcW w:w="5000" w:type="pct"/>
            <w:gridSpan w:val="4"/>
          </w:tcPr>
          <w:p w:rsidR="00D07A82" w:rsidRPr="00D07A82" w:rsidRDefault="00D07A82" w:rsidP="00762A4C">
            <w:pPr>
              <w:jc w:val="both"/>
              <w:rPr>
                <w:rFonts w:eastAsia="Calibri"/>
                <w:sz w:val="20"/>
                <w:lang w:val="en-CA"/>
              </w:rPr>
            </w:pPr>
          </w:p>
        </w:tc>
      </w:tr>
      <w:tr w:rsidR="00D07A82" w:rsidRPr="00D07A82" w:rsidTr="00D07A82">
        <w:tc>
          <w:tcPr>
            <w:tcW w:w="5000" w:type="pct"/>
            <w:gridSpan w:val="4"/>
          </w:tcPr>
          <w:p w:rsidR="00D07A82" w:rsidRPr="00D07A82" w:rsidRDefault="00D07A82" w:rsidP="00762A4C">
            <w:pPr>
              <w:jc w:val="both"/>
              <w:rPr>
                <w:rFonts w:eastAsia="Calibri"/>
                <w:sz w:val="20"/>
                <w:lang w:val="en-CA"/>
              </w:rPr>
            </w:pPr>
            <w:r w:rsidRPr="00D07A82">
              <w:rPr>
                <w:rFonts w:eastAsia="Calibri"/>
                <w:sz w:val="20"/>
                <w:lang w:val="en-CA"/>
              </w:rPr>
              <w:t>The applicant was charged with manslaughter. He was detained in both a jail and in a mental health facility prior to his mid-trial guilty plea and sentencing. The Crown and defence had made a joint submission that the appropriate sentence was a period of 18 months’ additional incarceration, and that no probation order should be imposed. The sentencing judge determined that the period of imprisonment should be three years, apart from a credit for pre-sentence custody. The judge sentenced the applicant to an additional 24 months less a day imprisonment (with credit for 366 days in pre-sentence custody). The judge also imposed a three year probationary term, the terms of which included that the applicant refrains from using illegal substances. The Court of Appeal dismissed the sentence appeal.</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July 4, 2014</w:t>
            </w:r>
          </w:p>
          <w:p w:rsidR="00D07A82" w:rsidRPr="00D07A82" w:rsidRDefault="00D07A82" w:rsidP="00762A4C">
            <w:pPr>
              <w:jc w:val="both"/>
              <w:rPr>
                <w:rFonts w:eastAsia="Calibri"/>
                <w:sz w:val="20"/>
                <w:lang w:val="en-CA"/>
              </w:rPr>
            </w:pPr>
            <w:r w:rsidRPr="00D07A82">
              <w:rPr>
                <w:rFonts w:eastAsia="Calibri"/>
                <w:sz w:val="20"/>
                <w:lang w:val="en-CA"/>
              </w:rPr>
              <w:t>Supreme Court of British Columbia</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Ehrcke</w:t>
            </w:r>
            <w:proofErr w:type="spellEnd"/>
            <w:r w:rsidRPr="00D07A82">
              <w:rPr>
                <w:rFonts w:eastAsia="Calibri"/>
                <w:sz w:val="20"/>
                <w:lang w:val="en-CA"/>
              </w:rPr>
              <w:t xml:space="preserve"> J.)</w:t>
            </w:r>
          </w:p>
          <w:p w:rsidR="00D07A82" w:rsidRPr="00D07A82" w:rsidRDefault="00D07A82" w:rsidP="00762A4C">
            <w:pPr>
              <w:jc w:val="both"/>
              <w:rPr>
                <w:rFonts w:eastAsia="Calibri"/>
                <w:sz w:val="20"/>
                <w:lang w:val="en-CA"/>
              </w:rPr>
            </w:pPr>
            <w:r w:rsidRPr="00D07A82">
              <w:rPr>
                <w:rFonts w:eastAsia="Calibri"/>
                <w:sz w:val="20"/>
                <w:lang w:val="en-CA"/>
              </w:rPr>
              <w:t>2014 BCSC 1503</w:t>
            </w:r>
          </w:p>
          <w:p w:rsidR="00D07A82" w:rsidRPr="00D07A82" w:rsidRDefault="0053798C" w:rsidP="00762A4C">
            <w:pPr>
              <w:jc w:val="both"/>
              <w:rPr>
                <w:rFonts w:eastAsia="Calibri"/>
                <w:sz w:val="20"/>
                <w:lang w:val="en-CA"/>
              </w:rPr>
            </w:pPr>
            <w:hyperlink r:id="rId19" w:history="1">
              <w:r w:rsidR="00D07A82" w:rsidRPr="00762A4C">
                <w:rPr>
                  <w:rFonts w:eastAsia="Calibri"/>
                  <w:color w:val="0000FF" w:themeColor="hyperlink"/>
                  <w:sz w:val="20"/>
                  <w:u w:val="single"/>
                  <w:lang w:val="en-CA"/>
                </w:rPr>
                <w:t>http://canlii.ca/t/g8hvh</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Sentence imposed: two years less  day imprisonment and a three year probation order</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January 19, 2015</w:t>
            </w:r>
          </w:p>
          <w:p w:rsidR="00D07A82" w:rsidRPr="00D07A82" w:rsidRDefault="00D07A82" w:rsidP="00762A4C">
            <w:pPr>
              <w:jc w:val="both"/>
              <w:rPr>
                <w:rFonts w:eastAsia="Calibri"/>
                <w:sz w:val="20"/>
                <w:lang w:val="en-CA"/>
              </w:rPr>
            </w:pPr>
            <w:r w:rsidRPr="00D07A82">
              <w:rPr>
                <w:rFonts w:eastAsia="Calibri"/>
                <w:sz w:val="20"/>
                <w:lang w:val="en-CA"/>
              </w:rPr>
              <w:t xml:space="preserve">Court of Appeal for British Columbia </w:t>
            </w:r>
          </w:p>
          <w:p w:rsidR="00D07A82" w:rsidRPr="00D07A82" w:rsidRDefault="00D07A82" w:rsidP="00762A4C">
            <w:pPr>
              <w:jc w:val="both"/>
              <w:rPr>
                <w:rFonts w:eastAsia="Calibri"/>
                <w:sz w:val="20"/>
                <w:lang w:val="fr-CA"/>
              </w:rPr>
            </w:pPr>
            <w:r w:rsidRPr="00D07A82">
              <w:rPr>
                <w:rFonts w:eastAsia="Calibri"/>
                <w:sz w:val="20"/>
                <w:lang w:val="fr-CA"/>
              </w:rPr>
              <w:t>(Vancouver)</w:t>
            </w:r>
          </w:p>
          <w:p w:rsidR="00D07A82" w:rsidRPr="00D07A82" w:rsidRDefault="00D07A82" w:rsidP="00762A4C">
            <w:pPr>
              <w:jc w:val="both"/>
              <w:rPr>
                <w:rFonts w:eastAsia="Calibri"/>
                <w:sz w:val="20"/>
                <w:lang w:val="fr-CA"/>
              </w:rPr>
            </w:pPr>
            <w:r w:rsidRPr="00D07A82">
              <w:rPr>
                <w:rFonts w:eastAsia="Calibri"/>
                <w:sz w:val="20"/>
                <w:lang w:val="fr-CA"/>
              </w:rPr>
              <w:t>(</w:t>
            </w:r>
            <w:proofErr w:type="spellStart"/>
            <w:r w:rsidRPr="00D07A82">
              <w:rPr>
                <w:rFonts w:eastAsia="Calibri"/>
                <w:sz w:val="20"/>
                <w:lang w:val="fr-CA"/>
              </w:rPr>
              <w:t>Neilson</w:t>
            </w:r>
            <w:proofErr w:type="spellEnd"/>
            <w:r w:rsidRPr="00D07A82">
              <w:rPr>
                <w:rFonts w:eastAsia="Calibri"/>
                <w:sz w:val="20"/>
                <w:lang w:val="fr-CA"/>
              </w:rPr>
              <w:t xml:space="preserve">, Bennett, </w:t>
            </w:r>
            <w:proofErr w:type="spellStart"/>
            <w:r w:rsidRPr="00D07A82">
              <w:rPr>
                <w:rFonts w:eastAsia="Calibri"/>
                <w:sz w:val="20"/>
                <w:lang w:val="fr-CA"/>
              </w:rPr>
              <w:t>Garson</w:t>
            </w:r>
            <w:proofErr w:type="spellEnd"/>
            <w:r w:rsidRPr="00D07A82">
              <w:rPr>
                <w:rFonts w:eastAsia="Calibri"/>
                <w:sz w:val="20"/>
                <w:lang w:val="fr-CA"/>
              </w:rPr>
              <w:t xml:space="preserve"> JJ.A.)</w:t>
            </w:r>
          </w:p>
          <w:p w:rsidR="00D07A82" w:rsidRPr="00D07A82" w:rsidRDefault="00D07A82" w:rsidP="00762A4C">
            <w:pPr>
              <w:jc w:val="both"/>
              <w:rPr>
                <w:rFonts w:eastAsia="Calibri"/>
                <w:sz w:val="20"/>
              </w:rPr>
            </w:pPr>
            <w:r w:rsidRPr="00D07A82">
              <w:rPr>
                <w:rFonts w:eastAsia="Calibri"/>
                <w:sz w:val="20"/>
              </w:rPr>
              <w:t>2015 BCCA 22, CA042018</w:t>
            </w:r>
          </w:p>
          <w:p w:rsidR="00D07A82" w:rsidRPr="00D07A82" w:rsidRDefault="0053798C" w:rsidP="00762A4C">
            <w:pPr>
              <w:jc w:val="both"/>
              <w:rPr>
                <w:rFonts w:eastAsia="Calibri"/>
                <w:sz w:val="20"/>
              </w:rPr>
            </w:pPr>
            <w:hyperlink r:id="rId20" w:history="1">
              <w:r w:rsidR="00D07A82" w:rsidRPr="00762A4C">
                <w:rPr>
                  <w:rFonts w:eastAsia="Calibri"/>
                  <w:color w:val="0000FF" w:themeColor="hyperlink"/>
                  <w:sz w:val="20"/>
                  <w:u w:val="single"/>
                </w:rPr>
                <w:t>http://canlii.ca/t/gfzgv</w:t>
              </w:r>
            </w:hyperlink>
          </w:p>
          <w:p w:rsidR="00D07A82" w:rsidRPr="00D07A82" w:rsidRDefault="00D07A82" w:rsidP="00762A4C">
            <w:pPr>
              <w:jc w:val="both"/>
              <w:rPr>
                <w:rFonts w:eastAsia="Calibri"/>
                <w:sz w:val="20"/>
              </w:rPr>
            </w:pPr>
          </w:p>
        </w:tc>
        <w:tc>
          <w:tcPr>
            <w:tcW w:w="243" w:type="pct"/>
          </w:tcPr>
          <w:p w:rsidR="00D07A82" w:rsidRPr="00D07A82" w:rsidRDefault="00D07A82" w:rsidP="00762A4C">
            <w:pPr>
              <w:jc w:val="both"/>
              <w:rPr>
                <w:rFonts w:eastAsia="Calibri"/>
                <w:sz w:val="20"/>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Leave to appeal sentence granted, appeal dismissed</w:t>
            </w:r>
          </w:p>
          <w:p w:rsidR="00D07A82" w:rsidRPr="00D07A82" w:rsidRDefault="00D07A82" w:rsidP="00762A4C">
            <w:pPr>
              <w:jc w:val="both"/>
              <w:rPr>
                <w:rFonts w:eastAsia="Calibri"/>
                <w:sz w:val="20"/>
                <w:lang w:val="en-CA"/>
              </w:rPr>
            </w:pPr>
          </w:p>
          <w:p w:rsidR="00D07A82" w:rsidRPr="00D07A82" w:rsidRDefault="00D07A82" w:rsidP="00762A4C">
            <w:pPr>
              <w:jc w:val="both"/>
              <w:rPr>
                <w:rFonts w:eastAsia="Calibri"/>
                <w:sz w:val="20"/>
                <w:lang w:val="en-CA"/>
              </w:rPr>
            </w:pPr>
          </w:p>
        </w:tc>
      </w:tr>
      <w:tr w:rsidR="00D07A82" w:rsidRPr="00D07A82" w:rsidTr="00D07A82">
        <w:tc>
          <w:tcPr>
            <w:tcW w:w="2427" w:type="pct"/>
            <w:gridSpan w:val="2"/>
            <w:hideMark/>
          </w:tcPr>
          <w:p w:rsidR="00D07A82" w:rsidRPr="00D07A82" w:rsidRDefault="00D07A82" w:rsidP="00762A4C">
            <w:pPr>
              <w:jc w:val="both"/>
              <w:rPr>
                <w:rFonts w:eastAsia="Calibri"/>
                <w:sz w:val="20"/>
                <w:lang w:val="en-CA"/>
              </w:rPr>
            </w:pPr>
            <w:r w:rsidRPr="00D07A82">
              <w:rPr>
                <w:rFonts w:eastAsia="Calibri"/>
                <w:sz w:val="20"/>
                <w:lang w:val="en-CA"/>
              </w:rPr>
              <w:t>April 29, 2015</w:t>
            </w:r>
          </w:p>
          <w:p w:rsidR="00D07A82" w:rsidRPr="00D07A82" w:rsidRDefault="00D07A82" w:rsidP="00762A4C">
            <w:pPr>
              <w:jc w:val="both"/>
              <w:rPr>
                <w:rFonts w:eastAsia="Calibri"/>
                <w:sz w:val="20"/>
                <w:lang w:val="en-CA"/>
              </w:rPr>
            </w:pPr>
            <w:r w:rsidRPr="00D07A82">
              <w:rPr>
                <w:rFonts w:eastAsia="Calibri"/>
                <w:sz w:val="20"/>
                <w:lang w:val="en-CA"/>
              </w:rPr>
              <w:t>Supreme Court of Canada</w:t>
            </w: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Motion for an extension of time to serve and file the application for leave to appeal and  application for leave to appeal filed</w:t>
            </w:r>
          </w:p>
        </w:tc>
      </w:tr>
    </w:tbl>
    <w:p w:rsidR="00D07A82" w:rsidRPr="00D07A82" w:rsidRDefault="00D07A82" w:rsidP="00762A4C">
      <w:pPr>
        <w:jc w:val="both"/>
        <w:rPr>
          <w:rFonts w:eastAsia="Calibri"/>
          <w:sz w:val="20"/>
          <w:lang w:val="en-CA"/>
        </w:rPr>
      </w:pPr>
    </w:p>
    <w:p w:rsidR="00D07A82" w:rsidRPr="00762A4C" w:rsidRDefault="00D07A82" w:rsidP="00762A4C">
      <w:pPr>
        <w:ind w:left="360" w:hanging="360"/>
        <w:rPr>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53798C" w:rsidTr="00D07A82">
        <w:tc>
          <w:tcPr>
            <w:tcW w:w="543" w:type="pct"/>
            <w:hideMark/>
          </w:tcPr>
          <w:p w:rsidR="00D07A82" w:rsidRPr="00D07A82" w:rsidRDefault="00D07A82" w:rsidP="00762A4C">
            <w:pPr>
              <w:jc w:val="both"/>
              <w:rPr>
                <w:rFonts w:eastAsia="Calibri"/>
                <w:sz w:val="20"/>
                <w:lang w:val="fr-CA"/>
              </w:rPr>
            </w:pPr>
            <w:r w:rsidRPr="00762A4C">
              <w:rPr>
                <w:rFonts w:eastAsia="Calibri"/>
                <w:b/>
                <w:sz w:val="20"/>
                <w:lang w:val="fr-CA"/>
              </w:rPr>
              <w:t>36410</w:t>
            </w:r>
          </w:p>
        </w:tc>
        <w:tc>
          <w:tcPr>
            <w:tcW w:w="4457" w:type="pct"/>
            <w:gridSpan w:val="3"/>
            <w:hideMark/>
          </w:tcPr>
          <w:p w:rsidR="00D07A82" w:rsidRPr="00D07A82" w:rsidRDefault="00D07A82" w:rsidP="00762A4C">
            <w:pPr>
              <w:jc w:val="both"/>
              <w:rPr>
                <w:rFonts w:eastAsia="Calibri"/>
                <w:b/>
                <w:sz w:val="20"/>
                <w:lang w:val="fr-CA"/>
              </w:rPr>
            </w:pPr>
            <w:r w:rsidRPr="00D07A82">
              <w:rPr>
                <w:rFonts w:eastAsia="Calibri"/>
                <w:b/>
                <w:sz w:val="20"/>
                <w:lang w:val="fr-CA"/>
              </w:rPr>
              <w:t>Matthew John Anthony-Cook c. Sa Majesté la Reine</w:t>
            </w:r>
          </w:p>
          <w:p w:rsidR="00D07A82" w:rsidRPr="00D07A82" w:rsidRDefault="00D07A82" w:rsidP="00762A4C">
            <w:pPr>
              <w:jc w:val="both"/>
              <w:rPr>
                <w:rFonts w:eastAsia="Calibri"/>
                <w:sz w:val="20"/>
                <w:lang w:val="fr-CA"/>
              </w:rPr>
            </w:pPr>
            <w:r w:rsidRPr="00D07A82">
              <w:rPr>
                <w:rFonts w:eastAsia="Calibri"/>
                <w:sz w:val="20"/>
                <w:lang w:val="fr-CA"/>
              </w:rPr>
              <w:t>(C.-B.) (Criminelle) (Sur autorisation)</w:t>
            </w:r>
          </w:p>
        </w:tc>
      </w:tr>
      <w:tr w:rsidR="00D07A82" w:rsidRPr="0053798C" w:rsidTr="00D07A82">
        <w:tc>
          <w:tcPr>
            <w:tcW w:w="5000" w:type="pct"/>
            <w:gridSpan w:val="4"/>
          </w:tcPr>
          <w:p w:rsidR="00D07A82" w:rsidRPr="00D07A82" w:rsidRDefault="00D07A82" w:rsidP="00762A4C">
            <w:pPr>
              <w:jc w:val="both"/>
              <w:rPr>
                <w:rFonts w:eastAsia="Calibri"/>
                <w:sz w:val="20"/>
                <w:lang w:val="fr-CA"/>
              </w:rPr>
            </w:pPr>
            <w:r w:rsidRPr="00D07A82">
              <w:rPr>
                <w:rFonts w:eastAsia="Calibri"/>
                <w:sz w:val="20"/>
                <w:lang w:val="fr-CA"/>
              </w:rPr>
              <w:t>Droit criminel – Détermination de la peine – La recommandation conjointe relative à la peine a été rejetée – Quel critère un juge chargé de déterminer la peine doit-il appliquer en décidant s’il va accepter ou rejeter une recommandation relative à la peine?</w:t>
            </w:r>
          </w:p>
        </w:tc>
      </w:tr>
      <w:tr w:rsidR="00D07A82" w:rsidRPr="0053798C" w:rsidTr="00D07A82">
        <w:tc>
          <w:tcPr>
            <w:tcW w:w="5000" w:type="pct"/>
            <w:gridSpan w:val="4"/>
          </w:tcPr>
          <w:p w:rsidR="00D07A82" w:rsidRPr="00D07A82" w:rsidRDefault="00D07A82" w:rsidP="00762A4C">
            <w:pPr>
              <w:jc w:val="both"/>
              <w:rPr>
                <w:rFonts w:eastAsia="Calibri"/>
                <w:sz w:val="20"/>
                <w:lang w:val="fr-CA"/>
              </w:rPr>
            </w:pPr>
          </w:p>
        </w:tc>
      </w:tr>
      <w:tr w:rsidR="00D07A82" w:rsidRPr="00D07A82" w:rsidTr="00D07A82">
        <w:tc>
          <w:tcPr>
            <w:tcW w:w="5000" w:type="pct"/>
            <w:gridSpan w:val="4"/>
          </w:tcPr>
          <w:p w:rsidR="00D07A82" w:rsidRPr="00D07A82" w:rsidRDefault="00D07A82" w:rsidP="00762A4C">
            <w:pPr>
              <w:jc w:val="both"/>
              <w:rPr>
                <w:rFonts w:eastAsia="Calibri"/>
                <w:sz w:val="20"/>
                <w:lang w:val="fr-CA"/>
              </w:rPr>
            </w:pPr>
            <w:r w:rsidRPr="00D07A82">
              <w:rPr>
                <w:rFonts w:eastAsia="Calibri"/>
                <w:sz w:val="20"/>
                <w:lang w:val="fr-CA"/>
              </w:rPr>
              <w:t xml:space="preserve">Le demandeur a été accusé d’homicide involontaire coupable. Il a été détenu en prison et dans un établissement de santé mentale avant son plaidoyer de culpabilité au milieu du procès et la détermination de la peine. Le ministère public et la défense avaient fait une recommandation conjointe selon laquelle la peine appropriée était une période additionnelle d’incarcération de 18 mois, et aucune ordonnance de probation ne devait être imposée. Le juge chargé de déterminer la peine a conclu que la période d’emprisonnement devait être de trois ans, sous réserve d’un crédit pour détention </w:t>
            </w:r>
            <w:proofErr w:type="spellStart"/>
            <w:r w:rsidRPr="00D07A82">
              <w:rPr>
                <w:rFonts w:eastAsia="Calibri"/>
                <w:sz w:val="20"/>
                <w:lang w:val="fr-CA"/>
              </w:rPr>
              <w:t>présentencielle</w:t>
            </w:r>
            <w:proofErr w:type="spellEnd"/>
            <w:r w:rsidRPr="00D07A82">
              <w:rPr>
                <w:rFonts w:eastAsia="Calibri"/>
                <w:sz w:val="20"/>
                <w:lang w:val="fr-CA"/>
              </w:rPr>
              <w:t xml:space="preserve">. Le juge a condamné le demandeur à un emprisonnement additionnel de 24 mois moins un jour (avec un crédit pour 366 jours de détention </w:t>
            </w:r>
            <w:proofErr w:type="spellStart"/>
            <w:r w:rsidRPr="00D07A82">
              <w:rPr>
                <w:rFonts w:eastAsia="Calibri"/>
                <w:sz w:val="20"/>
                <w:lang w:val="fr-CA"/>
              </w:rPr>
              <w:t>présentencielle</w:t>
            </w:r>
            <w:proofErr w:type="spellEnd"/>
            <w:r w:rsidRPr="00D07A82">
              <w:rPr>
                <w:rFonts w:eastAsia="Calibri"/>
                <w:sz w:val="20"/>
                <w:lang w:val="fr-CA"/>
              </w:rPr>
              <w:t xml:space="preserve">). Le juge a également imposé une période de </w:t>
            </w:r>
            <w:r w:rsidRPr="00D07A82">
              <w:rPr>
                <w:rFonts w:eastAsia="Calibri"/>
                <w:sz w:val="20"/>
                <w:lang w:val="fr-CA"/>
              </w:rPr>
              <w:lastRenderedPageBreak/>
              <w:t>probation de trois ans, dont l’une des conditions était que le demandeur s’abstienne de consommer des substances illégales. La Cour d’appel a rejeté l’appel de la peine.</w:t>
            </w:r>
          </w:p>
          <w:p w:rsidR="00D07A82" w:rsidRPr="00D07A82" w:rsidRDefault="00D07A82" w:rsidP="00762A4C">
            <w:pPr>
              <w:jc w:val="both"/>
              <w:rPr>
                <w:rFonts w:eastAsia="Calibri"/>
                <w:sz w:val="20"/>
                <w:lang w:val="fr-CA"/>
              </w:rPr>
            </w:pPr>
          </w:p>
        </w:tc>
      </w:tr>
      <w:tr w:rsidR="00D07A82" w:rsidRPr="0053798C"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lastRenderedPageBreak/>
              <w:t>4 juillet 2014</w:t>
            </w:r>
          </w:p>
          <w:p w:rsidR="00D07A82" w:rsidRPr="00D07A82" w:rsidRDefault="00D07A82" w:rsidP="00762A4C">
            <w:pPr>
              <w:jc w:val="both"/>
              <w:rPr>
                <w:rFonts w:eastAsia="Calibri"/>
                <w:sz w:val="20"/>
                <w:lang w:val="fr-CA"/>
              </w:rPr>
            </w:pPr>
            <w:r w:rsidRPr="00D07A82">
              <w:rPr>
                <w:rFonts w:eastAsia="Calibri"/>
                <w:sz w:val="20"/>
                <w:lang w:val="fr-CA"/>
              </w:rPr>
              <w:t>Cour suprême de la Colombie-Britannique</w:t>
            </w:r>
          </w:p>
          <w:p w:rsidR="00D07A82" w:rsidRPr="00D07A82" w:rsidRDefault="00D07A82" w:rsidP="00762A4C">
            <w:pPr>
              <w:jc w:val="both"/>
              <w:rPr>
                <w:rFonts w:eastAsia="Calibri"/>
                <w:sz w:val="20"/>
                <w:lang w:val="fr-CA"/>
              </w:rPr>
            </w:pPr>
            <w:r w:rsidRPr="00D07A82">
              <w:rPr>
                <w:rFonts w:eastAsia="Calibri"/>
                <w:sz w:val="20"/>
                <w:lang w:val="fr-CA"/>
              </w:rPr>
              <w:t xml:space="preserve">(Juge </w:t>
            </w:r>
            <w:proofErr w:type="spellStart"/>
            <w:r w:rsidRPr="00D07A82">
              <w:rPr>
                <w:rFonts w:eastAsia="Calibri"/>
                <w:sz w:val="20"/>
                <w:lang w:val="fr-CA"/>
              </w:rPr>
              <w:t>Ehrcke</w:t>
            </w:r>
            <w:proofErr w:type="spellEnd"/>
            <w:r w:rsidRPr="00D07A82">
              <w:rPr>
                <w:rFonts w:eastAsia="Calibri"/>
                <w:sz w:val="20"/>
                <w:lang w:val="fr-CA"/>
              </w:rPr>
              <w:t>)</w:t>
            </w:r>
          </w:p>
          <w:p w:rsidR="00D07A82" w:rsidRPr="00D07A82" w:rsidRDefault="00D07A82" w:rsidP="00762A4C">
            <w:pPr>
              <w:jc w:val="both"/>
              <w:rPr>
                <w:rFonts w:eastAsia="Calibri"/>
                <w:sz w:val="20"/>
                <w:lang w:val="fr-CA"/>
              </w:rPr>
            </w:pPr>
            <w:r w:rsidRPr="00D07A82">
              <w:rPr>
                <w:rFonts w:eastAsia="Calibri"/>
                <w:sz w:val="20"/>
                <w:lang w:val="fr-CA"/>
              </w:rPr>
              <w:t>2014 BCSC 1503</w:t>
            </w:r>
          </w:p>
          <w:p w:rsidR="00D07A82" w:rsidRPr="00D07A82" w:rsidRDefault="0053798C" w:rsidP="00762A4C">
            <w:pPr>
              <w:jc w:val="both"/>
              <w:rPr>
                <w:rFonts w:eastAsia="Calibri"/>
                <w:sz w:val="20"/>
                <w:lang w:val="fr-CA"/>
              </w:rPr>
            </w:pPr>
            <w:hyperlink r:id="rId21" w:history="1">
              <w:r w:rsidR="00D07A82" w:rsidRPr="00762A4C">
                <w:rPr>
                  <w:rFonts w:eastAsia="Calibri"/>
                  <w:color w:val="0000FF" w:themeColor="hyperlink"/>
                  <w:sz w:val="20"/>
                  <w:u w:val="single"/>
                  <w:lang w:val="fr-CA"/>
                </w:rPr>
                <w:t>http://canlii.ca/t/g8hvh</w:t>
              </w:r>
            </w:hyperlink>
          </w:p>
          <w:p w:rsidR="00D07A82" w:rsidRPr="00D07A82" w:rsidRDefault="00D07A82" w:rsidP="00762A4C">
            <w:pPr>
              <w:jc w:val="both"/>
              <w:rPr>
                <w:rFonts w:eastAsia="Calibri"/>
                <w:sz w:val="20"/>
                <w:lang w:val="fr-CA"/>
              </w:rPr>
            </w:pPr>
          </w:p>
        </w:tc>
        <w:tc>
          <w:tcPr>
            <w:tcW w:w="243" w:type="pct"/>
          </w:tcPr>
          <w:p w:rsidR="00D07A82" w:rsidRPr="00D07A82" w:rsidRDefault="00D07A82" w:rsidP="00762A4C">
            <w:pPr>
              <w:jc w:val="both"/>
              <w:rPr>
                <w:rFonts w:eastAsia="Calibri"/>
                <w:sz w:val="20"/>
                <w:lang w:val="fr-CA"/>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 xml:space="preserve">Condamnation à une peine d’emprisonnement de deux ans moins un jour et d’une probation de trois ans </w:t>
            </w:r>
          </w:p>
          <w:p w:rsidR="00D07A82" w:rsidRPr="00D07A82" w:rsidRDefault="00D07A82" w:rsidP="00762A4C">
            <w:pPr>
              <w:jc w:val="both"/>
              <w:rPr>
                <w:rFonts w:eastAsia="Calibri"/>
                <w:sz w:val="20"/>
                <w:lang w:val="fr-CA"/>
              </w:rPr>
            </w:pPr>
          </w:p>
        </w:tc>
      </w:tr>
      <w:tr w:rsidR="00D07A82" w:rsidRPr="0053798C"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19 janvier 2015</w:t>
            </w:r>
          </w:p>
          <w:p w:rsidR="00D07A82" w:rsidRPr="00D07A82" w:rsidRDefault="00D07A82" w:rsidP="00762A4C">
            <w:pPr>
              <w:jc w:val="both"/>
              <w:rPr>
                <w:rFonts w:eastAsia="Calibri"/>
                <w:sz w:val="20"/>
                <w:lang w:val="fr-CA"/>
              </w:rPr>
            </w:pPr>
            <w:r w:rsidRPr="00D07A82">
              <w:rPr>
                <w:rFonts w:eastAsia="Calibri"/>
                <w:sz w:val="20"/>
                <w:lang w:val="fr-CA"/>
              </w:rPr>
              <w:t>Cour d’appel de la Colombie-Britannique</w:t>
            </w:r>
          </w:p>
          <w:p w:rsidR="00D07A82" w:rsidRPr="00D07A82" w:rsidRDefault="00D07A82" w:rsidP="00762A4C">
            <w:pPr>
              <w:jc w:val="both"/>
              <w:rPr>
                <w:rFonts w:eastAsia="Calibri"/>
                <w:sz w:val="20"/>
                <w:lang w:val="fr-CA"/>
              </w:rPr>
            </w:pPr>
            <w:r w:rsidRPr="00D07A82">
              <w:rPr>
                <w:rFonts w:eastAsia="Calibri"/>
                <w:sz w:val="20"/>
                <w:lang w:val="fr-CA"/>
              </w:rPr>
              <w:t>(Vancouver)</w:t>
            </w:r>
          </w:p>
          <w:p w:rsidR="00D07A82" w:rsidRPr="00D07A82" w:rsidRDefault="00D07A82" w:rsidP="00762A4C">
            <w:pPr>
              <w:jc w:val="both"/>
              <w:rPr>
                <w:rFonts w:eastAsia="Calibri"/>
                <w:sz w:val="20"/>
                <w:lang w:val="fr-CA"/>
              </w:rPr>
            </w:pPr>
            <w:r w:rsidRPr="00D07A82">
              <w:rPr>
                <w:rFonts w:eastAsia="Calibri"/>
                <w:sz w:val="20"/>
                <w:lang w:val="fr-CA"/>
              </w:rPr>
              <w:t xml:space="preserve">(Juges </w:t>
            </w:r>
            <w:proofErr w:type="spellStart"/>
            <w:r w:rsidRPr="00D07A82">
              <w:rPr>
                <w:rFonts w:eastAsia="Calibri"/>
                <w:sz w:val="20"/>
                <w:lang w:val="fr-CA"/>
              </w:rPr>
              <w:t>Neilson</w:t>
            </w:r>
            <w:proofErr w:type="spellEnd"/>
            <w:r w:rsidRPr="00D07A82">
              <w:rPr>
                <w:rFonts w:eastAsia="Calibri"/>
                <w:sz w:val="20"/>
                <w:lang w:val="fr-CA"/>
              </w:rPr>
              <w:t xml:space="preserve">, Bennett et </w:t>
            </w:r>
            <w:proofErr w:type="spellStart"/>
            <w:r w:rsidRPr="00D07A82">
              <w:rPr>
                <w:rFonts w:eastAsia="Calibri"/>
                <w:sz w:val="20"/>
                <w:lang w:val="fr-CA"/>
              </w:rPr>
              <w:t>Garson</w:t>
            </w:r>
            <w:proofErr w:type="spellEnd"/>
            <w:r w:rsidRPr="00D07A82">
              <w:rPr>
                <w:rFonts w:eastAsia="Calibri"/>
                <w:sz w:val="20"/>
                <w:lang w:val="fr-CA"/>
              </w:rPr>
              <w:t>)</w:t>
            </w:r>
          </w:p>
          <w:p w:rsidR="00D07A82" w:rsidRPr="00D07A82" w:rsidRDefault="00D07A82" w:rsidP="00762A4C">
            <w:pPr>
              <w:jc w:val="both"/>
              <w:rPr>
                <w:rFonts w:eastAsia="Calibri"/>
                <w:sz w:val="20"/>
              </w:rPr>
            </w:pPr>
            <w:r w:rsidRPr="00D07A82">
              <w:rPr>
                <w:rFonts w:eastAsia="Calibri"/>
                <w:sz w:val="20"/>
              </w:rPr>
              <w:t>2015 BCCA 22, CA042018</w:t>
            </w:r>
          </w:p>
          <w:p w:rsidR="00D07A82" w:rsidRPr="00D07A82" w:rsidRDefault="0053798C" w:rsidP="00762A4C">
            <w:pPr>
              <w:jc w:val="both"/>
              <w:rPr>
                <w:rFonts w:eastAsia="Calibri"/>
                <w:sz w:val="20"/>
              </w:rPr>
            </w:pPr>
            <w:hyperlink r:id="rId22" w:history="1">
              <w:r w:rsidR="00D07A82" w:rsidRPr="00762A4C">
                <w:rPr>
                  <w:rFonts w:eastAsia="Calibri"/>
                  <w:color w:val="0000FF" w:themeColor="hyperlink"/>
                  <w:sz w:val="20"/>
                  <w:u w:val="single"/>
                </w:rPr>
                <w:t>http://canlii.ca/t/gfzgv</w:t>
              </w:r>
            </w:hyperlink>
          </w:p>
          <w:p w:rsidR="00D07A82" w:rsidRPr="00D07A82" w:rsidRDefault="00D07A82" w:rsidP="00762A4C">
            <w:pPr>
              <w:jc w:val="both"/>
              <w:rPr>
                <w:rFonts w:eastAsia="Calibri"/>
                <w:sz w:val="20"/>
              </w:rPr>
            </w:pPr>
          </w:p>
        </w:tc>
        <w:tc>
          <w:tcPr>
            <w:tcW w:w="243" w:type="pct"/>
          </w:tcPr>
          <w:p w:rsidR="00D07A82" w:rsidRPr="00D07A82" w:rsidRDefault="00D07A82" w:rsidP="00762A4C">
            <w:pPr>
              <w:jc w:val="both"/>
              <w:rPr>
                <w:rFonts w:eastAsia="Calibri"/>
                <w:sz w:val="20"/>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Autorisation d’appel de la peine; rejet de l’appel</w:t>
            </w:r>
          </w:p>
          <w:p w:rsidR="00D07A82" w:rsidRPr="00D07A82" w:rsidRDefault="00D07A82" w:rsidP="00762A4C">
            <w:pPr>
              <w:jc w:val="both"/>
              <w:rPr>
                <w:rFonts w:eastAsia="Calibri"/>
                <w:sz w:val="20"/>
                <w:lang w:val="fr-CA"/>
              </w:rPr>
            </w:pPr>
          </w:p>
          <w:p w:rsidR="00D07A82" w:rsidRPr="00D07A82" w:rsidRDefault="00D07A82" w:rsidP="00762A4C">
            <w:pPr>
              <w:jc w:val="both"/>
              <w:rPr>
                <w:rFonts w:eastAsia="Calibri"/>
                <w:sz w:val="20"/>
                <w:lang w:val="fr-CA"/>
              </w:rPr>
            </w:pPr>
          </w:p>
        </w:tc>
      </w:tr>
      <w:tr w:rsidR="00D07A82" w:rsidRPr="0053798C" w:rsidTr="00D07A82">
        <w:tc>
          <w:tcPr>
            <w:tcW w:w="2427" w:type="pct"/>
            <w:gridSpan w:val="2"/>
            <w:hideMark/>
          </w:tcPr>
          <w:p w:rsidR="00D07A82" w:rsidRPr="00D07A82" w:rsidRDefault="00D07A82" w:rsidP="00762A4C">
            <w:pPr>
              <w:jc w:val="both"/>
              <w:rPr>
                <w:rFonts w:eastAsia="Calibri"/>
                <w:sz w:val="20"/>
                <w:lang w:val="fr-CA"/>
              </w:rPr>
            </w:pPr>
            <w:r w:rsidRPr="00D07A82">
              <w:rPr>
                <w:rFonts w:eastAsia="Calibri"/>
                <w:sz w:val="20"/>
                <w:lang w:val="fr-CA"/>
              </w:rPr>
              <w:t>29 avril 2015</w:t>
            </w:r>
          </w:p>
          <w:p w:rsidR="00D07A82" w:rsidRPr="00D07A82" w:rsidRDefault="00D07A82" w:rsidP="00762A4C">
            <w:pPr>
              <w:jc w:val="both"/>
              <w:rPr>
                <w:rFonts w:eastAsia="Calibri"/>
                <w:sz w:val="20"/>
                <w:lang w:val="fr-CA"/>
              </w:rPr>
            </w:pPr>
            <w:r w:rsidRPr="00D07A82">
              <w:rPr>
                <w:rFonts w:eastAsia="Calibri"/>
                <w:sz w:val="20"/>
                <w:lang w:val="fr-CA"/>
              </w:rPr>
              <w:t>Cour suprême du Canada</w:t>
            </w:r>
          </w:p>
        </w:tc>
        <w:tc>
          <w:tcPr>
            <w:tcW w:w="243" w:type="pct"/>
          </w:tcPr>
          <w:p w:rsidR="00D07A82" w:rsidRPr="00D07A82" w:rsidRDefault="00D07A82" w:rsidP="00762A4C">
            <w:pPr>
              <w:jc w:val="both"/>
              <w:rPr>
                <w:rFonts w:eastAsia="Calibri"/>
                <w:sz w:val="20"/>
                <w:lang w:val="fr-CA"/>
              </w:rPr>
            </w:pPr>
          </w:p>
        </w:tc>
        <w:tc>
          <w:tcPr>
            <w:tcW w:w="2330" w:type="pct"/>
            <w:hideMark/>
          </w:tcPr>
          <w:p w:rsidR="00D07A82" w:rsidRPr="00D07A82" w:rsidRDefault="00D07A82" w:rsidP="00762A4C">
            <w:pPr>
              <w:jc w:val="both"/>
              <w:rPr>
                <w:rFonts w:eastAsia="Calibri"/>
                <w:sz w:val="20"/>
                <w:lang w:val="fr-CA"/>
              </w:rPr>
            </w:pPr>
            <w:r w:rsidRPr="00D07A82">
              <w:rPr>
                <w:rFonts w:eastAsia="Calibri"/>
                <w:sz w:val="20"/>
                <w:lang w:val="fr-CA"/>
              </w:rPr>
              <w:t>Dépôt de la requête en prorogation du délai de signification et de dépôt de la demande d’autorisation d’appel et de la demande d’autorisation d’appel</w:t>
            </w:r>
          </w:p>
        </w:tc>
      </w:tr>
    </w:tbl>
    <w:p w:rsidR="00D07A82" w:rsidRDefault="00D07A82" w:rsidP="00762A4C">
      <w:pPr>
        <w:jc w:val="both"/>
        <w:rPr>
          <w:rFonts w:eastAsia="Calibri"/>
          <w:sz w:val="20"/>
          <w:lang w:val="fr-CA"/>
        </w:rPr>
      </w:pPr>
    </w:p>
    <w:p w:rsidR="00762A4C" w:rsidRPr="00D07A82" w:rsidRDefault="00762A4C" w:rsidP="00762A4C">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D07A82" w:rsidTr="00D07A82">
        <w:tc>
          <w:tcPr>
            <w:tcW w:w="543" w:type="pct"/>
            <w:hideMark/>
          </w:tcPr>
          <w:p w:rsidR="00D07A82" w:rsidRPr="00D07A82" w:rsidRDefault="00D07A82" w:rsidP="00762A4C">
            <w:pPr>
              <w:jc w:val="both"/>
              <w:rPr>
                <w:rFonts w:eastAsia="Calibri"/>
                <w:sz w:val="20"/>
                <w:lang w:val="en-CA"/>
              </w:rPr>
            </w:pPr>
            <w:r w:rsidRPr="00762A4C">
              <w:rPr>
                <w:rFonts w:eastAsia="Calibri"/>
                <w:b/>
                <w:sz w:val="20"/>
                <w:lang w:val="en-CA"/>
              </w:rPr>
              <w:t>36360</w:t>
            </w:r>
          </w:p>
        </w:tc>
        <w:tc>
          <w:tcPr>
            <w:tcW w:w="4457" w:type="pct"/>
            <w:gridSpan w:val="3"/>
            <w:hideMark/>
          </w:tcPr>
          <w:p w:rsidR="00D07A82" w:rsidRPr="00D07A82" w:rsidRDefault="00D07A82" w:rsidP="00762A4C">
            <w:pPr>
              <w:jc w:val="both"/>
              <w:rPr>
                <w:rFonts w:eastAsia="Calibri"/>
                <w:b/>
                <w:sz w:val="20"/>
                <w:lang w:val="en-CA"/>
              </w:rPr>
            </w:pPr>
            <w:r w:rsidRPr="00D07A82">
              <w:rPr>
                <w:rFonts w:eastAsia="Calibri"/>
                <w:b/>
                <w:sz w:val="20"/>
                <w:lang w:val="en-CA"/>
              </w:rPr>
              <w:t>C.P. v. RBC Life Insurance Company</w:t>
            </w:r>
          </w:p>
          <w:p w:rsidR="00D07A82" w:rsidRPr="00D07A82" w:rsidRDefault="00D07A82" w:rsidP="00762A4C">
            <w:pPr>
              <w:jc w:val="both"/>
              <w:rPr>
                <w:rFonts w:eastAsia="Calibri"/>
                <w:sz w:val="20"/>
                <w:lang w:val="en-CA"/>
              </w:rPr>
            </w:pPr>
            <w:r w:rsidRPr="00D07A82">
              <w:rPr>
                <w:rFonts w:eastAsia="Calibri"/>
                <w:sz w:val="20"/>
                <w:lang w:val="en-CA"/>
              </w:rPr>
              <w:t>(B.C.) (Civil) (By Leave)</w:t>
            </w:r>
          </w:p>
        </w:tc>
      </w:tr>
      <w:tr w:rsidR="00D07A82" w:rsidRPr="00D07A82" w:rsidTr="00D07A82">
        <w:tc>
          <w:tcPr>
            <w:tcW w:w="5000" w:type="pct"/>
            <w:gridSpan w:val="4"/>
          </w:tcPr>
          <w:p w:rsidR="00D07A82" w:rsidRPr="00D07A82" w:rsidRDefault="00D07A82" w:rsidP="00762A4C">
            <w:pPr>
              <w:jc w:val="both"/>
              <w:rPr>
                <w:rFonts w:eastAsia="Calibri"/>
                <w:smallCaps/>
                <w:sz w:val="20"/>
                <w:lang w:val="en-CA"/>
              </w:rPr>
            </w:pPr>
            <w:r w:rsidRPr="00D07A82">
              <w:rPr>
                <w:rFonts w:eastAsia="Calibri"/>
                <w:smallCaps/>
                <w:sz w:val="20"/>
                <w:lang w:val="en-CA"/>
              </w:rPr>
              <w:t>(Publication ban in case) (Publication ban on party) (Sealing order)</w:t>
            </w:r>
          </w:p>
          <w:p w:rsidR="00D07A82" w:rsidRPr="00D07A82" w:rsidRDefault="00D07A82" w:rsidP="00762A4C">
            <w:pPr>
              <w:jc w:val="both"/>
              <w:rPr>
                <w:rFonts w:eastAsia="Calibri"/>
                <w:sz w:val="20"/>
                <w:lang w:val="en-CA"/>
              </w:rPr>
            </w:pPr>
          </w:p>
          <w:p w:rsidR="00D07A82" w:rsidRPr="00D07A82" w:rsidRDefault="00D07A82" w:rsidP="00762A4C">
            <w:pPr>
              <w:jc w:val="both"/>
              <w:rPr>
                <w:rFonts w:eastAsia="Calibri"/>
                <w:sz w:val="20"/>
                <w:lang w:val="en-CA"/>
              </w:rPr>
            </w:pPr>
            <w:r w:rsidRPr="00D07A82">
              <w:rPr>
                <w:rFonts w:eastAsia="Calibri"/>
                <w:sz w:val="20"/>
                <w:lang w:val="en-CA"/>
              </w:rPr>
              <w:t xml:space="preserve">Insurance – Personal Insurance – Whether foreseeability test adopted by </w:t>
            </w:r>
            <w:proofErr w:type="spellStart"/>
            <w:r w:rsidRPr="00D07A82">
              <w:rPr>
                <w:rFonts w:eastAsia="Calibri"/>
                <w:i/>
                <w:sz w:val="20"/>
                <w:lang w:val="en-CA"/>
              </w:rPr>
              <w:t>Fidler</w:t>
            </w:r>
            <w:proofErr w:type="spellEnd"/>
            <w:r w:rsidRPr="00D07A82">
              <w:rPr>
                <w:rFonts w:eastAsia="Calibri"/>
                <w:i/>
                <w:sz w:val="20"/>
                <w:lang w:val="en-CA"/>
              </w:rPr>
              <w:t xml:space="preserve"> v. Sun Life Assurance Co. of Canada</w:t>
            </w:r>
            <w:r w:rsidRPr="00D07A82">
              <w:rPr>
                <w:rFonts w:eastAsia="Calibri"/>
                <w:sz w:val="20"/>
                <w:lang w:val="en-CA"/>
              </w:rPr>
              <w:t>, 2006 SCC 30, limits mental distress damages for breach of insurance contracts promising peace of mind – Whether  punitive damages are available where an insurance company acts in reckless disregard of its duty to act in good faith in the handling of an insurance claim.</w:t>
            </w:r>
          </w:p>
        </w:tc>
      </w:tr>
      <w:tr w:rsidR="00D07A82" w:rsidRPr="00D07A82" w:rsidTr="00D07A82">
        <w:tc>
          <w:tcPr>
            <w:tcW w:w="5000" w:type="pct"/>
            <w:gridSpan w:val="4"/>
          </w:tcPr>
          <w:p w:rsidR="00D07A82" w:rsidRPr="00D07A82" w:rsidRDefault="00D07A82" w:rsidP="00762A4C">
            <w:pPr>
              <w:jc w:val="both"/>
              <w:rPr>
                <w:rFonts w:eastAsia="Calibri"/>
                <w:sz w:val="20"/>
                <w:lang w:val="en-CA"/>
              </w:rPr>
            </w:pPr>
          </w:p>
        </w:tc>
      </w:tr>
      <w:tr w:rsidR="00D07A82" w:rsidRPr="00D07A82" w:rsidTr="00D07A82">
        <w:tc>
          <w:tcPr>
            <w:tcW w:w="5000" w:type="pct"/>
            <w:gridSpan w:val="4"/>
          </w:tcPr>
          <w:p w:rsidR="00D07A82" w:rsidRPr="00D07A82" w:rsidRDefault="00D07A82" w:rsidP="00762A4C">
            <w:pPr>
              <w:jc w:val="both"/>
              <w:rPr>
                <w:rFonts w:eastAsia="Calibri"/>
                <w:sz w:val="20"/>
                <w:lang w:val="en-CA"/>
              </w:rPr>
            </w:pPr>
            <w:r w:rsidRPr="00D07A82">
              <w:rPr>
                <w:rFonts w:eastAsia="Calibri"/>
                <w:sz w:val="20"/>
                <w:lang w:val="en-CA"/>
              </w:rPr>
              <w:t xml:space="preserve">From 2006 to 2009, CP collected disability benefits for loss of income due to illness from RBC Life Insurance Company. In July 2009, she notified RBC that she anticipated a return to full-time work by September 1, 2009. On July 15, 2009, RBC erroneously implemented an internal procedure called Advance Pay and Close pursuant to which it paid benefits until September 1, 2009. However, CP did not return to full-time work and RBC did not re-open her claim. RBC acknowledges that it failed to follow requirements under its policy and it exacerbated the situation by treating CP’s requests for benefits after the claim was closed as an appeal. In April 2010, RBC re-opened CP’s claim. </w:t>
            </w:r>
            <w:r w:rsidRPr="00D07A82">
              <w:rPr>
                <w:rFonts w:eastAsia="Calibri"/>
                <w:color w:val="000000"/>
                <w:sz w:val="20"/>
              </w:rPr>
              <w:t xml:space="preserve">CP obtained damages for mental distress during the eight-month period in which the claim was closed. Her claim for punitive damages was </w:t>
            </w:r>
            <w:proofErr w:type="spellStart"/>
            <w:r w:rsidRPr="00D07A82">
              <w:rPr>
                <w:rFonts w:eastAsia="Calibri"/>
                <w:color w:val="000000"/>
                <w:sz w:val="20"/>
              </w:rPr>
              <w:t>dimissed</w:t>
            </w:r>
            <w:proofErr w:type="spellEnd"/>
            <w:r w:rsidRPr="00D07A82">
              <w:rPr>
                <w:rFonts w:eastAsia="Calibri"/>
                <w:color w:val="000000"/>
                <w:sz w:val="20"/>
              </w:rPr>
              <w:t>.</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January 24, 2014</w:t>
            </w:r>
          </w:p>
          <w:p w:rsidR="00D07A82" w:rsidRPr="00D07A82" w:rsidRDefault="00D07A82" w:rsidP="00762A4C">
            <w:pPr>
              <w:jc w:val="both"/>
              <w:rPr>
                <w:rFonts w:eastAsia="Calibri"/>
                <w:sz w:val="20"/>
                <w:lang w:val="en-CA"/>
              </w:rPr>
            </w:pPr>
            <w:r w:rsidRPr="00D07A82">
              <w:rPr>
                <w:rFonts w:eastAsia="Calibri"/>
                <w:sz w:val="20"/>
                <w:lang w:val="en-CA"/>
              </w:rPr>
              <w:t>Supreme Court of British Columbia</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Funt</w:t>
            </w:r>
            <w:proofErr w:type="spellEnd"/>
            <w:r w:rsidRPr="00D07A82">
              <w:rPr>
                <w:rFonts w:eastAsia="Calibri"/>
                <w:sz w:val="20"/>
                <w:lang w:val="en-CA"/>
              </w:rPr>
              <w:t xml:space="preserve"> J.)</w:t>
            </w:r>
          </w:p>
          <w:p w:rsidR="00D07A82" w:rsidRPr="00D07A82" w:rsidRDefault="0053798C" w:rsidP="00762A4C">
            <w:pPr>
              <w:jc w:val="both"/>
              <w:rPr>
                <w:rFonts w:eastAsia="Calibri"/>
                <w:sz w:val="20"/>
                <w:lang w:val="en-CA"/>
              </w:rPr>
            </w:pPr>
            <w:hyperlink r:id="rId23" w:history="1">
              <w:r w:rsidR="00D07A82" w:rsidRPr="00762A4C">
                <w:rPr>
                  <w:rFonts w:eastAsia="Calibri"/>
                  <w:color w:val="0000FF" w:themeColor="hyperlink"/>
                  <w:sz w:val="20"/>
                  <w:u w:val="single"/>
                  <w:lang w:val="en-CA"/>
                </w:rPr>
                <w:t>2014 BCSC 117</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$10,000 awarded for mental distress, claim for punitive damages dismissed</w:t>
            </w: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January 26, 2015</w:t>
            </w:r>
          </w:p>
          <w:p w:rsidR="00D07A82" w:rsidRPr="00D07A82" w:rsidRDefault="00D07A82" w:rsidP="00762A4C">
            <w:pPr>
              <w:jc w:val="both"/>
              <w:rPr>
                <w:rFonts w:eastAsia="Calibri"/>
                <w:sz w:val="20"/>
                <w:lang w:val="en-CA"/>
              </w:rPr>
            </w:pPr>
            <w:r w:rsidRPr="00D07A82">
              <w:rPr>
                <w:rFonts w:eastAsia="Calibri"/>
                <w:sz w:val="20"/>
                <w:lang w:val="en-CA"/>
              </w:rPr>
              <w:t xml:space="preserve">Court of Appeal for British Columbia </w:t>
            </w:r>
          </w:p>
          <w:p w:rsidR="00D07A82" w:rsidRPr="00D07A82" w:rsidRDefault="00D07A82" w:rsidP="00762A4C">
            <w:pPr>
              <w:jc w:val="both"/>
              <w:rPr>
                <w:rFonts w:eastAsia="Calibri"/>
                <w:sz w:val="20"/>
                <w:lang w:val="en-CA"/>
              </w:rPr>
            </w:pPr>
            <w:r w:rsidRPr="00D07A82">
              <w:rPr>
                <w:rFonts w:eastAsia="Calibri"/>
                <w:sz w:val="20"/>
                <w:lang w:val="en-CA"/>
              </w:rPr>
              <w:lastRenderedPageBreak/>
              <w:t>(Vancouver)</w:t>
            </w:r>
          </w:p>
          <w:p w:rsidR="00D07A82" w:rsidRPr="00D07A82" w:rsidRDefault="00D07A82" w:rsidP="00762A4C">
            <w:pPr>
              <w:jc w:val="both"/>
              <w:rPr>
                <w:rFonts w:eastAsia="Calibri"/>
                <w:sz w:val="20"/>
                <w:lang w:val="en-CA"/>
              </w:rPr>
            </w:pPr>
            <w:r w:rsidRPr="00D07A82">
              <w:rPr>
                <w:rFonts w:eastAsia="Calibri"/>
                <w:sz w:val="20"/>
                <w:lang w:val="en-CA"/>
              </w:rPr>
              <w:t xml:space="preserve">(Mackenzie, </w:t>
            </w:r>
            <w:proofErr w:type="spellStart"/>
            <w:r w:rsidRPr="00D07A82">
              <w:rPr>
                <w:rFonts w:eastAsia="Calibri"/>
                <w:sz w:val="20"/>
                <w:lang w:val="en-CA"/>
              </w:rPr>
              <w:t>Willcock</w:t>
            </w:r>
            <w:proofErr w:type="spellEnd"/>
            <w:r w:rsidRPr="00D07A82">
              <w:rPr>
                <w:rFonts w:eastAsia="Calibri"/>
                <w:sz w:val="20"/>
                <w:lang w:val="en-CA"/>
              </w:rPr>
              <w:t xml:space="preserve">, </w:t>
            </w:r>
            <w:proofErr w:type="spellStart"/>
            <w:r w:rsidRPr="00D07A82">
              <w:rPr>
                <w:rFonts w:eastAsia="Calibri"/>
                <w:sz w:val="20"/>
                <w:lang w:val="en-CA"/>
              </w:rPr>
              <w:t>Goepel</w:t>
            </w:r>
            <w:proofErr w:type="spellEnd"/>
            <w:r w:rsidRPr="00D07A82">
              <w:rPr>
                <w:rFonts w:eastAsia="Calibri"/>
                <w:sz w:val="20"/>
                <w:lang w:val="en-CA"/>
              </w:rPr>
              <w:t xml:space="preserve"> JJ.A.)</w:t>
            </w:r>
          </w:p>
          <w:p w:rsidR="00D07A82" w:rsidRPr="00D07A82" w:rsidRDefault="00D07A82" w:rsidP="00762A4C">
            <w:pPr>
              <w:jc w:val="both"/>
              <w:rPr>
                <w:rFonts w:eastAsia="Calibri"/>
                <w:sz w:val="20"/>
                <w:lang w:val="en-CA"/>
              </w:rPr>
            </w:pPr>
            <w:r w:rsidRPr="00D07A82">
              <w:rPr>
                <w:rFonts w:eastAsia="Calibri"/>
                <w:sz w:val="20"/>
                <w:lang w:val="en-CA"/>
              </w:rPr>
              <w:t xml:space="preserve">CA041585; </w:t>
            </w:r>
            <w:hyperlink r:id="rId24" w:history="1">
              <w:r w:rsidRPr="00762A4C">
                <w:rPr>
                  <w:rFonts w:eastAsia="Calibri"/>
                  <w:color w:val="0000FF" w:themeColor="hyperlink"/>
                  <w:sz w:val="20"/>
                  <w:u w:val="single"/>
                  <w:lang w:val="en-CA"/>
                </w:rPr>
                <w:t>2015 BCCA 30</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Appeal dismissed</w:t>
            </w:r>
          </w:p>
          <w:p w:rsidR="00D07A82" w:rsidRPr="00D07A82" w:rsidRDefault="00D07A82" w:rsidP="00762A4C">
            <w:pPr>
              <w:jc w:val="both"/>
              <w:rPr>
                <w:rFonts w:eastAsia="Calibri"/>
                <w:sz w:val="20"/>
                <w:lang w:val="en-CA"/>
              </w:rPr>
            </w:pPr>
          </w:p>
        </w:tc>
      </w:tr>
      <w:tr w:rsidR="00D07A82" w:rsidRPr="00D07A82" w:rsidTr="00D07A82">
        <w:tc>
          <w:tcPr>
            <w:tcW w:w="2427" w:type="pct"/>
            <w:gridSpan w:val="2"/>
            <w:hideMark/>
          </w:tcPr>
          <w:p w:rsidR="00D07A82" w:rsidRPr="00D07A82" w:rsidRDefault="00D07A82" w:rsidP="00762A4C">
            <w:pPr>
              <w:jc w:val="both"/>
              <w:rPr>
                <w:rFonts w:eastAsia="Calibri"/>
                <w:sz w:val="20"/>
                <w:lang w:val="en-CA"/>
              </w:rPr>
            </w:pPr>
            <w:r w:rsidRPr="00D07A82">
              <w:rPr>
                <w:rFonts w:eastAsia="Calibri"/>
                <w:sz w:val="20"/>
                <w:lang w:val="en-CA"/>
              </w:rPr>
              <w:lastRenderedPageBreak/>
              <w:t>March 27, 2015</w:t>
            </w:r>
          </w:p>
          <w:p w:rsidR="00D07A82" w:rsidRPr="00D07A82" w:rsidRDefault="00D07A82" w:rsidP="00762A4C">
            <w:pPr>
              <w:jc w:val="both"/>
              <w:rPr>
                <w:rFonts w:eastAsia="Calibri"/>
                <w:sz w:val="20"/>
                <w:lang w:val="en-CA"/>
              </w:rPr>
            </w:pPr>
            <w:r w:rsidRPr="00D07A82">
              <w:rPr>
                <w:rFonts w:eastAsia="Calibri"/>
                <w:sz w:val="20"/>
                <w:lang w:val="en-CA"/>
              </w:rPr>
              <w:t>Supreme Court of Canada</w:t>
            </w: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Application for leave to appeal filed</w:t>
            </w:r>
          </w:p>
          <w:p w:rsidR="00D07A82" w:rsidRPr="00D07A82" w:rsidRDefault="00D07A82" w:rsidP="00762A4C">
            <w:pPr>
              <w:jc w:val="both"/>
              <w:rPr>
                <w:rFonts w:eastAsia="Calibri"/>
                <w:sz w:val="20"/>
                <w:lang w:val="en-CA"/>
              </w:rPr>
            </w:pPr>
          </w:p>
        </w:tc>
      </w:tr>
    </w:tbl>
    <w:p w:rsidR="00D07A82" w:rsidRDefault="00D07A82" w:rsidP="00762A4C">
      <w:pPr>
        <w:jc w:val="both"/>
        <w:rPr>
          <w:rFonts w:eastAsia="Calibri"/>
          <w:sz w:val="20"/>
          <w:lang w:val="en-CA"/>
        </w:rPr>
      </w:pPr>
    </w:p>
    <w:p w:rsidR="00762A4C" w:rsidRPr="00D07A82" w:rsidRDefault="00762A4C" w:rsidP="00762A4C">
      <w:pPr>
        <w:jc w:val="both"/>
        <w:rPr>
          <w:rFonts w:eastAsia="Calibr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7A82" w:rsidRPr="00D07A82" w:rsidTr="00FA312A">
        <w:tc>
          <w:tcPr>
            <w:tcW w:w="543" w:type="pct"/>
          </w:tcPr>
          <w:p w:rsidR="00D07A82" w:rsidRPr="00D07A82" w:rsidRDefault="00D07A82" w:rsidP="00762A4C">
            <w:pPr>
              <w:jc w:val="both"/>
              <w:rPr>
                <w:rFonts w:eastAsiaTheme="minorHAnsi"/>
                <w:sz w:val="20"/>
                <w:lang w:val="fr-CA"/>
              </w:rPr>
            </w:pPr>
            <w:r w:rsidRPr="00762A4C">
              <w:rPr>
                <w:rFonts w:eastAsiaTheme="minorHAnsi"/>
                <w:b/>
                <w:sz w:val="20"/>
                <w:lang w:val="fr-CA"/>
              </w:rPr>
              <w:t>36360</w:t>
            </w:r>
          </w:p>
        </w:tc>
        <w:tc>
          <w:tcPr>
            <w:tcW w:w="4457" w:type="pct"/>
            <w:gridSpan w:val="3"/>
          </w:tcPr>
          <w:p w:rsidR="00D07A82" w:rsidRPr="00D07A82" w:rsidRDefault="00D07A82" w:rsidP="00762A4C">
            <w:pPr>
              <w:jc w:val="both"/>
              <w:rPr>
                <w:rFonts w:eastAsiaTheme="minorHAnsi"/>
                <w:b/>
                <w:sz w:val="20"/>
                <w:lang w:val="fr-CA"/>
              </w:rPr>
            </w:pPr>
            <w:r w:rsidRPr="00D07A82">
              <w:rPr>
                <w:rFonts w:eastAsiaTheme="minorHAnsi"/>
                <w:b/>
                <w:sz w:val="20"/>
                <w:lang w:val="fr-CA"/>
              </w:rPr>
              <w:t>C.P. c. Compagnie d’assurance vie RBC</w:t>
            </w:r>
          </w:p>
          <w:p w:rsidR="00D07A82" w:rsidRPr="00D07A82" w:rsidRDefault="00D07A82" w:rsidP="00762A4C">
            <w:pPr>
              <w:jc w:val="both"/>
              <w:rPr>
                <w:rFonts w:eastAsiaTheme="minorHAnsi"/>
                <w:sz w:val="20"/>
                <w:lang w:val="fr-CA"/>
              </w:rPr>
            </w:pPr>
            <w:r w:rsidRPr="00D07A82">
              <w:rPr>
                <w:rFonts w:eastAsiaTheme="minorHAnsi"/>
                <w:sz w:val="20"/>
                <w:lang w:val="fr-CA"/>
              </w:rPr>
              <w:t>(C.-B.) (Civile) (Sur autorisation)</w:t>
            </w:r>
          </w:p>
        </w:tc>
      </w:tr>
      <w:tr w:rsidR="00D07A82" w:rsidRPr="00D07A82" w:rsidTr="00FA312A">
        <w:tc>
          <w:tcPr>
            <w:tcW w:w="5000" w:type="pct"/>
            <w:gridSpan w:val="4"/>
          </w:tcPr>
          <w:p w:rsidR="00D07A82" w:rsidRPr="00D07A82" w:rsidRDefault="00D07A82" w:rsidP="00762A4C">
            <w:pPr>
              <w:jc w:val="both"/>
              <w:rPr>
                <w:rFonts w:eastAsiaTheme="minorHAnsi"/>
                <w:smallCaps/>
                <w:sz w:val="20"/>
                <w:lang w:val="fr-CA"/>
              </w:rPr>
            </w:pPr>
            <w:r w:rsidRPr="00D07A82">
              <w:rPr>
                <w:rFonts w:eastAsiaTheme="minorHAnsi"/>
                <w:smallCaps/>
                <w:sz w:val="20"/>
                <w:lang w:val="fr-CA"/>
              </w:rPr>
              <w:t>(Ordonnance de non-publication dans le dossier) (Ordonnance de non-publication visant une partie) (Ordonnance de mise sous scellés)</w:t>
            </w:r>
          </w:p>
          <w:p w:rsidR="00D07A82" w:rsidRPr="00D07A82" w:rsidRDefault="00D07A82" w:rsidP="00762A4C">
            <w:pPr>
              <w:jc w:val="both"/>
              <w:rPr>
                <w:rFonts w:eastAsiaTheme="minorHAnsi"/>
                <w:sz w:val="20"/>
                <w:lang w:val="fr-CA"/>
              </w:rPr>
            </w:pPr>
          </w:p>
          <w:p w:rsidR="00D07A82" w:rsidRPr="00D07A82" w:rsidRDefault="00D07A82" w:rsidP="00762A4C">
            <w:pPr>
              <w:jc w:val="both"/>
              <w:rPr>
                <w:rFonts w:eastAsiaTheme="minorHAnsi"/>
                <w:sz w:val="20"/>
                <w:lang w:val="fr-CA"/>
              </w:rPr>
            </w:pPr>
            <w:r w:rsidRPr="00D07A82">
              <w:rPr>
                <w:rFonts w:eastAsiaTheme="minorHAnsi"/>
                <w:sz w:val="20"/>
                <w:lang w:val="fr-CA"/>
              </w:rPr>
              <w:t xml:space="preserve">Assurance – Assurance personnelle – Le critère de la prévisibilité adopté dans l’arrêt </w:t>
            </w:r>
            <w:proofErr w:type="spellStart"/>
            <w:r w:rsidRPr="00D07A82">
              <w:rPr>
                <w:rFonts w:eastAsiaTheme="minorHAnsi"/>
                <w:i/>
                <w:sz w:val="20"/>
                <w:lang w:val="fr-CA"/>
              </w:rPr>
              <w:t>Fidler</w:t>
            </w:r>
            <w:proofErr w:type="spellEnd"/>
            <w:r w:rsidRPr="00D07A82">
              <w:rPr>
                <w:rFonts w:eastAsiaTheme="minorHAnsi"/>
                <w:i/>
                <w:sz w:val="20"/>
                <w:lang w:val="fr-CA"/>
              </w:rPr>
              <w:t xml:space="preserve"> c. Sun Life du Canada, compagnie d’assurance-vie</w:t>
            </w:r>
            <w:r w:rsidRPr="00D07A82">
              <w:rPr>
                <w:rFonts w:eastAsiaTheme="minorHAnsi"/>
                <w:sz w:val="20"/>
                <w:lang w:val="fr-CA"/>
              </w:rPr>
              <w:t xml:space="preserve">, 2006 CSC 30, </w:t>
            </w:r>
            <w:proofErr w:type="spellStart"/>
            <w:r w:rsidRPr="00D07A82">
              <w:rPr>
                <w:rFonts w:eastAsiaTheme="minorHAnsi"/>
                <w:sz w:val="20"/>
                <w:lang w:val="fr-CA"/>
              </w:rPr>
              <w:t>a-t-il</w:t>
            </w:r>
            <w:proofErr w:type="spellEnd"/>
            <w:r w:rsidRPr="00D07A82">
              <w:rPr>
                <w:rFonts w:eastAsiaTheme="minorHAnsi"/>
                <w:sz w:val="20"/>
                <w:lang w:val="fr-CA"/>
              </w:rPr>
              <w:t xml:space="preserve"> pour effet de limiter les dommages-intérêts au titre de la souffrance morale pour rupture de contrats d’assurance conclus en vue de la tranquillité d’esprit? – Des dommages-intérêts punitifs peuvent-ils être accordés lorsqu’une compagnie d’assurance agit avec insouciance grave à l’égard de son obligation d’agir de bonne foi dans le traitement d’une  réclamation d’assurance?</w:t>
            </w:r>
          </w:p>
        </w:tc>
      </w:tr>
      <w:tr w:rsidR="00D07A82" w:rsidRPr="00D07A82" w:rsidTr="00FA312A">
        <w:tc>
          <w:tcPr>
            <w:tcW w:w="5000" w:type="pct"/>
            <w:gridSpan w:val="4"/>
          </w:tcPr>
          <w:p w:rsidR="00D07A82" w:rsidRPr="00D07A82" w:rsidRDefault="00D07A82" w:rsidP="00762A4C">
            <w:pPr>
              <w:jc w:val="both"/>
              <w:rPr>
                <w:rFonts w:eastAsiaTheme="minorHAnsi"/>
                <w:sz w:val="20"/>
                <w:lang w:val="fr-CA"/>
              </w:rPr>
            </w:pPr>
          </w:p>
        </w:tc>
      </w:tr>
      <w:tr w:rsidR="00D07A82" w:rsidRPr="00D07A82" w:rsidTr="00FA312A">
        <w:tc>
          <w:tcPr>
            <w:tcW w:w="5000" w:type="pct"/>
            <w:gridSpan w:val="4"/>
          </w:tcPr>
          <w:p w:rsidR="00D07A82" w:rsidRPr="00D07A82" w:rsidRDefault="00D07A82" w:rsidP="00762A4C">
            <w:pPr>
              <w:jc w:val="both"/>
              <w:rPr>
                <w:rFonts w:eastAsiaTheme="minorHAnsi"/>
                <w:sz w:val="20"/>
                <w:lang w:val="fr-CA"/>
              </w:rPr>
            </w:pPr>
            <w:r w:rsidRPr="00D07A82">
              <w:rPr>
                <w:rFonts w:eastAsiaTheme="minorHAnsi"/>
                <w:sz w:val="20"/>
                <w:lang w:val="fr-CA"/>
              </w:rPr>
              <w:t>De 2006 à 2009, CP recevait de la Compagnie d’assurance vie RBC des prestations d’invalidité pour perte de revenu en raison d’une maladie. En juillet 2009, elle a avisé RBC qu’elle s’attendait à être de retour au travail à plein temps au 1</w:t>
            </w:r>
            <w:r w:rsidRPr="00D07A82">
              <w:rPr>
                <w:rFonts w:eastAsiaTheme="minorHAnsi"/>
                <w:sz w:val="20"/>
                <w:vertAlign w:val="superscript"/>
                <w:lang w:val="fr-CA"/>
              </w:rPr>
              <w:t>er</w:t>
            </w:r>
            <w:r w:rsidRPr="00D07A82">
              <w:rPr>
                <w:rFonts w:eastAsiaTheme="minorHAnsi"/>
                <w:sz w:val="20"/>
                <w:lang w:val="fr-CA"/>
              </w:rPr>
              <w:t xml:space="preserve"> septembre 2009. Le 15 juillet 2009, RBC a mis en œuvre par erreur une procédure interne appelée [</w:t>
            </w:r>
            <w:r w:rsidRPr="00D07A82">
              <w:rPr>
                <w:rFonts w:eastAsiaTheme="minorHAnsi"/>
                <w:smallCaps/>
                <w:sz w:val="20"/>
                <w:lang w:val="fr-CA"/>
              </w:rPr>
              <w:t>traduction</w:t>
            </w:r>
            <w:r w:rsidRPr="00D07A82">
              <w:rPr>
                <w:rFonts w:eastAsiaTheme="minorHAnsi"/>
                <w:sz w:val="20"/>
                <w:lang w:val="fr-CA"/>
              </w:rPr>
              <w:t>] « versement des prestations et fermeture de réclamation par anticipation » par laquelle elle a versé des prestations jusqu’au 1</w:t>
            </w:r>
            <w:r w:rsidRPr="00D07A82">
              <w:rPr>
                <w:rFonts w:eastAsiaTheme="minorHAnsi"/>
                <w:sz w:val="20"/>
                <w:vertAlign w:val="superscript"/>
                <w:lang w:val="fr-CA"/>
              </w:rPr>
              <w:t>er</w:t>
            </w:r>
            <w:r w:rsidRPr="00D07A82">
              <w:rPr>
                <w:rFonts w:eastAsiaTheme="minorHAnsi"/>
                <w:sz w:val="20"/>
                <w:lang w:val="fr-CA"/>
              </w:rPr>
              <w:t xml:space="preserve"> septembre 2009. Toutefois, CP n’est pas retournée au travail à plein temps et RBC n’a pas rouvert sa réclamation. RBC reconnaît qu’elle n’a pas respecté les exigences en application de sa politique et qu’elle a aggravé la situation en traitant les demandes de prestations de CP après la fermeture de la réclamation comme s’il s’agissait d’un appel. En avril 2010, RBC a rouvert la réclamation de CP. </w:t>
            </w:r>
            <w:r w:rsidRPr="00D07A82">
              <w:rPr>
                <w:rFonts w:eastAsiaTheme="minorHAnsi"/>
                <w:color w:val="000000"/>
                <w:sz w:val="20"/>
                <w:lang w:val="fr-CA"/>
              </w:rPr>
              <w:t>CP a obtenu des dommages-intérêts au titre de la souffrance morale subie pendant les huit mois au cours desquels la réclamation était fermée. Sa demande de dommages-intérêts punitifs a été rejetée.</w:t>
            </w:r>
          </w:p>
          <w:p w:rsidR="00D07A82" w:rsidRPr="00D07A82" w:rsidRDefault="00D07A82" w:rsidP="00762A4C">
            <w:pPr>
              <w:jc w:val="both"/>
              <w:rPr>
                <w:rFonts w:eastAsiaTheme="minorHAnsi"/>
                <w:sz w:val="20"/>
                <w:lang w:val="fr-CA"/>
              </w:rPr>
            </w:pPr>
          </w:p>
        </w:tc>
      </w:tr>
      <w:tr w:rsidR="00D07A82" w:rsidRPr="00D07A82" w:rsidTr="00FA312A">
        <w:tc>
          <w:tcPr>
            <w:tcW w:w="2427" w:type="pct"/>
            <w:gridSpan w:val="2"/>
          </w:tcPr>
          <w:p w:rsidR="00D07A82" w:rsidRPr="00D07A82" w:rsidRDefault="00D07A82" w:rsidP="00762A4C">
            <w:pPr>
              <w:jc w:val="both"/>
              <w:rPr>
                <w:rFonts w:eastAsiaTheme="minorHAnsi"/>
                <w:sz w:val="20"/>
                <w:lang w:val="fr-CA"/>
              </w:rPr>
            </w:pPr>
            <w:r w:rsidRPr="00D07A82">
              <w:rPr>
                <w:rFonts w:eastAsiaTheme="minorHAnsi"/>
                <w:sz w:val="20"/>
                <w:lang w:val="fr-CA"/>
              </w:rPr>
              <w:t>24 janvier 2014</w:t>
            </w:r>
          </w:p>
          <w:p w:rsidR="00D07A82" w:rsidRPr="00D07A82" w:rsidRDefault="00D07A82" w:rsidP="00762A4C">
            <w:pPr>
              <w:jc w:val="both"/>
              <w:rPr>
                <w:rFonts w:eastAsiaTheme="minorHAnsi"/>
                <w:sz w:val="20"/>
                <w:lang w:val="fr-CA"/>
              </w:rPr>
            </w:pPr>
            <w:r w:rsidRPr="00D07A82">
              <w:rPr>
                <w:rFonts w:eastAsiaTheme="minorHAnsi"/>
                <w:sz w:val="20"/>
                <w:lang w:val="fr-CA"/>
              </w:rPr>
              <w:t>Cour suprême de la Colombie-Britannique</w:t>
            </w:r>
          </w:p>
          <w:p w:rsidR="00D07A82" w:rsidRPr="00D07A82" w:rsidRDefault="00D07A82" w:rsidP="00762A4C">
            <w:pPr>
              <w:jc w:val="both"/>
              <w:rPr>
                <w:rFonts w:eastAsiaTheme="minorHAnsi"/>
                <w:sz w:val="20"/>
                <w:lang w:val="fr-CA"/>
              </w:rPr>
            </w:pPr>
            <w:r w:rsidRPr="00D07A82">
              <w:rPr>
                <w:rFonts w:eastAsiaTheme="minorHAnsi"/>
                <w:sz w:val="20"/>
                <w:lang w:val="fr-CA"/>
              </w:rPr>
              <w:t xml:space="preserve">(Juge </w:t>
            </w:r>
            <w:proofErr w:type="spellStart"/>
            <w:r w:rsidRPr="00D07A82">
              <w:rPr>
                <w:rFonts w:eastAsiaTheme="minorHAnsi"/>
                <w:sz w:val="20"/>
                <w:lang w:val="fr-CA"/>
              </w:rPr>
              <w:t>Funt</w:t>
            </w:r>
            <w:proofErr w:type="spellEnd"/>
            <w:r w:rsidRPr="00D07A82">
              <w:rPr>
                <w:rFonts w:eastAsiaTheme="minorHAnsi"/>
                <w:sz w:val="20"/>
                <w:lang w:val="fr-CA"/>
              </w:rPr>
              <w:t>)</w:t>
            </w:r>
          </w:p>
          <w:p w:rsidR="00D07A82" w:rsidRPr="00D07A82" w:rsidRDefault="0053798C" w:rsidP="00762A4C">
            <w:pPr>
              <w:jc w:val="both"/>
              <w:rPr>
                <w:rFonts w:eastAsiaTheme="minorHAnsi"/>
                <w:sz w:val="20"/>
                <w:lang w:val="fr-CA"/>
              </w:rPr>
            </w:pPr>
            <w:hyperlink r:id="rId25" w:history="1">
              <w:r w:rsidR="00D07A82" w:rsidRPr="00762A4C">
                <w:rPr>
                  <w:rFonts w:eastAsiaTheme="minorHAnsi"/>
                  <w:color w:val="0000FF" w:themeColor="hyperlink"/>
                  <w:sz w:val="20"/>
                  <w:u w:val="single"/>
                  <w:lang w:val="fr-CA"/>
                </w:rPr>
                <w:t>2014 BCSC 117</w:t>
              </w:r>
            </w:hyperlink>
          </w:p>
          <w:p w:rsidR="00D07A82" w:rsidRPr="00D07A82" w:rsidRDefault="00D07A82" w:rsidP="00762A4C">
            <w:pPr>
              <w:jc w:val="both"/>
              <w:rPr>
                <w:rFonts w:eastAsiaTheme="minorHAnsi"/>
                <w:sz w:val="20"/>
                <w:lang w:val="fr-CA"/>
              </w:rPr>
            </w:pPr>
          </w:p>
        </w:tc>
        <w:tc>
          <w:tcPr>
            <w:tcW w:w="243" w:type="pct"/>
          </w:tcPr>
          <w:p w:rsidR="00D07A82" w:rsidRPr="00D07A82" w:rsidRDefault="00D07A82" w:rsidP="00762A4C">
            <w:pPr>
              <w:jc w:val="both"/>
              <w:rPr>
                <w:rFonts w:eastAsiaTheme="minorHAnsi"/>
                <w:sz w:val="20"/>
                <w:lang w:val="fr-CA"/>
              </w:rPr>
            </w:pPr>
          </w:p>
        </w:tc>
        <w:tc>
          <w:tcPr>
            <w:tcW w:w="2330" w:type="pct"/>
          </w:tcPr>
          <w:p w:rsidR="00D07A82" w:rsidRPr="00D07A82" w:rsidRDefault="00D07A82" w:rsidP="00762A4C">
            <w:pPr>
              <w:jc w:val="both"/>
              <w:rPr>
                <w:rFonts w:eastAsiaTheme="minorHAnsi"/>
                <w:sz w:val="20"/>
                <w:lang w:val="fr-CA"/>
              </w:rPr>
            </w:pPr>
            <w:r w:rsidRPr="00D07A82">
              <w:rPr>
                <w:rFonts w:eastAsiaTheme="minorHAnsi"/>
                <w:sz w:val="20"/>
                <w:lang w:val="fr-CA"/>
              </w:rPr>
              <w:t>Jugement accordant des dommages-intérêts de 10 000 $ au titre de la souffrance morale, rejet de la demande de dommages-intérêts punitifs</w:t>
            </w:r>
          </w:p>
        </w:tc>
      </w:tr>
      <w:tr w:rsidR="00D07A82" w:rsidRPr="00D07A82" w:rsidTr="00FA312A">
        <w:tc>
          <w:tcPr>
            <w:tcW w:w="2427" w:type="pct"/>
            <w:gridSpan w:val="2"/>
          </w:tcPr>
          <w:p w:rsidR="00D07A82" w:rsidRPr="00D07A82" w:rsidRDefault="00D07A82" w:rsidP="00762A4C">
            <w:pPr>
              <w:jc w:val="both"/>
              <w:rPr>
                <w:rFonts w:eastAsiaTheme="minorHAnsi"/>
                <w:sz w:val="20"/>
                <w:lang w:val="fr-CA"/>
              </w:rPr>
            </w:pPr>
            <w:r w:rsidRPr="00D07A82">
              <w:rPr>
                <w:rFonts w:eastAsiaTheme="minorHAnsi"/>
                <w:sz w:val="20"/>
                <w:lang w:val="fr-CA"/>
              </w:rPr>
              <w:t>26 janvier 2015</w:t>
            </w:r>
          </w:p>
          <w:p w:rsidR="00D07A82" w:rsidRPr="00D07A82" w:rsidRDefault="00D07A82" w:rsidP="00762A4C">
            <w:pPr>
              <w:jc w:val="both"/>
              <w:rPr>
                <w:rFonts w:eastAsiaTheme="minorHAnsi"/>
                <w:sz w:val="20"/>
                <w:lang w:val="fr-CA"/>
              </w:rPr>
            </w:pPr>
            <w:r w:rsidRPr="00D07A82">
              <w:rPr>
                <w:rFonts w:eastAsiaTheme="minorHAnsi"/>
                <w:sz w:val="20"/>
                <w:lang w:val="fr-CA"/>
              </w:rPr>
              <w:t>Cour d’appel de la Colombie-Britannique</w:t>
            </w:r>
          </w:p>
          <w:p w:rsidR="00D07A82" w:rsidRPr="00D07A82" w:rsidRDefault="00D07A82" w:rsidP="00762A4C">
            <w:pPr>
              <w:jc w:val="both"/>
              <w:rPr>
                <w:rFonts w:eastAsiaTheme="minorHAnsi"/>
                <w:sz w:val="20"/>
                <w:lang w:val="fr-CA"/>
              </w:rPr>
            </w:pPr>
            <w:r w:rsidRPr="00D07A82">
              <w:rPr>
                <w:rFonts w:eastAsiaTheme="minorHAnsi"/>
                <w:sz w:val="20"/>
                <w:lang w:val="fr-CA"/>
              </w:rPr>
              <w:t>(Vancouver)</w:t>
            </w:r>
          </w:p>
          <w:p w:rsidR="00D07A82" w:rsidRPr="00D07A82" w:rsidRDefault="00D07A82" w:rsidP="00762A4C">
            <w:pPr>
              <w:jc w:val="both"/>
              <w:rPr>
                <w:rFonts w:eastAsiaTheme="minorHAnsi"/>
                <w:sz w:val="20"/>
                <w:lang w:val="fr-CA"/>
              </w:rPr>
            </w:pPr>
            <w:r w:rsidRPr="00D07A82">
              <w:rPr>
                <w:rFonts w:eastAsiaTheme="minorHAnsi"/>
                <w:sz w:val="20"/>
                <w:lang w:val="fr-CA"/>
              </w:rPr>
              <w:t xml:space="preserve">(Juges Mackenzie, </w:t>
            </w:r>
            <w:proofErr w:type="spellStart"/>
            <w:r w:rsidRPr="00D07A82">
              <w:rPr>
                <w:rFonts w:eastAsiaTheme="minorHAnsi"/>
                <w:sz w:val="20"/>
                <w:lang w:val="fr-CA"/>
              </w:rPr>
              <w:t>Willcock</w:t>
            </w:r>
            <w:proofErr w:type="spellEnd"/>
            <w:r w:rsidRPr="00D07A82">
              <w:rPr>
                <w:rFonts w:eastAsiaTheme="minorHAnsi"/>
                <w:sz w:val="20"/>
                <w:lang w:val="fr-CA"/>
              </w:rPr>
              <w:t xml:space="preserve"> et </w:t>
            </w:r>
            <w:proofErr w:type="spellStart"/>
            <w:r w:rsidRPr="00D07A82">
              <w:rPr>
                <w:rFonts w:eastAsiaTheme="minorHAnsi"/>
                <w:sz w:val="20"/>
                <w:lang w:val="fr-CA"/>
              </w:rPr>
              <w:t>Goepel</w:t>
            </w:r>
            <w:proofErr w:type="spellEnd"/>
            <w:r w:rsidRPr="00D07A82">
              <w:rPr>
                <w:rFonts w:eastAsiaTheme="minorHAnsi"/>
                <w:sz w:val="20"/>
                <w:lang w:val="fr-CA"/>
              </w:rPr>
              <w:t>)</w:t>
            </w:r>
          </w:p>
          <w:p w:rsidR="00D07A82" w:rsidRPr="00D07A82" w:rsidRDefault="00D07A82" w:rsidP="00762A4C">
            <w:pPr>
              <w:jc w:val="both"/>
              <w:rPr>
                <w:rFonts w:eastAsiaTheme="minorHAnsi"/>
                <w:sz w:val="20"/>
                <w:lang w:val="fr-CA"/>
              </w:rPr>
            </w:pPr>
            <w:r w:rsidRPr="00D07A82">
              <w:rPr>
                <w:rFonts w:eastAsiaTheme="minorHAnsi"/>
                <w:sz w:val="20"/>
                <w:lang w:val="fr-CA"/>
              </w:rPr>
              <w:t xml:space="preserve">CA041585; </w:t>
            </w:r>
            <w:hyperlink r:id="rId26" w:history="1">
              <w:r w:rsidRPr="00762A4C">
                <w:rPr>
                  <w:rFonts w:eastAsiaTheme="minorHAnsi"/>
                  <w:color w:val="0000FF" w:themeColor="hyperlink"/>
                  <w:sz w:val="20"/>
                  <w:u w:val="single"/>
                  <w:lang w:val="fr-CA"/>
                </w:rPr>
                <w:t>2015 BCCA 30</w:t>
              </w:r>
            </w:hyperlink>
          </w:p>
          <w:p w:rsidR="00D07A82" w:rsidRPr="00D07A82" w:rsidRDefault="00D07A82" w:rsidP="00762A4C">
            <w:pPr>
              <w:jc w:val="both"/>
              <w:rPr>
                <w:rFonts w:eastAsiaTheme="minorHAnsi"/>
                <w:sz w:val="20"/>
                <w:lang w:val="fr-CA"/>
              </w:rPr>
            </w:pPr>
          </w:p>
        </w:tc>
        <w:tc>
          <w:tcPr>
            <w:tcW w:w="243" w:type="pct"/>
          </w:tcPr>
          <w:p w:rsidR="00D07A82" w:rsidRPr="00D07A82" w:rsidRDefault="00D07A82" w:rsidP="00762A4C">
            <w:pPr>
              <w:jc w:val="both"/>
              <w:rPr>
                <w:rFonts w:eastAsiaTheme="minorHAnsi"/>
                <w:sz w:val="20"/>
                <w:lang w:val="fr-CA"/>
              </w:rPr>
            </w:pPr>
          </w:p>
        </w:tc>
        <w:tc>
          <w:tcPr>
            <w:tcW w:w="2330" w:type="pct"/>
          </w:tcPr>
          <w:p w:rsidR="00D07A82" w:rsidRPr="00D07A82" w:rsidRDefault="00D07A82" w:rsidP="00762A4C">
            <w:pPr>
              <w:jc w:val="both"/>
              <w:rPr>
                <w:rFonts w:eastAsiaTheme="minorHAnsi"/>
                <w:sz w:val="20"/>
                <w:lang w:val="fr-CA"/>
              </w:rPr>
            </w:pPr>
            <w:r w:rsidRPr="00D07A82">
              <w:rPr>
                <w:rFonts w:eastAsiaTheme="minorHAnsi"/>
                <w:sz w:val="20"/>
                <w:lang w:val="fr-CA"/>
              </w:rPr>
              <w:t>Rejet de l’appel</w:t>
            </w:r>
          </w:p>
          <w:p w:rsidR="00D07A82" w:rsidRPr="00D07A82" w:rsidRDefault="00D07A82" w:rsidP="00762A4C">
            <w:pPr>
              <w:jc w:val="both"/>
              <w:rPr>
                <w:rFonts w:eastAsiaTheme="minorHAnsi"/>
                <w:sz w:val="20"/>
                <w:lang w:val="fr-CA"/>
              </w:rPr>
            </w:pPr>
          </w:p>
        </w:tc>
      </w:tr>
      <w:tr w:rsidR="00D07A82" w:rsidRPr="00D07A82" w:rsidTr="00FA312A">
        <w:tc>
          <w:tcPr>
            <w:tcW w:w="2427" w:type="pct"/>
            <w:gridSpan w:val="2"/>
          </w:tcPr>
          <w:p w:rsidR="00D07A82" w:rsidRPr="00D07A82" w:rsidRDefault="00D07A82" w:rsidP="00762A4C">
            <w:pPr>
              <w:jc w:val="both"/>
              <w:rPr>
                <w:rFonts w:eastAsiaTheme="minorHAnsi"/>
                <w:sz w:val="20"/>
                <w:lang w:val="fr-CA"/>
              </w:rPr>
            </w:pPr>
            <w:r w:rsidRPr="00D07A82">
              <w:rPr>
                <w:rFonts w:eastAsiaTheme="minorHAnsi"/>
                <w:sz w:val="20"/>
                <w:lang w:val="fr-CA"/>
              </w:rPr>
              <w:lastRenderedPageBreak/>
              <w:t>27 mars 2015</w:t>
            </w:r>
          </w:p>
          <w:p w:rsidR="00D07A82" w:rsidRPr="00D07A82" w:rsidRDefault="00D07A82" w:rsidP="00762A4C">
            <w:pPr>
              <w:jc w:val="both"/>
              <w:rPr>
                <w:rFonts w:eastAsiaTheme="minorHAnsi"/>
                <w:sz w:val="20"/>
                <w:lang w:val="fr-CA"/>
              </w:rPr>
            </w:pPr>
            <w:r w:rsidRPr="00D07A82">
              <w:rPr>
                <w:rFonts w:eastAsiaTheme="minorHAnsi"/>
                <w:sz w:val="20"/>
                <w:lang w:val="fr-CA"/>
              </w:rPr>
              <w:t>Cour suprême du Canada</w:t>
            </w:r>
          </w:p>
        </w:tc>
        <w:tc>
          <w:tcPr>
            <w:tcW w:w="243" w:type="pct"/>
          </w:tcPr>
          <w:p w:rsidR="00D07A82" w:rsidRPr="00D07A82" w:rsidRDefault="00D07A82" w:rsidP="00762A4C">
            <w:pPr>
              <w:jc w:val="both"/>
              <w:rPr>
                <w:rFonts w:eastAsiaTheme="minorHAnsi"/>
                <w:sz w:val="20"/>
                <w:lang w:val="fr-CA"/>
              </w:rPr>
            </w:pPr>
          </w:p>
        </w:tc>
        <w:tc>
          <w:tcPr>
            <w:tcW w:w="2330" w:type="pct"/>
          </w:tcPr>
          <w:p w:rsidR="00D07A82" w:rsidRPr="00D07A82" w:rsidRDefault="00D07A82" w:rsidP="00762A4C">
            <w:pPr>
              <w:jc w:val="both"/>
              <w:rPr>
                <w:rFonts w:eastAsiaTheme="minorHAnsi"/>
                <w:sz w:val="20"/>
                <w:lang w:val="fr-CA"/>
              </w:rPr>
            </w:pPr>
            <w:r w:rsidRPr="00D07A82">
              <w:rPr>
                <w:rFonts w:eastAsiaTheme="minorHAnsi"/>
                <w:sz w:val="20"/>
                <w:lang w:val="fr-CA"/>
              </w:rPr>
              <w:t>Dépôt de la demande d’autorisation d’appel</w:t>
            </w:r>
          </w:p>
          <w:p w:rsidR="00D07A82" w:rsidRPr="00D07A82" w:rsidRDefault="00D07A82" w:rsidP="00762A4C">
            <w:pPr>
              <w:jc w:val="both"/>
              <w:rPr>
                <w:rFonts w:eastAsiaTheme="minorHAnsi"/>
                <w:sz w:val="20"/>
                <w:lang w:val="fr-CA"/>
              </w:rPr>
            </w:pPr>
          </w:p>
        </w:tc>
      </w:tr>
    </w:tbl>
    <w:p w:rsidR="00D07A82" w:rsidRPr="00D07A82" w:rsidRDefault="00D07A82" w:rsidP="00762A4C">
      <w:pPr>
        <w:jc w:val="both"/>
        <w:rPr>
          <w:rFonts w:eastAsiaTheme="minorHAnsi"/>
          <w:sz w:val="20"/>
          <w:lang w:val="fr-CA"/>
        </w:rPr>
      </w:pPr>
    </w:p>
    <w:p w:rsidR="009550BB" w:rsidRPr="00762A4C" w:rsidRDefault="009550BB" w:rsidP="00762A4C">
      <w:pPr>
        <w:ind w:left="360" w:hanging="360"/>
        <w:jc w:val="both"/>
        <w:rPr>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D07A82" w:rsidTr="00D07A82">
        <w:tc>
          <w:tcPr>
            <w:tcW w:w="543" w:type="pct"/>
            <w:hideMark/>
          </w:tcPr>
          <w:p w:rsidR="00D07A82" w:rsidRPr="00D07A82" w:rsidRDefault="00D07A82" w:rsidP="00762A4C">
            <w:pPr>
              <w:jc w:val="both"/>
              <w:rPr>
                <w:rFonts w:eastAsia="Calibri"/>
                <w:sz w:val="20"/>
                <w:lang w:val="en-CA"/>
              </w:rPr>
            </w:pPr>
            <w:r w:rsidRPr="00762A4C">
              <w:rPr>
                <w:rFonts w:eastAsia="Calibri"/>
                <w:b/>
                <w:sz w:val="20"/>
                <w:lang w:val="en-CA"/>
              </w:rPr>
              <w:t>36444</w:t>
            </w:r>
          </w:p>
        </w:tc>
        <w:tc>
          <w:tcPr>
            <w:tcW w:w="4457" w:type="pct"/>
            <w:gridSpan w:val="3"/>
            <w:hideMark/>
          </w:tcPr>
          <w:p w:rsidR="00D07A82" w:rsidRPr="00D07A82" w:rsidRDefault="00D07A82" w:rsidP="00762A4C">
            <w:pPr>
              <w:jc w:val="both"/>
              <w:rPr>
                <w:rFonts w:eastAsia="Calibri"/>
                <w:b/>
                <w:sz w:val="20"/>
                <w:lang w:val="en-CA"/>
              </w:rPr>
            </w:pPr>
            <w:r w:rsidRPr="00D07A82">
              <w:rPr>
                <w:rFonts w:eastAsia="Calibri"/>
                <w:b/>
                <w:sz w:val="20"/>
                <w:lang w:val="en-CA"/>
              </w:rPr>
              <w:t>D.J.S. v. Her Majesty the Queen</w:t>
            </w:r>
          </w:p>
          <w:p w:rsidR="00D07A82" w:rsidRPr="00D07A82" w:rsidRDefault="00D07A82" w:rsidP="00762A4C">
            <w:pPr>
              <w:jc w:val="both"/>
              <w:rPr>
                <w:rFonts w:eastAsia="Calibri"/>
                <w:sz w:val="20"/>
                <w:lang w:val="en-CA"/>
              </w:rPr>
            </w:pPr>
            <w:r w:rsidRPr="00D07A82">
              <w:rPr>
                <w:rFonts w:eastAsia="Calibri"/>
                <w:sz w:val="20"/>
                <w:lang w:val="en-CA"/>
              </w:rPr>
              <w:t>(B.C.) (Criminal) (By Leave)</w:t>
            </w:r>
          </w:p>
        </w:tc>
      </w:tr>
      <w:tr w:rsidR="00D07A82" w:rsidRPr="00D07A82" w:rsidTr="00D07A82">
        <w:tc>
          <w:tcPr>
            <w:tcW w:w="5000" w:type="pct"/>
            <w:gridSpan w:val="4"/>
          </w:tcPr>
          <w:p w:rsidR="00D07A82" w:rsidRPr="00D07A82" w:rsidRDefault="00D07A82" w:rsidP="00762A4C">
            <w:pPr>
              <w:jc w:val="both"/>
              <w:rPr>
                <w:rFonts w:eastAsia="Calibri"/>
                <w:smallCaps/>
                <w:sz w:val="20"/>
                <w:lang w:val="en-CA"/>
              </w:rPr>
            </w:pPr>
            <w:r w:rsidRPr="00D07A82">
              <w:rPr>
                <w:rFonts w:eastAsia="Calibri"/>
                <w:smallCaps/>
                <w:sz w:val="20"/>
                <w:lang w:val="en-CA"/>
              </w:rPr>
              <w:t>(Publication ban in case)</w:t>
            </w:r>
          </w:p>
          <w:p w:rsidR="00D07A82" w:rsidRPr="00D07A82" w:rsidRDefault="00D07A82" w:rsidP="00762A4C">
            <w:pPr>
              <w:jc w:val="both"/>
              <w:rPr>
                <w:rFonts w:eastAsia="Calibri"/>
                <w:sz w:val="20"/>
                <w:lang w:val="en-CA"/>
              </w:rPr>
            </w:pPr>
          </w:p>
        </w:tc>
      </w:tr>
      <w:tr w:rsidR="00D07A82" w:rsidRPr="00D07A82" w:rsidTr="00D07A82">
        <w:tc>
          <w:tcPr>
            <w:tcW w:w="5000" w:type="pct"/>
            <w:gridSpan w:val="4"/>
            <w:hideMark/>
          </w:tcPr>
          <w:p w:rsidR="00D07A82" w:rsidRPr="00D07A82" w:rsidRDefault="00D07A82" w:rsidP="00762A4C">
            <w:pPr>
              <w:jc w:val="both"/>
              <w:rPr>
                <w:rFonts w:eastAsia="Calibri"/>
                <w:sz w:val="20"/>
                <w:lang w:val="en-CA"/>
              </w:rPr>
            </w:pPr>
            <w:r w:rsidRPr="00D07A82">
              <w:rPr>
                <w:rFonts w:eastAsia="Calibri"/>
                <w:sz w:val="20"/>
                <w:lang w:val="en-CA"/>
              </w:rPr>
              <w:t>Criminal law – Sentencing – Dangerous offender designation – What is the correct legal standard to be applied in a Crown appeal of a determinate sentence – Whether courts of appeal across Canada have failed to consistently apply one legal standard to the interpretation of what a question of law is.</w:t>
            </w:r>
          </w:p>
        </w:tc>
      </w:tr>
      <w:tr w:rsidR="00D07A82" w:rsidRPr="00D07A82" w:rsidTr="00D07A82">
        <w:tc>
          <w:tcPr>
            <w:tcW w:w="5000" w:type="pct"/>
            <w:gridSpan w:val="4"/>
          </w:tcPr>
          <w:p w:rsidR="00D07A82" w:rsidRPr="00D07A82" w:rsidRDefault="00D07A82" w:rsidP="00762A4C">
            <w:pPr>
              <w:jc w:val="both"/>
              <w:rPr>
                <w:rFonts w:eastAsia="Calibri"/>
                <w:sz w:val="20"/>
                <w:lang w:val="en-CA"/>
              </w:rPr>
            </w:pPr>
          </w:p>
          <w:p w:rsidR="00D07A82" w:rsidRPr="00D07A82" w:rsidRDefault="00D07A82" w:rsidP="00762A4C">
            <w:pPr>
              <w:jc w:val="both"/>
              <w:rPr>
                <w:rFonts w:eastAsia="Calibri"/>
                <w:sz w:val="20"/>
                <w:lang w:val="en-CA"/>
              </w:rPr>
            </w:pPr>
            <w:r w:rsidRPr="00D07A82">
              <w:rPr>
                <w:rFonts w:eastAsia="Calibri"/>
                <w:sz w:val="20"/>
                <w:lang w:val="en-CA"/>
              </w:rPr>
              <w:t>The applicant, age 69, was convicted on two charges of sexual assault. He has a lengthy criminal record, which includes many sexual assaults. He was diagnosed with a pedophilic disorder, alcohol use disorder and antisocial and narcissistic traits. The applicant was declared a dangerous offender. After allowing appropriate credits for time spent in pre-hearing custody, he received a net global sentence of 19.5 months in custody and a ten-year long-term supervision order. The Court of Appeal allowed the sentencing appeal and imposed an indeterminate sentence.</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December 14, 2010</w:t>
            </w:r>
          </w:p>
          <w:p w:rsidR="00D07A82" w:rsidRPr="00D07A82" w:rsidRDefault="00D07A82" w:rsidP="00762A4C">
            <w:pPr>
              <w:jc w:val="both"/>
              <w:rPr>
                <w:rFonts w:eastAsia="Calibri"/>
                <w:sz w:val="20"/>
                <w:lang w:val="en-CA"/>
              </w:rPr>
            </w:pPr>
            <w:r w:rsidRPr="00D07A82">
              <w:rPr>
                <w:rFonts w:eastAsia="Calibri"/>
                <w:sz w:val="20"/>
                <w:lang w:val="en-CA"/>
              </w:rPr>
              <w:t>Supreme Court of British Columbia</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Koenigsberg</w:t>
            </w:r>
            <w:proofErr w:type="spellEnd"/>
            <w:r w:rsidRPr="00D07A82">
              <w:rPr>
                <w:rFonts w:eastAsia="Calibri"/>
                <w:sz w:val="20"/>
                <w:lang w:val="en-CA"/>
              </w:rPr>
              <w:t xml:space="preserve"> J.)</w:t>
            </w:r>
          </w:p>
          <w:p w:rsidR="00D07A82" w:rsidRPr="00D07A82" w:rsidRDefault="00D07A82" w:rsidP="00762A4C">
            <w:pPr>
              <w:jc w:val="both"/>
              <w:rPr>
                <w:rFonts w:eastAsia="Calibri"/>
                <w:sz w:val="20"/>
                <w:lang w:val="en-CA"/>
              </w:rPr>
            </w:pPr>
            <w:r w:rsidRPr="00D07A82">
              <w:rPr>
                <w:rFonts w:eastAsia="Calibri"/>
                <w:sz w:val="20"/>
                <w:lang w:val="en-CA"/>
              </w:rPr>
              <w:t>2010 BCSC 1963</w:t>
            </w:r>
          </w:p>
          <w:p w:rsidR="00D07A82" w:rsidRPr="00762A4C" w:rsidRDefault="0053798C" w:rsidP="00762A4C">
            <w:pPr>
              <w:jc w:val="both"/>
              <w:rPr>
                <w:rFonts w:eastAsia="Calibri"/>
                <w:sz w:val="20"/>
                <w:lang w:val="en-CA"/>
              </w:rPr>
            </w:pPr>
            <w:hyperlink r:id="rId27" w:history="1">
              <w:r w:rsidR="00D07A82" w:rsidRPr="00762A4C">
                <w:rPr>
                  <w:rFonts w:eastAsia="Calibri"/>
                  <w:color w:val="0000FF" w:themeColor="hyperlink"/>
                  <w:sz w:val="20"/>
                  <w:u w:val="single"/>
                  <w:lang w:val="en-CA"/>
                </w:rPr>
                <w:t>http://canlii.ca/t/fl7d8</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Conviction: sexual assault</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April 16, 2014</w:t>
            </w:r>
          </w:p>
          <w:p w:rsidR="00D07A82" w:rsidRPr="00D07A82" w:rsidRDefault="00D07A82" w:rsidP="00762A4C">
            <w:pPr>
              <w:jc w:val="both"/>
              <w:rPr>
                <w:rFonts w:eastAsia="Calibri"/>
                <w:sz w:val="20"/>
                <w:lang w:val="en-CA"/>
              </w:rPr>
            </w:pPr>
            <w:r w:rsidRPr="00D07A82">
              <w:rPr>
                <w:rFonts w:eastAsia="Calibri"/>
                <w:sz w:val="20"/>
                <w:lang w:val="en-CA"/>
              </w:rPr>
              <w:t>Supreme Court of British Columbia</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Koenigsberg</w:t>
            </w:r>
            <w:proofErr w:type="spellEnd"/>
            <w:r w:rsidRPr="00D07A82">
              <w:rPr>
                <w:rFonts w:eastAsia="Calibri"/>
                <w:sz w:val="20"/>
                <w:lang w:val="en-CA"/>
              </w:rPr>
              <w:t xml:space="preserve"> J.)</w:t>
            </w:r>
          </w:p>
          <w:p w:rsidR="00D07A82" w:rsidRPr="00D07A82" w:rsidRDefault="00D07A82" w:rsidP="00762A4C">
            <w:pPr>
              <w:jc w:val="both"/>
              <w:rPr>
                <w:rFonts w:eastAsia="Calibri"/>
                <w:sz w:val="20"/>
                <w:lang w:val="en-CA"/>
              </w:rPr>
            </w:pPr>
            <w:r w:rsidRPr="00D07A82">
              <w:rPr>
                <w:rFonts w:eastAsia="Calibri"/>
                <w:sz w:val="20"/>
                <w:lang w:val="en-CA"/>
              </w:rPr>
              <w:t>2014 BCSC 819</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Dangerous offender application allowed; sentenced to time served plus a long-term supervision order of ten years on the predicate offence; on the second offence. after 1:1 credit, a sentence of 19.5 months in custody was imposed</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March 17, 2015</w:t>
            </w:r>
          </w:p>
          <w:p w:rsidR="00D07A82" w:rsidRPr="00D07A82" w:rsidRDefault="00D07A82" w:rsidP="00762A4C">
            <w:pPr>
              <w:jc w:val="both"/>
              <w:rPr>
                <w:rFonts w:eastAsia="Calibri"/>
                <w:sz w:val="20"/>
                <w:lang w:val="en-CA"/>
              </w:rPr>
            </w:pPr>
            <w:r w:rsidRPr="00D07A82">
              <w:rPr>
                <w:rFonts w:eastAsia="Calibri"/>
                <w:sz w:val="20"/>
                <w:lang w:val="en-CA"/>
              </w:rPr>
              <w:t xml:space="preserve">Court of Appeal for British Columbia </w:t>
            </w:r>
          </w:p>
          <w:p w:rsidR="00D07A82" w:rsidRPr="00D07A82" w:rsidRDefault="00D07A82" w:rsidP="00762A4C">
            <w:pPr>
              <w:jc w:val="both"/>
              <w:rPr>
                <w:rFonts w:eastAsia="Calibri"/>
                <w:sz w:val="20"/>
                <w:lang w:val="en-CA"/>
              </w:rPr>
            </w:pPr>
            <w:r w:rsidRPr="00D07A82">
              <w:rPr>
                <w:rFonts w:eastAsia="Calibri"/>
                <w:sz w:val="20"/>
                <w:lang w:val="en-CA"/>
              </w:rPr>
              <w:t>(Vancouver)</w:t>
            </w:r>
          </w:p>
          <w:p w:rsidR="00D07A82" w:rsidRPr="00D07A82" w:rsidRDefault="00D07A82" w:rsidP="00762A4C">
            <w:pPr>
              <w:jc w:val="both"/>
              <w:rPr>
                <w:rFonts w:eastAsia="Calibri"/>
                <w:sz w:val="20"/>
                <w:lang w:val="en-CA"/>
              </w:rPr>
            </w:pPr>
            <w:r w:rsidRPr="00D07A82">
              <w:rPr>
                <w:rFonts w:eastAsia="Calibri"/>
                <w:sz w:val="20"/>
                <w:lang w:val="en-CA"/>
              </w:rPr>
              <w:t xml:space="preserve">(Newbury, Saunders, </w:t>
            </w:r>
            <w:proofErr w:type="spellStart"/>
            <w:r w:rsidRPr="00D07A82">
              <w:rPr>
                <w:rFonts w:eastAsia="Calibri"/>
                <w:sz w:val="20"/>
                <w:lang w:val="en-CA"/>
              </w:rPr>
              <w:t>Willcock</w:t>
            </w:r>
            <w:proofErr w:type="spellEnd"/>
            <w:r w:rsidRPr="00D07A82">
              <w:rPr>
                <w:rFonts w:eastAsia="Calibri"/>
                <w:sz w:val="20"/>
                <w:lang w:val="en-CA"/>
              </w:rPr>
              <w:t xml:space="preserve"> JJ.A.)</w:t>
            </w:r>
          </w:p>
          <w:p w:rsidR="00D07A82" w:rsidRPr="00D07A82" w:rsidRDefault="00D07A82" w:rsidP="00762A4C">
            <w:pPr>
              <w:jc w:val="both"/>
              <w:rPr>
                <w:rFonts w:eastAsia="Calibri"/>
                <w:sz w:val="20"/>
                <w:lang w:val="en-CA"/>
              </w:rPr>
            </w:pPr>
            <w:r w:rsidRPr="00D07A82">
              <w:rPr>
                <w:rFonts w:eastAsia="Calibri"/>
                <w:sz w:val="20"/>
                <w:lang w:val="en-CA"/>
              </w:rPr>
              <w:t>2015 BCCA 111, CA041809</w:t>
            </w:r>
          </w:p>
          <w:p w:rsidR="00D07A82" w:rsidRPr="00762A4C" w:rsidRDefault="0053798C" w:rsidP="00762A4C">
            <w:pPr>
              <w:jc w:val="both"/>
              <w:rPr>
                <w:rFonts w:eastAsia="Calibri"/>
                <w:sz w:val="20"/>
                <w:lang w:val="en-CA"/>
              </w:rPr>
            </w:pPr>
            <w:hyperlink r:id="rId28" w:history="1">
              <w:r w:rsidR="00D07A82" w:rsidRPr="00762A4C">
                <w:rPr>
                  <w:rFonts w:eastAsia="Calibri"/>
                  <w:color w:val="0000FF" w:themeColor="hyperlink"/>
                  <w:sz w:val="20"/>
                  <w:u w:val="single"/>
                  <w:lang w:val="en-CA"/>
                </w:rPr>
                <w:t>http://canlii.ca/t/ggqbx</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Sentence appeal allowed: determinate sentence was aside, sentence for an indeterminate period imposed</w:t>
            </w:r>
          </w:p>
          <w:p w:rsidR="00D07A82" w:rsidRPr="00D07A82" w:rsidRDefault="00D07A82" w:rsidP="00762A4C">
            <w:pPr>
              <w:jc w:val="both"/>
              <w:rPr>
                <w:rFonts w:eastAsia="Calibri"/>
                <w:sz w:val="20"/>
                <w:lang w:val="en-CA"/>
              </w:rPr>
            </w:pPr>
          </w:p>
        </w:tc>
      </w:tr>
      <w:tr w:rsidR="00D07A82" w:rsidRPr="00D07A82" w:rsidTr="00D07A82">
        <w:tc>
          <w:tcPr>
            <w:tcW w:w="2427" w:type="pct"/>
            <w:gridSpan w:val="2"/>
            <w:hideMark/>
          </w:tcPr>
          <w:p w:rsidR="00D07A82" w:rsidRPr="00D07A82" w:rsidRDefault="00D07A82" w:rsidP="00762A4C">
            <w:pPr>
              <w:jc w:val="both"/>
              <w:rPr>
                <w:rFonts w:eastAsia="Calibri"/>
                <w:sz w:val="20"/>
                <w:lang w:val="en-CA"/>
              </w:rPr>
            </w:pPr>
            <w:r w:rsidRPr="00D07A82">
              <w:rPr>
                <w:rFonts w:eastAsia="Calibri"/>
                <w:sz w:val="20"/>
                <w:lang w:val="en-CA"/>
              </w:rPr>
              <w:t>May 19, 2015</w:t>
            </w:r>
          </w:p>
          <w:p w:rsidR="00D07A82" w:rsidRPr="00D07A82" w:rsidRDefault="00D07A82" w:rsidP="00762A4C">
            <w:pPr>
              <w:jc w:val="both"/>
              <w:rPr>
                <w:rFonts w:eastAsia="Calibri"/>
                <w:sz w:val="20"/>
                <w:lang w:val="en-CA"/>
              </w:rPr>
            </w:pPr>
            <w:r w:rsidRPr="00D07A82">
              <w:rPr>
                <w:rFonts w:eastAsia="Calibri"/>
                <w:sz w:val="20"/>
                <w:lang w:val="en-CA"/>
              </w:rPr>
              <w:t>Supreme Court of Canada</w:t>
            </w: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Application for leave to appeal filed</w:t>
            </w:r>
          </w:p>
          <w:p w:rsidR="00D07A82" w:rsidRPr="00D07A82" w:rsidRDefault="00D07A82" w:rsidP="00762A4C">
            <w:pPr>
              <w:jc w:val="both"/>
              <w:rPr>
                <w:rFonts w:eastAsia="Calibri"/>
                <w:sz w:val="20"/>
                <w:lang w:val="en-CA"/>
              </w:rPr>
            </w:pPr>
          </w:p>
        </w:tc>
      </w:tr>
    </w:tbl>
    <w:p w:rsidR="00D07A82" w:rsidRPr="00D07A82" w:rsidRDefault="00D07A82" w:rsidP="00762A4C">
      <w:pPr>
        <w:jc w:val="both"/>
        <w:rPr>
          <w:rFonts w:eastAsia="Calibri"/>
          <w:sz w:val="20"/>
          <w:lang w:val="en-CA"/>
        </w:rPr>
      </w:pPr>
    </w:p>
    <w:p w:rsidR="00D07A82" w:rsidRPr="00762A4C" w:rsidRDefault="00D07A82" w:rsidP="00762A4C">
      <w:pPr>
        <w:ind w:left="360" w:hanging="360"/>
        <w:jc w:val="both"/>
        <w:rPr>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D07A82" w:rsidTr="00D07A82">
        <w:tc>
          <w:tcPr>
            <w:tcW w:w="543" w:type="pct"/>
            <w:hideMark/>
          </w:tcPr>
          <w:p w:rsidR="00D07A82" w:rsidRPr="00D07A82" w:rsidRDefault="00D07A82" w:rsidP="00762A4C">
            <w:pPr>
              <w:jc w:val="both"/>
              <w:rPr>
                <w:rFonts w:eastAsia="Calibri"/>
                <w:sz w:val="20"/>
                <w:lang w:val="en-CA"/>
              </w:rPr>
            </w:pPr>
            <w:r w:rsidRPr="00762A4C">
              <w:rPr>
                <w:rFonts w:eastAsia="Calibri"/>
                <w:b/>
                <w:sz w:val="20"/>
                <w:lang w:val="en-CA"/>
              </w:rPr>
              <w:t>36444</w:t>
            </w:r>
          </w:p>
        </w:tc>
        <w:tc>
          <w:tcPr>
            <w:tcW w:w="4457" w:type="pct"/>
            <w:gridSpan w:val="3"/>
            <w:hideMark/>
          </w:tcPr>
          <w:p w:rsidR="00D07A82" w:rsidRPr="00D07A82" w:rsidRDefault="00D07A82" w:rsidP="00762A4C">
            <w:pPr>
              <w:jc w:val="both"/>
              <w:rPr>
                <w:rFonts w:eastAsia="Calibri"/>
                <w:b/>
                <w:sz w:val="20"/>
                <w:lang w:val="fr-CA"/>
              </w:rPr>
            </w:pPr>
            <w:r w:rsidRPr="00D07A82">
              <w:rPr>
                <w:rFonts w:eastAsia="Calibri"/>
                <w:b/>
                <w:sz w:val="20"/>
                <w:lang w:val="fr-CA"/>
              </w:rPr>
              <w:t>D.J.S. c. Sa Majesté la Reine</w:t>
            </w:r>
          </w:p>
          <w:p w:rsidR="00D07A82" w:rsidRPr="00D07A82" w:rsidRDefault="00D07A82" w:rsidP="00762A4C">
            <w:pPr>
              <w:jc w:val="both"/>
              <w:rPr>
                <w:rFonts w:eastAsia="Calibri"/>
                <w:sz w:val="20"/>
                <w:lang w:val="fr-CA"/>
              </w:rPr>
            </w:pPr>
            <w:r w:rsidRPr="00D07A82">
              <w:rPr>
                <w:rFonts w:eastAsia="Calibri"/>
                <w:sz w:val="20"/>
                <w:lang w:val="fr-CA"/>
              </w:rPr>
              <w:t>(C.-B.) (Criminelle) (Sur autorisation)</w:t>
            </w:r>
          </w:p>
        </w:tc>
      </w:tr>
      <w:tr w:rsidR="00D07A82" w:rsidRPr="00D07A82" w:rsidTr="00D07A82">
        <w:tc>
          <w:tcPr>
            <w:tcW w:w="5000" w:type="pct"/>
            <w:gridSpan w:val="4"/>
          </w:tcPr>
          <w:p w:rsidR="00D07A82" w:rsidRPr="00D07A82" w:rsidRDefault="00D07A82" w:rsidP="00762A4C">
            <w:pPr>
              <w:jc w:val="both"/>
              <w:rPr>
                <w:rFonts w:eastAsia="Calibri"/>
                <w:smallCaps/>
                <w:sz w:val="20"/>
                <w:lang w:val="fr-CA"/>
              </w:rPr>
            </w:pPr>
            <w:r w:rsidRPr="00D07A82">
              <w:rPr>
                <w:rFonts w:eastAsia="Calibri"/>
                <w:smallCaps/>
                <w:sz w:val="20"/>
                <w:lang w:val="fr-CA"/>
              </w:rPr>
              <w:t>(Ordonnance de non-publication dans le dossier)</w:t>
            </w:r>
          </w:p>
          <w:p w:rsidR="00D07A82" w:rsidRPr="00D07A82" w:rsidRDefault="00D07A82" w:rsidP="00762A4C">
            <w:pPr>
              <w:jc w:val="both"/>
              <w:rPr>
                <w:rFonts w:eastAsia="Calibri"/>
                <w:sz w:val="20"/>
                <w:lang w:val="fr-CA"/>
              </w:rPr>
            </w:pPr>
          </w:p>
        </w:tc>
      </w:tr>
      <w:tr w:rsidR="00D07A82" w:rsidRPr="00D07A82" w:rsidTr="00D07A82">
        <w:tc>
          <w:tcPr>
            <w:tcW w:w="5000" w:type="pct"/>
            <w:gridSpan w:val="4"/>
            <w:hideMark/>
          </w:tcPr>
          <w:p w:rsidR="00D07A82" w:rsidRPr="00D07A82" w:rsidRDefault="00D07A82" w:rsidP="00762A4C">
            <w:pPr>
              <w:jc w:val="both"/>
              <w:rPr>
                <w:rFonts w:eastAsia="Calibri"/>
                <w:sz w:val="20"/>
                <w:lang w:val="fr-CA"/>
              </w:rPr>
            </w:pPr>
            <w:r w:rsidRPr="00D07A82">
              <w:rPr>
                <w:rFonts w:eastAsia="Calibri"/>
                <w:sz w:val="20"/>
                <w:lang w:val="fr-CA"/>
              </w:rPr>
              <w:t xml:space="preserve">Droit criminel – Détermination de la peine – Délinquant déclaré dangereux – Quelle est la norme juridique à appliquer à l’appel par le poursuivant d’une peine d’une durée déterminée? – Les cours d’appel du pays </w:t>
            </w:r>
            <w:proofErr w:type="spellStart"/>
            <w:r w:rsidRPr="00D07A82">
              <w:rPr>
                <w:rFonts w:eastAsia="Calibri"/>
                <w:sz w:val="20"/>
                <w:lang w:val="fr-CA"/>
              </w:rPr>
              <w:t>ont-elles</w:t>
            </w:r>
            <w:proofErr w:type="spellEnd"/>
            <w:r w:rsidRPr="00D07A82">
              <w:rPr>
                <w:rFonts w:eastAsia="Calibri"/>
                <w:sz w:val="20"/>
                <w:lang w:val="fr-CA"/>
              </w:rPr>
              <w:t xml:space="preserve"> manqué à l’application uniforme de la même norme juridique à l’interprétation de ce qu’est une question de droit?</w:t>
            </w:r>
          </w:p>
        </w:tc>
      </w:tr>
      <w:tr w:rsidR="00D07A82" w:rsidRPr="00D07A82" w:rsidTr="00D07A82">
        <w:tc>
          <w:tcPr>
            <w:tcW w:w="5000" w:type="pct"/>
            <w:gridSpan w:val="4"/>
          </w:tcPr>
          <w:p w:rsidR="00D07A82" w:rsidRPr="00D07A82" w:rsidRDefault="00D07A82" w:rsidP="00762A4C">
            <w:pPr>
              <w:jc w:val="both"/>
              <w:rPr>
                <w:rFonts w:eastAsia="Calibri"/>
                <w:sz w:val="20"/>
                <w:lang w:val="fr-CA"/>
              </w:rPr>
            </w:pPr>
          </w:p>
          <w:p w:rsidR="00D07A82" w:rsidRPr="00D07A82" w:rsidRDefault="00D07A82" w:rsidP="00762A4C">
            <w:pPr>
              <w:jc w:val="both"/>
              <w:rPr>
                <w:rFonts w:eastAsia="Calibri"/>
                <w:sz w:val="20"/>
                <w:lang w:val="fr-CA"/>
              </w:rPr>
            </w:pPr>
            <w:r w:rsidRPr="00D07A82">
              <w:rPr>
                <w:rFonts w:eastAsia="Calibri"/>
                <w:sz w:val="20"/>
                <w:lang w:val="fr-CA"/>
              </w:rPr>
              <w:t>Âgé de 69 ans, le demandeur a été déclaré coupable de deux chefs d’agression sexuelle. Il possède un lourd casier judiciaire, dont de nombreuses déclarations de culpabilité pour agression sexuelle. Il a reçu un diagnostic de troubles liés à la pédophilie et d’alcoolisme et exhibe des traits de personnalité antisociale et narcissique. Il a été déclaré délinquant dangereux. Après le calcul du crédit pour détention provisoire, il a été condamné à une peine globale nette de 19 mois et demi d’emprisonnement, et une ordonnance de surveillance de longue durée de dix ans a été rendue à son égard. La Cour d’appel a accueilli l’appel interjeté de la peine et y a substitué une peine d’une durée indéterminée.</w:t>
            </w:r>
          </w:p>
          <w:p w:rsidR="00D07A82" w:rsidRPr="00D07A82" w:rsidRDefault="00D07A82" w:rsidP="00762A4C">
            <w:pPr>
              <w:jc w:val="both"/>
              <w:rPr>
                <w:rFonts w:eastAsia="Calibri"/>
                <w:sz w:val="20"/>
                <w:lang w:val="fr-CA"/>
              </w:rPr>
            </w:pPr>
          </w:p>
        </w:tc>
      </w:tr>
      <w:tr w:rsidR="00D07A82" w:rsidRPr="00D07A82"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14 décembre 2010</w:t>
            </w:r>
          </w:p>
          <w:p w:rsidR="00D07A82" w:rsidRPr="00D07A82" w:rsidRDefault="00D07A82" w:rsidP="00762A4C">
            <w:pPr>
              <w:jc w:val="both"/>
              <w:rPr>
                <w:rFonts w:eastAsia="Calibri"/>
                <w:sz w:val="20"/>
                <w:lang w:val="fr-CA"/>
              </w:rPr>
            </w:pPr>
            <w:r w:rsidRPr="00D07A82">
              <w:rPr>
                <w:rFonts w:eastAsia="Calibri"/>
                <w:sz w:val="20"/>
                <w:lang w:val="fr-CA"/>
              </w:rPr>
              <w:t>Cour suprême de la Colombie-Britannique</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Juge</w:t>
            </w:r>
            <w:proofErr w:type="spellEnd"/>
            <w:r w:rsidRPr="00D07A82">
              <w:rPr>
                <w:rFonts w:eastAsia="Calibri"/>
                <w:sz w:val="20"/>
                <w:lang w:val="en-CA"/>
              </w:rPr>
              <w:t xml:space="preserve"> </w:t>
            </w:r>
            <w:proofErr w:type="spellStart"/>
            <w:r w:rsidRPr="00D07A82">
              <w:rPr>
                <w:rFonts w:eastAsia="Calibri"/>
                <w:sz w:val="20"/>
                <w:lang w:val="en-CA"/>
              </w:rPr>
              <w:t>Koenigsberg</w:t>
            </w:r>
            <w:proofErr w:type="spellEnd"/>
            <w:r w:rsidRPr="00D07A82">
              <w:rPr>
                <w:rFonts w:eastAsia="Calibri"/>
                <w:sz w:val="20"/>
                <w:lang w:val="en-CA"/>
              </w:rPr>
              <w:t>)</w:t>
            </w:r>
          </w:p>
          <w:p w:rsidR="00D07A82" w:rsidRPr="00D07A82" w:rsidRDefault="00D07A82" w:rsidP="00762A4C">
            <w:pPr>
              <w:jc w:val="both"/>
              <w:rPr>
                <w:rFonts w:eastAsia="Calibri"/>
                <w:sz w:val="20"/>
                <w:lang w:val="en-CA"/>
              </w:rPr>
            </w:pPr>
            <w:r w:rsidRPr="00D07A82">
              <w:rPr>
                <w:rFonts w:eastAsia="Calibri"/>
                <w:sz w:val="20"/>
                <w:lang w:val="en-CA"/>
              </w:rPr>
              <w:t>2010 BCSC 1963</w:t>
            </w:r>
          </w:p>
          <w:p w:rsidR="00D07A82" w:rsidRPr="00762A4C" w:rsidRDefault="0053798C" w:rsidP="00762A4C">
            <w:pPr>
              <w:jc w:val="both"/>
              <w:rPr>
                <w:rFonts w:eastAsia="Calibri"/>
                <w:sz w:val="20"/>
                <w:lang w:val="en-CA"/>
              </w:rPr>
            </w:pPr>
            <w:hyperlink r:id="rId29" w:history="1">
              <w:r w:rsidR="00D07A82" w:rsidRPr="00762A4C">
                <w:rPr>
                  <w:rFonts w:eastAsia="Calibri"/>
                  <w:color w:val="0000FF" w:themeColor="hyperlink"/>
                  <w:sz w:val="20"/>
                  <w:u w:val="single"/>
                  <w:lang w:val="en-CA"/>
                </w:rPr>
                <w:t>http://canlii.ca/t/fl7d8</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Déclaration de culpabilité pour agression sexuelle</w:t>
            </w:r>
          </w:p>
          <w:p w:rsidR="00D07A82" w:rsidRPr="00D07A82" w:rsidRDefault="00D07A82" w:rsidP="00762A4C">
            <w:pPr>
              <w:jc w:val="both"/>
              <w:rPr>
                <w:rFonts w:eastAsia="Calibri"/>
                <w:sz w:val="20"/>
                <w:lang w:val="fr-CA"/>
              </w:rPr>
            </w:pPr>
          </w:p>
        </w:tc>
      </w:tr>
      <w:tr w:rsidR="00D07A82" w:rsidRPr="00D07A82"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16 avril 2014</w:t>
            </w:r>
          </w:p>
          <w:p w:rsidR="00D07A82" w:rsidRPr="00D07A82" w:rsidRDefault="00D07A82" w:rsidP="00762A4C">
            <w:pPr>
              <w:jc w:val="both"/>
              <w:rPr>
                <w:rFonts w:eastAsia="Calibri"/>
                <w:sz w:val="20"/>
                <w:lang w:val="fr-CA"/>
              </w:rPr>
            </w:pPr>
            <w:r w:rsidRPr="00D07A82">
              <w:rPr>
                <w:rFonts w:eastAsia="Calibri"/>
                <w:sz w:val="20"/>
                <w:lang w:val="fr-CA"/>
              </w:rPr>
              <w:t>Cour suprême de la Colombie-Britannique</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Juge</w:t>
            </w:r>
            <w:proofErr w:type="spellEnd"/>
            <w:r w:rsidRPr="00D07A82">
              <w:rPr>
                <w:rFonts w:eastAsia="Calibri"/>
                <w:sz w:val="20"/>
                <w:lang w:val="en-CA"/>
              </w:rPr>
              <w:t xml:space="preserve"> </w:t>
            </w:r>
            <w:proofErr w:type="spellStart"/>
            <w:r w:rsidRPr="00D07A82">
              <w:rPr>
                <w:rFonts w:eastAsia="Calibri"/>
                <w:sz w:val="20"/>
                <w:lang w:val="en-CA"/>
              </w:rPr>
              <w:t>Koenigsberg</w:t>
            </w:r>
            <w:proofErr w:type="spellEnd"/>
            <w:r w:rsidRPr="00D07A82">
              <w:rPr>
                <w:rFonts w:eastAsia="Calibri"/>
                <w:sz w:val="20"/>
                <w:lang w:val="en-CA"/>
              </w:rPr>
              <w:t>)</w:t>
            </w:r>
          </w:p>
          <w:p w:rsidR="00D07A82" w:rsidRPr="00D07A82" w:rsidRDefault="00D07A82" w:rsidP="00762A4C">
            <w:pPr>
              <w:jc w:val="both"/>
              <w:rPr>
                <w:rFonts w:eastAsia="Calibri"/>
                <w:sz w:val="20"/>
                <w:lang w:val="en-CA"/>
              </w:rPr>
            </w:pPr>
            <w:r w:rsidRPr="00D07A82">
              <w:rPr>
                <w:rFonts w:eastAsia="Calibri"/>
                <w:sz w:val="20"/>
                <w:lang w:val="en-CA"/>
              </w:rPr>
              <w:t>2014 BCSC 819</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Octroi de la demande de déclaration à titre de délinquant dangereux; peine correspondant à la période déjà purgée en détention provisoire et ordonnance de surveillance de longue durée pour une période de dix ans pour l’infraction sous-jacente; peine d’emprisonnement de 19 mois et demi, après l’application d’un crédit d’un rapport de 1 pour la deuxième infraction</w:t>
            </w:r>
          </w:p>
          <w:p w:rsidR="00D07A82" w:rsidRPr="00D07A82" w:rsidRDefault="00D07A82" w:rsidP="00762A4C">
            <w:pPr>
              <w:jc w:val="both"/>
              <w:rPr>
                <w:rFonts w:eastAsia="Calibri"/>
                <w:sz w:val="20"/>
                <w:lang w:val="fr-CA"/>
              </w:rPr>
            </w:pPr>
          </w:p>
        </w:tc>
      </w:tr>
      <w:tr w:rsidR="00D07A82" w:rsidRPr="00D07A82" w:rsidTr="00D07A82">
        <w:tc>
          <w:tcPr>
            <w:tcW w:w="2427" w:type="pct"/>
            <w:gridSpan w:val="2"/>
          </w:tcPr>
          <w:p w:rsidR="00D07A82" w:rsidRPr="00D07A82" w:rsidRDefault="00D07A82" w:rsidP="00762A4C">
            <w:pPr>
              <w:jc w:val="both"/>
              <w:rPr>
                <w:rFonts w:eastAsia="Calibri"/>
                <w:sz w:val="20"/>
                <w:lang w:val="fr-CA"/>
              </w:rPr>
            </w:pPr>
            <w:r w:rsidRPr="00D07A82">
              <w:rPr>
                <w:rFonts w:eastAsia="Calibri"/>
                <w:sz w:val="20"/>
                <w:lang w:val="fr-CA"/>
              </w:rPr>
              <w:t>17 mars 2015</w:t>
            </w:r>
          </w:p>
          <w:p w:rsidR="00D07A82" w:rsidRPr="00D07A82" w:rsidRDefault="00D07A82" w:rsidP="00762A4C">
            <w:pPr>
              <w:jc w:val="both"/>
              <w:rPr>
                <w:rFonts w:eastAsia="Calibri"/>
                <w:sz w:val="20"/>
                <w:lang w:val="fr-CA"/>
              </w:rPr>
            </w:pPr>
            <w:r w:rsidRPr="00D07A82">
              <w:rPr>
                <w:rFonts w:eastAsia="Calibri"/>
                <w:sz w:val="20"/>
                <w:lang w:val="fr-CA"/>
              </w:rPr>
              <w:t xml:space="preserve">Cour d’appel de la Colombie-Britannique </w:t>
            </w:r>
          </w:p>
          <w:p w:rsidR="00D07A82" w:rsidRPr="00D07A82" w:rsidRDefault="00D07A82" w:rsidP="00762A4C">
            <w:pPr>
              <w:jc w:val="both"/>
              <w:rPr>
                <w:rFonts w:eastAsia="Calibri"/>
                <w:sz w:val="20"/>
                <w:lang w:val="en-CA"/>
              </w:rPr>
            </w:pPr>
            <w:r w:rsidRPr="00D07A82">
              <w:rPr>
                <w:rFonts w:eastAsia="Calibri"/>
                <w:sz w:val="20"/>
                <w:lang w:val="en-CA"/>
              </w:rPr>
              <w:t>(Vancouver)</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Juges</w:t>
            </w:r>
            <w:proofErr w:type="spellEnd"/>
            <w:r w:rsidRPr="00D07A82">
              <w:rPr>
                <w:rFonts w:eastAsia="Calibri"/>
                <w:sz w:val="20"/>
                <w:lang w:val="en-CA"/>
              </w:rPr>
              <w:t xml:space="preserve"> Newbury, Saunders et </w:t>
            </w:r>
            <w:proofErr w:type="spellStart"/>
            <w:r w:rsidRPr="00D07A82">
              <w:rPr>
                <w:rFonts w:eastAsia="Calibri"/>
                <w:sz w:val="20"/>
                <w:lang w:val="en-CA"/>
              </w:rPr>
              <w:t>Willcock</w:t>
            </w:r>
            <w:proofErr w:type="spellEnd"/>
            <w:r w:rsidRPr="00D07A82">
              <w:rPr>
                <w:rFonts w:eastAsia="Calibri"/>
                <w:sz w:val="20"/>
                <w:lang w:val="en-CA"/>
              </w:rPr>
              <w:t>)</w:t>
            </w:r>
          </w:p>
          <w:p w:rsidR="00D07A82" w:rsidRPr="00D07A82" w:rsidRDefault="00D07A82" w:rsidP="00762A4C">
            <w:pPr>
              <w:jc w:val="both"/>
              <w:rPr>
                <w:rFonts w:eastAsia="Calibri"/>
                <w:sz w:val="20"/>
                <w:lang w:val="en-CA"/>
              </w:rPr>
            </w:pPr>
            <w:r w:rsidRPr="00D07A82">
              <w:rPr>
                <w:rFonts w:eastAsia="Calibri"/>
                <w:sz w:val="20"/>
                <w:lang w:val="en-CA"/>
              </w:rPr>
              <w:t>2015 BCCA 111, CA041809</w:t>
            </w:r>
          </w:p>
          <w:p w:rsidR="00D07A82" w:rsidRPr="00762A4C" w:rsidRDefault="0053798C" w:rsidP="00762A4C">
            <w:pPr>
              <w:jc w:val="both"/>
              <w:rPr>
                <w:rFonts w:eastAsia="Calibri"/>
                <w:sz w:val="20"/>
                <w:lang w:val="en-CA"/>
              </w:rPr>
            </w:pPr>
            <w:hyperlink r:id="rId30" w:history="1">
              <w:r w:rsidR="00D07A82" w:rsidRPr="00762A4C">
                <w:rPr>
                  <w:rFonts w:eastAsia="Calibri"/>
                  <w:color w:val="0000FF" w:themeColor="hyperlink"/>
                  <w:sz w:val="20"/>
                  <w:u w:val="single"/>
                  <w:lang w:val="en-CA"/>
                </w:rPr>
                <w:t>http://canlii.ca/t/ggqbx</w:t>
              </w:r>
            </w:hyperlink>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Appel interjeté de la peine accueilli; substitution à la peine à durée déterminée d’une peine à durée indéterminée</w:t>
            </w:r>
          </w:p>
          <w:p w:rsidR="00D07A82" w:rsidRPr="00D07A82" w:rsidRDefault="00D07A82" w:rsidP="00762A4C">
            <w:pPr>
              <w:jc w:val="both"/>
              <w:rPr>
                <w:rFonts w:eastAsia="Calibri"/>
                <w:sz w:val="20"/>
                <w:lang w:val="fr-CA"/>
              </w:rPr>
            </w:pPr>
          </w:p>
        </w:tc>
      </w:tr>
      <w:tr w:rsidR="00D07A82" w:rsidRPr="00D07A82" w:rsidTr="00D07A82">
        <w:tc>
          <w:tcPr>
            <w:tcW w:w="2427" w:type="pct"/>
            <w:gridSpan w:val="2"/>
            <w:hideMark/>
          </w:tcPr>
          <w:p w:rsidR="00D07A82" w:rsidRPr="00D07A82" w:rsidRDefault="00D07A82" w:rsidP="00762A4C">
            <w:pPr>
              <w:jc w:val="both"/>
              <w:rPr>
                <w:rFonts w:eastAsia="Calibri"/>
                <w:sz w:val="20"/>
                <w:lang w:val="fr-CA"/>
              </w:rPr>
            </w:pPr>
            <w:r w:rsidRPr="00D07A82">
              <w:rPr>
                <w:rFonts w:eastAsia="Calibri"/>
                <w:sz w:val="20"/>
                <w:lang w:val="fr-CA"/>
              </w:rPr>
              <w:t>May 19, 2015</w:t>
            </w:r>
          </w:p>
          <w:p w:rsidR="00D07A82" w:rsidRPr="00D07A82" w:rsidRDefault="00D07A82" w:rsidP="00762A4C">
            <w:pPr>
              <w:jc w:val="both"/>
              <w:rPr>
                <w:rFonts w:eastAsia="Calibri"/>
                <w:sz w:val="20"/>
                <w:lang w:val="fr-CA"/>
              </w:rPr>
            </w:pPr>
            <w:r w:rsidRPr="00D07A82">
              <w:rPr>
                <w:rFonts w:eastAsia="Calibri"/>
                <w:sz w:val="20"/>
                <w:lang w:val="fr-CA"/>
              </w:rPr>
              <w:t>Cour suprême du Canada</w:t>
            </w:r>
          </w:p>
        </w:tc>
        <w:tc>
          <w:tcPr>
            <w:tcW w:w="243" w:type="pct"/>
          </w:tcPr>
          <w:p w:rsidR="00D07A82" w:rsidRPr="00D07A82" w:rsidRDefault="00D07A82" w:rsidP="00762A4C">
            <w:pPr>
              <w:jc w:val="both"/>
              <w:rPr>
                <w:rFonts w:eastAsia="Calibri"/>
                <w:sz w:val="20"/>
                <w:lang w:val="fr-CA"/>
              </w:rPr>
            </w:pPr>
          </w:p>
        </w:tc>
        <w:tc>
          <w:tcPr>
            <w:tcW w:w="2330" w:type="pct"/>
          </w:tcPr>
          <w:p w:rsidR="00D07A82" w:rsidRPr="00D07A82" w:rsidRDefault="00D07A82" w:rsidP="00762A4C">
            <w:pPr>
              <w:jc w:val="both"/>
              <w:rPr>
                <w:rFonts w:eastAsia="Calibri"/>
                <w:sz w:val="20"/>
                <w:lang w:val="fr-CA"/>
              </w:rPr>
            </w:pPr>
            <w:r w:rsidRPr="00D07A82">
              <w:rPr>
                <w:rFonts w:eastAsia="Calibri"/>
                <w:sz w:val="20"/>
                <w:lang w:val="fr-CA"/>
              </w:rPr>
              <w:t>Dépôt de la demande d’autorisation d’appel</w:t>
            </w:r>
          </w:p>
          <w:p w:rsidR="00D07A82" w:rsidRPr="00D07A82" w:rsidRDefault="00D07A82" w:rsidP="00762A4C">
            <w:pPr>
              <w:jc w:val="both"/>
              <w:rPr>
                <w:rFonts w:eastAsia="Calibri"/>
                <w:sz w:val="20"/>
                <w:lang w:val="fr-CA"/>
              </w:rPr>
            </w:pPr>
          </w:p>
        </w:tc>
      </w:tr>
    </w:tbl>
    <w:p w:rsidR="00D07A82" w:rsidRDefault="00D07A82" w:rsidP="00762A4C">
      <w:pPr>
        <w:jc w:val="both"/>
        <w:rPr>
          <w:rFonts w:eastAsia="Calibri"/>
          <w:sz w:val="20"/>
          <w:lang w:val="fr-CA"/>
        </w:rPr>
      </w:pPr>
    </w:p>
    <w:p w:rsidR="00762A4C" w:rsidRPr="00D07A82" w:rsidRDefault="00762A4C" w:rsidP="00762A4C">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07A82" w:rsidRPr="00D07A82" w:rsidTr="00D07A82">
        <w:tc>
          <w:tcPr>
            <w:tcW w:w="543" w:type="pct"/>
            <w:hideMark/>
          </w:tcPr>
          <w:p w:rsidR="00D07A82" w:rsidRPr="00D07A82" w:rsidRDefault="00D07A82" w:rsidP="00762A4C">
            <w:pPr>
              <w:jc w:val="both"/>
              <w:rPr>
                <w:rFonts w:eastAsia="Calibri"/>
                <w:sz w:val="20"/>
                <w:lang w:val="en-CA"/>
              </w:rPr>
            </w:pPr>
            <w:r w:rsidRPr="00762A4C">
              <w:rPr>
                <w:rFonts w:eastAsia="Calibri"/>
                <w:b/>
                <w:sz w:val="20"/>
                <w:lang w:val="en-CA"/>
              </w:rPr>
              <w:t>36353</w:t>
            </w:r>
          </w:p>
        </w:tc>
        <w:tc>
          <w:tcPr>
            <w:tcW w:w="4457" w:type="pct"/>
            <w:gridSpan w:val="3"/>
            <w:hideMark/>
          </w:tcPr>
          <w:p w:rsidR="00D07A82" w:rsidRPr="00D07A82" w:rsidRDefault="00D07A82" w:rsidP="00762A4C">
            <w:pPr>
              <w:jc w:val="both"/>
              <w:rPr>
                <w:rFonts w:eastAsia="Calibri"/>
                <w:b/>
                <w:sz w:val="20"/>
                <w:lang w:val="en-CA"/>
              </w:rPr>
            </w:pPr>
            <w:r w:rsidRPr="00D07A82">
              <w:rPr>
                <w:rFonts w:eastAsia="Calibri"/>
                <w:b/>
                <w:sz w:val="20"/>
                <w:lang w:val="en-CA"/>
              </w:rPr>
              <w:t xml:space="preserve">Lynne M. </w:t>
            </w:r>
            <w:proofErr w:type="spellStart"/>
            <w:r w:rsidRPr="00D07A82">
              <w:rPr>
                <w:rFonts w:eastAsia="Calibri"/>
                <w:b/>
                <w:sz w:val="20"/>
                <w:lang w:val="en-CA"/>
              </w:rPr>
              <w:t>Quarmby</w:t>
            </w:r>
            <w:proofErr w:type="spellEnd"/>
            <w:r w:rsidRPr="00D07A82">
              <w:rPr>
                <w:rFonts w:eastAsia="Calibri"/>
                <w:b/>
                <w:sz w:val="20"/>
                <w:lang w:val="en-CA"/>
              </w:rPr>
              <w:t xml:space="preserve">, Eric Doherty, Ruth Walmsley, John </w:t>
            </w:r>
            <w:proofErr w:type="spellStart"/>
            <w:r w:rsidRPr="00D07A82">
              <w:rPr>
                <w:rFonts w:eastAsia="Calibri"/>
                <w:b/>
                <w:sz w:val="20"/>
                <w:lang w:val="en-CA"/>
              </w:rPr>
              <w:t>Vissers</w:t>
            </w:r>
            <w:proofErr w:type="spellEnd"/>
            <w:r w:rsidRPr="00D07A82">
              <w:rPr>
                <w:rFonts w:eastAsia="Calibri"/>
                <w:b/>
                <w:sz w:val="20"/>
                <w:lang w:val="en-CA"/>
              </w:rPr>
              <w:t xml:space="preserve">, Shirley Samples, ForestEthics Advocacy Association, </w:t>
            </w:r>
            <w:proofErr w:type="spellStart"/>
            <w:r w:rsidRPr="00D07A82">
              <w:rPr>
                <w:rFonts w:eastAsia="Calibri"/>
                <w:b/>
                <w:sz w:val="20"/>
                <w:lang w:val="en-CA"/>
              </w:rPr>
              <w:t>Tzeporah</w:t>
            </w:r>
            <w:proofErr w:type="spellEnd"/>
            <w:r w:rsidRPr="00D07A82">
              <w:rPr>
                <w:rFonts w:eastAsia="Calibri"/>
                <w:b/>
                <w:sz w:val="20"/>
                <w:lang w:val="en-CA"/>
              </w:rPr>
              <w:t xml:space="preserve"> Berman, John Clarke and Bradley </w:t>
            </w:r>
            <w:proofErr w:type="spellStart"/>
            <w:r w:rsidRPr="00D07A82">
              <w:rPr>
                <w:rFonts w:eastAsia="Calibri"/>
                <w:b/>
                <w:sz w:val="20"/>
                <w:lang w:val="en-CA"/>
              </w:rPr>
              <w:t>Shende</w:t>
            </w:r>
            <w:proofErr w:type="spellEnd"/>
            <w:r w:rsidRPr="00D07A82">
              <w:rPr>
                <w:rFonts w:eastAsia="Calibri"/>
                <w:b/>
                <w:sz w:val="20"/>
                <w:lang w:val="en-CA"/>
              </w:rPr>
              <w:t xml:space="preserve"> v. Attorney General of Canada, Trans Mountain Pipeline ULC, Canadian Association of </w:t>
            </w:r>
            <w:proofErr w:type="spellStart"/>
            <w:r w:rsidRPr="00D07A82">
              <w:rPr>
                <w:rFonts w:eastAsia="Calibri"/>
                <w:b/>
                <w:sz w:val="20"/>
                <w:lang w:val="en-CA"/>
              </w:rPr>
              <w:t>Peroleum</w:t>
            </w:r>
            <w:proofErr w:type="spellEnd"/>
            <w:r w:rsidRPr="00D07A82">
              <w:rPr>
                <w:rFonts w:eastAsia="Calibri"/>
                <w:b/>
                <w:sz w:val="20"/>
                <w:lang w:val="en-CA"/>
              </w:rPr>
              <w:t xml:space="preserve"> Producers, National Energy Board</w:t>
            </w:r>
          </w:p>
          <w:p w:rsidR="00D07A82" w:rsidRPr="00D07A82" w:rsidRDefault="00D07A82" w:rsidP="00762A4C">
            <w:pPr>
              <w:jc w:val="both"/>
              <w:rPr>
                <w:rFonts w:eastAsia="Calibri"/>
                <w:sz w:val="20"/>
                <w:lang w:val="en-CA"/>
              </w:rPr>
            </w:pPr>
            <w:r w:rsidRPr="00D07A82">
              <w:rPr>
                <w:rFonts w:eastAsia="Calibri"/>
                <w:sz w:val="20"/>
                <w:lang w:val="en-CA"/>
              </w:rPr>
              <w:t>(FC) (Civil) (By Leave)</w:t>
            </w:r>
          </w:p>
        </w:tc>
      </w:tr>
      <w:tr w:rsidR="00D07A82" w:rsidRPr="00D07A82" w:rsidTr="00D07A82">
        <w:tc>
          <w:tcPr>
            <w:tcW w:w="5000" w:type="pct"/>
            <w:gridSpan w:val="4"/>
          </w:tcPr>
          <w:p w:rsidR="00D07A82" w:rsidRPr="00D07A82" w:rsidRDefault="00D07A82" w:rsidP="00762A4C">
            <w:pPr>
              <w:jc w:val="both"/>
              <w:rPr>
                <w:rFonts w:eastAsia="Calibri"/>
                <w:sz w:val="20"/>
                <w:lang w:val="en-CA"/>
              </w:rPr>
            </w:pPr>
            <w:r w:rsidRPr="00D07A82">
              <w:rPr>
                <w:rFonts w:eastAsia="Calibri"/>
                <w:i/>
                <w:sz w:val="20"/>
                <w:lang w:val="en-CA"/>
              </w:rPr>
              <w:t>Charter of Rights and Freedoms</w:t>
            </w:r>
            <w:r w:rsidRPr="00D07A82">
              <w:rPr>
                <w:rFonts w:eastAsia="Calibri"/>
                <w:sz w:val="20"/>
                <w:lang w:val="en-CA"/>
              </w:rPr>
              <w:t xml:space="preserve"> – Freedom of expression – Right to life – Right to security of the person – Appeal – Whether National Energy Board erred in law and jurisdiction in finding that s. 55.2 of the </w:t>
            </w:r>
            <w:r w:rsidRPr="00D07A82">
              <w:rPr>
                <w:rFonts w:eastAsia="Calibri"/>
                <w:i/>
                <w:sz w:val="20"/>
                <w:lang w:val="en-CA"/>
              </w:rPr>
              <w:t>National Energy Board Act</w:t>
            </w:r>
            <w:r w:rsidRPr="00D07A82">
              <w:rPr>
                <w:rFonts w:eastAsia="Calibri"/>
                <w:sz w:val="20"/>
                <w:lang w:val="en-CA"/>
              </w:rPr>
              <w:t xml:space="preserve">, R.S.C. 1985, c. N-7, does not breach s. 2(b) of the </w:t>
            </w:r>
            <w:r w:rsidRPr="00D07A82">
              <w:rPr>
                <w:rFonts w:eastAsia="Calibri"/>
                <w:i/>
                <w:sz w:val="20"/>
                <w:lang w:val="en-CA"/>
              </w:rPr>
              <w:t>Canadian Charter of Rights and Freedoms</w:t>
            </w:r>
            <w:r w:rsidRPr="00D07A82">
              <w:rPr>
                <w:rFonts w:eastAsia="Calibri"/>
                <w:sz w:val="20"/>
                <w:lang w:val="en-CA"/>
              </w:rPr>
              <w:t xml:space="preserve"> – Whether National Energy Board’s </w:t>
            </w:r>
            <w:r w:rsidRPr="00D07A82">
              <w:rPr>
                <w:rFonts w:eastAsia="Calibri"/>
                <w:sz w:val="20"/>
              </w:rPr>
              <w:t xml:space="preserve">interpretation of s. 55.2 of </w:t>
            </w:r>
            <w:r w:rsidRPr="00D07A82">
              <w:rPr>
                <w:rFonts w:eastAsia="Calibri"/>
                <w:i/>
                <w:sz w:val="20"/>
                <w:lang w:val="en-CA"/>
              </w:rPr>
              <w:t>National Energy Board Act</w:t>
            </w:r>
            <w:r w:rsidRPr="00D07A82">
              <w:rPr>
                <w:rFonts w:eastAsia="Calibri"/>
                <w:sz w:val="20"/>
              </w:rPr>
              <w:t xml:space="preserve"> was reasonable and consistent with </w:t>
            </w:r>
            <w:r w:rsidRPr="00D07A82">
              <w:rPr>
                <w:rFonts w:eastAsia="Calibri"/>
                <w:i/>
                <w:sz w:val="20"/>
              </w:rPr>
              <w:t xml:space="preserve">Charter </w:t>
            </w:r>
            <w:r w:rsidRPr="00D07A82">
              <w:rPr>
                <w:rFonts w:eastAsia="Calibri"/>
                <w:sz w:val="20"/>
              </w:rPr>
              <w:t xml:space="preserve">values – Whether </w:t>
            </w:r>
            <w:r w:rsidRPr="00D07A82">
              <w:rPr>
                <w:rFonts w:eastAsia="Calibri"/>
                <w:sz w:val="20"/>
                <w:lang w:val="en-CA"/>
              </w:rPr>
              <w:t>National Energy Board erred in law and jurisdiction by</w:t>
            </w:r>
            <w:r w:rsidRPr="00D07A82">
              <w:rPr>
                <w:rFonts w:eastAsia="Calibri"/>
                <w:sz w:val="20"/>
              </w:rPr>
              <w:t xml:space="preserve"> failing to conduct a justification analysis of impugned legislation under s. 1 of the </w:t>
            </w:r>
            <w:r w:rsidRPr="00D07A82">
              <w:rPr>
                <w:rFonts w:eastAsia="Calibri"/>
                <w:i/>
                <w:sz w:val="20"/>
              </w:rPr>
              <w:t>Charter</w:t>
            </w:r>
            <w:r w:rsidRPr="00D07A82">
              <w:rPr>
                <w:rFonts w:eastAsia="Calibri"/>
                <w:sz w:val="20"/>
              </w:rPr>
              <w:t xml:space="preserve"> or under a modified test for administrative decisions – </w:t>
            </w:r>
            <w:r w:rsidRPr="00D07A82">
              <w:rPr>
                <w:rFonts w:eastAsia="Calibri"/>
                <w:sz w:val="20"/>
                <w:lang w:val="en-CA"/>
              </w:rPr>
              <w:t>Whether Federal Court of Appeal erred in law in dismissing application for leave to appeal.</w:t>
            </w:r>
          </w:p>
        </w:tc>
      </w:tr>
      <w:tr w:rsidR="00D07A82" w:rsidRPr="00D07A82" w:rsidTr="00D07A82">
        <w:tc>
          <w:tcPr>
            <w:tcW w:w="5000" w:type="pct"/>
            <w:gridSpan w:val="4"/>
          </w:tcPr>
          <w:p w:rsidR="00D07A82" w:rsidRPr="00D07A82" w:rsidRDefault="00D07A82" w:rsidP="00762A4C">
            <w:pPr>
              <w:jc w:val="both"/>
              <w:rPr>
                <w:rFonts w:eastAsia="Calibri"/>
                <w:sz w:val="20"/>
                <w:lang w:val="en-CA"/>
              </w:rPr>
            </w:pPr>
          </w:p>
        </w:tc>
      </w:tr>
      <w:tr w:rsidR="00D07A82" w:rsidRPr="00D07A82" w:rsidTr="00D07A82">
        <w:tc>
          <w:tcPr>
            <w:tcW w:w="5000" w:type="pct"/>
            <w:gridSpan w:val="4"/>
          </w:tcPr>
          <w:p w:rsidR="00D07A82" w:rsidRPr="00D07A82" w:rsidRDefault="00D07A82" w:rsidP="00762A4C">
            <w:pPr>
              <w:jc w:val="both"/>
              <w:rPr>
                <w:rFonts w:eastAsia="Calibri"/>
                <w:sz w:val="20"/>
                <w:lang w:val="en-CA"/>
              </w:rPr>
            </w:pPr>
            <w:r w:rsidRPr="00D07A82">
              <w:rPr>
                <w:rFonts w:eastAsia="Calibri"/>
                <w:sz w:val="20"/>
                <w:lang w:val="en-CA"/>
              </w:rPr>
              <w:t xml:space="preserve">Trans Mountain Pipeline ULC applied to the National Energy Board for </w:t>
            </w:r>
            <w:r w:rsidRPr="00D07A82">
              <w:rPr>
                <w:rFonts w:eastAsia="Calibri"/>
                <w:sz w:val="20"/>
              </w:rPr>
              <w:t>a Certificate of Public Convenience and Necessity</w:t>
            </w:r>
            <w:r w:rsidRPr="00D07A82">
              <w:rPr>
                <w:rFonts w:eastAsia="Calibri"/>
                <w:sz w:val="20"/>
                <w:lang w:val="en-CA"/>
              </w:rPr>
              <w:t xml:space="preserve"> to expand its oil pipeline infrastructure between Alberta and British Columbia. </w:t>
            </w:r>
            <w:r w:rsidRPr="00D07A82">
              <w:rPr>
                <w:rFonts w:eastAsia="Calibri"/>
                <w:sz w:val="20"/>
              </w:rPr>
              <w:t xml:space="preserve">As part of its review process, the Board conducted an environmental assessment and held a public hearing. 2,118 parties applied to participate in the hearing. 1198 requests to participate were granted. 452 requests for intervener status were granted commenter status. 468 applications were denied. One of the applicants was granted intervener </w:t>
            </w:r>
            <w:r w:rsidRPr="00D07A82">
              <w:rPr>
                <w:rFonts w:eastAsia="Calibri"/>
                <w:sz w:val="20"/>
                <w:lang w:val="en-CA"/>
              </w:rPr>
              <w:t xml:space="preserve">status, three were </w:t>
            </w:r>
            <w:r w:rsidRPr="00D07A82">
              <w:rPr>
                <w:rFonts w:eastAsia="Calibri"/>
                <w:sz w:val="20"/>
                <w:lang w:val="en-CA"/>
              </w:rPr>
              <w:lastRenderedPageBreak/>
              <w:t>granted commenter status, seven were denied participation, and Ms. </w:t>
            </w:r>
            <w:proofErr w:type="spellStart"/>
            <w:r w:rsidRPr="00D07A82">
              <w:rPr>
                <w:rFonts w:eastAsia="Calibri"/>
                <w:sz w:val="20"/>
                <w:lang w:val="en-CA"/>
              </w:rPr>
              <w:t>Quarmby</w:t>
            </w:r>
            <w:proofErr w:type="spellEnd"/>
            <w:r w:rsidRPr="00D07A82">
              <w:rPr>
                <w:rFonts w:eastAsia="Calibri"/>
                <w:sz w:val="20"/>
                <w:lang w:val="en-CA"/>
              </w:rPr>
              <w:t xml:space="preserve"> did not apply. </w:t>
            </w:r>
            <w:r w:rsidRPr="00D07A82">
              <w:rPr>
                <w:rFonts w:eastAsia="Calibri"/>
                <w:sz w:val="20"/>
              </w:rPr>
              <w:t xml:space="preserve">The Board dismissed a </w:t>
            </w:r>
            <w:r w:rsidRPr="00D07A82">
              <w:rPr>
                <w:rFonts w:eastAsia="Calibri"/>
                <w:sz w:val="20"/>
                <w:lang w:val="en-CA"/>
              </w:rPr>
              <w:t xml:space="preserve">motion by the applicants asserting in part that </w:t>
            </w:r>
            <w:r w:rsidRPr="00D07A82">
              <w:rPr>
                <w:rFonts w:eastAsia="Calibri"/>
                <w:sz w:val="20"/>
              </w:rPr>
              <w:t xml:space="preserve">s. 2(b) of the </w:t>
            </w:r>
            <w:r w:rsidRPr="00D07A82">
              <w:rPr>
                <w:rFonts w:eastAsia="Calibri"/>
                <w:i/>
                <w:iCs/>
                <w:sz w:val="20"/>
              </w:rPr>
              <w:t xml:space="preserve">Canadian Charter of Rights and Freedoms </w:t>
            </w:r>
            <w:r w:rsidRPr="00D07A82">
              <w:rPr>
                <w:rFonts w:eastAsia="Calibri"/>
                <w:sz w:val="20"/>
              </w:rPr>
              <w:t xml:space="preserve">was infringed by the Board’s test for standing and its decisions on participation. It dismissed a procedural motion requesting an oral hearing of the </w:t>
            </w:r>
            <w:r w:rsidRPr="00D07A82">
              <w:rPr>
                <w:rFonts w:eastAsia="Calibri"/>
                <w:i/>
                <w:sz w:val="20"/>
              </w:rPr>
              <w:t>Charter</w:t>
            </w:r>
            <w:r w:rsidRPr="00D07A82">
              <w:rPr>
                <w:rFonts w:eastAsia="Calibri"/>
                <w:sz w:val="20"/>
              </w:rPr>
              <w:t xml:space="preserve"> motion. The Board also dismissed arguments that its Application to Participate process, its Ruling on Participation, and its List of Issues for the hearing breached s. 2(b) of the </w:t>
            </w:r>
            <w:r w:rsidRPr="00D07A82">
              <w:rPr>
                <w:rFonts w:eastAsia="Calibri"/>
                <w:i/>
                <w:sz w:val="20"/>
              </w:rPr>
              <w:t>Charter</w:t>
            </w:r>
            <w:r w:rsidRPr="00D07A82">
              <w:rPr>
                <w:rFonts w:eastAsia="Calibri"/>
                <w:sz w:val="20"/>
              </w:rPr>
              <w:t>.</w:t>
            </w:r>
            <w:r w:rsidRPr="00D07A82">
              <w:rPr>
                <w:rFonts w:eastAsia="Calibri"/>
                <w:sz w:val="20"/>
                <w:lang w:val="en-CA"/>
              </w:rPr>
              <w:t xml:space="preserve"> </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lastRenderedPageBreak/>
              <w:t>October 2, 2014</w:t>
            </w:r>
          </w:p>
          <w:p w:rsidR="00D07A82" w:rsidRPr="00D07A82" w:rsidRDefault="00D07A82" w:rsidP="00762A4C">
            <w:pPr>
              <w:jc w:val="both"/>
              <w:rPr>
                <w:rFonts w:eastAsia="Calibri"/>
                <w:sz w:val="20"/>
                <w:lang w:val="en-CA"/>
              </w:rPr>
            </w:pPr>
            <w:r w:rsidRPr="00D07A82">
              <w:rPr>
                <w:rFonts w:eastAsia="Calibri"/>
                <w:sz w:val="20"/>
                <w:lang w:val="en-CA"/>
              </w:rPr>
              <w:t>National Energy Board</w:t>
            </w:r>
          </w:p>
          <w:p w:rsidR="00D07A82" w:rsidRPr="00D07A82" w:rsidRDefault="00D07A82" w:rsidP="00762A4C">
            <w:pPr>
              <w:jc w:val="both"/>
              <w:rPr>
                <w:rFonts w:eastAsia="Calibri"/>
                <w:sz w:val="20"/>
                <w:lang w:val="en-CA"/>
              </w:rPr>
            </w:pPr>
            <w:r w:rsidRPr="00D07A82">
              <w:rPr>
                <w:rFonts w:eastAsia="Calibri"/>
                <w:sz w:val="20"/>
                <w:lang w:val="en-CA"/>
              </w:rPr>
              <w:t>(Hamilton, Davies, Scott, Members)</w:t>
            </w:r>
          </w:p>
          <w:p w:rsidR="00D07A82" w:rsidRPr="00D07A82" w:rsidRDefault="00D07A82" w:rsidP="00762A4C">
            <w:pPr>
              <w:jc w:val="both"/>
              <w:rPr>
                <w:rFonts w:eastAsia="Calibri"/>
                <w:sz w:val="20"/>
                <w:lang w:val="en-CA"/>
              </w:rPr>
            </w:pPr>
            <w:r w:rsidRPr="00D07A82">
              <w:rPr>
                <w:rFonts w:eastAsia="Calibri"/>
                <w:sz w:val="20"/>
              </w:rPr>
              <w:t>OH-001-2014 – Ruling No. 34</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autoSpaceDE w:val="0"/>
              <w:autoSpaceDN w:val="0"/>
              <w:adjustRightInd w:val="0"/>
              <w:jc w:val="both"/>
              <w:rPr>
                <w:rFonts w:eastAsia="Calibri"/>
                <w:sz w:val="20"/>
                <w:lang w:val="en-CA"/>
              </w:rPr>
            </w:pPr>
            <w:r w:rsidRPr="00D07A82">
              <w:rPr>
                <w:rFonts w:eastAsia="Calibri"/>
                <w:sz w:val="20"/>
              </w:rPr>
              <w:t xml:space="preserve">Motions dismissed </w:t>
            </w: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January 23, 2015</w:t>
            </w:r>
          </w:p>
          <w:p w:rsidR="00D07A82" w:rsidRPr="00D07A82" w:rsidRDefault="00D07A82" w:rsidP="00762A4C">
            <w:pPr>
              <w:jc w:val="both"/>
              <w:rPr>
                <w:rFonts w:eastAsia="Calibri"/>
                <w:sz w:val="20"/>
                <w:lang w:val="en-CA"/>
              </w:rPr>
            </w:pPr>
            <w:r w:rsidRPr="00D07A82">
              <w:rPr>
                <w:rFonts w:eastAsia="Calibri"/>
                <w:sz w:val="20"/>
                <w:lang w:val="en-CA"/>
              </w:rPr>
              <w:t>Federal Court of Appeal</w:t>
            </w:r>
          </w:p>
          <w:p w:rsidR="00D07A82" w:rsidRPr="00D07A82" w:rsidRDefault="00D07A82" w:rsidP="00762A4C">
            <w:pPr>
              <w:jc w:val="both"/>
              <w:rPr>
                <w:rFonts w:eastAsia="Calibri"/>
                <w:sz w:val="20"/>
                <w:lang w:val="en-CA"/>
              </w:rPr>
            </w:pPr>
            <w:r w:rsidRPr="00D07A82">
              <w:rPr>
                <w:rFonts w:eastAsia="Calibri"/>
                <w:sz w:val="20"/>
                <w:lang w:val="en-CA"/>
              </w:rPr>
              <w:t>(</w:t>
            </w:r>
            <w:proofErr w:type="spellStart"/>
            <w:r w:rsidRPr="00D07A82">
              <w:rPr>
                <w:rFonts w:eastAsia="Calibri"/>
                <w:sz w:val="20"/>
                <w:lang w:val="en-CA"/>
              </w:rPr>
              <w:t>Nadon</w:t>
            </w:r>
            <w:proofErr w:type="spellEnd"/>
            <w:r w:rsidRPr="00D07A82">
              <w:rPr>
                <w:rFonts w:eastAsia="Calibri"/>
                <w:sz w:val="20"/>
                <w:lang w:val="en-CA"/>
              </w:rPr>
              <w:t xml:space="preserve">, </w:t>
            </w:r>
            <w:proofErr w:type="spellStart"/>
            <w:r w:rsidRPr="00D07A82">
              <w:rPr>
                <w:rFonts w:eastAsia="Calibri"/>
                <w:sz w:val="20"/>
                <w:lang w:val="en-CA"/>
              </w:rPr>
              <w:t>Ryer</w:t>
            </w:r>
            <w:proofErr w:type="spellEnd"/>
            <w:r w:rsidRPr="00D07A82">
              <w:rPr>
                <w:rFonts w:eastAsia="Calibri"/>
                <w:sz w:val="20"/>
                <w:lang w:val="en-CA"/>
              </w:rPr>
              <w:t xml:space="preserve">, Webb JJ.A.) </w:t>
            </w:r>
          </w:p>
          <w:p w:rsidR="00D07A82" w:rsidRPr="00D07A82" w:rsidRDefault="00D07A82" w:rsidP="00762A4C">
            <w:pPr>
              <w:jc w:val="both"/>
              <w:rPr>
                <w:rFonts w:eastAsia="Calibri"/>
                <w:sz w:val="20"/>
                <w:lang w:val="en-CA"/>
              </w:rPr>
            </w:pPr>
            <w:r w:rsidRPr="00D07A82">
              <w:rPr>
                <w:rFonts w:eastAsia="Calibri"/>
                <w:sz w:val="20"/>
                <w:lang w:val="en-CA"/>
              </w:rPr>
              <w:t>14-A-62</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Application for leave to appeal dismissed</w:t>
            </w:r>
          </w:p>
          <w:p w:rsidR="00D07A82" w:rsidRPr="00D07A82" w:rsidRDefault="00D07A82" w:rsidP="00762A4C">
            <w:pPr>
              <w:jc w:val="both"/>
              <w:rPr>
                <w:rFonts w:eastAsia="Calibri"/>
                <w:sz w:val="20"/>
                <w:lang w:val="en-CA"/>
              </w:rPr>
            </w:pPr>
          </w:p>
        </w:tc>
      </w:tr>
      <w:tr w:rsidR="00D07A82" w:rsidRPr="00D07A82" w:rsidTr="00D07A82">
        <w:tc>
          <w:tcPr>
            <w:tcW w:w="2427" w:type="pct"/>
            <w:gridSpan w:val="2"/>
          </w:tcPr>
          <w:p w:rsidR="00D07A82" w:rsidRPr="00D07A82" w:rsidRDefault="00D07A82" w:rsidP="00762A4C">
            <w:pPr>
              <w:jc w:val="both"/>
              <w:rPr>
                <w:rFonts w:eastAsia="Calibri"/>
                <w:sz w:val="20"/>
                <w:lang w:val="en-CA"/>
              </w:rPr>
            </w:pPr>
            <w:r w:rsidRPr="00D07A82">
              <w:rPr>
                <w:rFonts w:eastAsia="Calibri"/>
                <w:sz w:val="20"/>
                <w:lang w:val="en-CA"/>
              </w:rPr>
              <w:t>March 23, 2015</w:t>
            </w:r>
          </w:p>
          <w:p w:rsidR="00D07A82" w:rsidRPr="00D07A82" w:rsidRDefault="00D07A82" w:rsidP="00762A4C">
            <w:pPr>
              <w:jc w:val="both"/>
              <w:rPr>
                <w:rFonts w:eastAsia="Calibri"/>
                <w:sz w:val="20"/>
                <w:lang w:val="en-CA"/>
              </w:rPr>
            </w:pPr>
            <w:r w:rsidRPr="00D07A82">
              <w:rPr>
                <w:rFonts w:eastAsia="Calibri"/>
                <w:sz w:val="20"/>
                <w:lang w:val="en-CA"/>
              </w:rPr>
              <w:t>Supreme Court of Canada</w:t>
            </w:r>
          </w:p>
          <w:p w:rsidR="00D07A82" w:rsidRPr="00D07A82" w:rsidRDefault="00D07A82" w:rsidP="00762A4C">
            <w:pPr>
              <w:jc w:val="both"/>
              <w:rPr>
                <w:rFonts w:eastAsia="Calibri"/>
                <w:sz w:val="20"/>
                <w:lang w:val="en-CA"/>
              </w:rPr>
            </w:pPr>
          </w:p>
        </w:tc>
        <w:tc>
          <w:tcPr>
            <w:tcW w:w="243" w:type="pct"/>
          </w:tcPr>
          <w:p w:rsidR="00D07A82" w:rsidRPr="00D07A82" w:rsidRDefault="00D07A82" w:rsidP="00762A4C">
            <w:pPr>
              <w:jc w:val="both"/>
              <w:rPr>
                <w:rFonts w:eastAsia="Calibri"/>
                <w:sz w:val="20"/>
                <w:lang w:val="en-CA"/>
              </w:rPr>
            </w:pPr>
          </w:p>
        </w:tc>
        <w:tc>
          <w:tcPr>
            <w:tcW w:w="2330" w:type="pct"/>
          </w:tcPr>
          <w:p w:rsidR="00D07A82" w:rsidRPr="00D07A82" w:rsidRDefault="00D07A82" w:rsidP="00762A4C">
            <w:pPr>
              <w:jc w:val="both"/>
              <w:rPr>
                <w:rFonts w:eastAsia="Calibri"/>
                <w:sz w:val="20"/>
                <w:lang w:val="en-CA"/>
              </w:rPr>
            </w:pPr>
            <w:r w:rsidRPr="00D07A82">
              <w:rPr>
                <w:rFonts w:eastAsia="Calibri"/>
                <w:sz w:val="20"/>
                <w:lang w:val="en-CA"/>
              </w:rPr>
              <w:t>Application for leave to appeal filed</w:t>
            </w:r>
          </w:p>
          <w:p w:rsidR="00D07A82" w:rsidRPr="00D07A82" w:rsidRDefault="00D07A82" w:rsidP="00762A4C">
            <w:pPr>
              <w:jc w:val="both"/>
              <w:rPr>
                <w:rFonts w:eastAsia="Calibri"/>
                <w:sz w:val="20"/>
                <w:lang w:val="en-CA"/>
              </w:rPr>
            </w:pPr>
          </w:p>
        </w:tc>
      </w:tr>
      <w:tr w:rsidR="00D07A82" w:rsidRPr="00D07A82" w:rsidTr="00D07A82">
        <w:tc>
          <w:tcPr>
            <w:tcW w:w="2427" w:type="pct"/>
            <w:gridSpan w:val="2"/>
            <w:hideMark/>
          </w:tcPr>
          <w:p w:rsidR="00D07A82" w:rsidRPr="00D07A82" w:rsidRDefault="00D07A82" w:rsidP="00762A4C">
            <w:pPr>
              <w:jc w:val="both"/>
              <w:rPr>
                <w:rFonts w:eastAsia="Calibri"/>
                <w:sz w:val="20"/>
                <w:lang w:val="en-CA"/>
              </w:rPr>
            </w:pPr>
            <w:r w:rsidRPr="00D07A82">
              <w:rPr>
                <w:rFonts w:eastAsia="Calibri"/>
                <w:sz w:val="20"/>
                <w:lang w:val="en-CA"/>
              </w:rPr>
              <w:t>April 22, 2015</w:t>
            </w:r>
          </w:p>
          <w:p w:rsidR="00D07A82" w:rsidRPr="00D07A82" w:rsidRDefault="00D07A82" w:rsidP="00762A4C">
            <w:pPr>
              <w:jc w:val="both"/>
              <w:rPr>
                <w:rFonts w:eastAsia="Calibri"/>
                <w:sz w:val="20"/>
                <w:lang w:val="en-CA"/>
              </w:rPr>
            </w:pPr>
            <w:r w:rsidRPr="00D07A82">
              <w:rPr>
                <w:rFonts w:eastAsia="Calibri"/>
                <w:sz w:val="20"/>
                <w:lang w:val="en-CA"/>
              </w:rPr>
              <w:t>Supreme Court of Canada</w:t>
            </w:r>
          </w:p>
        </w:tc>
        <w:tc>
          <w:tcPr>
            <w:tcW w:w="243" w:type="pct"/>
          </w:tcPr>
          <w:p w:rsidR="00D07A82" w:rsidRPr="00D07A82" w:rsidRDefault="00D07A82" w:rsidP="00762A4C">
            <w:pPr>
              <w:jc w:val="both"/>
              <w:rPr>
                <w:rFonts w:eastAsia="Calibri"/>
                <w:sz w:val="20"/>
                <w:lang w:val="en-CA"/>
              </w:rPr>
            </w:pPr>
          </w:p>
        </w:tc>
        <w:tc>
          <w:tcPr>
            <w:tcW w:w="2330" w:type="pct"/>
            <w:hideMark/>
          </w:tcPr>
          <w:p w:rsidR="00D07A82" w:rsidRPr="00D07A82" w:rsidRDefault="00D07A82" w:rsidP="00762A4C">
            <w:pPr>
              <w:jc w:val="both"/>
              <w:rPr>
                <w:rFonts w:eastAsia="Calibri"/>
                <w:sz w:val="20"/>
                <w:lang w:val="en-CA"/>
              </w:rPr>
            </w:pPr>
            <w:r w:rsidRPr="00D07A82">
              <w:rPr>
                <w:rFonts w:eastAsia="Calibri"/>
                <w:sz w:val="20"/>
                <w:lang w:val="en-CA"/>
              </w:rPr>
              <w:t>Six motions for leave to intervene filed</w:t>
            </w:r>
          </w:p>
        </w:tc>
      </w:tr>
    </w:tbl>
    <w:p w:rsidR="00D07A82" w:rsidRDefault="00D07A82" w:rsidP="00762A4C">
      <w:pPr>
        <w:jc w:val="both"/>
        <w:rPr>
          <w:rFonts w:eastAsia="Calibri"/>
          <w:sz w:val="20"/>
          <w:lang w:val="en-CA"/>
        </w:rPr>
      </w:pPr>
    </w:p>
    <w:p w:rsidR="00762A4C" w:rsidRPr="00D07A82" w:rsidRDefault="00762A4C" w:rsidP="00762A4C">
      <w:pPr>
        <w:jc w:val="both"/>
        <w:rPr>
          <w:rFonts w:eastAsia="Calibr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07A82" w:rsidRPr="00D07A82" w:rsidTr="00FA312A">
        <w:tc>
          <w:tcPr>
            <w:tcW w:w="543" w:type="pct"/>
          </w:tcPr>
          <w:p w:rsidR="00D07A82" w:rsidRPr="00D07A82" w:rsidRDefault="00D07A82" w:rsidP="00762A4C">
            <w:pPr>
              <w:jc w:val="both"/>
              <w:rPr>
                <w:rFonts w:eastAsiaTheme="minorHAnsi"/>
                <w:sz w:val="20"/>
                <w:lang w:val="en-CA"/>
              </w:rPr>
            </w:pPr>
            <w:r w:rsidRPr="00762A4C">
              <w:rPr>
                <w:rFonts w:eastAsiaTheme="minorHAnsi"/>
                <w:b/>
                <w:sz w:val="20"/>
                <w:lang w:val="en-CA"/>
              </w:rPr>
              <w:t>36353</w:t>
            </w:r>
          </w:p>
        </w:tc>
        <w:tc>
          <w:tcPr>
            <w:tcW w:w="4457" w:type="pct"/>
            <w:gridSpan w:val="3"/>
          </w:tcPr>
          <w:p w:rsidR="00D07A82" w:rsidRPr="00D07A82" w:rsidRDefault="00D07A82" w:rsidP="00762A4C">
            <w:pPr>
              <w:jc w:val="both"/>
              <w:rPr>
                <w:rFonts w:eastAsiaTheme="minorHAnsi"/>
                <w:b/>
                <w:sz w:val="20"/>
                <w:lang w:val="en-CA"/>
              </w:rPr>
            </w:pPr>
            <w:r w:rsidRPr="00D07A82">
              <w:rPr>
                <w:rFonts w:eastAsiaTheme="minorHAnsi"/>
                <w:b/>
                <w:sz w:val="20"/>
                <w:lang w:val="en-CA"/>
              </w:rPr>
              <w:t xml:space="preserve">Lynne M. </w:t>
            </w:r>
            <w:proofErr w:type="spellStart"/>
            <w:r w:rsidRPr="00D07A82">
              <w:rPr>
                <w:rFonts w:eastAsiaTheme="minorHAnsi"/>
                <w:b/>
                <w:sz w:val="20"/>
                <w:lang w:val="en-CA"/>
              </w:rPr>
              <w:t>Quarmby</w:t>
            </w:r>
            <w:proofErr w:type="spellEnd"/>
            <w:r w:rsidRPr="00D07A82">
              <w:rPr>
                <w:rFonts w:eastAsiaTheme="minorHAnsi"/>
                <w:b/>
                <w:sz w:val="20"/>
                <w:lang w:val="en-CA"/>
              </w:rPr>
              <w:t xml:space="preserve">, Eric Doherty, Ruth Walmsley, John </w:t>
            </w:r>
            <w:proofErr w:type="spellStart"/>
            <w:r w:rsidRPr="00D07A82">
              <w:rPr>
                <w:rFonts w:eastAsiaTheme="minorHAnsi"/>
                <w:b/>
                <w:sz w:val="20"/>
                <w:lang w:val="en-CA"/>
              </w:rPr>
              <w:t>Vissers</w:t>
            </w:r>
            <w:proofErr w:type="spellEnd"/>
            <w:r w:rsidRPr="00D07A82">
              <w:rPr>
                <w:rFonts w:eastAsiaTheme="minorHAnsi"/>
                <w:b/>
                <w:sz w:val="20"/>
                <w:lang w:val="en-CA"/>
              </w:rPr>
              <w:t xml:space="preserve">, Shirley Samples, ForestEthics Advocacy Association, </w:t>
            </w:r>
            <w:proofErr w:type="spellStart"/>
            <w:r w:rsidRPr="00D07A82">
              <w:rPr>
                <w:rFonts w:eastAsiaTheme="minorHAnsi"/>
                <w:b/>
                <w:sz w:val="20"/>
                <w:lang w:val="en-CA"/>
              </w:rPr>
              <w:t>Tzeporah</w:t>
            </w:r>
            <w:proofErr w:type="spellEnd"/>
            <w:r w:rsidRPr="00D07A82">
              <w:rPr>
                <w:rFonts w:eastAsiaTheme="minorHAnsi"/>
                <w:b/>
                <w:sz w:val="20"/>
                <w:lang w:val="en-CA"/>
              </w:rPr>
              <w:t xml:space="preserve"> Berman, John Clarke et Bradley </w:t>
            </w:r>
            <w:proofErr w:type="spellStart"/>
            <w:r w:rsidRPr="00D07A82">
              <w:rPr>
                <w:rFonts w:eastAsiaTheme="minorHAnsi"/>
                <w:b/>
                <w:sz w:val="20"/>
                <w:lang w:val="en-CA"/>
              </w:rPr>
              <w:t>Shende</w:t>
            </w:r>
            <w:proofErr w:type="spellEnd"/>
            <w:r w:rsidRPr="00D07A82">
              <w:rPr>
                <w:rFonts w:eastAsiaTheme="minorHAnsi"/>
                <w:b/>
                <w:sz w:val="20"/>
                <w:lang w:val="en-CA"/>
              </w:rPr>
              <w:t xml:space="preserve"> c. </w:t>
            </w:r>
            <w:proofErr w:type="spellStart"/>
            <w:r w:rsidRPr="00D07A82">
              <w:rPr>
                <w:rFonts w:eastAsiaTheme="minorHAnsi"/>
                <w:b/>
                <w:sz w:val="20"/>
                <w:lang w:val="en-CA"/>
              </w:rPr>
              <w:t>Procureur</w:t>
            </w:r>
            <w:proofErr w:type="spellEnd"/>
            <w:r w:rsidRPr="00D07A82">
              <w:rPr>
                <w:rFonts w:eastAsiaTheme="minorHAnsi"/>
                <w:b/>
                <w:sz w:val="20"/>
                <w:lang w:val="en-CA"/>
              </w:rPr>
              <w:t xml:space="preserve"> </w:t>
            </w:r>
            <w:proofErr w:type="spellStart"/>
            <w:r w:rsidRPr="00D07A82">
              <w:rPr>
                <w:rFonts w:eastAsiaTheme="minorHAnsi"/>
                <w:b/>
                <w:sz w:val="20"/>
                <w:lang w:val="en-CA"/>
              </w:rPr>
              <w:t>général</w:t>
            </w:r>
            <w:proofErr w:type="spellEnd"/>
            <w:r w:rsidRPr="00D07A82">
              <w:rPr>
                <w:rFonts w:eastAsiaTheme="minorHAnsi"/>
                <w:b/>
                <w:sz w:val="20"/>
                <w:lang w:val="en-CA"/>
              </w:rPr>
              <w:t xml:space="preserve"> du Canada, Trans Mountain Pipeline ULC, Canadian Association of </w:t>
            </w:r>
            <w:proofErr w:type="spellStart"/>
            <w:r w:rsidRPr="00D07A82">
              <w:rPr>
                <w:rFonts w:eastAsiaTheme="minorHAnsi"/>
                <w:b/>
                <w:sz w:val="20"/>
                <w:lang w:val="en-CA"/>
              </w:rPr>
              <w:t>Peroleum</w:t>
            </w:r>
            <w:proofErr w:type="spellEnd"/>
            <w:r w:rsidRPr="00D07A82">
              <w:rPr>
                <w:rFonts w:eastAsiaTheme="minorHAnsi"/>
                <w:b/>
                <w:sz w:val="20"/>
                <w:lang w:val="en-CA"/>
              </w:rPr>
              <w:t xml:space="preserve"> Producers, Office national de </w:t>
            </w:r>
            <w:proofErr w:type="spellStart"/>
            <w:r w:rsidRPr="00D07A82">
              <w:rPr>
                <w:rFonts w:eastAsiaTheme="minorHAnsi"/>
                <w:b/>
                <w:sz w:val="20"/>
                <w:lang w:val="en-CA"/>
              </w:rPr>
              <w:t>l’énergie</w:t>
            </w:r>
            <w:proofErr w:type="spellEnd"/>
          </w:p>
          <w:p w:rsidR="00D07A82" w:rsidRPr="00D07A82" w:rsidRDefault="00D07A82" w:rsidP="00762A4C">
            <w:pPr>
              <w:jc w:val="both"/>
              <w:rPr>
                <w:rFonts w:eastAsiaTheme="minorHAnsi"/>
                <w:sz w:val="20"/>
                <w:lang w:val="en-CA"/>
              </w:rPr>
            </w:pPr>
            <w:r w:rsidRPr="00D07A82">
              <w:rPr>
                <w:rFonts w:eastAsiaTheme="minorHAnsi"/>
                <w:sz w:val="20"/>
                <w:lang w:val="en-CA"/>
              </w:rPr>
              <w:t>(CF) (</w:t>
            </w:r>
            <w:proofErr w:type="spellStart"/>
            <w:r w:rsidRPr="00D07A82">
              <w:rPr>
                <w:rFonts w:eastAsiaTheme="minorHAnsi"/>
                <w:sz w:val="20"/>
                <w:lang w:val="en-CA"/>
              </w:rPr>
              <w:t>Civile</w:t>
            </w:r>
            <w:proofErr w:type="spellEnd"/>
            <w:r w:rsidRPr="00D07A82">
              <w:rPr>
                <w:rFonts w:eastAsiaTheme="minorHAnsi"/>
                <w:sz w:val="20"/>
                <w:lang w:val="en-CA"/>
              </w:rPr>
              <w:t xml:space="preserve">) (Sur </w:t>
            </w:r>
            <w:proofErr w:type="spellStart"/>
            <w:r w:rsidRPr="00D07A82">
              <w:rPr>
                <w:rFonts w:eastAsiaTheme="minorHAnsi"/>
                <w:sz w:val="20"/>
                <w:lang w:val="en-CA"/>
              </w:rPr>
              <w:t>autorisation</w:t>
            </w:r>
            <w:proofErr w:type="spellEnd"/>
            <w:r w:rsidRPr="00D07A82">
              <w:rPr>
                <w:rFonts w:eastAsiaTheme="minorHAnsi"/>
                <w:sz w:val="20"/>
                <w:lang w:val="en-CA"/>
              </w:rPr>
              <w:t>)</w:t>
            </w:r>
          </w:p>
        </w:tc>
      </w:tr>
      <w:tr w:rsidR="00D07A82" w:rsidRPr="00D07A82" w:rsidTr="00FA312A">
        <w:tc>
          <w:tcPr>
            <w:tcW w:w="5000" w:type="pct"/>
            <w:gridSpan w:val="4"/>
          </w:tcPr>
          <w:p w:rsidR="00D07A82" w:rsidRPr="00D07A82" w:rsidRDefault="00D07A82" w:rsidP="00762A4C">
            <w:pPr>
              <w:jc w:val="both"/>
              <w:rPr>
                <w:rFonts w:eastAsiaTheme="minorHAnsi"/>
                <w:sz w:val="20"/>
                <w:lang w:val="fr-CA"/>
              </w:rPr>
            </w:pPr>
            <w:r w:rsidRPr="00D07A82">
              <w:rPr>
                <w:rFonts w:eastAsiaTheme="minorHAnsi"/>
                <w:i/>
                <w:sz w:val="20"/>
                <w:lang w:val="fr-CA"/>
              </w:rPr>
              <w:t>Charte des droits et libertés</w:t>
            </w:r>
            <w:r w:rsidRPr="00D07A82">
              <w:rPr>
                <w:rFonts w:eastAsiaTheme="minorHAnsi"/>
                <w:sz w:val="20"/>
                <w:lang w:val="fr-CA"/>
              </w:rPr>
              <w:t xml:space="preserve"> – Liberté d’expression – Droit à la vie – Droit à la sécurité de la personne – Appel – L’Office national de l’énergie </w:t>
            </w:r>
            <w:proofErr w:type="spellStart"/>
            <w:r w:rsidRPr="00D07A82">
              <w:rPr>
                <w:rFonts w:eastAsiaTheme="minorHAnsi"/>
                <w:sz w:val="20"/>
                <w:lang w:val="fr-CA"/>
              </w:rPr>
              <w:t>a-t-il</w:t>
            </w:r>
            <w:proofErr w:type="spellEnd"/>
            <w:r w:rsidRPr="00D07A82">
              <w:rPr>
                <w:rFonts w:eastAsiaTheme="minorHAnsi"/>
                <w:sz w:val="20"/>
                <w:lang w:val="fr-CA"/>
              </w:rPr>
              <w:t xml:space="preserve"> commis une erreur de droit et de compétence en déterminant que l’art. 55.2 de la </w:t>
            </w:r>
            <w:r w:rsidRPr="00D07A82">
              <w:rPr>
                <w:rFonts w:eastAsiaTheme="minorHAnsi"/>
                <w:i/>
                <w:sz w:val="20"/>
                <w:lang w:val="fr-CA"/>
              </w:rPr>
              <w:t>Loi sur l’Office national de l’énergie</w:t>
            </w:r>
            <w:r w:rsidRPr="00D07A82">
              <w:rPr>
                <w:rFonts w:eastAsiaTheme="minorHAnsi"/>
                <w:sz w:val="20"/>
                <w:lang w:val="fr-CA"/>
              </w:rPr>
              <w:t>, L.R.C. 1985, c. N-7, ne contrevient pas à l’al. 2</w:t>
            </w:r>
            <w:r w:rsidRPr="00D07A82">
              <w:rPr>
                <w:rFonts w:eastAsiaTheme="minorHAnsi"/>
                <w:i/>
                <w:sz w:val="20"/>
                <w:lang w:val="fr-CA"/>
              </w:rPr>
              <w:t>b</w:t>
            </w:r>
            <w:r w:rsidRPr="00D07A82">
              <w:rPr>
                <w:rFonts w:eastAsiaTheme="minorHAnsi"/>
                <w:sz w:val="20"/>
                <w:lang w:val="fr-CA"/>
              </w:rPr>
              <w:t xml:space="preserve">) de la </w:t>
            </w:r>
            <w:r w:rsidRPr="00D07A82">
              <w:rPr>
                <w:rFonts w:eastAsiaTheme="minorHAnsi"/>
                <w:i/>
                <w:sz w:val="20"/>
                <w:lang w:val="fr-CA"/>
              </w:rPr>
              <w:t>Charte canadienne des droits et libertés</w:t>
            </w:r>
            <w:r w:rsidRPr="00D07A82">
              <w:rPr>
                <w:rFonts w:eastAsiaTheme="minorHAnsi"/>
                <w:sz w:val="20"/>
                <w:lang w:val="fr-CA"/>
              </w:rPr>
              <w:t xml:space="preserve">? – L’interprétation par l’Office national de l’énergie de l’art. 55.2 de la </w:t>
            </w:r>
            <w:r w:rsidRPr="00D07A82">
              <w:rPr>
                <w:rFonts w:eastAsiaTheme="minorHAnsi"/>
                <w:i/>
                <w:sz w:val="20"/>
                <w:lang w:val="fr-CA"/>
              </w:rPr>
              <w:t>Loi sur l’Office national de l’énergie</w:t>
            </w:r>
            <w:r w:rsidRPr="00D07A82">
              <w:rPr>
                <w:rFonts w:eastAsiaTheme="minorHAnsi"/>
                <w:sz w:val="20"/>
                <w:lang w:val="fr-CA"/>
              </w:rPr>
              <w:t xml:space="preserve"> était-elle raisonnable et conforme aux valeurs consacrées par la </w:t>
            </w:r>
            <w:r w:rsidRPr="00D07A82">
              <w:rPr>
                <w:rFonts w:eastAsiaTheme="minorHAnsi"/>
                <w:i/>
                <w:sz w:val="20"/>
                <w:lang w:val="fr-CA"/>
              </w:rPr>
              <w:t>Charte</w:t>
            </w:r>
            <w:r w:rsidRPr="00D07A82">
              <w:rPr>
                <w:rFonts w:eastAsiaTheme="minorHAnsi"/>
                <w:sz w:val="20"/>
                <w:lang w:val="fr-CA"/>
              </w:rPr>
              <w:t xml:space="preserve">? – L’Office national de l’énergie </w:t>
            </w:r>
            <w:proofErr w:type="spellStart"/>
            <w:r w:rsidRPr="00D07A82">
              <w:rPr>
                <w:rFonts w:eastAsiaTheme="minorHAnsi"/>
                <w:sz w:val="20"/>
                <w:lang w:val="fr-CA"/>
              </w:rPr>
              <w:t>a-t-il</w:t>
            </w:r>
            <w:proofErr w:type="spellEnd"/>
            <w:r w:rsidRPr="00D07A82">
              <w:rPr>
                <w:rFonts w:eastAsiaTheme="minorHAnsi"/>
                <w:sz w:val="20"/>
                <w:lang w:val="fr-CA"/>
              </w:rPr>
              <w:t xml:space="preserve"> commis une erreur de droit et de compétence en ne procédant pas, à l’égard du texte législatif contesté, à l’analyse axée sur la justification qu’appelle l’article premier de la </w:t>
            </w:r>
            <w:r w:rsidRPr="00D07A82">
              <w:rPr>
                <w:rFonts w:eastAsiaTheme="minorHAnsi"/>
                <w:i/>
                <w:sz w:val="20"/>
                <w:lang w:val="fr-CA"/>
              </w:rPr>
              <w:t>Charte</w:t>
            </w:r>
            <w:r w:rsidRPr="00D07A82">
              <w:rPr>
                <w:rFonts w:eastAsiaTheme="minorHAnsi"/>
                <w:sz w:val="20"/>
                <w:lang w:val="fr-CA"/>
              </w:rPr>
              <w:t xml:space="preserve"> ou en n’appliquant pas un critère modifié propre aux décisions administratives? – La Cour d’appel fédérale a-t-elle commis une erreur de droit en rejetant la demande d’autorisation d’appel?</w:t>
            </w:r>
          </w:p>
        </w:tc>
      </w:tr>
      <w:tr w:rsidR="00D07A82" w:rsidRPr="00D07A82" w:rsidTr="00FA312A">
        <w:tc>
          <w:tcPr>
            <w:tcW w:w="5000" w:type="pct"/>
            <w:gridSpan w:val="4"/>
          </w:tcPr>
          <w:p w:rsidR="00D07A82" w:rsidRPr="00D07A82" w:rsidRDefault="00D07A82" w:rsidP="00762A4C">
            <w:pPr>
              <w:jc w:val="both"/>
              <w:rPr>
                <w:rFonts w:eastAsiaTheme="minorHAnsi"/>
                <w:sz w:val="20"/>
                <w:lang w:val="fr-CA"/>
              </w:rPr>
            </w:pPr>
          </w:p>
        </w:tc>
      </w:tr>
      <w:tr w:rsidR="00D07A82" w:rsidRPr="00D07A82" w:rsidTr="00FA312A">
        <w:tc>
          <w:tcPr>
            <w:tcW w:w="5000" w:type="pct"/>
            <w:gridSpan w:val="4"/>
          </w:tcPr>
          <w:p w:rsidR="00D07A82" w:rsidRPr="00D07A82" w:rsidRDefault="00D07A82" w:rsidP="00762A4C">
            <w:pPr>
              <w:jc w:val="both"/>
              <w:rPr>
                <w:rFonts w:eastAsiaTheme="minorHAnsi"/>
                <w:sz w:val="20"/>
                <w:lang w:val="fr-CA"/>
              </w:rPr>
            </w:pPr>
            <w:r w:rsidRPr="00D07A82">
              <w:rPr>
                <w:rFonts w:eastAsiaTheme="minorHAnsi"/>
                <w:sz w:val="20"/>
                <w:lang w:val="fr-CA"/>
              </w:rPr>
              <w:t xml:space="preserve">Trans </w:t>
            </w:r>
            <w:proofErr w:type="spellStart"/>
            <w:r w:rsidRPr="00D07A82">
              <w:rPr>
                <w:rFonts w:eastAsiaTheme="minorHAnsi"/>
                <w:sz w:val="20"/>
                <w:lang w:val="fr-CA"/>
              </w:rPr>
              <w:t>Mountain</w:t>
            </w:r>
            <w:proofErr w:type="spellEnd"/>
            <w:r w:rsidRPr="00D07A82">
              <w:rPr>
                <w:rFonts w:eastAsiaTheme="minorHAnsi"/>
                <w:sz w:val="20"/>
                <w:lang w:val="fr-CA"/>
              </w:rPr>
              <w:t xml:space="preserve"> Pipeline ULC a demandé à l’Office national de l’énergie de délivrer un certificat d’utilité publique pour l’autoriser à agrandir son infrastructure d’oléoducs entre l’Alberta et la Colombie-Britannique. Dans le cadre de l’examen de la demande, l’Office a procédé à une évaluation environnementale et a tenu une audience publique, à laquelle 2118 parties ont demandé de participer, parmi lesquelles 1198 y ont été autorisées. Parmi les personnes ayant demandé d’intervenir, 452 ont reçu l’autorisation de présenter des commentaires. Parmi les demandes, 468 ont été rejetées. L’un des demandeurs s’est vu accorder le statut d’intervenant, trois l’autorisation de présenter des commentaires, sept se sont vu refuser l’autorisation de participer et Mme </w:t>
            </w:r>
            <w:proofErr w:type="spellStart"/>
            <w:r w:rsidRPr="00D07A82">
              <w:rPr>
                <w:rFonts w:eastAsiaTheme="minorHAnsi"/>
                <w:sz w:val="20"/>
                <w:lang w:val="fr-CA"/>
              </w:rPr>
              <w:t>Quarmby</w:t>
            </w:r>
            <w:proofErr w:type="spellEnd"/>
            <w:r w:rsidRPr="00D07A82">
              <w:rPr>
                <w:rFonts w:eastAsiaTheme="minorHAnsi"/>
                <w:sz w:val="20"/>
                <w:lang w:val="fr-CA"/>
              </w:rPr>
              <w:t xml:space="preserve"> n’a présenté aucune demande. L’Office a rejeté la requête présentée par les demandeurs dans laquelle ils prétendent notamment que le critère de la qualité pour agir appliqué par l’Office et ses décisions sur la participation enfreignent l’al. 2</w:t>
            </w:r>
            <w:r w:rsidRPr="00D07A82">
              <w:rPr>
                <w:rFonts w:eastAsiaTheme="minorHAnsi"/>
                <w:i/>
                <w:sz w:val="20"/>
                <w:lang w:val="fr-CA"/>
              </w:rPr>
              <w:t>b</w:t>
            </w:r>
            <w:r w:rsidRPr="00D07A82">
              <w:rPr>
                <w:rFonts w:eastAsiaTheme="minorHAnsi"/>
                <w:sz w:val="20"/>
                <w:lang w:val="fr-CA"/>
              </w:rPr>
              <w:t xml:space="preserve">) de la </w:t>
            </w:r>
            <w:r w:rsidRPr="00D07A82">
              <w:rPr>
                <w:rFonts w:eastAsiaTheme="minorHAnsi"/>
                <w:i/>
                <w:sz w:val="20"/>
                <w:lang w:val="fr-CA"/>
              </w:rPr>
              <w:t>Charte canadienne des droits et libertés</w:t>
            </w:r>
            <w:r w:rsidRPr="00D07A82">
              <w:rPr>
                <w:rFonts w:eastAsiaTheme="minorHAnsi"/>
                <w:sz w:val="20"/>
                <w:lang w:val="fr-CA"/>
              </w:rPr>
              <w:t xml:space="preserve">. Il a rejeté la requête d’ordre procédural visant la tenue d’une audience sur la requête fondée sur la </w:t>
            </w:r>
            <w:r w:rsidRPr="00D07A82">
              <w:rPr>
                <w:rFonts w:eastAsiaTheme="minorHAnsi"/>
                <w:i/>
                <w:sz w:val="20"/>
                <w:lang w:val="fr-CA"/>
              </w:rPr>
              <w:t>Charte</w:t>
            </w:r>
            <w:r w:rsidRPr="00D07A82">
              <w:rPr>
                <w:rFonts w:eastAsiaTheme="minorHAnsi"/>
                <w:sz w:val="20"/>
                <w:lang w:val="fr-CA"/>
              </w:rPr>
              <w:t>. L’Office a également rejeté les arguments prétendant que sa procédure de demande de participation, sa décision à cet égard et la liste des questions pour l’audience enfreignent l’al. 2</w:t>
            </w:r>
            <w:r w:rsidRPr="00D07A82">
              <w:rPr>
                <w:rFonts w:eastAsiaTheme="minorHAnsi"/>
                <w:i/>
                <w:sz w:val="20"/>
                <w:lang w:val="fr-CA"/>
              </w:rPr>
              <w:t>b</w:t>
            </w:r>
            <w:r w:rsidRPr="00D07A82">
              <w:rPr>
                <w:rFonts w:eastAsiaTheme="minorHAnsi"/>
                <w:sz w:val="20"/>
                <w:lang w:val="fr-CA"/>
              </w:rPr>
              <w:t xml:space="preserve">) de la </w:t>
            </w:r>
            <w:r w:rsidRPr="00D07A82">
              <w:rPr>
                <w:rFonts w:eastAsiaTheme="minorHAnsi"/>
                <w:i/>
                <w:sz w:val="20"/>
                <w:lang w:val="fr-CA"/>
              </w:rPr>
              <w:t>Charte</w:t>
            </w:r>
            <w:r w:rsidRPr="00D07A82">
              <w:rPr>
                <w:rFonts w:eastAsiaTheme="minorHAnsi"/>
                <w:sz w:val="20"/>
                <w:lang w:val="fr-CA"/>
              </w:rPr>
              <w:t xml:space="preserve">. </w:t>
            </w:r>
          </w:p>
          <w:p w:rsidR="00D07A82" w:rsidRPr="00D07A82" w:rsidRDefault="00D07A82" w:rsidP="00762A4C">
            <w:pPr>
              <w:jc w:val="both"/>
              <w:rPr>
                <w:rFonts w:eastAsiaTheme="minorHAnsi"/>
                <w:sz w:val="20"/>
                <w:lang w:val="fr-CA"/>
              </w:rPr>
            </w:pPr>
          </w:p>
        </w:tc>
      </w:tr>
      <w:tr w:rsidR="00D07A82" w:rsidRPr="00D07A82" w:rsidTr="00FA312A">
        <w:tc>
          <w:tcPr>
            <w:tcW w:w="2427" w:type="pct"/>
            <w:gridSpan w:val="2"/>
          </w:tcPr>
          <w:p w:rsidR="00D07A82" w:rsidRPr="00D07A82" w:rsidRDefault="00D07A82" w:rsidP="00762A4C">
            <w:pPr>
              <w:jc w:val="both"/>
              <w:rPr>
                <w:rFonts w:eastAsiaTheme="minorHAnsi"/>
                <w:sz w:val="20"/>
                <w:lang w:val="fr-CA"/>
              </w:rPr>
            </w:pPr>
            <w:r w:rsidRPr="00D07A82">
              <w:rPr>
                <w:rFonts w:eastAsiaTheme="minorHAnsi"/>
                <w:sz w:val="20"/>
                <w:lang w:val="fr-CA"/>
              </w:rPr>
              <w:t>2 octobre 2014</w:t>
            </w:r>
          </w:p>
          <w:p w:rsidR="00D07A82" w:rsidRPr="00D07A82" w:rsidRDefault="00D07A82" w:rsidP="00762A4C">
            <w:pPr>
              <w:jc w:val="both"/>
              <w:rPr>
                <w:rFonts w:eastAsiaTheme="minorHAnsi"/>
                <w:sz w:val="20"/>
                <w:lang w:val="fr-CA"/>
              </w:rPr>
            </w:pPr>
            <w:r w:rsidRPr="00D07A82">
              <w:rPr>
                <w:rFonts w:eastAsiaTheme="minorHAnsi"/>
                <w:sz w:val="20"/>
                <w:lang w:val="fr-CA"/>
              </w:rPr>
              <w:lastRenderedPageBreak/>
              <w:t>Office national de l’énergie</w:t>
            </w:r>
          </w:p>
          <w:p w:rsidR="00D07A82" w:rsidRPr="00D07A82" w:rsidRDefault="00D07A82" w:rsidP="00762A4C">
            <w:pPr>
              <w:jc w:val="both"/>
              <w:rPr>
                <w:rFonts w:eastAsiaTheme="minorHAnsi"/>
                <w:sz w:val="20"/>
                <w:lang w:val="fr-CA"/>
              </w:rPr>
            </w:pPr>
            <w:r w:rsidRPr="00D07A82">
              <w:rPr>
                <w:rFonts w:eastAsiaTheme="minorHAnsi"/>
                <w:sz w:val="20"/>
                <w:lang w:val="fr-CA"/>
              </w:rPr>
              <w:t>(Membres Hamilton, Davies et Scott)</w:t>
            </w:r>
          </w:p>
          <w:p w:rsidR="00D07A82" w:rsidRPr="00D07A82" w:rsidRDefault="00D07A82" w:rsidP="00762A4C">
            <w:pPr>
              <w:jc w:val="both"/>
              <w:rPr>
                <w:rFonts w:eastAsiaTheme="minorHAnsi"/>
                <w:sz w:val="20"/>
                <w:lang w:val="en-CA"/>
              </w:rPr>
            </w:pPr>
            <w:r w:rsidRPr="00D07A82">
              <w:rPr>
                <w:rFonts w:eastAsiaTheme="minorHAnsi"/>
                <w:sz w:val="20"/>
              </w:rPr>
              <w:t xml:space="preserve">OH-001-2014 – </w:t>
            </w:r>
            <w:proofErr w:type="spellStart"/>
            <w:r w:rsidRPr="00D07A82">
              <w:rPr>
                <w:rFonts w:eastAsiaTheme="minorHAnsi"/>
                <w:sz w:val="20"/>
              </w:rPr>
              <w:t>décision</w:t>
            </w:r>
            <w:proofErr w:type="spellEnd"/>
            <w:r w:rsidRPr="00D07A82">
              <w:rPr>
                <w:rFonts w:eastAsiaTheme="minorHAnsi"/>
                <w:sz w:val="20"/>
              </w:rPr>
              <w:t xml:space="preserve"> n</w:t>
            </w:r>
            <w:r w:rsidRPr="00D07A82">
              <w:rPr>
                <w:rFonts w:eastAsiaTheme="minorHAnsi"/>
                <w:sz w:val="20"/>
                <w:vertAlign w:val="superscript"/>
              </w:rPr>
              <w:t>o</w:t>
            </w:r>
            <w:r w:rsidRPr="00D07A82">
              <w:rPr>
                <w:rFonts w:eastAsiaTheme="minorHAnsi"/>
                <w:sz w:val="20"/>
              </w:rPr>
              <w:t xml:space="preserve"> 34</w:t>
            </w:r>
          </w:p>
          <w:p w:rsidR="00D07A82" w:rsidRPr="00D07A82" w:rsidRDefault="00D07A82" w:rsidP="00762A4C">
            <w:pPr>
              <w:jc w:val="both"/>
              <w:rPr>
                <w:rFonts w:eastAsiaTheme="minorHAnsi"/>
                <w:sz w:val="20"/>
                <w:lang w:val="en-CA"/>
              </w:rPr>
            </w:pPr>
          </w:p>
        </w:tc>
        <w:tc>
          <w:tcPr>
            <w:tcW w:w="243" w:type="pct"/>
          </w:tcPr>
          <w:p w:rsidR="00D07A82" w:rsidRPr="00D07A82" w:rsidRDefault="00D07A82" w:rsidP="00762A4C">
            <w:pPr>
              <w:jc w:val="both"/>
              <w:rPr>
                <w:rFonts w:eastAsiaTheme="minorHAnsi"/>
                <w:sz w:val="20"/>
                <w:lang w:val="en-CA"/>
              </w:rPr>
            </w:pPr>
          </w:p>
        </w:tc>
        <w:tc>
          <w:tcPr>
            <w:tcW w:w="2330" w:type="pct"/>
          </w:tcPr>
          <w:p w:rsidR="00D07A82" w:rsidRPr="00D07A82" w:rsidRDefault="00D07A82" w:rsidP="00762A4C">
            <w:pPr>
              <w:autoSpaceDE w:val="0"/>
              <w:autoSpaceDN w:val="0"/>
              <w:adjustRightInd w:val="0"/>
              <w:jc w:val="both"/>
              <w:rPr>
                <w:rFonts w:eastAsiaTheme="minorHAnsi"/>
                <w:sz w:val="20"/>
                <w:lang w:val="en-CA"/>
              </w:rPr>
            </w:pPr>
            <w:proofErr w:type="spellStart"/>
            <w:r w:rsidRPr="00D07A82">
              <w:rPr>
                <w:rFonts w:eastAsiaTheme="minorHAnsi"/>
                <w:sz w:val="20"/>
              </w:rPr>
              <w:t>Rejet</w:t>
            </w:r>
            <w:proofErr w:type="spellEnd"/>
            <w:r w:rsidRPr="00D07A82">
              <w:rPr>
                <w:rFonts w:eastAsiaTheme="minorHAnsi"/>
                <w:sz w:val="20"/>
              </w:rPr>
              <w:t xml:space="preserve"> des </w:t>
            </w:r>
            <w:proofErr w:type="spellStart"/>
            <w:r w:rsidRPr="00D07A82">
              <w:rPr>
                <w:rFonts w:eastAsiaTheme="minorHAnsi"/>
                <w:sz w:val="20"/>
              </w:rPr>
              <w:t>requêtes</w:t>
            </w:r>
            <w:proofErr w:type="spellEnd"/>
            <w:r w:rsidRPr="00D07A82">
              <w:rPr>
                <w:rFonts w:eastAsiaTheme="minorHAnsi"/>
                <w:sz w:val="20"/>
              </w:rPr>
              <w:t xml:space="preserve"> </w:t>
            </w:r>
          </w:p>
        </w:tc>
      </w:tr>
      <w:tr w:rsidR="00D07A82" w:rsidRPr="00D07A82" w:rsidTr="00FA312A">
        <w:tc>
          <w:tcPr>
            <w:tcW w:w="2427" w:type="pct"/>
            <w:gridSpan w:val="2"/>
          </w:tcPr>
          <w:p w:rsidR="00D07A82" w:rsidRPr="00D07A82" w:rsidRDefault="00D07A82" w:rsidP="00762A4C">
            <w:pPr>
              <w:jc w:val="both"/>
              <w:rPr>
                <w:rFonts w:eastAsiaTheme="minorHAnsi"/>
                <w:sz w:val="20"/>
                <w:lang w:val="fr-CA"/>
              </w:rPr>
            </w:pPr>
            <w:r w:rsidRPr="00D07A82">
              <w:rPr>
                <w:rFonts w:eastAsiaTheme="minorHAnsi"/>
                <w:sz w:val="20"/>
                <w:lang w:val="fr-CA"/>
              </w:rPr>
              <w:lastRenderedPageBreak/>
              <w:t>23 janvier 2015</w:t>
            </w:r>
          </w:p>
          <w:p w:rsidR="00D07A82" w:rsidRPr="00D07A82" w:rsidRDefault="00D07A82" w:rsidP="00762A4C">
            <w:pPr>
              <w:jc w:val="both"/>
              <w:rPr>
                <w:rFonts w:eastAsiaTheme="minorHAnsi"/>
                <w:sz w:val="20"/>
                <w:lang w:val="fr-CA"/>
              </w:rPr>
            </w:pPr>
            <w:r w:rsidRPr="00D07A82">
              <w:rPr>
                <w:rFonts w:eastAsiaTheme="minorHAnsi"/>
                <w:sz w:val="20"/>
                <w:lang w:val="fr-CA"/>
              </w:rPr>
              <w:t>Cour d’appel fédérale</w:t>
            </w:r>
          </w:p>
          <w:p w:rsidR="00D07A82" w:rsidRPr="00D07A82" w:rsidRDefault="00D07A82" w:rsidP="00762A4C">
            <w:pPr>
              <w:jc w:val="both"/>
              <w:rPr>
                <w:rFonts w:eastAsiaTheme="minorHAnsi"/>
                <w:sz w:val="20"/>
                <w:lang w:val="fr-CA"/>
              </w:rPr>
            </w:pPr>
            <w:r w:rsidRPr="00D07A82">
              <w:rPr>
                <w:rFonts w:eastAsiaTheme="minorHAnsi"/>
                <w:sz w:val="20"/>
                <w:lang w:val="fr-CA"/>
              </w:rPr>
              <w:t xml:space="preserve">(Juges Nadon, </w:t>
            </w:r>
            <w:proofErr w:type="spellStart"/>
            <w:r w:rsidRPr="00D07A82">
              <w:rPr>
                <w:rFonts w:eastAsiaTheme="minorHAnsi"/>
                <w:sz w:val="20"/>
                <w:lang w:val="fr-CA"/>
              </w:rPr>
              <w:t>Ryer</w:t>
            </w:r>
            <w:proofErr w:type="spellEnd"/>
            <w:r w:rsidRPr="00D07A82">
              <w:rPr>
                <w:rFonts w:eastAsiaTheme="minorHAnsi"/>
                <w:sz w:val="20"/>
                <w:lang w:val="fr-CA"/>
              </w:rPr>
              <w:t xml:space="preserve"> et Webb) </w:t>
            </w:r>
          </w:p>
          <w:p w:rsidR="00D07A82" w:rsidRPr="00D07A82" w:rsidRDefault="00D07A82" w:rsidP="00762A4C">
            <w:pPr>
              <w:jc w:val="both"/>
              <w:rPr>
                <w:rFonts w:eastAsiaTheme="minorHAnsi"/>
                <w:sz w:val="20"/>
                <w:lang w:val="en-CA"/>
              </w:rPr>
            </w:pPr>
            <w:r w:rsidRPr="00D07A82">
              <w:rPr>
                <w:rFonts w:eastAsiaTheme="minorHAnsi"/>
                <w:sz w:val="20"/>
                <w:lang w:val="en-CA"/>
              </w:rPr>
              <w:t>14-A-62</w:t>
            </w:r>
          </w:p>
          <w:p w:rsidR="00D07A82" w:rsidRPr="00D07A82" w:rsidRDefault="00D07A82" w:rsidP="00762A4C">
            <w:pPr>
              <w:jc w:val="both"/>
              <w:rPr>
                <w:rFonts w:eastAsiaTheme="minorHAnsi"/>
                <w:sz w:val="20"/>
                <w:lang w:val="en-CA"/>
              </w:rPr>
            </w:pPr>
          </w:p>
        </w:tc>
        <w:tc>
          <w:tcPr>
            <w:tcW w:w="243" w:type="pct"/>
          </w:tcPr>
          <w:p w:rsidR="00D07A82" w:rsidRPr="00D07A82" w:rsidRDefault="00D07A82" w:rsidP="00762A4C">
            <w:pPr>
              <w:jc w:val="both"/>
              <w:rPr>
                <w:rFonts w:eastAsiaTheme="minorHAnsi"/>
                <w:sz w:val="20"/>
                <w:lang w:val="en-CA"/>
              </w:rPr>
            </w:pPr>
          </w:p>
        </w:tc>
        <w:tc>
          <w:tcPr>
            <w:tcW w:w="2330" w:type="pct"/>
          </w:tcPr>
          <w:p w:rsidR="00D07A82" w:rsidRPr="00D07A82" w:rsidRDefault="00D07A82" w:rsidP="00762A4C">
            <w:pPr>
              <w:jc w:val="both"/>
              <w:rPr>
                <w:rFonts w:eastAsiaTheme="minorHAnsi"/>
                <w:sz w:val="20"/>
                <w:lang w:val="fr-CA"/>
              </w:rPr>
            </w:pPr>
            <w:r w:rsidRPr="00D07A82">
              <w:rPr>
                <w:rFonts w:eastAsiaTheme="minorHAnsi"/>
                <w:sz w:val="20"/>
                <w:lang w:val="fr-CA"/>
              </w:rPr>
              <w:t>Rejet de la demande d’autorisation d’appel</w:t>
            </w:r>
          </w:p>
          <w:p w:rsidR="00D07A82" w:rsidRPr="00D07A82" w:rsidRDefault="00D07A82" w:rsidP="00762A4C">
            <w:pPr>
              <w:jc w:val="both"/>
              <w:rPr>
                <w:rFonts w:eastAsiaTheme="minorHAnsi"/>
                <w:sz w:val="20"/>
                <w:lang w:val="fr-CA"/>
              </w:rPr>
            </w:pPr>
          </w:p>
        </w:tc>
      </w:tr>
      <w:tr w:rsidR="00D07A82" w:rsidRPr="00D07A82" w:rsidTr="00FA312A">
        <w:tc>
          <w:tcPr>
            <w:tcW w:w="2427" w:type="pct"/>
            <w:gridSpan w:val="2"/>
          </w:tcPr>
          <w:p w:rsidR="00D07A82" w:rsidRPr="00D07A82" w:rsidRDefault="00D07A82" w:rsidP="00762A4C">
            <w:pPr>
              <w:jc w:val="both"/>
              <w:rPr>
                <w:rFonts w:eastAsiaTheme="minorHAnsi"/>
                <w:sz w:val="20"/>
                <w:lang w:val="en-CA"/>
              </w:rPr>
            </w:pPr>
            <w:r w:rsidRPr="00D07A82">
              <w:rPr>
                <w:rFonts w:eastAsiaTheme="minorHAnsi"/>
                <w:sz w:val="20"/>
                <w:lang w:val="en-CA"/>
              </w:rPr>
              <w:t>23 mars 2015</w:t>
            </w:r>
          </w:p>
          <w:p w:rsidR="00D07A82" w:rsidRPr="00D07A82" w:rsidRDefault="00D07A82" w:rsidP="00762A4C">
            <w:pPr>
              <w:jc w:val="both"/>
              <w:rPr>
                <w:rFonts w:eastAsiaTheme="minorHAnsi"/>
                <w:sz w:val="20"/>
                <w:lang w:val="en-CA"/>
              </w:rPr>
            </w:pPr>
            <w:r w:rsidRPr="00D07A82">
              <w:rPr>
                <w:rFonts w:eastAsiaTheme="minorHAnsi"/>
                <w:sz w:val="20"/>
                <w:lang w:val="en-CA"/>
              </w:rPr>
              <w:t xml:space="preserve">Cour </w:t>
            </w:r>
            <w:proofErr w:type="spellStart"/>
            <w:r w:rsidRPr="00D07A82">
              <w:rPr>
                <w:rFonts w:eastAsiaTheme="minorHAnsi"/>
                <w:sz w:val="20"/>
                <w:lang w:val="en-CA"/>
              </w:rPr>
              <w:t>suprême</w:t>
            </w:r>
            <w:proofErr w:type="spellEnd"/>
            <w:r w:rsidRPr="00D07A82">
              <w:rPr>
                <w:rFonts w:eastAsiaTheme="minorHAnsi"/>
                <w:sz w:val="20"/>
                <w:lang w:val="en-CA"/>
              </w:rPr>
              <w:t xml:space="preserve"> du Canada</w:t>
            </w:r>
          </w:p>
          <w:p w:rsidR="00D07A82" w:rsidRPr="00D07A82" w:rsidRDefault="00D07A82" w:rsidP="00762A4C">
            <w:pPr>
              <w:jc w:val="both"/>
              <w:rPr>
                <w:rFonts w:eastAsiaTheme="minorHAnsi"/>
                <w:sz w:val="20"/>
                <w:lang w:val="en-CA"/>
              </w:rPr>
            </w:pPr>
          </w:p>
        </w:tc>
        <w:tc>
          <w:tcPr>
            <w:tcW w:w="243" w:type="pct"/>
          </w:tcPr>
          <w:p w:rsidR="00D07A82" w:rsidRPr="00D07A82" w:rsidRDefault="00D07A82" w:rsidP="00762A4C">
            <w:pPr>
              <w:jc w:val="both"/>
              <w:rPr>
                <w:rFonts w:eastAsiaTheme="minorHAnsi"/>
                <w:sz w:val="20"/>
                <w:lang w:val="en-CA"/>
              </w:rPr>
            </w:pPr>
          </w:p>
        </w:tc>
        <w:tc>
          <w:tcPr>
            <w:tcW w:w="2330" w:type="pct"/>
          </w:tcPr>
          <w:p w:rsidR="00D07A82" w:rsidRPr="00D07A82" w:rsidRDefault="00D07A82" w:rsidP="00762A4C">
            <w:pPr>
              <w:jc w:val="both"/>
              <w:rPr>
                <w:rFonts w:eastAsiaTheme="minorHAnsi"/>
                <w:sz w:val="20"/>
                <w:lang w:val="fr-CA"/>
              </w:rPr>
            </w:pPr>
            <w:r w:rsidRPr="00D07A82">
              <w:rPr>
                <w:rFonts w:eastAsiaTheme="minorHAnsi"/>
                <w:sz w:val="20"/>
                <w:lang w:val="fr-CA"/>
              </w:rPr>
              <w:t>Dépôt de la demande d’autorisation d’appel</w:t>
            </w:r>
          </w:p>
          <w:p w:rsidR="00D07A82" w:rsidRPr="00D07A82" w:rsidRDefault="00D07A82" w:rsidP="00762A4C">
            <w:pPr>
              <w:jc w:val="both"/>
              <w:rPr>
                <w:rFonts w:eastAsiaTheme="minorHAnsi"/>
                <w:sz w:val="20"/>
                <w:lang w:val="fr-CA"/>
              </w:rPr>
            </w:pPr>
          </w:p>
        </w:tc>
      </w:tr>
      <w:tr w:rsidR="00D07A82" w:rsidRPr="00D07A82" w:rsidTr="00FA312A">
        <w:tc>
          <w:tcPr>
            <w:tcW w:w="2427" w:type="pct"/>
            <w:gridSpan w:val="2"/>
          </w:tcPr>
          <w:p w:rsidR="00D07A82" w:rsidRPr="00D07A82" w:rsidRDefault="00D07A82" w:rsidP="00762A4C">
            <w:pPr>
              <w:jc w:val="both"/>
              <w:rPr>
                <w:rFonts w:eastAsiaTheme="minorHAnsi"/>
                <w:sz w:val="20"/>
                <w:lang w:val="fr-CA"/>
              </w:rPr>
            </w:pPr>
            <w:r w:rsidRPr="00D07A82">
              <w:rPr>
                <w:rFonts w:eastAsiaTheme="minorHAnsi"/>
                <w:sz w:val="20"/>
                <w:lang w:val="fr-CA"/>
              </w:rPr>
              <w:t>22 avril 2015</w:t>
            </w:r>
          </w:p>
          <w:p w:rsidR="00D07A82" w:rsidRPr="00D07A82" w:rsidRDefault="00D07A82" w:rsidP="00762A4C">
            <w:pPr>
              <w:jc w:val="both"/>
              <w:rPr>
                <w:rFonts w:eastAsiaTheme="minorHAnsi"/>
                <w:sz w:val="20"/>
                <w:lang w:val="fr-CA"/>
              </w:rPr>
            </w:pPr>
            <w:r w:rsidRPr="00D07A82">
              <w:rPr>
                <w:rFonts w:eastAsiaTheme="minorHAnsi"/>
                <w:sz w:val="20"/>
                <w:lang w:val="fr-CA"/>
              </w:rPr>
              <w:t>Cour suprême du Canada</w:t>
            </w:r>
          </w:p>
        </w:tc>
        <w:tc>
          <w:tcPr>
            <w:tcW w:w="243" w:type="pct"/>
          </w:tcPr>
          <w:p w:rsidR="00D07A82" w:rsidRPr="00D07A82" w:rsidRDefault="00D07A82" w:rsidP="00762A4C">
            <w:pPr>
              <w:jc w:val="both"/>
              <w:rPr>
                <w:rFonts w:eastAsiaTheme="minorHAnsi"/>
                <w:sz w:val="20"/>
                <w:lang w:val="fr-CA"/>
              </w:rPr>
            </w:pPr>
          </w:p>
        </w:tc>
        <w:tc>
          <w:tcPr>
            <w:tcW w:w="2330" w:type="pct"/>
          </w:tcPr>
          <w:p w:rsidR="00D07A82" w:rsidRPr="00D07A82" w:rsidRDefault="00D07A82" w:rsidP="00762A4C">
            <w:pPr>
              <w:jc w:val="both"/>
              <w:rPr>
                <w:rFonts w:eastAsiaTheme="minorHAnsi"/>
                <w:sz w:val="20"/>
                <w:lang w:val="fr-CA"/>
              </w:rPr>
            </w:pPr>
            <w:r w:rsidRPr="00D07A82">
              <w:rPr>
                <w:rFonts w:eastAsiaTheme="minorHAnsi"/>
                <w:sz w:val="20"/>
                <w:lang w:val="fr-CA"/>
              </w:rPr>
              <w:t>Dépôt de six requêtes en autorisation d’intervenir</w:t>
            </w:r>
          </w:p>
        </w:tc>
      </w:tr>
    </w:tbl>
    <w:p w:rsidR="00D07A82" w:rsidRDefault="00D07A82" w:rsidP="00762A4C">
      <w:pPr>
        <w:jc w:val="both"/>
        <w:rPr>
          <w:rFonts w:eastAsiaTheme="minorHAnsi"/>
          <w:sz w:val="20"/>
          <w:lang w:val="fr-CA"/>
        </w:rPr>
      </w:pPr>
    </w:p>
    <w:p w:rsidR="00762A4C" w:rsidRPr="00D07A82" w:rsidRDefault="00762A4C" w:rsidP="00762A4C">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5745" w:rsidRPr="00D85745" w:rsidTr="00FA312A">
        <w:tc>
          <w:tcPr>
            <w:tcW w:w="543" w:type="pct"/>
          </w:tcPr>
          <w:p w:rsidR="00D85745" w:rsidRPr="00D85745" w:rsidRDefault="00D85745" w:rsidP="00762A4C">
            <w:pPr>
              <w:jc w:val="both"/>
              <w:rPr>
                <w:rFonts w:eastAsiaTheme="minorHAnsi"/>
                <w:sz w:val="20"/>
                <w:lang w:val="en-CA"/>
              </w:rPr>
            </w:pPr>
            <w:r w:rsidRPr="00762A4C">
              <w:rPr>
                <w:rFonts w:eastAsiaTheme="minorHAnsi"/>
                <w:b/>
                <w:sz w:val="20"/>
                <w:lang w:val="en-CA"/>
              </w:rPr>
              <w:t>36461</w:t>
            </w:r>
          </w:p>
        </w:tc>
        <w:tc>
          <w:tcPr>
            <w:tcW w:w="4457" w:type="pct"/>
            <w:gridSpan w:val="3"/>
          </w:tcPr>
          <w:p w:rsidR="00D85745" w:rsidRPr="00D85745" w:rsidRDefault="00D85745" w:rsidP="00762A4C">
            <w:pPr>
              <w:jc w:val="both"/>
              <w:rPr>
                <w:rFonts w:eastAsiaTheme="minorHAnsi"/>
                <w:b/>
                <w:sz w:val="20"/>
                <w:lang w:val="en-CA"/>
              </w:rPr>
            </w:pPr>
            <w:r w:rsidRPr="00D85745">
              <w:rPr>
                <w:rFonts w:eastAsiaTheme="minorHAnsi"/>
                <w:b/>
                <w:sz w:val="20"/>
                <w:lang w:val="en-CA"/>
              </w:rPr>
              <w:t xml:space="preserve">Robert </w:t>
            </w:r>
            <w:proofErr w:type="spellStart"/>
            <w:r w:rsidRPr="00D85745">
              <w:rPr>
                <w:rFonts w:eastAsiaTheme="minorHAnsi"/>
                <w:b/>
                <w:sz w:val="20"/>
                <w:lang w:val="en-CA"/>
              </w:rPr>
              <w:t>Semenoff</w:t>
            </w:r>
            <w:proofErr w:type="spellEnd"/>
            <w:r w:rsidRPr="00D85745">
              <w:rPr>
                <w:rFonts w:eastAsiaTheme="minorHAnsi"/>
                <w:b/>
                <w:sz w:val="20"/>
                <w:lang w:val="en-CA"/>
              </w:rPr>
              <w:t xml:space="preserve">, Executor of the Estate of Bill </w:t>
            </w:r>
            <w:proofErr w:type="spellStart"/>
            <w:r w:rsidRPr="00D85745">
              <w:rPr>
                <w:rFonts w:eastAsiaTheme="minorHAnsi"/>
                <w:b/>
                <w:sz w:val="20"/>
                <w:lang w:val="en-CA"/>
              </w:rPr>
              <w:t>Semenoff</w:t>
            </w:r>
            <w:proofErr w:type="spellEnd"/>
            <w:r w:rsidRPr="00D85745">
              <w:rPr>
                <w:rFonts w:eastAsiaTheme="minorHAnsi"/>
                <w:b/>
                <w:sz w:val="20"/>
                <w:lang w:val="en-CA"/>
              </w:rPr>
              <w:t xml:space="preserve">, Deceased v. Lewis J. Bridgeman, Marion </w:t>
            </w:r>
            <w:proofErr w:type="spellStart"/>
            <w:r w:rsidRPr="00D85745">
              <w:rPr>
                <w:rFonts w:eastAsiaTheme="minorHAnsi"/>
                <w:b/>
                <w:sz w:val="20"/>
                <w:lang w:val="en-CA"/>
              </w:rPr>
              <w:t>Demosky</w:t>
            </w:r>
            <w:proofErr w:type="spellEnd"/>
            <w:r w:rsidRPr="00D85745">
              <w:rPr>
                <w:rFonts w:eastAsiaTheme="minorHAnsi"/>
                <w:b/>
                <w:sz w:val="20"/>
                <w:lang w:val="en-CA"/>
              </w:rPr>
              <w:t xml:space="preserve"> and Michael William </w:t>
            </w:r>
            <w:proofErr w:type="spellStart"/>
            <w:r w:rsidRPr="00D85745">
              <w:rPr>
                <w:rFonts w:eastAsiaTheme="minorHAnsi"/>
                <w:b/>
                <w:sz w:val="20"/>
                <w:lang w:val="en-CA"/>
              </w:rPr>
              <w:t>Semenoff</w:t>
            </w:r>
            <w:proofErr w:type="spellEnd"/>
          </w:p>
          <w:p w:rsidR="00D85745" w:rsidRPr="00D85745" w:rsidRDefault="00D85745" w:rsidP="00762A4C">
            <w:pPr>
              <w:jc w:val="both"/>
              <w:rPr>
                <w:rFonts w:eastAsiaTheme="minorHAnsi"/>
                <w:sz w:val="20"/>
                <w:lang w:val="en-CA"/>
              </w:rPr>
            </w:pPr>
            <w:r w:rsidRPr="00D85745">
              <w:rPr>
                <w:rFonts w:eastAsiaTheme="minorHAnsi"/>
                <w:sz w:val="20"/>
                <w:lang w:val="en-CA"/>
              </w:rPr>
              <w:t>(B.C.) (Civil) (By Leave)</w:t>
            </w:r>
          </w:p>
        </w:tc>
      </w:tr>
      <w:tr w:rsidR="00D85745" w:rsidRPr="00D85745" w:rsidTr="00FA312A">
        <w:tc>
          <w:tcPr>
            <w:tcW w:w="5000" w:type="pct"/>
            <w:gridSpan w:val="4"/>
          </w:tcPr>
          <w:p w:rsidR="00D85745" w:rsidRPr="00D85745" w:rsidRDefault="00D85745" w:rsidP="00762A4C">
            <w:pPr>
              <w:jc w:val="both"/>
              <w:rPr>
                <w:rFonts w:eastAsiaTheme="minorHAnsi"/>
                <w:sz w:val="20"/>
                <w:lang w:val="en-CA"/>
              </w:rPr>
            </w:pPr>
            <w:r w:rsidRPr="00D85745">
              <w:rPr>
                <w:rFonts w:eastAsiaTheme="minorHAnsi"/>
                <w:sz w:val="20"/>
                <w:lang w:val="en-CA"/>
              </w:rPr>
              <w:t xml:space="preserve">Civil procedure – Appeals – Whether the court erred in 2015 in </w:t>
            </w:r>
            <w:proofErr w:type="spellStart"/>
            <w:r w:rsidRPr="00D85745">
              <w:rPr>
                <w:rFonts w:eastAsiaTheme="minorHAnsi"/>
                <w:sz w:val="20"/>
                <w:lang w:val="en-CA"/>
              </w:rPr>
              <w:t>misprioritizing</w:t>
            </w:r>
            <w:proofErr w:type="spellEnd"/>
            <w:r w:rsidRPr="00D85745">
              <w:rPr>
                <w:rFonts w:eastAsiaTheme="minorHAnsi"/>
                <w:sz w:val="20"/>
                <w:lang w:val="en-CA"/>
              </w:rPr>
              <w:t xml:space="preserve"> statutory construction principles as to the test for reactivating an appeal and in failing to consider proportionality – Whether the court misconstrued the Court of Appeal Act and was unfair as to case management issues on appeal – Whether the court was palpably and </w:t>
            </w:r>
            <w:proofErr w:type="spellStart"/>
            <w:r w:rsidRPr="00D85745">
              <w:rPr>
                <w:rFonts w:eastAsiaTheme="minorHAnsi"/>
                <w:sz w:val="20"/>
                <w:lang w:val="en-CA"/>
              </w:rPr>
              <w:t>overridingly</w:t>
            </w:r>
            <w:proofErr w:type="spellEnd"/>
            <w:r w:rsidRPr="00D85745">
              <w:rPr>
                <w:rFonts w:eastAsiaTheme="minorHAnsi"/>
                <w:sz w:val="20"/>
                <w:lang w:val="en-CA"/>
              </w:rPr>
              <w:t xml:space="preserve"> wrong in finding that there was any prejudice to the ability to defend the appeal, or beyond serious prejudice – Whether the court misdirected itself as to the standard of review applicable to appeal chambers – Whether the court was palpably wrong in finding that the Applicant was simply rearguing the motion on review.</w:t>
            </w:r>
          </w:p>
        </w:tc>
      </w:tr>
      <w:tr w:rsidR="00D85745" w:rsidRPr="00D85745" w:rsidTr="00FA312A">
        <w:tc>
          <w:tcPr>
            <w:tcW w:w="5000" w:type="pct"/>
            <w:gridSpan w:val="4"/>
          </w:tcPr>
          <w:p w:rsidR="00D85745" w:rsidRPr="00D85745" w:rsidRDefault="00D85745" w:rsidP="00762A4C">
            <w:pPr>
              <w:jc w:val="both"/>
              <w:rPr>
                <w:rFonts w:eastAsiaTheme="minorHAnsi"/>
                <w:sz w:val="20"/>
                <w:lang w:val="en-CA"/>
              </w:rPr>
            </w:pPr>
          </w:p>
        </w:tc>
      </w:tr>
      <w:tr w:rsidR="00D85745" w:rsidRPr="00D85745" w:rsidTr="00FA312A">
        <w:tc>
          <w:tcPr>
            <w:tcW w:w="5000" w:type="pct"/>
            <w:gridSpan w:val="4"/>
          </w:tcPr>
          <w:p w:rsidR="00D85745" w:rsidRPr="00D85745" w:rsidRDefault="00D85745" w:rsidP="00762A4C">
            <w:pPr>
              <w:jc w:val="both"/>
              <w:rPr>
                <w:rFonts w:eastAsiaTheme="minorHAnsi"/>
                <w:sz w:val="20"/>
                <w:lang w:val="en-CA"/>
              </w:rPr>
            </w:pPr>
            <w:r w:rsidRPr="00D85745">
              <w:rPr>
                <w:rFonts w:eastAsiaTheme="minorHAnsi"/>
                <w:sz w:val="20"/>
                <w:lang w:val="en-CA"/>
              </w:rPr>
              <w:t xml:space="preserve">The Applicant, Robert </w:t>
            </w:r>
            <w:proofErr w:type="spellStart"/>
            <w:r w:rsidRPr="00D85745">
              <w:rPr>
                <w:rFonts w:eastAsiaTheme="minorHAnsi"/>
                <w:sz w:val="20"/>
                <w:lang w:val="en-CA"/>
              </w:rPr>
              <w:t>Semenoff</w:t>
            </w:r>
            <w:proofErr w:type="spellEnd"/>
            <w:r w:rsidRPr="00D85745">
              <w:rPr>
                <w:rFonts w:eastAsiaTheme="minorHAnsi"/>
                <w:sz w:val="20"/>
                <w:lang w:val="en-CA"/>
              </w:rPr>
              <w:t xml:space="preserve"> is the executor of the estate of Bill </w:t>
            </w:r>
            <w:proofErr w:type="spellStart"/>
            <w:r w:rsidRPr="00D85745">
              <w:rPr>
                <w:rFonts w:eastAsiaTheme="minorHAnsi"/>
                <w:sz w:val="20"/>
                <w:lang w:val="en-CA"/>
              </w:rPr>
              <w:t>Semenoff</w:t>
            </w:r>
            <w:proofErr w:type="spellEnd"/>
            <w:r w:rsidRPr="00D85745">
              <w:rPr>
                <w:rFonts w:eastAsiaTheme="minorHAnsi"/>
                <w:sz w:val="20"/>
                <w:lang w:val="en-CA"/>
              </w:rPr>
              <w:t xml:space="preserve">, deceased.  The Respondent, Lewis Bridgeman was Bill </w:t>
            </w:r>
            <w:proofErr w:type="spellStart"/>
            <w:r w:rsidRPr="00D85745">
              <w:rPr>
                <w:rFonts w:eastAsiaTheme="minorHAnsi"/>
                <w:sz w:val="20"/>
                <w:lang w:val="en-CA"/>
              </w:rPr>
              <w:t>Semenoff’s</w:t>
            </w:r>
            <w:proofErr w:type="spellEnd"/>
            <w:r w:rsidRPr="00D85745">
              <w:rPr>
                <w:rFonts w:eastAsiaTheme="minorHAnsi"/>
                <w:sz w:val="20"/>
                <w:lang w:val="en-CA"/>
              </w:rPr>
              <w:t xml:space="preserve"> lawyer at one time. The third parties are Michael </w:t>
            </w:r>
            <w:proofErr w:type="spellStart"/>
            <w:r w:rsidRPr="00D85745">
              <w:rPr>
                <w:rFonts w:eastAsiaTheme="minorHAnsi"/>
                <w:sz w:val="20"/>
                <w:lang w:val="en-CA"/>
              </w:rPr>
              <w:t>Semenoff</w:t>
            </w:r>
            <w:proofErr w:type="spellEnd"/>
            <w:r w:rsidRPr="00D85745">
              <w:rPr>
                <w:rFonts w:eastAsiaTheme="minorHAnsi"/>
                <w:sz w:val="20"/>
                <w:lang w:val="en-CA"/>
              </w:rPr>
              <w:t xml:space="preserve"> and Marion </w:t>
            </w:r>
            <w:proofErr w:type="spellStart"/>
            <w:r w:rsidRPr="00D85745">
              <w:rPr>
                <w:rFonts w:eastAsiaTheme="minorHAnsi"/>
                <w:sz w:val="20"/>
                <w:lang w:val="en-CA"/>
              </w:rPr>
              <w:t>Demosky</w:t>
            </w:r>
            <w:proofErr w:type="spellEnd"/>
            <w:r w:rsidRPr="00D85745">
              <w:rPr>
                <w:rFonts w:eastAsiaTheme="minorHAnsi"/>
                <w:sz w:val="20"/>
                <w:lang w:val="en-CA"/>
              </w:rPr>
              <w:t xml:space="preserve">, siblings of Bill </w:t>
            </w:r>
            <w:proofErr w:type="spellStart"/>
            <w:r w:rsidRPr="00D85745">
              <w:rPr>
                <w:rFonts w:eastAsiaTheme="minorHAnsi"/>
                <w:sz w:val="20"/>
                <w:lang w:val="en-CA"/>
              </w:rPr>
              <w:t>Semenoff</w:t>
            </w:r>
            <w:proofErr w:type="spellEnd"/>
            <w:r w:rsidRPr="00D85745">
              <w:rPr>
                <w:rFonts w:eastAsiaTheme="minorHAnsi"/>
                <w:sz w:val="20"/>
                <w:lang w:val="en-CA"/>
              </w:rPr>
              <w:t xml:space="preserve">. Robert </w:t>
            </w:r>
            <w:proofErr w:type="spellStart"/>
            <w:r w:rsidRPr="00D85745">
              <w:rPr>
                <w:rFonts w:eastAsiaTheme="minorHAnsi"/>
                <w:sz w:val="20"/>
                <w:lang w:val="en-CA"/>
              </w:rPr>
              <w:t>Semenoff</w:t>
            </w:r>
            <w:proofErr w:type="spellEnd"/>
            <w:r w:rsidRPr="00D85745">
              <w:rPr>
                <w:rFonts w:eastAsiaTheme="minorHAnsi"/>
                <w:sz w:val="20"/>
                <w:lang w:val="en-CA"/>
              </w:rPr>
              <w:t xml:space="preserve"> alleges that Mr. Bridgeman was negligent in providing legal services to Bill </w:t>
            </w:r>
            <w:proofErr w:type="spellStart"/>
            <w:r w:rsidRPr="00D85745">
              <w:rPr>
                <w:rFonts w:eastAsiaTheme="minorHAnsi"/>
                <w:sz w:val="20"/>
                <w:lang w:val="en-CA"/>
              </w:rPr>
              <w:t>Semenoff</w:t>
            </w:r>
            <w:proofErr w:type="spellEnd"/>
            <w:r w:rsidRPr="00D85745">
              <w:rPr>
                <w:rFonts w:eastAsiaTheme="minorHAnsi"/>
                <w:sz w:val="20"/>
                <w:lang w:val="en-CA"/>
              </w:rPr>
              <w:t xml:space="preserve"> in 1987 and 1990.  </w:t>
            </w:r>
          </w:p>
          <w:p w:rsidR="00D85745" w:rsidRPr="00D85745" w:rsidRDefault="00D85745" w:rsidP="00762A4C">
            <w:pPr>
              <w:jc w:val="both"/>
              <w:rPr>
                <w:rFonts w:eastAsiaTheme="minorHAnsi"/>
                <w:sz w:val="20"/>
                <w:lang w:val="en-CA"/>
              </w:rPr>
            </w:pPr>
          </w:p>
          <w:p w:rsidR="00D85745" w:rsidRPr="00D85745" w:rsidRDefault="00D85745" w:rsidP="00762A4C">
            <w:pPr>
              <w:jc w:val="both"/>
              <w:rPr>
                <w:rFonts w:eastAsiaTheme="minorHAnsi"/>
                <w:sz w:val="20"/>
                <w:lang w:val="en-CA"/>
              </w:rPr>
            </w:pPr>
            <w:r w:rsidRPr="00D85745">
              <w:rPr>
                <w:rFonts w:eastAsiaTheme="minorHAnsi"/>
                <w:sz w:val="20"/>
                <w:lang w:val="en-CA"/>
              </w:rPr>
              <w:t xml:space="preserve">Robert </w:t>
            </w:r>
            <w:proofErr w:type="spellStart"/>
            <w:r w:rsidRPr="00D85745">
              <w:rPr>
                <w:rFonts w:eastAsiaTheme="minorHAnsi"/>
                <w:sz w:val="20"/>
                <w:lang w:val="en-CA"/>
              </w:rPr>
              <w:t>Semenoff’s</w:t>
            </w:r>
            <w:proofErr w:type="spellEnd"/>
            <w:r w:rsidRPr="00D85745">
              <w:rPr>
                <w:rFonts w:eastAsiaTheme="minorHAnsi"/>
                <w:sz w:val="20"/>
                <w:lang w:val="en-CA"/>
              </w:rPr>
              <w:t xml:space="preserve"> case was dismissed on the basis that the evidence was insufficient to support the claim. The subsequent appeal was stayed as Robert </w:t>
            </w:r>
            <w:proofErr w:type="spellStart"/>
            <w:r w:rsidRPr="00D85745">
              <w:rPr>
                <w:rFonts w:eastAsiaTheme="minorHAnsi"/>
                <w:sz w:val="20"/>
                <w:lang w:val="en-CA"/>
              </w:rPr>
              <w:t>Semenoff</w:t>
            </w:r>
            <w:proofErr w:type="spellEnd"/>
            <w:r w:rsidRPr="00D85745">
              <w:rPr>
                <w:rFonts w:eastAsiaTheme="minorHAnsi"/>
                <w:sz w:val="20"/>
                <w:lang w:val="en-CA"/>
              </w:rPr>
              <w:t xml:space="preserve"> was ordered to post security for costs for the appeal. Security for costs were posted, but the appeal was later moved to the inactive list. Robert </w:t>
            </w:r>
            <w:proofErr w:type="spellStart"/>
            <w:r w:rsidRPr="00D85745">
              <w:rPr>
                <w:rFonts w:eastAsiaTheme="minorHAnsi"/>
                <w:sz w:val="20"/>
                <w:lang w:val="en-CA"/>
              </w:rPr>
              <w:t>Semenoff’s</w:t>
            </w:r>
            <w:proofErr w:type="spellEnd"/>
            <w:r w:rsidRPr="00D85745">
              <w:rPr>
                <w:rFonts w:eastAsiaTheme="minorHAnsi"/>
                <w:sz w:val="20"/>
                <w:lang w:val="en-CA"/>
              </w:rPr>
              <w:t xml:space="preserve"> application to remove his appeal from the inactive list was dismissed as was his application for review of this decision.</w:t>
            </w:r>
          </w:p>
          <w:p w:rsidR="00D85745" w:rsidRPr="00D85745" w:rsidRDefault="00D85745" w:rsidP="00762A4C">
            <w:pPr>
              <w:jc w:val="both"/>
              <w:rPr>
                <w:rFonts w:eastAsiaTheme="minorHAnsi"/>
                <w:sz w:val="20"/>
                <w:lang w:val="en-CA"/>
              </w:rPr>
            </w:pP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t>June 7, 2013</w:t>
            </w:r>
          </w:p>
          <w:p w:rsidR="00D85745" w:rsidRPr="00D85745" w:rsidRDefault="00D85745" w:rsidP="00762A4C">
            <w:pPr>
              <w:jc w:val="both"/>
              <w:rPr>
                <w:rFonts w:eastAsiaTheme="minorHAnsi"/>
                <w:sz w:val="20"/>
                <w:lang w:val="en-CA"/>
              </w:rPr>
            </w:pPr>
            <w:r w:rsidRPr="00D85745">
              <w:rPr>
                <w:rFonts w:eastAsiaTheme="minorHAnsi"/>
                <w:sz w:val="20"/>
                <w:lang w:val="en-CA"/>
              </w:rPr>
              <w:t>Supreme Court of British Columbia</w:t>
            </w:r>
          </w:p>
          <w:p w:rsidR="00D85745" w:rsidRPr="00D85745" w:rsidRDefault="00D85745" w:rsidP="00762A4C">
            <w:pPr>
              <w:jc w:val="both"/>
              <w:rPr>
                <w:rFonts w:eastAsiaTheme="minorHAnsi"/>
                <w:sz w:val="20"/>
                <w:lang w:val="en-CA"/>
              </w:rPr>
            </w:pPr>
            <w:r w:rsidRPr="00D85745">
              <w:rPr>
                <w:rFonts w:eastAsiaTheme="minorHAnsi"/>
                <w:sz w:val="20"/>
                <w:lang w:val="en-CA"/>
              </w:rPr>
              <w:t>(McKinnon J.)</w:t>
            </w:r>
          </w:p>
          <w:p w:rsidR="00D85745" w:rsidRPr="00D85745" w:rsidRDefault="0053798C" w:rsidP="00762A4C">
            <w:pPr>
              <w:jc w:val="both"/>
              <w:rPr>
                <w:rFonts w:eastAsiaTheme="minorHAnsi"/>
                <w:sz w:val="20"/>
                <w:lang w:val="en-CA"/>
              </w:rPr>
            </w:pPr>
            <w:hyperlink r:id="rId31" w:history="1">
              <w:r w:rsidR="00D85745" w:rsidRPr="00762A4C">
                <w:rPr>
                  <w:rFonts w:eastAsiaTheme="minorHAnsi"/>
                  <w:color w:val="0000FF" w:themeColor="hyperlink"/>
                  <w:sz w:val="20"/>
                  <w:u w:val="single"/>
                  <w:lang w:val="en-CA"/>
                </w:rPr>
                <w:t>2013 BCSC 1022</w:t>
              </w:r>
            </w:hyperlink>
          </w:p>
          <w:p w:rsidR="00D85745" w:rsidRPr="00D85745" w:rsidRDefault="00D85745" w:rsidP="00762A4C">
            <w:pPr>
              <w:jc w:val="both"/>
              <w:rPr>
                <w:rFonts w:eastAsiaTheme="minorHAnsi"/>
                <w:sz w:val="20"/>
                <w:lang w:val="en-CA"/>
              </w:rPr>
            </w:pP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Third party motion for dismissal, granted;  Applicant’s action dismissed.</w:t>
            </w:r>
          </w:p>
          <w:p w:rsidR="00D85745" w:rsidRPr="00D85745" w:rsidRDefault="00D85745" w:rsidP="00762A4C">
            <w:pPr>
              <w:jc w:val="both"/>
              <w:rPr>
                <w:rFonts w:eastAsiaTheme="minorHAnsi"/>
                <w:sz w:val="20"/>
                <w:lang w:val="en-CA"/>
              </w:rPr>
            </w:pP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t>August 26, 2013</w:t>
            </w:r>
          </w:p>
          <w:p w:rsidR="00D85745" w:rsidRPr="00D85745" w:rsidRDefault="00D85745" w:rsidP="00762A4C">
            <w:pPr>
              <w:jc w:val="both"/>
              <w:rPr>
                <w:rFonts w:eastAsiaTheme="minorHAnsi"/>
                <w:sz w:val="20"/>
                <w:lang w:val="en-CA"/>
              </w:rPr>
            </w:pPr>
            <w:r w:rsidRPr="00D85745">
              <w:rPr>
                <w:rFonts w:eastAsiaTheme="minorHAnsi"/>
                <w:sz w:val="20"/>
                <w:lang w:val="en-CA"/>
              </w:rPr>
              <w:t>Court of Appeal for British Columbia</w:t>
            </w:r>
          </w:p>
          <w:p w:rsidR="00D85745" w:rsidRPr="00D85745" w:rsidRDefault="00D85745" w:rsidP="00762A4C">
            <w:pPr>
              <w:jc w:val="both"/>
              <w:rPr>
                <w:rFonts w:eastAsiaTheme="minorHAnsi"/>
                <w:sz w:val="20"/>
                <w:lang w:val="en-CA"/>
              </w:rPr>
            </w:pPr>
            <w:r w:rsidRPr="00D85745">
              <w:rPr>
                <w:rFonts w:eastAsiaTheme="minorHAnsi"/>
                <w:sz w:val="20"/>
                <w:lang w:val="en-CA"/>
              </w:rPr>
              <w:t>(Vancouver)</w:t>
            </w:r>
          </w:p>
          <w:p w:rsidR="00D85745" w:rsidRPr="00D85745" w:rsidRDefault="00D85745" w:rsidP="00762A4C">
            <w:pPr>
              <w:jc w:val="both"/>
              <w:rPr>
                <w:rFonts w:eastAsiaTheme="minorHAnsi"/>
                <w:sz w:val="20"/>
                <w:lang w:val="en-CA"/>
              </w:rPr>
            </w:pPr>
            <w:r w:rsidRPr="00D85745">
              <w:rPr>
                <w:rFonts w:eastAsiaTheme="minorHAnsi"/>
                <w:sz w:val="20"/>
                <w:lang w:val="en-CA"/>
              </w:rPr>
              <w:t>Mackenzie J.A.</w:t>
            </w:r>
          </w:p>
          <w:p w:rsidR="00D85745" w:rsidRPr="00D85745" w:rsidRDefault="00D85745" w:rsidP="00762A4C">
            <w:pPr>
              <w:jc w:val="both"/>
              <w:rPr>
                <w:rFonts w:eastAsiaTheme="minorHAnsi"/>
                <w:sz w:val="20"/>
                <w:lang w:val="en-CA"/>
              </w:rPr>
            </w:pP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Applicant ordered to post security for costs; Appeal stayed.</w:t>
            </w:r>
          </w:p>
          <w:p w:rsidR="00D85745" w:rsidRPr="00D85745" w:rsidRDefault="00D85745" w:rsidP="00762A4C">
            <w:pPr>
              <w:jc w:val="both"/>
              <w:rPr>
                <w:rFonts w:eastAsiaTheme="minorHAnsi"/>
                <w:sz w:val="20"/>
                <w:lang w:val="en-CA"/>
              </w:rPr>
            </w:pP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lastRenderedPageBreak/>
              <w:t>December 8, 2014</w:t>
            </w:r>
          </w:p>
          <w:p w:rsidR="00D85745" w:rsidRPr="00D85745" w:rsidRDefault="00D85745" w:rsidP="00762A4C">
            <w:pPr>
              <w:jc w:val="both"/>
              <w:rPr>
                <w:rFonts w:eastAsiaTheme="minorHAnsi"/>
                <w:sz w:val="20"/>
                <w:lang w:val="en-CA"/>
              </w:rPr>
            </w:pPr>
            <w:r w:rsidRPr="00D85745">
              <w:rPr>
                <w:rFonts w:eastAsiaTheme="minorHAnsi"/>
                <w:sz w:val="20"/>
                <w:lang w:val="en-CA"/>
              </w:rPr>
              <w:t>Court of Appeal for British Columbia</w:t>
            </w:r>
          </w:p>
          <w:p w:rsidR="00D85745" w:rsidRPr="00D85745" w:rsidRDefault="00D85745" w:rsidP="00762A4C">
            <w:pPr>
              <w:jc w:val="both"/>
              <w:rPr>
                <w:rFonts w:eastAsiaTheme="minorHAnsi"/>
                <w:sz w:val="20"/>
                <w:lang w:val="en-CA"/>
              </w:rPr>
            </w:pPr>
            <w:r w:rsidRPr="00D85745">
              <w:rPr>
                <w:rFonts w:eastAsiaTheme="minorHAnsi"/>
                <w:sz w:val="20"/>
                <w:lang w:val="en-CA"/>
              </w:rPr>
              <w:t>(Vancouver)</w:t>
            </w:r>
          </w:p>
          <w:p w:rsidR="00D85745" w:rsidRPr="00D85745" w:rsidRDefault="00D85745" w:rsidP="00762A4C">
            <w:pPr>
              <w:jc w:val="both"/>
              <w:rPr>
                <w:rFonts w:eastAsiaTheme="minorHAnsi"/>
                <w:sz w:val="20"/>
                <w:lang w:val="en-CA"/>
              </w:rPr>
            </w:pPr>
            <w:r w:rsidRPr="00D85745">
              <w:rPr>
                <w:rFonts w:eastAsiaTheme="minorHAnsi"/>
                <w:sz w:val="20"/>
                <w:lang w:val="en-CA"/>
              </w:rPr>
              <w:t>Frankel J.A.</w:t>
            </w:r>
          </w:p>
          <w:p w:rsidR="00D85745" w:rsidRPr="00D85745" w:rsidRDefault="00D85745" w:rsidP="00762A4C">
            <w:pPr>
              <w:jc w:val="both"/>
              <w:rPr>
                <w:rFonts w:eastAsiaTheme="minorHAnsi"/>
                <w:sz w:val="20"/>
                <w:lang w:val="en-CA"/>
              </w:rPr>
            </w:pP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Applicant’s application to remove appeal from inactive list, dismissed.</w:t>
            </w: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t>March 31, 2015</w:t>
            </w:r>
          </w:p>
          <w:p w:rsidR="00D85745" w:rsidRPr="00D85745" w:rsidRDefault="00D85745" w:rsidP="00762A4C">
            <w:pPr>
              <w:jc w:val="both"/>
              <w:rPr>
                <w:rFonts w:eastAsiaTheme="minorHAnsi"/>
                <w:sz w:val="20"/>
                <w:lang w:val="en-CA"/>
              </w:rPr>
            </w:pPr>
            <w:r w:rsidRPr="00D85745">
              <w:rPr>
                <w:rFonts w:eastAsiaTheme="minorHAnsi"/>
                <w:sz w:val="20"/>
                <w:lang w:val="en-CA"/>
              </w:rPr>
              <w:t xml:space="preserve">Court of Appeal for British Columbia </w:t>
            </w:r>
          </w:p>
          <w:p w:rsidR="00D85745" w:rsidRPr="00D85745" w:rsidRDefault="00D85745" w:rsidP="00762A4C">
            <w:pPr>
              <w:jc w:val="both"/>
              <w:rPr>
                <w:rFonts w:eastAsiaTheme="minorHAnsi"/>
                <w:sz w:val="20"/>
                <w:lang w:val="en-CA"/>
              </w:rPr>
            </w:pPr>
            <w:r w:rsidRPr="00D85745">
              <w:rPr>
                <w:rFonts w:eastAsiaTheme="minorHAnsi"/>
                <w:sz w:val="20"/>
                <w:lang w:val="en-CA"/>
              </w:rPr>
              <w:t>(Vancouver)</w:t>
            </w:r>
          </w:p>
          <w:p w:rsidR="00D85745" w:rsidRPr="00D85745" w:rsidRDefault="00D85745" w:rsidP="00762A4C">
            <w:pPr>
              <w:jc w:val="both"/>
              <w:rPr>
                <w:rFonts w:eastAsiaTheme="minorHAnsi"/>
                <w:sz w:val="20"/>
                <w:lang w:val="en-CA"/>
              </w:rPr>
            </w:pPr>
            <w:r w:rsidRPr="00D85745">
              <w:rPr>
                <w:rFonts w:eastAsiaTheme="minorHAnsi"/>
                <w:sz w:val="20"/>
                <w:lang w:val="en-CA"/>
              </w:rPr>
              <w:t>(</w:t>
            </w:r>
            <w:proofErr w:type="spellStart"/>
            <w:r w:rsidRPr="00D85745">
              <w:rPr>
                <w:rFonts w:eastAsiaTheme="minorHAnsi"/>
                <w:sz w:val="20"/>
                <w:lang w:val="en-CA"/>
              </w:rPr>
              <w:t>Chiasson</w:t>
            </w:r>
            <w:proofErr w:type="spellEnd"/>
            <w:r w:rsidRPr="00D85745">
              <w:rPr>
                <w:rFonts w:eastAsiaTheme="minorHAnsi"/>
                <w:sz w:val="20"/>
                <w:lang w:val="en-CA"/>
              </w:rPr>
              <w:t xml:space="preserve">, </w:t>
            </w:r>
            <w:proofErr w:type="spellStart"/>
            <w:r w:rsidRPr="00D85745">
              <w:rPr>
                <w:rFonts w:eastAsiaTheme="minorHAnsi"/>
                <w:sz w:val="20"/>
                <w:lang w:val="en-CA"/>
              </w:rPr>
              <w:t>MacKenzie</w:t>
            </w:r>
            <w:proofErr w:type="spellEnd"/>
            <w:r w:rsidRPr="00D85745">
              <w:rPr>
                <w:rFonts w:eastAsiaTheme="minorHAnsi"/>
                <w:sz w:val="20"/>
                <w:lang w:val="en-CA"/>
              </w:rPr>
              <w:t xml:space="preserve"> and </w:t>
            </w:r>
            <w:proofErr w:type="spellStart"/>
            <w:r w:rsidRPr="00D85745">
              <w:rPr>
                <w:rFonts w:eastAsiaTheme="minorHAnsi"/>
                <w:sz w:val="20"/>
                <w:lang w:val="en-CA"/>
              </w:rPr>
              <w:t>Goepel</w:t>
            </w:r>
            <w:proofErr w:type="spellEnd"/>
            <w:r w:rsidRPr="00D85745">
              <w:rPr>
                <w:rFonts w:eastAsiaTheme="minorHAnsi"/>
                <w:sz w:val="20"/>
                <w:lang w:val="en-CA"/>
              </w:rPr>
              <w:t xml:space="preserve"> JJ.A.)</w:t>
            </w:r>
          </w:p>
          <w:p w:rsidR="00D85745" w:rsidRPr="00D85745" w:rsidRDefault="0053798C" w:rsidP="00762A4C">
            <w:pPr>
              <w:jc w:val="both"/>
              <w:rPr>
                <w:rFonts w:eastAsiaTheme="minorHAnsi"/>
                <w:sz w:val="20"/>
                <w:lang w:val="en-CA"/>
              </w:rPr>
            </w:pPr>
            <w:hyperlink r:id="rId32" w:history="1">
              <w:r w:rsidR="00D85745" w:rsidRPr="00762A4C">
                <w:rPr>
                  <w:rFonts w:eastAsiaTheme="minorHAnsi"/>
                  <w:color w:val="0000FF" w:themeColor="hyperlink"/>
                  <w:sz w:val="20"/>
                  <w:u w:val="single"/>
                  <w:lang w:val="en-CA"/>
                </w:rPr>
                <w:t>2015 BCCA 139</w:t>
              </w:r>
            </w:hyperlink>
            <w:r w:rsidR="00D85745" w:rsidRPr="00D85745">
              <w:rPr>
                <w:rFonts w:eastAsiaTheme="minorHAnsi"/>
                <w:sz w:val="20"/>
                <w:lang w:val="en-CA"/>
              </w:rPr>
              <w:t>; CA041029</w:t>
            </w:r>
          </w:p>
          <w:p w:rsidR="00D85745" w:rsidRPr="00D85745" w:rsidRDefault="00D85745" w:rsidP="00762A4C">
            <w:pPr>
              <w:jc w:val="both"/>
              <w:rPr>
                <w:rFonts w:eastAsiaTheme="minorHAnsi"/>
                <w:sz w:val="20"/>
                <w:lang w:val="en-CA"/>
              </w:rPr>
            </w:pP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Application for review, dismissed.</w:t>
            </w: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t>June 1, 2015</w:t>
            </w:r>
          </w:p>
          <w:p w:rsidR="00D85745" w:rsidRPr="00D85745" w:rsidRDefault="00D85745" w:rsidP="00762A4C">
            <w:pPr>
              <w:jc w:val="both"/>
              <w:rPr>
                <w:rFonts w:eastAsiaTheme="minorHAnsi"/>
                <w:sz w:val="20"/>
                <w:lang w:val="en-CA"/>
              </w:rPr>
            </w:pPr>
            <w:r w:rsidRPr="00D85745">
              <w:rPr>
                <w:rFonts w:eastAsiaTheme="minorHAnsi"/>
                <w:sz w:val="20"/>
                <w:lang w:val="en-CA"/>
              </w:rPr>
              <w:t>Supreme Court of Canada</w:t>
            </w: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Application for leave to appeal filed.</w:t>
            </w:r>
          </w:p>
          <w:p w:rsidR="00D85745" w:rsidRPr="00D85745" w:rsidRDefault="00D85745" w:rsidP="00762A4C">
            <w:pPr>
              <w:jc w:val="both"/>
              <w:rPr>
                <w:rFonts w:eastAsiaTheme="minorHAnsi"/>
                <w:sz w:val="20"/>
                <w:lang w:val="en-CA"/>
              </w:rPr>
            </w:pPr>
          </w:p>
        </w:tc>
      </w:tr>
    </w:tbl>
    <w:p w:rsidR="00D85745" w:rsidRPr="00D85745" w:rsidRDefault="00D85745" w:rsidP="00762A4C">
      <w:pPr>
        <w:jc w:val="both"/>
        <w:rPr>
          <w:rFonts w:eastAsiaTheme="minorHAnsi"/>
          <w:sz w:val="20"/>
          <w:lang w:val="en-CA"/>
        </w:rPr>
      </w:pPr>
    </w:p>
    <w:p w:rsidR="00D07A82" w:rsidRPr="00762A4C" w:rsidRDefault="00D07A82" w:rsidP="00762A4C">
      <w:pPr>
        <w:ind w:left="360" w:hanging="360"/>
        <w:jc w:val="both"/>
        <w:rPr>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85745" w:rsidRPr="00D85745" w:rsidTr="00D85745">
        <w:tc>
          <w:tcPr>
            <w:tcW w:w="543" w:type="pct"/>
            <w:hideMark/>
          </w:tcPr>
          <w:p w:rsidR="00D85745" w:rsidRPr="00D85745" w:rsidRDefault="00D85745" w:rsidP="00762A4C">
            <w:pPr>
              <w:jc w:val="both"/>
              <w:rPr>
                <w:rFonts w:eastAsia="Calibri"/>
                <w:sz w:val="20"/>
                <w:lang w:val="en-CA"/>
              </w:rPr>
            </w:pPr>
            <w:r w:rsidRPr="00762A4C">
              <w:rPr>
                <w:rFonts w:eastAsia="Calibri"/>
                <w:b/>
                <w:sz w:val="20"/>
                <w:lang w:val="en-CA"/>
              </w:rPr>
              <w:t>36461</w:t>
            </w:r>
          </w:p>
        </w:tc>
        <w:tc>
          <w:tcPr>
            <w:tcW w:w="4457" w:type="pct"/>
            <w:gridSpan w:val="3"/>
            <w:hideMark/>
          </w:tcPr>
          <w:p w:rsidR="00D85745" w:rsidRPr="00D85745" w:rsidRDefault="00D85745" w:rsidP="00762A4C">
            <w:pPr>
              <w:jc w:val="both"/>
              <w:rPr>
                <w:rFonts w:eastAsia="Calibri"/>
                <w:b/>
                <w:sz w:val="20"/>
                <w:lang w:val="fr-CA"/>
              </w:rPr>
            </w:pPr>
            <w:r w:rsidRPr="00D85745">
              <w:rPr>
                <w:rFonts w:eastAsia="Calibri"/>
                <w:b/>
                <w:sz w:val="20"/>
                <w:lang w:val="fr-CA"/>
              </w:rPr>
              <w:t xml:space="preserve">Robert </w:t>
            </w:r>
            <w:proofErr w:type="spellStart"/>
            <w:r w:rsidRPr="00D85745">
              <w:rPr>
                <w:rFonts w:eastAsia="Calibri"/>
                <w:b/>
                <w:sz w:val="20"/>
                <w:lang w:val="fr-CA"/>
              </w:rPr>
              <w:t>Semenoff</w:t>
            </w:r>
            <w:proofErr w:type="spellEnd"/>
            <w:r w:rsidRPr="00D85745">
              <w:rPr>
                <w:rFonts w:eastAsia="Calibri"/>
                <w:b/>
                <w:sz w:val="20"/>
                <w:lang w:val="fr-CA"/>
              </w:rPr>
              <w:t xml:space="preserve">, exécuteur de la succession de Bill </w:t>
            </w:r>
            <w:proofErr w:type="spellStart"/>
            <w:r w:rsidRPr="00D85745">
              <w:rPr>
                <w:rFonts w:eastAsia="Calibri"/>
                <w:b/>
                <w:sz w:val="20"/>
                <w:lang w:val="fr-CA"/>
              </w:rPr>
              <w:t>Semenoff</w:t>
            </w:r>
            <w:proofErr w:type="spellEnd"/>
            <w:r w:rsidRPr="00D85745">
              <w:rPr>
                <w:rFonts w:eastAsia="Calibri"/>
                <w:b/>
                <w:sz w:val="20"/>
                <w:lang w:val="fr-CA"/>
              </w:rPr>
              <w:t xml:space="preserve">, défunt c. Lewis J. </w:t>
            </w:r>
            <w:proofErr w:type="spellStart"/>
            <w:r w:rsidRPr="00D85745">
              <w:rPr>
                <w:rFonts w:eastAsia="Calibri"/>
                <w:b/>
                <w:sz w:val="20"/>
                <w:lang w:val="fr-CA"/>
              </w:rPr>
              <w:t>Bridgeman</w:t>
            </w:r>
            <w:proofErr w:type="spellEnd"/>
            <w:r w:rsidRPr="00D85745">
              <w:rPr>
                <w:rFonts w:eastAsia="Calibri"/>
                <w:b/>
                <w:sz w:val="20"/>
                <w:lang w:val="fr-CA"/>
              </w:rPr>
              <w:t xml:space="preserve">, Marion </w:t>
            </w:r>
            <w:proofErr w:type="spellStart"/>
            <w:r w:rsidRPr="00D85745">
              <w:rPr>
                <w:rFonts w:eastAsia="Calibri"/>
                <w:b/>
                <w:sz w:val="20"/>
                <w:lang w:val="fr-CA"/>
              </w:rPr>
              <w:t>Demosky</w:t>
            </w:r>
            <w:proofErr w:type="spellEnd"/>
            <w:r w:rsidRPr="00D85745">
              <w:rPr>
                <w:rFonts w:eastAsia="Calibri"/>
                <w:b/>
                <w:sz w:val="20"/>
                <w:lang w:val="fr-CA"/>
              </w:rPr>
              <w:t xml:space="preserve"> et Michael William </w:t>
            </w:r>
            <w:proofErr w:type="spellStart"/>
            <w:r w:rsidRPr="00D85745">
              <w:rPr>
                <w:rFonts w:eastAsia="Calibri"/>
                <w:b/>
                <w:sz w:val="20"/>
                <w:lang w:val="fr-CA"/>
              </w:rPr>
              <w:t>Semenoff</w:t>
            </w:r>
            <w:proofErr w:type="spellEnd"/>
          </w:p>
          <w:p w:rsidR="00D85745" w:rsidRPr="00D85745" w:rsidRDefault="00D85745" w:rsidP="00762A4C">
            <w:pPr>
              <w:jc w:val="both"/>
              <w:rPr>
                <w:rFonts w:eastAsia="Calibri"/>
                <w:sz w:val="20"/>
                <w:lang w:val="fr-CA"/>
              </w:rPr>
            </w:pPr>
            <w:r w:rsidRPr="00D85745">
              <w:rPr>
                <w:rFonts w:eastAsia="Calibri"/>
                <w:sz w:val="20"/>
                <w:lang w:val="fr-CA"/>
              </w:rPr>
              <w:t>(C.-B.) (Civile) (Sur autorisation)</w:t>
            </w:r>
          </w:p>
        </w:tc>
      </w:tr>
      <w:tr w:rsidR="00D85745" w:rsidRPr="00D85745" w:rsidTr="00D85745">
        <w:tc>
          <w:tcPr>
            <w:tcW w:w="5000" w:type="pct"/>
            <w:gridSpan w:val="4"/>
          </w:tcPr>
          <w:p w:rsidR="00D85745" w:rsidRPr="00D85745" w:rsidRDefault="00D85745" w:rsidP="00762A4C">
            <w:pPr>
              <w:jc w:val="both"/>
              <w:rPr>
                <w:rFonts w:eastAsia="Calibri"/>
                <w:sz w:val="20"/>
                <w:lang w:val="fr-CA"/>
              </w:rPr>
            </w:pPr>
            <w:r w:rsidRPr="00D85745">
              <w:rPr>
                <w:rFonts w:eastAsia="Calibri"/>
                <w:sz w:val="20"/>
                <w:lang w:val="fr-CA"/>
              </w:rPr>
              <w:t xml:space="preserve">Procédure civile – Appels – La cour a-t-elle fait erreur en 2015 dans l’ordre de préséance qu’elle a donné aux principes d’interprétation législative à l’égard du critère applicable à la réactivation du dossier d’appel et en omettant de tenir compte de la proportionnalité? – La cour a-t-elle mal interprété la </w:t>
            </w:r>
            <w:r w:rsidRPr="00D85745">
              <w:rPr>
                <w:rFonts w:eastAsia="Calibri"/>
                <w:i/>
                <w:sz w:val="20"/>
                <w:lang w:val="fr-CA"/>
              </w:rPr>
              <w:t xml:space="preserve">Court of </w:t>
            </w:r>
            <w:proofErr w:type="spellStart"/>
            <w:r w:rsidRPr="00D85745">
              <w:rPr>
                <w:rFonts w:eastAsia="Calibri"/>
                <w:i/>
                <w:sz w:val="20"/>
                <w:lang w:val="fr-CA"/>
              </w:rPr>
              <w:t>Appeal</w:t>
            </w:r>
            <w:proofErr w:type="spellEnd"/>
            <w:r w:rsidRPr="00D85745">
              <w:rPr>
                <w:rFonts w:eastAsia="Calibri"/>
                <w:i/>
                <w:sz w:val="20"/>
                <w:lang w:val="fr-CA"/>
              </w:rPr>
              <w:t xml:space="preserve"> </w:t>
            </w:r>
            <w:proofErr w:type="spellStart"/>
            <w:r w:rsidRPr="00D85745">
              <w:rPr>
                <w:rFonts w:eastAsia="Calibri"/>
                <w:i/>
                <w:sz w:val="20"/>
                <w:lang w:val="fr-CA"/>
              </w:rPr>
              <w:t>Act</w:t>
            </w:r>
            <w:proofErr w:type="spellEnd"/>
            <w:r w:rsidRPr="00D85745">
              <w:rPr>
                <w:rFonts w:eastAsia="Calibri"/>
                <w:sz w:val="20"/>
                <w:lang w:val="fr-CA"/>
              </w:rPr>
              <w:t xml:space="preserve"> et a-t-elle tranché </w:t>
            </w:r>
            <w:proofErr w:type="spellStart"/>
            <w:r w:rsidRPr="00D85745">
              <w:rPr>
                <w:rFonts w:eastAsia="Calibri"/>
                <w:sz w:val="20"/>
                <w:lang w:val="fr-CA"/>
              </w:rPr>
              <w:t>inéquitablement</w:t>
            </w:r>
            <w:proofErr w:type="spellEnd"/>
            <w:r w:rsidRPr="00D85745">
              <w:rPr>
                <w:rFonts w:eastAsia="Calibri"/>
                <w:sz w:val="20"/>
                <w:lang w:val="fr-CA"/>
              </w:rPr>
              <w:t xml:space="preserve"> les questions de gestion de l’instance en appel? – La cour a-t-elle commis une erreur manifeste et dominante en concluant à l’existence d’un préjudice à la capacité de défendre l’appel ou d’un préjudice grave? – La cour s’est-elle trompée de norme de contrôle applicable en appel? – La cour a-t-elle commis une erreur manifeste en concluant que le demandeur ne faisait que débattre à nouveau la requête faisant l’objet du contrôle judiciaire?</w:t>
            </w:r>
          </w:p>
        </w:tc>
      </w:tr>
      <w:tr w:rsidR="00D85745" w:rsidRPr="00D85745" w:rsidTr="00D85745">
        <w:tc>
          <w:tcPr>
            <w:tcW w:w="5000" w:type="pct"/>
            <w:gridSpan w:val="4"/>
          </w:tcPr>
          <w:p w:rsidR="00D85745" w:rsidRPr="00D85745" w:rsidRDefault="00D85745" w:rsidP="00762A4C">
            <w:pPr>
              <w:jc w:val="both"/>
              <w:rPr>
                <w:rFonts w:eastAsia="Calibri"/>
                <w:sz w:val="20"/>
                <w:lang w:val="fr-CA"/>
              </w:rPr>
            </w:pPr>
          </w:p>
        </w:tc>
      </w:tr>
      <w:tr w:rsidR="00D85745" w:rsidRPr="00D85745" w:rsidTr="00D85745">
        <w:tc>
          <w:tcPr>
            <w:tcW w:w="5000" w:type="pct"/>
            <w:gridSpan w:val="4"/>
          </w:tcPr>
          <w:p w:rsidR="00D85745" w:rsidRPr="00D85745" w:rsidRDefault="00D85745" w:rsidP="00762A4C">
            <w:pPr>
              <w:jc w:val="both"/>
              <w:rPr>
                <w:rFonts w:eastAsia="Calibri"/>
                <w:sz w:val="20"/>
                <w:lang w:val="fr-CA"/>
              </w:rPr>
            </w:pPr>
            <w:r w:rsidRPr="00D85745">
              <w:rPr>
                <w:rFonts w:eastAsia="Calibri"/>
                <w:sz w:val="20"/>
                <w:lang w:val="fr-CA"/>
              </w:rPr>
              <w:t xml:space="preserve">Le demandeur, Robert </w:t>
            </w:r>
            <w:proofErr w:type="spellStart"/>
            <w:r w:rsidRPr="00D85745">
              <w:rPr>
                <w:rFonts w:eastAsia="Calibri"/>
                <w:sz w:val="20"/>
                <w:lang w:val="fr-CA"/>
              </w:rPr>
              <w:t>Semenoff</w:t>
            </w:r>
            <w:proofErr w:type="spellEnd"/>
            <w:r w:rsidRPr="00D85745">
              <w:rPr>
                <w:rFonts w:eastAsia="Calibri"/>
                <w:sz w:val="20"/>
                <w:lang w:val="fr-CA"/>
              </w:rPr>
              <w:t xml:space="preserve">, est l’exécuteur de la succession de Bill </w:t>
            </w:r>
            <w:proofErr w:type="spellStart"/>
            <w:r w:rsidRPr="00D85745">
              <w:rPr>
                <w:rFonts w:eastAsia="Calibri"/>
                <w:sz w:val="20"/>
                <w:lang w:val="fr-CA"/>
              </w:rPr>
              <w:t>Semenoff</w:t>
            </w:r>
            <w:proofErr w:type="spellEnd"/>
            <w:r w:rsidRPr="00D85745">
              <w:rPr>
                <w:rFonts w:eastAsia="Calibri"/>
                <w:sz w:val="20"/>
                <w:lang w:val="fr-CA"/>
              </w:rPr>
              <w:t xml:space="preserve">, défunt. L’intimé, Lewis </w:t>
            </w:r>
            <w:proofErr w:type="spellStart"/>
            <w:r w:rsidRPr="00D85745">
              <w:rPr>
                <w:rFonts w:eastAsia="Calibri"/>
                <w:sz w:val="20"/>
                <w:lang w:val="fr-CA"/>
              </w:rPr>
              <w:t>Bridgeman</w:t>
            </w:r>
            <w:proofErr w:type="spellEnd"/>
            <w:r w:rsidRPr="00D85745">
              <w:rPr>
                <w:rFonts w:eastAsia="Calibri"/>
                <w:sz w:val="20"/>
                <w:lang w:val="fr-CA"/>
              </w:rPr>
              <w:t xml:space="preserve">, avait été l’avocat de Bill </w:t>
            </w:r>
            <w:proofErr w:type="spellStart"/>
            <w:r w:rsidRPr="00D85745">
              <w:rPr>
                <w:rFonts w:eastAsia="Calibri"/>
                <w:sz w:val="20"/>
                <w:lang w:val="fr-CA"/>
              </w:rPr>
              <w:t>Semenoff</w:t>
            </w:r>
            <w:proofErr w:type="spellEnd"/>
            <w:r w:rsidRPr="00D85745">
              <w:rPr>
                <w:rFonts w:eastAsia="Calibri"/>
                <w:sz w:val="20"/>
                <w:lang w:val="fr-CA"/>
              </w:rPr>
              <w:t xml:space="preserve">. Les tiers sont Michael </w:t>
            </w:r>
            <w:proofErr w:type="spellStart"/>
            <w:r w:rsidRPr="00D85745">
              <w:rPr>
                <w:rFonts w:eastAsia="Calibri"/>
                <w:sz w:val="20"/>
                <w:lang w:val="fr-CA"/>
              </w:rPr>
              <w:t>Semenoff</w:t>
            </w:r>
            <w:proofErr w:type="spellEnd"/>
            <w:r w:rsidRPr="00D85745">
              <w:rPr>
                <w:rFonts w:eastAsia="Calibri"/>
                <w:sz w:val="20"/>
                <w:lang w:val="fr-CA"/>
              </w:rPr>
              <w:t xml:space="preserve"> et Marion </w:t>
            </w:r>
            <w:proofErr w:type="spellStart"/>
            <w:r w:rsidRPr="00D85745">
              <w:rPr>
                <w:rFonts w:eastAsia="Calibri"/>
                <w:sz w:val="20"/>
                <w:lang w:val="fr-CA"/>
              </w:rPr>
              <w:t>Demosky</w:t>
            </w:r>
            <w:proofErr w:type="spellEnd"/>
            <w:r w:rsidRPr="00D85745">
              <w:rPr>
                <w:rFonts w:eastAsia="Calibri"/>
                <w:sz w:val="20"/>
                <w:lang w:val="fr-CA"/>
              </w:rPr>
              <w:t xml:space="preserve">, le frère et la </w:t>
            </w:r>
            <w:proofErr w:type="spellStart"/>
            <w:r w:rsidRPr="00D85745">
              <w:rPr>
                <w:rFonts w:eastAsia="Calibri"/>
                <w:sz w:val="20"/>
                <w:lang w:val="fr-CA"/>
              </w:rPr>
              <w:t>soeur</w:t>
            </w:r>
            <w:proofErr w:type="spellEnd"/>
            <w:r w:rsidRPr="00D85745">
              <w:rPr>
                <w:rFonts w:eastAsia="Calibri"/>
                <w:sz w:val="20"/>
                <w:lang w:val="fr-CA"/>
              </w:rPr>
              <w:t xml:space="preserve"> de Bill </w:t>
            </w:r>
            <w:proofErr w:type="spellStart"/>
            <w:r w:rsidRPr="00D85745">
              <w:rPr>
                <w:rFonts w:eastAsia="Calibri"/>
                <w:sz w:val="20"/>
                <w:lang w:val="fr-CA"/>
              </w:rPr>
              <w:t>Semenoff</w:t>
            </w:r>
            <w:proofErr w:type="spellEnd"/>
            <w:r w:rsidRPr="00D85745">
              <w:rPr>
                <w:rFonts w:eastAsia="Calibri"/>
                <w:sz w:val="20"/>
                <w:lang w:val="fr-CA"/>
              </w:rPr>
              <w:t xml:space="preserve">. Robert </w:t>
            </w:r>
            <w:proofErr w:type="spellStart"/>
            <w:r w:rsidRPr="00D85745">
              <w:rPr>
                <w:rFonts w:eastAsia="Calibri"/>
                <w:sz w:val="20"/>
                <w:lang w:val="fr-CA"/>
              </w:rPr>
              <w:t>Semenoff</w:t>
            </w:r>
            <w:proofErr w:type="spellEnd"/>
            <w:r w:rsidRPr="00D85745">
              <w:rPr>
                <w:rFonts w:eastAsia="Calibri"/>
                <w:sz w:val="20"/>
                <w:lang w:val="fr-CA"/>
              </w:rPr>
              <w:t xml:space="preserve"> prétend que M. </w:t>
            </w:r>
            <w:proofErr w:type="spellStart"/>
            <w:r w:rsidRPr="00D85745">
              <w:rPr>
                <w:rFonts w:eastAsia="Calibri"/>
                <w:sz w:val="20"/>
                <w:lang w:val="fr-CA"/>
              </w:rPr>
              <w:t>Bridgeman</w:t>
            </w:r>
            <w:proofErr w:type="spellEnd"/>
            <w:r w:rsidRPr="00D85745">
              <w:rPr>
                <w:rFonts w:eastAsia="Calibri"/>
                <w:sz w:val="20"/>
                <w:lang w:val="fr-CA"/>
              </w:rPr>
              <w:t xml:space="preserve"> a fait preuve de négligence dans la prestation de services juridiques à Bill </w:t>
            </w:r>
            <w:proofErr w:type="spellStart"/>
            <w:r w:rsidRPr="00D85745">
              <w:rPr>
                <w:rFonts w:eastAsia="Calibri"/>
                <w:sz w:val="20"/>
                <w:lang w:val="fr-CA"/>
              </w:rPr>
              <w:t>Semenoff</w:t>
            </w:r>
            <w:proofErr w:type="spellEnd"/>
            <w:r w:rsidRPr="00D85745">
              <w:rPr>
                <w:rFonts w:eastAsia="Calibri"/>
                <w:sz w:val="20"/>
                <w:lang w:val="fr-CA"/>
              </w:rPr>
              <w:t xml:space="preserve"> en 1987 et 1990.  </w:t>
            </w:r>
          </w:p>
          <w:p w:rsidR="00D85745" w:rsidRPr="00D85745" w:rsidRDefault="00D85745" w:rsidP="00762A4C">
            <w:pPr>
              <w:jc w:val="both"/>
              <w:rPr>
                <w:rFonts w:eastAsia="Calibri"/>
                <w:sz w:val="20"/>
                <w:lang w:val="fr-CA"/>
              </w:rPr>
            </w:pPr>
          </w:p>
          <w:p w:rsidR="00D85745" w:rsidRPr="00D85745" w:rsidRDefault="00D85745" w:rsidP="00762A4C">
            <w:pPr>
              <w:jc w:val="both"/>
              <w:rPr>
                <w:rFonts w:eastAsia="Calibri"/>
                <w:sz w:val="20"/>
                <w:lang w:val="fr-CA"/>
              </w:rPr>
            </w:pPr>
            <w:r w:rsidRPr="00D85745">
              <w:rPr>
                <w:rFonts w:eastAsia="Calibri"/>
                <w:sz w:val="20"/>
                <w:lang w:val="fr-CA"/>
              </w:rPr>
              <w:t xml:space="preserve">L’action de Robert </w:t>
            </w:r>
            <w:proofErr w:type="spellStart"/>
            <w:r w:rsidRPr="00D85745">
              <w:rPr>
                <w:rFonts w:eastAsia="Calibri"/>
                <w:sz w:val="20"/>
                <w:lang w:val="fr-CA"/>
              </w:rPr>
              <w:t>Semenoff</w:t>
            </w:r>
            <w:proofErr w:type="spellEnd"/>
            <w:r w:rsidRPr="00D85745">
              <w:rPr>
                <w:rFonts w:eastAsia="Calibri"/>
                <w:sz w:val="20"/>
                <w:lang w:val="fr-CA"/>
              </w:rPr>
              <w:t xml:space="preserve"> a été rejetée au motif que la preuve n’appuyait pas ses prétentions. Il a par la suite été sursis à l’appel, Robert </w:t>
            </w:r>
            <w:proofErr w:type="spellStart"/>
            <w:r w:rsidRPr="00D85745">
              <w:rPr>
                <w:rFonts w:eastAsia="Calibri"/>
                <w:sz w:val="20"/>
                <w:lang w:val="fr-CA"/>
              </w:rPr>
              <w:t>Semenoff</w:t>
            </w:r>
            <w:proofErr w:type="spellEnd"/>
            <w:r w:rsidRPr="00D85745">
              <w:rPr>
                <w:rFonts w:eastAsia="Calibri"/>
                <w:sz w:val="20"/>
                <w:lang w:val="fr-CA"/>
              </w:rPr>
              <w:t xml:space="preserve"> étant tenu de fournir une garantie relative aux dépens dans l’appel. Il a fourni la garantie, mais le dossier d’appel a été mis sur la liste des dossiers inactifs. La demande présentée par Robert </w:t>
            </w:r>
            <w:proofErr w:type="spellStart"/>
            <w:r w:rsidRPr="00D85745">
              <w:rPr>
                <w:rFonts w:eastAsia="Calibri"/>
                <w:sz w:val="20"/>
                <w:lang w:val="fr-CA"/>
              </w:rPr>
              <w:t>Semenoff</w:t>
            </w:r>
            <w:proofErr w:type="spellEnd"/>
            <w:r w:rsidRPr="00D85745">
              <w:rPr>
                <w:rFonts w:eastAsia="Calibri"/>
                <w:sz w:val="20"/>
                <w:lang w:val="fr-CA"/>
              </w:rPr>
              <w:t xml:space="preserve"> pour faire retirer son dossier d’appel de la liste des dossiers inactifs a été rejetée, de même que sa demande de contrôle judiciaire visant cette décision.  </w:t>
            </w:r>
          </w:p>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7 juin 2013</w:t>
            </w:r>
          </w:p>
          <w:p w:rsidR="00D85745" w:rsidRPr="00D85745" w:rsidRDefault="00D85745" w:rsidP="00762A4C">
            <w:pPr>
              <w:jc w:val="both"/>
              <w:rPr>
                <w:rFonts w:eastAsia="Calibri"/>
                <w:sz w:val="20"/>
                <w:lang w:val="fr-CA"/>
              </w:rPr>
            </w:pPr>
            <w:r w:rsidRPr="00D85745">
              <w:rPr>
                <w:rFonts w:eastAsia="Calibri"/>
                <w:sz w:val="20"/>
                <w:lang w:val="fr-CA"/>
              </w:rPr>
              <w:t>Cour suprême de la Colombie-Britannique</w:t>
            </w:r>
          </w:p>
          <w:p w:rsidR="00D85745" w:rsidRPr="00D85745" w:rsidRDefault="00D85745" w:rsidP="00762A4C">
            <w:pPr>
              <w:jc w:val="both"/>
              <w:rPr>
                <w:rFonts w:eastAsia="Calibri"/>
                <w:sz w:val="20"/>
                <w:lang w:val="en-CA"/>
              </w:rPr>
            </w:pPr>
            <w:r w:rsidRPr="00D85745">
              <w:rPr>
                <w:rFonts w:eastAsia="Calibri"/>
                <w:sz w:val="20"/>
                <w:lang w:val="en-CA"/>
              </w:rPr>
              <w:t>(</w:t>
            </w:r>
            <w:proofErr w:type="spellStart"/>
            <w:r w:rsidRPr="00D85745">
              <w:rPr>
                <w:rFonts w:eastAsia="Calibri"/>
                <w:sz w:val="20"/>
                <w:lang w:val="en-CA"/>
              </w:rPr>
              <w:t>Juge</w:t>
            </w:r>
            <w:proofErr w:type="spellEnd"/>
            <w:r w:rsidRPr="00D85745">
              <w:rPr>
                <w:rFonts w:eastAsia="Calibri"/>
                <w:sz w:val="20"/>
                <w:lang w:val="en-CA"/>
              </w:rPr>
              <w:t xml:space="preserve"> McKinnon)</w:t>
            </w:r>
          </w:p>
          <w:p w:rsidR="00D85745" w:rsidRPr="00D85745" w:rsidRDefault="0053798C" w:rsidP="00762A4C">
            <w:pPr>
              <w:jc w:val="both"/>
              <w:rPr>
                <w:rFonts w:eastAsia="Calibri"/>
                <w:sz w:val="20"/>
                <w:lang w:val="en-CA"/>
              </w:rPr>
            </w:pPr>
            <w:hyperlink r:id="rId33" w:history="1">
              <w:r w:rsidR="00D85745" w:rsidRPr="00762A4C">
                <w:rPr>
                  <w:rFonts w:eastAsia="Calibri"/>
                  <w:color w:val="0000FF" w:themeColor="hyperlink"/>
                  <w:sz w:val="20"/>
                  <w:u w:val="single"/>
                  <w:lang w:val="en-CA"/>
                </w:rPr>
                <w:t>2013 BCSC 1022</w:t>
              </w:r>
            </w:hyperlink>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Requête en rejet de l’action présentée par un tiers accueillie; Rejet de l’action du demandeur.</w:t>
            </w:r>
          </w:p>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lastRenderedPageBreak/>
              <w:t>26 août 2013</w:t>
            </w:r>
          </w:p>
          <w:p w:rsidR="00D85745" w:rsidRPr="00D85745" w:rsidRDefault="00D85745" w:rsidP="00762A4C">
            <w:pPr>
              <w:jc w:val="both"/>
              <w:rPr>
                <w:rFonts w:eastAsia="Calibri"/>
                <w:sz w:val="20"/>
                <w:lang w:val="fr-CA"/>
              </w:rPr>
            </w:pPr>
            <w:r w:rsidRPr="00D85745">
              <w:rPr>
                <w:rFonts w:eastAsia="Calibri"/>
                <w:sz w:val="20"/>
                <w:lang w:val="fr-CA"/>
              </w:rPr>
              <w:t>Cour d’appel de la Colombie-Britannique</w:t>
            </w:r>
          </w:p>
          <w:p w:rsidR="00D85745" w:rsidRPr="00D85745" w:rsidRDefault="00D85745" w:rsidP="00762A4C">
            <w:pPr>
              <w:jc w:val="both"/>
              <w:rPr>
                <w:rFonts w:eastAsia="Calibri"/>
                <w:sz w:val="20"/>
                <w:lang w:val="en-CA"/>
              </w:rPr>
            </w:pPr>
            <w:r w:rsidRPr="00D85745">
              <w:rPr>
                <w:rFonts w:eastAsia="Calibri"/>
                <w:sz w:val="20"/>
                <w:lang w:val="en-CA"/>
              </w:rPr>
              <w:t>(Vancouver)</w:t>
            </w:r>
          </w:p>
          <w:p w:rsidR="00D85745" w:rsidRPr="00D85745" w:rsidRDefault="00D85745" w:rsidP="00762A4C">
            <w:pPr>
              <w:jc w:val="both"/>
              <w:rPr>
                <w:rFonts w:eastAsia="Calibri"/>
                <w:sz w:val="20"/>
                <w:lang w:val="en-CA"/>
              </w:rPr>
            </w:pPr>
            <w:proofErr w:type="spellStart"/>
            <w:r w:rsidRPr="00D85745">
              <w:rPr>
                <w:rFonts w:eastAsia="Calibri"/>
                <w:sz w:val="20"/>
                <w:lang w:val="en-CA"/>
              </w:rPr>
              <w:t>Juge</w:t>
            </w:r>
            <w:proofErr w:type="spellEnd"/>
            <w:r w:rsidRPr="00D85745">
              <w:rPr>
                <w:rFonts w:eastAsia="Calibri"/>
                <w:sz w:val="20"/>
                <w:lang w:val="en-CA"/>
              </w:rPr>
              <w:t xml:space="preserve"> Mackenzie</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Ordonnance obligeant le demandeur à fournir la garantie relative aux dépens rendue; Sursis d’appel.</w:t>
            </w:r>
          </w:p>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8 décembre 2014</w:t>
            </w:r>
          </w:p>
          <w:p w:rsidR="00D85745" w:rsidRPr="00D85745" w:rsidRDefault="00D85745" w:rsidP="00762A4C">
            <w:pPr>
              <w:jc w:val="both"/>
              <w:rPr>
                <w:rFonts w:eastAsia="Calibri"/>
                <w:sz w:val="20"/>
                <w:lang w:val="fr-CA"/>
              </w:rPr>
            </w:pPr>
            <w:r w:rsidRPr="00D85745">
              <w:rPr>
                <w:rFonts w:eastAsia="Calibri"/>
                <w:sz w:val="20"/>
                <w:lang w:val="fr-CA"/>
              </w:rPr>
              <w:t>Cour d’appel de la Colombie-Britannique</w:t>
            </w:r>
          </w:p>
          <w:p w:rsidR="00D85745" w:rsidRPr="00D85745" w:rsidRDefault="00D85745" w:rsidP="00762A4C">
            <w:pPr>
              <w:jc w:val="both"/>
              <w:rPr>
                <w:rFonts w:eastAsia="Calibri"/>
                <w:sz w:val="20"/>
                <w:lang w:val="en-CA"/>
              </w:rPr>
            </w:pPr>
            <w:r w:rsidRPr="00D85745">
              <w:rPr>
                <w:rFonts w:eastAsia="Calibri"/>
                <w:sz w:val="20"/>
                <w:lang w:val="en-CA"/>
              </w:rPr>
              <w:t>(Vancouver)</w:t>
            </w:r>
          </w:p>
          <w:p w:rsidR="00D85745" w:rsidRPr="00D85745" w:rsidRDefault="00D85745" w:rsidP="00762A4C">
            <w:pPr>
              <w:jc w:val="both"/>
              <w:rPr>
                <w:rFonts w:eastAsia="Calibri"/>
                <w:sz w:val="20"/>
                <w:lang w:val="en-CA"/>
              </w:rPr>
            </w:pPr>
            <w:proofErr w:type="spellStart"/>
            <w:r w:rsidRPr="00D85745">
              <w:rPr>
                <w:rFonts w:eastAsia="Calibri"/>
                <w:sz w:val="20"/>
                <w:lang w:val="en-CA"/>
              </w:rPr>
              <w:t>Juge</w:t>
            </w:r>
            <w:proofErr w:type="spellEnd"/>
            <w:r w:rsidRPr="00D85745">
              <w:rPr>
                <w:rFonts w:eastAsia="Calibri"/>
                <w:sz w:val="20"/>
                <w:lang w:val="en-CA"/>
              </w:rPr>
              <w:t xml:space="preserve"> Frankel</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hideMark/>
          </w:tcPr>
          <w:p w:rsidR="00D85745" w:rsidRPr="00D85745" w:rsidRDefault="00D85745" w:rsidP="00762A4C">
            <w:pPr>
              <w:jc w:val="both"/>
              <w:rPr>
                <w:rFonts w:eastAsia="Calibri"/>
                <w:sz w:val="20"/>
                <w:lang w:val="fr-CA"/>
              </w:rPr>
            </w:pPr>
            <w:r w:rsidRPr="00D85745">
              <w:rPr>
                <w:rFonts w:eastAsia="Calibri"/>
                <w:sz w:val="20"/>
                <w:lang w:val="fr-CA"/>
              </w:rPr>
              <w:t>Rejet de la demande présentée par le demandeur pour faire retirer son dossier d’appel de la liste des dossiers inactifs.</w:t>
            </w: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31 mars 2015</w:t>
            </w:r>
          </w:p>
          <w:p w:rsidR="00D85745" w:rsidRPr="00D85745" w:rsidRDefault="00D85745" w:rsidP="00762A4C">
            <w:pPr>
              <w:jc w:val="both"/>
              <w:rPr>
                <w:rFonts w:eastAsia="Calibri"/>
                <w:sz w:val="20"/>
                <w:lang w:val="fr-CA"/>
              </w:rPr>
            </w:pPr>
            <w:r w:rsidRPr="00D85745">
              <w:rPr>
                <w:rFonts w:eastAsia="Calibri"/>
                <w:sz w:val="20"/>
                <w:lang w:val="fr-CA"/>
              </w:rPr>
              <w:t xml:space="preserve">Cour d’appel de la Colombie-Britannique </w:t>
            </w:r>
          </w:p>
          <w:p w:rsidR="00D85745" w:rsidRPr="00D85745" w:rsidRDefault="00D85745" w:rsidP="00762A4C">
            <w:pPr>
              <w:jc w:val="both"/>
              <w:rPr>
                <w:rFonts w:eastAsia="Calibri"/>
                <w:sz w:val="20"/>
                <w:lang w:val="fr-CA"/>
              </w:rPr>
            </w:pPr>
            <w:r w:rsidRPr="00D85745">
              <w:rPr>
                <w:rFonts w:eastAsia="Calibri"/>
                <w:sz w:val="20"/>
                <w:lang w:val="fr-CA"/>
              </w:rPr>
              <w:t>(Vancouver)</w:t>
            </w:r>
          </w:p>
          <w:p w:rsidR="00D85745" w:rsidRPr="00D85745" w:rsidRDefault="00D85745" w:rsidP="00762A4C">
            <w:pPr>
              <w:jc w:val="both"/>
              <w:rPr>
                <w:rFonts w:eastAsia="Calibri"/>
                <w:sz w:val="20"/>
                <w:lang w:val="fr-CA"/>
              </w:rPr>
            </w:pPr>
            <w:r w:rsidRPr="00D85745">
              <w:rPr>
                <w:rFonts w:eastAsia="Calibri"/>
                <w:sz w:val="20"/>
                <w:lang w:val="fr-CA"/>
              </w:rPr>
              <w:t xml:space="preserve">(Juges Chiasson, </w:t>
            </w:r>
            <w:proofErr w:type="spellStart"/>
            <w:r w:rsidRPr="00D85745">
              <w:rPr>
                <w:rFonts w:eastAsia="Calibri"/>
                <w:sz w:val="20"/>
                <w:lang w:val="fr-CA"/>
              </w:rPr>
              <w:t>MacKenzie</w:t>
            </w:r>
            <w:proofErr w:type="spellEnd"/>
            <w:r w:rsidRPr="00D85745">
              <w:rPr>
                <w:rFonts w:eastAsia="Calibri"/>
                <w:sz w:val="20"/>
                <w:lang w:val="fr-CA"/>
              </w:rPr>
              <w:t xml:space="preserve"> et </w:t>
            </w:r>
            <w:proofErr w:type="spellStart"/>
            <w:r w:rsidRPr="00D85745">
              <w:rPr>
                <w:rFonts w:eastAsia="Calibri"/>
                <w:sz w:val="20"/>
                <w:lang w:val="fr-CA"/>
              </w:rPr>
              <w:t>Goepel</w:t>
            </w:r>
            <w:proofErr w:type="spellEnd"/>
            <w:r w:rsidRPr="00D85745">
              <w:rPr>
                <w:rFonts w:eastAsia="Calibri"/>
                <w:sz w:val="20"/>
                <w:lang w:val="fr-CA"/>
              </w:rPr>
              <w:t>)</w:t>
            </w:r>
          </w:p>
          <w:p w:rsidR="00D85745" w:rsidRPr="00D85745" w:rsidRDefault="0053798C" w:rsidP="00762A4C">
            <w:pPr>
              <w:jc w:val="both"/>
              <w:rPr>
                <w:rFonts w:eastAsia="Calibri"/>
                <w:sz w:val="20"/>
                <w:lang w:val="en-CA"/>
              </w:rPr>
            </w:pPr>
            <w:hyperlink r:id="rId34" w:history="1">
              <w:r w:rsidR="00D85745" w:rsidRPr="00762A4C">
                <w:rPr>
                  <w:rFonts w:eastAsia="Calibri"/>
                  <w:color w:val="0000FF" w:themeColor="hyperlink"/>
                  <w:sz w:val="20"/>
                  <w:u w:val="single"/>
                  <w:lang w:val="en-CA"/>
                </w:rPr>
                <w:t>2015 BCCA 139</w:t>
              </w:r>
            </w:hyperlink>
            <w:r w:rsidR="00D85745" w:rsidRPr="00D85745">
              <w:rPr>
                <w:rFonts w:eastAsia="Calibri"/>
                <w:sz w:val="20"/>
                <w:lang w:val="en-CA"/>
              </w:rPr>
              <w:t>; CA041029</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hideMark/>
          </w:tcPr>
          <w:p w:rsidR="00D85745" w:rsidRPr="00D85745" w:rsidRDefault="00D85745" w:rsidP="00762A4C">
            <w:pPr>
              <w:jc w:val="both"/>
              <w:rPr>
                <w:rFonts w:eastAsia="Calibri"/>
                <w:sz w:val="20"/>
                <w:lang w:val="fr-CA"/>
              </w:rPr>
            </w:pPr>
            <w:r w:rsidRPr="00D85745">
              <w:rPr>
                <w:rFonts w:eastAsia="Calibri"/>
                <w:sz w:val="20"/>
                <w:lang w:val="fr-CA"/>
              </w:rPr>
              <w:t>Rejet de la demande de contrôle judiciaire.</w:t>
            </w:r>
          </w:p>
        </w:tc>
      </w:tr>
      <w:tr w:rsidR="00D85745" w:rsidRPr="00D85745" w:rsidTr="00D85745">
        <w:tc>
          <w:tcPr>
            <w:tcW w:w="2427" w:type="pct"/>
            <w:gridSpan w:val="2"/>
            <w:hideMark/>
          </w:tcPr>
          <w:p w:rsidR="00D85745" w:rsidRPr="00D85745" w:rsidRDefault="00D85745" w:rsidP="00762A4C">
            <w:pPr>
              <w:jc w:val="both"/>
              <w:rPr>
                <w:rFonts w:eastAsia="Calibri"/>
                <w:sz w:val="20"/>
                <w:lang w:val="fr-CA"/>
              </w:rPr>
            </w:pPr>
            <w:r w:rsidRPr="00D85745">
              <w:rPr>
                <w:rFonts w:eastAsia="Calibri"/>
                <w:sz w:val="20"/>
                <w:lang w:val="fr-CA"/>
              </w:rPr>
              <w:t>1</w:t>
            </w:r>
            <w:r w:rsidRPr="00D85745">
              <w:rPr>
                <w:rFonts w:eastAsia="Calibri"/>
                <w:sz w:val="20"/>
                <w:vertAlign w:val="superscript"/>
                <w:lang w:val="fr-CA"/>
              </w:rPr>
              <w:t>er</w:t>
            </w:r>
            <w:r w:rsidRPr="00D85745">
              <w:rPr>
                <w:rFonts w:eastAsia="Calibri"/>
                <w:sz w:val="20"/>
                <w:lang w:val="fr-CA"/>
              </w:rPr>
              <w:t xml:space="preserve"> juin 2015</w:t>
            </w:r>
          </w:p>
          <w:p w:rsidR="00D85745" w:rsidRPr="00D85745" w:rsidRDefault="00D85745" w:rsidP="00762A4C">
            <w:pPr>
              <w:jc w:val="both"/>
              <w:rPr>
                <w:rFonts w:eastAsia="Calibri"/>
                <w:sz w:val="20"/>
                <w:lang w:val="fr-CA"/>
              </w:rPr>
            </w:pPr>
            <w:r w:rsidRPr="00D85745">
              <w:rPr>
                <w:rFonts w:eastAsia="Calibri"/>
                <w:sz w:val="20"/>
                <w:lang w:val="fr-CA"/>
              </w:rPr>
              <w:t>Cour suprême du Canada</w:t>
            </w:r>
          </w:p>
        </w:tc>
        <w:tc>
          <w:tcPr>
            <w:tcW w:w="243" w:type="pct"/>
          </w:tcPr>
          <w:p w:rsidR="00D85745" w:rsidRPr="00D85745" w:rsidRDefault="00D85745" w:rsidP="00762A4C">
            <w:pPr>
              <w:jc w:val="both"/>
              <w:rPr>
                <w:rFonts w:eastAsia="Calibri"/>
                <w:sz w:val="20"/>
                <w:lang w:val="fr-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Dépôt de la demande d’autorisation d’appel</w:t>
            </w:r>
          </w:p>
          <w:p w:rsidR="00D85745" w:rsidRPr="00D85745" w:rsidRDefault="00D85745" w:rsidP="00762A4C">
            <w:pPr>
              <w:jc w:val="both"/>
              <w:rPr>
                <w:rFonts w:eastAsia="Calibri"/>
                <w:sz w:val="20"/>
                <w:lang w:val="fr-CA"/>
              </w:rPr>
            </w:pPr>
          </w:p>
        </w:tc>
      </w:tr>
    </w:tbl>
    <w:p w:rsidR="00D85745" w:rsidRDefault="00D85745" w:rsidP="00762A4C">
      <w:pPr>
        <w:jc w:val="both"/>
        <w:rPr>
          <w:rFonts w:eastAsia="Calibri"/>
          <w:sz w:val="20"/>
          <w:lang w:val="fr-CA"/>
        </w:rPr>
      </w:pPr>
    </w:p>
    <w:p w:rsidR="00762A4C" w:rsidRPr="00D85745" w:rsidRDefault="00762A4C" w:rsidP="00762A4C">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85745" w:rsidRPr="00D85745" w:rsidTr="00D85745">
        <w:tc>
          <w:tcPr>
            <w:tcW w:w="543" w:type="pct"/>
            <w:hideMark/>
          </w:tcPr>
          <w:p w:rsidR="00D85745" w:rsidRPr="00D85745" w:rsidRDefault="00D85745" w:rsidP="00762A4C">
            <w:pPr>
              <w:jc w:val="both"/>
              <w:rPr>
                <w:rFonts w:eastAsia="Calibri"/>
                <w:sz w:val="20"/>
                <w:lang w:val="en-CA"/>
              </w:rPr>
            </w:pPr>
            <w:r w:rsidRPr="00762A4C">
              <w:rPr>
                <w:rFonts w:eastAsia="Calibri"/>
                <w:b/>
                <w:sz w:val="20"/>
                <w:lang w:val="fr-CA"/>
              </w:rPr>
              <w:t>36367</w:t>
            </w:r>
          </w:p>
        </w:tc>
        <w:tc>
          <w:tcPr>
            <w:tcW w:w="4457" w:type="pct"/>
            <w:gridSpan w:val="3"/>
            <w:hideMark/>
          </w:tcPr>
          <w:p w:rsidR="00D85745" w:rsidRPr="00D85745" w:rsidRDefault="00D85745" w:rsidP="00762A4C">
            <w:pPr>
              <w:jc w:val="both"/>
              <w:rPr>
                <w:rFonts w:eastAsia="Calibri"/>
                <w:b/>
                <w:sz w:val="20"/>
                <w:lang w:val="fr-CA"/>
              </w:rPr>
            </w:pPr>
            <w:r w:rsidRPr="00D85745">
              <w:rPr>
                <w:rFonts w:eastAsia="Calibri"/>
                <w:b/>
                <w:sz w:val="20"/>
                <w:lang w:val="fr-CA"/>
              </w:rPr>
              <w:t xml:space="preserve">Steve Côté v. Fédération des producteurs acéricoles du Québec, Attorney General of </w:t>
            </w:r>
            <w:proofErr w:type="spellStart"/>
            <w:r w:rsidRPr="00D85745">
              <w:rPr>
                <w:rFonts w:eastAsia="Calibri"/>
                <w:b/>
                <w:sz w:val="20"/>
                <w:lang w:val="fr-CA"/>
              </w:rPr>
              <w:t>Quebec</w:t>
            </w:r>
            <w:proofErr w:type="spellEnd"/>
          </w:p>
          <w:p w:rsidR="00D85745" w:rsidRPr="00D85745" w:rsidRDefault="00D85745" w:rsidP="00762A4C">
            <w:pPr>
              <w:jc w:val="both"/>
              <w:rPr>
                <w:rFonts w:eastAsia="Calibri"/>
                <w:b/>
                <w:sz w:val="20"/>
                <w:lang w:val="fr-CA"/>
              </w:rPr>
            </w:pPr>
            <w:r w:rsidRPr="00D85745">
              <w:rPr>
                <w:rFonts w:eastAsia="Calibri"/>
                <w:b/>
                <w:sz w:val="20"/>
                <w:lang w:val="fr-CA"/>
              </w:rPr>
              <w:t xml:space="preserve">- and </w:t>
            </w:r>
            <w:proofErr w:type="spellStart"/>
            <w:r w:rsidRPr="00D85745">
              <w:rPr>
                <w:rFonts w:eastAsia="Calibri"/>
                <w:b/>
                <w:sz w:val="20"/>
                <w:lang w:val="fr-CA"/>
              </w:rPr>
              <w:t>between</w:t>
            </w:r>
            <w:proofErr w:type="spellEnd"/>
            <w:r w:rsidRPr="00D85745">
              <w:rPr>
                <w:rFonts w:eastAsia="Calibri"/>
                <w:b/>
                <w:sz w:val="20"/>
                <w:lang w:val="fr-CA"/>
              </w:rPr>
              <w:t xml:space="preserve"> -</w:t>
            </w:r>
          </w:p>
          <w:p w:rsidR="00D85745" w:rsidRPr="00D85745" w:rsidRDefault="00D85745" w:rsidP="00762A4C">
            <w:pPr>
              <w:jc w:val="both"/>
              <w:rPr>
                <w:rFonts w:eastAsia="Calibri"/>
                <w:b/>
                <w:sz w:val="20"/>
                <w:lang w:val="fr-CA"/>
              </w:rPr>
            </w:pPr>
            <w:r w:rsidRPr="00D85745">
              <w:rPr>
                <w:rFonts w:eastAsia="Calibri"/>
                <w:b/>
                <w:sz w:val="20"/>
                <w:lang w:val="fr-CA"/>
              </w:rPr>
              <w:t xml:space="preserve">9167-1537 Québec Inc., 9009-0564 Québec Inc., Roger Roy, </w:t>
            </w:r>
            <w:proofErr w:type="spellStart"/>
            <w:r w:rsidRPr="00D85745">
              <w:rPr>
                <w:rFonts w:eastAsia="Calibri"/>
                <w:b/>
                <w:sz w:val="20"/>
                <w:lang w:val="fr-CA"/>
              </w:rPr>
              <w:t>Dominic</w:t>
            </w:r>
            <w:proofErr w:type="spellEnd"/>
            <w:r w:rsidRPr="00D85745">
              <w:rPr>
                <w:rFonts w:eastAsia="Calibri"/>
                <w:b/>
                <w:sz w:val="20"/>
                <w:lang w:val="fr-CA"/>
              </w:rPr>
              <w:t xml:space="preserve"> </w:t>
            </w:r>
            <w:proofErr w:type="spellStart"/>
            <w:r w:rsidRPr="00D85745">
              <w:rPr>
                <w:rFonts w:eastAsia="Calibri"/>
                <w:b/>
                <w:sz w:val="20"/>
                <w:lang w:val="fr-CA"/>
              </w:rPr>
              <w:t>Proteau</w:t>
            </w:r>
            <w:proofErr w:type="spellEnd"/>
            <w:r w:rsidRPr="00D85745">
              <w:rPr>
                <w:rFonts w:eastAsia="Calibri"/>
                <w:b/>
                <w:sz w:val="20"/>
                <w:lang w:val="fr-CA"/>
              </w:rPr>
              <w:t xml:space="preserve">, Gérard Poulin v. Fédération des producteurs acéricoles du Québec, Attorney General of </w:t>
            </w:r>
            <w:proofErr w:type="spellStart"/>
            <w:r w:rsidRPr="00D85745">
              <w:rPr>
                <w:rFonts w:eastAsia="Calibri"/>
                <w:b/>
                <w:sz w:val="20"/>
                <w:lang w:val="fr-CA"/>
              </w:rPr>
              <w:t>Quebec</w:t>
            </w:r>
            <w:proofErr w:type="spellEnd"/>
          </w:p>
          <w:p w:rsidR="00D85745" w:rsidRPr="00D85745" w:rsidRDefault="00D85745" w:rsidP="00762A4C">
            <w:pPr>
              <w:jc w:val="both"/>
              <w:rPr>
                <w:rFonts w:eastAsia="Calibri"/>
                <w:sz w:val="20"/>
                <w:lang w:val="en-CA"/>
              </w:rPr>
            </w:pPr>
            <w:r w:rsidRPr="00D85745">
              <w:rPr>
                <w:rFonts w:eastAsia="Calibri"/>
                <w:sz w:val="20"/>
                <w:lang w:val="en-CA"/>
              </w:rPr>
              <w:t>(Que.) (Civil) (By Leave)</w:t>
            </w:r>
          </w:p>
        </w:tc>
      </w:tr>
      <w:tr w:rsidR="00D85745" w:rsidRPr="00D85745" w:rsidTr="00D85745">
        <w:tc>
          <w:tcPr>
            <w:tcW w:w="5000" w:type="pct"/>
            <w:gridSpan w:val="4"/>
          </w:tcPr>
          <w:p w:rsidR="00D85745" w:rsidRPr="00D85745" w:rsidRDefault="00D85745" w:rsidP="00762A4C">
            <w:pPr>
              <w:jc w:val="both"/>
              <w:rPr>
                <w:rFonts w:eastAsia="Calibri"/>
                <w:sz w:val="20"/>
                <w:lang w:val="en-CA"/>
              </w:rPr>
            </w:pPr>
            <w:r w:rsidRPr="00D85745">
              <w:rPr>
                <w:rFonts w:eastAsia="Calibri"/>
                <w:sz w:val="20"/>
                <w:lang w:val="en-CA"/>
              </w:rPr>
              <w:t xml:space="preserve">Civil procedure – Provisional remedies – Seizures before judgment – Whether Court of Appeal erred in concluding that the Federation has a right to </w:t>
            </w:r>
            <w:proofErr w:type="spellStart"/>
            <w:r w:rsidRPr="00D85745">
              <w:rPr>
                <w:rFonts w:eastAsia="Calibri"/>
                <w:sz w:val="20"/>
                <w:lang w:val="en-CA"/>
              </w:rPr>
              <w:t>revendicate</w:t>
            </w:r>
            <w:proofErr w:type="spellEnd"/>
            <w:r w:rsidRPr="00D85745">
              <w:rPr>
                <w:rFonts w:eastAsia="Calibri"/>
                <w:sz w:val="20"/>
                <w:lang w:val="en-CA"/>
              </w:rPr>
              <w:t xml:space="preserve"> maple syrup harvests – </w:t>
            </w:r>
            <w:r w:rsidRPr="00D85745">
              <w:rPr>
                <w:rFonts w:eastAsia="Calibri"/>
                <w:i/>
                <w:sz w:val="20"/>
                <w:lang w:val="en-CA"/>
              </w:rPr>
              <w:t>Code of Civil Procedure</w:t>
            </w:r>
            <w:r w:rsidRPr="00D85745">
              <w:rPr>
                <w:rFonts w:eastAsia="Calibri"/>
                <w:sz w:val="20"/>
                <w:lang w:val="en-CA"/>
              </w:rPr>
              <w:t>, CQLR, c. C-25, art. 734.</w:t>
            </w:r>
          </w:p>
          <w:p w:rsidR="00D85745" w:rsidRPr="00D85745" w:rsidRDefault="00D85745" w:rsidP="00762A4C">
            <w:pPr>
              <w:jc w:val="both"/>
              <w:rPr>
                <w:rFonts w:eastAsia="Calibri"/>
                <w:sz w:val="20"/>
                <w:lang w:val="en-CA"/>
              </w:rPr>
            </w:pPr>
          </w:p>
          <w:p w:rsidR="00D85745" w:rsidRPr="00D85745" w:rsidRDefault="00D85745" w:rsidP="00762A4C">
            <w:pPr>
              <w:jc w:val="both"/>
              <w:rPr>
                <w:rFonts w:eastAsia="Calibri"/>
                <w:sz w:val="20"/>
                <w:lang w:val="en-CA"/>
              </w:rPr>
            </w:pPr>
            <w:r w:rsidRPr="00D85745">
              <w:rPr>
                <w:rFonts w:eastAsia="Calibri"/>
                <w:sz w:val="20"/>
                <w:lang w:val="en-CA"/>
              </w:rPr>
              <w:t xml:space="preserve">Given the applicants’ refusal to comply with the rules set by the respondent, the respondent had a significant quantity of maple syrup seized from each of the applicant producers before judgment, pursuant to art. 734 of the </w:t>
            </w:r>
            <w:r w:rsidRPr="00D85745">
              <w:rPr>
                <w:rFonts w:eastAsia="Calibri"/>
                <w:i/>
                <w:sz w:val="20"/>
                <w:lang w:val="en-CA"/>
              </w:rPr>
              <w:t>Code of Civil Procedure</w:t>
            </w:r>
            <w:r w:rsidRPr="00D85745">
              <w:rPr>
                <w:rFonts w:eastAsia="Calibri"/>
                <w:sz w:val="20"/>
                <w:lang w:val="en-CA"/>
              </w:rPr>
              <w:t>. The applicants applied to the Quebec Superior Court and the Quebec Court of Appeal to have the seizure quashed but were unsuccessful.</w:t>
            </w:r>
          </w:p>
        </w:tc>
      </w:tr>
      <w:tr w:rsidR="00D85745" w:rsidRPr="00D85745" w:rsidTr="00D85745">
        <w:tc>
          <w:tcPr>
            <w:tcW w:w="5000" w:type="pct"/>
            <w:gridSpan w:val="4"/>
          </w:tcPr>
          <w:p w:rsidR="00D85745" w:rsidRPr="00D85745" w:rsidRDefault="00D85745" w:rsidP="00762A4C">
            <w:pPr>
              <w:jc w:val="both"/>
              <w:rPr>
                <w:rFonts w:eastAsia="Calibri"/>
                <w:sz w:val="20"/>
                <w:lang w:val="en-CA"/>
              </w:rPr>
            </w:pPr>
          </w:p>
        </w:tc>
      </w:tr>
      <w:tr w:rsidR="00D85745" w:rsidRPr="00D85745" w:rsidTr="00D85745">
        <w:tc>
          <w:tcPr>
            <w:tcW w:w="2427" w:type="pct"/>
            <w:gridSpan w:val="2"/>
          </w:tcPr>
          <w:p w:rsidR="00D85745" w:rsidRPr="00D85745" w:rsidRDefault="00D85745" w:rsidP="00762A4C">
            <w:pPr>
              <w:jc w:val="both"/>
              <w:rPr>
                <w:rFonts w:eastAsia="Calibri"/>
                <w:sz w:val="20"/>
                <w:lang w:val="en-CA"/>
              </w:rPr>
            </w:pPr>
            <w:r w:rsidRPr="00D85745">
              <w:rPr>
                <w:rFonts w:eastAsia="Calibri"/>
                <w:sz w:val="20"/>
                <w:lang w:val="en-CA"/>
              </w:rPr>
              <w:t>September 13, 2013</w:t>
            </w:r>
          </w:p>
          <w:p w:rsidR="00D85745" w:rsidRPr="00D85745" w:rsidRDefault="00D85745" w:rsidP="00762A4C">
            <w:pPr>
              <w:jc w:val="both"/>
              <w:rPr>
                <w:rFonts w:eastAsia="Calibri"/>
                <w:sz w:val="20"/>
                <w:lang w:val="en-CA"/>
              </w:rPr>
            </w:pPr>
            <w:r w:rsidRPr="00D85745">
              <w:rPr>
                <w:rFonts w:eastAsia="Calibri"/>
                <w:sz w:val="20"/>
                <w:lang w:val="en-CA"/>
              </w:rPr>
              <w:t>Quebec Superior Court</w:t>
            </w:r>
          </w:p>
          <w:p w:rsidR="00D85745" w:rsidRPr="00D85745" w:rsidRDefault="00D85745" w:rsidP="00762A4C">
            <w:pPr>
              <w:jc w:val="both"/>
              <w:rPr>
                <w:rFonts w:eastAsia="Calibri"/>
                <w:sz w:val="20"/>
                <w:lang w:val="en-CA"/>
              </w:rPr>
            </w:pPr>
            <w:r w:rsidRPr="00D85745">
              <w:rPr>
                <w:rFonts w:eastAsia="Calibri"/>
                <w:sz w:val="20"/>
                <w:lang w:val="en-CA"/>
              </w:rPr>
              <w:t>(</w:t>
            </w:r>
            <w:proofErr w:type="spellStart"/>
            <w:r w:rsidRPr="00D85745">
              <w:rPr>
                <w:rFonts w:eastAsia="Calibri"/>
                <w:sz w:val="20"/>
                <w:lang w:val="en-CA"/>
              </w:rPr>
              <w:t>Bellavance</w:t>
            </w:r>
            <w:proofErr w:type="spellEnd"/>
            <w:r w:rsidRPr="00D85745">
              <w:rPr>
                <w:rFonts w:eastAsia="Calibri"/>
                <w:sz w:val="20"/>
                <w:lang w:val="en-CA"/>
              </w:rPr>
              <w:t xml:space="preserve"> J.)</w:t>
            </w:r>
          </w:p>
          <w:p w:rsidR="00D85745" w:rsidRPr="00D85745" w:rsidRDefault="0053798C" w:rsidP="00762A4C">
            <w:pPr>
              <w:jc w:val="both"/>
              <w:rPr>
                <w:rFonts w:eastAsia="Calibri"/>
                <w:sz w:val="20"/>
                <w:lang w:val="en-CA"/>
              </w:rPr>
            </w:pPr>
            <w:hyperlink r:id="rId35" w:history="1">
              <w:r w:rsidR="00D85745" w:rsidRPr="00762A4C">
                <w:rPr>
                  <w:rFonts w:eastAsia="Calibri"/>
                  <w:color w:val="0000FF" w:themeColor="hyperlink"/>
                  <w:sz w:val="20"/>
                  <w:u w:val="single"/>
                  <w:lang w:val="en-CA"/>
                </w:rPr>
                <w:t>2013 QCCS 4402</w:t>
              </w:r>
            </w:hyperlink>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hideMark/>
          </w:tcPr>
          <w:p w:rsidR="00D85745" w:rsidRPr="00D85745" w:rsidRDefault="00D85745" w:rsidP="00762A4C">
            <w:pPr>
              <w:jc w:val="both"/>
              <w:rPr>
                <w:rFonts w:eastAsia="Calibri"/>
                <w:sz w:val="20"/>
                <w:lang w:val="en-CA"/>
              </w:rPr>
            </w:pPr>
            <w:r w:rsidRPr="00D85745">
              <w:rPr>
                <w:rFonts w:eastAsia="Calibri"/>
                <w:sz w:val="20"/>
                <w:lang w:val="en-CA"/>
              </w:rPr>
              <w:t>Motion to quash seizure before judgment and for disqualification of guardian dismissed; safeguard orders made</w:t>
            </w:r>
          </w:p>
        </w:tc>
      </w:tr>
      <w:tr w:rsidR="00D85745" w:rsidRPr="00D85745" w:rsidTr="00D85745">
        <w:tc>
          <w:tcPr>
            <w:tcW w:w="2427" w:type="pct"/>
            <w:gridSpan w:val="2"/>
          </w:tcPr>
          <w:p w:rsidR="00D85745" w:rsidRPr="00D85745" w:rsidRDefault="00D85745" w:rsidP="00762A4C">
            <w:pPr>
              <w:jc w:val="both"/>
              <w:rPr>
                <w:rFonts w:eastAsia="Calibri"/>
                <w:sz w:val="20"/>
                <w:lang w:val="en-CA"/>
              </w:rPr>
            </w:pPr>
            <w:r w:rsidRPr="00D85745">
              <w:rPr>
                <w:rFonts w:eastAsia="Calibri"/>
                <w:sz w:val="20"/>
                <w:lang w:val="en-CA"/>
              </w:rPr>
              <w:t>February 16, 2015</w:t>
            </w:r>
          </w:p>
          <w:p w:rsidR="00D85745" w:rsidRPr="00D85745" w:rsidRDefault="00D85745" w:rsidP="00762A4C">
            <w:pPr>
              <w:jc w:val="both"/>
              <w:rPr>
                <w:rFonts w:eastAsia="Calibri"/>
                <w:sz w:val="20"/>
                <w:lang w:val="en-CA"/>
              </w:rPr>
            </w:pPr>
            <w:r w:rsidRPr="00D85745">
              <w:rPr>
                <w:rFonts w:eastAsia="Calibri"/>
                <w:sz w:val="20"/>
                <w:lang w:val="en-CA"/>
              </w:rPr>
              <w:t>Quebec Court of Appeal (Montréal)</w:t>
            </w:r>
          </w:p>
          <w:p w:rsidR="00D85745" w:rsidRPr="00D85745" w:rsidRDefault="00D85745" w:rsidP="00762A4C">
            <w:pPr>
              <w:jc w:val="both"/>
              <w:rPr>
                <w:rFonts w:eastAsia="Calibri"/>
                <w:sz w:val="20"/>
                <w:lang w:val="en-CA"/>
              </w:rPr>
            </w:pPr>
            <w:r w:rsidRPr="00D85745">
              <w:rPr>
                <w:rFonts w:eastAsia="Calibri"/>
                <w:sz w:val="20"/>
                <w:lang w:val="en-CA"/>
              </w:rPr>
              <w:t>(Hilton, St-Pierre and Levesque JJ.A.)</w:t>
            </w:r>
          </w:p>
          <w:p w:rsidR="00D85745" w:rsidRPr="00D85745" w:rsidRDefault="0053798C" w:rsidP="00762A4C">
            <w:pPr>
              <w:jc w:val="both"/>
              <w:rPr>
                <w:rFonts w:eastAsia="Calibri"/>
                <w:sz w:val="20"/>
                <w:lang w:val="en-CA"/>
              </w:rPr>
            </w:pPr>
            <w:hyperlink r:id="rId36" w:history="1">
              <w:r w:rsidR="00D85745" w:rsidRPr="00762A4C">
                <w:rPr>
                  <w:rFonts w:eastAsia="Calibri"/>
                  <w:color w:val="0000FF" w:themeColor="hyperlink"/>
                  <w:sz w:val="20"/>
                  <w:u w:val="single"/>
                  <w:lang w:val="en-CA"/>
                </w:rPr>
                <w:t>2015 QCCA 287</w:t>
              </w:r>
            </w:hyperlink>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en-CA"/>
              </w:rPr>
            </w:pPr>
            <w:r w:rsidRPr="00D85745">
              <w:rPr>
                <w:rFonts w:eastAsia="Calibri"/>
                <w:sz w:val="20"/>
                <w:lang w:val="en-CA"/>
              </w:rPr>
              <w:t>Appeal allowed in part; safeguard orders quashed</w:t>
            </w:r>
          </w:p>
          <w:p w:rsidR="00D85745" w:rsidRPr="00D85745" w:rsidRDefault="00D85745" w:rsidP="00762A4C">
            <w:pPr>
              <w:jc w:val="both"/>
              <w:rPr>
                <w:rFonts w:eastAsia="Calibri"/>
                <w:sz w:val="20"/>
                <w:lang w:val="en-CA"/>
              </w:rPr>
            </w:pPr>
          </w:p>
        </w:tc>
      </w:tr>
      <w:tr w:rsidR="00D85745" w:rsidRPr="00D85745" w:rsidTr="00D85745">
        <w:tc>
          <w:tcPr>
            <w:tcW w:w="2427" w:type="pct"/>
            <w:gridSpan w:val="2"/>
            <w:hideMark/>
          </w:tcPr>
          <w:p w:rsidR="00D85745" w:rsidRPr="00D85745" w:rsidRDefault="00D85745" w:rsidP="00762A4C">
            <w:pPr>
              <w:jc w:val="both"/>
              <w:rPr>
                <w:rFonts w:eastAsia="Calibri"/>
                <w:sz w:val="20"/>
                <w:lang w:val="en-CA"/>
              </w:rPr>
            </w:pPr>
            <w:r w:rsidRPr="00D85745">
              <w:rPr>
                <w:rFonts w:eastAsia="Calibri"/>
                <w:sz w:val="20"/>
                <w:lang w:val="en-CA"/>
              </w:rPr>
              <w:lastRenderedPageBreak/>
              <w:t>March 31, 2015</w:t>
            </w:r>
          </w:p>
          <w:p w:rsidR="00D85745" w:rsidRPr="00D85745" w:rsidRDefault="00D85745" w:rsidP="00762A4C">
            <w:pPr>
              <w:jc w:val="both"/>
              <w:rPr>
                <w:rFonts w:eastAsia="Calibri"/>
                <w:sz w:val="20"/>
                <w:lang w:val="en-CA"/>
              </w:rPr>
            </w:pPr>
            <w:r w:rsidRPr="00D85745">
              <w:rPr>
                <w:rFonts w:eastAsia="Calibri"/>
                <w:sz w:val="20"/>
                <w:lang w:val="en-CA"/>
              </w:rPr>
              <w:t>Supreme Court of Canada</w:t>
            </w: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en-CA"/>
              </w:rPr>
            </w:pPr>
            <w:r w:rsidRPr="00D85745">
              <w:rPr>
                <w:rFonts w:eastAsia="Calibri"/>
                <w:sz w:val="20"/>
                <w:lang w:val="en-CA"/>
              </w:rPr>
              <w:t>Application for leave to appeal filed</w:t>
            </w:r>
          </w:p>
          <w:p w:rsidR="00D85745" w:rsidRPr="00D85745" w:rsidRDefault="00D85745" w:rsidP="00762A4C">
            <w:pPr>
              <w:jc w:val="both"/>
              <w:rPr>
                <w:rFonts w:eastAsia="Calibri"/>
                <w:sz w:val="20"/>
                <w:lang w:val="en-CA"/>
              </w:rPr>
            </w:pPr>
          </w:p>
        </w:tc>
      </w:tr>
    </w:tbl>
    <w:p w:rsidR="00D85745" w:rsidRDefault="00D85745" w:rsidP="00762A4C">
      <w:pPr>
        <w:jc w:val="both"/>
        <w:rPr>
          <w:rFonts w:eastAsia="Calibri"/>
          <w:sz w:val="20"/>
          <w:lang w:val="en-CA"/>
        </w:rPr>
      </w:pPr>
    </w:p>
    <w:p w:rsidR="00762A4C" w:rsidRPr="00D85745" w:rsidRDefault="00762A4C" w:rsidP="00762A4C">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85745" w:rsidRPr="00D85745" w:rsidTr="00D85745">
        <w:tc>
          <w:tcPr>
            <w:tcW w:w="543" w:type="pct"/>
            <w:hideMark/>
          </w:tcPr>
          <w:p w:rsidR="00D85745" w:rsidRPr="00D85745" w:rsidRDefault="00D85745" w:rsidP="00762A4C">
            <w:pPr>
              <w:jc w:val="both"/>
              <w:rPr>
                <w:rFonts w:eastAsia="Calibri"/>
                <w:sz w:val="20"/>
                <w:lang w:val="fr-CA"/>
              </w:rPr>
            </w:pPr>
            <w:r w:rsidRPr="00762A4C">
              <w:rPr>
                <w:rFonts w:eastAsia="Calibri"/>
                <w:b/>
                <w:sz w:val="20"/>
                <w:lang w:val="fr-CA"/>
              </w:rPr>
              <w:t>36367</w:t>
            </w:r>
          </w:p>
        </w:tc>
        <w:tc>
          <w:tcPr>
            <w:tcW w:w="4457" w:type="pct"/>
            <w:gridSpan w:val="3"/>
            <w:hideMark/>
          </w:tcPr>
          <w:p w:rsidR="00D85745" w:rsidRPr="00D85745" w:rsidRDefault="00D85745" w:rsidP="00762A4C">
            <w:pPr>
              <w:jc w:val="both"/>
              <w:rPr>
                <w:rFonts w:eastAsia="Calibri"/>
                <w:b/>
                <w:sz w:val="20"/>
                <w:lang w:val="fr-CA"/>
              </w:rPr>
            </w:pPr>
            <w:r w:rsidRPr="00D85745">
              <w:rPr>
                <w:rFonts w:eastAsia="Calibri"/>
                <w:b/>
                <w:sz w:val="20"/>
                <w:lang w:val="fr-CA"/>
              </w:rPr>
              <w:t>Steve Côté c. Fédération des producteurs acéricoles du Québec, Procureure générale du Québec</w:t>
            </w:r>
          </w:p>
          <w:p w:rsidR="00D85745" w:rsidRPr="00D85745" w:rsidRDefault="00D85745" w:rsidP="00762A4C">
            <w:pPr>
              <w:jc w:val="both"/>
              <w:rPr>
                <w:rFonts w:eastAsia="Calibri"/>
                <w:b/>
                <w:sz w:val="20"/>
                <w:lang w:val="fr-CA"/>
              </w:rPr>
            </w:pPr>
            <w:r w:rsidRPr="00D85745">
              <w:rPr>
                <w:rFonts w:eastAsia="Calibri"/>
                <w:b/>
                <w:sz w:val="20"/>
                <w:lang w:val="fr-CA"/>
              </w:rPr>
              <w:t>- et entre -</w:t>
            </w:r>
          </w:p>
          <w:p w:rsidR="00D85745" w:rsidRPr="00D85745" w:rsidRDefault="00D85745" w:rsidP="00762A4C">
            <w:pPr>
              <w:jc w:val="both"/>
              <w:rPr>
                <w:rFonts w:eastAsia="Calibri"/>
                <w:b/>
                <w:sz w:val="20"/>
                <w:lang w:val="fr-CA"/>
              </w:rPr>
            </w:pPr>
            <w:r w:rsidRPr="00D85745">
              <w:rPr>
                <w:rFonts w:eastAsia="Calibri"/>
                <w:b/>
                <w:sz w:val="20"/>
                <w:lang w:val="fr-CA"/>
              </w:rPr>
              <w:t xml:space="preserve">9167-1537 Québec Inc., 9009-0564 Québec Inc., Roger Roy, </w:t>
            </w:r>
            <w:proofErr w:type="spellStart"/>
            <w:r w:rsidRPr="00D85745">
              <w:rPr>
                <w:rFonts w:eastAsia="Calibri"/>
                <w:b/>
                <w:sz w:val="20"/>
                <w:lang w:val="fr-CA"/>
              </w:rPr>
              <w:t>Dominic</w:t>
            </w:r>
            <w:proofErr w:type="spellEnd"/>
            <w:r w:rsidRPr="00D85745">
              <w:rPr>
                <w:rFonts w:eastAsia="Calibri"/>
                <w:b/>
                <w:sz w:val="20"/>
                <w:lang w:val="fr-CA"/>
              </w:rPr>
              <w:t xml:space="preserve"> </w:t>
            </w:r>
            <w:proofErr w:type="spellStart"/>
            <w:r w:rsidRPr="00D85745">
              <w:rPr>
                <w:rFonts w:eastAsia="Calibri"/>
                <w:b/>
                <w:sz w:val="20"/>
                <w:lang w:val="fr-CA"/>
              </w:rPr>
              <w:t>Proteau</w:t>
            </w:r>
            <w:proofErr w:type="spellEnd"/>
            <w:r w:rsidRPr="00D85745">
              <w:rPr>
                <w:rFonts w:eastAsia="Calibri"/>
                <w:b/>
                <w:sz w:val="20"/>
                <w:lang w:val="fr-CA"/>
              </w:rPr>
              <w:t>, Gérard Poulin c. Fédération des producteurs acéricoles du Québec, Procureure générale du Québec</w:t>
            </w:r>
          </w:p>
          <w:p w:rsidR="00D85745" w:rsidRPr="00D85745" w:rsidRDefault="00D85745" w:rsidP="00762A4C">
            <w:pPr>
              <w:jc w:val="both"/>
              <w:rPr>
                <w:rFonts w:eastAsia="Calibri"/>
                <w:sz w:val="20"/>
                <w:lang w:val="fr-CA"/>
              </w:rPr>
            </w:pPr>
            <w:r w:rsidRPr="00D85745">
              <w:rPr>
                <w:rFonts w:eastAsia="Calibri"/>
                <w:sz w:val="20"/>
                <w:lang w:val="fr-CA"/>
              </w:rPr>
              <w:t>(</w:t>
            </w:r>
            <w:proofErr w:type="spellStart"/>
            <w:r w:rsidRPr="00D85745">
              <w:rPr>
                <w:rFonts w:eastAsia="Calibri"/>
                <w:sz w:val="20"/>
                <w:lang w:val="fr-CA"/>
              </w:rPr>
              <w:t>Qc</w:t>
            </w:r>
            <w:proofErr w:type="spellEnd"/>
            <w:r w:rsidRPr="00D85745">
              <w:rPr>
                <w:rFonts w:eastAsia="Calibri"/>
                <w:sz w:val="20"/>
                <w:lang w:val="fr-CA"/>
              </w:rPr>
              <w:t>) (Civile) (Autorisation)</w:t>
            </w:r>
          </w:p>
        </w:tc>
      </w:tr>
      <w:tr w:rsidR="00D85745" w:rsidRPr="00D85745" w:rsidTr="00D85745">
        <w:tc>
          <w:tcPr>
            <w:tcW w:w="5000" w:type="pct"/>
            <w:gridSpan w:val="4"/>
          </w:tcPr>
          <w:p w:rsidR="00D85745" w:rsidRPr="00D85745" w:rsidRDefault="00D85745" w:rsidP="00762A4C">
            <w:pPr>
              <w:jc w:val="both"/>
              <w:rPr>
                <w:rFonts w:eastAsia="Calibri"/>
                <w:sz w:val="20"/>
                <w:lang w:val="fr-CA"/>
              </w:rPr>
            </w:pPr>
            <w:r w:rsidRPr="00D85745">
              <w:rPr>
                <w:rFonts w:eastAsia="Calibri"/>
                <w:sz w:val="20"/>
                <w:lang w:val="fr-CA"/>
              </w:rPr>
              <w:t xml:space="preserve">Procédure civile – Mesures provisionnelles – Saisies avant jugement – La Cour d’appel a-t-elle erré en concluant que la Fédération a un droit de revendication sur les récoltes de sirop d’érable? – </w:t>
            </w:r>
            <w:r w:rsidRPr="00D85745">
              <w:rPr>
                <w:rFonts w:eastAsia="Calibri"/>
                <w:i/>
                <w:sz w:val="20"/>
                <w:lang w:val="fr-CA"/>
              </w:rPr>
              <w:t>Code de procédure civile</w:t>
            </w:r>
            <w:r w:rsidRPr="00D85745">
              <w:rPr>
                <w:rFonts w:eastAsia="Calibri"/>
                <w:sz w:val="20"/>
                <w:lang w:val="fr-CA"/>
              </w:rPr>
              <w:t>, RLRQ, c. C-25, art. 734</w:t>
            </w:r>
          </w:p>
          <w:p w:rsidR="00D85745" w:rsidRPr="00D85745" w:rsidRDefault="00D85745" w:rsidP="00762A4C">
            <w:pPr>
              <w:jc w:val="both"/>
              <w:rPr>
                <w:rFonts w:eastAsia="Calibri"/>
                <w:sz w:val="20"/>
                <w:lang w:val="fr-CA"/>
              </w:rPr>
            </w:pPr>
          </w:p>
          <w:p w:rsidR="00D85745" w:rsidRPr="00D85745" w:rsidRDefault="00D85745" w:rsidP="00762A4C">
            <w:pPr>
              <w:jc w:val="both"/>
              <w:rPr>
                <w:rFonts w:eastAsia="Calibri"/>
                <w:sz w:val="20"/>
                <w:lang w:val="fr-CA"/>
              </w:rPr>
            </w:pPr>
            <w:r w:rsidRPr="00D85745">
              <w:rPr>
                <w:rFonts w:eastAsia="Calibri"/>
                <w:sz w:val="20"/>
                <w:lang w:val="fr-CA"/>
              </w:rPr>
              <w:t xml:space="preserve">Considérant le refus des demandeurs de se soumettre aux règles établies par l’intimée, celle-ci a fait saisir, avant jugement, sous l’art. 734 du </w:t>
            </w:r>
            <w:r w:rsidRPr="00D85745">
              <w:rPr>
                <w:rFonts w:eastAsia="Calibri"/>
                <w:i/>
                <w:sz w:val="20"/>
                <w:lang w:val="fr-CA"/>
              </w:rPr>
              <w:t>Code de procédure civile</w:t>
            </w:r>
            <w:r w:rsidRPr="00D85745">
              <w:rPr>
                <w:rFonts w:eastAsia="Calibri"/>
                <w:sz w:val="20"/>
                <w:lang w:val="fr-CA"/>
              </w:rPr>
              <w:t xml:space="preserve">, une quantité importante de sirop d’érable chez chacun des producteurs demandeurs. Les demandeurs cherchent à obtenir l’annulation de la saisie avant jugement devant la Cour supérieure du Québec et la Cour d’appel du Québec, en vain. </w:t>
            </w:r>
          </w:p>
        </w:tc>
      </w:tr>
      <w:tr w:rsidR="00D85745" w:rsidRPr="00D85745" w:rsidTr="00D85745">
        <w:tc>
          <w:tcPr>
            <w:tcW w:w="5000" w:type="pct"/>
            <w:gridSpan w:val="4"/>
          </w:tcPr>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Le 13 septembre 2013</w:t>
            </w:r>
          </w:p>
          <w:p w:rsidR="00D85745" w:rsidRPr="00D85745" w:rsidRDefault="00D85745" w:rsidP="00762A4C">
            <w:pPr>
              <w:jc w:val="both"/>
              <w:rPr>
                <w:rFonts w:eastAsia="Calibri"/>
                <w:sz w:val="20"/>
                <w:lang w:val="fr-CA"/>
              </w:rPr>
            </w:pPr>
            <w:r w:rsidRPr="00D85745">
              <w:rPr>
                <w:rFonts w:eastAsia="Calibri"/>
                <w:sz w:val="20"/>
                <w:lang w:val="fr-CA"/>
              </w:rPr>
              <w:t>Cour supérieure du Québec</w:t>
            </w:r>
          </w:p>
          <w:p w:rsidR="00D85745" w:rsidRPr="00D85745" w:rsidRDefault="00D85745" w:rsidP="00762A4C">
            <w:pPr>
              <w:jc w:val="both"/>
              <w:rPr>
                <w:rFonts w:eastAsia="Calibri"/>
                <w:sz w:val="20"/>
                <w:lang w:val="fr-CA"/>
              </w:rPr>
            </w:pPr>
            <w:r w:rsidRPr="00D85745">
              <w:rPr>
                <w:rFonts w:eastAsia="Calibri"/>
                <w:sz w:val="20"/>
                <w:lang w:val="fr-CA"/>
              </w:rPr>
              <w:t xml:space="preserve">(Le juge </w:t>
            </w:r>
            <w:proofErr w:type="spellStart"/>
            <w:r w:rsidRPr="00D85745">
              <w:rPr>
                <w:rFonts w:eastAsia="Calibri"/>
                <w:sz w:val="20"/>
                <w:lang w:val="fr-CA"/>
              </w:rPr>
              <w:t>Bellavance</w:t>
            </w:r>
            <w:proofErr w:type="spellEnd"/>
            <w:r w:rsidRPr="00D85745">
              <w:rPr>
                <w:rFonts w:eastAsia="Calibri"/>
                <w:sz w:val="20"/>
                <w:lang w:val="fr-CA"/>
              </w:rPr>
              <w:t>)</w:t>
            </w:r>
          </w:p>
          <w:p w:rsidR="00D85745" w:rsidRPr="00D85745" w:rsidRDefault="0053798C" w:rsidP="00762A4C">
            <w:pPr>
              <w:jc w:val="both"/>
              <w:rPr>
                <w:rFonts w:eastAsia="Calibri"/>
                <w:sz w:val="20"/>
                <w:lang w:val="fr-CA"/>
              </w:rPr>
            </w:pPr>
            <w:hyperlink r:id="rId37" w:history="1">
              <w:r w:rsidR="00D85745" w:rsidRPr="00762A4C">
                <w:rPr>
                  <w:rFonts w:eastAsia="Calibri"/>
                  <w:color w:val="0000FF" w:themeColor="hyperlink"/>
                  <w:sz w:val="20"/>
                  <w:u w:val="single"/>
                  <w:lang w:val="fr-CA"/>
                </w:rPr>
                <w:t>2013 QCCS 4402</w:t>
              </w:r>
            </w:hyperlink>
          </w:p>
          <w:p w:rsidR="00D85745" w:rsidRPr="00D85745" w:rsidRDefault="00D85745" w:rsidP="00762A4C">
            <w:pPr>
              <w:jc w:val="both"/>
              <w:rPr>
                <w:rFonts w:eastAsia="Calibri"/>
                <w:sz w:val="20"/>
                <w:lang w:val="fr-CA"/>
              </w:rPr>
            </w:pPr>
          </w:p>
        </w:tc>
        <w:tc>
          <w:tcPr>
            <w:tcW w:w="243" w:type="pct"/>
          </w:tcPr>
          <w:p w:rsidR="00D85745" w:rsidRPr="00D85745" w:rsidRDefault="00D85745" w:rsidP="00762A4C">
            <w:pPr>
              <w:jc w:val="both"/>
              <w:rPr>
                <w:rFonts w:eastAsia="Calibri"/>
                <w:sz w:val="20"/>
                <w:lang w:val="fr-CA"/>
              </w:rPr>
            </w:pPr>
          </w:p>
        </w:tc>
        <w:tc>
          <w:tcPr>
            <w:tcW w:w="2330" w:type="pct"/>
            <w:hideMark/>
          </w:tcPr>
          <w:p w:rsidR="00D85745" w:rsidRPr="00D85745" w:rsidRDefault="00D85745" w:rsidP="00762A4C">
            <w:pPr>
              <w:jc w:val="both"/>
              <w:rPr>
                <w:rFonts w:eastAsia="Calibri"/>
                <w:sz w:val="20"/>
                <w:lang w:val="fr-CA"/>
              </w:rPr>
            </w:pPr>
            <w:r w:rsidRPr="00D85745">
              <w:rPr>
                <w:rFonts w:eastAsia="Calibri"/>
                <w:sz w:val="20"/>
                <w:lang w:val="fr-CA"/>
              </w:rPr>
              <w:t xml:space="preserve">Requête en annulation de saisie avant jugement et en disqualification de gardien rejetée; ordonnances de sauvegarde émises </w:t>
            </w: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Le 16 février 2015</w:t>
            </w:r>
          </w:p>
          <w:p w:rsidR="00D85745" w:rsidRPr="00D85745" w:rsidRDefault="00D85745" w:rsidP="00762A4C">
            <w:pPr>
              <w:jc w:val="both"/>
              <w:rPr>
                <w:rFonts w:eastAsia="Calibri"/>
                <w:sz w:val="20"/>
                <w:lang w:val="fr-CA"/>
              </w:rPr>
            </w:pPr>
            <w:r w:rsidRPr="00D85745">
              <w:rPr>
                <w:rFonts w:eastAsia="Calibri"/>
                <w:sz w:val="20"/>
                <w:lang w:val="fr-CA"/>
              </w:rPr>
              <w:t>Cour d’appel du Québec (Montréal)</w:t>
            </w:r>
          </w:p>
          <w:p w:rsidR="00D85745" w:rsidRPr="00D85745" w:rsidRDefault="00D85745" w:rsidP="00762A4C">
            <w:pPr>
              <w:jc w:val="both"/>
              <w:rPr>
                <w:rFonts w:eastAsia="Calibri"/>
                <w:sz w:val="20"/>
                <w:lang w:val="fr-CA"/>
              </w:rPr>
            </w:pPr>
            <w:r w:rsidRPr="00D85745">
              <w:rPr>
                <w:rFonts w:eastAsia="Calibri"/>
                <w:sz w:val="20"/>
                <w:lang w:val="fr-CA"/>
              </w:rPr>
              <w:t>(Les juges Hilton, St-Pierre et Levesque)</w:t>
            </w:r>
          </w:p>
          <w:p w:rsidR="00D85745" w:rsidRPr="00D85745" w:rsidRDefault="0053798C" w:rsidP="00762A4C">
            <w:pPr>
              <w:jc w:val="both"/>
              <w:rPr>
                <w:rFonts w:eastAsia="Calibri"/>
                <w:sz w:val="20"/>
                <w:lang w:val="fr-CA"/>
              </w:rPr>
            </w:pPr>
            <w:hyperlink r:id="rId38" w:history="1">
              <w:r w:rsidR="00D85745" w:rsidRPr="00762A4C">
                <w:rPr>
                  <w:rFonts w:eastAsia="Calibri"/>
                  <w:color w:val="0000FF" w:themeColor="hyperlink"/>
                  <w:sz w:val="20"/>
                  <w:u w:val="single"/>
                  <w:lang w:val="fr-CA"/>
                </w:rPr>
                <w:t>2015 QCCA 287</w:t>
              </w:r>
            </w:hyperlink>
          </w:p>
          <w:p w:rsidR="00D85745" w:rsidRPr="00D85745" w:rsidRDefault="00D85745" w:rsidP="00762A4C">
            <w:pPr>
              <w:jc w:val="both"/>
              <w:rPr>
                <w:rFonts w:eastAsia="Calibri"/>
                <w:sz w:val="20"/>
                <w:lang w:val="fr-CA"/>
              </w:rPr>
            </w:pPr>
          </w:p>
        </w:tc>
        <w:tc>
          <w:tcPr>
            <w:tcW w:w="243" w:type="pct"/>
          </w:tcPr>
          <w:p w:rsidR="00D85745" w:rsidRPr="00D85745" w:rsidRDefault="00D85745" w:rsidP="00762A4C">
            <w:pPr>
              <w:jc w:val="both"/>
              <w:rPr>
                <w:rFonts w:eastAsia="Calibri"/>
                <w:sz w:val="20"/>
                <w:lang w:val="fr-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Appel accueillie en partie; ordonnances de sauvegarde cassées.</w:t>
            </w:r>
          </w:p>
          <w:p w:rsidR="00D85745" w:rsidRPr="00D85745" w:rsidRDefault="00D85745" w:rsidP="00762A4C">
            <w:pPr>
              <w:jc w:val="both"/>
              <w:rPr>
                <w:rFonts w:eastAsia="Calibri"/>
                <w:sz w:val="20"/>
                <w:lang w:val="fr-CA"/>
              </w:rPr>
            </w:pPr>
          </w:p>
        </w:tc>
      </w:tr>
      <w:tr w:rsidR="00D85745" w:rsidRPr="00D85745" w:rsidTr="00D85745">
        <w:tc>
          <w:tcPr>
            <w:tcW w:w="2427" w:type="pct"/>
            <w:gridSpan w:val="2"/>
            <w:hideMark/>
          </w:tcPr>
          <w:p w:rsidR="00D85745" w:rsidRPr="00D85745" w:rsidRDefault="00D85745" w:rsidP="00762A4C">
            <w:pPr>
              <w:jc w:val="both"/>
              <w:rPr>
                <w:rFonts w:eastAsia="Calibri"/>
                <w:sz w:val="20"/>
                <w:lang w:val="fr-CA"/>
              </w:rPr>
            </w:pPr>
            <w:r w:rsidRPr="00D85745">
              <w:rPr>
                <w:rFonts w:eastAsia="Calibri"/>
                <w:sz w:val="20"/>
                <w:lang w:val="fr-CA"/>
              </w:rPr>
              <w:t>Le 31 mars 2015</w:t>
            </w:r>
          </w:p>
          <w:p w:rsidR="00D85745" w:rsidRPr="00D85745" w:rsidRDefault="00D85745" w:rsidP="00762A4C">
            <w:pPr>
              <w:jc w:val="both"/>
              <w:rPr>
                <w:rFonts w:eastAsia="Calibri"/>
                <w:sz w:val="20"/>
                <w:lang w:val="fr-CA"/>
              </w:rPr>
            </w:pPr>
            <w:r w:rsidRPr="00D85745">
              <w:rPr>
                <w:rFonts w:eastAsia="Calibri"/>
                <w:sz w:val="20"/>
                <w:lang w:val="fr-CA"/>
              </w:rPr>
              <w:t>Cour suprême du Canada</w:t>
            </w:r>
          </w:p>
        </w:tc>
        <w:tc>
          <w:tcPr>
            <w:tcW w:w="243" w:type="pct"/>
          </w:tcPr>
          <w:p w:rsidR="00D85745" w:rsidRPr="00D85745" w:rsidRDefault="00D85745" w:rsidP="00762A4C">
            <w:pPr>
              <w:jc w:val="both"/>
              <w:rPr>
                <w:rFonts w:eastAsia="Calibri"/>
                <w:sz w:val="20"/>
                <w:lang w:val="fr-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Demande d'autorisation d'appel déposée</w:t>
            </w:r>
          </w:p>
          <w:p w:rsidR="00D85745" w:rsidRPr="00D85745" w:rsidRDefault="00D85745" w:rsidP="00762A4C">
            <w:pPr>
              <w:jc w:val="both"/>
              <w:rPr>
                <w:rFonts w:eastAsia="Calibri"/>
                <w:sz w:val="20"/>
                <w:lang w:val="fr-CA"/>
              </w:rPr>
            </w:pPr>
          </w:p>
        </w:tc>
      </w:tr>
    </w:tbl>
    <w:p w:rsidR="00D85745" w:rsidRDefault="00D85745" w:rsidP="00762A4C">
      <w:pPr>
        <w:jc w:val="both"/>
        <w:rPr>
          <w:rFonts w:eastAsia="Calibri"/>
          <w:sz w:val="20"/>
          <w:lang w:val="fr-CA"/>
        </w:rPr>
      </w:pPr>
    </w:p>
    <w:p w:rsidR="00762A4C" w:rsidRPr="00D85745" w:rsidRDefault="00762A4C" w:rsidP="00762A4C">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85745" w:rsidRPr="00D85745" w:rsidTr="00D85745">
        <w:tc>
          <w:tcPr>
            <w:tcW w:w="543" w:type="pct"/>
            <w:hideMark/>
          </w:tcPr>
          <w:p w:rsidR="00D85745" w:rsidRPr="00D85745" w:rsidRDefault="00D85745" w:rsidP="00762A4C">
            <w:pPr>
              <w:jc w:val="both"/>
              <w:rPr>
                <w:rFonts w:eastAsia="Calibri"/>
                <w:sz w:val="20"/>
                <w:lang w:val="en-CA"/>
              </w:rPr>
            </w:pPr>
            <w:r w:rsidRPr="00762A4C">
              <w:rPr>
                <w:rFonts w:eastAsia="Calibri"/>
                <w:b/>
                <w:sz w:val="20"/>
                <w:lang w:val="en-CA"/>
              </w:rPr>
              <w:t>36423</w:t>
            </w:r>
          </w:p>
        </w:tc>
        <w:tc>
          <w:tcPr>
            <w:tcW w:w="4457" w:type="pct"/>
            <w:gridSpan w:val="3"/>
            <w:hideMark/>
          </w:tcPr>
          <w:p w:rsidR="00D85745" w:rsidRPr="00D85745" w:rsidRDefault="00D85745" w:rsidP="00762A4C">
            <w:pPr>
              <w:jc w:val="both"/>
              <w:rPr>
                <w:rFonts w:eastAsia="Calibri"/>
                <w:b/>
                <w:sz w:val="20"/>
                <w:lang w:val="en-CA"/>
              </w:rPr>
            </w:pPr>
            <w:r w:rsidRPr="00D85745">
              <w:rPr>
                <w:rFonts w:eastAsia="Calibri"/>
                <w:b/>
                <w:sz w:val="20"/>
                <w:lang w:val="en-CA"/>
              </w:rPr>
              <w:t xml:space="preserve">Frederic </w:t>
            </w:r>
            <w:proofErr w:type="spellStart"/>
            <w:r w:rsidRPr="00D85745">
              <w:rPr>
                <w:rFonts w:eastAsia="Calibri"/>
                <w:b/>
                <w:sz w:val="20"/>
                <w:lang w:val="en-CA"/>
              </w:rPr>
              <w:t>Ntibarimungu</w:t>
            </w:r>
            <w:proofErr w:type="spellEnd"/>
            <w:r w:rsidRPr="00D85745">
              <w:rPr>
                <w:rFonts w:eastAsia="Calibri"/>
                <w:b/>
                <w:sz w:val="20"/>
                <w:lang w:val="en-CA"/>
              </w:rPr>
              <w:t xml:space="preserve"> v. Insurance Corporation of British Columbia</w:t>
            </w:r>
          </w:p>
          <w:p w:rsidR="00D85745" w:rsidRPr="00D85745" w:rsidRDefault="00D85745" w:rsidP="00762A4C">
            <w:pPr>
              <w:jc w:val="both"/>
              <w:rPr>
                <w:rFonts w:eastAsia="Calibri"/>
                <w:sz w:val="20"/>
                <w:lang w:val="en-CA"/>
              </w:rPr>
            </w:pPr>
            <w:r w:rsidRPr="00D85745">
              <w:rPr>
                <w:rFonts w:eastAsia="Calibri"/>
                <w:sz w:val="20"/>
                <w:lang w:val="en-CA"/>
              </w:rPr>
              <w:t>(B.C.) (Civil) (By Leave)</w:t>
            </w:r>
          </w:p>
        </w:tc>
      </w:tr>
      <w:tr w:rsidR="00D85745" w:rsidRPr="00D85745" w:rsidTr="00D85745">
        <w:tc>
          <w:tcPr>
            <w:tcW w:w="5000" w:type="pct"/>
            <w:gridSpan w:val="4"/>
          </w:tcPr>
          <w:p w:rsidR="00D85745" w:rsidRPr="00D85745" w:rsidRDefault="00D85745" w:rsidP="00762A4C">
            <w:pPr>
              <w:jc w:val="both"/>
              <w:rPr>
                <w:rFonts w:eastAsia="Calibri"/>
                <w:sz w:val="20"/>
                <w:lang w:val="en-CA"/>
              </w:rPr>
            </w:pPr>
            <w:r w:rsidRPr="00D85745">
              <w:rPr>
                <w:rFonts w:eastAsia="Calibri"/>
                <w:sz w:val="20"/>
                <w:lang w:val="en-CA"/>
              </w:rPr>
              <w:lastRenderedPageBreak/>
              <w:t xml:space="preserve">Insurance – Automobile insurance – Disability benefits – Proof of disability – Whether the lower courts erred in dismissing the applicant’s action for disability benefits under the </w:t>
            </w:r>
            <w:r w:rsidRPr="00D85745">
              <w:rPr>
                <w:rFonts w:eastAsia="Calibri"/>
                <w:i/>
                <w:sz w:val="20"/>
                <w:lang w:val="en-CA"/>
              </w:rPr>
              <w:t>Insurance (Vehicle) Regulation</w:t>
            </w:r>
            <w:r w:rsidRPr="00D85745">
              <w:rPr>
                <w:rFonts w:eastAsia="Calibri"/>
                <w:sz w:val="20"/>
                <w:lang w:val="en-CA"/>
              </w:rPr>
              <w:t>, B.C. Reg. 447/83.</w:t>
            </w:r>
          </w:p>
        </w:tc>
      </w:tr>
      <w:tr w:rsidR="00D85745" w:rsidRPr="00D85745" w:rsidTr="00D85745">
        <w:tc>
          <w:tcPr>
            <w:tcW w:w="5000" w:type="pct"/>
            <w:gridSpan w:val="4"/>
          </w:tcPr>
          <w:p w:rsidR="00D85745" w:rsidRPr="00D85745" w:rsidRDefault="00D85745" w:rsidP="00762A4C">
            <w:pPr>
              <w:jc w:val="both"/>
              <w:rPr>
                <w:rFonts w:eastAsia="Calibri"/>
                <w:sz w:val="20"/>
                <w:lang w:val="en-CA"/>
              </w:rPr>
            </w:pPr>
          </w:p>
        </w:tc>
      </w:tr>
      <w:tr w:rsidR="00D85745" w:rsidRPr="00D85745" w:rsidTr="00D85745">
        <w:tc>
          <w:tcPr>
            <w:tcW w:w="5000" w:type="pct"/>
            <w:gridSpan w:val="4"/>
          </w:tcPr>
          <w:p w:rsidR="00D85745" w:rsidRPr="00D85745" w:rsidRDefault="00D85745" w:rsidP="00762A4C">
            <w:pPr>
              <w:jc w:val="both"/>
              <w:rPr>
                <w:rFonts w:eastAsia="Calibri"/>
                <w:sz w:val="20"/>
                <w:lang w:val="en-CA"/>
              </w:rPr>
            </w:pPr>
            <w:r w:rsidRPr="00D85745">
              <w:rPr>
                <w:rFonts w:eastAsia="Calibri"/>
                <w:sz w:val="20"/>
                <w:lang w:val="en-CA"/>
              </w:rPr>
              <w:t xml:space="preserve">The applicant is a </w:t>
            </w:r>
            <w:proofErr w:type="spellStart"/>
            <w:r w:rsidRPr="00D85745">
              <w:rPr>
                <w:rFonts w:eastAsia="Calibri"/>
                <w:sz w:val="20"/>
                <w:lang w:val="en-CA"/>
              </w:rPr>
              <w:t>self represented</w:t>
            </w:r>
            <w:proofErr w:type="spellEnd"/>
            <w:r w:rsidRPr="00D85745">
              <w:rPr>
                <w:rFonts w:eastAsia="Calibri"/>
                <w:sz w:val="20"/>
                <w:lang w:val="en-CA"/>
              </w:rPr>
              <w:t xml:space="preserve"> litigant who sustained injuries in a motor-vehicle accident on December 23, 2007. He has qualifications in payroll management, human resources, life insurance and teaching and was working at the Vancouver Career College at the time of the accident. He brought an action for disability benefits under Part 7 of the </w:t>
            </w:r>
            <w:r w:rsidRPr="00D85745">
              <w:rPr>
                <w:rFonts w:eastAsia="Calibri"/>
                <w:i/>
                <w:sz w:val="20"/>
                <w:lang w:val="en-CA"/>
              </w:rPr>
              <w:t>Insurance (Vehicle) Regulation</w:t>
            </w:r>
            <w:r w:rsidRPr="00D85745">
              <w:rPr>
                <w:rFonts w:eastAsia="Calibri"/>
                <w:sz w:val="20"/>
                <w:lang w:val="en-CA"/>
              </w:rPr>
              <w:t xml:space="preserve">, B.C. Reg. 447/83, asserting that he had been totally disabled by the accident. The Supreme Court of British Columbia dismissed his action, holding that the applicant had established he was disabled for a period of ten weeks, but had failed to make-out a </w:t>
            </w:r>
            <w:r w:rsidRPr="00D85745">
              <w:rPr>
                <w:rFonts w:eastAsia="Calibri"/>
                <w:i/>
                <w:sz w:val="20"/>
                <w:lang w:val="en-CA"/>
              </w:rPr>
              <w:t>prima facie</w:t>
            </w:r>
            <w:r w:rsidRPr="00D85745">
              <w:rPr>
                <w:rFonts w:eastAsia="Calibri"/>
                <w:sz w:val="20"/>
                <w:lang w:val="en-CA"/>
              </w:rPr>
              <w:t xml:space="preserve"> case that he continued to be disabled from his pre-accident employment and occupation. The Court of Appeal for British Columbia dismissed the applicant’s appeal.</w:t>
            </w:r>
          </w:p>
          <w:p w:rsidR="00D85745" w:rsidRPr="00D85745" w:rsidRDefault="00D85745" w:rsidP="00762A4C">
            <w:pPr>
              <w:jc w:val="both"/>
              <w:rPr>
                <w:rFonts w:eastAsia="Calibri"/>
                <w:sz w:val="20"/>
                <w:lang w:val="en-CA"/>
              </w:rPr>
            </w:pPr>
          </w:p>
        </w:tc>
      </w:tr>
      <w:tr w:rsidR="00D85745" w:rsidRPr="00D85745" w:rsidTr="00D85745">
        <w:tc>
          <w:tcPr>
            <w:tcW w:w="2427" w:type="pct"/>
            <w:gridSpan w:val="2"/>
          </w:tcPr>
          <w:p w:rsidR="00D85745" w:rsidRPr="00D85745" w:rsidRDefault="00D85745" w:rsidP="00762A4C">
            <w:pPr>
              <w:jc w:val="both"/>
              <w:rPr>
                <w:rFonts w:eastAsia="Calibri"/>
                <w:sz w:val="20"/>
                <w:lang w:val="en-CA"/>
              </w:rPr>
            </w:pPr>
            <w:r w:rsidRPr="00D85745">
              <w:rPr>
                <w:rFonts w:eastAsia="Calibri"/>
                <w:sz w:val="20"/>
                <w:lang w:val="en-CA"/>
              </w:rPr>
              <w:t>December 3, 2013</w:t>
            </w:r>
          </w:p>
          <w:p w:rsidR="00D85745" w:rsidRPr="00D85745" w:rsidRDefault="00D85745" w:rsidP="00762A4C">
            <w:pPr>
              <w:jc w:val="both"/>
              <w:rPr>
                <w:rFonts w:eastAsia="Calibri"/>
                <w:sz w:val="20"/>
                <w:lang w:val="en-CA"/>
              </w:rPr>
            </w:pPr>
            <w:r w:rsidRPr="00D85745">
              <w:rPr>
                <w:rFonts w:eastAsia="Calibri"/>
                <w:sz w:val="20"/>
                <w:lang w:val="en-CA"/>
              </w:rPr>
              <w:t>Supreme Court of British Columbia</w:t>
            </w:r>
          </w:p>
          <w:p w:rsidR="00D85745" w:rsidRPr="00D85745" w:rsidRDefault="00D85745" w:rsidP="00762A4C">
            <w:pPr>
              <w:jc w:val="both"/>
              <w:rPr>
                <w:rFonts w:eastAsia="Calibri"/>
                <w:sz w:val="20"/>
                <w:lang w:val="en-CA"/>
              </w:rPr>
            </w:pPr>
            <w:r w:rsidRPr="00D85745">
              <w:rPr>
                <w:rFonts w:eastAsia="Calibri"/>
                <w:sz w:val="20"/>
                <w:lang w:val="en-CA"/>
              </w:rPr>
              <w:t>(Crawford J.)</w:t>
            </w:r>
          </w:p>
          <w:p w:rsidR="00D85745" w:rsidRPr="00D85745" w:rsidRDefault="0053798C" w:rsidP="00762A4C">
            <w:pPr>
              <w:jc w:val="both"/>
              <w:rPr>
                <w:rFonts w:eastAsia="Calibri"/>
                <w:sz w:val="20"/>
                <w:lang w:val="en-CA"/>
              </w:rPr>
            </w:pPr>
            <w:hyperlink r:id="rId39" w:history="1">
              <w:r w:rsidR="00D85745" w:rsidRPr="00762A4C">
                <w:rPr>
                  <w:rFonts w:eastAsia="Calibri"/>
                  <w:color w:val="0000FF" w:themeColor="hyperlink"/>
                  <w:sz w:val="20"/>
                  <w:u w:val="single"/>
                  <w:lang w:val="en-CA"/>
                </w:rPr>
                <w:t>2013 BCSC 2207</w:t>
              </w:r>
            </w:hyperlink>
            <w:r w:rsidR="00D85745" w:rsidRPr="00D85745">
              <w:rPr>
                <w:rFonts w:eastAsia="Calibri"/>
                <w:sz w:val="20"/>
                <w:lang w:val="en-CA"/>
              </w:rPr>
              <w:t xml:space="preserve"> </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en-CA"/>
              </w:rPr>
            </w:pPr>
            <w:r w:rsidRPr="00D85745">
              <w:rPr>
                <w:rFonts w:eastAsia="Calibri"/>
                <w:sz w:val="20"/>
                <w:lang w:val="en-CA"/>
              </w:rPr>
              <w:t>Applicant’s action dismissed</w:t>
            </w:r>
          </w:p>
          <w:p w:rsidR="00D85745" w:rsidRPr="00D85745" w:rsidRDefault="00D85745" w:rsidP="00762A4C">
            <w:pPr>
              <w:jc w:val="both"/>
              <w:rPr>
                <w:rFonts w:eastAsia="Calibri"/>
                <w:sz w:val="20"/>
                <w:lang w:val="en-CA"/>
              </w:rPr>
            </w:pPr>
          </w:p>
        </w:tc>
      </w:tr>
      <w:tr w:rsidR="00D85745" w:rsidRPr="00D85745" w:rsidTr="00D85745">
        <w:tc>
          <w:tcPr>
            <w:tcW w:w="2427" w:type="pct"/>
            <w:gridSpan w:val="2"/>
          </w:tcPr>
          <w:p w:rsidR="00D85745" w:rsidRPr="00D85745" w:rsidRDefault="00D85745" w:rsidP="00762A4C">
            <w:pPr>
              <w:jc w:val="both"/>
              <w:rPr>
                <w:rFonts w:eastAsia="Calibri"/>
                <w:sz w:val="20"/>
                <w:lang w:val="en-CA"/>
              </w:rPr>
            </w:pPr>
            <w:r w:rsidRPr="00D85745">
              <w:rPr>
                <w:rFonts w:eastAsia="Calibri"/>
                <w:sz w:val="20"/>
                <w:lang w:val="en-CA"/>
              </w:rPr>
              <w:t>February 10, 2015</w:t>
            </w:r>
          </w:p>
          <w:p w:rsidR="00D85745" w:rsidRPr="00D85745" w:rsidRDefault="00D85745" w:rsidP="00762A4C">
            <w:pPr>
              <w:jc w:val="both"/>
              <w:rPr>
                <w:rFonts w:eastAsia="Calibri"/>
                <w:sz w:val="20"/>
                <w:lang w:val="en-CA"/>
              </w:rPr>
            </w:pPr>
            <w:r w:rsidRPr="00D85745">
              <w:rPr>
                <w:rFonts w:eastAsia="Calibri"/>
                <w:sz w:val="20"/>
                <w:lang w:val="en-CA"/>
              </w:rPr>
              <w:t xml:space="preserve">Court of Appeal for British Columbia </w:t>
            </w:r>
          </w:p>
          <w:p w:rsidR="00D85745" w:rsidRPr="00D85745" w:rsidRDefault="00D85745" w:rsidP="00762A4C">
            <w:pPr>
              <w:jc w:val="both"/>
              <w:rPr>
                <w:rFonts w:eastAsia="Calibri"/>
                <w:sz w:val="20"/>
                <w:lang w:val="en-CA"/>
              </w:rPr>
            </w:pPr>
            <w:r w:rsidRPr="00D85745">
              <w:rPr>
                <w:rFonts w:eastAsia="Calibri"/>
                <w:sz w:val="20"/>
                <w:lang w:val="en-CA"/>
              </w:rPr>
              <w:t>(Vancouver)</w:t>
            </w:r>
          </w:p>
          <w:p w:rsidR="00D85745" w:rsidRPr="00D85745" w:rsidRDefault="00D85745" w:rsidP="00762A4C">
            <w:pPr>
              <w:jc w:val="both"/>
              <w:rPr>
                <w:rFonts w:eastAsia="Calibri"/>
                <w:sz w:val="20"/>
                <w:lang w:val="en-CA"/>
              </w:rPr>
            </w:pPr>
            <w:r w:rsidRPr="00D85745">
              <w:rPr>
                <w:rFonts w:eastAsia="Calibri"/>
                <w:sz w:val="20"/>
                <w:lang w:val="en-CA"/>
              </w:rPr>
              <w:t xml:space="preserve">(Donald, Smith and </w:t>
            </w:r>
            <w:proofErr w:type="spellStart"/>
            <w:r w:rsidRPr="00D85745">
              <w:rPr>
                <w:rFonts w:eastAsia="Calibri"/>
                <w:sz w:val="20"/>
                <w:lang w:val="en-CA"/>
              </w:rPr>
              <w:t>Groberman</w:t>
            </w:r>
            <w:proofErr w:type="spellEnd"/>
            <w:r w:rsidRPr="00D85745">
              <w:rPr>
                <w:rFonts w:eastAsia="Calibri"/>
                <w:sz w:val="20"/>
                <w:lang w:val="en-CA"/>
              </w:rPr>
              <w:t xml:space="preserve"> JJ.A.)</w:t>
            </w:r>
          </w:p>
          <w:p w:rsidR="00D85745" w:rsidRPr="00D85745" w:rsidRDefault="0053798C" w:rsidP="00762A4C">
            <w:pPr>
              <w:jc w:val="both"/>
              <w:rPr>
                <w:rFonts w:eastAsia="Calibri"/>
                <w:sz w:val="20"/>
                <w:lang w:val="en-CA"/>
              </w:rPr>
            </w:pPr>
            <w:hyperlink r:id="rId40" w:history="1">
              <w:r w:rsidR="00D85745" w:rsidRPr="00762A4C">
                <w:rPr>
                  <w:rFonts w:eastAsia="Calibri"/>
                  <w:color w:val="0000FF" w:themeColor="hyperlink"/>
                  <w:sz w:val="20"/>
                  <w:u w:val="single"/>
                  <w:lang w:val="en-CA"/>
                </w:rPr>
                <w:t>2015 BCCA 65</w:t>
              </w:r>
            </w:hyperlink>
            <w:r w:rsidR="00D85745" w:rsidRPr="00D85745">
              <w:rPr>
                <w:rFonts w:eastAsia="Calibri"/>
                <w:sz w:val="20"/>
                <w:lang w:val="en-CA"/>
              </w:rPr>
              <w:t>; CA041136</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en-CA"/>
              </w:rPr>
            </w:pPr>
            <w:r w:rsidRPr="00D85745">
              <w:rPr>
                <w:rFonts w:eastAsia="Calibri"/>
                <w:sz w:val="20"/>
                <w:lang w:val="en-CA"/>
              </w:rPr>
              <w:t>Appeal dismissed</w:t>
            </w:r>
          </w:p>
          <w:p w:rsidR="00D85745" w:rsidRPr="00D85745" w:rsidRDefault="00D85745" w:rsidP="00762A4C">
            <w:pPr>
              <w:jc w:val="both"/>
              <w:rPr>
                <w:rFonts w:eastAsia="Calibri"/>
                <w:sz w:val="20"/>
                <w:lang w:val="en-CA"/>
              </w:rPr>
            </w:pPr>
          </w:p>
        </w:tc>
      </w:tr>
      <w:tr w:rsidR="00D85745" w:rsidRPr="00D85745" w:rsidTr="00D85745">
        <w:tc>
          <w:tcPr>
            <w:tcW w:w="2427" w:type="pct"/>
            <w:gridSpan w:val="2"/>
          </w:tcPr>
          <w:p w:rsidR="00D85745" w:rsidRPr="00D85745" w:rsidRDefault="00D85745" w:rsidP="00762A4C">
            <w:pPr>
              <w:jc w:val="both"/>
              <w:rPr>
                <w:rFonts w:eastAsia="Calibri"/>
                <w:sz w:val="20"/>
                <w:lang w:val="en-CA"/>
              </w:rPr>
            </w:pPr>
            <w:r w:rsidRPr="00D85745">
              <w:rPr>
                <w:rFonts w:eastAsia="Calibri"/>
                <w:sz w:val="20"/>
                <w:lang w:val="en-CA"/>
              </w:rPr>
              <w:t>April 15, 2015</w:t>
            </w:r>
          </w:p>
          <w:p w:rsidR="00D85745" w:rsidRPr="00D85745" w:rsidRDefault="00D85745" w:rsidP="00762A4C">
            <w:pPr>
              <w:jc w:val="both"/>
              <w:rPr>
                <w:rFonts w:eastAsia="Calibri"/>
                <w:sz w:val="20"/>
                <w:lang w:val="en-CA"/>
              </w:rPr>
            </w:pPr>
            <w:r w:rsidRPr="00D85745">
              <w:rPr>
                <w:rFonts w:eastAsia="Calibri"/>
                <w:sz w:val="20"/>
                <w:lang w:val="en-CA"/>
              </w:rPr>
              <w:t>Supreme Court of Canada</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en-CA"/>
              </w:rPr>
            </w:pPr>
            <w:r w:rsidRPr="00D85745">
              <w:rPr>
                <w:rFonts w:eastAsia="Calibri"/>
                <w:sz w:val="20"/>
                <w:lang w:val="en-CA"/>
              </w:rPr>
              <w:t>Application for leave to appeal filed</w:t>
            </w:r>
          </w:p>
          <w:p w:rsidR="00D85745" w:rsidRPr="00D85745" w:rsidRDefault="00D85745" w:rsidP="00762A4C">
            <w:pPr>
              <w:jc w:val="both"/>
              <w:rPr>
                <w:rFonts w:eastAsia="Calibri"/>
                <w:sz w:val="20"/>
                <w:lang w:val="en-CA"/>
              </w:rPr>
            </w:pPr>
          </w:p>
        </w:tc>
      </w:tr>
      <w:tr w:rsidR="00D85745" w:rsidRPr="00D85745" w:rsidTr="00D85745">
        <w:tc>
          <w:tcPr>
            <w:tcW w:w="2427" w:type="pct"/>
            <w:gridSpan w:val="2"/>
            <w:hideMark/>
          </w:tcPr>
          <w:p w:rsidR="00D85745" w:rsidRPr="00D85745" w:rsidRDefault="00D85745" w:rsidP="00762A4C">
            <w:pPr>
              <w:jc w:val="both"/>
              <w:rPr>
                <w:rFonts w:eastAsia="Calibri"/>
                <w:sz w:val="20"/>
                <w:lang w:val="en-CA"/>
              </w:rPr>
            </w:pPr>
            <w:r w:rsidRPr="00D85745">
              <w:rPr>
                <w:rFonts w:eastAsia="Calibri"/>
                <w:sz w:val="20"/>
                <w:lang w:val="en-CA"/>
              </w:rPr>
              <w:t>May 7, 2015</w:t>
            </w:r>
          </w:p>
          <w:p w:rsidR="00D85745" w:rsidRPr="00D85745" w:rsidRDefault="00D85745" w:rsidP="00762A4C">
            <w:pPr>
              <w:jc w:val="both"/>
              <w:rPr>
                <w:rFonts w:eastAsia="Calibri"/>
                <w:sz w:val="20"/>
                <w:lang w:val="en-CA"/>
              </w:rPr>
            </w:pPr>
            <w:r w:rsidRPr="00D85745">
              <w:rPr>
                <w:rFonts w:eastAsia="Calibri"/>
                <w:sz w:val="20"/>
                <w:lang w:val="en-CA"/>
              </w:rPr>
              <w:t>Supreme Court of Canada</w:t>
            </w:r>
          </w:p>
        </w:tc>
        <w:tc>
          <w:tcPr>
            <w:tcW w:w="243" w:type="pct"/>
          </w:tcPr>
          <w:p w:rsidR="00D85745" w:rsidRPr="00D85745" w:rsidRDefault="00D85745" w:rsidP="00762A4C">
            <w:pPr>
              <w:jc w:val="both"/>
              <w:rPr>
                <w:rFonts w:eastAsia="Calibri"/>
                <w:sz w:val="20"/>
                <w:lang w:val="en-CA"/>
              </w:rPr>
            </w:pPr>
          </w:p>
        </w:tc>
        <w:tc>
          <w:tcPr>
            <w:tcW w:w="2330" w:type="pct"/>
            <w:hideMark/>
          </w:tcPr>
          <w:p w:rsidR="00D85745" w:rsidRPr="00D85745" w:rsidRDefault="00D85745" w:rsidP="00762A4C">
            <w:pPr>
              <w:jc w:val="both"/>
              <w:rPr>
                <w:rFonts w:eastAsia="Calibri"/>
                <w:sz w:val="20"/>
                <w:lang w:val="en-CA"/>
              </w:rPr>
            </w:pPr>
            <w:r w:rsidRPr="00D85745">
              <w:rPr>
                <w:rFonts w:eastAsia="Calibri"/>
                <w:sz w:val="20"/>
                <w:lang w:val="en-CA"/>
              </w:rPr>
              <w:t>Motion to extend time to file and or serve the application for leave to appeal filed</w:t>
            </w:r>
          </w:p>
        </w:tc>
      </w:tr>
    </w:tbl>
    <w:p w:rsidR="00D85745" w:rsidRPr="00D85745" w:rsidRDefault="00D85745" w:rsidP="00762A4C">
      <w:pPr>
        <w:jc w:val="both"/>
        <w:rPr>
          <w:rFonts w:eastAsia="Calibri"/>
          <w:sz w:val="20"/>
          <w:lang w:val="en-CA"/>
        </w:rPr>
      </w:pPr>
    </w:p>
    <w:p w:rsidR="00D85745" w:rsidRPr="00D85745" w:rsidRDefault="00D85745" w:rsidP="00762A4C">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85745" w:rsidRPr="00D85745" w:rsidTr="00D85745">
        <w:tc>
          <w:tcPr>
            <w:tcW w:w="543" w:type="pct"/>
            <w:hideMark/>
          </w:tcPr>
          <w:p w:rsidR="00D85745" w:rsidRPr="00D85745" w:rsidRDefault="00D85745" w:rsidP="00762A4C">
            <w:pPr>
              <w:jc w:val="both"/>
              <w:rPr>
                <w:rFonts w:eastAsia="Calibri"/>
                <w:sz w:val="20"/>
                <w:lang w:val="en-CA"/>
              </w:rPr>
            </w:pPr>
            <w:r w:rsidRPr="00762A4C">
              <w:rPr>
                <w:rFonts w:eastAsia="Calibri"/>
                <w:b/>
                <w:sz w:val="20"/>
                <w:lang w:val="en-CA"/>
              </w:rPr>
              <w:t>36423</w:t>
            </w:r>
          </w:p>
        </w:tc>
        <w:tc>
          <w:tcPr>
            <w:tcW w:w="4457" w:type="pct"/>
            <w:gridSpan w:val="3"/>
            <w:hideMark/>
          </w:tcPr>
          <w:p w:rsidR="00D85745" w:rsidRPr="00D85745" w:rsidRDefault="00D85745" w:rsidP="00762A4C">
            <w:pPr>
              <w:jc w:val="both"/>
              <w:rPr>
                <w:rFonts w:eastAsia="Calibri"/>
                <w:b/>
                <w:sz w:val="20"/>
                <w:lang w:val="en-CA"/>
              </w:rPr>
            </w:pPr>
            <w:r w:rsidRPr="00D85745">
              <w:rPr>
                <w:rFonts w:eastAsia="Calibri"/>
                <w:b/>
                <w:sz w:val="20"/>
                <w:lang w:val="en-CA"/>
              </w:rPr>
              <w:t xml:space="preserve">Frederic </w:t>
            </w:r>
            <w:proofErr w:type="spellStart"/>
            <w:r w:rsidRPr="00D85745">
              <w:rPr>
                <w:rFonts w:eastAsia="Calibri"/>
                <w:b/>
                <w:sz w:val="20"/>
                <w:lang w:val="en-CA"/>
              </w:rPr>
              <w:t>Ntibarimungu</w:t>
            </w:r>
            <w:proofErr w:type="spellEnd"/>
            <w:r w:rsidRPr="00D85745">
              <w:rPr>
                <w:rFonts w:eastAsia="Calibri"/>
                <w:b/>
                <w:sz w:val="20"/>
                <w:lang w:val="en-CA"/>
              </w:rPr>
              <w:t xml:space="preserve"> c. Insurance Corporation of British Columbia</w:t>
            </w:r>
          </w:p>
          <w:p w:rsidR="00D85745" w:rsidRPr="00D85745" w:rsidRDefault="00D85745" w:rsidP="00762A4C">
            <w:pPr>
              <w:jc w:val="both"/>
              <w:rPr>
                <w:rFonts w:eastAsia="Calibri"/>
                <w:sz w:val="20"/>
                <w:lang w:val="fr-CA"/>
              </w:rPr>
            </w:pPr>
            <w:r w:rsidRPr="00D85745">
              <w:rPr>
                <w:rFonts w:eastAsia="Calibri"/>
                <w:sz w:val="20"/>
                <w:lang w:val="fr-CA"/>
              </w:rPr>
              <w:t>(C.-B.) (Civile) (Sur autorisation)</w:t>
            </w:r>
          </w:p>
        </w:tc>
      </w:tr>
      <w:tr w:rsidR="00D85745" w:rsidRPr="00D85745" w:rsidTr="00D85745">
        <w:tc>
          <w:tcPr>
            <w:tcW w:w="5000" w:type="pct"/>
            <w:gridSpan w:val="4"/>
          </w:tcPr>
          <w:p w:rsidR="00D85745" w:rsidRPr="00D85745" w:rsidRDefault="00D85745" w:rsidP="00762A4C">
            <w:pPr>
              <w:jc w:val="both"/>
              <w:rPr>
                <w:rFonts w:eastAsia="Calibri"/>
                <w:sz w:val="20"/>
                <w:lang w:val="fr-CA"/>
              </w:rPr>
            </w:pPr>
            <w:r w:rsidRPr="00D85745">
              <w:rPr>
                <w:rFonts w:eastAsia="Calibri"/>
                <w:sz w:val="20"/>
                <w:lang w:val="fr-CA"/>
              </w:rPr>
              <w:t>Assurance – Assurance automobile – Prestations d’invalidité – Preuve d’invalidité – Les tribunaux d’instance inférieure ont-ils fait erreur en rejetant l’action intentée par le demandeur en vertu de l’</w:t>
            </w:r>
            <w:proofErr w:type="spellStart"/>
            <w:r w:rsidRPr="00D85745">
              <w:rPr>
                <w:rFonts w:eastAsia="Calibri"/>
                <w:i/>
                <w:sz w:val="20"/>
                <w:lang w:val="fr-CA"/>
              </w:rPr>
              <w:t>Insurance</w:t>
            </w:r>
            <w:proofErr w:type="spellEnd"/>
            <w:r w:rsidRPr="00D85745">
              <w:rPr>
                <w:rFonts w:eastAsia="Calibri"/>
                <w:i/>
                <w:sz w:val="20"/>
                <w:lang w:val="fr-CA"/>
              </w:rPr>
              <w:t xml:space="preserve"> (</w:t>
            </w:r>
            <w:proofErr w:type="spellStart"/>
            <w:r w:rsidRPr="00D85745">
              <w:rPr>
                <w:rFonts w:eastAsia="Calibri"/>
                <w:i/>
                <w:sz w:val="20"/>
                <w:lang w:val="fr-CA"/>
              </w:rPr>
              <w:t>Vehicle</w:t>
            </w:r>
            <w:proofErr w:type="spellEnd"/>
            <w:r w:rsidRPr="00D85745">
              <w:rPr>
                <w:rFonts w:eastAsia="Calibri"/>
                <w:i/>
                <w:sz w:val="20"/>
                <w:lang w:val="fr-CA"/>
              </w:rPr>
              <w:t xml:space="preserve">) </w:t>
            </w:r>
            <w:proofErr w:type="spellStart"/>
            <w:r w:rsidRPr="00D85745">
              <w:rPr>
                <w:rFonts w:eastAsia="Calibri"/>
                <w:i/>
                <w:sz w:val="20"/>
                <w:lang w:val="fr-CA"/>
              </w:rPr>
              <w:t>Regulation</w:t>
            </w:r>
            <w:proofErr w:type="spellEnd"/>
            <w:r w:rsidRPr="00D85745">
              <w:rPr>
                <w:rFonts w:eastAsia="Calibri"/>
                <w:sz w:val="20"/>
                <w:lang w:val="fr-CA"/>
              </w:rPr>
              <w:t>, B.C. Reg. 447/83 en vue d’obtenir des prestations d’invalidité?</w:t>
            </w:r>
          </w:p>
        </w:tc>
      </w:tr>
      <w:tr w:rsidR="00D85745" w:rsidRPr="00D85745" w:rsidTr="00D85745">
        <w:tc>
          <w:tcPr>
            <w:tcW w:w="5000" w:type="pct"/>
            <w:gridSpan w:val="4"/>
          </w:tcPr>
          <w:p w:rsidR="00D85745" w:rsidRPr="00D85745" w:rsidRDefault="00D85745" w:rsidP="00762A4C">
            <w:pPr>
              <w:jc w:val="both"/>
              <w:rPr>
                <w:rFonts w:eastAsia="Calibri"/>
                <w:sz w:val="20"/>
                <w:lang w:val="fr-CA"/>
              </w:rPr>
            </w:pPr>
          </w:p>
        </w:tc>
      </w:tr>
      <w:tr w:rsidR="00D85745" w:rsidRPr="00D85745" w:rsidTr="00D85745">
        <w:tc>
          <w:tcPr>
            <w:tcW w:w="5000" w:type="pct"/>
            <w:gridSpan w:val="4"/>
          </w:tcPr>
          <w:p w:rsidR="00D85745" w:rsidRPr="00D85745" w:rsidRDefault="00D85745" w:rsidP="00762A4C">
            <w:pPr>
              <w:jc w:val="both"/>
              <w:rPr>
                <w:rFonts w:eastAsia="Calibri"/>
                <w:sz w:val="20"/>
                <w:lang w:val="fr-CA"/>
              </w:rPr>
            </w:pPr>
            <w:r w:rsidRPr="00D85745">
              <w:rPr>
                <w:rFonts w:eastAsia="Calibri"/>
                <w:sz w:val="20"/>
                <w:lang w:val="fr-CA"/>
              </w:rPr>
              <w:t xml:space="preserve">Le demandeur, un plaideur non représenté par un avocat, a subi des blessures dans un accident de la route le 23 décembre 2007. Il a des compétences dans les domaines de la gestion de la paye, des ressources humaines, de l’assurance-vie et de l’enseignement. Il travaillait au Vancouver Career </w:t>
            </w:r>
            <w:proofErr w:type="spellStart"/>
            <w:r w:rsidRPr="00D85745">
              <w:rPr>
                <w:rFonts w:eastAsia="Calibri"/>
                <w:sz w:val="20"/>
                <w:lang w:val="fr-CA"/>
              </w:rPr>
              <w:t>College</w:t>
            </w:r>
            <w:proofErr w:type="spellEnd"/>
            <w:r w:rsidRPr="00D85745">
              <w:rPr>
                <w:rFonts w:eastAsia="Calibri"/>
                <w:sz w:val="20"/>
                <w:lang w:val="fr-CA"/>
              </w:rPr>
              <w:t xml:space="preserve"> à la date de l’accident. Il a intenté une action en vertu de la partie 7 de l’</w:t>
            </w:r>
            <w:proofErr w:type="spellStart"/>
            <w:r w:rsidRPr="00D85745">
              <w:rPr>
                <w:rFonts w:eastAsia="Calibri"/>
                <w:i/>
                <w:sz w:val="20"/>
                <w:lang w:val="fr-CA"/>
              </w:rPr>
              <w:t>Insurance</w:t>
            </w:r>
            <w:proofErr w:type="spellEnd"/>
            <w:r w:rsidRPr="00D85745">
              <w:rPr>
                <w:rFonts w:eastAsia="Calibri"/>
                <w:i/>
                <w:sz w:val="20"/>
                <w:lang w:val="fr-CA"/>
              </w:rPr>
              <w:t xml:space="preserve"> (</w:t>
            </w:r>
            <w:proofErr w:type="spellStart"/>
            <w:r w:rsidRPr="00D85745">
              <w:rPr>
                <w:rFonts w:eastAsia="Calibri"/>
                <w:i/>
                <w:sz w:val="20"/>
                <w:lang w:val="fr-CA"/>
              </w:rPr>
              <w:t>Vehicle</w:t>
            </w:r>
            <w:proofErr w:type="spellEnd"/>
            <w:r w:rsidRPr="00D85745">
              <w:rPr>
                <w:rFonts w:eastAsia="Calibri"/>
                <w:i/>
                <w:sz w:val="20"/>
                <w:lang w:val="fr-CA"/>
              </w:rPr>
              <w:t xml:space="preserve">) </w:t>
            </w:r>
            <w:proofErr w:type="spellStart"/>
            <w:r w:rsidRPr="00D85745">
              <w:rPr>
                <w:rFonts w:eastAsia="Calibri"/>
                <w:i/>
                <w:sz w:val="20"/>
                <w:lang w:val="fr-CA"/>
              </w:rPr>
              <w:t>Regulation</w:t>
            </w:r>
            <w:proofErr w:type="spellEnd"/>
            <w:r w:rsidRPr="00D85745">
              <w:rPr>
                <w:rFonts w:eastAsia="Calibri"/>
                <w:sz w:val="20"/>
                <w:lang w:val="fr-CA"/>
              </w:rPr>
              <w:t xml:space="preserve"> en vue d’obtenir des prestations d’invalidité, au motif qu’il était totalement invalide depuis l’accident. La Cour suprême de la Colombie-Britannique a rejeté son action, concluant que le demandeur avait démontré qu’il s’était trouvé dans un état d’invalidité pendant dix semaines, </w:t>
            </w:r>
            <w:r w:rsidRPr="00D85745">
              <w:rPr>
                <w:rFonts w:eastAsia="Calibri"/>
                <w:sz w:val="20"/>
                <w:lang w:val="fr-CA"/>
              </w:rPr>
              <w:lastRenderedPageBreak/>
              <w:t>mais qu’il n’avait pas démontré a priori qu’il souffrait toujours d’une invalidité l’empêchant de reprendre l’emploi qu’il détenait avant l’accident. La Cour d’appel de la Colombie-Britannique a rejeté l’appel du demandeur.</w:t>
            </w:r>
          </w:p>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lastRenderedPageBreak/>
              <w:t>3 décembre 2013</w:t>
            </w:r>
          </w:p>
          <w:p w:rsidR="00D85745" w:rsidRPr="00D85745" w:rsidRDefault="00D85745" w:rsidP="00762A4C">
            <w:pPr>
              <w:jc w:val="both"/>
              <w:rPr>
                <w:rFonts w:eastAsia="Calibri"/>
                <w:sz w:val="20"/>
                <w:lang w:val="fr-CA"/>
              </w:rPr>
            </w:pPr>
            <w:r w:rsidRPr="00D85745">
              <w:rPr>
                <w:rFonts w:eastAsia="Calibri"/>
                <w:sz w:val="20"/>
                <w:lang w:val="fr-CA"/>
              </w:rPr>
              <w:t>Cour suprême de la Colombie-Britannique</w:t>
            </w:r>
          </w:p>
          <w:p w:rsidR="00D85745" w:rsidRPr="00D85745" w:rsidRDefault="00D85745" w:rsidP="00762A4C">
            <w:pPr>
              <w:jc w:val="both"/>
              <w:rPr>
                <w:rFonts w:eastAsia="Calibri"/>
                <w:sz w:val="20"/>
                <w:lang w:val="en-CA"/>
              </w:rPr>
            </w:pPr>
            <w:r w:rsidRPr="00D85745">
              <w:rPr>
                <w:rFonts w:eastAsia="Calibri"/>
                <w:sz w:val="20"/>
                <w:lang w:val="en-CA"/>
              </w:rPr>
              <w:t>(</w:t>
            </w:r>
            <w:proofErr w:type="spellStart"/>
            <w:r w:rsidRPr="00D85745">
              <w:rPr>
                <w:rFonts w:eastAsia="Calibri"/>
                <w:sz w:val="20"/>
                <w:lang w:val="en-CA"/>
              </w:rPr>
              <w:t>Juge</w:t>
            </w:r>
            <w:proofErr w:type="spellEnd"/>
            <w:r w:rsidRPr="00D85745">
              <w:rPr>
                <w:rFonts w:eastAsia="Calibri"/>
                <w:sz w:val="20"/>
                <w:lang w:val="en-CA"/>
              </w:rPr>
              <w:t xml:space="preserve"> Crawford)</w:t>
            </w:r>
          </w:p>
          <w:p w:rsidR="00D85745" w:rsidRPr="00D85745" w:rsidRDefault="0053798C" w:rsidP="00762A4C">
            <w:pPr>
              <w:jc w:val="both"/>
              <w:rPr>
                <w:rFonts w:eastAsia="Calibri"/>
                <w:sz w:val="20"/>
                <w:lang w:val="en-CA"/>
              </w:rPr>
            </w:pPr>
            <w:hyperlink r:id="rId41" w:history="1">
              <w:r w:rsidR="00D85745" w:rsidRPr="00762A4C">
                <w:rPr>
                  <w:rFonts w:eastAsia="Calibri"/>
                  <w:color w:val="0000FF" w:themeColor="hyperlink"/>
                  <w:sz w:val="20"/>
                  <w:u w:val="single"/>
                  <w:lang w:val="en-CA"/>
                </w:rPr>
                <w:t>2013 BCSC 2207</w:t>
              </w:r>
            </w:hyperlink>
            <w:r w:rsidR="00D85745" w:rsidRPr="00D85745">
              <w:rPr>
                <w:rFonts w:eastAsia="Calibri"/>
                <w:sz w:val="20"/>
                <w:lang w:val="en-CA"/>
              </w:rPr>
              <w:t xml:space="preserve"> </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Rejet de l’action intentée par le demandeur</w:t>
            </w:r>
          </w:p>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10 février 2015</w:t>
            </w:r>
          </w:p>
          <w:p w:rsidR="00D85745" w:rsidRPr="00D85745" w:rsidRDefault="00D85745" w:rsidP="00762A4C">
            <w:pPr>
              <w:jc w:val="both"/>
              <w:rPr>
                <w:rFonts w:eastAsia="Calibri"/>
                <w:sz w:val="20"/>
                <w:lang w:val="fr-CA"/>
              </w:rPr>
            </w:pPr>
            <w:r w:rsidRPr="00D85745">
              <w:rPr>
                <w:rFonts w:eastAsia="Calibri"/>
                <w:sz w:val="20"/>
                <w:lang w:val="fr-CA"/>
              </w:rPr>
              <w:t xml:space="preserve">Cour d’appel de la Colombie-Britannique </w:t>
            </w:r>
          </w:p>
          <w:p w:rsidR="00D85745" w:rsidRPr="00D85745" w:rsidRDefault="00D85745" w:rsidP="00762A4C">
            <w:pPr>
              <w:jc w:val="both"/>
              <w:rPr>
                <w:rFonts w:eastAsia="Calibri"/>
                <w:sz w:val="20"/>
                <w:lang w:val="fr-CA"/>
              </w:rPr>
            </w:pPr>
            <w:r w:rsidRPr="00D85745">
              <w:rPr>
                <w:rFonts w:eastAsia="Calibri"/>
                <w:sz w:val="20"/>
                <w:lang w:val="fr-CA"/>
              </w:rPr>
              <w:t>(Vancouver)</w:t>
            </w:r>
          </w:p>
          <w:p w:rsidR="00D85745" w:rsidRPr="00D85745" w:rsidRDefault="00D85745" w:rsidP="00762A4C">
            <w:pPr>
              <w:jc w:val="both"/>
              <w:rPr>
                <w:rFonts w:eastAsia="Calibri"/>
                <w:sz w:val="20"/>
                <w:lang w:val="fr-CA"/>
              </w:rPr>
            </w:pPr>
            <w:r w:rsidRPr="00D85745">
              <w:rPr>
                <w:rFonts w:eastAsia="Calibri"/>
                <w:sz w:val="20"/>
                <w:lang w:val="fr-CA"/>
              </w:rPr>
              <w:t xml:space="preserve">(Juges Donald, Smith et </w:t>
            </w:r>
            <w:proofErr w:type="spellStart"/>
            <w:r w:rsidRPr="00D85745">
              <w:rPr>
                <w:rFonts w:eastAsia="Calibri"/>
                <w:sz w:val="20"/>
                <w:lang w:val="fr-CA"/>
              </w:rPr>
              <w:t>Groberman</w:t>
            </w:r>
            <w:proofErr w:type="spellEnd"/>
            <w:r w:rsidRPr="00D85745">
              <w:rPr>
                <w:rFonts w:eastAsia="Calibri"/>
                <w:sz w:val="20"/>
                <w:lang w:val="fr-CA"/>
              </w:rPr>
              <w:t>)</w:t>
            </w:r>
          </w:p>
          <w:p w:rsidR="00D85745" w:rsidRPr="00D85745" w:rsidRDefault="0053798C" w:rsidP="00762A4C">
            <w:pPr>
              <w:jc w:val="both"/>
              <w:rPr>
                <w:rFonts w:eastAsia="Calibri"/>
                <w:sz w:val="20"/>
                <w:lang w:val="en-CA"/>
              </w:rPr>
            </w:pPr>
            <w:hyperlink r:id="rId42" w:history="1">
              <w:r w:rsidR="00D85745" w:rsidRPr="00762A4C">
                <w:rPr>
                  <w:rFonts w:eastAsia="Calibri"/>
                  <w:color w:val="0000FF" w:themeColor="hyperlink"/>
                  <w:sz w:val="20"/>
                  <w:u w:val="single"/>
                  <w:lang w:val="en-CA"/>
                </w:rPr>
                <w:t>2015 BCCA 65</w:t>
              </w:r>
            </w:hyperlink>
            <w:r w:rsidR="00D85745" w:rsidRPr="00D85745">
              <w:rPr>
                <w:rFonts w:eastAsia="Calibri"/>
                <w:sz w:val="20"/>
                <w:lang w:val="en-CA"/>
              </w:rPr>
              <w:t>; CA041136</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en-CA"/>
              </w:rPr>
            </w:pPr>
            <w:proofErr w:type="spellStart"/>
            <w:r w:rsidRPr="00D85745">
              <w:rPr>
                <w:rFonts w:eastAsia="Calibri"/>
                <w:sz w:val="20"/>
                <w:lang w:val="en-CA"/>
              </w:rPr>
              <w:t>Rejet</w:t>
            </w:r>
            <w:proofErr w:type="spellEnd"/>
            <w:r w:rsidRPr="00D85745">
              <w:rPr>
                <w:rFonts w:eastAsia="Calibri"/>
                <w:sz w:val="20"/>
                <w:lang w:val="en-CA"/>
              </w:rPr>
              <w:t xml:space="preserve"> de </w:t>
            </w:r>
            <w:proofErr w:type="spellStart"/>
            <w:r w:rsidRPr="00D85745">
              <w:rPr>
                <w:rFonts w:eastAsia="Calibri"/>
                <w:sz w:val="20"/>
                <w:lang w:val="en-CA"/>
              </w:rPr>
              <w:t>l’appel</w:t>
            </w:r>
            <w:proofErr w:type="spellEnd"/>
          </w:p>
          <w:p w:rsidR="00D85745" w:rsidRPr="00D85745" w:rsidRDefault="00D85745" w:rsidP="00762A4C">
            <w:pPr>
              <w:jc w:val="both"/>
              <w:rPr>
                <w:rFonts w:eastAsia="Calibri"/>
                <w:sz w:val="20"/>
                <w:lang w:val="en-CA"/>
              </w:rPr>
            </w:pPr>
          </w:p>
        </w:tc>
      </w:tr>
      <w:tr w:rsidR="00D85745" w:rsidRPr="00D85745" w:rsidTr="00D85745">
        <w:tc>
          <w:tcPr>
            <w:tcW w:w="2427" w:type="pct"/>
            <w:gridSpan w:val="2"/>
          </w:tcPr>
          <w:p w:rsidR="00D85745" w:rsidRPr="00D85745" w:rsidRDefault="00D85745" w:rsidP="00762A4C">
            <w:pPr>
              <w:jc w:val="both"/>
              <w:rPr>
                <w:rFonts w:eastAsia="Calibri"/>
                <w:sz w:val="20"/>
                <w:lang w:val="en-CA"/>
              </w:rPr>
            </w:pPr>
            <w:r w:rsidRPr="00D85745">
              <w:rPr>
                <w:rFonts w:eastAsia="Calibri"/>
                <w:sz w:val="20"/>
                <w:lang w:val="en-CA"/>
              </w:rPr>
              <w:t xml:space="preserve">15 </w:t>
            </w:r>
            <w:proofErr w:type="spellStart"/>
            <w:r w:rsidRPr="00D85745">
              <w:rPr>
                <w:rFonts w:eastAsia="Calibri"/>
                <w:sz w:val="20"/>
                <w:lang w:val="en-CA"/>
              </w:rPr>
              <w:t>avril</w:t>
            </w:r>
            <w:proofErr w:type="spellEnd"/>
            <w:r w:rsidRPr="00D85745">
              <w:rPr>
                <w:rFonts w:eastAsia="Calibri"/>
                <w:sz w:val="20"/>
                <w:lang w:val="en-CA"/>
              </w:rPr>
              <w:t xml:space="preserve"> 2015</w:t>
            </w:r>
          </w:p>
          <w:p w:rsidR="00D85745" w:rsidRPr="00D85745" w:rsidRDefault="00D85745" w:rsidP="00762A4C">
            <w:pPr>
              <w:jc w:val="both"/>
              <w:rPr>
                <w:rFonts w:eastAsia="Calibri"/>
                <w:sz w:val="20"/>
                <w:lang w:val="en-CA"/>
              </w:rPr>
            </w:pPr>
            <w:r w:rsidRPr="00D85745">
              <w:rPr>
                <w:rFonts w:eastAsia="Calibri"/>
                <w:sz w:val="20"/>
                <w:lang w:val="en-CA"/>
              </w:rPr>
              <w:t xml:space="preserve">Cour </w:t>
            </w:r>
            <w:proofErr w:type="spellStart"/>
            <w:r w:rsidRPr="00D85745">
              <w:rPr>
                <w:rFonts w:eastAsia="Calibri"/>
                <w:sz w:val="20"/>
                <w:lang w:val="en-CA"/>
              </w:rPr>
              <w:t>suprême</w:t>
            </w:r>
            <w:proofErr w:type="spellEnd"/>
            <w:r w:rsidRPr="00D85745">
              <w:rPr>
                <w:rFonts w:eastAsia="Calibri"/>
                <w:sz w:val="20"/>
                <w:lang w:val="en-CA"/>
              </w:rPr>
              <w:t xml:space="preserve"> du Canada</w:t>
            </w:r>
          </w:p>
          <w:p w:rsidR="00D85745" w:rsidRPr="00D85745" w:rsidRDefault="00D85745" w:rsidP="00762A4C">
            <w:pPr>
              <w:jc w:val="both"/>
              <w:rPr>
                <w:rFonts w:eastAsia="Calibri"/>
                <w:sz w:val="20"/>
                <w:lang w:val="en-CA"/>
              </w:rPr>
            </w:pPr>
          </w:p>
        </w:tc>
        <w:tc>
          <w:tcPr>
            <w:tcW w:w="243" w:type="pct"/>
          </w:tcPr>
          <w:p w:rsidR="00D85745" w:rsidRPr="00D85745" w:rsidRDefault="00D85745" w:rsidP="00762A4C">
            <w:pPr>
              <w:jc w:val="both"/>
              <w:rPr>
                <w:rFonts w:eastAsia="Calibri"/>
                <w:sz w:val="20"/>
                <w:lang w:val="en-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Dépôt de la demande d’autorisation d’appel</w:t>
            </w:r>
          </w:p>
          <w:p w:rsidR="00D85745" w:rsidRPr="00D85745" w:rsidRDefault="00D85745" w:rsidP="00762A4C">
            <w:pPr>
              <w:jc w:val="both"/>
              <w:rPr>
                <w:rFonts w:eastAsia="Calibri"/>
                <w:sz w:val="20"/>
                <w:lang w:val="fr-CA"/>
              </w:rPr>
            </w:pPr>
          </w:p>
        </w:tc>
      </w:tr>
      <w:tr w:rsidR="00D85745" w:rsidRPr="00D85745" w:rsidTr="00D85745">
        <w:tc>
          <w:tcPr>
            <w:tcW w:w="2427" w:type="pct"/>
            <w:gridSpan w:val="2"/>
            <w:hideMark/>
          </w:tcPr>
          <w:p w:rsidR="00D85745" w:rsidRPr="00D85745" w:rsidRDefault="00D85745" w:rsidP="00762A4C">
            <w:pPr>
              <w:jc w:val="both"/>
              <w:rPr>
                <w:rFonts w:eastAsia="Calibri"/>
                <w:sz w:val="20"/>
                <w:lang w:val="fr-CA"/>
              </w:rPr>
            </w:pPr>
            <w:r w:rsidRPr="00D85745">
              <w:rPr>
                <w:rFonts w:eastAsia="Calibri"/>
                <w:sz w:val="20"/>
                <w:lang w:val="fr-CA"/>
              </w:rPr>
              <w:t>7 mai 2015</w:t>
            </w:r>
          </w:p>
          <w:p w:rsidR="00D85745" w:rsidRPr="00D85745" w:rsidRDefault="00D85745" w:rsidP="00762A4C">
            <w:pPr>
              <w:jc w:val="both"/>
              <w:rPr>
                <w:rFonts w:eastAsia="Calibri"/>
                <w:sz w:val="20"/>
                <w:lang w:val="fr-CA"/>
              </w:rPr>
            </w:pPr>
            <w:r w:rsidRPr="00D85745">
              <w:rPr>
                <w:rFonts w:eastAsia="Calibri"/>
                <w:sz w:val="20"/>
                <w:lang w:val="fr-CA"/>
              </w:rPr>
              <w:t>Cour suprême du Canada</w:t>
            </w:r>
          </w:p>
        </w:tc>
        <w:tc>
          <w:tcPr>
            <w:tcW w:w="243" w:type="pct"/>
          </w:tcPr>
          <w:p w:rsidR="00D85745" w:rsidRPr="00D85745" w:rsidRDefault="00D85745" w:rsidP="00762A4C">
            <w:pPr>
              <w:jc w:val="both"/>
              <w:rPr>
                <w:rFonts w:eastAsia="Calibri"/>
                <w:sz w:val="20"/>
                <w:lang w:val="fr-CA"/>
              </w:rPr>
            </w:pPr>
          </w:p>
        </w:tc>
        <w:tc>
          <w:tcPr>
            <w:tcW w:w="2330" w:type="pct"/>
            <w:hideMark/>
          </w:tcPr>
          <w:p w:rsidR="00D85745" w:rsidRPr="00D85745" w:rsidRDefault="00D85745" w:rsidP="00762A4C">
            <w:pPr>
              <w:jc w:val="both"/>
              <w:rPr>
                <w:rFonts w:eastAsia="Calibri"/>
                <w:sz w:val="20"/>
                <w:lang w:val="fr-CA"/>
              </w:rPr>
            </w:pPr>
            <w:r w:rsidRPr="00D85745">
              <w:rPr>
                <w:rFonts w:eastAsia="Calibri"/>
                <w:sz w:val="20"/>
                <w:lang w:val="fr-CA"/>
              </w:rPr>
              <w:t>Dépôt de la requête en prorogation du délai pour déposer ou signifier la demande d’autorisation d’appel déposée</w:t>
            </w:r>
          </w:p>
        </w:tc>
      </w:tr>
    </w:tbl>
    <w:p w:rsidR="00D85745" w:rsidRPr="00D85745" w:rsidRDefault="00D85745" w:rsidP="00762A4C">
      <w:pPr>
        <w:jc w:val="both"/>
        <w:rPr>
          <w:rFonts w:eastAsia="Calibri"/>
          <w:sz w:val="20"/>
          <w:lang w:val="fr-CA"/>
        </w:rPr>
      </w:pPr>
    </w:p>
    <w:p w:rsidR="00D85745" w:rsidRPr="00D85745" w:rsidRDefault="00D85745" w:rsidP="00762A4C">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5745" w:rsidRPr="00D85745" w:rsidTr="00FA312A">
        <w:tc>
          <w:tcPr>
            <w:tcW w:w="543" w:type="pct"/>
          </w:tcPr>
          <w:p w:rsidR="00D85745" w:rsidRPr="00D85745" w:rsidRDefault="00D85745" w:rsidP="00762A4C">
            <w:pPr>
              <w:jc w:val="both"/>
              <w:rPr>
                <w:rFonts w:eastAsiaTheme="minorHAnsi"/>
                <w:sz w:val="20"/>
                <w:lang w:val="en-CA"/>
              </w:rPr>
            </w:pPr>
            <w:r w:rsidRPr="00762A4C">
              <w:rPr>
                <w:rFonts w:eastAsiaTheme="minorHAnsi"/>
                <w:b/>
                <w:sz w:val="20"/>
                <w:lang w:val="en-CA"/>
              </w:rPr>
              <w:t>36373</w:t>
            </w:r>
          </w:p>
        </w:tc>
        <w:tc>
          <w:tcPr>
            <w:tcW w:w="4457" w:type="pct"/>
            <w:gridSpan w:val="3"/>
          </w:tcPr>
          <w:p w:rsidR="00D85745" w:rsidRPr="00D85745" w:rsidRDefault="00D85745" w:rsidP="00762A4C">
            <w:pPr>
              <w:jc w:val="both"/>
              <w:rPr>
                <w:rFonts w:eastAsiaTheme="minorHAnsi"/>
                <w:b/>
                <w:sz w:val="20"/>
                <w:lang w:val="en-CA"/>
              </w:rPr>
            </w:pPr>
            <w:proofErr w:type="spellStart"/>
            <w:r w:rsidRPr="00D85745">
              <w:rPr>
                <w:rFonts w:eastAsiaTheme="minorHAnsi"/>
                <w:b/>
                <w:sz w:val="20"/>
                <w:lang w:val="en-CA"/>
              </w:rPr>
              <w:t>Karine</w:t>
            </w:r>
            <w:proofErr w:type="spellEnd"/>
            <w:r w:rsidRPr="00D85745">
              <w:rPr>
                <w:rFonts w:eastAsiaTheme="minorHAnsi"/>
                <w:b/>
                <w:sz w:val="20"/>
                <w:lang w:val="en-CA"/>
              </w:rPr>
              <w:t xml:space="preserve"> </w:t>
            </w:r>
            <w:proofErr w:type="spellStart"/>
            <w:r w:rsidRPr="00D85745">
              <w:rPr>
                <w:rFonts w:eastAsiaTheme="minorHAnsi"/>
                <w:b/>
                <w:sz w:val="20"/>
                <w:lang w:val="en-CA"/>
              </w:rPr>
              <w:t>Lizotte</w:t>
            </w:r>
            <w:proofErr w:type="spellEnd"/>
            <w:r w:rsidRPr="00D85745">
              <w:rPr>
                <w:rFonts w:eastAsiaTheme="minorHAnsi"/>
                <w:b/>
                <w:sz w:val="20"/>
                <w:lang w:val="en-CA"/>
              </w:rPr>
              <w:t xml:space="preserve">, in her capacity as assistant syndic of the </w:t>
            </w:r>
            <w:proofErr w:type="spellStart"/>
            <w:r w:rsidRPr="00D85745">
              <w:rPr>
                <w:rFonts w:eastAsiaTheme="minorHAnsi"/>
                <w:b/>
                <w:sz w:val="20"/>
                <w:lang w:val="en-CA"/>
              </w:rPr>
              <w:t>Chambre</w:t>
            </w:r>
            <w:proofErr w:type="spellEnd"/>
            <w:r w:rsidRPr="00D85745">
              <w:rPr>
                <w:rFonts w:eastAsiaTheme="minorHAnsi"/>
                <w:b/>
                <w:sz w:val="20"/>
                <w:lang w:val="en-CA"/>
              </w:rPr>
              <w:t xml:space="preserve"> de </w:t>
            </w:r>
            <w:proofErr w:type="spellStart"/>
            <w:r w:rsidRPr="00D85745">
              <w:rPr>
                <w:rFonts w:eastAsiaTheme="minorHAnsi"/>
                <w:b/>
                <w:sz w:val="20"/>
                <w:lang w:val="en-CA"/>
              </w:rPr>
              <w:t>l'assurance</w:t>
            </w:r>
            <w:proofErr w:type="spellEnd"/>
            <w:r w:rsidRPr="00D85745">
              <w:rPr>
                <w:rFonts w:eastAsiaTheme="minorHAnsi"/>
                <w:b/>
                <w:sz w:val="20"/>
                <w:lang w:val="en-CA"/>
              </w:rPr>
              <w:t xml:space="preserve"> de </w:t>
            </w:r>
            <w:proofErr w:type="spellStart"/>
            <w:r w:rsidRPr="00D85745">
              <w:rPr>
                <w:rFonts w:eastAsiaTheme="minorHAnsi"/>
                <w:b/>
                <w:sz w:val="20"/>
                <w:lang w:val="en-CA"/>
              </w:rPr>
              <w:t>dommages</w:t>
            </w:r>
            <w:proofErr w:type="spellEnd"/>
            <w:r w:rsidRPr="00D85745">
              <w:rPr>
                <w:rFonts w:eastAsiaTheme="minorHAnsi"/>
                <w:b/>
                <w:sz w:val="20"/>
                <w:lang w:val="en-CA"/>
              </w:rPr>
              <w:t xml:space="preserve"> v. Aviva Insurance Company of Canada, Traders General Insurance Company</w:t>
            </w:r>
          </w:p>
          <w:p w:rsidR="00D85745" w:rsidRPr="00D85745" w:rsidRDefault="00D85745" w:rsidP="00762A4C">
            <w:pPr>
              <w:jc w:val="both"/>
              <w:rPr>
                <w:rFonts w:eastAsiaTheme="minorHAnsi"/>
                <w:sz w:val="20"/>
                <w:lang w:val="en-CA"/>
              </w:rPr>
            </w:pPr>
            <w:r w:rsidRPr="00D85745">
              <w:rPr>
                <w:rFonts w:eastAsiaTheme="minorHAnsi"/>
                <w:sz w:val="20"/>
                <w:lang w:val="en-CA"/>
              </w:rPr>
              <w:t>(Que.) (Civil) (By Leave)</w:t>
            </w:r>
          </w:p>
        </w:tc>
      </w:tr>
      <w:tr w:rsidR="00D85745" w:rsidRPr="00D85745" w:rsidTr="00FA312A">
        <w:tc>
          <w:tcPr>
            <w:tcW w:w="5000" w:type="pct"/>
            <w:gridSpan w:val="4"/>
          </w:tcPr>
          <w:p w:rsidR="00D85745" w:rsidRPr="00D85745" w:rsidRDefault="00D85745" w:rsidP="00762A4C">
            <w:pPr>
              <w:jc w:val="both"/>
              <w:rPr>
                <w:rFonts w:eastAsiaTheme="minorHAnsi"/>
                <w:sz w:val="20"/>
                <w:lang w:val="en-CA"/>
              </w:rPr>
            </w:pPr>
            <w:r w:rsidRPr="00D85745">
              <w:rPr>
                <w:rFonts w:eastAsiaTheme="minorHAnsi"/>
                <w:sz w:val="20"/>
                <w:lang w:val="en-CA"/>
              </w:rPr>
              <w:t xml:space="preserve">Legislation – Immunities and privileges – Litigation privilege – Insurance – Request for disclosure of information and documents for purposes of inquiry into claims </w:t>
            </w:r>
            <w:proofErr w:type="spellStart"/>
            <w:r w:rsidRPr="00D85745">
              <w:rPr>
                <w:rFonts w:eastAsiaTheme="minorHAnsi"/>
                <w:sz w:val="20"/>
                <w:lang w:val="en-CA"/>
              </w:rPr>
              <w:t>adjuster’s</w:t>
            </w:r>
            <w:proofErr w:type="spellEnd"/>
            <w:r w:rsidRPr="00D85745">
              <w:rPr>
                <w:rFonts w:eastAsiaTheme="minorHAnsi"/>
                <w:sz w:val="20"/>
                <w:lang w:val="en-CA"/>
              </w:rPr>
              <w:t xml:space="preserve"> conduct –</w:t>
            </w:r>
            <w:r w:rsidRPr="00D85745">
              <w:rPr>
                <w:rFonts w:eastAsiaTheme="minorHAnsi"/>
                <w:i/>
                <w:iCs/>
                <w:color w:val="000000"/>
                <w:sz w:val="20"/>
                <w:lang w:val="en-CA"/>
              </w:rPr>
              <w:t xml:space="preserve"> </w:t>
            </w:r>
            <w:r w:rsidRPr="00D85745">
              <w:rPr>
                <w:rFonts w:eastAsiaTheme="minorHAnsi"/>
                <w:iCs/>
                <w:color w:val="000000"/>
                <w:sz w:val="20"/>
                <w:lang w:val="en-CA"/>
              </w:rPr>
              <w:t>Statutory interpretation</w:t>
            </w:r>
            <w:r w:rsidRPr="00D85745">
              <w:rPr>
                <w:rFonts w:eastAsiaTheme="minorHAnsi"/>
                <w:sz w:val="20"/>
                <w:lang w:val="en-CA"/>
              </w:rPr>
              <w:t xml:space="preserve"> – Whether insurer can raise litigation privilege against syndic of </w:t>
            </w:r>
            <w:proofErr w:type="spellStart"/>
            <w:r w:rsidRPr="00D85745">
              <w:rPr>
                <w:rFonts w:eastAsiaTheme="minorHAnsi"/>
                <w:sz w:val="20"/>
                <w:lang w:val="en-CA"/>
              </w:rPr>
              <w:t>Chambre</w:t>
            </w:r>
            <w:proofErr w:type="spellEnd"/>
            <w:r w:rsidRPr="00D85745">
              <w:rPr>
                <w:rFonts w:eastAsiaTheme="minorHAnsi"/>
                <w:sz w:val="20"/>
                <w:lang w:val="en-CA"/>
              </w:rPr>
              <w:t xml:space="preserve"> de </w:t>
            </w:r>
            <w:proofErr w:type="spellStart"/>
            <w:r w:rsidRPr="00D85745">
              <w:rPr>
                <w:rFonts w:eastAsiaTheme="minorHAnsi"/>
                <w:sz w:val="20"/>
                <w:lang w:val="en-CA"/>
              </w:rPr>
              <w:t>l’assurance</w:t>
            </w:r>
            <w:proofErr w:type="spellEnd"/>
            <w:r w:rsidRPr="00D85745">
              <w:rPr>
                <w:rFonts w:eastAsiaTheme="minorHAnsi"/>
                <w:sz w:val="20"/>
                <w:lang w:val="en-CA"/>
              </w:rPr>
              <w:t xml:space="preserve"> de </w:t>
            </w:r>
            <w:proofErr w:type="spellStart"/>
            <w:r w:rsidRPr="00D85745">
              <w:rPr>
                <w:rFonts w:eastAsiaTheme="minorHAnsi"/>
                <w:sz w:val="20"/>
                <w:lang w:val="en-CA"/>
              </w:rPr>
              <w:t>dommages</w:t>
            </w:r>
            <w:proofErr w:type="spellEnd"/>
            <w:r w:rsidRPr="00D85745">
              <w:rPr>
                <w:rFonts w:eastAsiaTheme="minorHAnsi"/>
                <w:sz w:val="20"/>
                <w:lang w:val="en-CA"/>
              </w:rPr>
              <w:t xml:space="preserve"> – </w:t>
            </w:r>
            <w:r w:rsidRPr="00D85745">
              <w:rPr>
                <w:rFonts w:eastAsiaTheme="minorHAnsi"/>
                <w:i/>
                <w:sz w:val="20"/>
                <w:lang w:val="en-CA"/>
              </w:rPr>
              <w:t>Act respecting the distribution of financial products and services</w:t>
            </w:r>
            <w:r w:rsidRPr="00D85745">
              <w:rPr>
                <w:rFonts w:eastAsiaTheme="minorHAnsi"/>
                <w:sz w:val="20"/>
                <w:lang w:val="en-CA"/>
              </w:rPr>
              <w:t>, R.S.Q., c. D</w:t>
            </w:r>
            <w:r w:rsidRPr="00D85745">
              <w:rPr>
                <w:rFonts w:eastAsiaTheme="minorHAnsi"/>
                <w:sz w:val="20"/>
                <w:lang w:val="en-CA"/>
              </w:rPr>
              <w:noBreakHyphen/>
              <w:t xml:space="preserve">9.2, s. 337. </w:t>
            </w:r>
          </w:p>
        </w:tc>
      </w:tr>
      <w:tr w:rsidR="00D85745" w:rsidRPr="00D85745" w:rsidTr="00FA312A">
        <w:tc>
          <w:tcPr>
            <w:tcW w:w="5000" w:type="pct"/>
            <w:gridSpan w:val="4"/>
          </w:tcPr>
          <w:p w:rsidR="00D85745" w:rsidRPr="00D85745" w:rsidRDefault="00D85745" w:rsidP="00762A4C">
            <w:pPr>
              <w:jc w:val="both"/>
              <w:rPr>
                <w:rFonts w:eastAsiaTheme="minorHAnsi"/>
                <w:sz w:val="20"/>
                <w:lang w:val="en-CA"/>
              </w:rPr>
            </w:pPr>
          </w:p>
        </w:tc>
      </w:tr>
      <w:tr w:rsidR="00D85745" w:rsidRPr="00D85745" w:rsidTr="00FA312A">
        <w:tc>
          <w:tcPr>
            <w:tcW w:w="5000" w:type="pct"/>
            <w:gridSpan w:val="4"/>
          </w:tcPr>
          <w:p w:rsidR="00D85745" w:rsidRPr="00D85745" w:rsidRDefault="00D85745" w:rsidP="00762A4C">
            <w:pPr>
              <w:jc w:val="both"/>
              <w:rPr>
                <w:rFonts w:eastAsiaTheme="minorHAnsi"/>
                <w:sz w:val="20"/>
                <w:lang w:val="en-CA"/>
              </w:rPr>
            </w:pPr>
            <w:r w:rsidRPr="00D85745">
              <w:rPr>
                <w:rFonts w:eastAsiaTheme="minorHAnsi"/>
                <w:sz w:val="20"/>
                <w:lang w:val="en-CA"/>
              </w:rPr>
              <w:t xml:space="preserve">For the purposes of an ethics inquiry against a claims adjuster employed by the respondent, the syndic of the </w:t>
            </w:r>
            <w:proofErr w:type="spellStart"/>
            <w:r w:rsidRPr="00D85745">
              <w:rPr>
                <w:rFonts w:eastAsiaTheme="minorHAnsi"/>
                <w:sz w:val="20"/>
                <w:lang w:val="en-CA"/>
              </w:rPr>
              <w:t>Chambre</w:t>
            </w:r>
            <w:proofErr w:type="spellEnd"/>
            <w:r w:rsidRPr="00D85745">
              <w:rPr>
                <w:rFonts w:eastAsiaTheme="minorHAnsi"/>
                <w:sz w:val="20"/>
                <w:lang w:val="en-CA"/>
              </w:rPr>
              <w:t xml:space="preserve"> de </w:t>
            </w:r>
            <w:proofErr w:type="spellStart"/>
            <w:r w:rsidRPr="00D85745">
              <w:rPr>
                <w:rFonts w:eastAsiaTheme="minorHAnsi"/>
                <w:sz w:val="20"/>
                <w:lang w:val="en-CA"/>
              </w:rPr>
              <w:t>l’assurance</w:t>
            </w:r>
            <w:proofErr w:type="spellEnd"/>
            <w:r w:rsidRPr="00D85745">
              <w:rPr>
                <w:rFonts w:eastAsiaTheme="minorHAnsi"/>
                <w:sz w:val="20"/>
                <w:lang w:val="en-CA"/>
              </w:rPr>
              <w:t xml:space="preserve"> de </w:t>
            </w:r>
            <w:proofErr w:type="spellStart"/>
            <w:r w:rsidRPr="00D85745">
              <w:rPr>
                <w:rFonts w:eastAsiaTheme="minorHAnsi"/>
                <w:sz w:val="20"/>
                <w:lang w:val="en-CA"/>
              </w:rPr>
              <w:t>dommages</w:t>
            </w:r>
            <w:proofErr w:type="spellEnd"/>
            <w:r w:rsidRPr="00D85745">
              <w:rPr>
                <w:rFonts w:eastAsiaTheme="minorHAnsi"/>
                <w:sz w:val="20"/>
                <w:lang w:val="en-CA"/>
              </w:rPr>
              <w:t xml:space="preserve"> requested documents concerning the claims adjuster from the respondent under s. 337 of the </w:t>
            </w:r>
            <w:r w:rsidRPr="00D85745">
              <w:rPr>
                <w:rFonts w:eastAsiaTheme="minorHAnsi"/>
                <w:i/>
                <w:sz w:val="20"/>
                <w:lang w:val="en-CA"/>
              </w:rPr>
              <w:t>Act respecting the distribution of financial products and services</w:t>
            </w:r>
            <w:r w:rsidRPr="00D85745">
              <w:rPr>
                <w:rFonts w:eastAsiaTheme="minorHAnsi"/>
                <w:sz w:val="20"/>
                <w:lang w:val="en-CA"/>
              </w:rPr>
              <w:t>. The respondent removed certain documents from the documentation provided in order to take account of litigation privilege and lawyer</w:t>
            </w:r>
            <w:r w:rsidRPr="00D85745">
              <w:rPr>
                <w:rFonts w:eastAsiaTheme="minorHAnsi"/>
                <w:sz w:val="20"/>
                <w:lang w:val="en-CA"/>
              </w:rPr>
              <w:noBreakHyphen/>
              <w:t xml:space="preserve">client privilege. The syndic applied to the Superior Court for a declaratory judgment to determine whether the respondent could refuse to disclose the documents covered by those privileges. </w:t>
            </w:r>
          </w:p>
          <w:p w:rsidR="00D85745" w:rsidRPr="00D85745" w:rsidRDefault="00D85745" w:rsidP="00762A4C">
            <w:pPr>
              <w:jc w:val="both"/>
              <w:rPr>
                <w:rFonts w:eastAsiaTheme="minorHAnsi"/>
                <w:sz w:val="20"/>
                <w:lang w:val="en-CA"/>
              </w:rPr>
            </w:pP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t>December 16, 2013</w:t>
            </w:r>
          </w:p>
          <w:p w:rsidR="00D85745" w:rsidRPr="00D85745" w:rsidRDefault="00D85745" w:rsidP="00762A4C">
            <w:pPr>
              <w:jc w:val="both"/>
              <w:rPr>
                <w:rFonts w:eastAsiaTheme="minorHAnsi"/>
                <w:sz w:val="20"/>
                <w:lang w:val="en-CA"/>
              </w:rPr>
            </w:pPr>
            <w:r w:rsidRPr="00D85745">
              <w:rPr>
                <w:rFonts w:eastAsiaTheme="minorHAnsi"/>
                <w:sz w:val="20"/>
                <w:lang w:val="en-CA"/>
              </w:rPr>
              <w:t>Quebec Superior Court</w:t>
            </w:r>
          </w:p>
          <w:p w:rsidR="00D85745" w:rsidRPr="00D85745" w:rsidRDefault="00D85745" w:rsidP="00762A4C">
            <w:pPr>
              <w:jc w:val="both"/>
              <w:rPr>
                <w:rFonts w:eastAsiaTheme="minorHAnsi"/>
                <w:sz w:val="20"/>
                <w:lang w:val="en-CA"/>
              </w:rPr>
            </w:pPr>
            <w:r w:rsidRPr="00D85745">
              <w:rPr>
                <w:rFonts w:eastAsiaTheme="minorHAnsi"/>
                <w:sz w:val="20"/>
                <w:lang w:val="en-CA"/>
              </w:rPr>
              <w:t>(Gagnon J.)</w:t>
            </w:r>
          </w:p>
          <w:p w:rsidR="00D85745" w:rsidRPr="00D85745" w:rsidRDefault="0053798C" w:rsidP="00762A4C">
            <w:pPr>
              <w:jc w:val="both"/>
              <w:rPr>
                <w:rFonts w:eastAsiaTheme="minorHAnsi"/>
                <w:sz w:val="20"/>
                <w:lang w:val="en-CA"/>
              </w:rPr>
            </w:pPr>
            <w:hyperlink r:id="rId43" w:history="1">
              <w:r w:rsidR="00D85745" w:rsidRPr="00762A4C">
                <w:rPr>
                  <w:rFonts w:eastAsiaTheme="minorHAnsi"/>
                  <w:color w:val="0000FF" w:themeColor="hyperlink"/>
                  <w:sz w:val="20"/>
                  <w:u w:val="single"/>
                  <w:lang w:val="en-CA"/>
                </w:rPr>
                <w:t>2013 QCCS 6397</w:t>
              </w:r>
            </w:hyperlink>
          </w:p>
          <w:p w:rsidR="00D85745" w:rsidRPr="00D85745" w:rsidRDefault="00D85745" w:rsidP="00762A4C">
            <w:pPr>
              <w:jc w:val="both"/>
              <w:rPr>
                <w:rFonts w:eastAsiaTheme="minorHAnsi"/>
                <w:sz w:val="20"/>
                <w:lang w:val="en-CA"/>
              </w:rPr>
            </w:pP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 xml:space="preserve">Judgment rendered on motion for declaratory judgment: professional secrecy and litigation privilege could be raised against syndic of </w:t>
            </w:r>
            <w:proofErr w:type="spellStart"/>
            <w:r w:rsidRPr="00D85745">
              <w:rPr>
                <w:rFonts w:eastAsiaTheme="minorHAnsi"/>
                <w:sz w:val="20"/>
                <w:lang w:val="en-CA"/>
              </w:rPr>
              <w:t>Chambre</w:t>
            </w:r>
            <w:proofErr w:type="spellEnd"/>
            <w:r w:rsidRPr="00D85745">
              <w:rPr>
                <w:rFonts w:eastAsiaTheme="minorHAnsi"/>
                <w:sz w:val="20"/>
                <w:lang w:val="en-CA"/>
              </w:rPr>
              <w:t xml:space="preserve"> de </w:t>
            </w:r>
            <w:proofErr w:type="spellStart"/>
            <w:r w:rsidRPr="00D85745">
              <w:rPr>
                <w:rFonts w:eastAsiaTheme="minorHAnsi"/>
                <w:sz w:val="20"/>
                <w:lang w:val="en-CA"/>
              </w:rPr>
              <w:t>l’assurance</w:t>
            </w:r>
            <w:proofErr w:type="spellEnd"/>
            <w:r w:rsidRPr="00D85745">
              <w:rPr>
                <w:rFonts w:eastAsiaTheme="minorHAnsi"/>
                <w:sz w:val="20"/>
                <w:lang w:val="en-CA"/>
              </w:rPr>
              <w:t xml:space="preserve"> de </w:t>
            </w:r>
            <w:proofErr w:type="spellStart"/>
            <w:r w:rsidRPr="00D85745">
              <w:rPr>
                <w:rFonts w:eastAsiaTheme="minorHAnsi"/>
                <w:sz w:val="20"/>
                <w:lang w:val="en-CA"/>
              </w:rPr>
              <w:t>dommages</w:t>
            </w:r>
            <w:proofErr w:type="spellEnd"/>
          </w:p>
          <w:p w:rsidR="00D85745" w:rsidRPr="00D85745" w:rsidRDefault="00D85745" w:rsidP="00762A4C">
            <w:pPr>
              <w:jc w:val="both"/>
              <w:rPr>
                <w:rFonts w:eastAsiaTheme="minorHAnsi"/>
                <w:sz w:val="20"/>
                <w:lang w:val="en-CA"/>
              </w:rPr>
            </w:pP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lastRenderedPageBreak/>
              <w:t>January 27, 2015</w:t>
            </w:r>
          </w:p>
          <w:p w:rsidR="00D85745" w:rsidRPr="00D85745" w:rsidRDefault="00D85745" w:rsidP="00762A4C">
            <w:pPr>
              <w:jc w:val="both"/>
              <w:rPr>
                <w:rFonts w:eastAsiaTheme="minorHAnsi"/>
                <w:sz w:val="20"/>
                <w:lang w:val="en-CA"/>
              </w:rPr>
            </w:pPr>
            <w:r w:rsidRPr="00D85745">
              <w:rPr>
                <w:rFonts w:eastAsiaTheme="minorHAnsi"/>
                <w:sz w:val="20"/>
                <w:lang w:val="en-CA"/>
              </w:rPr>
              <w:t>Quebec Court of Appeal (Montréal)</w:t>
            </w:r>
          </w:p>
          <w:p w:rsidR="00D85745" w:rsidRPr="00D85745" w:rsidRDefault="00D85745" w:rsidP="00762A4C">
            <w:pPr>
              <w:jc w:val="both"/>
              <w:rPr>
                <w:rFonts w:eastAsiaTheme="minorHAnsi"/>
                <w:sz w:val="20"/>
                <w:lang w:val="en-CA"/>
              </w:rPr>
            </w:pPr>
            <w:r w:rsidRPr="00D85745">
              <w:rPr>
                <w:rFonts w:eastAsiaTheme="minorHAnsi"/>
                <w:sz w:val="20"/>
                <w:lang w:val="en-CA"/>
              </w:rPr>
              <w:t>(</w:t>
            </w:r>
            <w:proofErr w:type="spellStart"/>
            <w:r w:rsidRPr="00D85745">
              <w:rPr>
                <w:rFonts w:eastAsiaTheme="minorHAnsi"/>
                <w:sz w:val="20"/>
                <w:lang w:val="en-CA"/>
              </w:rPr>
              <w:t>Bich</w:t>
            </w:r>
            <w:proofErr w:type="spellEnd"/>
            <w:r w:rsidRPr="00D85745">
              <w:rPr>
                <w:rFonts w:eastAsiaTheme="minorHAnsi"/>
                <w:sz w:val="20"/>
                <w:lang w:val="en-CA"/>
              </w:rPr>
              <w:t>, Gagnon and St-Pierre JJ.A.)</w:t>
            </w:r>
          </w:p>
          <w:p w:rsidR="00D85745" w:rsidRPr="00D85745" w:rsidRDefault="0053798C" w:rsidP="00762A4C">
            <w:pPr>
              <w:jc w:val="both"/>
              <w:rPr>
                <w:rFonts w:eastAsiaTheme="minorHAnsi"/>
                <w:sz w:val="20"/>
                <w:lang w:val="en-CA"/>
              </w:rPr>
            </w:pPr>
            <w:hyperlink r:id="rId44" w:history="1">
              <w:r w:rsidR="00D85745" w:rsidRPr="00762A4C">
                <w:rPr>
                  <w:rFonts w:eastAsiaTheme="minorHAnsi"/>
                  <w:color w:val="0000FF" w:themeColor="hyperlink"/>
                  <w:sz w:val="20"/>
                  <w:u w:val="single"/>
                  <w:lang w:val="en-CA"/>
                </w:rPr>
                <w:t>2015 QCCA 152</w:t>
              </w:r>
            </w:hyperlink>
          </w:p>
          <w:p w:rsidR="00D85745" w:rsidRPr="00D85745" w:rsidRDefault="00D85745" w:rsidP="00762A4C">
            <w:pPr>
              <w:jc w:val="both"/>
              <w:rPr>
                <w:rFonts w:eastAsiaTheme="minorHAnsi"/>
                <w:sz w:val="20"/>
                <w:lang w:val="en-CA"/>
              </w:rPr>
            </w:pP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 xml:space="preserve">Appeal allowed in part; wording of conclusion changed; professional secrecy and litigation privilege could still be raised against syndic of </w:t>
            </w:r>
            <w:proofErr w:type="spellStart"/>
            <w:r w:rsidRPr="00D85745">
              <w:rPr>
                <w:rFonts w:eastAsiaTheme="minorHAnsi"/>
                <w:sz w:val="20"/>
                <w:lang w:val="en-CA"/>
              </w:rPr>
              <w:t>Chambre</w:t>
            </w:r>
            <w:proofErr w:type="spellEnd"/>
            <w:r w:rsidRPr="00D85745">
              <w:rPr>
                <w:rFonts w:eastAsiaTheme="minorHAnsi"/>
                <w:sz w:val="20"/>
                <w:lang w:val="en-CA"/>
              </w:rPr>
              <w:t xml:space="preserve"> de </w:t>
            </w:r>
            <w:proofErr w:type="spellStart"/>
            <w:r w:rsidRPr="00D85745">
              <w:rPr>
                <w:rFonts w:eastAsiaTheme="minorHAnsi"/>
                <w:sz w:val="20"/>
                <w:lang w:val="en-CA"/>
              </w:rPr>
              <w:t>l’assurance</w:t>
            </w:r>
            <w:proofErr w:type="spellEnd"/>
            <w:r w:rsidRPr="00D85745">
              <w:rPr>
                <w:rFonts w:eastAsiaTheme="minorHAnsi"/>
                <w:sz w:val="20"/>
                <w:lang w:val="en-CA"/>
              </w:rPr>
              <w:t xml:space="preserve"> de </w:t>
            </w:r>
            <w:proofErr w:type="spellStart"/>
            <w:r w:rsidRPr="00D85745">
              <w:rPr>
                <w:rFonts w:eastAsiaTheme="minorHAnsi"/>
                <w:sz w:val="20"/>
                <w:lang w:val="en-CA"/>
              </w:rPr>
              <w:t>dommages</w:t>
            </w:r>
            <w:proofErr w:type="spellEnd"/>
          </w:p>
          <w:p w:rsidR="00D85745" w:rsidRPr="00D85745" w:rsidRDefault="00D85745" w:rsidP="00762A4C">
            <w:pPr>
              <w:jc w:val="both"/>
              <w:rPr>
                <w:rFonts w:eastAsiaTheme="minorHAnsi"/>
                <w:sz w:val="20"/>
                <w:lang w:val="en-CA"/>
              </w:rPr>
            </w:pPr>
          </w:p>
        </w:tc>
      </w:tr>
      <w:tr w:rsidR="00D85745" w:rsidRPr="00D85745" w:rsidTr="00FA312A">
        <w:tc>
          <w:tcPr>
            <w:tcW w:w="2427" w:type="pct"/>
            <w:gridSpan w:val="2"/>
          </w:tcPr>
          <w:p w:rsidR="00D85745" w:rsidRPr="00D85745" w:rsidRDefault="00D85745" w:rsidP="00762A4C">
            <w:pPr>
              <w:jc w:val="both"/>
              <w:rPr>
                <w:rFonts w:eastAsiaTheme="minorHAnsi"/>
                <w:sz w:val="20"/>
                <w:lang w:val="en-CA"/>
              </w:rPr>
            </w:pPr>
            <w:r w:rsidRPr="00D85745">
              <w:rPr>
                <w:rFonts w:eastAsiaTheme="minorHAnsi"/>
                <w:sz w:val="20"/>
                <w:lang w:val="en-CA"/>
              </w:rPr>
              <w:t>March 30, 2015</w:t>
            </w:r>
          </w:p>
          <w:p w:rsidR="00D85745" w:rsidRPr="00D85745" w:rsidRDefault="00D85745" w:rsidP="00762A4C">
            <w:pPr>
              <w:jc w:val="both"/>
              <w:rPr>
                <w:rFonts w:eastAsiaTheme="minorHAnsi"/>
                <w:sz w:val="20"/>
                <w:lang w:val="en-CA"/>
              </w:rPr>
            </w:pPr>
            <w:r w:rsidRPr="00D85745">
              <w:rPr>
                <w:rFonts w:eastAsiaTheme="minorHAnsi"/>
                <w:sz w:val="20"/>
                <w:lang w:val="en-CA"/>
              </w:rPr>
              <w:t>Supreme Court of Canada</w:t>
            </w:r>
          </w:p>
        </w:tc>
        <w:tc>
          <w:tcPr>
            <w:tcW w:w="243" w:type="pct"/>
          </w:tcPr>
          <w:p w:rsidR="00D85745" w:rsidRPr="00D85745" w:rsidRDefault="00D85745" w:rsidP="00762A4C">
            <w:pPr>
              <w:jc w:val="both"/>
              <w:rPr>
                <w:rFonts w:eastAsiaTheme="minorHAnsi"/>
                <w:sz w:val="20"/>
                <w:lang w:val="en-CA"/>
              </w:rPr>
            </w:pPr>
          </w:p>
        </w:tc>
        <w:tc>
          <w:tcPr>
            <w:tcW w:w="2330" w:type="pct"/>
          </w:tcPr>
          <w:p w:rsidR="00D85745" w:rsidRPr="00D85745" w:rsidRDefault="00D85745" w:rsidP="00762A4C">
            <w:pPr>
              <w:jc w:val="both"/>
              <w:rPr>
                <w:rFonts w:eastAsiaTheme="minorHAnsi"/>
                <w:sz w:val="20"/>
                <w:lang w:val="en-CA"/>
              </w:rPr>
            </w:pPr>
            <w:r w:rsidRPr="00D85745">
              <w:rPr>
                <w:rFonts w:eastAsiaTheme="minorHAnsi"/>
                <w:sz w:val="20"/>
                <w:lang w:val="en-CA"/>
              </w:rPr>
              <w:t>Application for leave to appeal filed</w:t>
            </w:r>
          </w:p>
          <w:p w:rsidR="00D85745" w:rsidRPr="00D85745" w:rsidRDefault="00D85745" w:rsidP="00762A4C">
            <w:pPr>
              <w:jc w:val="both"/>
              <w:rPr>
                <w:rFonts w:eastAsiaTheme="minorHAnsi"/>
                <w:sz w:val="20"/>
                <w:lang w:val="en-CA"/>
              </w:rPr>
            </w:pPr>
          </w:p>
        </w:tc>
      </w:tr>
    </w:tbl>
    <w:p w:rsidR="00D85745" w:rsidRDefault="00D85745" w:rsidP="00762A4C">
      <w:pPr>
        <w:jc w:val="both"/>
        <w:rPr>
          <w:rFonts w:eastAsiaTheme="minorHAnsi"/>
          <w:sz w:val="20"/>
          <w:lang w:val="en-CA"/>
        </w:rPr>
      </w:pPr>
    </w:p>
    <w:p w:rsidR="00762A4C" w:rsidRPr="00D85745" w:rsidRDefault="00762A4C" w:rsidP="00762A4C">
      <w:pPr>
        <w:jc w:val="both"/>
        <w:rPr>
          <w:rFonts w:eastAsiaTheme="minorHAns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D85745" w:rsidRPr="00D85745" w:rsidTr="00D85745">
        <w:tc>
          <w:tcPr>
            <w:tcW w:w="543" w:type="pct"/>
            <w:hideMark/>
          </w:tcPr>
          <w:p w:rsidR="00D85745" w:rsidRPr="00D85745" w:rsidRDefault="00D85745" w:rsidP="00762A4C">
            <w:pPr>
              <w:jc w:val="both"/>
              <w:rPr>
                <w:rFonts w:eastAsia="Calibri"/>
                <w:sz w:val="20"/>
                <w:lang w:val="fr-CA"/>
              </w:rPr>
            </w:pPr>
            <w:r w:rsidRPr="00762A4C">
              <w:rPr>
                <w:rFonts w:eastAsia="Calibri"/>
                <w:b/>
                <w:sz w:val="20"/>
                <w:lang w:val="fr-CA"/>
              </w:rPr>
              <w:t>36373</w:t>
            </w:r>
          </w:p>
        </w:tc>
        <w:tc>
          <w:tcPr>
            <w:tcW w:w="4457" w:type="pct"/>
            <w:gridSpan w:val="3"/>
            <w:hideMark/>
          </w:tcPr>
          <w:p w:rsidR="00D85745" w:rsidRPr="00D85745" w:rsidRDefault="00D85745" w:rsidP="00762A4C">
            <w:pPr>
              <w:jc w:val="both"/>
              <w:rPr>
                <w:rFonts w:eastAsia="Calibri"/>
                <w:b/>
                <w:sz w:val="20"/>
                <w:lang w:val="fr-CA"/>
              </w:rPr>
            </w:pPr>
            <w:r w:rsidRPr="00D85745">
              <w:rPr>
                <w:rFonts w:eastAsia="Calibri"/>
                <w:b/>
                <w:sz w:val="20"/>
                <w:lang w:val="fr-CA"/>
              </w:rPr>
              <w:t xml:space="preserve">Karine </w:t>
            </w:r>
            <w:proofErr w:type="spellStart"/>
            <w:r w:rsidRPr="00D85745">
              <w:rPr>
                <w:rFonts w:eastAsia="Calibri"/>
                <w:b/>
                <w:sz w:val="20"/>
                <w:lang w:val="fr-CA"/>
              </w:rPr>
              <w:t>Lizotte</w:t>
            </w:r>
            <w:proofErr w:type="spellEnd"/>
            <w:r w:rsidRPr="00D85745">
              <w:rPr>
                <w:rFonts w:eastAsia="Calibri"/>
                <w:b/>
                <w:sz w:val="20"/>
                <w:lang w:val="fr-CA"/>
              </w:rPr>
              <w:t>, ès qualités de syndic adjoint de la Chambre de l’assurance de dommages c. Aviva, Compagnie d’assurance du Canada, Compagnie d’assurance Traders générale</w:t>
            </w:r>
          </w:p>
          <w:p w:rsidR="00D85745" w:rsidRPr="00D85745" w:rsidRDefault="00D85745" w:rsidP="00762A4C">
            <w:pPr>
              <w:jc w:val="both"/>
              <w:rPr>
                <w:rFonts w:eastAsia="Calibri"/>
                <w:sz w:val="20"/>
                <w:lang w:val="fr-CA"/>
              </w:rPr>
            </w:pPr>
            <w:r w:rsidRPr="00D85745">
              <w:rPr>
                <w:rFonts w:eastAsia="Calibri"/>
                <w:sz w:val="20"/>
                <w:lang w:val="fr-CA"/>
              </w:rPr>
              <w:t>(</w:t>
            </w:r>
            <w:proofErr w:type="spellStart"/>
            <w:r w:rsidRPr="00D85745">
              <w:rPr>
                <w:rFonts w:eastAsia="Calibri"/>
                <w:sz w:val="20"/>
                <w:lang w:val="fr-CA"/>
              </w:rPr>
              <w:t>Qc</w:t>
            </w:r>
            <w:proofErr w:type="spellEnd"/>
            <w:r w:rsidRPr="00D85745">
              <w:rPr>
                <w:rFonts w:eastAsia="Calibri"/>
                <w:sz w:val="20"/>
                <w:lang w:val="fr-CA"/>
              </w:rPr>
              <w:t>) (Civile) (Autorisation)</w:t>
            </w:r>
          </w:p>
        </w:tc>
      </w:tr>
      <w:tr w:rsidR="00D85745" w:rsidRPr="00D85745" w:rsidTr="00D85745">
        <w:tc>
          <w:tcPr>
            <w:tcW w:w="5000" w:type="pct"/>
            <w:gridSpan w:val="4"/>
          </w:tcPr>
          <w:p w:rsidR="00D85745" w:rsidRPr="00D85745" w:rsidRDefault="00D85745" w:rsidP="00762A4C">
            <w:pPr>
              <w:jc w:val="both"/>
              <w:rPr>
                <w:rFonts w:eastAsia="Calibri"/>
                <w:sz w:val="20"/>
                <w:lang w:val="fr-CA"/>
              </w:rPr>
            </w:pPr>
            <w:r w:rsidRPr="00D85745">
              <w:rPr>
                <w:rFonts w:eastAsia="Calibri"/>
                <w:sz w:val="20"/>
                <w:lang w:val="fr-CA"/>
              </w:rPr>
              <w:t>Législation – Immunités et privilèges – Privilège relatif au litige – Assurance – Demande de communication de renseignements et documents dans le cadre d’enquête sur la conduite d’un expert en sinistre –</w:t>
            </w:r>
            <w:r w:rsidRPr="00D85745">
              <w:rPr>
                <w:rFonts w:eastAsia="Calibri"/>
                <w:i/>
                <w:iCs/>
                <w:color w:val="000000"/>
                <w:sz w:val="20"/>
                <w:lang w:val="fr-CA"/>
              </w:rPr>
              <w:t xml:space="preserve"> </w:t>
            </w:r>
            <w:r w:rsidRPr="00D85745">
              <w:rPr>
                <w:rFonts w:eastAsia="Calibri"/>
                <w:sz w:val="20"/>
                <w:lang w:val="fr-CA"/>
              </w:rPr>
              <w:t xml:space="preserve">Interprétation des lois – Un assureur peut-il opposer le privilège relatif au litige au syndic de la Chambre de l’assurance de dommages? – </w:t>
            </w:r>
            <w:r w:rsidRPr="00D85745">
              <w:rPr>
                <w:rFonts w:eastAsia="Calibri"/>
                <w:i/>
                <w:sz w:val="20"/>
                <w:lang w:val="fr-CA"/>
              </w:rPr>
              <w:t>Loi sur la distribution de produits et services financiers</w:t>
            </w:r>
            <w:r w:rsidRPr="00D85745">
              <w:rPr>
                <w:rFonts w:eastAsia="Calibri"/>
                <w:sz w:val="20"/>
                <w:lang w:val="fr-CA"/>
              </w:rPr>
              <w:t xml:space="preserve">, L.R.Q., ch. D-9.2, art. 337 </w:t>
            </w:r>
          </w:p>
        </w:tc>
      </w:tr>
      <w:tr w:rsidR="00D85745" w:rsidRPr="00D85745" w:rsidTr="00D85745">
        <w:tc>
          <w:tcPr>
            <w:tcW w:w="5000" w:type="pct"/>
            <w:gridSpan w:val="4"/>
          </w:tcPr>
          <w:p w:rsidR="00D85745" w:rsidRPr="00D85745" w:rsidRDefault="00D85745" w:rsidP="00762A4C">
            <w:pPr>
              <w:jc w:val="both"/>
              <w:rPr>
                <w:rFonts w:eastAsia="Calibri"/>
                <w:sz w:val="20"/>
                <w:lang w:val="fr-CA"/>
              </w:rPr>
            </w:pPr>
          </w:p>
        </w:tc>
      </w:tr>
      <w:tr w:rsidR="00D85745" w:rsidRPr="00D85745" w:rsidTr="00D85745">
        <w:tc>
          <w:tcPr>
            <w:tcW w:w="5000" w:type="pct"/>
            <w:gridSpan w:val="4"/>
          </w:tcPr>
          <w:p w:rsidR="00D85745" w:rsidRPr="00D85745" w:rsidRDefault="00D85745" w:rsidP="00762A4C">
            <w:pPr>
              <w:jc w:val="both"/>
              <w:rPr>
                <w:rFonts w:eastAsia="Calibri"/>
                <w:sz w:val="20"/>
                <w:lang w:val="fr-CA"/>
              </w:rPr>
            </w:pPr>
            <w:r w:rsidRPr="00D85745">
              <w:rPr>
                <w:rFonts w:eastAsia="Calibri"/>
                <w:sz w:val="20"/>
                <w:lang w:val="fr-CA"/>
              </w:rPr>
              <w:t xml:space="preserve">Le Syndic de la Chambre de l’assurance de dommages, dans le cadre d’une enquête déontologique sur un expert en sinistres à l’emploi de l’intimée, fait une demande à celle-ci sous l’article 337 de la </w:t>
            </w:r>
            <w:r w:rsidRPr="00D85745">
              <w:rPr>
                <w:rFonts w:eastAsia="Calibri"/>
                <w:i/>
                <w:sz w:val="20"/>
                <w:lang w:val="fr-CA"/>
              </w:rPr>
              <w:t xml:space="preserve">Loi sur la distribution de produits et services financiers </w:t>
            </w:r>
            <w:r w:rsidRPr="00D85745">
              <w:rPr>
                <w:rFonts w:eastAsia="Calibri"/>
                <w:sz w:val="20"/>
                <w:lang w:val="fr-CA"/>
              </w:rPr>
              <w:t xml:space="preserve">afin d’obtenir des documents sur l’expert en sinistres. L’intimée retranche certains documents de la documentation transmise, afin de tenir compte du privilège relatif au litige et du privilège avocat-client. Le Syndic demande à la Cour supérieure un jugement déclaratoire afin de savoir si l’intimée pouvait ainsi refuser de communiquer les documents couverts par ces privilèges. </w:t>
            </w:r>
          </w:p>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Le 16 décembre 2013</w:t>
            </w:r>
          </w:p>
          <w:p w:rsidR="00D85745" w:rsidRPr="00D85745" w:rsidRDefault="00D85745" w:rsidP="00762A4C">
            <w:pPr>
              <w:jc w:val="both"/>
              <w:rPr>
                <w:rFonts w:eastAsia="Calibri"/>
                <w:sz w:val="20"/>
                <w:lang w:val="fr-CA"/>
              </w:rPr>
            </w:pPr>
            <w:r w:rsidRPr="00D85745">
              <w:rPr>
                <w:rFonts w:eastAsia="Calibri"/>
                <w:sz w:val="20"/>
                <w:lang w:val="fr-CA"/>
              </w:rPr>
              <w:t>Cour supérieure du Québec</w:t>
            </w:r>
          </w:p>
          <w:p w:rsidR="00D85745" w:rsidRPr="00D85745" w:rsidRDefault="00D85745" w:rsidP="00762A4C">
            <w:pPr>
              <w:jc w:val="both"/>
              <w:rPr>
                <w:rFonts w:eastAsia="Calibri"/>
                <w:sz w:val="20"/>
                <w:lang w:val="fr-CA"/>
              </w:rPr>
            </w:pPr>
            <w:r w:rsidRPr="00D85745">
              <w:rPr>
                <w:rFonts w:eastAsia="Calibri"/>
                <w:sz w:val="20"/>
                <w:lang w:val="fr-CA"/>
              </w:rPr>
              <w:t>(Le juge Gagnon)</w:t>
            </w:r>
          </w:p>
          <w:p w:rsidR="00D85745" w:rsidRPr="00D85745" w:rsidRDefault="0053798C" w:rsidP="00762A4C">
            <w:pPr>
              <w:jc w:val="both"/>
              <w:rPr>
                <w:rFonts w:eastAsia="Calibri"/>
                <w:sz w:val="20"/>
                <w:lang w:val="fr-CA"/>
              </w:rPr>
            </w:pPr>
            <w:hyperlink r:id="rId45" w:history="1">
              <w:r w:rsidR="00D85745" w:rsidRPr="00762A4C">
                <w:rPr>
                  <w:rFonts w:eastAsia="Calibri"/>
                  <w:color w:val="0000FF" w:themeColor="hyperlink"/>
                  <w:sz w:val="20"/>
                  <w:u w:val="single"/>
                  <w:lang w:val="fr-CA"/>
                </w:rPr>
                <w:t>2013 QCCS 6397</w:t>
              </w:r>
            </w:hyperlink>
          </w:p>
          <w:p w:rsidR="00D85745" w:rsidRPr="00D85745" w:rsidRDefault="00D85745" w:rsidP="00762A4C">
            <w:pPr>
              <w:jc w:val="both"/>
              <w:rPr>
                <w:rFonts w:eastAsia="Calibri"/>
                <w:sz w:val="20"/>
                <w:lang w:val="fr-CA"/>
              </w:rPr>
            </w:pPr>
          </w:p>
        </w:tc>
        <w:tc>
          <w:tcPr>
            <w:tcW w:w="243" w:type="pct"/>
          </w:tcPr>
          <w:p w:rsidR="00D85745" w:rsidRPr="00D85745" w:rsidRDefault="00D85745" w:rsidP="00762A4C">
            <w:pPr>
              <w:jc w:val="both"/>
              <w:rPr>
                <w:rFonts w:eastAsia="Calibri"/>
                <w:sz w:val="20"/>
                <w:lang w:val="fr-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Jugement sur requête en jugement déclaratoire rendu : le secret professionnel et le privilège relatif au litige sont opposables au syndic de la Chambre de l’assurance de dommages</w:t>
            </w:r>
          </w:p>
          <w:p w:rsidR="00D85745" w:rsidRPr="00D85745" w:rsidRDefault="00D85745" w:rsidP="00762A4C">
            <w:pPr>
              <w:jc w:val="both"/>
              <w:rPr>
                <w:rFonts w:eastAsia="Calibri"/>
                <w:sz w:val="20"/>
                <w:lang w:val="fr-CA"/>
              </w:rPr>
            </w:pPr>
          </w:p>
        </w:tc>
      </w:tr>
      <w:tr w:rsidR="00D85745" w:rsidRPr="00D85745" w:rsidTr="00D85745">
        <w:tc>
          <w:tcPr>
            <w:tcW w:w="2427" w:type="pct"/>
            <w:gridSpan w:val="2"/>
          </w:tcPr>
          <w:p w:rsidR="00D85745" w:rsidRPr="00D85745" w:rsidRDefault="00D85745" w:rsidP="00762A4C">
            <w:pPr>
              <w:jc w:val="both"/>
              <w:rPr>
                <w:rFonts w:eastAsia="Calibri"/>
                <w:sz w:val="20"/>
                <w:lang w:val="fr-CA"/>
              </w:rPr>
            </w:pPr>
            <w:r w:rsidRPr="00D85745">
              <w:rPr>
                <w:rFonts w:eastAsia="Calibri"/>
                <w:sz w:val="20"/>
                <w:lang w:val="fr-CA"/>
              </w:rPr>
              <w:t>Le 27 janvier 2015</w:t>
            </w:r>
          </w:p>
          <w:p w:rsidR="00D85745" w:rsidRPr="00D85745" w:rsidRDefault="00D85745" w:rsidP="00762A4C">
            <w:pPr>
              <w:jc w:val="both"/>
              <w:rPr>
                <w:rFonts w:eastAsia="Calibri"/>
                <w:sz w:val="20"/>
                <w:lang w:val="fr-CA"/>
              </w:rPr>
            </w:pPr>
            <w:r w:rsidRPr="00D85745">
              <w:rPr>
                <w:rFonts w:eastAsia="Calibri"/>
                <w:sz w:val="20"/>
                <w:lang w:val="fr-CA"/>
              </w:rPr>
              <w:t>Cour d’appel du Québec (Montréal)</w:t>
            </w:r>
          </w:p>
          <w:p w:rsidR="00D85745" w:rsidRPr="00D85745" w:rsidRDefault="00D85745" w:rsidP="00762A4C">
            <w:pPr>
              <w:jc w:val="both"/>
              <w:rPr>
                <w:rFonts w:eastAsia="Calibri"/>
                <w:sz w:val="20"/>
                <w:lang w:val="fr-CA"/>
              </w:rPr>
            </w:pPr>
            <w:r w:rsidRPr="00D85745">
              <w:rPr>
                <w:rFonts w:eastAsia="Calibri"/>
                <w:sz w:val="20"/>
                <w:lang w:val="fr-CA"/>
              </w:rPr>
              <w:t xml:space="preserve">(Les juges </w:t>
            </w:r>
            <w:proofErr w:type="spellStart"/>
            <w:r w:rsidRPr="00D85745">
              <w:rPr>
                <w:rFonts w:eastAsia="Calibri"/>
                <w:sz w:val="20"/>
                <w:lang w:val="fr-CA"/>
              </w:rPr>
              <w:t>Bich</w:t>
            </w:r>
            <w:proofErr w:type="spellEnd"/>
            <w:r w:rsidRPr="00D85745">
              <w:rPr>
                <w:rFonts w:eastAsia="Calibri"/>
                <w:sz w:val="20"/>
                <w:lang w:val="fr-CA"/>
              </w:rPr>
              <w:t>, Gagnon, et St-Pierre)</w:t>
            </w:r>
          </w:p>
          <w:p w:rsidR="00D85745" w:rsidRPr="00D85745" w:rsidRDefault="0053798C" w:rsidP="00762A4C">
            <w:pPr>
              <w:jc w:val="both"/>
              <w:rPr>
                <w:rFonts w:eastAsia="Calibri"/>
                <w:sz w:val="20"/>
                <w:lang w:val="fr-CA"/>
              </w:rPr>
            </w:pPr>
            <w:hyperlink r:id="rId46" w:history="1">
              <w:r w:rsidR="00D85745" w:rsidRPr="00762A4C">
                <w:rPr>
                  <w:rFonts w:eastAsia="Calibri"/>
                  <w:color w:val="0000FF" w:themeColor="hyperlink"/>
                  <w:sz w:val="20"/>
                  <w:u w:val="single"/>
                  <w:lang w:val="fr-CA"/>
                </w:rPr>
                <w:t>2015 QCCA 152</w:t>
              </w:r>
            </w:hyperlink>
          </w:p>
          <w:p w:rsidR="00D85745" w:rsidRPr="00D85745" w:rsidRDefault="00D85745" w:rsidP="00762A4C">
            <w:pPr>
              <w:jc w:val="both"/>
              <w:rPr>
                <w:rFonts w:eastAsia="Calibri"/>
                <w:sz w:val="20"/>
                <w:lang w:val="fr-CA"/>
              </w:rPr>
            </w:pPr>
          </w:p>
        </w:tc>
        <w:tc>
          <w:tcPr>
            <w:tcW w:w="243" w:type="pct"/>
          </w:tcPr>
          <w:p w:rsidR="00D85745" w:rsidRPr="00D85745" w:rsidRDefault="00D85745" w:rsidP="00762A4C">
            <w:pPr>
              <w:jc w:val="both"/>
              <w:rPr>
                <w:rFonts w:eastAsia="Calibri"/>
                <w:sz w:val="20"/>
                <w:lang w:val="fr-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Appel accueilli en partie : Terminologie de la conclusion modifiée. Le secret professionnel et le privilège relatif au litige demeurent opposables au syndic de la Chambre de l’assurance de dommage</w:t>
            </w:r>
          </w:p>
          <w:p w:rsidR="00D85745" w:rsidRPr="00D85745" w:rsidRDefault="00D85745" w:rsidP="00762A4C">
            <w:pPr>
              <w:jc w:val="both"/>
              <w:rPr>
                <w:rFonts w:eastAsia="Calibri"/>
                <w:sz w:val="20"/>
                <w:lang w:val="fr-CA"/>
              </w:rPr>
            </w:pPr>
          </w:p>
        </w:tc>
      </w:tr>
      <w:tr w:rsidR="00D85745" w:rsidRPr="00D85745" w:rsidTr="00D85745">
        <w:tc>
          <w:tcPr>
            <w:tcW w:w="2427" w:type="pct"/>
            <w:gridSpan w:val="2"/>
            <w:hideMark/>
          </w:tcPr>
          <w:p w:rsidR="00D85745" w:rsidRPr="00D85745" w:rsidRDefault="00D85745" w:rsidP="00762A4C">
            <w:pPr>
              <w:jc w:val="both"/>
              <w:rPr>
                <w:rFonts w:eastAsia="Calibri"/>
                <w:sz w:val="20"/>
                <w:lang w:val="fr-CA"/>
              </w:rPr>
            </w:pPr>
            <w:r w:rsidRPr="00D85745">
              <w:rPr>
                <w:rFonts w:eastAsia="Calibri"/>
                <w:sz w:val="20"/>
                <w:lang w:val="fr-CA"/>
              </w:rPr>
              <w:lastRenderedPageBreak/>
              <w:t>Le 30 mars 2015</w:t>
            </w:r>
          </w:p>
          <w:p w:rsidR="00D85745" w:rsidRPr="00D85745" w:rsidRDefault="00D85745" w:rsidP="00762A4C">
            <w:pPr>
              <w:jc w:val="both"/>
              <w:rPr>
                <w:rFonts w:eastAsia="Calibri"/>
                <w:sz w:val="20"/>
                <w:lang w:val="fr-CA"/>
              </w:rPr>
            </w:pPr>
            <w:r w:rsidRPr="00D85745">
              <w:rPr>
                <w:rFonts w:eastAsia="Calibri"/>
                <w:sz w:val="20"/>
                <w:lang w:val="fr-CA"/>
              </w:rPr>
              <w:t>Cour suprême du Canada</w:t>
            </w:r>
          </w:p>
        </w:tc>
        <w:tc>
          <w:tcPr>
            <w:tcW w:w="243" w:type="pct"/>
          </w:tcPr>
          <w:p w:rsidR="00D85745" w:rsidRPr="00D85745" w:rsidRDefault="00D85745" w:rsidP="00762A4C">
            <w:pPr>
              <w:jc w:val="both"/>
              <w:rPr>
                <w:rFonts w:eastAsia="Calibri"/>
                <w:sz w:val="20"/>
                <w:lang w:val="fr-CA"/>
              </w:rPr>
            </w:pPr>
          </w:p>
        </w:tc>
        <w:tc>
          <w:tcPr>
            <w:tcW w:w="2330" w:type="pct"/>
          </w:tcPr>
          <w:p w:rsidR="00D85745" w:rsidRPr="00D85745" w:rsidRDefault="00D85745" w:rsidP="00762A4C">
            <w:pPr>
              <w:jc w:val="both"/>
              <w:rPr>
                <w:rFonts w:eastAsia="Calibri"/>
                <w:sz w:val="20"/>
                <w:lang w:val="fr-CA"/>
              </w:rPr>
            </w:pPr>
            <w:r w:rsidRPr="00D85745">
              <w:rPr>
                <w:rFonts w:eastAsia="Calibri"/>
                <w:sz w:val="20"/>
                <w:lang w:val="fr-CA"/>
              </w:rPr>
              <w:t>Demande d’autorisation d’appel déposée</w:t>
            </w:r>
          </w:p>
          <w:p w:rsidR="00D85745" w:rsidRPr="00D85745" w:rsidRDefault="00D85745" w:rsidP="00762A4C">
            <w:pPr>
              <w:jc w:val="both"/>
              <w:rPr>
                <w:rFonts w:eastAsia="Calibri"/>
                <w:sz w:val="20"/>
                <w:lang w:val="fr-CA"/>
              </w:rPr>
            </w:pPr>
          </w:p>
        </w:tc>
      </w:tr>
    </w:tbl>
    <w:p w:rsidR="00D85745" w:rsidRPr="00D85745" w:rsidRDefault="00D85745" w:rsidP="00762A4C">
      <w:pPr>
        <w:jc w:val="both"/>
        <w:rPr>
          <w:rFonts w:eastAsia="Calibri"/>
          <w:sz w:val="20"/>
          <w:lang w:val="fr-CA"/>
        </w:rPr>
      </w:pPr>
    </w:p>
    <w:p w:rsidR="00D85745" w:rsidRPr="00D85745" w:rsidRDefault="00D85745" w:rsidP="009550BB">
      <w:pPr>
        <w:ind w:left="360" w:hanging="360"/>
        <w:jc w:val="both"/>
        <w:rPr>
          <w:sz w:val="20"/>
        </w:rPr>
      </w:pPr>
    </w:p>
    <w:p w:rsidR="00E604A4" w:rsidRPr="00D85745" w:rsidRDefault="00E604A4" w:rsidP="00F6251B">
      <w:pPr>
        <w:widowControl w:val="0"/>
        <w:ind w:left="360" w:hanging="360"/>
        <w:jc w:val="both"/>
        <w:rPr>
          <w:sz w:val="20"/>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53798C" w:rsidP="00D3344A">
      <w:pPr>
        <w:widowControl w:val="0"/>
        <w:outlineLvl w:val="0"/>
        <w:rPr>
          <w:u w:val="single"/>
        </w:rPr>
      </w:pPr>
      <w:hyperlink r:id="rId47"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3E" w:rsidRDefault="006D0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3E" w:rsidRDefault="006D0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3E" w:rsidRDefault="006D0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3E" w:rsidRDefault="006D0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3E" w:rsidRDefault="006D0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2C79"/>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3B29"/>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6BA5"/>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3798C"/>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1D6B"/>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63E"/>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2A4C"/>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87D5B"/>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A82"/>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77E3E"/>
    <w:rsid w:val="00D81BB1"/>
    <w:rsid w:val="00D84F6A"/>
    <w:rsid w:val="00D8506B"/>
    <w:rsid w:val="00D85745"/>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25958672">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71059565">
      <w:bodyDiv w:val="1"/>
      <w:marLeft w:val="0"/>
      <w:marRight w:val="0"/>
      <w:marTop w:val="0"/>
      <w:marBottom w:val="0"/>
      <w:divBdr>
        <w:top w:val="none" w:sz="0" w:space="0" w:color="auto"/>
        <w:left w:val="none" w:sz="0" w:space="0" w:color="auto"/>
        <w:bottom w:val="none" w:sz="0" w:space="0" w:color="auto"/>
        <w:right w:val="none" w:sz="0" w:space="0" w:color="auto"/>
      </w:divBdr>
    </w:div>
    <w:div w:id="332539209">
      <w:bodyDiv w:val="1"/>
      <w:marLeft w:val="0"/>
      <w:marRight w:val="0"/>
      <w:marTop w:val="0"/>
      <w:marBottom w:val="0"/>
      <w:divBdr>
        <w:top w:val="none" w:sz="0" w:space="0" w:color="auto"/>
        <w:left w:val="none" w:sz="0" w:space="0" w:color="auto"/>
        <w:bottom w:val="none" w:sz="0" w:space="0" w:color="auto"/>
        <w:right w:val="none" w:sz="0" w:space="0" w:color="auto"/>
      </w:divBdr>
    </w:div>
    <w:div w:id="35238894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73178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527568668">
      <w:bodyDiv w:val="1"/>
      <w:marLeft w:val="0"/>
      <w:marRight w:val="0"/>
      <w:marTop w:val="0"/>
      <w:marBottom w:val="0"/>
      <w:divBdr>
        <w:top w:val="none" w:sz="0" w:space="0" w:color="auto"/>
        <w:left w:val="none" w:sz="0" w:space="0" w:color="auto"/>
        <w:bottom w:val="none" w:sz="0" w:space="0" w:color="auto"/>
        <w:right w:val="none" w:sz="0" w:space="0" w:color="auto"/>
      </w:divBdr>
    </w:div>
    <w:div w:id="545332974">
      <w:bodyDiv w:val="1"/>
      <w:marLeft w:val="0"/>
      <w:marRight w:val="0"/>
      <w:marTop w:val="0"/>
      <w:marBottom w:val="0"/>
      <w:divBdr>
        <w:top w:val="none" w:sz="0" w:space="0" w:color="auto"/>
        <w:left w:val="none" w:sz="0" w:space="0" w:color="auto"/>
        <w:bottom w:val="none" w:sz="0" w:space="0" w:color="auto"/>
        <w:right w:val="none" w:sz="0" w:space="0" w:color="auto"/>
      </w:divBdr>
    </w:div>
    <w:div w:id="559052794">
      <w:bodyDiv w:val="1"/>
      <w:marLeft w:val="0"/>
      <w:marRight w:val="0"/>
      <w:marTop w:val="0"/>
      <w:marBottom w:val="0"/>
      <w:divBdr>
        <w:top w:val="none" w:sz="0" w:space="0" w:color="auto"/>
        <w:left w:val="none" w:sz="0" w:space="0" w:color="auto"/>
        <w:bottom w:val="none" w:sz="0" w:space="0" w:color="auto"/>
        <w:right w:val="none" w:sz="0" w:space="0" w:color="auto"/>
      </w:divBdr>
    </w:div>
    <w:div w:id="57385239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81126880">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10444972">
      <w:bodyDiv w:val="1"/>
      <w:marLeft w:val="0"/>
      <w:marRight w:val="0"/>
      <w:marTop w:val="0"/>
      <w:marBottom w:val="0"/>
      <w:divBdr>
        <w:top w:val="none" w:sz="0" w:space="0" w:color="auto"/>
        <w:left w:val="none" w:sz="0" w:space="0" w:color="auto"/>
        <w:bottom w:val="none" w:sz="0" w:space="0" w:color="auto"/>
        <w:right w:val="none" w:sz="0" w:space="0" w:color="auto"/>
      </w:divBdr>
    </w:div>
    <w:div w:id="824777974">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61631058">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66818007">
      <w:bodyDiv w:val="1"/>
      <w:marLeft w:val="0"/>
      <w:marRight w:val="0"/>
      <w:marTop w:val="0"/>
      <w:marBottom w:val="0"/>
      <w:divBdr>
        <w:top w:val="none" w:sz="0" w:space="0" w:color="auto"/>
        <w:left w:val="none" w:sz="0" w:space="0" w:color="auto"/>
        <w:bottom w:val="none" w:sz="0" w:space="0" w:color="auto"/>
        <w:right w:val="none" w:sz="0" w:space="0" w:color="auto"/>
      </w:divBdr>
    </w:div>
    <w:div w:id="1015569096">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65391053">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5739042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3625062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31527374">
      <w:bodyDiv w:val="1"/>
      <w:marLeft w:val="0"/>
      <w:marRight w:val="0"/>
      <w:marTop w:val="0"/>
      <w:marBottom w:val="0"/>
      <w:divBdr>
        <w:top w:val="none" w:sz="0" w:space="0" w:color="auto"/>
        <w:left w:val="none" w:sz="0" w:space="0" w:color="auto"/>
        <w:bottom w:val="none" w:sz="0" w:space="0" w:color="auto"/>
        <w:right w:val="none" w:sz="0" w:space="0" w:color="auto"/>
      </w:divBdr>
    </w:div>
    <w:div w:id="1542477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580679586">
      <w:bodyDiv w:val="1"/>
      <w:marLeft w:val="0"/>
      <w:marRight w:val="0"/>
      <w:marTop w:val="0"/>
      <w:marBottom w:val="0"/>
      <w:divBdr>
        <w:top w:val="none" w:sz="0" w:space="0" w:color="auto"/>
        <w:left w:val="none" w:sz="0" w:space="0" w:color="auto"/>
        <w:bottom w:val="none" w:sz="0" w:space="0" w:color="auto"/>
        <w:right w:val="none" w:sz="0" w:space="0" w:color="auto"/>
      </w:divBdr>
    </w:div>
    <w:div w:id="159601564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42535370">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685595953">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10302555">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88837767">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1943916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1995328166">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461" TargetMode="External"/><Relationship Id="rId18" Type="http://schemas.openxmlformats.org/officeDocument/2006/relationships/hyperlink" Target="http://www.canlii.org/en/bc/bcca/doc/2015/2015bcca63/2015bcca63.html?autocompleteStr=2015%20bcca%2063&amp;autocompletePos=1" TargetMode="External"/><Relationship Id="rId26" Type="http://schemas.openxmlformats.org/officeDocument/2006/relationships/hyperlink" Target="http://www.canlii.org/en/bc/bcca/doc/2015/2015bcca30/2015bcca30.html?autocompleteStr=2015%20bcca%2030&amp;autocompletePos=1" TargetMode="External"/><Relationship Id="rId39" Type="http://schemas.openxmlformats.org/officeDocument/2006/relationships/hyperlink" Target="http://www.canlii.org/en/bc/bcsc/doc/2013/2013bcsc2207/2013bcsc2207.html?autocompleteStr=2013%20BCSC%202207&amp;autocompletePos=1" TargetMode="External"/><Relationship Id="rId21" Type="http://schemas.openxmlformats.org/officeDocument/2006/relationships/hyperlink" Target="http://canlii.ca/t/g8hvh" TargetMode="External"/><Relationship Id="rId34" Type="http://schemas.openxmlformats.org/officeDocument/2006/relationships/hyperlink" Target="http://www.canlii.org/en/bc/bcca/doc/2015/2015bcca139/2015bcca139.html?autocompleteStr=2015%20BCCA%20139&amp;autocompletePos=1" TargetMode="External"/><Relationship Id="rId42" Type="http://schemas.openxmlformats.org/officeDocument/2006/relationships/hyperlink" Target="http://www.canlii.org/en/bc/bcca/doc/2015/2015bcca65/2015bcca65.html?autocompleteStr=2015%20BCCA%2065&amp;autocompletePos=1" TargetMode="External"/><Relationship Id="rId47" Type="http://schemas.openxmlformats.org/officeDocument/2006/relationships/hyperlink" Target="mailto:comments-commentaires@scc-cs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6353" TargetMode="External"/><Relationship Id="rId17" Type="http://schemas.openxmlformats.org/officeDocument/2006/relationships/hyperlink" Target="http://www.canlii.org/en/bc/bcca/doc/2013/2013bcca307/2013bcca307.html" TargetMode="External"/><Relationship Id="rId25" Type="http://schemas.openxmlformats.org/officeDocument/2006/relationships/hyperlink" Target="http://www.canlii.org/en/bc/bcsc/doc/2014/2014bcsc117/2014bcsc117.html?autocompleteStr=2014%20bcsc%20117&amp;autocompletePos=1" TargetMode="External"/><Relationship Id="rId33" Type="http://schemas.openxmlformats.org/officeDocument/2006/relationships/hyperlink" Target="http://www.canlii.org/en/bc/bcsc/doc/2013/2013bcsc1022/2013bcsc1022.html?autocompleteStr=2013%20BCSC%201022&amp;autocompletePos=1" TargetMode="External"/><Relationship Id="rId38" Type="http://schemas.openxmlformats.org/officeDocument/2006/relationships/hyperlink" Target="http://www.canlii.org/fr/qc/qcca/doc/2015/2015qcca287/2015qcca287.html?autocompleteStr=2015%20QCCA%20287&amp;autocompletePos=1" TargetMode="External"/><Relationship Id="rId46" Type="http://schemas.openxmlformats.org/officeDocument/2006/relationships/hyperlink" Target="http://www.canlii.org/fr/qc/qcca/doc/2015/2015qcca152/2015qcca152.html?autocompleteStr=2015%20QCCA%20152&amp;autocompletePos=1" TargetMode="External"/><Relationship Id="rId2" Type="http://schemas.openxmlformats.org/officeDocument/2006/relationships/numbering" Target="numbering.xml"/><Relationship Id="rId16" Type="http://schemas.openxmlformats.org/officeDocument/2006/relationships/hyperlink" Target="http://www.canlii.org/en/bc/bcca/doc/2015/2015bcca63/2015bcca63.html?autocompleteStr=2015%20bcca%2063&amp;autocompletePos=1" TargetMode="External"/><Relationship Id="rId20" Type="http://schemas.openxmlformats.org/officeDocument/2006/relationships/hyperlink" Target="http://canlii.ca/t/gfzgv" TargetMode="External"/><Relationship Id="rId29" Type="http://schemas.openxmlformats.org/officeDocument/2006/relationships/hyperlink" Target="http://canlii.ca/t/fl7d8" TargetMode="External"/><Relationship Id="rId41" Type="http://schemas.openxmlformats.org/officeDocument/2006/relationships/hyperlink" Target="http://www.canlii.org/en/bc/bcsc/doc/2013/2013bcsc2207/2013bcsc2207.html?autocompleteStr=2013%20BCSC%202207&amp;autocompletePos=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444" TargetMode="External"/><Relationship Id="rId24" Type="http://schemas.openxmlformats.org/officeDocument/2006/relationships/hyperlink" Target="http://www.canlii.org/en/bc/bcca/doc/2015/2015bcca30/2015bcca30.html?autocompleteStr=2015%20bcca%2030&amp;autocompletePos=1" TargetMode="External"/><Relationship Id="rId32" Type="http://schemas.openxmlformats.org/officeDocument/2006/relationships/hyperlink" Target="http://www.canlii.org/en/bc/bcca/doc/2015/2015bcca139/2015bcca139.html?autocompleteStr=2015%20BCCA%20139&amp;autocompletePos=1" TargetMode="External"/><Relationship Id="rId37" Type="http://schemas.openxmlformats.org/officeDocument/2006/relationships/hyperlink" Target="http://www.canlii.org/fr/qc/qccs/doc/2013/2013qccs4402/2013qccs4402.html?autocompleteStr=2013%20qccs%204402&amp;autocompletePos=1" TargetMode="External"/><Relationship Id="rId40" Type="http://schemas.openxmlformats.org/officeDocument/2006/relationships/hyperlink" Target="http://www.canlii.org/en/bc/bcca/doc/2015/2015bcca65/2015bcca65.html?autocompleteStr=2015%20BCCA%2065&amp;autocompletePos=1" TargetMode="External"/><Relationship Id="rId45" Type="http://schemas.openxmlformats.org/officeDocument/2006/relationships/hyperlink" Target="http://www.canlii.org/fr/qc/qccs/doc/2013/2013qccs6397/2013qccs6397.html?autocompleteStr=2013%20QCCS%206397&amp;autocompletePos=1"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nlii.org/en/bc/bcca/doc/2013/2013bcca307/2013bcca307.html" TargetMode="External"/><Relationship Id="rId23" Type="http://schemas.openxmlformats.org/officeDocument/2006/relationships/hyperlink" Target="http://www.canlii.org/en/bc/bcsc/doc/2014/2014bcsc117/2014bcsc117.html?autocompleteStr=2014%20bcsc%20117&amp;autocompletePos=1" TargetMode="External"/><Relationship Id="rId28" Type="http://schemas.openxmlformats.org/officeDocument/2006/relationships/hyperlink" Target="http://canlii.ca/t/ggqbx" TargetMode="External"/><Relationship Id="rId36" Type="http://schemas.openxmlformats.org/officeDocument/2006/relationships/hyperlink" Target="http://www.canlii.org/fr/qc/qcca/doc/2015/2015qcca287/2015qcca287.html?autocompleteStr=2015%20QCCA%20287&amp;autocompletePos=1" TargetMode="External"/><Relationship Id="rId49" Type="http://schemas.openxmlformats.org/officeDocument/2006/relationships/header" Target="header2.xml"/><Relationship Id="rId10" Type="http://schemas.openxmlformats.org/officeDocument/2006/relationships/hyperlink" Target="http://www.scc-csc.ca/case-dossier/info/sum-som-eng.aspx?cas=36360" TargetMode="External"/><Relationship Id="rId19" Type="http://schemas.openxmlformats.org/officeDocument/2006/relationships/hyperlink" Target="http://canlii.ca/t/g8hvh" TargetMode="External"/><Relationship Id="rId31" Type="http://schemas.openxmlformats.org/officeDocument/2006/relationships/hyperlink" Target="http://www.canlii.org/en/bc/bcsc/doc/2013/2013bcsc1022/2013bcsc1022.html?autocompleteStr=2013%20BCSC%201022&amp;autocompletePos=1" TargetMode="External"/><Relationship Id="rId44" Type="http://schemas.openxmlformats.org/officeDocument/2006/relationships/hyperlink" Target="http://www.canlii.org/fr/qc/qcca/doc/2015/2015qcca152/2015qcca152.html?autocompleteStr=2015%20QCCA%20152&amp;autocompletePos=1"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eng.aspx?cas=36410" TargetMode="External"/><Relationship Id="rId14" Type="http://schemas.openxmlformats.org/officeDocument/2006/relationships/hyperlink" Target="http://www.scc-csc.ca/case-dossier/info/sum-som-eng.aspx?cas=36423" TargetMode="External"/><Relationship Id="rId22" Type="http://schemas.openxmlformats.org/officeDocument/2006/relationships/hyperlink" Target="http://canlii.ca/t/gfzgv" TargetMode="External"/><Relationship Id="rId27" Type="http://schemas.openxmlformats.org/officeDocument/2006/relationships/hyperlink" Target="http://canlii.ca/t/fl7d8" TargetMode="External"/><Relationship Id="rId30" Type="http://schemas.openxmlformats.org/officeDocument/2006/relationships/hyperlink" Target="http://canlii.ca/t/ggqbx" TargetMode="External"/><Relationship Id="rId35" Type="http://schemas.openxmlformats.org/officeDocument/2006/relationships/hyperlink" Target="http://www.canlii.org/fr/qc/qccs/doc/2013/2013qccs4402/2013qccs4402.html?autocompleteStr=2013%20qccs%204402&amp;autocompletePos=1" TargetMode="External"/><Relationship Id="rId43" Type="http://schemas.openxmlformats.org/officeDocument/2006/relationships/hyperlink" Target="http://www.canlii.org/fr/qc/qccs/doc/2013/2013qccs6397/2013qccs6397.html?autocompleteStr=2013%20QCCS%206397&amp;autocompletePos=1" TargetMode="External"/><Relationship Id="rId48" Type="http://schemas.openxmlformats.org/officeDocument/2006/relationships/header" Target="header1.xml"/><Relationship Id="rId8" Type="http://schemas.openxmlformats.org/officeDocument/2006/relationships/hyperlink" Target="http://www.scc-csc.ca/case-dossier/info/sum-som-eng.aspx?cas=36396"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55ABC-E00E-4A40-A15F-80086321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6259</Words>
  <Characters>35679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41855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2015-09-08T13:36:00Z</dcterms:created>
  <dcterms:modified xsi:type="dcterms:W3CDTF">2015-11-27T15:11:00Z</dcterms:modified>
</cp:coreProperties>
</file>