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DD38CB" w:rsidRDefault="001C4415" w:rsidP="001C4415">
      <w:pPr>
        <w:pStyle w:val="Header"/>
        <w:jc w:val="center"/>
        <w:rPr>
          <w:b/>
          <w:sz w:val="32"/>
        </w:rPr>
      </w:pPr>
      <w:bookmarkStart w:id="0" w:name="_GoBack"/>
      <w:bookmarkEnd w:id="0"/>
      <w:r w:rsidRPr="00DD38CB">
        <w:rPr>
          <w:b/>
          <w:sz w:val="32"/>
        </w:rPr>
        <w:t xml:space="preserve">Supreme Court of Canada / Cour </w:t>
      </w:r>
      <w:proofErr w:type="spellStart"/>
      <w:r w:rsidRPr="00DD38CB">
        <w:rPr>
          <w:b/>
          <w:sz w:val="32"/>
        </w:rPr>
        <w:t>suprême</w:t>
      </w:r>
      <w:proofErr w:type="spellEnd"/>
      <w:r w:rsidRPr="00DD38CB">
        <w:rPr>
          <w:b/>
          <w:sz w:val="32"/>
        </w:rPr>
        <w:t xml:space="preserve"> du Canada</w:t>
      </w:r>
    </w:p>
    <w:p w:rsidR="001C4415" w:rsidRPr="00DD38CB" w:rsidRDefault="001C4415" w:rsidP="001C4415">
      <w:pPr>
        <w:widowControl w:val="0"/>
        <w:rPr>
          <w:i/>
        </w:rPr>
      </w:pPr>
    </w:p>
    <w:p w:rsidR="001C4415" w:rsidRPr="00DD38CB" w:rsidRDefault="001C4415" w:rsidP="001C4415">
      <w:pPr>
        <w:widowControl w:val="0"/>
        <w:rPr>
          <w:i/>
        </w:rPr>
      </w:pPr>
    </w:p>
    <w:p w:rsidR="001C4415" w:rsidRPr="00DD38CB" w:rsidRDefault="001C4415" w:rsidP="001C4415">
      <w:pPr>
        <w:widowControl w:val="0"/>
        <w:rPr>
          <w:i/>
        </w:rPr>
      </w:pPr>
      <w:r w:rsidRPr="00DD38CB">
        <w:rPr>
          <w:i/>
        </w:rPr>
        <w:t xml:space="preserve">(le </w:t>
      </w:r>
      <w:proofErr w:type="spellStart"/>
      <w:r w:rsidRPr="00DD38CB">
        <w:rPr>
          <w:i/>
        </w:rPr>
        <w:t>français</w:t>
      </w:r>
      <w:proofErr w:type="spellEnd"/>
      <w:r w:rsidRPr="00DD38CB">
        <w:rPr>
          <w:i/>
        </w:rPr>
        <w:t xml:space="preserve"> suit)</w:t>
      </w:r>
    </w:p>
    <w:p w:rsidR="001C4415" w:rsidRPr="00DD38CB" w:rsidRDefault="001C4415" w:rsidP="001C4415">
      <w:pPr>
        <w:widowControl w:val="0"/>
      </w:pPr>
    </w:p>
    <w:p w:rsidR="001C4415" w:rsidRPr="00DD38CB" w:rsidRDefault="000347C1" w:rsidP="00214729">
      <w:pPr>
        <w:widowControl w:val="0"/>
        <w:jc w:val="center"/>
        <w:rPr>
          <w:b/>
        </w:rPr>
      </w:pPr>
      <w:r w:rsidRPr="00DD38CB">
        <w:fldChar w:fldCharType="begin"/>
      </w:r>
      <w:r w:rsidR="00FA7412" w:rsidRPr="00DD38CB">
        <w:instrText xml:space="preserve"> SEQ CHAPTER \h \r 1</w:instrText>
      </w:r>
      <w:r w:rsidRPr="00DD38CB">
        <w:fldChar w:fldCharType="end"/>
      </w:r>
      <w:r w:rsidR="00455BB9" w:rsidRPr="00DD38CB">
        <w:rPr>
          <w:b/>
        </w:rPr>
        <w:t>JUDGMENT</w:t>
      </w:r>
      <w:r w:rsidR="00072A63" w:rsidRPr="00DD38CB">
        <w:rPr>
          <w:b/>
        </w:rPr>
        <w:t>S</w:t>
      </w:r>
      <w:r w:rsidR="00FA7412" w:rsidRPr="00DD38CB">
        <w:rPr>
          <w:b/>
        </w:rPr>
        <w:t xml:space="preserve"> TO BE RENDERED IN APPEAL</w:t>
      </w:r>
      <w:r w:rsidR="00072A63" w:rsidRPr="00DD38CB">
        <w:rPr>
          <w:b/>
        </w:rPr>
        <w:t>S</w:t>
      </w:r>
    </w:p>
    <w:p w:rsidR="005A7C1B" w:rsidRPr="00DD38CB" w:rsidRDefault="005A7C1B" w:rsidP="005A7C1B">
      <w:pPr>
        <w:widowControl w:val="0"/>
        <w:rPr>
          <w:b/>
        </w:rPr>
      </w:pPr>
    </w:p>
    <w:p w:rsidR="00EC79B0" w:rsidRPr="00DD38CB" w:rsidRDefault="00087122" w:rsidP="00EC79B0">
      <w:pPr>
        <w:widowControl w:val="0"/>
        <w:rPr>
          <w:b/>
        </w:rPr>
      </w:pPr>
      <w:r w:rsidRPr="00DD38CB">
        <w:rPr>
          <w:b/>
        </w:rPr>
        <w:t>November 10</w:t>
      </w:r>
      <w:r w:rsidR="00EC79B0" w:rsidRPr="00DD38CB">
        <w:rPr>
          <w:b/>
        </w:rPr>
        <w:t>, 201</w:t>
      </w:r>
      <w:r w:rsidR="0086609D" w:rsidRPr="00DD38CB">
        <w:rPr>
          <w:b/>
        </w:rPr>
        <w:t>5</w:t>
      </w:r>
    </w:p>
    <w:p w:rsidR="00EC79B0" w:rsidRPr="00DD38CB" w:rsidRDefault="00EC79B0" w:rsidP="00EC79B0">
      <w:pPr>
        <w:widowControl w:val="0"/>
        <w:rPr>
          <w:b/>
        </w:rPr>
      </w:pPr>
      <w:r w:rsidRPr="00DD38CB">
        <w:rPr>
          <w:b/>
        </w:rPr>
        <w:t>For immediate release</w:t>
      </w:r>
    </w:p>
    <w:p w:rsidR="00EC79B0" w:rsidRPr="00DD38CB" w:rsidRDefault="00EC79B0" w:rsidP="00EC79B0">
      <w:pPr>
        <w:widowControl w:val="0"/>
      </w:pPr>
    </w:p>
    <w:p w:rsidR="00EC79B0" w:rsidRPr="00DD38CB" w:rsidRDefault="00EC79B0" w:rsidP="00EC79B0">
      <w:pPr>
        <w:widowControl w:val="0"/>
        <w:rPr>
          <w:lang w:val="fr-CA"/>
        </w:rPr>
      </w:pPr>
      <w:r w:rsidRPr="00DD38CB">
        <w:rPr>
          <w:b/>
        </w:rPr>
        <w:t>OTTAWA</w:t>
      </w:r>
      <w:r w:rsidRPr="00DD38CB">
        <w:t xml:space="preserve"> – The Supreme Court of Canad</w:t>
      </w:r>
      <w:r w:rsidR="00455BB9" w:rsidRPr="00DD38CB">
        <w:t>a announced today that judgment</w:t>
      </w:r>
      <w:r w:rsidRPr="00DD38CB">
        <w:t xml:space="preserve"> in the following appeal</w:t>
      </w:r>
      <w:r w:rsidR="00072A63" w:rsidRPr="00DD38CB">
        <w:t>s</w:t>
      </w:r>
      <w:r w:rsidRPr="00DD38CB">
        <w:t xml:space="preserve"> will be delivered at 9:45 a.m. E</w:t>
      </w:r>
      <w:r w:rsidR="00087122" w:rsidRPr="00DD38CB">
        <w:t>S</w:t>
      </w:r>
      <w:r w:rsidR="00DC6C1E" w:rsidRPr="00DD38CB">
        <w:t>T</w:t>
      </w:r>
      <w:r w:rsidR="00D74667" w:rsidRPr="00DD38CB">
        <w:t xml:space="preserve"> on</w:t>
      </w:r>
      <w:r w:rsidR="00DC6C1E" w:rsidRPr="00DD38CB">
        <w:t xml:space="preserve"> </w:t>
      </w:r>
      <w:r w:rsidR="000A7900" w:rsidRPr="00DD38CB">
        <w:t xml:space="preserve">Friday, </w:t>
      </w:r>
      <w:r w:rsidR="00087122" w:rsidRPr="00DD38CB">
        <w:t>November 13</w:t>
      </w:r>
      <w:r w:rsidR="00E63199" w:rsidRPr="00DD38CB">
        <w:t>, 2</w:t>
      </w:r>
      <w:r w:rsidR="0086609D" w:rsidRPr="00DD38CB">
        <w:t>015</w:t>
      </w:r>
      <w:r w:rsidR="00455BB9" w:rsidRPr="00DD38CB">
        <w:t xml:space="preserve">.  </w:t>
      </w:r>
      <w:r w:rsidR="00455BB9" w:rsidRPr="00DD38CB">
        <w:rPr>
          <w:lang w:val="fr-CA"/>
        </w:rPr>
        <w:t>This</w:t>
      </w:r>
      <w:r w:rsidRPr="00DD38CB">
        <w:rPr>
          <w:lang w:val="fr-CA"/>
        </w:rPr>
        <w:t xml:space="preserve"> </w:t>
      </w:r>
      <w:proofErr w:type="spellStart"/>
      <w:r w:rsidRPr="00DD38CB">
        <w:rPr>
          <w:lang w:val="fr-CA"/>
        </w:rPr>
        <w:t>list</w:t>
      </w:r>
      <w:proofErr w:type="spellEnd"/>
      <w:r w:rsidRPr="00DD38CB">
        <w:rPr>
          <w:lang w:val="fr-CA"/>
        </w:rPr>
        <w:t xml:space="preserve"> </w:t>
      </w:r>
      <w:proofErr w:type="spellStart"/>
      <w:r w:rsidRPr="00DD38CB">
        <w:rPr>
          <w:lang w:val="fr-CA"/>
        </w:rPr>
        <w:t>is</w:t>
      </w:r>
      <w:proofErr w:type="spellEnd"/>
      <w:r w:rsidRPr="00DD38CB">
        <w:rPr>
          <w:lang w:val="fr-CA"/>
        </w:rPr>
        <w:t xml:space="preserve"> </w:t>
      </w:r>
      <w:proofErr w:type="spellStart"/>
      <w:r w:rsidRPr="00DD38CB">
        <w:rPr>
          <w:lang w:val="fr-CA"/>
        </w:rPr>
        <w:t>subject</w:t>
      </w:r>
      <w:proofErr w:type="spellEnd"/>
      <w:r w:rsidRPr="00DD38CB">
        <w:rPr>
          <w:lang w:val="fr-CA"/>
        </w:rPr>
        <w:t xml:space="preserve"> to change.</w:t>
      </w:r>
    </w:p>
    <w:p w:rsidR="001C4415" w:rsidRPr="00DD38CB" w:rsidRDefault="001C4415" w:rsidP="001C4415">
      <w:pPr>
        <w:widowControl w:val="0"/>
        <w:rPr>
          <w:lang w:val="fr-CA"/>
        </w:rPr>
      </w:pPr>
    </w:p>
    <w:p w:rsidR="001C4415" w:rsidRPr="00DD38CB" w:rsidRDefault="001C4415" w:rsidP="001C4415">
      <w:pPr>
        <w:widowControl w:val="0"/>
        <w:rPr>
          <w:lang w:val="fr-CA"/>
        </w:rPr>
      </w:pPr>
    </w:p>
    <w:p w:rsidR="001335A1" w:rsidRPr="00DD38CB" w:rsidRDefault="001335A1" w:rsidP="001335A1">
      <w:pPr>
        <w:widowControl w:val="0"/>
        <w:jc w:val="center"/>
        <w:rPr>
          <w:b/>
          <w:lang w:val="fr-CA"/>
        </w:rPr>
      </w:pPr>
      <w:r w:rsidRPr="00DD38CB">
        <w:rPr>
          <w:b/>
          <w:lang w:val="fr-CA"/>
        </w:rPr>
        <w:t>PROCHAIN</w:t>
      </w:r>
      <w:r w:rsidR="00072A63" w:rsidRPr="00DD38CB">
        <w:rPr>
          <w:b/>
          <w:lang w:val="fr-CA"/>
        </w:rPr>
        <w:t>S</w:t>
      </w:r>
      <w:r w:rsidRPr="00DD38CB">
        <w:rPr>
          <w:b/>
          <w:lang w:val="fr-CA"/>
        </w:rPr>
        <w:t xml:space="preserve"> JUGEMENT</w:t>
      </w:r>
      <w:r w:rsidR="00072A63" w:rsidRPr="00DD38CB">
        <w:rPr>
          <w:b/>
          <w:lang w:val="fr-CA"/>
        </w:rPr>
        <w:t>S</w:t>
      </w:r>
      <w:r w:rsidR="00455BB9" w:rsidRPr="00DD38CB">
        <w:rPr>
          <w:b/>
          <w:lang w:val="fr-CA"/>
        </w:rPr>
        <w:t xml:space="preserve"> SUR APPEL</w:t>
      </w:r>
      <w:r w:rsidR="00131418" w:rsidRPr="00DD38CB">
        <w:rPr>
          <w:b/>
          <w:lang w:val="fr-CA"/>
        </w:rPr>
        <w:t>S</w:t>
      </w:r>
    </w:p>
    <w:p w:rsidR="001335A1" w:rsidRPr="00DD38CB" w:rsidRDefault="001335A1" w:rsidP="001335A1">
      <w:pPr>
        <w:widowControl w:val="0"/>
        <w:rPr>
          <w:lang w:val="fr-CA"/>
        </w:rPr>
      </w:pPr>
    </w:p>
    <w:p w:rsidR="00EC79B0" w:rsidRPr="00DD38CB" w:rsidRDefault="00EC79B0" w:rsidP="00EC79B0">
      <w:pPr>
        <w:widowControl w:val="0"/>
        <w:rPr>
          <w:b/>
          <w:lang w:val="fr-CA"/>
        </w:rPr>
      </w:pPr>
      <w:r w:rsidRPr="00DD38CB">
        <w:rPr>
          <w:b/>
          <w:lang w:val="fr-CA"/>
        </w:rPr>
        <w:t xml:space="preserve">Le </w:t>
      </w:r>
      <w:r w:rsidR="00087122" w:rsidRPr="00DD38CB">
        <w:rPr>
          <w:b/>
          <w:lang w:val="fr-CA"/>
        </w:rPr>
        <w:t>10 novembre</w:t>
      </w:r>
      <w:r w:rsidR="000A7900" w:rsidRPr="00DD38CB">
        <w:rPr>
          <w:b/>
          <w:lang w:val="fr-CA"/>
        </w:rPr>
        <w:t xml:space="preserve"> </w:t>
      </w:r>
      <w:r w:rsidR="0086609D" w:rsidRPr="00DD38CB">
        <w:rPr>
          <w:b/>
          <w:lang w:val="fr-CA"/>
        </w:rPr>
        <w:t>2015</w:t>
      </w:r>
    </w:p>
    <w:p w:rsidR="00EC79B0" w:rsidRPr="00DD38CB" w:rsidRDefault="00EC79B0" w:rsidP="00EC79B0">
      <w:pPr>
        <w:widowControl w:val="0"/>
        <w:rPr>
          <w:b/>
          <w:lang w:val="fr-CA"/>
        </w:rPr>
      </w:pPr>
      <w:r w:rsidRPr="00DD38CB">
        <w:rPr>
          <w:b/>
          <w:lang w:val="fr-CA"/>
        </w:rPr>
        <w:t>Pour diffusion immédiate</w:t>
      </w:r>
    </w:p>
    <w:p w:rsidR="00EC79B0" w:rsidRPr="00DD38CB" w:rsidRDefault="00EC79B0" w:rsidP="00EC79B0">
      <w:pPr>
        <w:widowControl w:val="0"/>
        <w:rPr>
          <w:b/>
          <w:lang w:val="fr-CA"/>
        </w:rPr>
      </w:pPr>
    </w:p>
    <w:p w:rsidR="00EC79B0" w:rsidRPr="00DD38CB" w:rsidRDefault="00EC79B0" w:rsidP="00EC79B0">
      <w:pPr>
        <w:widowControl w:val="0"/>
      </w:pPr>
      <w:r w:rsidRPr="00DD38CB">
        <w:rPr>
          <w:b/>
          <w:lang w:val="fr-CA"/>
        </w:rPr>
        <w:t>OTTAWA</w:t>
      </w:r>
      <w:r w:rsidRPr="00DD38CB">
        <w:rPr>
          <w:lang w:val="fr-CA"/>
        </w:rPr>
        <w:t xml:space="preserve"> – La Cour suprême du Canada annonce que jugement sera rendu dans l</w:t>
      </w:r>
      <w:r w:rsidR="00072A63" w:rsidRPr="00DD38CB">
        <w:rPr>
          <w:lang w:val="fr-CA"/>
        </w:rPr>
        <w:t xml:space="preserve">es </w:t>
      </w:r>
      <w:r w:rsidRPr="00DD38CB">
        <w:rPr>
          <w:lang w:val="fr-CA"/>
        </w:rPr>
        <w:t>appel</w:t>
      </w:r>
      <w:r w:rsidR="00072A63" w:rsidRPr="00DD38CB">
        <w:rPr>
          <w:lang w:val="fr-CA"/>
        </w:rPr>
        <w:t>s</w:t>
      </w:r>
      <w:r w:rsidRPr="00DD38CB">
        <w:rPr>
          <w:lang w:val="fr-CA"/>
        </w:rPr>
        <w:t xml:space="preserve"> suivant</w:t>
      </w:r>
      <w:r w:rsidR="00072A63" w:rsidRPr="00DD38CB">
        <w:rPr>
          <w:lang w:val="fr-CA"/>
        </w:rPr>
        <w:t>s</w:t>
      </w:r>
      <w:r w:rsidRPr="00DD38CB">
        <w:rPr>
          <w:lang w:val="fr-CA"/>
        </w:rPr>
        <w:t xml:space="preserve"> le </w:t>
      </w:r>
      <w:r w:rsidR="000A7900" w:rsidRPr="00DD38CB">
        <w:rPr>
          <w:lang w:val="fr-CA"/>
        </w:rPr>
        <w:t xml:space="preserve">vendredi </w:t>
      </w:r>
      <w:r w:rsidR="00087122" w:rsidRPr="00DD38CB">
        <w:rPr>
          <w:lang w:val="fr-CA"/>
        </w:rPr>
        <w:t>13 novembre</w:t>
      </w:r>
      <w:r w:rsidR="00282563" w:rsidRPr="00DD38CB">
        <w:rPr>
          <w:lang w:val="fr-CA"/>
        </w:rPr>
        <w:t xml:space="preserve"> </w:t>
      </w:r>
      <w:r w:rsidRPr="00DD38CB">
        <w:rPr>
          <w:lang w:val="fr-CA"/>
        </w:rPr>
        <w:t>201</w:t>
      </w:r>
      <w:r w:rsidR="0086609D" w:rsidRPr="00DD38CB">
        <w:rPr>
          <w:lang w:val="fr-CA"/>
        </w:rPr>
        <w:t>5</w:t>
      </w:r>
      <w:r w:rsidRPr="00DD38CB">
        <w:rPr>
          <w:lang w:val="fr-CA"/>
        </w:rPr>
        <w:t>, à 9 h 45 H</w:t>
      </w:r>
      <w:r w:rsidR="00087122" w:rsidRPr="00DD38CB">
        <w:rPr>
          <w:lang w:val="fr-CA"/>
        </w:rPr>
        <w:t>N</w:t>
      </w:r>
      <w:r w:rsidRPr="00DD38CB">
        <w:rPr>
          <w:lang w:val="fr-CA"/>
        </w:rPr>
        <w:t xml:space="preserve">E.  </w:t>
      </w:r>
      <w:proofErr w:type="spellStart"/>
      <w:r w:rsidRPr="00DD38CB">
        <w:t>Cette</w:t>
      </w:r>
      <w:proofErr w:type="spellEnd"/>
      <w:r w:rsidRPr="00DD38CB">
        <w:t xml:space="preserve"> </w:t>
      </w:r>
      <w:proofErr w:type="spellStart"/>
      <w:r w:rsidRPr="00DD38CB">
        <w:t>liste</w:t>
      </w:r>
      <w:proofErr w:type="spellEnd"/>
      <w:r w:rsidRPr="00DD38CB">
        <w:t xml:space="preserve"> est </w:t>
      </w:r>
      <w:proofErr w:type="spellStart"/>
      <w:r w:rsidRPr="00DD38CB">
        <w:t>sujette</w:t>
      </w:r>
      <w:proofErr w:type="spellEnd"/>
      <w:r w:rsidRPr="00DD38CB">
        <w:t xml:space="preserve"> à modifications.</w:t>
      </w:r>
    </w:p>
    <w:p w:rsidR="001335A1" w:rsidRPr="00DD38CB" w:rsidRDefault="001335A1" w:rsidP="001335A1">
      <w:pPr>
        <w:widowControl w:val="0"/>
        <w:rPr>
          <w:sz w:val="20"/>
        </w:rPr>
      </w:pPr>
    </w:p>
    <w:p w:rsidR="001335A1" w:rsidRPr="00DD38CB" w:rsidRDefault="005C7A4F" w:rsidP="001335A1">
      <w:pPr>
        <w:widowControl w:val="0"/>
        <w:rPr>
          <w:sz w:val="20"/>
        </w:rPr>
      </w:pPr>
      <w:r w:rsidRPr="00DD38C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0A7900" w:rsidRPr="00DD38CB" w:rsidRDefault="000A7900" w:rsidP="000A7900">
      <w:pPr>
        <w:jc w:val="both"/>
      </w:pPr>
    </w:p>
    <w:p w:rsidR="00087122" w:rsidRPr="00DD38CB" w:rsidRDefault="00087122" w:rsidP="00087122">
      <w:pPr>
        <w:jc w:val="both"/>
        <w:rPr>
          <w:lang w:val="en-GB"/>
        </w:rPr>
      </w:pPr>
      <w:r w:rsidRPr="00DD38CB">
        <w:rPr>
          <w:i/>
          <w:lang w:val="en-GB"/>
        </w:rPr>
        <w:t>407 ETR Concession Company Limited v. Superintendent of Bankruptcy</w:t>
      </w:r>
      <w:r w:rsidRPr="00DD38CB">
        <w:rPr>
          <w:lang w:val="en-GB"/>
        </w:rPr>
        <w:t xml:space="preserve"> (Ont.) (</w:t>
      </w:r>
      <w:hyperlink r:id="rId8" w:history="1">
        <w:r w:rsidRPr="00DD38CB">
          <w:rPr>
            <w:rStyle w:val="Hyperlink"/>
            <w:lang w:val="en-GB"/>
          </w:rPr>
          <w:t>35696</w:t>
        </w:r>
      </w:hyperlink>
      <w:r w:rsidRPr="00DD38CB">
        <w:rPr>
          <w:lang w:val="en-GB"/>
        </w:rPr>
        <w:t>)</w:t>
      </w:r>
    </w:p>
    <w:p w:rsidR="00087122" w:rsidRPr="00DD38CB" w:rsidRDefault="00087122" w:rsidP="00087122">
      <w:pPr>
        <w:jc w:val="both"/>
        <w:rPr>
          <w:lang w:val="en-GB"/>
        </w:rPr>
      </w:pPr>
    </w:p>
    <w:p w:rsidR="00087122" w:rsidRPr="00DD38CB" w:rsidRDefault="00087122" w:rsidP="00087122">
      <w:pPr>
        <w:jc w:val="both"/>
        <w:rPr>
          <w:lang w:val="en-GB"/>
        </w:rPr>
      </w:pPr>
      <w:r w:rsidRPr="00DD38CB">
        <w:rPr>
          <w:i/>
          <w:lang w:val="en-GB"/>
        </w:rPr>
        <w:t xml:space="preserve">Attorney General of Alberta v. Joseph William </w:t>
      </w:r>
      <w:proofErr w:type="spellStart"/>
      <w:r w:rsidRPr="00DD38CB">
        <w:rPr>
          <w:i/>
          <w:lang w:val="en-GB"/>
        </w:rPr>
        <w:t>Moloney</w:t>
      </w:r>
      <w:proofErr w:type="spellEnd"/>
      <w:r w:rsidRPr="00DD38CB">
        <w:rPr>
          <w:lang w:val="en-GB"/>
        </w:rPr>
        <w:t xml:space="preserve"> (Alta.) (</w:t>
      </w:r>
      <w:hyperlink r:id="rId9" w:history="1">
        <w:r w:rsidRPr="00DD38CB">
          <w:rPr>
            <w:rStyle w:val="Hyperlink"/>
            <w:lang w:val="en-GB"/>
          </w:rPr>
          <w:t>35820</w:t>
        </w:r>
      </w:hyperlink>
      <w:r w:rsidRPr="00DD38CB">
        <w:rPr>
          <w:lang w:val="en-GB"/>
        </w:rPr>
        <w:t>)</w:t>
      </w:r>
    </w:p>
    <w:p w:rsidR="00087122" w:rsidRPr="00DD38CB" w:rsidRDefault="00087122" w:rsidP="00087122">
      <w:pPr>
        <w:jc w:val="both"/>
        <w:rPr>
          <w:lang w:val="en-GB"/>
        </w:rPr>
      </w:pPr>
    </w:p>
    <w:p w:rsidR="00087122" w:rsidRPr="00DD38CB" w:rsidRDefault="00087122" w:rsidP="00087122">
      <w:pPr>
        <w:jc w:val="both"/>
        <w:rPr>
          <w:lang w:val="en-GB"/>
        </w:rPr>
      </w:pPr>
      <w:r w:rsidRPr="00DD38CB">
        <w:rPr>
          <w:i/>
          <w:lang w:val="en-GB"/>
        </w:rPr>
        <w:t xml:space="preserve">Attorney General for Saskatchewan v. </w:t>
      </w:r>
      <w:proofErr w:type="spellStart"/>
      <w:r w:rsidRPr="00DD38CB">
        <w:rPr>
          <w:i/>
          <w:lang w:val="en-GB"/>
        </w:rPr>
        <w:t>Lemare</w:t>
      </w:r>
      <w:proofErr w:type="spellEnd"/>
      <w:r w:rsidRPr="00DD38CB">
        <w:rPr>
          <w:i/>
          <w:lang w:val="en-GB"/>
        </w:rPr>
        <w:t xml:space="preserve"> Lake Logging Ltd. </w:t>
      </w:r>
      <w:r w:rsidRPr="00DD38CB">
        <w:rPr>
          <w:lang w:val="en-GB"/>
        </w:rPr>
        <w:t>(Sask.) (</w:t>
      </w:r>
      <w:hyperlink r:id="rId10" w:history="1">
        <w:r w:rsidRPr="00DD38CB">
          <w:rPr>
            <w:rStyle w:val="Hyperlink"/>
            <w:lang w:val="en-GB"/>
          </w:rPr>
          <w:t>35923</w:t>
        </w:r>
      </w:hyperlink>
      <w:r w:rsidRPr="00DD38CB">
        <w:rPr>
          <w:lang w:val="en-GB"/>
        </w:rPr>
        <w:t>)</w:t>
      </w:r>
    </w:p>
    <w:p w:rsidR="00087122" w:rsidRPr="00DD38CB" w:rsidRDefault="00087122" w:rsidP="000A7900">
      <w:pPr>
        <w:jc w:val="both"/>
        <w:rPr>
          <w:sz w:val="20"/>
        </w:rPr>
      </w:pPr>
    </w:p>
    <w:p w:rsidR="00282563" w:rsidRPr="00DD38CB" w:rsidRDefault="00282563" w:rsidP="000A7900">
      <w:pPr>
        <w:jc w:val="both"/>
        <w:rPr>
          <w:sz w:val="20"/>
        </w:rPr>
      </w:pPr>
    </w:p>
    <w:p w:rsidR="00072A63" w:rsidRPr="00DD38CB" w:rsidRDefault="00072A63" w:rsidP="00EC79B0">
      <w:pPr>
        <w:jc w:val="both"/>
        <w:rPr>
          <w:sz w:val="20"/>
        </w:rPr>
      </w:pPr>
    </w:p>
    <w:bookmarkStart w:id="1" w:name="1"/>
    <w:bookmarkEnd w:id="1"/>
    <w:p w:rsidR="00461EEE" w:rsidRPr="00DD38CB" w:rsidRDefault="00461EEE" w:rsidP="00FF3224">
      <w:pPr>
        <w:widowControl w:val="0"/>
        <w:ind w:left="720" w:hanging="720"/>
        <w:contextualSpacing/>
        <w:jc w:val="both"/>
        <w:rPr>
          <w:sz w:val="20"/>
          <w:lang w:val="en-CA"/>
        </w:rPr>
      </w:pPr>
      <w:r w:rsidRPr="00DD38CB">
        <w:rPr>
          <w:b/>
          <w:sz w:val="20"/>
          <w:lang w:val="en-CA"/>
        </w:rPr>
        <w:fldChar w:fldCharType="begin"/>
      </w:r>
      <w:r w:rsidRPr="00DD38CB">
        <w:rPr>
          <w:b/>
          <w:sz w:val="20"/>
        </w:rPr>
        <w:instrText xml:space="preserve"> SEQ CHAPTER \h \r 1</w:instrText>
      </w:r>
      <w:r w:rsidRPr="00DD38CB">
        <w:rPr>
          <w:b/>
          <w:sz w:val="20"/>
        </w:rPr>
        <w:fldChar w:fldCharType="end"/>
      </w:r>
      <w:r w:rsidRPr="00DD38CB">
        <w:rPr>
          <w:b/>
          <w:sz w:val="20"/>
          <w:lang w:val="en-CA"/>
        </w:rPr>
        <w:t>35696</w:t>
      </w:r>
      <w:r w:rsidRPr="00DD38CB">
        <w:rPr>
          <w:sz w:val="20"/>
          <w:lang w:val="en-CA"/>
        </w:rPr>
        <w:tab/>
      </w:r>
      <w:bookmarkStart w:id="2" w:name="3"/>
      <w:bookmarkEnd w:id="2"/>
      <w:r w:rsidRPr="00DD38CB">
        <w:rPr>
          <w:b/>
          <w:i/>
          <w:sz w:val="20"/>
          <w:lang w:val="en-CA"/>
        </w:rPr>
        <w:t xml:space="preserve">407 </w:t>
      </w:r>
      <w:r w:rsidRPr="00DD38CB">
        <w:rPr>
          <w:b/>
          <w:i/>
          <w:sz w:val="20"/>
        </w:rPr>
        <w:t>ETR</w:t>
      </w:r>
      <w:r w:rsidRPr="00DD38CB">
        <w:rPr>
          <w:b/>
          <w:i/>
          <w:sz w:val="20"/>
          <w:lang w:val="en-CA"/>
        </w:rPr>
        <w:t xml:space="preserve"> Concession Company Ltd. v. Superintendent of Bankruptcy</w:t>
      </w:r>
    </w:p>
    <w:p w:rsidR="00461EEE" w:rsidRPr="00DD38CB" w:rsidRDefault="00461EEE">
      <w:pPr>
        <w:widowControl w:val="0"/>
        <w:jc w:val="both"/>
        <w:rPr>
          <w:sz w:val="20"/>
          <w:lang w:val="en-CA"/>
        </w:rPr>
      </w:pPr>
    </w:p>
    <w:p w:rsidR="00461EEE" w:rsidRPr="00DD38CB" w:rsidRDefault="00461EEE" w:rsidP="004127FA">
      <w:pPr>
        <w:ind w:right="159"/>
        <w:jc w:val="both"/>
        <w:rPr>
          <w:sz w:val="20"/>
        </w:rPr>
      </w:pPr>
      <w:bookmarkStart w:id="3" w:name="QuickMark_1"/>
      <w:bookmarkEnd w:id="3"/>
      <w:r w:rsidRPr="00DD38CB">
        <w:rPr>
          <w:sz w:val="20"/>
        </w:rPr>
        <w:t xml:space="preserve">Constitutional Law - Federal paramountcy - Ontario’s </w:t>
      </w:r>
      <w:r w:rsidRPr="00DD38CB">
        <w:rPr>
          <w:color w:val="000000"/>
          <w:sz w:val="20"/>
        </w:rPr>
        <w:t xml:space="preserve">Registrar of Motor Vehicles shall refuse to validate or issue a person’s motor vehicle permit upon receipt of notice that the person has not paid toll, fees or interest owing for use of privately-owned toll highway </w:t>
      </w:r>
      <w:r w:rsidRPr="00DD38CB">
        <w:rPr>
          <w:sz w:val="20"/>
        </w:rPr>
        <w:t xml:space="preserve">- </w:t>
      </w:r>
      <w:r w:rsidRPr="00DD38CB">
        <w:rPr>
          <w:color w:val="000000"/>
          <w:sz w:val="20"/>
        </w:rPr>
        <w:t xml:space="preserve">Whether enforcement power can be applied to a debt owed to owner of highway that was discharged in bankruptcy proceedings </w:t>
      </w:r>
      <w:r w:rsidRPr="00DD38CB">
        <w:rPr>
          <w:sz w:val="20"/>
        </w:rPr>
        <w:t xml:space="preserve">- Whether purpose or merits of a provincial law are relevant to determining whether provincial law conflicts with federal law - Whether Court of Appeal defined scope and purpose of the Bankruptcy and Insolvency Act overly broadly - Whether Parliament may compel provinces to issue provincial </w:t>
      </w:r>
      <w:proofErr w:type="spellStart"/>
      <w:r w:rsidRPr="00DD38CB">
        <w:rPr>
          <w:sz w:val="20"/>
        </w:rPr>
        <w:t>licences</w:t>
      </w:r>
      <w:proofErr w:type="spellEnd"/>
      <w:r w:rsidRPr="00DD38CB">
        <w:rPr>
          <w:sz w:val="20"/>
        </w:rPr>
        <w:t xml:space="preserve"> and permits to discharged bankrupts - </w:t>
      </w:r>
      <w:r w:rsidRPr="00DD38CB">
        <w:rPr>
          <w:iCs/>
          <w:sz w:val="20"/>
        </w:rPr>
        <w:t xml:space="preserve">Highway 407 Act, </w:t>
      </w:r>
      <w:r w:rsidRPr="00DD38CB">
        <w:rPr>
          <w:sz w:val="20"/>
        </w:rPr>
        <w:t xml:space="preserve">1998, S.O. 1998, c.28, s. 22(4), </w:t>
      </w:r>
      <w:r w:rsidRPr="00DD38CB">
        <w:rPr>
          <w:iCs/>
          <w:sz w:val="20"/>
        </w:rPr>
        <w:t xml:space="preserve">Bankruptcy and Insolvency Act, </w:t>
      </w:r>
      <w:r w:rsidRPr="00DD38CB">
        <w:rPr>
          <w:sz w:val="20"/>
        </w:rPr>
        <w:t xml:space="preserve">R.S.C. 1985, c. B-3. </w:t>
      </w:r>
      <w:r w:rsidRPr="00DD38CB">
        <w:rPr>
          <w:color w:val="000000"/>
          <w:sz w:val="20"/>
        </w:rPr>
        <w:t xml:space="preserve">  </w:t>
      </w:r>
    </w:p>
    <w:p w:rsidR="00461EEE" w:rsidRPr="00DD38CB" w:rsidRDefault="00461EEE">
      <w:pPr>
        <w:widowControl w:val="0"/>
        <w:jc w:val="both"/>
        <w:rPr>
          <w:sz w:val="20"/>
        </w:rPr>
      </w:pPr>
    </w:p>
    <w:p w:rsidR="00461EEE" w:rsidRPr="00DD38CB" w:rsidRDefault="00461EEE" w:rsidP="0079368F">
      <w:pPr>
        <w:jc w:val="both"/>
        <w:rPr>
          <w:sz w:val="20"/>
        </w:rPr>
      </w:pPr>
      <w:r w:rsidRPr="00DD38CB">
        <w:rPr>
          <w:sz w:val="20"/>
        </w:rPr>
        <w:t xml:space="preserve">Matthew Moore owed the appellant debt for use of its toll highway.  Pursuant to the appellant’s enforcement powers under s. 22(4) of the </w:t>
      </w:r>
      <w:hyperlink r:id="rId11" w:history="1">
        <w:r w:rsidRPr="00DD38CB">
          <w:rPr>
            <w:i/>
            <w:sz w:val="20"/>
          </w:rPr>
          <w:t>Highway 407 Act, 1998</w:t>
        </w:r>
        <w:r w:rsidRPr="00DD38CB">
          <w:rPr>
            <w:sz w:val="20"/>
          </w:rPr>
          <w:t>, S.O. 1998, c. 28</w:t>
        </w:r>
      </w:hyperlink>
      <w:r w:rsidRPr="00DD38CB">
        <w:rPr>
          <w:sz w:val="20"/>
        </w:rPr>
        <w:t xml:space="preserve">, it notified Ontario’s Registrar of Motor Vehicles of the debt and the Registrar refused to validate vehicle permits for Mr. Moore’s two vehicles or to issue a permit to him.  Mr. Moore obtained an absolute discharge from bankruptcy that included the debt he owed to the appellant.  Despite the discharge, the appellant asserted that he </w:t>
      </w:r>
      <w:r w:rsidRPr="00DD38CB">
        <w:rPr>
          <w:sz w:val="20"/>
        </w:rPr>
        <w:lastRenderedPageBreak/>
        <w:t xml:space="preserve">remained indebted and the Registrar continued to refuse to issue permits.  Mr. Moore applied to the Ontario Superior Court for a declaration that his debt was discharged and for mandamus directing the Registrar to validate his permits.  After the Ontario Superior Court dismissed his motion, he settled with the appellant.  The Superintendent in Bankruptcy was granted leave to appeal.  </w:t>
      </w:r>
    </w:p>
    <w:p w:rsidR="00461EEE" w:rsidRPr="00DD38CB" w:rsidRDefault="00461EEE">
      <w:pPr>
        <w:widowControl w:val="0"/>
        <w:jc w:val="both"/>
        <w:rPr>
          <w:sz w:val="20"/>
        </w:rPr>
      </w:pP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Origin of the case:</w:t>
      </w:r>
      <w:r w:rsidRPr="00DD38CB">
        <w:rPr>
          <w:sz w:val="20"/>
          <w:lang w:val="en-CA"/>
        </w:rPr>
        <w:tab/>
      </w:r>
      <w:r w:rsidRPr="00DD38CB">
        <w:rPr>
          <w:sz w:val="20"/>
          <w:lang w:val="en-CA"/>
        </w:rPr>
        <w:tab/>
      </w:r>
      <w:r w:rsidRPr="00DD38CB">
        <w:rPr>
          <w:sz w:val="20"/>
          <w:lang w:val="en-CA"/>
        </w:rPr>
        <w:tab/>
      </w:r>
      <w:r w:rsidRPr="00DD38CB">
        <w:rPr>
          <w:sz w:val="20"/>
          <w:lang w:val="en-CA"/>
        </w:rPr>
        <w:tab/>
      </w:r>
      <w:bookmarkStart w:id="4" w:name="4"/>
      <w:bookmarkEnd w:id="4"/>
      <w:r w:rsidRPr="00DD38CB">
        <w:rPr>
          <w:sz w:val="20"/>
          <w:lang w:val="en-CA"/>
        </w:rPr>
        <w:t>Ontario</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File No.:</w:t>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bookmarkStart w:id="5" w:name="2"/>
      <w:bookmarkEnd w:id="5"/>
      <w:r w:rsidRPr="00DD38CB">
        <w:rPr>
          <w:sz w:val="20"/>
          <w:lang w:val="en-CA"/>
        </w:rPr>
        <w:t>35696</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Judgment of the Court of Appeal:</w:t>
      </w:r>
      <w:r w:rsidRPr="00DD38CB">
        <w:rPr>
          <w:sz w:val="20"/>
          <w:lang w:val="en-CA"/>
        </w:rPr>
        <w:tab/>
      </w:r>
      <w:bookmarkStart w:id="6" w:name="5"/>
      <w:bookmarkEnd w:id="6"/>
      <w:r w:rsidRPr="00DD38CB">
        <w:rPr>
          <w:sz w:val="20"/>
          <w:lang w:val="en-CA"/>
        </w:rPr>
        <w:t>September 5, 2012</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Counsel:</w:t>
      </w:r>
      <w:r w:rsidRPr="00DD38CB">
        <w:rPr>
          <w:sz w:val="20"/>
          <w:lang w:val="en-CA"/>
        </w:rPr>
        <w:tab/>
      </w:r>
      <w:r w:rsidRPr="00DD38CB">
        <w:rPr>
          <w:sz w:val="20"/>
          <w:lang w:val="en-CA"/>
        </w:rPr>
        <w:tab/>
      </w:r>
      <w:r w:rsidRPr="00DD38CB">
        <w:rPr>
          <w:sz w:val="20"/>
          <w:lang w:val="en-CA"/>
        </w:rPr>
        <w:tab/>
      </w:r>
      <w:r w:rsidRPr="00DD38CB">
        <w:rPr>
          <w:sz w:val="20"/>
          <w:lang w:val="en-CA"/>
        </w:rPr>
        <w:tab/>
      </w:r>
      <w:bookmarkStart w:id="7" w:name="6"/>
      <w:bookmarkEnd w:id="7"/>
      <w:r w:rsidRPr="00DD38CB">
        <w:rPr>
          <w:sz w:val="20"/>
          <w:lang w:val="en-CA"/>
        </w:rPr>
        <w:tab/>
      </w:r>
      <w:r w:rsidRPr="00DD38CB">
        <w:rPr>
          <w:sz w:val="20"/>
          <w:lang w:val="en-CA"/>
        </w:rPr>
        <w:tab/>
      </w:r>
      <w:r w:rsidRPr="00DD38CB">
        <w:rPr>
          <w:sz w:val="20"/>
          <w:lang w:val="en-CA"/>
        </w:rPr>
        <w:tab/>
        <w:t>Thomas Curry for the Appellant</w:t>
      </w:r>
    </w:p>
    <w:p w:rsidR="00461EEE" w:rsidRPr="00DD38CB" w:rsidRDefault="00461EEE" w:rsidP="00461EEE">
      <w:pPr>
        <w:widowControl w:val="0"/>
        <w:jc w:val="both"/>
        <w:rPr>
          <w:sz w:val="20"/>
          <w:lang w:val="en-CA"/>
        </w:rPr>
      </w:pPr>
      <w:bookmarkStart w:id="8" w:name="7"/>
      <w:bookmarkEnd w:id="8"/>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Peter Southey, Andrew Parley and Jon Laxer for the Respondent</w:t>
      </w:r>
    </w:p>
    <w:p w:rsidR="00461EEE" w:rsidRPr="00DD38CB" w:rsidRDefault="00461EEE" w:rsidP="00461EEE">
      <w:pPr>
        <w:widowControl w:val="0"/>
        <w:jc w:val="both"/>
        <w:rPr>
          <w:sz w:val="20"/>
          <w:lang w:val="en-CA"/>
        </w:rPr>
      </w:pPr>
    </w:p>
    <w:p w:rsidR="00461EEE" w:rsidRPr="00DD38CB" w:rsidRDefault="00461EEE" w:rsidP="00461EEE">
      <w:pPr>
        <w:widowControl w:val="0"/>
        <w:jc w:val="both"/>
        <w:rPr>
          <w:sz w:val="20"/>
          <w:lang w:val="en-CA"/>
        </w:rPr>
      </w:pPr>
    </w:p>
    <w:p w:rsidR="00461EEE" w:rsidRPr="00DD38CB" w:rsidRDefault="00461EEE" w:rsidP="008456F1">
      <w:pPr>
        <w:widowControl w:val="0"/>
        <w:ind w:left="720" w:hanging="720"/>
        <w:contextualSpacing/>
        <w:jc w:val="both"/>
        <w:rPr>
          <w:sz w:val="20"/>
          <w:lang w:val="fr-CA"/>
        </w:rPr>
      </w:pPr>
      <w:r w:rsidRPr="00DD38CB">
        <w:rPr>
          <w:b/>
          <w:sz w:val="20"/>
          <w:lang w:val="fr-CA"/>
        </w:rPr>
        <w:fldChar w:fldCharType="begin"/>
      </w:r>
      <w:r w:rsidRPr="00DD38CB">
        <w:rPr>
          <w:b/>
          <w:sz w:val="20"/>
          <w:lang w:val="fr-CA"/>
        </w:rPr>
        <w:instrText xml:space="preserve"> SEQ CHAPTER \h \r 1</w:instrText>
      </w:r>
      <w:r w:rsidRPr="00DD38CB">
        <w:rPr>
          <w:b/>
          <w:sz w:val="20"/>
          <w:lang w:val="fr-CA"/>
        </w:rPr>
        <w:fldChar w:fldCharType="end"/>
      </w:r>
      <w:r w:rsidRPr="00DD38CB">
        <w:rPr>
          <w:b/>
          <w:sz w:val="20"/>
          <w:lang w:val="fr-CA"/>
        </w:rPr>
        <w:t>35696</w:t>
      </w:r>
      <w:r w:rsidRPr="00DD38CB">
        <w:rPr>
          <w:sz w:val="20"/>
          <w:lang w:val="fr-CA"/>
        </w:rPr>
        <w:tab/>
      </w:r>
      <w:r w:rsidRPr="00DD38CB">
        <w:rPr>
          <w:b/>
          <w:i/>
          <w:sz w:val="20"/>
          <w:lang w:val="fr-CA"/>
        </w:rPr>
        <w:t>407 ETR Concession Company Ltd. c. Surintendant des faillites</w:t>
      </w:r>
    </w:p>
    <w:p w:rsidR="00461EEE" w:rsidRPr="00DD38CB" w:rsidRDefault="00461EEE" w:rsidP="000848F6">
      <w:pPr>
        <w:widowControl w:val="0"/>
        <w:jc w:val="both"/>
        <w:rPr>
          <w:sz w:val="20"/>
          <w:lang w:val="fr-CA"/>
        </w:rPr>
      </w:pPr>
    </w:p>
    <w:p w:rsidR="00461EEE" w:rsidRPr="00DD38CB" w:rsidRDefault="00461EEE" w:rsidP="008456F1">
      <w:pPr>
        <w:ind w:right="159"/>
        <w:jc w:val="both"/>
        <w:rPr>
          <w:sz w:val="20"/>
          <w:lang w:val="fr-CA"/>
        </w:rPr>
      </w:pPr>
      <w:r w:rsidRPr="00DD38CB">
        <w:rPr>
          <w:sz w:val="20"/>
          <w:lang w:val="fr-CA"/>
        </w:rPr>
        <w:t xml:space="preserve">Droit constitutionnel - Prépondérance fédérale - Le registrateur des véhicules automobiles de l’Ontario refuse de valider ou de délivrer un certificat d’immatriculation de véhicule s’il reçoit un avis que l’intéressé n’a pas payé un péage, les frais, les droits et les intérêts exigibles relativement à l’utilisation d’une voie privée à péage </w:t>
      </w:r>
      <w:r w:rsidRPr="00DD38CB">
        <w:rPr>
          <w:color w:val="000000"/>
          <w:sz w:val="20"/>
          <w:lang w:val="fr-CA"/>
        </w:rPr>
        <w:t xml:space="preserve"> </w:t>
      </w:r>
      <w:r w:rsidRPr="00DD38CB">
        <w:rPr>
          <w:sz w:val="20"/>
          <w:lang w:val="fr-CA"/>
        </w:rPr>
        <w:t xml:space="preserve">- </w:t>
      </w:r>
      <w:r w:rsidRPr="00DD38CB">
        <w:rPr>
          <w:color w:val="000000"/>
          <w:sz w:val="20"/>
          <w:lang w:val="fr-CA"/>
        </w:rPr>
        <w:t xml:space="preserve">Le pouvoir d’exécution peut-il être exercé à l’égard d’une dette, envers le propriétaire de la voie, qui a été acquittée dans le cadre d’une procédure de faillite? </w:t>
      </w:r>
      <w:r w:rsidRPr="00DD38CB">
        <w:rPr>
          <w:sz w:val="20"/>
          <w:lang w:val="fr-CA"/>
        </w:rPr>
        <w:t xml:space="preserve">- L’objet ou le fond d’une loi provinciale sont-ils pertinents lorsqu’il s’agit de déterminer s’il y a un conflit entre la loi provinciale et la loi fédérale? - La Cour d’appel a-t-elle défini de façon trop large la portée et l’objet de la Loi sur la faillite et l’insolvabilité? - Le législateur fédéral peut-il contraindre les provinces à délivrer des permis et des licences provinciaux aux faillis libérés? - </w:t>
      </w:r>
      <w:r w:rsidRPr="00DD38CB">
        <w:rPr>
          <w:iCs/>
          <w:sz w:val="20"/>
          <w:lang w:val="fr-CA"/>
        </w:rPr>
        <w:t>Loi de 1998 sur l’autoroute 407</w:t>
      </w:r>
      <w:r w:rsidRPr="00DD38CB">
        <w:rPr>
          <w:sz w:val="20"/>
          <w:lang w:val="fr-CA"/>
        </w:rPr>
        <w:t xml:space="preserve">, L.O. 1998, ch.28, par. 22(4), </w:t>
      </w:r>
      <w:r w:rsidRPr="00DD38CB">
        <w:rPr>
          <w:iCs/>
          <w:sz w:val="20"/>
          <w:lang w:val="fr-CA"/>
        </w:rPr>
        <w:t xml:space="preserve">Loi sur la faillite et l’insolvabilité, </w:t>
      </w:r>
      <w:r w:rsidRPr="00DD38CB">
        <w:rPr>
          <w:sz w:val="20"/>
          <w:lang w:val="fr-CA"/>
        </w:rPr>
        <w:t xml:space="preserve">L.R.C. 1985, ch. B-3. </w:t>
      </w:r>
      <w:r w:rsidRPr="00DD38CB">
        <w:rPr>
          <w:color w:val="000000"/>
          <w:sz w:val="20"/>
          <w:lang w:val="fr-CA"/>
        </w:rPr>
        <w:t xml:space="preserve">  </w:t>
      </w:r>
    </w:p>
    <w:p w:rsidR="00461EEE" w:rsidRPr="00DD38CB" w:rsidRDefault="00461EEE" w:rsidP="000848F6">
      <w:pPr>
        <w:widowControl w:val="0"/>
        <w:jc w:val="both"/>
        <w:rPr>
          <w:sz w:val="20"/>
          <w:lang w:val="fr-CA"/>
        </w:rPr>
      </w:pPr>
    </w:p>
    <w:p w:rsidR="00461EEE" w:rsidRPr="00DD38CB" w:rsidRDefault="00461EEE" w:rsidP="000848F6">
      <w:pPr>
        <w:jc w:val="both"/>
        <w:rPr>
          <w:sz w:val="20"/>
          <w:lang w:val="fr-CA"/>
        </w:rPr>
      </w:pPr>
      <w:r w:rsidRPr="00DD38CB">
        <w:rPr>
          <w:sz w:val="20"/>
          <w:lang w:val="fr-CA"/>
        </w:rPr>
        <w:t xml:space="preserve">Matthew Moore avait une dette envers l’appelante pour l’utilisation de sa voie à péage.  En application des pouvoirs d’exécution prévus au par. 22(4) de la </w:t>
      </w:r>
      <w:r w:rsidR="00F929C2">
        <w:fldChar w:fldCharType="begin"/>
      </w:r>
      <w:r w:rsidR="00F929C2" w:rsidRPr="00F929C2">
        <w:rPr>
          <w:lang w:val="fr-CA"/>
        </w:rPr>
        <w:instrText xml:space="preserve"> HYPERLINK "http://www.canlii.org/en/on/laws/stat/so-1998-c-28/latest/so-1998-c-28.html" </w:instrText>
      </w:r>
      <w:r w:rsidR="00F929C2">
        <w:fldChar w:fldCharType="separate"/>
      </w:r>
      <w:r w:rsidRPr="00DD38CB">
        <w:rPr>
          <w:i/>
          <w:sz w:val="20"/>
          <w:lang w:val="fr-CA"/>
        </w:rPr>
        <w:t>Loi de 1998 sur l’autoroute 407</w:t>
      </w:r>
      <w:r w:rsidRPr="00DD38CB">
        <w:rPr>
          <w:sz w:val="20"/>
          <w:lang w:val="fr-CA"/>
        </w:rPr>
        <w:t>, L.O. 1998, ch. 28</w:t>
      </w:r>
      <w:r w:rsidR="00F929C2">
        <w:rPr>
          <w:sz w:val="20"/>
          <w:lang w:val="fr-CA"/>
        </w:rPr>
        <w:fldChar w:fldCharType="end"/>
      </w:r>
      <w:r w:rsidRPr="00DD38CB">
        <w:rPr>
          <w:sz w:val="20"/>
          <w:lang w:val="fr-CA"/>
        </w:rPr>
        <w:t xml:space="preserve">, l’appelante a avisé le registrateur des véhicules automobiles de l’Ontario de la dette et le registrateur a refusé de valider les certificats d’immatriculation des deux véhicules de M. Moore ou de lui délivrer un certificat d’immatriculation.  Monsieur Moore a obtenu une libération absolue de faillite, y compris pour sa dette envers l’appelante.  Malgré la libération, l’appelante a prétendu que M. Moore demeurait endetté et le registrateur a maintenu son refus de délivrer des certificats d’immatriculation.  Monsieur Moore a demandé à la Cour supérieure de justice de l’Ontario de prononcer un jugement déclarant que sa dette avait été acquittée et d’accorder un mandamus enjoignant au registrateur de délivrer ses certificats d’immatriculation.  Après que la Cour supérieure de justice a rejeté sa motion, il a réglé à l’amiable avec l’appelante.  Le surintendant des faillites s’est vu accorder l’autorisation d’appel.  </w:t>
      </w:r>
    </w:p>
    <w:p w:rsidR="00461EEE" w:rsidRPr="00DD38CB" w:rsidRDefault="00461EEE" w:rsidP="000848F6">
      <w:pPr>
        <w:widowControl w:val="0"/>
        <w:jc w:val="both"/>
        <w:rPr>
          <w:sz w:val="20"/>
          <w:lang w:val="fr-CA"/>
        </w:rPr>
      </w:pPr>
    </w:p>
    <w:p w:rsidR="00461EEE" w:rsidRPr="00DD38CB" w:rsidRDefault="00461EEE" w:rsidP="000848F6">
      <w:pPr>
        <w:widowControl w:val="0"/>
        <w:jc w:val="both"/>
        <w:rPr>
          <w:sz w:val="20"/>
          <w:lang w:val="fr-CA"/>
        </w:rPr>
      </w:pPr>
    </w:p>
    <w:p w:rsidR="00461EEE" w:rsidRPr="00DD38CB" w:rsidRDefault="00461EEE" w:rsidP="000848F6">
      <w:pPr>
        <w:widowControl w:val="0"/>
        <w:jc w:val="both"/>
        <w:rPr>
          <w:sz w:val="20"/>
          <w:lang w:val="fr-CA"/>
        </w:rPr>
      </w:pPr>
      <w:r w:rsidRPr="00DD38CB">
        <w:rPr>
          <w:sz w:val="20"/>
          <w:lang w:val="fr-CA"/>
        </w:rPr>
        <w:t>Origine :</w:t>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Ontario</w:t>
      </w:r>
    </w:p>
    <w:p w:rsidR="00461EEE" w:rsidRPr="00DD38CB" w:rsidRDefault="00461EEE" w:rsidP="000848F6">
      <w:pPr>
        <w:widowControl w:val="0"/>
        <w:jc w:val="both"/>
        <w:rPr>
          <w:sz w:val="20"/>
          <w:lang w:val="fr-CA"/>
        </w:rPr>
      </w:pPr>
    </w:p>
    <w:p w:rsidR="00461EEE" w:rsidRPr="00DD38CB" w:rsidRDefault="00461EEE" w:rsidP="000848F6">
      <w:pPr>
        <w:widowControl w:val="0"/>
        <w:jc w:val="both"/>
        <w:rPr>
          <w:sz w:val="20"/>
          <w:lang w:val="fr-CA"/>
        </w:rPr>
      </w:pPr>
      <w:r w:rsidRPr="00DD38CB">
        <w:rPr>
          <w:sz w:val="20"/>
          <w:lang w:val="fr-CA"/>
        </w:rPr>
        <w:t>N</w:t>
      </w:r>
      <w:r w:rsidRPr="00DD38CB">
        <w:rPr>
          <w:sz w:val="20"/>
          <w:vertAlign w:val="superscript"/>
          <w:lang w:val="fr-CA"/>
        </w:rPr>
        <w:t>o</w:t>
      </w:r>
      <w:r w:rsidRPr="00DD38CB">
        <w:rPr>
          <w:sz w:val="20"/>
          <w:lang w:val="fr-CA"/>
        </w:rPr>
        <w:t xml:space="preserve"> du greffe :</w:t>
      </w:r>
      <w:r w:rsidRPr="00DD38CB">
        <w:rPr>
          <w:sz w:val="20"/>
          <w:lang w:val="fr-CA"/>
        </w:rPr>
        <w:tab/>
      </w:r>
      <w:r w:rsidRPr="00DD38CB">
        <w:rPr>
          <w:sz w:val="20"/>
          <w:lang w:val="fr-CA"/>
        </w:rPr>
        <w:tab/>
      </w:r>
      <w:r w:rsidRPr="00DD38CB">
        <w:rPr>
          <w:sz w:val="20"/>
          <w:lang w:val="fr-CA"/>
        </w:rPr>
        <w:tab/>
      </w:r>
      <w:r w:rsidRPr="00DD38CB">
        <w:rPr>
          <w:sz w:val="20"/>
          <w:lang w:val="fr-CA"/>
        </w:rPr>
        <w:tab/>
        <w:t>35696</w:t>
      </w:r>
    </w:p>
    <w:p w:rsidR="00461EEE" w:rsidRPr="00DD38CB" w:rsidRDefault="00461EEE" w:rsidP="000848F6">
      <w:pPr>
        <w:widowControl w:val="0"/>
        <w:jc w:val="both"/>
        <w:rPr>
          <w:sz w:val="20"/>
          <w:lang w:val="fr-CA"/>
        </w:rPr>
      </w:pPr>
    </w:p>
    <w:p w:rsidR="00461EEE" w:rsidRPr="00DD38CB" w:rsidRDefault="00461EEE" w:rsidP="000848F6">
      <w:pPr>
        <w:widowControl w:val="0"/>
        <w:jc w:val="both"/>
        <w:rPr>
          <w:sz w:val="20"/>
          <w:lang w:val="fr-CA"/>
        </w:rPr>
      </w:pPr>
      <w:r w:rsidRPr="00DD38CB">
        <w:rPr>
          <w:sz w:val="20"/>
          <w:lang w:val="fr-CA"/>
        </w:rPr>
        <w:t>Arrêt de la Cour d’appel :</w:t>
      </w:r>
      <w:r w:rsidRPr="00DD38CB">
        <w:rPr>
          <w:sz w:val="20"/>
          <w:lang w:val="fr-CA"/>
        </w:rPr>
        <w:tab/>
      </w:r>
      <w:r w:rsidRPr="00DD38CB">
        <w:rPr>
          <w:sz w:val="20"/>
          <w:lang w:val="fr-CA"/>
        </w:rPr>
        <w:tab/>
        <w:t>le 5 septembre 2012</w:t>
      </w:r>
    </w:p>
    <w:p w:rsidR="00461EEE" w:rsidRPr="00DD38CB" w:rsidRDefault="00461EEE" w:rsidP="000848F6">
      <w:pPr>
        <w:widowControl w:val="0"/>
        <w:jc w:val="both"/>
        <w:rPr>
          <w:sz w:val="20"/>
          <w:lang w:val="fr-CA"/>
        </w:rPr>
      </w:pPr>
    </w:p>
    <w:p w:rsidR="00461EEE" w:rsidRPr="00DD38CB" w:rsidRDefault="00461EEE" w:rsidP="000848F6">
      <w:pPr>
        <w:widowControl w:val="0"/>
        <w:jc w:val="both"/>
        <w:rPr>
          <w:sz w:val="20"/>
          <w:lang w:val="fr-CA"/>
        </w:rPr>
      </w:pPr>
      <w:r w:rsidRPr="00DD38CB">
        <w:rPr>
          <w:sz w:val="20"/>
          <w:lang w:val="fr-CA"/>
        </w:rPr>
        <w:t>Avocats :</w:t>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Thomas Curry pour l’appelante</w:t>
      </w:r>
    </w:p>
    <w:p w:rsidR="00461EEE" w:rsidRPr="00DD38CB" w:rsidRDefault="00461EEE" w:rsidP="00461EEE">
      <w:pPr>
        <w:widowControl w:val="0"/>
        <w:jc w:val="both"/>
        <w:rPr>
          <w:sz w:val="20"/>
          <w:lang w:val="fr-CA"/>
        </w:rPr>
      </w:pP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 xml:space="preserve">Peter Southey, Andrew </w:t>
      </w:r>
      <w:proofErr w:type="spellStart"/>
      <w:r w:rsidRPr="00DD38CB">
        <w:rPr>
          <w:sz w:val="20"/>
          <w:lang w:val="fr-CA"/>
        </w:rPr>
        <w:t>Parley</w:t>
      </w:r>
      <w:proofErr w:type="spellEnd"/>
      <w:r w:rsidRPr="00DD38CB">
        <w:rPr>
          <w:sz w:val="20"/>
          <w:lang w:val="fr-CA"/>
        </w:rPr>
        <w:t xml:space="preserve"> et Jon Laxer pour l’intimé</w:t>
      </w:r>
    </w:p>
    <w:p w:rsidR="00461EEE" w:rsidRPr="00DD38CB" w:rsidRDefault="00461EEE" w:rsidP="00461EEE">
      <w:pPr>
        <w:widowControl w:val="0"/>
        <w:jc w:val="both"/>
        <w:rPr>
          <w:sz w:val="20"/>
          <w:lang w:val="fr-CA"/>
        </w:rPr>
      </w:pPr>
    </w:p>
    <w:p w:rsidR="00461EEE" w:rsidRPr="00DD38CB" w:rsidRDefault="00461EEE" w:rsidP="00461EEE">
      <w:pPr>
        <w:widowControl w:val="0"/>
        <w:jc w:val="both"/>
        <w:rPr>
          <w:sz w:val="20"/>
          <w:lang w:val="fr-CA"/>
        </w:rPr>
      </w:pPr>
    </w:p>
    <w:p w:rsidR="00461EEE" w:rsidRPr="00DD38CB" w:rsidRDefault="00461EEE" w:rsidP="006200A8">
      <w:pPr>
        <w:widowControl w:val="0"/>
        <w:ind w:left="720" w:hanging="720"/>
        <w:contextualSpacing/>
        <w:jc w:val="both"/>
        <w:rPr>
          <w:sz w:val="20"/>
          <w:lang w:val="en-CA"/>
        </w:rPr>
      </w:pPr>
      <w:r w:rsidRPr="00DD38CB">
        <w:rPr>
          <w:b/>
          <w:sz w:val="20"/>
          <w:lang w:val="en-CA"/>
        </w:rPr>
        <w:fldChar w:fldCharType="begin"/>
      </w:r>
      <w:r w:rsidRPr="00DD38CB">
        <w:rPr>
          <w:b/>
          <w:sz w:val="20"/>
        </w:rPr>
        <w:instrText xml:space="preserve"> SEQ CHAPTER \h \r 1</w:instrText>
      </w:r>
      <w:r w:rsidRPr="00DD38CB">
        <w:rPr>
          <w:b/>
          <w:sz w:val="20"/>
        </w:rPr>
        <w:fldChar w:fldCharType="end"/>
      </w:r>
      <w:r w:rsidRPr="00DD38CB">
        <w:rPr>
          <w:b/>
          <w:sz w:val="20"/>
          <w:lang w:val="en-CA"/>
        </w:rPr>
        <w:t>35820</w:t>
      </w:r>
      <w:r w:rsidRPr="00DD38CB">
        <w:rPr>
          <w:sz w:val="20"/>
          <w:lang w:val="en-CA"/>
        </w:rPr>
        <w:tab/>
      </w:r>
      <w:r w:rsidRPr="00DD38CB">
        <w:rPr>
          <w:b/>
          <w:i/>
          <w:sz w:val="20"/>
        </w:rPr>
        <w:t>Attorney</w:t>
      </w:r>
      <w:r w:rsidRPr="00DD38CB">
        <w:rPr>
          <w:b/>
          <w:i/>
          <w:sz w:val="20"/>
          <w:lang w:val="en-CA"/>
        </w:rPr>
        <w:t xml:space="preserve"> General of Alberta v. Joseph William Moloney</w:t>
      </w:r>
    </w:p>
    <w:p w:rsidR="00461EEE" w:rsidRPr="00DD38CB" w:rsidRDefault="00461EEE">
      <w:pPr>
        <w:widowControl w:val="0"/>
        <w:jc w:val="both"/>
        <w:rPr>
          <w:sz w:val="20"/>
          <w:lang w:val="en-CA"/>
        </w:rPr>
      </w:pPr>
    </w:p>
    <w:p w:rsidR="00461EEE" w:rsidRPr="00DD38CB" w:rsidRDefault="00461EEE" w:rsidP="00FF0681">
      <w:pPr>
        <w:jc w:val="both"/>
        <w:rPr>
          <w:sz w:val="20"/>
        </w:rPr>
      </w:pPr>
      <w:r w:rsidRPr="00DD38CB">
        <w:rPr>
          <w:sz w:val="20"/>
        </w:rPr>
        <w:t xml:space="preserve">Constitutional Law - Federal paramountcy - Uninsured motorist responsible for motor vehicle accident in Alberta - Judgment against motorist for injuries caused to another person assigned to Administrator of Motor Vehicle Accident Claims - Motorist fails to satisfy judgment debt - Alberta’s Registrar of Motor Vehicles required to suspend registration of motor vehicle and operator’s license until motorist repays judgment debt or enters into agreement to pay in installments - Motorist granted absolute discharge from bankruptcy - Registrar refuses to end suspension of </w:t>
      </w:r>
      <w:r w:rsidRPr="00DD38CB">
        <w:rPr>
          <w:sz w:val="20"/>
        </w:rPr>
        <w:lastRenderedPageBreak/>
        <w:t xml:space="preserve">driving privileges - </w:t>
      </w:r>
      <w:r w:rsidRPr="00DD38CB">
        <w:rPr>
          <w:color w:val="000000"/>
          <w:sz w:val="20"/>
        </w:rPr>
        <w:t xml:space="preserve">Whether </w:t>
      </w:r>
      <w:r w:rsidRPr="00DD38CB">
        <w:rPr>
          <w:sz w:val="20"/>
        </w:rPr>
        <w:t>s. 102(2) of the Traffic Safety Act conflicts operationally with the Bankruptcy and Insolvency Act or with its rehabilitative purpose and is constitutionally inoperative by reason of the doctrine of federal paramountcy</w:t>
      </w:r>
    </w:p>
    <w:p w:rsidR="00461EEE" w:rsidRPr="00DD38CB" w:rsidRDefault="00461EEE">
      <w:pPr>
        <w:widowControl w:val="0"/>
        <w:jc w:val="both"/>
        <w:rPr>
          <w:sz w:val="20"/>
        </w:rPr>
      </w:pPr>
    </w:p>
    <w:p w:rsidR="00461EEE" w:rsidRPr="00DD38CB" w:rsidRDefault="00461EEE" w:rsidP="00FF0681">
      <w:pPr>
        <w:pStyle w:val="Memoparagraph"/>
        <w:ind w:left="0" w:firstLine="0"/>
        <w:jc w:val="both"/>
        <w:rPr>
          <w:sz w:val="20"/>
        </w:rPr>
      </w:pPr>
      <w:r w:rsidRPr="00DD38CB">
        <w:rPr>
          <w:sz w:val="20"/>
          <w:lang w:val="en-US"/>
        </w:rPr>
        <w:t>In 1989, Mr.</w:t>
      </w:r>
      <w:r w:rsidRPr="00DD38CB">
        <w:rPr>
          <w:sz w:val="20"/>
        </w:rPr>
        <w:t xml:space="preserve"> Moloney</w:t>
      </w:r>
      <w:r w:rsidRPr="00DD38CB">
        <w:rPr>
          <w:sz w:val="20"/>
          <w:lang w:val="en-US"/>
        </w:rPr>
        <w:t xml:space="preserve"> </w:t>
      </w:r>
      <w:r w:rsidRPr="00DD38CB">
        <w:rPr>
          <w:sz w:val="20"/>
        </w:rPr>
        <w:t>was responsible for a motor vehicle accident in Alberta.</w:t>
      </w:r>
      <w:r w:rsidRPr="00DD38CB">
        <w:rPr>
          <w:sz w:val="20"/>
          <w:lang w:val="en-US"/>
        </w:rPr>
        <w:t xml:space="preserve"> </w:t>
      </w:r>
      <w:r w:rsidRPr="00DD38CB">
        <w:rPr>
          <w:sz w:val="20"/>
        </w:rPr>
        <w:t>He</w:t>
      </w:r>
      <w:r w:rsidRPr="00DD38CB">
        <w:rPr>
          <w:sz w:val="20"/>
          <w:lang w:val="en-US"/>
        </w:rPr>
        <w:t xml:space="preserve"> </w:t>
      </w:r>
      <w:r w:rsidRPr="00DD38CB">
        <w:rPr>
          <w:sz w:val="20"/>
        </w:rPr>
        <w:t xml:space="preserve">was uninsured.  </w:t>
      </w:r>
      <w:r w:rsidRPr="00DD38CB">
        <w:rPr>
          <w:sz w:val="20"/>
          <w:lang w:val="en-US"/>
        </w:rPr>
        <w:t>A party injured in the accident</w:t>
      </w:r>
      <w:r w:rsidRPr="00DD38CB">
        <w:rPr>
          <w:sz w:val="20"/>
        </w:rPr>
        <w:t xml:space="preserve"> obtained default judgment against him and assigned the judgment to Alberta’s Administrator of Motor</w:t>
      </w:r>
      <w:r w:rsidRPr="00DD38CB">
        <w:rPr>
          <w:i/>
          <w:sz w:val="20"/>
        </w:rPr>
        <w:t xml:space="preserve"> </w:t>
      </w:r>
      <w:r w:rsidRPr="00DD38CB">
        <w:rPr>
          <w:sz w:val="20"/>
        </w:rPr>
        <w:t>Vehicle Accident Claims. The</w:t>
      </w:r>
      <w:r w:rsidRPr="00DD38CB">
        <w:rPr>
          <w:sz w:val="20"/>
          <w:lang w:val="en-US"/>
        </w:rPr>
        <w:t xml:space="preserve"> Administrator became the judgment creditor</w:t>
      </w:r>
      <w:r w:rsidRPr="00DD38CB">
        <w:rPr>
          <w:sz w:val="20"/>
        </w:rPr>
        <w:t xml:space="preserve">.  </w:t>
      </w:r>
      <w:r w:rsidRPr="00DD38CB">
        <w:rPr>
          <w:sz w:val="20"/>
          <w:lang w:val="en-US"/>
        </w:rPr>
        <w:t xml:space="preserve">Mr. Moloney failed to satisfy the judgment debt. Pursuant to enforcement powers under s. 102(2) of the </w:t>
      </w:r>
      <w:r w:rsidRPr="00DD38CB">
        <w:rPr>
          <w:i/>
          <w:sz w:val="20"/>
        </w:rPr>
        <w:t>Traffic Safety Act</w:t>
      </w:r>
      <w:r w:rsidRPr="00DD38CB">
        <w:rPr>
          <w:sz w:val="20"/>
        </w:rPr>
        <w:t xml:space="preserve">, RSA 2000, c. T-6, Alberta’s </w:t>
      </w:r>
      <w:r w:rsidRPr="00DD38CB">
        <w:rPr>
          <w:sz w:val="20"/>
          <w:lang w:val="en-US"/>
        </w:rPr>
        <w:t>Registrar</w:t>
      </w:r>
      <w:r w:rsidRPr="00DD38CB">
        <w:rPr>
          <w:i/>
          <w:sz w:val="20"/>
        </w:rPr>
        <w:t xml:space="preserve"> </w:t>
      </w:r>
      <w:r w:rsidRPr="00DD38CB">
        <w:rPr>
          <w:sz w:val="20"/>
          <w:lang w:val="en-US"/>
        </w:rPr>
        <w:t xml:space="preserve">of Motor Vehicles </w:t>
      </w:r>
      <w:r w:rsidRPr="00DD38CB">
        <w:rPr>
          <w:sz w:val="20"/>
        </w:rPr>
        <w:t xml:space="preserve">suspended registration of </w:t>
      </w:r>
      <w:r w:rsidRPr="00DD38CB">
        <w:rPr>
          <w:sz w:val="20"/>
          <w:lang w:val="en-US"/>
        </w:rPr>
        <w:t xml:space="preserve">Mr. </w:t>
      </w:r>
      <w:proofErr w:type="spellStart"/>
      <w:r w:rsidRPr="00DD38CB">
        <w:rPr>
          <w:sz w:val="20"/>
          <w:lang w:val="en-US"/>
        </w:rPr>
        <w:t>Moloney’s</w:t>
      </w:r>
      <w:proofErr w:type="spellEnd"/>
      <w:r w:rsidRPr="00DD38CB">
        <w:rPr>
          <w:sz w:val="20"/>
        </w:rPr>
        <w:t xml:space="preserve"> motor vehicle permit and his operator’s license. </w:t>
      </w:r>
      <w:r w:rsidRPr="00DD38CB">
        <w:rPr>
          <w:sz w:val="20"/>
          <w:lang w:val="en-US"/>
        </w:rPr>
        <w:t>Mr. Moloney</w:t>
      </w:r>
      <w:r w:rsidRPr="00DD38CB">
        <w:rPr>
          <w:sz w:val="20"/>
        </w:rPr>
        <w:t xml:space="preserve"> applied for bankruptcy</w:t>
      </w:r>
      <w:r w:rsidRPr="00DD38CB">
        <w:rPr>
          <w:sz w:val="20"/>
          <w:lang w:val="en-US"/>
        </w:rPr>
        <w:t xml:space="preserve"> and </w:t>
      </w:r>
      <w:r w:rsidRPr="00DD38CB">
        <w:rPr>
          <w:sz w:val="20"/>
        </w:rPr>
        <w:t>was granted an absolute discharge on June 17, 2011.</w:t>
      </w:r>
      <w:r w:rsidRPr="00DD38CB">
        <w:rPr>
          <w:sz w:val="20"/>
          <w:lang w:val="en-US"/>
        </w:rPr>
        <w:t xml:space="preserve"> Despite the discharge from bankruptcy, </w:t>
      </w:r>
      <w:r w:rsidRPr="00DD38CB">
        <w:rPr>
          <w:sz w:val="20"/>
        </w:rPr>
        <w:t xml:space="preserve">Mr. </w:t>
      </w:r>
      <w:proofErr w:type="spellStart"/>
      <w:r w:rsidRPr="00DD38CB">
        <w:rPr>
          <w:sz w:val="20"/>
        </w:rPr>
        <w:t>Moloney’s</w:t>
      </w:r>
      <w:proofErr w:type="spellEnd"/>
      <w:r w:rsidRPr="00DD38CB">
        <w:rPr>
          <w:sz w:val="20"/>
        </w:rPr>
        <w:t xml:space="preserve"> failure to satisfy the judgment debt or to enter an agreement to pay the debt in installments resulted in a mandatory revival of </w:t>
      </w:r>
      <w:r w:rsidRPr="00DD38CB">
        <w:rPr>
          <w:sz w:val="20"/>
          <w:lang w:val="en-US"/>
        </w:rPr>
        <w:t>his</w:t>
      </w:r>
      <w:r w:rsidRPr="00DD38CB">
        <w:rPr>
          <w:sz w:val="20"/>
        </w:rPr>
        <w:t xml:space="preserve"> disqualification from driving and suspension of his vehicle registration.  </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Origin of the case:</w:t>
      </w:r>
      <w:r w:rsidRPr="00DD38CB">
        <w:rPr>
          <w:sz w:val="20"/>
          <w:lang w:val="en-CA"/>
        </w:rPr>
        <w:tab/>
      </w:r>
      <w:r w:rsidRPr="00DD38CB">
        <w:rPr>
          <w:sz w:val="20"/>
          <w:lang w:val="en-CA"/>
        </w:rPr>
        <w:tab/>
      </w:r>
      <w:r w:rsidRPr="00DD38CB">
        <w:rPr>
          <w:sz w:val="20"/>
          <w:lang w:val="en-CA"/>
        </w:rPr>
        <w:tab/>
      </w:r>
      <w:r w:rsidRPr="00DD38CB">
        <w:rPr>
          <w:sz w:val="20"/>
          <w:lang w:val="en-CA"/>
        </w:rPr>
        <w:tab/>
        <w:t>Alberta</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File No.:</w:t>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35820</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Judgment of the Court of Appeal:</w:t>
      </w:r>
      <w:r w:rsidRPr="00DD38CB">
        <w:rPr>
          <w:sz w:val="20"/>
          <w:lang w:val="en-CA"/>
        </w:rPr>
        <w:tab/>
        <w:t>February 13, 2014</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Counsel:</w:t>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 xml:space="preserve">Lillian </w:t>
      </w:r>
      <w:proofErr w:type="spellStart"/>
      <w:r w:rsidRPr="00DD38CB">
        <w:rPr>
          <w:sz w:val="20"/>
          <w:lang w:val="en-CA"/>
        </w:rPr>
        <w:t>Riczu</w:t>
      </w:r>
      <w:proofErr w:type="spellEnd"/>
      <w:r w:rsidRPr="00DD38CB">
        <w:rPr>
          <w:sz w:val="20"/>
          <w:lang w:val="en-CA"/>
        </w:rPr>
        <w:t xml:space="preserve"> and Randy Steele for the Appellant</w:t>
      </w:r>
    </w:p>
    <w:p w:rsidR="00461EEE" w:rsidRPr="00DD38CB" w:rsidRDefault="00461EEE">
      <w:pPr>
        <w:widowControl w:val="0"/>
        <w:jc w:val="both"/>
        <w:rPr>
          <w:sz w:val="20"/>
          <w:lang w:val="en-CA"/>
        </w:rPr>
      </w:pP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Jeremy Newton for the Respondent</w:t>
      </w:r>
    </w:p>
    <w:p w:rsidR="00461EEE" w:rsidRPr="00DD38CB" w:rsidRDefault="00461EEE" w:rsidP="0099623E">
      <w:pPr>
        <w:widowControl w:val="0"/>
        <w:ind w:left="720" w:hanging="720"/>
        <w:contextualSpacing/>
        <w:jc w:val="both"/>
        <w:rPr>
          <w:b/>
          <w:sz w:val="20"/>
        </w:rPr>
      </w:pPr>
    </w:p>
    <w:p w:rsidR="00461EEE" w:rsidRPr="00DD38CB" w:rsidRDefault="00461EEE" w:rsidP="0099623E">
      <w:pPr>
        <w:widowControl w:val="0"/>
        <w:ind w:left="720" w:hanging="720"/>
        <w:contextualSpacing/>
        <w:jc w:val="both"/>
        <w:rPr>
          <w:b/>
          <w:sz w:val="20"/>
        </w:rPr>
      </w:pPr>
    </w:p>
    <w:p w:rsidR="00461EEE" w:rsidRPr="00DD38CB" w:rsidRDefault="00461EEE" w:rsidP="0099623E">
      <w:pPr>
        <w:widowControl w:val="0"/>
        <w:ind w:left="720" w:hanging="720"/>
        <w:contextualSpacing/>
        <w:jc w:val="both"/>
        <w:rPr>
          <w:sz w:val="20"/>
        </w:rPr>
      </w:pPr>
      <w:r w:rsidRPr="00DD38CB">
        <w:rPr>
          <w:b/>
          <w:sz w:val="20"/>
          <w:lang w:val="fr-CA"/>
        </w:rPr>
        <w:fldChar w:fldCharType="begin"/>
      </w:r>
      <w:r w:rsidRPr="00DD38CB">
        <w:rPr>
          <w:b/>
          <w:sz w:val="20"/>
        </w:rPr>
        <w:instrText xml:space="preserve"> SEQ CHAPTER \h \r 1</w:instrText>
      </w:r>
      <w:r w:rsidRPr="00DD38CB">
        <w:rPr>
          <w:b/>
          <w:sz w:val="20"/>
          <w:lang w:val="fr-CA"/>
        </w:rPr>
        <w:fldChar w:fldCharType="end"/>
      </w:r>
      <w:r w:rsidRPr="00DD38CB">
        <w:rPr>
          <w:b/>
          <w:sz w:val="20"/>
        </w:rPr>
        <w:t>35820</w:t>
      </w:r>
      <w:r w:rsidRPr="00DD38CB">
        <w:rPr>
          <w:sz w:val="20"/>
        </w:rPr>
        <w:tab/>
      </w:r>
      <w:proofErr w:type="spellStart"/>
      <w:r w:rsidRPr="00DD38CB">
        <w:rPr>
          <w:b/>
          <w:i/>
          <w:sz w:val="20"/>
        </w:rPr>
        <w:t>Procureur</w:t>
      </w:r>
      <w:proofErr w:type="spellEnd"/>
      <w:r w:rsidRPr="00DD38CB">
        <w:rPr>
          <w:b/>
          <w:i/>
          <w:sz w:val="20"/>
        </w:rPr>
        <w:t xml:space="preserve"> </w:t>
      </w:r>
      <w:proofErr w:type="spellStart"/>
      <w:r w:rsidRPr="00DD38CB">
        <w:rPr>
          <w:b/>
          <w:i/>
          <w:sz w:val="20"/>
        </w:rPr>
        <w:t>général</w:t>
      </w:r>
      <w:proofErr w:type="spellEnd"/>
      <w:r w:rsidRPr="00DD38CB">
        <w:rPr>
          <w:b/>
          <w:i/>
          <w:sz w:val="20"/>
        </w:rPr>
        <w:t xml:space="preserve"> de </w:t>
      </w:r>
      <w:proofErr w:type="spellStart"/>
      <w:r w:rsidRPr="00DD38CB">
        <w:rPr>
          <w:b/>
          <w:i/>
          <w:sz w:val="20"/>
        </w:rPr>
        <w:t>l’Alberta</w:t>
      </w:r>
      <w:proofErr w:type="spellEnd"/>
      <w:r w:rsidRPr="00DD38CB">
        <w:rPr>
          <w:b/>
          <w:i/>
          <w:sz w:val="20"/>
        </w:rPr>
        <w:t xml:space="preserve"> c. Joseph William </w:t>
      </w:r>
      <w:proofErr w:type="spellStart"/>
      <w:r w:rsidRPr="00DD38CB">
        <w:rPr>
          <w:b/>
          <w:i/>
          <w:sz w:val="20"/>
        </w:rPr>
        <w:t>Moloney</w:t>
      </w:r>
      <w:proofErr w:type="spellEnd"/>
    </w:p>
    <w:p w:rsidR="00461EEE" w:rsidRPr="00DD38CB" w:rsidRDefault="00461EEE" w:rsidP="008E27E5">
      <w:pPr>
        <w:widowControl w:val="0"/>
        <w:jc w:val="both"/>
        <w:rPr>
          <w:sz w:val="20"/>
        </w:rPr>
      </w:pPr>
    </w:p>
    <w:p w:rsidR="00461EEE" w:rsidRPr="00DD38CB" w:rsidRDefault="00461EEE" w:rsidP="008E27E5">
      <w:pPr>
        <w:jc w:val="both"/>
        <w:rPr>
          <w:sz w:val="20"/>
          <w:lang w:val="fr-CA"/>
        </w:rPr>
      </w:pPr>
      <w:r w:rsidRPr="00DD38CB">
        <w:rPr>
          <w:sz w:val="20"/>
          <w:lang w:val="fr-CA"/>
        </w:rPr>
        <w:t>Droit constitutionnel - Prépondérance fédérale - Automobiliste non assuré responsable d’un accident de la route en Alberta - Jugement contre l’automobiliste, relativement aux blessures causées à autrui, cédé à l’</w:t>
      </w:r>
      <w:proofErr w:type="spellStart"/>
      <w:r w:rsidRPr="00DD38CB">
        <w:rPr>
          <w:sz w:val="20"/>
          <w:lang w:val="fr-CA"/>
        </w:rPr>
        <w:t>Administrator</w:t>
      </w:r>
      <w:proofErr w:type="spellEnd"/>
      <w:r w:rsidRPr="00DD38CB">
        <w:rPr>
          <w:sz w:val="20"/>
          <w:lang w:val="fr-CA"/>
        </w:rPr>
        <w:t xml:space="preserve"> of </w:t>
      </w:r>
      <w:proofErr w:type="spellStart"/>
      <w:r w:rsidRPr="00DD38CB">
        <w:rPr>
          <w:sz w:val="20"/>
          <w:lang w:val="fr-CA"/>
        </w:rPr>
        <w:t>Motor</w:t>
      </w:r>
      <w:proofErr w:type="spellEnd"/>
      <w:r w:rsidRPr="00DD38CB">
        <w:rPr>
          <w:sz w:val="20"/>
          <w:lang w:val="fr-CA"/>
        </w:rPr>
        <w:t xml:space="preserve"> </w:t>
      </w:r>
      <w:proofErr w:type="spellStart"/>
      <w:r w:rsidRPr="00DD38CB">
        <w:rPr>
          <w:sz w:val="20"/>
          <w:lang w:val="fr-CA"/>
        </w:rPr>
        <w:t>Vehicle</w:t>
      </w:r>
      <w:proofErr w:type="spellEnd"/>
      <w:r w:rsidRPr="00DD38CB">
        <w:rPr>
          <w:sz w:val="20"/>
          <w:lang w:val="fr-CA"/>
        </w:rPr>
        <w:t xml:space="preserve"> Accident Claims - L’automobiliste n’a pas acquitté la dette constatée par jugement - Le </w:t>
      </w:r>
      <w:proofErr w:type="spellStart"/>
      <w:r w:rsidRPr="00DD38CB">
        <w:rPr>
          <w:sz w:val="20"/>
          <w:lang w:val="fr-CA"/>
        </w:rPr>
        <w:t>Registrar</w:t>
      </w:r>
      <w:proofErr w:type="spellEnd"/>
      <w:r w:rsidRPr="00DD38CB">
        <w:rPr>
          <w:sz w:val="20"/>
          <w:lang w:val="fr-CA"/>
        </w:rPr>
        <w:t xml:space="preserve"> of </w:t>
      </w:r>
      <w:proofErr w:type="spellStart"/>
      <w:r w:rsidRPr="00DD38CB">
        <w:rPr>
          <w:sz w:val="20"/>
          <w:lang w:val="fr-CA"/>
        </w:rPr>
        <w:t>Motor</w:t>
      </w:r>
      <w:proofErr w:type="spellEnd"/>
      <w:r w:rsidRPr="00DD38CB">
        <w:rPr>
          <w:sz w:val="20"/>
          <w:lang w:val="fr-CA"/>
        </w:rPr>
        <w:t xml:space="preserve"> </w:t>
      </w:r>
      <w:proofErr w:type="spellStart"/>
      <w:r w:rsidRPr="00DD38CB">
        <w:rPr>
          <w:sz w:val="20"/>
          <w:lang w:val="fr-CA"/>
        </w:rPr>
        <w:t>Vehicles</w:t>
      </w:r>
      <w:proofErr w:type="spellEnd"/>
      <w:r w:rsidRPr="00DD38CB">
        <w:rPr>
          <w:sz w:val="20"/>
          <w:lang w:val="fr-CA"/>
        </w:rPr>
        <w:t xml:space="preserve"> de l’Alberta est obligé de suspendre l’immatriculation d’un véhicule automobile et le permis du conducteur jusqu’à ce que l’automobiliste rembourse la dette constatée par jugement ou conclue une entente de remboursement par versements échelonnés - L’automobiliste a obtenu une libération absolue de faillite - Le </w:t>
      </w:r>
      <w:proofErr w:type="spellStart"/>
      <w:r w:rsidRPr="00DD38CB">
        <w:rPr>
          <w:sz w:val="20"/>
          <w:lang w:val="fr-CA"/>
        </w:rPr>
        <w:t>Registrar</w:t>
      </w:r>
      <w:proofErr w:type="spellEnd"/>
      <w:r w:rsidRPr="00DD38CB">
        <w:rPr>
          <w:sz w:val="20"/>
          <w:lang w:val="fr-CA"/>
        </w:rPr>
        <w:t xml:space="preserve"> refuse de mettre fin à la suspension des privilèges en matière de conduite - </w:t>
      </w:r>
      <w:r w:rsidRPr="00DD38CB">
        <w:rPr>
          <w:color w:val="000000"/>
          <w:sz w:val="20"/>
          <w:lang w:val="fr-CA"/>
        </w:rPr>
        <w:t>Le par</w:t>
      </w:r>
      <w:r w:rsidRPr="00DD38CB">
        <w:rPr>
          <w:sz w:val="20"/>
          <w:lang w:val="fr-CA"/>
        </w:rPr>
        <w:t>. 102(2) de la Traffic Safety Act est-il en conflit opérationnel avec la Loi sur la faillite et l’insolvabilité ou avec son objectif de réhabilitation et est-il constitutionnellement inopérant en raison de la doctrine de la prépondérance fédérale?</w:t>
      </w:r>
    </w:p>
    <w:p w:rsidR="00461EEE" w:rsidRPr="00DD38CB" w:rsidRDefault="00461EEE" w:rsidP="008E27E5">
      <w:pPr>
        <w:widowControl w:val="0"/>
        <w:jc w:val="both"/>
        <w:rPr>
          <w:sz w:val="20"/>
          <w:lang w:val="fr-CA"/>
        </w:rPr>
      </w:pPr>
    </w:p>
    <w:p w:rsidR="00461EEE" w:rsidRPr="00DD38CB" w:rsidRDefault="00461EEE" w:rsidP="008E27E5">
      <w:pPr>
        <w:pStyle w:val="Memoparagraph"/>
        <w:ind w:left="0" w:firstLine="0"/>
        <w:jc w:val="both"/>
        <w:rPr>
          <w:sz w:val="20"/>
          <w:lang w:val="fr-CA"/>
        </w:rPr>
      </w:pPr>
      <w:r w:rsidRPr="00DD38CB">
        <w:rPr>
          <w:sz w:val="20"/>
          <w:lang w:val="fr-CA"/>
        </w:rPr>
        <w:t xml:space="preserve">En 1989, M. </w:t>
      </w:r>
      <w:proofErr w:type="spellStart"/>
      <w:r w:rsidRPr="00DD38CB">
        <w:rPr>
          <w:sz w:val="20"/>
          <w:lang w:val="fr-CA"/>
        </w:rPr>
        <w:t>Moloney</w:t>
      </w:r>
      <w:proofErr w:type="spellEnd"/>
      <w:r w:rsidRPr="00DD38CB">
        <w:rPr>
          <w:sz w:val="20"/>
          <w:lang w:val="fr-CA"/>
        </w:rPr>
        <w:t xml:space="preserve"> était responsable d’un accident de la route en Alberta.  Il n’était pas assuré.  Une personne blessée dans l’accident a obtenu un jugement par défaut contre lui et a cédé le jugement à l’</w:t>
      </w:r>
      <w:proofErr w:type="spellStart"/>
      <w:r w:rsidRPr="00DD38CB">
        <w:rPr>
          <w:i/>
          <w:sz w:val="20"/>
          <w:lang w:val="fr-CA"/>
        </w:rPr>
        <w:t>Administrator</w:t>
      </w:r>
      <w:proofErr w:type="spellEnd"/>
      <w:r w:rsidRPr="00DD38CB">
        <w:rPr>
          <w:i/>
          <w:sz w:val="20"/>
          <w:lang w:val="fr-CA"/>
        </w:rPr>
        <w:t xml:space="preserve"> of </w:t>
      </w:r>
      <w:proofErr w:type="spellStart"/>
      <w:r w:rsidRPr="00DD38CB">
        <w:rPr>
          <w:i/>
          <w:sz w:val="20"/>
          <w:lang w:val="fr-CA"/>
        </w:rPr>
        <w:t>Motor</w:t>
      </w:r>
      <w:proofErr w:type="spellEnd"/>
      <w:r w:rsidRPr="00DD38CB">
        <w:rPr>
          <w:i/>
          <w:sz w:val="20"/>
          <w:lang w:val="fr-CA"/>
        </w:rPr>
        <w:t xml:space="preserve"> </w:t>
      </w:r>
      <w:proofErr w:type="spellStart"/>
      <w:r w:rsidRPr="00DD38CB">
        <w:rPr>
          <w:i/>
          <w:sz w:val="20"/>
          <w:lang w:val="fr-CA"/>
        </w:rPr>
        <w:t>Vehicle</w:t>
      </w:r>
      <w:proofErr w:type="spellEnd"/>
      <w:r w:rsidRPr="00DD38CB">
        <w:rPr>
          <w:i/>
          <w:sz w:val="20"/>
          <w:lang w:val="fr-CA"/>
        </w:rPr>
        <w:t xml:space="preserve"> Accident Claims</w:t>
      </w:r>
      <w:r w:rsidRPr="00DD38CB">
        <w:rPr>
          <w:sz w:val="20"/>
          <w:lang w:val="fr-CA"/>
        </w:rPr>
        <w:t xml:space="preserve"> de l’Alberta. L’</w:t>
      </w:r>
      <w:proofErr w:type="spellStart"/>
      <w:r w:rsidRPr="00DD38CB">
        <w:rPr>
          <w:i/>
          <w:sz w:val="20"/>
          <w:lang w:val="fr-CA"/>
        </w:rPr>
        <w:t>Administrator</w:t>
      </w:r>
      <w:proofErr w:type="spellEnd"/>
      <w:r w:rsidRPr="00DD38CB">
        <w:rPr>
          <w:sz w:val="20"/>
          <w:lang w:val="fr-CA"/>
        </w:rPr>
        <w:t xml:space="preserve"> est devenu le créancier en vertu du jugement.  Monsieur </w:t>
      </w:r>
      <w:proofErr w:type="spellStart"/>
      <w:r w:rsidRPr="00DD38CB">
        <w:rPr>
          <w:sz w:val="20"/>
          <w:lang w:val="fr-CA"/>
        </w:rPr>
        <w:t>Moloney</w:t>
      </w:r>
      <w:proofErr w:type="spellEnd"/>
      <w:r w:rsidRPr="00DD38CB">
        <w:rPr>
          <w:sz w:val="20"/>
          <w:lang w:val="fr-CA"/>
        </w:rPr>
        <w:t xml:space="preserve"> n’a pas acquitté la dette constatée par jugement.  En vertu des pouvoirs d’exécution prévus au par. 102(2) de la </w:t>
      </w:r>
      <w:r w:rsidRPr="00DD38CB">
        <w:rPr>
          <w:i/>
          <w:sz w:val="20"/>
          <w:lang w:val="fr-CA"/>
        </w:rPr>
        <w:t>Traffic Safety Act</w:t>
      </w:r>
      <w:r w:rsidRPr="00DD38CB">
        <w:rPr>
          <w:sz w:val="20"/>
          <w:lang w:val="fr-CA"/>
        </w:rPr>
        <w:t xml:space="preserve">, RSA 2000, ch. T-6, le </w:t>
      </w:r>
      <w:proofErr w:type="spellStart"/>
      <w:r w:rsidRPr="00DD38CB">
        <w:rPr>
          <w:i/>
          <w:sz w:val="20"/>
          <w:lang w:val="fr-CA"/>
        </w:rPr>
        <w:t>Registrar</w:t>
      </w:r>
      <w:proofErr w:type="spellEnd"/>
      <w:r w:rsidRPr="00DD38CB">
        <w:rPr>
          <w:i/>
          <w:sz w:val="20"/>
          <w:lang w:val="fr-CA"/>
        </w:rPr>
        <w:t xml:space="preserve"> of </w:t>
      </w:r>
      <w:proofErr w:type="spellStart"/>
      <w:r w:rsidRPr="00DD38CB">
        <w:rPr>
          <w:i/>
          <w:sz w:val="20"/>
          <w:lang w:val="fr-CA"/>
        </w:rPr>
        <w:t>Motor</w:t>
      </w:r>
      <w:proofErr w:type="spellEnd"/>
      <w:r w:rsidRPr="00DD38CB">
        <w:rPr>
          <w:i/>
          <w:sz w:val="20"/>
          <w:lang w:val="fr-CA"/>
        </w:rPr>
        <w:t xml:space="preserve"> </w:t>
      </w:r>
      <w:proofErr w:type="spellStart"/>
      <w:r w:rsidRPr="00DD38CB">
        <w:rPr>
          <w:i/>
          <w:sz w:val="20"/>
          <w:lang w:val="fr-CA"/>
        </w:rPr>
        <w:t>Vehicles</w:t>
      </w:r>
      <w:proofErr w:type="spellEnd"/>
      <w:r w:rsidRPr="00DD38CB">
        <w:rPr>
          <w:sz w:val="20"/>
          <w:lang w:val="fr-CA"/>
        </w:rPr>
        <w:t xml:space="preserve"> de l’Alberta a suspendu le certificat d’immatriculation du véhicule de M. Moloney ainsi que son permis de conduire.  Monsieur Moloney a déposé une requête en faillite et s’est vu accorder une libération absolue le 17 juin 2011.  Malgré la libération de faillite, parce que M. </w:t>
      </w:r>
      <w:proofErr w:type="spellStart"/>
      <w:r w:rsidRPr="00DD38CB">
        <w:rPr>
          <w:sz w:val="20"/>
          <w:lang w:val="fr-CA"/>
        </w:rPr>
        <w:t>Moloney</w:t>
      </w:r>
      <w:proofErr w:type="spellEnd"/>
      <w:r w:rsidRPr="00DD38CB">
        <w:rPr>
          <w:sz w:val="20"/>
          <w:lang w:val="fr-CA"/>
        </w:rPr>
        <w:t xml:space="preserve"> n’a pas acquitté la dette constatée par un jugement ou conclu une entente de remboursement par versements échelonnés, il y a eu rétablissement obligatoire de son interdiction de conduire et de la suspension du certificat d’immatriculation de son véhicule.  </w:t>
      </w:r>
    </w:p>
    <w:p w:rsidR="00461EEE" w:rsidRPr="00DD38CB" w:rsidRDefault="00461EEE" w:rsidP="008E27E5">
      <w:pPr>
        <w:widowControl w:val="0"/>
        <w:jc w:val="both"/>
        <w:rPr>
          <w:sz w:val="20"/>
          <w:lang w:val="fr-CA"/>
        </w:rPr>
      </w:pPr>
    </w:p>
    <w:p w:rsidR="00461EEE" w:rsidRPr="00DD38CB" w:rsidRDefault="00461EEE" w:rsidP="008E27E5">
      <w:pPr>
        <w:widowControl w:val="0"/>
        <w:jc w:val="both"/>
        <w:rPr>
          <w:sz w:val="20"/>
          <w:lang w:val="fr-CA"/>
        </w:rPr>
      </w:pPr>
    </w:p>
    <w:p w:rsidR="00461EEE" w:rsidRPr="00DD38CB" w:rsidRDefault="00461EEE" w:rsidP="008E27E5">
      <w:pPr>
        <w:widowControl w:val="0"/>
        <w:jc w:val="both"/>
        <w:rPr>
          <w:sz w:val="20"/>
          <w:lang w:val="fr-CA"/>
        </w:rPr>
      </w:pPr>
      <w:r w:rsidRPr="00DD38CB">
        <w:rPr>
          <w:sz w:val="20"/>
          <w:lang w:val="fr-CA"/>
        </w:rPr>
        <w:t>Origine :</w:t>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Alberta</w:t>
      </w:r>
    </w:p>
    <w:p w:rsidR="00461EEE" w:rsidRPr="00DD38CB" w:rsidRDefault="00461EEE" w:rsidP="008E27E5">
      <w:pPr>
        <w:widowControl w:val="0"/>
        <w:jc w:val="both"/>
        <w:rPr>
          <w:sz w:val="20"/>
          <w:lang w:val="fr-CA"/>
        </w:rPr>
      </w:pPr>
    </w:p>
    <w:p w:rsidR="00461EEE" w:rsidRPr="00DD38CB" w:rsidRDefault="00461EEE" w:rsidP="008E27E5">
      <w:pPr>
        <w:widowControl w:val="0"/>
        <w:jc w:val="both"/>
        <w:rPr>
          <w:sz w:val="20"/>
          <w:lang w:val="fr-CA"/>
        </w:rPr>
      </w:pPr>
      <w:r w:rsidRPr="00DD38CB">
        <w:rPr>
          <w:sz w:val="20"/>
          <w:lang w:val="fr-CA"/>
        </w:rPr>
        <w:t>N</w:t>
      </w:r>
      <w:r w:rsidRPr="00DD38CB">
        <w:rPr>
          <w:sz w:val="20"/>
          <w:vertAlign w:val="superscript"/>
          <w:lang w:val="fr-CA"/>
        </w:rPr>
        <w:t>o</w:t>
      </w:r>
      <w:r w:rsidRPr="00DD38CB">
        <w:rPr>
          <w:sz w:val="20"/>
          <w:lang w:val="fr-CA"/>
        </w:rPr>
        <w:t xml:space="preserve"> du greffe :</w:t>
      </w:r>
      <w:r w:rsidRPr="00DD38CB">
        <w:rPr>
          <w:sz w:val="20"/>
          <w:lang w:val="fr-CA"/>
        </w:rPr>
        <w:tab/>
      </w:r>
      <w:r w:rsidRPr="00DD38CB">
        <w:rPr>
          <w:sz w:val="20"/>
          <w:lang w:val="fr-CA"/>
        </w:rPr>
        <w:tab/>
      </w:r>
      <w:r w:rsidRPr="00DD38CB">
        <w:rPr>
          <w:sz w:val="20"/>
          <w:lang w:val="fr-CA"/>
        </w:rPr>
        <w:tab/>
      </w:r>
      <w:r w:rsidRPr="00DD38CB">
        <w:rPr>
          <w:sz w:val="20"/>
          <w:lang w:val="fr-CA"/>
        </w:rPr>
        <w:tab/>
        <w:t>35820</w:t>
      </w:r>
    </w:p>
    <w:p w:rsidR="00461EEE" w:rsidRPr="00DD38CB" w:rsidRDefault="00461EEE" w:rsidP="008E27E5">
      <w:pPr>
        <w:widowControl w:val="0"/>
        <w:jc w:val="both"/>
        <w:rPr>
          <w:sz w:val="20"/>
          <w:lang w:val="fr-CA"/>
        </w:rPr>
      </w:pPr>
    </w:p>
    <w:p w:rsidR="00461EEE" w:rsidRPr="00DD38CB" w:rsidRDefault="00461EEE" w:rsidP="008E27E5">
      <w:pPr>
        <w:widowControl w:val="0"/>
        <w:jc w:val="both"/>
        <w:rPr>
          <w:sz w:val="20"/>
          <w:lang w:val="fr-CA"/>
        </w:rPr>
      </w:pPr>
      <w:r w:rsidRPr="00DD38CB">
        <w:rPr>
          <w:sz w:val="20"/>
          <w:lang w:val="fr-CA"/>
        </w:rPr>
        <w:t>Arrêt de la Cour d’appel :</w:t>
      </w:r>
      <w:r w:rsidRPr="00DD38CB">
        <w:rPr>
          <w:sz w:val="20"/>
          <w:lang w:val="fr-CA"/>
        </w:rPr>
        <w:tab/>
      </w:r>
      <w:r w:rsidRPr="00DD38CB">
        <w:rPr>
          <w:sz w:val="20"/>
          <w:lang w:val="fr-CA"/>
        </w:rPr>
        <w:tab/>
        <w:t>le 13 février 2014</w:t>
      </w:r>
    </w:p>
    <w:p w:rsidR="00461EEE" w:rsidRPr="00DD38CB" w:rsidRDefault="00461EEE" w:rsidP="008E27E5">
      <w:pPr>
        <w:widowControl w:val="0"/>
        <w:jc w:val="both"/>
        <w:rPr>
          <w:sz w:val="20"/>
          <w:lang w:val="fr-CA"/>
        </w:rPr>
      </w:pPr>
    </w:p>
    <w:p w:rsidR="00461EEE" w:rsidRPr="00DD38CB" w:rsidRDefault="00461EEE" w:rsidP="008E27E5">
      <w:pPr>
        <w:widowControl w:val="0"/>
        <w:jc w:val="both"/>
        <w:rPr>
          <w:sz w:val="20"/>
          <w:lang w:val="fr-CA"/>
        </w:rPr>
      </w:pPr>
      <w:r w:rsidRPr="00DD38CB">
        <w:rPr>
          <w:sz w:val="20"/>
          <w:lang w:val="fr-CA"/>
        </w:rPr>
        <w:t>Avocats :</w:t>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Lillian Riczu et Randy Steele pour l’appelant</w:t>
      </w:r>
    </w:p>
    <w:p w:rsidR="00461EEE" w:rsidRPr="00DD38CB" w:rsidRDefault="00461EEE" w:rsidP="008E27E5">
      <w:pPr>
        <w:widowControl w:val="0"/>
        <w:jc w:val="both"/>
        <w:rPr>
          <w:sz w:val="20"/>
        </w:rPr>
      </w:pP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rPr>
        <w:t xml:space="preserve">Jeremy Newton pour </w:t>
      </w:r>
      <w:proofErr w:type="spellStart"/>
      <w:r w:rsidRPr="00DD38CB">
        <w:rPr>
          <w:sz w:val="20"/>
        </w:rPr>
        <w:t>l’intimé</w:t>
      </w:r>
      <w:proofErr w:type="spellEnd"/>
    </w:p>
    <w:p w:rsidR="00461EEE" w:rsidRPr="00DD38CB" w:rsidRDefault="00461EEE" w:rsidP="008E27E5">
      <w:pPr>
        <w:widowControl w:val="0"/>
        <w:jc w:val="both"/>
        <w:rPr>
          <w:sz w:val="20"/>
        </w:rPr>
      </w:pPr>
    </w:p>
    <w:p w:rsidR="00461EEE" w:rsidRPr="00DD38CB" w:rsidRDefault="00461EEE" w:rsidP="008E27E5">
      <w:pPr>
        <w:widowControl w:val="0"/>
        <w:jc w:val="both"/>
        <w:rPr>
          <w:sz w:val="20"/>
        </w:rPr>
      </w:pPr>
    </w:p>
    <w:p w:rsidR="00461EEE" w:rsidRPr="00DD38CB" w:rsidRDefault="00461EEE" w:rsidP="00D362FA">
      <w:pPr>
        <w:widowControl w:val="0"/>
        <w:ind w:left="720" w:hanging="720"/>
        <w:jc w:val="both"/>
        <w:rPr>
          <w:sz w:val="20"/>
          <w:lang w:val="en-CA"/>
        </w:rPr>
      </w:pPr>
      <w:r w:rsidRPr="00DD38CB">
        <w:rPr>
          <w:b/>
          <w:sz w:val="20"/>
          <w:lang w:val="en-CA"/>
        </w:rPr>
        <w:lastRenderedPageBreak/>
        <w:fldChar w:fldCharType="begin"/>
      </w:r>
      <w:r w:rsidRPr="00DD38CB">
        <w:rPr>
          <w:b/>
          <w:sz w:val="20"/>
        </w:rPr>
        <w:instrText xml:space="preserve"> SEQ CHAPTER \h \r 1</w:instrText>
      </w:r>
      <w:r w:rsidRPr="00DD38CB">
        <w:rPr>
          <w:b/>
          <w:sz w:val="20"/>
        </w:rPr>
        <w:fldChar w:fldCharType="end"/>
      </w:r>
      <w:r w:rsidRPr="00DD38CB">
        <w:rPr>
          <w:b/>
          <w:sz w:val="20"/>
          <w:lang w:val="en-CA"/>
        </w:rPr>
        <w:t>35923</w:t>
      </w:r>
      <w:r w:rsidRPr="00DD38CB">
        <w:rPr>
          <w:sz w:val="20"/>
          <w:lang w:val="en-CA"/>
        </w:rPr>
        <w:tab/>
      </w:r>
      <w:r w:rsidRPr="00DD38CB">
        <w:rPr>
          <w:b/>
          <w:i/>
          <w:sz w:val="20"/>
        </w:rPr>
        <w:t>Attorney</w:t>
      </w:r>
      <w:r w:rsidRPr="00DD38CB">
        <w:rPr>
          <w:b/>
          <w:i/>
          <w:sz w:val="20"/>
          <w:lang w:val="en-CA"/>
        </w:rPr>
        <w:t xml:space="preserve"> General of Saskatchewan v. </w:t>
      </w:r>
      <w:proofErr w:type="spellStart"/>
      <w:r w:rsidRPr="00DD38CB">
        <w:rPr>
          <w:b/>
          <w:i/>
          <w:sz w:val="20"/>
          <w:lang w:val="en-CA"/>
        </w:rPr>
        <w:t>Lemare</w:t>
      </w:r>
      <w:proofErr w:type="spellEnd"/>
      <w:r w:rsidRPr="00DD38CB">
        <w:rPr>
          <w:b/>
          <w:i/>
          <w:sz w:val="20"/>
          <w:lang w:val="en-CA"/>
        </w:rPr>
        <w:t xml:space="preserve"> Lake Logging Ltd</w:t>
      </w:r>
      <w:r w:rsidRPr="00DD38CB">
        <w:rPr>
          <w:b/>
          <w:sz w:val="20"/>
          <w:lang w:val="en-CA"/>
        </w:rPr>
        <w:t>.</w:t>
      </w:r>
    </w:p>
    <w:p w:rsidR="00461EEE" w:rsidRPr="00DD38CB" w:rsidRDefault="00461EEE">
      <w:pPr>
        <w:widowControl w:val="0"/>
        <w:jc w:val="both"/>
        <w:rPr>
          <w:sz w:val="20"/>
          <w:lang w:val="en-CA"/>
        </w:rPr>
      </w:pPr>
    </w:p>
    <w:p w:rsidR="00461EEE" w:rsidRPr="00DD38CB" w:rsidRDefault="00461EEE" w:rsidP="00D362FA">
      <w:pPr>
        <w:jc w:val="both"/>
        <w:rPr>
          <w:sz w:val="20"/>
          <w:lang w:val="en-CA"/>
        </w:rPr>
      </w:pPr>
      <w:r w:rsidRPr="00DD38CB">
        <w:rPr>
          <w:sz w:val="20"/>
        </w:rPr>
        <w:t xml:space="preserve">Constitutional law - Federal Paramountcy - Bankruptcy and Insolvency - Whether the </w:t>
      </w:r>
      <w:r w:rsidRPr="00DD38CB">
        <w:rPr>
          <w:i/>
          <w:sz w:val="20"/>
        </w:rPr>
        <w:t>Bankruptcy and Insolvency Act</w:t>
      </w:r>
      <w:r w:rsidRPr="00DD38CB">
        <w:rPr>
          <w:sz w:val="20"/>
        </w:rPr>
        <w:t>, R.S.C. 1985, c. B-3 (“</w:t>
      </w:r>
      <w:r w:rsidRPr="00DD38CB">
        <w:rPr>
          <w:i/>
          <w:sz w:val="20"/>
        </w:rPr>
        <w:t>BIA</w:t>
      </w:r>
      <w:r w:rsidRPr="00DD38CB">
        <w:rPr>
          <w:sz w:val="20"/>
        </w:rPr>
        <w:t xml:space="preserve">”), renders Part II of the </w:t>
      </w:r>
      <w:r w:rsidRPr="00DD38CB">
        <w:rPr>
          <w:i/>
          <w:sz w:val="20"/>
        </w:rPr>
        <w:t>Saskatchewan Farm Security Act</w:t>
      </w:r>
      <w:r w:rsidRPr="00DD38CB">
        <w:rPr>
          <w:sz w:val="20"/>
        </w:rPr>
        <w:t>, S.S. 1988-89, c. S-17 (“</w:t>
      </w:r>
      <w:r w:rsidRPr="00DD38CB">
        <w:rPr>
          <w:i/>
          <w:sz w:val="20"/>
        </w:rPr>
        <w:t>SFSA</w:t>
      </w:r>
      <w:r w:rsidRPr="00DD38CB">
        <w:rPr>
          <w:sz w:val="20"/>
        </w:rPr>
        <w:t xml:space="preserve">”), inoperative by virtue of the doctrine of federal paramountcy - </w:t>
      </w:r>
      <w:r w:rsidRPr="00DD38CB">
        <w:rPr>
          <w:i/>
          <w:sz w:val="20"/>
        </w:rPr>
        <w:t>BIA</w:t>
      </w:r>
      <w:r w:rsidRPr="00DD38CB">
        <w:rPr>
          <w:sz w:val="20"/>
        </w:rPr>
        <w:t>, s. 243.</w:t>
      </w:r>
    </w:p>
    <w:p w:rsidR="00461EEE" w:rsidRPr="00DD38CB" w:rsidRDefault="00461EEE">
      <w:pPr>
        <w:widowControl w:val="0"/>
        <w:jc w:val="both"/>
        <w:rPr>
          <w:sz w:val="20"/>
          <w:lang w:val="en-CA"/>
        </w:rPr>
      </w:pPr>
    </w:p>
    <w:p w:rsidR="00461EEE" w:rsidRPr="00DD38CB" w:rsidRDefault="00461EEE" w:rsidP="00271061">
      <w:pPr>
        <w:jc w:val="both"/>
        <w:rPr>
          <w:sz w:val="20"/>
        </w:rPr>
      </w:pPr>
      <w:r w:rsidRPr="00DD38CB">
        <w:rPr>
          <w:sz w:val="20"/>
        </w:rPr>
        <w:t xml:space="preserve">The respondent, </w:t>
      </w:r>
      <w:proofErr w:type="spellStart"/>
      <w:r w:rsidRPr="00DD38CB">
        <w:rPr>
          <w:sz w:val="20"/>
        </w:rPr>
        <w:t>Lemare</w:t>
      </w:r>
      <w:proofErr w:type="spellEnd"/>
      <w:r w:rsidRPr="00DD38CB">
        <w:rPr>
          <w:sz w:val="20"/>
        </w:rPr>
        <w:t xml:space="preserve"> Lake Logging Ltd. (“</w:t>
      </w:r>
      <w:proofErr w:type="spellStart"/>
      <w:r w:rsidRPr="00DD38CB">
        <w:rPr>
          <w:sz w:val="20"/>
        </w:rPr>
        <w:t>Lemare</w:t>
      </w:r>
      <w:proofErr w:type="spellEnd"/>
      <w:r w:rsidRPr="00DD38CB">
        <w:rPr>
          <w:sz w:val="20"/>
        </w:rPr>
        <w:t xml:space="preserve"> Lake”), a secured creditor, brought an application for the court appointment of a receiver and manager of assets, excluding livestock, against a debtor, pursuant to ss. 243(1) of the</w:t>
      </w:r>
      <w:r w:rsidRPr="00DD38CB">
        <w:rPr>
          <w:i/>
          <w:sz w:val="20"/>
        </w:rPr>
        <w:t xml:space="preserve"> </w:t>
      </w:r>
      <w:proofErr w:type="spellStart"/>
      <w:r w:rsidRPr="00DD38CB">
        <w:rPr>
          <w:i/>
          <w:sz w:val="20"/>
        </w:rPr>
        <w:t>BIA</w:t>
      </w:r>
      <w:r w:rsidRPr="00DD38CB">
        <w:rPr>
          <w:sz w:val="20"/>
        </w:rPr>
        <w:t>.The</w:t>
      </w:r>
      <w:proofErr w:type="spellEnd"/>
      <w:r w:rsidRPr="00DD38CB">
        <w:rPr>
          <w:sz w:val="20"/>
        </w:rPr>
        <w:t xml:space="preserve"> debtor, a “farmer” within the meaning of the </w:t>
      </w:r>
      <w:r w:rsidRPr="00DD38CB">
        <w:rPr>
          <w:i/>
          <w:sz w:val="20"/>
        </w:rPr>
        <w:t>SFSA</w:t>
      </w:r>
      <w:r w:rsidRPr="00DD38CB">
        <w:rPr>
          <w:sz w:val="20"/>
        </w:rPr>
        <w:t xml:space="preserve">, took the position that </w:t>
      </w:r>
      <w:proofErr w:type="spellStart"/>
      <w:r w:rsidRPr="00DD38CB">
        <w:rPr>
          <w:sz w:val="20"/>
        </w:rPr>
        <w:t>Lemare</w:t>
      </w:r>
      <w:proofErr w:type="spellEnd"/>
      <w:r w:rsidRPr="00DD38CB">
        <w:rPr>
          <w:sz w:val="20"/>
        </w:rPr>
        <w:t xml:space="preserve"> Lake must comply with Part II of the </w:t>
      </w:r>
      <w:r w:rsidRPr="00DD38CB">
        <w:rPr>
          <w:i/>
          <w:sz w:val="20"/>
        </w:rPr>
        <w:t>SFSA</w:t>
      </w:r>
      <w:r w:rsidRPr="00DD38CB">
        <w:rPr>
          <w:sz w:val="20"/>
        </w:rPr>
        <w:t xml:space="preserve">, particularly s. 9 and 11, before seeking the appointment of a receiver under ss. 243(1) of the </w:t>
      </w:r>
      <w:r w:rsidRPr="00DD38CB">
        <w:rPr>
          <w:i/>
          <w:sz w:val="20"/>
        </w:rPr>
        <w:t>BIA</w:t>
      </w:r>
      <w:r w:rsidRPr="00DD38CB">
        <w:rPr>
          <w:sz w:val="20"/>
        </w:rPr>
        <w:t xml:space="preserve">. Part II of the </w:t>
      </w:r>
      <w:r w:rsidRPr="00DD38CB">
        <w:rPr>
          <w:i/>
          <w:sz w:val="20"/>
        </w:rPr>
        <w:t xml:space="preserve">SFSA </w:t>
      </w:r>
      <w:r w:rsidRPr="00DD38CB">
        <w:rPr>
          <w:sz w:val="20"/>
        </w:rPr>
        <w:t xml:space="preserve">requires a creditor to submit a notice of intent and complete a review and mediation process, before initiating court proceedings to enforce its claim against a farmer. </w:t>
      </w:r>
      <w:proofErr w:type="spellStart"/>
      <w:r w:rsidRPr="00DD38CB">
        <w:rPr>
          <w:sz w:val="20"/>
        </w:rPr>
        <w:t>Lemare</w:t>
      </w:r>
      <w:proofErr w:type="spellEnd"/>
      <w:r w:rsidRPr="00DD38CB">
        <w:rPr>
          <w:sz w:val="20"/>
        </w:rPr>
        <w:t xml:space="preserve"> Lake argued that the doctrine of federal paramountcy rendered the relevant provisions of the </w:t>
      </w:r>
      <w:r w:rsidRPr="00DD38CB">
        <w:rPr>
          <w:i/>
          <w:sz w:val="20"/>
        </w:rPr>
        <w:t>SFSA</w:t>
      </w:r>
      <w:r w:rsidRPr="00DD38CB">
        <w:rPr>
          <w:sz w:val="20"/>
        </w:rPr>
        <w:t xml:space="preserve"> inoperative. The appellant, Attorney General for Saskatchewan, intervened on the constitutional issue pursuant to the </w:t>
      </w:r>
      <w:r w:rsidRPr="00DD38CB">
        <w:rPr>
          <w:i/>
          <w:sz w:val="20"/>
        </w:rPr>
        <w:t>Constitutional Questions Act</w:t>
      </w:r>
      <w:r w:rsidRPr="00DD38CB">
        <w:rPr>
          <w:sz w:val="20"/>
        </w:rPr>
        <w:t>, 2012, S.S. 2012, c. 29.01.</w:t>
      </w:r>
    </w:p>
    <w:p w:rsidR="00461EEE" w:rsidRPr="00DD38CB" w:rsidRDefault="00461EEE" w:rsidP="00271061">
      <w:pPr>
        <w:jc w:val="both"/>
        <w:rPr>
          <w:sz w:val="20"/>
        </w:rPr>
      </w:pPr>
    </w:p>
    <w:p w:rsidR="00461EEE" w:rsidRPr="00DD38CB" w:rsidRDefault="00461EEE" w:rsidP="00271061">
      <w:pPr>
        <w:jc w:val="both"/>
        <w:rPr>
          <w:sz w:val="20"/>
        </w:rPr>
      </w:pPr>
      <w:r w:rsidRPr="00DD38CB">
        <w:rPr>
          <w:sz w:val="20"/>
        </w:rPr>
        <w:t xml:space="preserve">The chambers judge dismissed the application. She found that the doctrine of federal paramountcy did not apply. In her view, there was no operational conflict between the provincial and federal statutes because it was possible to comply with both by obtaining an order under the </w:t>
      </w:r>
      <w:r w:rsidRPr="00DD38CB">
        <w:rPr>
          <w:i/>
          <w:sz w:val="20"/>
        </w:rPr>
        <w:t>SFSA</w:t>
      </w:r>
      <w:r w:rsidRPr="00DD38CB">
        <w:rPr>
          <w:sz w:val="20"/>
        </w:rPr>
        <w:t xml:space="preserve"> before applying for the appointment of a receiver. She also found that the </w:t>
      </w:r>
      <w:r w:rsidRPr="00DD38CB">
        <w:rPr>
          <w:i/>
          <w:sz w:val="20"/>
        </w:rPr>
        <w:t>SFSA</w:t>
      </w:r>
      <w:r w:rsidRPr="00DD38CB">
        <w:rPr>
          <w:sz w:val="20"/>
        </w:rPr>
        <w:t xml:space="preserve"> was not incompatible with the purpose of ss. 243(1) of the </w:t>
      </w:r>
      <w:r w:rsidRPr="00DD38CB">
        <w:rPr>
          <w:i/>
          <w:sz w:val="20"/>
        </w:rPr>
        <w:t>BIA</w:t>
      </w:r>
      <w:r w:rsidRPr="00DD38CB">
        <w:rPr>
          <w:sz w:val="20"/>
        </w:rPr>
        <w:t xml:space="preserve">, which allows for the appointment of a national receiver. In the chambers judge’s view, Part II of the </w:t>
      </w:r>
      <w:r w:rsidRPr="00DD38CB">
        <w:rPr>
          <w:i/>
          <w:sz w:val="20"/>
        </w:rPr>
        <w:t xml:space="preserve">SFSA </w:t>
      </w:r>
      <w:r w:rsidRPr="00DD38CB">
        <w:rPr>
          <w:sz w:val="20"/>
        </w:rPr>
        <w:t>did not frustrate that objective. In the event that she was wrong, the chambers judge explained that she would have dismissed the application on the basis that the foreclosure procedure was the appropriate remedy and it would be neither convenient nor just to appoint a receiver.</w:t>
      </w:r>
    </w:p>
    <w:p w:rsidR="00461EEE" w:rsidRPr="00DD38CB" w:rsidRDefault="00461EEE" w:rsidP="00271061">
      <w:pPr>
        <w:jc w:val="both"/>
        <w:rPr>
          <w:sz w:val="20"/>
        </w:rPr>
      </w:pPr>
    </w:p>
    <w:p w:rsidR="00461EEE" w:rsidRPr="00DD38CB" w:rsidRDefault="00461EEE" w:rsidP="00271061">
      <w:pPr>
        <w:jc w:val="both"/>
        <w:rPr>
          <w:sz w:val="20"/>
        </w:rPr>
      </w:pPr>
      <w:r w:rsidRPr="00DD38CB">
        <w:rPr>
          <w:sz w:val="20"/>
        </w:rPr>
        <w:t xml:space="preserve">The Court of Appeal agreed with the chambers judge that it would be neither convenient nor just to appoint a receiver in this case, and the appeal was dismissed for that reason. The Court nevertheless addressed the constitutional question on the basis that it was fully argued and that doing so would avoid future re-litigation. The Court of Appeal found Part II of the </w:t>
      </w:r>
      <w:r w:rsidRPr="00DD38CB">
        <w:rPr>
          <w:i/>
          <w:sz w:val="20"/>
        </w:rPr>
        <w:t>SFSA</w:t>
      </w:r>
      <w:r w:rsidRPr="00DD38CB">
        <w:rPr>
          <w:sz w:val="20"/>
        </w:rPr>
        <w:t xml:space="preserve"> to be inoperative by virtue of the doctrine of federal paramountcy. In the Court’s view, the purpose of ss. 243(1) of the </w:t>
      </w:r>
      <w:r w:rsidRPr="00DD38CB">
        <w:rPr>
          <w:i/>
          <w:sz w:val="20"/>
        </w:rPr>
        <w:t>BIA</w:t>
      </w:r>
      <w:r w:rsidRPr="00DD38CB">
        <w:rPr>
          <w:sz w:val="20"/>
        </w:rPr>
        <w:t xml:space="preserve"> is to allow for the quick appointment of a national receiver. The relevant provisions of the </w:t>
      </w:r>
      <w:r w:rsidRPr="00DD38CB">
        <w:rPr>
          <w:i/>
          <w:sz w:val="20"/>
        </w:rPr>
        <w:t>SFSA</w:t>
      </w:r>
      <w:r w:rsidRPr="00DD38CB">
        <w:rPr>
          <w:sz w:val="20"/>
        </w:rPr>
        <w:t xml:space="preserve"> frustrated that purpose by dramatically delaying a creditor’s application for a receivership order and imposing new criteria for the granting of a receivership order.</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Origin of the case:</w:t>
      </w:r>
      <w:r w:rsidRPr="00DD38CB">
        <w:rPr>
          <w:sz w:val="20"/>
          <w:lang w:val="en-CA"/>
        </w:rPr>
        <w:tab/>
      </w:r>
      <w:r w:rsidRPr="00DD38CB">
        <w:rPr>
          <w:sz w:val="20"/>
          <w:lang w:val="en-CA"/>
        </w:rPr>
        <w:tab/>
      </w:r>
      <w:r w:rsidRPr="00DD38CB">
        <w:rPr>
          <w:sz w:val="20"/>
          <w:lang w:val="en-CA"/>
        </w:rPr>
        <w:tab/>
      </w:r>
      <w:r w:rsidRPr="00DD38CB">
        <w:rPr>
          <w:sz w:val="20"/>
          <w:lang w:val="en-CA"/>
        </w:rPr>
        <w:tab/>
        <w:t>Saskatchewan</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File No.:</w:t>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35923</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Judgment of the Court of Appeal:</w:t>
      </w:r>
      <w:r w:rsidRPr="00DD38CB">
        <w:rPr>
          <w:sz w:val="20"/>
          <w:lang w:val="en-CA"/>
        </w:rPr>
        <w:tab/>
        <w:t>April 1, 2014</w:t>
      </w:r>
    </w:p>
    <w:p w:rsidR="00461EEE" w:rsidRPr="00DD38CB" w:rsidRDefault="00461EEE">
      <w:pPr>
        <w:widowControl w:val="0"/>
        <w:jc w:val="both"/>
        <w:rPr>
          <w:sz w:val="20"/>
          <w:lang w:val="en-CA"/>
        </w:rPr>
      </w:pPr>
    </w:p>
    <w:p w:rsidR="00461EEE" w:rsidRPr="00DD38CB" w:rsidRDefault="00461EEE">
      <w:pPr>
        <w:widowControl w:val="0"/>
        <w:jc w:val="both"/>
        <w:rPr>
          <w:sz w:val="20"/>
          <w:lang w:val="en-CA"/>
        </w:rPr>
      </w:pPr>
      <w:r w:rsidRPr="00DD38CB">
        <w:rPr>
          <w:sz w:val="20"/>
          <w:lang w:val="en-CA"/>
        </w:rPr>
        <w:t>Counsel:</w:t>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 xml:space="preserve">Thomson Irvine and </w:t>
      </w:r>
      <w:proofErr w:type="spellStart"/>
      <w:r w:rsidRPr="00DD38CB">
        <w:rPr>
          <w:sz w:val="20"/>
          <w:lang w:val="en-CA"/>
        </w:rPr>
        <w:t>Kathering</w:t>
      </w:r>
      <w:proofErr w:type="spellEnd"/>
      <w:r w:rsidRPr="00DD38CB">
        <w:rPr>
          <w:sz w:val="20"/>
          <w:lang w:val="en-CA"/>
        </w:rPr>
        <w:t xml:space="preserve"> Roy for the Appellant</w:t>
      </w:r>
    </w:p>
    <w:p w:rsidR="00461EEE" w:rsidRPr="00DD38CB" w:rsidRDefault="00461EEE">
      <w:pPr>
        <w:widowControl w:val="0"/>
        <w:jc w:val="both"/>
        <w:rPr>
          <w:i/>
          <w:sz w:val="20"/>
          <w:lang w:val="en-CA"/>
        </w:rPr>
      </w:pP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r>
      <w:r w:rsidRPr="00DD38CB">
        <w:rPr>
          <w:sz w:val="20"/>
          <w:lang w:val="en-CA"/>
        </w:rPr>
        <w:tab/>
        <w:t xml:space="preserve">Jeffrey M. Lee, Q.C. and Kristen MacDonald for the </w:t>
      </w:r>
      <w:r w:rsidRPr="00DD38CB">
        <w:rPr>
          <w:i/>
          <w:sz w:val="20"/>
          <w:lang w:val="en-CA"/>
        </w:rPr>
        <w:t>amicus curiae</w:t>
      </w:r>
    </w:p>
    <w:p w:rsidR="00461EEE" w:rsidRPr="00DD38CB" w:rsidRDefault="00461EEE">
      <w:pPr>
        <w:widowControl w:val="0"/>
        <w:jc w:val="both"/>
        <w:rPr>
          <w:i/>
          <w:sz w:val="20"/>
          <w:lang w:val="en-CA"/>
        </w:rPr>
      </w:pPr>
    </w:p>
    <w:p w:rsidR="00461EEE" w:rsidRPr="00DD38CB" w:rsidRDefault="00461EEE">
      <w:pPr>
        <w:widowControl w:val="0"/>
        <w:jc w:val="both"/>
        <w:rPr>
          <w:sz w:val="20"/>
          <w:lang w:val="en-CA"/>
        </w:rPr>
      </w:pPr>
    </w:p>
    <w:p w:rsidR="00461EEE" w:rsidRPr="00DD38CB" w:rsidRDefault="00461EEE" w:rsidP="006C45BF">
      <w:pPr>
        <w:widowControl w:val="0"/>
        <w:ind w:left="720" w:hanging="720"/>
        <w:jc w:val="both"/>
        <w:rPr>
          <w:sz w:val="20"/>
          <w:lang w:val="fr-CA"/>
        </w:rPr>
      </w:pPr>
      <w:r w:rsidRPr="00DD38CB">
        <w:rPr>
          <w:b/>
          <w:sz w:val="20"/>
          <w:lang w:val="fr-CA"/>
        </w:rPr>
        <w:fldChar w:fldCharType="begin"/>
      </w:r>
      <w:r w:rsidRPr="00DD38CB">
        <w:rPr>
          <w:b/>
          <w:sz w:val="20"/>
          <w:lang w:val="fr-CA"/>
        </w:rPr>
        <w:instrText xml:space="preserve"> SEQ CHAPTER \h \r 1</w:instrText>
      </w:r>
      <w:r w:rsidRPr="00DD38CB">
        <w:rPr>
          <w:b/>
          <w:sz w:val="20"/>
          <w:lang w:val="fr-CA"/>
        </w:rPr>
        <w:fldChar w:fldCharType="end"/>
      </w:r>
      <w:r w:rsidRPr="00DD38CB">
        <w:rPr>
          <w:b/>
          <w:sz w:val="20"/>
          <w:lang w:val="fr-CA"/>
        </w:rPr>
        <w:t>35923</w:t>
      </w:r>
      <w:r w:rsidRPr="00DD38CB">
        <w:rPr>
          <w:sz w:val="20"/>
          <w:lang w:val="fr-CA"/>
        </w:rPr>
        <w:tab/>
      </w:r>
      <w:r w:rsidRPr="00DD38CB">
        <w:rPr>
          <w:b/>
          <w:i/>
          <w:sz w:val="20"/>
          <w:lang w:val="fr-CA"/>
        </w:rPr>
        <w:t>Procureur général de la Saskatchewan c. Lemare Lake Logging Ltd</w:t>
      </w:r>
      <w:r w:rsidRPr="00DD38CB">
        <w:rPr>
          <w:b/>
          <w:sz w:val="20"/>
          <w:lang w:val="fr-CA"/>
        </w:rPr>
        <w:t>.</w:t>
      </w:r>
    </w:p>
    <w:p w:rsidR="00461EEE" w:rsidRPr="00DD38CB" w:rsidRDefault="00461EEE" w:rsidP="006C45BF">
      <w:pPr>
        <w:widowControl w:val="0"/>
        <w:jc w:val="both"/>
        <w:rPr>
          <w:sz w:val="20"/>
          <w:lang w:val="fr-CA"/>
        </w:rPr>
      </w:pPr>
    </w:p>
    <w:p w:rsidR="00461EEE" w:rsidRPr="00DD38CB" w:rsidRDefault="00461EEE" w:rsidP="006C45BF">
      <w:pPr>
        <w:jc w:val="both"/>
        <w:rPr>
          <w:sz w:val="20"/>
          <w:lang w:val="fr-CA"/>
        </w:rPr>
      </w:pPr>
      <w:r w:rsidRPr="00DD38CB">
        <w:rPr>
          <w:sz w:val="20"/>
          <w:lang w:val="fr-CA"/>
        </w:rPr>
        <w:t xml:space="preserve">Droit constitutionnel - Prépondérance fédérale - Faillite et insolvabilité - La </w:t>
      </w:r>
      <w:r w:rsidRPr="00DD38CB">
        <w:rPr>
          <w:i/>
          <w:sz w:val="20"/>
          <w:lang w:val="fr-CA"/>
        </w:rPr>
        <w:t>Loi sur la faillite et l’insolvabilité</w:t>
      </w:r>
      <w:r w:rsidRPr="00DD38CB">
        <w:rPr>
          <w:sz w:val="20"/>
          <w:lang w:val="fr-CA"/>
        </w:rPr>
        <w:t>, L.R.C. 1985, ch. B-3 (« </w:t>
      </w:r>
      <w:r w:rsidRPr="00DD38CB">
        <w:rPr>
          <w:i/>
          <w:sz w:val="20"/>
          <w:lang w:val="fr-CA"/>
        </w:rPr>
        <w:t>LFI</w:t>
      </w:r>
      <w:r w:rsidRPr="00DD38CB">
        <w:rPr>
          <w:sz w:val="20"/>
          <w:lang w:val="fr-CA"/>
        </w:rPr>
        <w:t xml:space="preserve"> ») rend-elle la Partie II de la </w:t>
      </w:r>
      <w:r w:rsidRPr="00DD38CB">
        <w:rPr>
          <w:i/>
          <w:sz w:val="20"/>
          <w:lang w:val="fr-CA"/>
        </w:rPr>
        <w:t>Saskatchewan Farm Security Act</w:t>
      </w:r>
      <w:r w:rsidRPr="00DD38CB">
        <w:rPr>
          <w:sz w:val="20"/>
          <w:lang w:val="fr-CA"/>
        </w:rPr>
        <w:t>, S.S. 1988-89, ch. S-17 (« </w:t>
      </w:r>
      <w:r w:rsidRPr="00DD38CB">
        <w:rPr>
          <w:i/>
          <w:sz w:val="20"/>
          <w:lang w:val="fr-CA"/>
        </w:rPr>
        <w:t>SFSA</w:t>
      </w:r>
      <w:r w:rsidRPr="00DD38CB">
        <w:rPr>
          <w:sz w:val="20"/>
          <w:lang w:val="fr-CA"/>
        </w:rPr>
        <w:t xml:space="preserve"> ») inopérante en vertu de la doctrine de la prépondérance fédérale? - </w:t>
      </w:r>
      <w:r w:rsidRPr="00DD38CB">
        <w:rPr>
          <w:i/>
          <w:sz w:val="20"/>
          <w:lang w:val="fr-CA"/>
        </w:rPr>
        <w:t>LFI</w:t>
      </w:r>
      <w:r w:rsidRPr="00DD38CB">
        <w:rPr>
          <w:sz w:val="20"/>
          <w:lang w:val="fr-CA"/>
        </w:rPr>
        <w:t>, art. 243.</w:t>
      </w:r>
    </w:p>
    <w:p w:rsidR="00461EEE" w:rsidRPr="00DD38CB" w:rsidRDefault="00461EEE" w:rsidP="006C45BF">
      <w:pPr>
        <w:widowControl w:val="0"/>
        <w:jc w:val="both"/>
        <w:rPr>
          <w:sz w:val="20"/>
          <w:lang w:val="fr-CA"/>
        </w:rPr>
      </w:pPr>
    </w:p>
    <w:p w:rsidR="00461EEE" w:rsidRPr="00DD38CB" w:rsidRDefault="00461EEE" w:rsidP="006C45BF">
      <w:pPr>
        <w:jc w:val="both"/>
        <w:rPr>
          <w:sz w:val="20"/>
          <w:lang w:val="fr-CA"/>
        </w:rPr>
      </w:pPr>
      <w:r w:rsidRPr="00DD38CB">
        <w:rPr>
          <w:sz w:val="20"/>
          <w:lang w:val="fr-CA"/>
        </w:rPr>
        <w:t xml:space="preserve">L’intimée, Lemare Lake Logging Ltd. (« Lemare Lake »), une créancière garantie, a présenté une demande pour que tribunal nomme un séquestre et gérant de l’actif, à l’exclusion du bétail, contre un débiteur, en application du par. 243(1) de la </w:t>
      </w:r>
      <w:r w:rsidRPr="00DD38CB">
        <w:rPr>
          <w:i/>
          <w:sz w:val="20"/>
          <w:lang w:val="fr-CA"/>
        </w:rPr>
        <w:t>LFI</w:t>
      </w:r>
      <w:r w:rsidRPr="00DD38CB">
        <w:rPr>
          <w:sz w:val="20"/>
          <w:lang w:val="fr-CA"/>
        </w:rPr>
        <w:t>. Le débiteur, un agriculteur (« </w:t>
      </w:r>
      <w:r w:rsidRPr="00DD38CB">
        <w:rPr>
          <w:i/>
          <w:sz w:val="20"/>
          <w:lang w:val="fr-CA"/>
        </w:rPr>
        <w:t>farmer </w:t>
      </w:r>
      <w:r w:rsidRPr="00DD38CB">
        <w:rPr>
          <w:sz w:val="20"/>
          <w:lang w:val="fr-CA"/>
        </w:rPr>
        <w:t xml:space="preserve">») au sens de la </w:t>
      </w:r>
      <w:r w:rsidRPr="00DD38CB">
        <w:rPr>
          <w:i/>
          <w:sz w:val="20"/>
          <w:lang w:val="fr-CA"/>
        </w:rPr>
        <w:t>SFSA</w:t>
      </w:r>
      <w:r w:rsidRPr="00DD38CB">
        <w:rPr>
          <w:sz w:val="20"/>
          <w:lang w:val="fr-CA"/>
        </w:rPr>
        <w:t xml:space="preserve">, a soutenu que Lemare Lake devait se conformer à la Partie II de la </w:t>
      </w:r>
      <w:r w:rsidRPr="00DD38CB">
        <w:rPr>
          <w:i/>
          <w:sz w:val="20"/>
          <w:lang w:val="fr-CA"/>
        </w:rPr>
        <w:t>SFSA</w:t>
      </w:r>
      <w:r w:rsidRPr="00DD38CB">
        <w:rPr>
          <w:sz w:val="20"/>
          <w:lang w:val="fr-CA"/>
        </w:rPr>
        <w:t xml:space="preserve">, particulièrement les art. 9 et 11, avant de demander la nomination d’un séquestre en application du par. 243(1) de la </w:t>
      </w:r>
      <w:r w:rsidRPr="00DD38CB">
        <w:rPr>
          <w:i/>
          <w:sz w:val="20"/>
          <w:lang w:val="fr-CA"/>
        </w:rPr>
        <w:t>LFI</w:t>
      </w:r>
      <w:r w:rsidRPr="00DD38CB">
        <w:rPr>
          <w:sz w:val="20"/>
          <w:lang w:val="fr-CA"/>
        </w:rPr>
        <w:t xml:space="preserve">. La Partie II de la </w:t>
      </w:r>
      <w:r w:rsidRPr="00DD38CB">
        <w:rPr>
          <w:i/>
          <w:sz w:val="20"/>
          <w:lang w:val="fr-CA"/>
        </w:rPr>
        <w:t>SFSA</w:t>
      </w:r>
      <w:r w:rsidRPr="00DD38CB">
        <w:rPr>
          <w:sz w:val="20"/>
          <w:lang w:val="fr-CA"/>
        </w:rPr>
        <w:t xml:space="preserve"> oblige le créancier à présenter un avis d’intention et à se soumettre à un processus de révision et de médiation avant d’introduire une instance pour faire exécuter sa créance à l’égard de l’agriculteur. </w:t>
      </w:r>
      <w:proofErr w:type="spellStart"/>
      <w:r w:rsidRPr="00DD38CB">
        <w:rPr>
          <w:sz w:val="20"/>
          <w:lang w:val="fr-CA"/>
        </w:rPr>
        <w:t>Lemare</w:t>
      </w:r>
      <w:proofErr w:type="spellEnd"/>
      <w:r w:rsidRPr="00DD38CB">
        <w:rPr>
          <w:sz w:val="20"/>
          <w:lang w:val="fr-CA"/>
        </w:rPr>
        <w:t xml:space="preserve"> Lake a plaidé que la doctrine de la prépondérance fédérale rendait inopérantes les dispositions pertinentes de la </w:t>
      </w:r>
      <w:r w:rsidRPr="00DD38CB">
        <w:rPr>
          <w:i/>
          <w:sz w:val="20"/>
          <w:lang w:val="fr-CA"/>
        </w:rPr>
        <w:t>SFSA</w:t>
      </w:r>
      <w:r w:rsidRPr="00DD38CB">
        <w:rPr>
          <w:sz w:val="20"/>
          <w:lang w:val="fr-CA"/>
        </w:rPr>
        <w:t xml:space="preserve">. L’appelant, le procureur général de la Saskatchewan, est intervenu sur la question constitutionnelle en application de la </w:t>
      </w:r>
      <w:r w:rsidRPr="00DD38CB">
        <w:rPr>
          <w:i/>
          <w:sz w:val="20"/>
          <w:lang w:val="fr-CA"/>
        </w:rPr>
        <w:t>Constitutional Questions Act</w:t>
      </w:r>
      <w:r w:rsidRPr="00DD38CB">
        <w:rPr>
          <w:sz w:val="20"/>
          <w:lang w:val="fr-CA"/>
        </w:rPr>
        <w:t>, 2012, S.S. 2012, ch. 29.01.</w:t>
      </w:r>
    </w:p>
    <w:p w:rsidR="00461EEE" w:rsidRPr="00DD38CB" w:rsidRDefault="00461EEE" w:rsidP="006C45BF">
      <w:pPr>
        <w:jc w:val="both"/>
        <w:rPr>
          <w:sz w:val="20"/>
          <w:lang w:val="fr-CA"/>
        </w:rPr>
      </w:pPr>
    </w:p>
    <w:p w:rsidR="00461EEE" w:rsidRPr="00DD38CB" w:rsidRDefault="00461EEE" w:rsidP="006C45BF">
      <w:pPr>
        <w:jc w:val="both"/>
        <w:rPr>
          <w:sz w:val="20"/>
          <w:lang w:val="fr-CA"/>
        </w:rPr>
      </w:pPr>
      <w:r w:rsidRPr="00DD38CB">
        <w:rPr>
          <w:sz w:val="20"/>
          <w:lang w:val="fr-CA"/>
        </w:rPr>
        <w:lastRenderedPageBreak/>
        <w:t xml:space="preserve">La juge en son cabinet a rejeté la requête. Elle a conclu que la doctrine de la prépondérance fédérale ne s’appliquait pas. À son avis, il n’y avait aucun conflit d’application entre les lois provinciales et fédérales parce qu’il était possible de se conformer aux deux en obtenant une ordonnance en application de la </w:t>
      </w:r>
      <w:r w:rsidRPr="00DD38CB">
        <w:rPr>
          <w:i/>
          <w:sz w:val="20"/>
          <w:lang w:val="fr-CA"/>
        </w:rPr>
        <w:t>SFSA</w:t>
      </w:r>
      <w:r w:rsidRPr="00DD38CB">
        <w:rPr>
          <w:sz w:val="20"/>
          <w:lang w:val="fr-CA"/>
        </w:rPr>
        <w:t xml:space="preserve"> avant de demander la nomination d’un séquestre. Elle a également conclu que la </w:t>
      </w:r>
      <w:r w:rsidRPr="00DD38CB">
        <w:rPr>
          <w:i/>
          <w:sz w:val="20"/>
          <w:lang w:val="fr-CA"/>
        </w:rPr>
        <w:t>SFSA</w:t>
      </w:r>
      <w:r w:rsidRPr="00DD38CB">
        <w:rPr>
          <w:sz w:val="20"/>
          <w:lang w:val="fr-CA"/>
        </w:rPr>
        <w:t xml:space="preserve"> n’était pas incompatible avec l’objet du par. 243(1) de la </w:t>
      </w:r>
      <w:r w:rsidRPr="00DD38CB">
        <w:rPr>
          <w:i/>
          <w:sz w:val="20"/>
          <w:lang w:val="fr-CA"/>
        </w:rPr>
        <w:t>LFI</w:t>
      </w:r>
      <w:r w:rsidRPr="00DD38CB">
        <w:rPr>
          <w:sz w:val="20"/>
          <w:lang w:val="fr-CA"/>
        </w:rPr>
        <w:t xml:space="preserve">, qui permet la nomination d’un séquestre national. De l’avis de la juge en son cabinet, la Partie II de la </w:t>
      </w:r>
      <w:r w:rsidRPr="00DD38CB">
        <w:rPr>
          <w:i/>
          <w:sz w:val="20"/>
          <w:lang w:val="fr-CA"/>
        </w:rPr>
        <w:t xml:space="preserve">SFSA </w:t>
      </w:r>
      <w:r w:rsidRPr="00DD38CB">
        <w:rPr>
          <w:sz w:val="20"/>
          <w:lang w:val="fr-CA"/>
        </w:rPr>
        <w:t>n’entravait pas la réalisation de cet objectif. La juge a statué que si elle avait tort, elle aurait été d’avis de rejeter la demande au motif que la procédure en forclusion était la réparation appropriée et qu’il ne serait ni opportun ni juste de nommer un séquestre.</w:t>
      </w:r>
    </w:p>
    <w:p w:rsidR="00461EEE" w:rsidRPr="00DD38CB" w:rsidRDefault="00461EEE" w:rsidP="006C45BF">
      <w:pPr>
        <w:jc w:val="both"/>
        <w:rPr>
          <w:sz w:val="20"/>
          <w:lang w:val="fr-CA"/>
        </w:rPr>
      </w:pPr>
    </w:p>
    <w:p w:rsidR="00461EEE" w:rsidRPr="00DD38CB" w:rsidRDefault="00461EEE" w:rsidP="006C45BF">
      <w:pPr>
        <w:jc w:val="both"/>
        <w:rPr>
          <w:sz w:val="20"/>
          <w:lang w:val="fr-CA"/>
        </w:rPr>
      </w:pPr>
      <w:r w:rsidRPr="00DD38CB">
        <w:rPr>
          <w:sz w:val="20"/>
          <w:lang w:val="fr-CA"/>
        </w:rPr>
        <w:t xml:space="preserve">La Cour d’appel partageait l’avis de la juge en son cabinet selon lequel il ne serait ni opportun ni juste de nommer un séquestre en l’espèce et l’appel a été rejeté pour ce motif. Néanmoins, la Cour a traité la question constitutionnelle, estimant qu’elle avait été plaidée à fond et qu’un arrêt éviterait que la question ne se retrouve de nouveau devant les tribunaux. La Cour d’appel a conclu que la Partie II de la </w:t>
      </w:r>
      <w:r w:rsidRPr="00DD38CB">
        <w:rPr>
          <w:i/>
          <w:sz w:val="20"/>
          <w:lang w:val="fr-CA"/>
        </w:rPr>
        <w:t>SFSA</w:t>
      </w:r>
      <w:r w:rsidRPr="00DD38CB">
        <w:rPr>
          <w:sz w:val="20"/>
          <w:lang w:val="fr-CA"/>
        </w:rPr>
        <w:t xml:space="preserve"> était inopérante en vertu de la doctrine de la prépondérance fédérale. Selon la Cour, le par. 243(1) de la </w:t>
      </w:r>
      <w:r w:rsidRPr="00DD38CB">
        <w:rPr>
          <w:i/>
          <w:sz w:val="20"/>
          <w:lang w:val="fr-CA"/>
        </w:rPr>
        <w:t>LFI</w:t>
      </w:r>
      <w:r w:rsidRPr="00DD38CB">
        <w:rPr>
          <w:sz w:val="20"/>
          <w:lang w:val="fr-CA"/>
        </w:rPr>
        <w:t xml:space="preserve"> a pour objectif de permettre la nomination rapide d’un séquestre national. Les dispositions pertinentes de la </w:t>
      </w:r>
      <w:r w:rsidRPr="00DD38CB">
        <w:rPr>
          <w:i/>
          <w:sz w:val="20"/>
          <w:lang w:val="fr-CA"/>
        </w:rPr>
        <w:t>SFSA</w:t>
      </w:r>
      <w:r w:rsidRPr="00DD38CB">
        <w:rPr>
          <w:sz w:val="20"/>
          <w:lang w:val="fr-CA"/>
        </w:rPr>
        <w:t xml:space="preserve"> entravent cet objectif en retardant considérablement la demande du créancier en vue d’obtenir une ordonnance de mise sous séquestre et en imposant de nouveaux critères pour l’octroi d’une telle ordonnance.</w:t>
      </w:r>
    </w:p>
    <w:p w:rsidR="00461EEE" w:rsidRPr="00DD38CB" w:rsidRDefault="00461EEE" w:rsidP="006C45BF">
      <w:pPr>
        <w:widowControl w:val="0"/>
        <w:jc w:val="both"/>
        <w:rPr>
          <w:sz w:val="20"/>
          <w:lang w:val="fr-CA"/>
        </w:rPr>
      </w:pPr>
    </w:p>
    <w:p w:rsidR="00461EEE" w:rsidRPr="00DD38CB" w:rsidRDefault="00461EEE" w:rsidP="006C45BF">
      <w:pPr>
        <w:widowControl w:val="0"/>
        <w:jc w:val="both"/>
        <w:rPr>
          <w:sz w:val="20"/>
          <w:lang w:val="fr-CA"/>
        </w:rPr>
      </w:pPr>
    </w:p>
    <w:p w:rsidR="00461EEE" w:rsidRPr="00DD38CB" w:rsidRDefault="00461EEE" w:rsidP="006C45BF">
      <w:pPr>
        <w:widowControl w:val="0"/>
        <w:jc w:val="both"/>
        <w:rPr>
          <w:sz w:val="20"/>
        </w:rPr>
      </w:pPr>
      <w:proofErr w:type="spellStart"/>
      <w:r w:rsidRPr="00DD38CB">
        <w:rPr>
          <w:sz w:val="20"/>
        </w:rPr>
        <w:t>Origine</w:t>
      </w:r>
      <w:proofErr w:type="spellEnd"/>
      <w:r w:rsidRPr="00DD38CB">
        <w:rPr>
          <w:sz w:val="20"/>
        </w:rPr>
        <w:t> :</w:t>
      </w:r>
      <w:r w:rsidRPr="00DD38CB">
        <w:rPr>
          <w:sz w:val="20"/>
        </w:rPr>
        <w:tab/>
      </w:r>
      <w:r w:rsidRPr="00DD38CB">
        <w:rPr>
          <w:sz w:val="20"/>
        </w:rPr>
        <w:tab/>
      </w:r>
      <w:r w:rsidRPr="00DD38CB">
        <w:rPr>
          <w:sz w:val="20"/>
        </w:rPr>
        <w:tab/>
      </w:r>
      <w:r w:rsidRPr="00DD38CB">
        <w:rPr>
          <w:sz w:val="20"/>
        </w:rPr>
        <w:tab/>
      </w:r>
      <w:r w:rsidRPr="00DD38CB">
        <w:rPr>
          <w:sz w:val="20"/>
        </w:rPr>
        <w:tab/>
      </w:r>
      <w:r w:rsidRPr="00DD38CB">
        <w:rPr>
          <w:sz w:val="20"/>
        </w:rPr>
        <w:tab/>
        <w:t>Saskatchewan</w:t>
      </w:r>
    </w:p>
    <w:p w:rsidR="00461EEE" w:rsidRPr="00DD38CB" w:rsidRDefault="00461EEE" w:rsidP="006C45BF">
      <w:pPr>
        <w:widowControl w:val="0"/>
        <w:jc w:val="both"/>
        <w:rPr>
          <w:sz w:val="20"/>
        </w:rPr>
      </w:pPr>
    </w:p>
    <w:p w:rsidR="00461EEE" w:rsidRPr="00DD38CB" w:rsidRDefault="00461EEE" w:rsidP="006C45BF">
      <w:pPr>
        <w:widowControl w:val="0"/>
        <w:jc w:val="both"/>
        <w:rPr>
          <w:sz w:val="20"/>
        </w:rPr>
      </w:pPr>
      <w:r w:rsidRPr="00DD38CB">
        <w:rPr>
          <w:sz w:val="20"/>
        </w:rPr>
        <w:t>N</w:t>
      </w:r>
      <w:r w:rsidRPr="00DD38CB">
        <w:rPr>
          <w:sz w:val="20"/>
          <w:vertAlign w:val="superscript"/>
        </w:rPr>
        <w:t>o</w:t>
      </w:r>
      <w:r w:rsidRPr="00DD38CB">
        <w:rPr>
          <w:sz w:val="20"/>
        </w:rPr>
        <w:t xml:space="preserve"> du </w:t>
      </w:r>
      <w:proofErr w:type="spellStart"/>
      <w:r w:rsidRPr="00DD38CB">
        <w:rPr>
          <w:sz w:val="20"/>
        </w:rPr>
        <w:t>greffe</w:t>
      </w:r>
      <w:proofErr w:type="spellEnd"/>
      <w:r w:rsidRPr="00DD38CB">
        <w:rPr>
          <w:sz w:val="20"/>
        </w:rPr>
        <w:t> :</w:t>
      </w:r>
      <w:r w:rsidRPr="00DD38CB">
        <w:rPr>
          <w:sz w:val="20"/>
        </w:rPr>
        <w:tab/>
      </w:r>
      <w:r w:rsidRPr="00DD38CB">
        <w:rPr>
          <w:sz w:val="20"/>
        </w:rPr>
        <w:tab/>
      </w:r>
      <w:r w:rsidRPr="00DD38CB">
        <w:rPr>
          <w:sz w:val="20"/>
        </w:rPr>
        <w:tab/>
      </w:r>
      <w:r w:rsidRPr="00DD38CB">
        <w:rPr>
          <w:sz w:val="20"/>
        </w:rPr>
        <w:tab/>
        <w:t>35923</w:t>
      </w:r>
    </w:p>
    <w:p w:rsidR="00461EEE" w:rsidRPr="00DD38CB" w:rsidRDefault="00461EEE" w:rsidP="006C45BF">
      <w:pPr>
        <w:widowControl w:val="0"/>
        <w:jc w:val="both"/>
        <w:rPr>
          <w:sz w:val="20"/>
        </w:rPr>
      </w:pPr>
    </w:p>
    <w:p w:rsidR="00461EEE" w:rsidRPr="00DD38CB" w:rsidRDefault="00461EEE" w:rsidP="006C45BF">
      <w:pPr>
        <w:widowControl w:val="0"/>
        <w:jc w:val="both"/>
        <w:rPr>
          <w:sz w:val="20"/>
          <w:lang w:val="fr-CA"/>
        </w:rPr>
      </w:pPr>
      <w:r w:rsidRPr="00DD38CB">
        <w:rPr>
          <w:sz w:val="20"/>
          <w:lang w:val="fr-CA"/>
        </w:rPr>
        <w:t>Arrêt de la Cour d’appel :</w:t>
      </w:r>
      <w:r w:rsidRPr="00DD38CB">
        <w:rPr>
          <w:sz w:val="20"/>
          <w:lang w:val="fr-CA"/>
        </w:rPr>
        <w:tab/>
      </w:r>
      <w:r w:rsidRPr="00DD38CB">
        <w:rPr>
          <w:sz w:val="20"/>
          <w:lang w:val="fr-CA"/>
        </w:rPr>
        <w:tab/>
        <w:t>le 1</w:t>
      </w:r>
      <w:r w:rsidRPr="00DD38CB">
        <w:rPr>
          <w:sz w:val="20"/>
          <w:vertAlign w:val="superscript"/>
          <w:lang w:val="fr-CA"/>
        </w:rPr>
        <w:t>er</w:t>
      </w:r>
      <w:r w:rsidRPr="00DD38CB">
        <w:rPr>
          <w:sz w:val="20"/>
          <w:lang w:val="fr-CA"/>
        </w:rPr>
        <w:t> avril 2014</w:t>
      </w:r>
    </w:p>
    <w:p w:rsidR="00461EEE" w:rsidRPr="00DD38CB" w:rsidRDefault="00461EEE" w:rsidP="006C45BF">
      <w:pPr>
        <w:widowControl w:val="0"/>
        <w:jc w:val="both"/>
        <w:rPr>
          <w:sz w:val="20"/>
          <w:lang w:val="fr-CA"/>
        </w:rPr>
      </w:pPr>
    </w:p>
    <w:p w:rsidR="00461EEE" w:rsidRPr="00DD38CB" w:rsidRDefault="00461EEE" w:rsidP="006C45BF">
      <w:pPr>
        <w:widowControl w:val="0"/>
        <w:jc w:val="both"/>
        <w:rPr>
          <w:sz w:val="20"/>
          <w:lang w:val="fr-CA"/>
        </w:rPr>
      </w:pPr>
      <w:r w:rsidRPr="00DD38CB">
        <w:rPr>
          <w:sz w:val="20"/>
          <w:lang w:val="fr-CA"/>
        </w:rPr>
        <w:t>Avocats :</w:t>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Thomson Irvine et Kathering Roy pour l’appelant</w:t>
      </w:r>
    </w:p>
    <w:p w:rsidR="00461EEE" w:rsidRPr="00DD38CB" w:rsidRDefault="00461EEE" w:rsidP="006C45BF">
      <w:pPr>
        <w:widowControl w:val="0"/>
        <w:jc w:val="both"/>
        <w:rPr>
          <w:sz w:val="20"/>
          <w:lang w:val="fr-CA"/>
        </w:rPr>
      </w:pP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r>
      <w:r w:rsidRPr="00DD38CB">
        <w:rPr>
          <w:sz w:val="20"/>
          <w:lang w:val="fr-CA"/>
        </w:rPr>
        <w:tab/>
        <w:t xml:space="preserve">Jeffrey M. Lee, c.r. et Kristen </w:t>
      </w:r>
      <w:proofErr w:type="spellStart"/>
      <w:r w:rsidRPr="00DD38CB">
        <w:rPr>
          <w:sz w:val="20"/>
          <w:lang w:val="fr-CA"/>
        </w:rPr>
        <w:t>MacDonald</w:t>
      </w:r>
      <w:proofErr w:type="spellEnd"/>
      <w:r w:rsidRPr="00DD38CB">
        <w:rPr>
          <w:sz w:val="20"/>
          <w:lang w:val="fr-CA"/>
        </w:rPr>
        <w:t xml:space="preserve"> pour l’</w:t>
      </w:r>
      <w:r w:rsidRPr="00DD38CB">
        <w:rPr>
          <w:sz w:val="20"/>
          <w:lang w:val="fr-CA"/>
        </w:rPr>
        <w:tab/>
      </w:r>
      <w:proofErr w:type="spellStart"/>
      <w:r w:rsidRPr="00DD38CB">
        <w:rPr>
          <w:i/>
          <w:sz w:val="20"/>
          <w:lang w:val="fr-CA"/>
        </w:rPr>
        <w:t>amicus</w:t>
      </w:r>
      <w:proofErr w:type="spellEnd"/>
      <w:r w:rsidRPr="00DD38CB">
        <w:rPr>
          <w:i/>
          <w:sz w:val="20"/>
          <w:lang w:val="fr-CA"/>
        </w:rPr>
        <w:t xml:space="preserve"> </w:t>
      </w:r>
      <w:proofErr w:type="spellStart"/>
      <w:r w:rsidRPr="00DD38CB">
        <w:rPr>
          <w:i/>
          <w:sz w:val="20"/>
          <w:lang w:val="fr-CA"/>
        </w:rPr>
        <w:t>curiae</w:t>
      </w:r>
      <w:proofErr w:type="spellEnd"/>
    </w:p>
    <w:p w:rsidR="00461EEE" w:rsidRPr="00DD38CB" w:rsidRDefault="00461EEE" w:rsidP="00EC79B0">
      <w:pPr>
        <w:jc w:val="both"/>
        <w:rPr>
          <w:szCs w:val="24"/>
          <w:lang w:val="fr-CA"/>
        </w:rPr>
      </w:pPr>
    </w:p>
    <w:p w:rsidR="00461EEE" w:rsidRPr="00DD38CB" w:rsidRDefault="00461EEE" w:rsidP="00EC79B0">
      <w:pPr>
        <w:jc w:val="both"/>
        <w:rPr>
          <w:szCs w:val="24"/>
          <w:lang w:val="fr-CA"/>
        </w:rPr>
      </w:pPr>
    </w:p>
    <w:p w:rsidR="00461EEE" w:rsidRPr="00DD38CB" w:rsidRDefault="00461EEE" w:rsidP="00EC79B0">
      <w:pPr>
        <w:jc w:val="both"/>
        <w:rPr>
          <w:szCs w:val="24"/>
          <w:lang w:val="fr-CA"/>
        </w:rPr>
      </w:pPr>
    </w:p>
    <w:p w:rsidR="00072A63" w:rsidRPr="00DD38CB" w:rsidRDefault="00072A63" w:rsidP="00EC79B0">
      <w:pPr>
        <w:jc w:val="both"/>
        <w:rPr>
          <w:szCs w:val="24"/>
          <w:lang w:val="fr-CA"/>
        </w:rPr>
      </w:pPr>
    </w:p>
    <w:p w:rsidR="001C4415" w:rsidRPr="00DD38CB" w:rsidRDefault="001C4415" w:rsidP="001C4415">
      <w:pPr>
        <w:widowControl w:val="0"/>
        <w:outlineLvl w:val="0"/>
      </w:pPr>
      <w:r w:rsidRPr="00DD38CB">
        <w:t xml:space="preserve">Supreme Court of Canada / Cour </w:t>
      </w:r>
      <w:proofErr w:type="spellStart"/>
      <w:r w:rsidRPr="00DD38CB">
        <w:t>suprême</w:t>
      </w:r>
      <w:proofErr w:type="spellEnd"/>
      <w:r w:rsidRPr="00DD38CB">
        <w:t xml:space="preserve"> du Canada : </w:t>
      </w:r>
    </w:p>
    <w:p w:rsidR="001C4415" w:rsidRPr="00DD38CB" w:rsidRDefault="00F929C2" w:rsidP="001C4415">
      <w:pPr>
        <w:widowControl w:val="0"/>
        <w:outlineLvl w:val="0"/>
        <w:rPr>
          <w:color w:val="0000FF"/>
          <w:u w:val="single"/>
        </w:rPr>
      </w:pPr>
      <w:hyperlink r:id="rId12" w:history="1">
        <w:r w:rsidR="001C4415" w:rsidRPr="00DD38CB">
          <w:rPr>
            <w:rStyle w:val="Hyperlink"/>
          </w:rPr>
          <w:t>comments-commentaires@scc-csc.ca</w:t>
        </w:r>
      </w:hyperlink>
    </w:p>
    <w:p w:rsidR="001C4415" w:rsidRPr="00DD38CB" w:rsidRDefault="001C4415" w:rsidP="001C4415">
      <w:pPr>
        <w:widowControl w:val="0"/>
        <w:outlineLvl w:val="0"/>
      </w:pPr>
      <w:r w:rsidRPr="00DD38CB">
        <w:t>(613) 995-4330</w:t>
      </w:r>
    </w:p>
    <w:p w:rsidR="001C4415" w:rsidRPr="00DD38CB" w:rsidRDefault="001C4415" w:rsidP="001C4415">
      <w:pPr>
        <w:widowControl w:val="0"/>
        <w:rPr>
          <w:sz w:val="20"/>
        </w:rPr>
      </w:pPr>
    </w:p>
    <w:p w:rsidR="0036476C" w:rsidRPr="00DD38CB" w:rsidRDefault="001C4415" w:rsidP="0036476C">
      <w:pPr>
        <w:pStyle w:val="Footer"/>
        <w:jc w:val="center"/>
      </w:pPr>
      <w:r w:rsidRPr="00DD38CB">
        <w:t xml:space="preserve">- 30 </w:t>
      </w:r>
      <w:r w:rsidR="003E491A" w:rsidRPr="00DD38CB">
        <w:t>-</w:t>
      </w:r>
      <w:r w:rsidR="0036476C" w:rsidRPr="00DD38CB">
        <w:t xml:space="preserve"> </w:t>
      </w:r>
    </w:p>
    <w:p w:rsidR="0036476C" w:rsidRPr="00DD38CB" w:rsidRDefault="0036476C" w:rsidP="00346B6F">
      <w:pPr>
        <w:pStyle w:val="Footer"/>
        <w:ind w:left="2160"/>
        <w:rPr>
          <w:color w:val="A6A6A6"/>
          <w:sz w:val="16"/>
          <w:szCs w:val="16"/>
          <w:lang w:val="fr-CA"/>
        </w:rPr>
      </w:pPr>
    </w:p>
    <w:sectPr w:rsidR="0036476C" w:rsidRPr="00DD38CB" w:rsidSect="00D362A2">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615F"/>
    <w:rsid w:val="000A33B2"/>
    <w:rsid w:val="000A401F"/>
    <w:rsid w:val="000A7900"/>
    <w:rsid w:val="000B0E38"/>
    <w:rsid w:val="000B216A"/>
    <w:rsid w:val="000C1225"/>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491A"/>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800"/>
    <w:rsid w:val="00432DE1"/>
    <w:rsid w:val="00442F1A"/>
    <w:rsid w:val="0045070D"/>
    <w:rsid w:val="00452E96"/>
    <w:rsid w:val="0045409A"/>
    <w:rsid w:val="00455BB9"/>
    <w:rsid w:val="00460580"/>
    <w:rsid w:val="00461EEE"/>
    <w:rsid w:val="00464E71"/>
    <w:rsid w:val="0046531B"/>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0CA2"/>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08D5"/>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38CB"/>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29C2"/>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Memoparagraph">
    <w:name w:val="Memo paragraph"/>
    <w:basedOn w:val="Normal"/>
    <w:link w:val="MemoparagraphChar"/>
    <w:autoRedefine/>
    <w:rsid w:val="00461EEE"/>
    <w:pPr>
      <w:ind w:left="576" w:hanging="576"/>
    </w:pPr>
    <w:rPr>
      <w:lang w:val="en-CA" w:eastAsia="en-CA"/>
    </w:rPr>
  </w:style>
  <w:style w:type="character" w:customStyle="1" w:styleId="MemoparagraphChar">
    <w:name w:val="Memo paragraph Char"/>
    <w:link w:val="Memoparagraph"/>
    <w:rsid w:val="00461EEE"/>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69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en/on/laws/stat/so-1998-c-28/latest/so-1998-c-2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c-csc.ca/case-dossier/info/sum-som-eng.aspx?cas=359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58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A44C-535C-4006-AAD5-02D676F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2590</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2015-11-10T19:58:00Z</dcterms:created>
  <dcterms:modified xsi:type="dcterms:W3CDTF">2015-11-26T20:20:00Z</dcterms:modified>
</cp:coreProperties>
</file>