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bookmarkStart w:id="0" w:name="_GoBack"/>
      <w:bookmarkEnd w:id="0"/>
    </w:p>
    <w:p w:rsidR="001C4415" w:rsidRDefault="001C4415" w:rsidP="001C4415">
      <w:pPr>
        <w:widowControl w:val="0"/>
      </w:pPr>
    </w:p>
    <w:p w:rsidR="001C4415" w:rsidRDefault="008F5389"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B822D8" w:rsidP="00EC79B0">
      <w:pPr>
        <w:widowControl w:val="0"/>
        <w:rPr>
          <w:b/>
        </w:rPr>
      </w:pPr>
      <w:r>
        <w:rPr>
          <w:b/>
        </w:rPr>
        <w:t>November 17</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107511"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B822D8">
        <w:t>S</w:t>
      </w:r>
      <w:r w:rsidR="00DC6C1E">
        <w:t>T</w:t>
      </w:r>
      <w:r w:rsidR="00D74667">
        <w:t xml:space="preserve"> on</w:t>
      </w:r>
      <w:r w:rsidR="00DC6C1E">
        <w:t xml:space="preserve"> </w:t>
      </w:r>
      <w:r w:rsidR="00AA67E3">
        <w:t>Fri</w:t>
      </w:r>
      <w:r w:rsidR="00164196">
        <w:t>day</w:t>
      </w:r>
      <w:r w:rsidR="007E79BD">
        <w:t xml:space="preserve">, </w:t>
      </w:r>
      <w:r w:rsidR="00B822D8">
        <w:t>November 20</w:t>
      </w:r>
      <w:r w:rsidR="007E79BD">
        <w:t>,</w:t>
      </w:r>
      <w:r w:rsidR="00E63199">
        <w:t xml:space="preserve"> 2</w:t>
      </w:r>
      <w:r w:rsidR="0086609D">
        <w:t>015</w:t>
      </w:r>
      <w:r w:rsidR="00455BB9">
        <w:t xml:space="preserve">.  </w:t>
      </w:r>
      <w:r w:rsidR="00455BB9" w:rsidRPr="00107511">
        <w:rPr>
          <w:lang w:val="fr-CA"/>
        </w:rPr>
        <w:t>This</w:t>
      </w:r>
      <w:r w:rsidRPr="00107511">
        <w:rPr>
          <w:lang w:val="fr-CA"/>
        </w:rPr>
        <w:t xml:space="preserve"> list is subject to change.</w:t>
      </w:r>
    </w:p>
    <w:p w:rsidR="001C4415" w:rsidRPr="00107511" w:rsidRDefault="001C4415" w:rsidP="001C4415">
      <w:pPr>
        <w:widowControl w:val="0"/>
        <w:rPr>
          <w:szCs w:val="24"/>
          <w:lang w:val="fr-CA"/>
        </w:rPr>
      </w:pPr>
    </w:p>
    <w:p w:rsidR="001C4415" w:rsidRPr="00107511"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B822D8">
        <w:rPr>
          <w:b/>
          <w:lang w:val="fr-CA"/>
        </w:rPr>
        <w:t>17 nov</w:t>
      </w:r>
      <w:r w:rsidR="003F011A">
        <w:rPr>
          <w:b/>
          <w:lang w:val="fr-CA"/>
        </w:rPr>
        <w:t>embre</w:t>
      </w:r>
      <w:r w:rsidR="00235A05">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AA67E3">
        <w:rPr>
          <w:lang w:val="fr-CA"/>
        </w:rPr>
        <w:t>vendredi</w:t>
      </w:r>
      <w:r w:rsidR="002001C7">
        <w:rPr>
          <w:lang w:val="fr-CA"/>
        </w:rPr>
        <w:t xml:space="preserve"> </w:t>
      </w:r>
      <w:r w:rsidR="00B822D8">
        <w:rPr>
          <w:lang w:val="fr-CA"/>
        </w:rPr>
        <w:t>20 novembre</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B822D8">
        <w:rPr>
          <w:lang w:val="fr-CA"/>
        </w:rPr>
        <w:t>N</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F1258D"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2700" r="1143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A409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524290" w:rsidRDefault="00524290" w:rsidP="004B1550">
      <w:pPr>
        <w:jc w:val="both"/>
        <w:rPr>
          <w:szCs w:val="24"/>
          <w:lang w:val="fr-CA"/>
        </w:rPr>
      </w:pPr>
    </w:p>
    <w:p w:rsidR="00B822D8" w:rsidRPr="008944F3" w:rsidRDefault="00B822D8" w:rsidP="00B822D8">
      <w:pPr>
        <w:ind w:left="720" w:hanging="720"/>
      </w:pPr>
      <w:r w:rsidRPr="00B822D8">
        <w:rPr>
          <w:i/>
          <w:lang w:val="fr-CA"/>
        </w:rPr>
        <w:t>Gilles Caron et autre c. Sa Majesté la Reine</w:t>
      </w:r>
      <w:r w:rsidRPr="00B822D8">
        <w:rPr>
          <w:lang w:val="fr-CA"/>
        </w:rPr>
        <w:t xml:space="preserve"> (</w:t>
      </w:r>
      <w:proofErr w:type="spellStart"/>
      <w:r w:rsidRPr="00B822D8">
        <w:rPr>
          <w:lang w:val="fr-CA"/>
        </w:rPr>
        <w:t>Al</w:t>
      </w:r>
      <w:r>
        <w:rPr>
          <w:lang w:val="fr-CA"/>
        </w:rPr>
        <w:t>b</w:t>
      </w:r>
      <w:proofErr w:type="spellEnd"/>
      <w:r w:rsidRPr="00B822D8">
        <w:rPr>
          <w:lang w:val="fr-CA"/>
        </w:rPr>
        <w:t xml:space="preserve">.) </w:t>
      </w:r>
      <w:r>
        <w:rPr>
          <w:lang w:val="fr-CA"/>
        </w:rPr>
        <w:fldChar w:fldCharType="begin"/>
      </w:r>
      <w:r w:rsidRPr="00B822D8">
        <w:rPr>
          <w:lang w:val="fr-CA"/>
        </w:rPr>
        <w:instrText xml:space="preserve"> SEQ CHAPTER \h \r 1</w:instrText>
      </w:r>
      <w:r>
        <w:fldChar w:fldCharType="end"/>
      </w:r>
      <w:bookmarkStart w:id="1" w:name="3"/>
      <w:bookmarkEnd w:id="1"/>
      <w:r w:rsidRPr="008944F3">
        <w:t>(</w:t>
      </w:r>
      <w:hyperlink r:id="rId7" w:history="1">
        <w:r w:rsidRPr="008944F3">
          <w:rPr>
            <w:rStyle w:val="Hyperlink"/>
          </w:rPr>
          <w:t>35842</w:t>
        </w:r>
      </w:hyperlink>
      <w:r w:rsidRPr="008944F3">
        <w:t>)</w:t>
      </w:r>
    </w:p>
    <w:p w:rsidR="00B822D8" w:rsidRPr="008944F3" w:rsidRDefault="00B822D8" w:rsidP="00D9601D">
      <w:pPr>
        <w:jc w:val="both"/>
        <w:rPr>
          <w:sz w:val="20"/>
        </w:rPr>
      </w:pPr>
    </w:p>
    <w:p w:rsidR="00D9601D" w:rsidRPr="008944F3" w:rsidRDefault="00D9601D" w:rsidP="00D9601D">
      <w:pPr>
        <w:jc w:val="both"/>
        <w:rPr>
          <w:sz w:val="20"/>
        </w:rPr>
      </w:pPr>
    </w:p>
    <w:bookmarkStart w:id="2" w:name="1"/>
    <w:bookmarkStart w:id="3" w:name="QuickMark_1"/>
    <w:bookmarkEnd w:id="2"/>
    <w:bookmarkEnd w:id="3"/>
    <w:p w:rsidR="00D9601D" w:rsidRPr="00D9601D" w:rsidRDefault="00D9601D" w:rsidP="00D9601D">
      <w:pPr>
        <w:widowControl w:val="0"/>
        <w:ind w:left="720" w:hanging="720"/>
        <w:jc w:val="both"/>
        <w:rPr>
          <w:sz w:val="20"/>
          <w:lang w:val="en-CA"/>
        </w:rPr>
      </w:pPr>
      <w:r w:rsidRPr="00D9601D">
        <w:rPr>
          <w:b/>
          <w:sz w:val="20"/>
          <w:lang w:val="en-CA"/>
        </w:rPr>
        <w:fldChar w:fldCharType="begin"/>
      </w:r>
      <w:r w:rsidRPr="00D9601D">
        <w:rPr>
          <w:b/>
          <w:sz w:val="20"/>
          <w:lang w:val="en-CA"/>
        </w:rPr>
        <w:instrText xml:space="preserve"> SEQ CHAPTER \h \r 1</w:instrText>
      </w:r>
      <w:r w:rsidRPr="00D9601D">
        <w:rPr>
          <w:b/>
          <w:sz w:val="20"/>
          <w:lang w:val="en-CA"/>
        </w:rPr>
        <w:fldChar w:fldCharType="end"/>
      </w:r>
      <w:r w:rsidRPr="00D9601D">
        <w:rPr>
          <w:b/>
          <w:sz w:val="20"/>
          <w:lang w:val="en-CA"/>
        </w:rPr>
        <w:t>35842</w:t>
      </w:r>
      <w:r w:rsidRPr="00D9601D">
        <w:rPr>
          <w:sz w:val="20"/>
          <w:lang w:val="en-CA"/>
        </w:rPr>
        <w:tab/>
      </w:r>
      <w:r w:rsidRPr="00D9601D">
        <w:rPr>
          <w:b/>
          <w:i/>
          <w:sz w:val="20"/>
          <w:lang w:val="en-CA"/>
        </w:rPr>
        <w:t xml:space="preserve">Pierre </w:t>
      </w:r>
      <w:proofErr w:type="spellStart"/>
      <w:r w:rsidRPr="00D9601D">
        <w:rPr>
          <w:b/>
          <w:i/>
          <w:sz w:val="20"/>
          <w:lang w:val="en-CA"/>
        </w:rPr>
        <w:t>Boutet</w:t>
      </w:r>
      <w:proofErr w:type="spellEnd"/>
      <w:r w:rsidRPr="00D9601D">
        <w:rPr>
          <w:b/>
          <w:i/>
          <w:sz w:val="20"/>
          <w:lang w:val="en-CA"/>
        </w:rPr>
        <w:t xml:space="preserve"> v. Her Majesty the Queen </w:t>
      </w:r>
      <w:r w:rsidRPr="00D9601D">
        <w:rPr>
          <w:b/>
          <w:i/>
          <w:sz w:val="20"/>
        </w:rPr>
        <w:t>—</w:t>
      </w:r>
      <w:r w:rsidRPr="00D9601D">
        <w:rPr>
          <w:b/>
          <w:i/>
          <w:sz w:val="20"/>
          <w:lang w:val="en-CA"/>
        </w:rPr>
        <w:t xml:space="preserve"> and between </w:t>
      </w:r>
      <w:r w:rsidRPr="00D9601D">
        <w:rPr>
          <w:b/>
          <w:i/>
          <w:sz w:val="20"/>
        </w:rPr>
        <w:t>—</w:t>
      </w:r>
      <w:r w:rsidRPr="00D9601D">
        <w:rPr>
          <w:b/>
          <w:i/>
          <w:sz w:val="20"/>
          <w:lang w:val="en-CA"/>
        </w:rPr>
        <w:t xml:space="preserve"> Gilles Caron v. Her Majesty the Queen</w:t>
      </w:r>
    </w:p>
    <w:p w:rsidR="00D9601D" w:rsidRPr="00D9601D" w:rsidRDefault="00D9601D" w:rsidP="00D9601D">
      <w:pPr>
        <w:jc w:val="both"/>
        <w:rPr>
          <w:sz w:val="20"/>
          <w:lang w:val="en-CA"/>
        </w:rPr>
      </w:pPr>
    </w:p>
    <w:p w:rsidR="00D9601D" w:rsidRPr="00D9601D" w:rsidRDefault="00D9601D" w:rsidP="00D9601D">
      <w:pPr>
        <w:jc w:val="both"/>
        <w:rPr>
          <w:sz w:val="20"/>
          <w:lang w:val="en-CA"/>
        </w:rPr>
      </w:pPr>
      <w:r w:rsidRPr="00D9601D">
        <w:rPr>
          <w:sz w:val="20"/>
          <w:lang w:val="en-CA"/>
        </w:rPr>
        <w:t xml:space="preserve">Constitutional law - Language guarantees - Right to publication - Scope of </w:t>
      </w:r>
      <w:r w:rsidRPr="00D9601D">
        <w:rPr>
          <w:i/>
          <w:sz w:val="20"/>
          <w:lang w:val="en-CA"/>
        </w:rPr>
        <w:t>Rupert’s Land and North-Western Territory Order</w:t>
      </w:r>
      <w:r w:rsidRPr="00D9601D">
        <w:rPr>
          <w:sz w:val="20"/>
          <w:lang w:val="en-CA"/>
        </w:rPr>
        <w:t xml:space="preserve">, June 23, 1870, R.S.C. 1985, App. II, No. 9 - Appellants charged with offences under </w:t>
      </w:r>
      <w:r w:rsidRPr="00D9601D">
        <w:rPr>
          <w:i/>
          <w:sz w:val="20"/>
          <w:lang w:val="en-CA"/>
        </w:rPr>
        <w:t>Traffic Safety Act</w:t>
      </w:r>
      <w:r w:rsidRPr="00D9601D">
        <w:rPr>
          <w:sz w:val="20"/>
          <w:lang w:val="en-CA"/>
        </w:rPr>
        <w:t xml:space="preserve">, R.S.A. 2000, c. T-6, Alberta statute enacted in English only - At trial, appellants arguing that </w:t>
      </w:r>
      <w:r w:rsidRPr="00D9601D">
        <w:rPr>
          <w:i/>
          <w:sz w:val="20"/>
          <w:lang w:val="en-CA"/>
        </w:rPr>
        <w:t xml:space="preserve">Traffic Safety Act </w:t>
      </w:r>
      <w:r w:rsidRPr="00D9601D">
        <w:rPr>
          <w:sz w:val="20"/>
          <w:lang w:val="en-CA"/>
        </w:rPr>
        <w:t xml:space="preserve">unconstitutional because it not enacted in English and in French - At conclusion of trial, Alberta Provincial Court judge ruling in appellants’ favour and declaring that </w:t>
      </w:r>
      <w:r w:rsidRPr="00D9601D">
        <w:rPr>
          <w:i/>
          <w:sz w:val="20"/>
          <w:lang w:val="en-CA"/>
        </w:rPr>
        <w:t xml:space="preserve">1870 Order </w:t>
      </w:r>
      <w:r w:rsidRPr="00D9601D">
        <w:rPr>
          <w:sz w:val="20"/>
          <w:lang w:val="en-CA"/>
        </w:rPr>
        <w:t xml:space="preserve">imposed obligation on Legislative Assembly of Alberta to enact legislation in English and in French - That decision set aside by Court of Queen’s Bench in judgment that subsequently affirmed by Court of Appeal - Whether </w:t>
      </w:r>
      <w:r w:rsidRPr="00D9601D">
        <w:rPr>
          <w:i/>
          <w:sz w:val="20"/>
          <w:lang w:val="en-CA"/>
        </w:rPr>
        <w:t>Languages Act</w:t>
      </w:r>
      <w:r w:rsidRPr="00D9601D">
        <w:rPr>
          <w:sz w:val="20"/>
          <w:lang w:val="en-CA"/>
        </w:rPr>
        <w:t xml:space="preserve">, R.S.A. 2000, c. L-6, is </w:t>
      </w:r>
      <w:r w:rsidRPr="00D9601D">
        <w:rPr>
          <w:i/>
          <w:sz w:val="20"/>
          <w:lang w:val="en-CA"/>
        </w:rPr>
        <w:t>ultra vires</w:t>
      </w:r>
      <w:r w:rsidRPr="00D9601D">
        <w:rPr>
          <w:sz w:val="20"/>
          <w:lang w:val="en-CA"/>
        </w:rPr>
        <w:t xml:space="preserve"> or inoperative insofar as it abrogates constitutional duty owed by Alberta to enact, print and publish its laws and regulations in English and in French in accordance, </w:t>
      </w:r>
      <w:r w:rsidRPr="00D9601D">
        <w:rPr>
          <w:i/>
          <w:sz w:val="20"/>
          <w:lang w:val="en-CA"/>
        </w:rPr>
        <w:t>inter alia</w:t>
      </w:r>
      <w:r w:rsidRPr="00D9601D">
        <w:rPr>
          <w:sz w:val="20"/>
          <w:lang w:val="en-CA"/>
        </w:rPr>
        <w:t xml:space="preserve">, with </w:t>
      </w:r>
      <w:r w:rsidRPr="00D9601D">
        <w:rPr>
          <w:i/>
          <w:sz w:val="20"/>
          <w:lang w:val="en-CA"/>
        </w:rPr>
        <w:t>1870 Order</w:t>
      </w:r>
      <w:r w:rsidRPr="00D9601D">
        <w:rPr>
          <w:sz w:val="20"/>
          <w:lang w:val="en-CA"/>
        </w:rPr>
        <w:t xml:space="preserve"> - If answer to question 1 is affirmative, whether </w:t>
      </w:r>
      <w:r w:rsidRPr="00D9601D">
        <w:rPr>
          <w:i/>
          <w:sz w:val="20"/>
          <w:lang w:val="en-CA"/>
        </w:rPr>
        <w:t>Traffic Safety Act</w:t>
      </w:r>
      <w:r w:rsidRPr="00D9601D">
        <w:rPr>
          <w:sz w:val="20"/>
          <w:lang w:val="en-CA"/>
        </w:rPr>
        <w:t xml:space="preserve"> and any other laws and regulations that have not been enacted, printed and published in French are inoperative.</w:t>
      </w:r>
    </w:p>
    <w:p w:rsidR="00D9601D" w:rsidRPr="00D9601D" w:rsidRDefault="00D9601D" w:rsidP="00D9601D">
      <w:pPr>
        <w:jc w:val="both"/>
        <w:rPr>
          <w:sz w:val="20"/>
          <w:lang w:val="en-CA"/>
        </w:rPr>
      </w:pPr>
    </w:p>
    <w:p w:rsidR="00D9601D" w:rsidRPr="00D9601D" w:rsidRDefault="00D9601D" w:rsidP="00D9601D">
      <w:pPr>
        <w:jc w:val="both"/>
        <w:rPr>
          <w:sz w:val="20"/>
          <w:lang w:val="en-CA"/>
        </w:rPr>
      </w:pPr>
      <w:r w:rsidRPr="00D9601D">
        <w:rPr>
          <w:sz w:val="20"/>
          <w:lang w:val="en-CA"/>
        </w:rPr>
        <w:t xml:space="preserve">The appellant Pierre </w:t>
      </w:r>
      <w:proofErr w:type="spellStart"/>
      <w:r w:rsidRPr="00D9601D">
        <w:rPr>
          <w:sz w:val="20"/>
          <w:lang w:val="en-CA"/>
        </w:rPr>
        <w:t>Boutet</w:t>
      </w:r>
      <w:proofErr w:type="spellEnd"/>
      <w:r w:rsidRPr="00D9601D">
        <w:rPr>
          <w:sz w:val="20"/>
          <w:lang w:val="en-CA"/>
        </w:rPr>
        <w:t xml:space="preserve"> was charged with an offence under the </w:t>
      </w:r>
      <w:bookmarkStart w:id="4" w:name="OLE_LINK1"/>
      <w:r w:rsidRPr="00D9601D">
        <w:rPr>
          <w:i/>
          <w:sz w:val="20"/>
          <w:lang w:val="en-CA"/>
        </w:rPr>
        <w:t>Traffic Safety Act</w:t>
      </w:r>
      <w:bookmarkEnd w:id="4"/>
      <w:r w:rsidRPr="00D9601D">
        <w:rPr>
          <w:sz w:val="20"/>
          <w:lang w:val="en-CA"/>
        </w:rPr>
        <w:t>, an Alberta statute enacted in English only. At trial, he argued that the Act</w:t>
      </w:r>
      <w:r w:rsidRPr="00D9601D">
        <w:rPr>
          <w:i/>
          <w:sz w:val="20"/>
          <w:lang w:val="en-CA"/>
        </w:rPr>
        <w:t xml:space="preserve"> </w:t>
      </w:r>
      <w:r w:rsidRPr="00D9601D">
        <w:rPr>
          <w:sz w:val="20"/>
          <w:lang w:val="en-CA"/>
        </w:rPr>
        <w:t>was unconstitutional because it had not been enacted in English and in French. Mr. </w:t>
      </w:r>
      <w:proofErr w:type="spellStart"/>
      <w:r w:rsidRPr="00D9601D">
        <w:rPr>
          <w:sz w:val="20"/>
          <w:lang w:val="en-CA"/>
        </w:rPr>
        <w:t>Boutet’s</w:t>
      </w:r>
      <w:proofErr w:type="spellEnd"/>
      <w:r w:rsidRPr="00D9601D">
        <w:rPr>
          <w:sz w:val="20"/>
          <w:lang w:val="en-CA"/>
        </w:rPr>
        <w:t xml:space="preserve"> case was joined to that of Gilles Caron, which raised the same issues. At the conclusion of a trial lasting nearly 90 days, Judge </w:t>
      </w:r>
      <w:proofErr w:type="spellStart"/>
      <w:r w:rsidRPr="00D9601D">
        <w:rPr>
          <w:sz w:val="20"/>
          <w:lang w:val="en-CA"/>
        </w:rPr>
        <w:t>Wenden</w:t>
      </w:r>
      <w:proofErr w:type="spellEnd"/>
      <w:r w:rsidRPr="00D9601D">
        <w:rPr>
          <w:sz w:val="20"/>
          <w:lang w:val="en-CA"/>
        </w:rPr>
        <w:t xml:space="preserve"> of the Alberta Provincial Court ruled in favour of Mr. </w:t>
      </w:r>
      <w:proofErr w:type="spellStart"/>
      <w:r w:rsidRPr="00D9601D">
        <w:rPr>
          <w:sz w:val="20"/>
          <w:lang w:val="en-CA"/>
        </w:rPr>
        <w:t>Boutet</w:t>
      </w:r>
      <w:proofErr w:type="spellEnd"/>
      <w:r w:rsidRPr="00D9601D">
        <w:rPr>
          <w:sz w:val="20"/>
          <w:lang w:val="en-CA"/>
        </w:rPr>
        <w:t xml:space="preserve"> and Mr. Caron and declared that the </w:t>
      </w:r>
      <w:r w:rsidRPr="00D9601D">
        <w:rPr>
          <w:i/>
          <w:sz w:val="20"/>
          <w:lang w:val="en-CA"/>
        </w:rPr>
        <w:t>Royal Proclamation of 1869</w:t>
      </w:r>
      <w:r w:rsidRPr="00D9601D">
        <w:rPr>
          <w:sz w:val="20"/>
          <w:lang w:val="en-CA"/>
        </w:rPr>
        <w:t xml:space="preserve"> and the </w:t>
      </w:r>
      <w:r w:rsidRPr="00D9601D">
        <w:rPr>
          <w:i/>
          <w:sz w:val="20"/>
          <w:lang w:val="en-CA"/>
        </w:rPr>
        <w:t>1870 Order</w:t>
      </w:r>
      <w:r w:rsidRPr="00D9601D">
        <w:rPr>
          <w:sz w:val="20"/>
          <w:lang w:val="en-CA"/>
        </w:rPr>
        <w:t xml:space="preserve"> imposed an obligation on the Legislative Assembly of Alberta to enact legislation in English and in French. That decision was set aside by the Court of Queen’s Bench in a judgment that was subsequently affirmed by the Court of Appeal.</w:t>
      </w:r>
    </w:p>
    <w:p w:rsidR="00D9601D" w:rsidRPr="00D9601D" w:rsidRDefault="00D9601D" w:rsidP="00D9601D">
      <w:pPr>
        <w:jc w:val="both"/>
        <w:rPr>
          <w:sz w:val="20"/>
          <w:lang w:val="en-CA"/>
        </w:rPr>
      </w:pPr>
    </w:p>
    <w:p w:rsidR="00D9601D" w:rsidRPr="00D9601D" w:rsidRDefault="00D9601D" w:rsidP="00D9601D">
      <w:pPr>
        <w:widowControl w:val="0"/>
        <w:jc w:val="both"/>
        <w:rPr>
          <w:sz w:val="20"/>
          <w:lang w:val="en-CA"/>
        </w:rPr>
      </w:pPr>
    </w:p>
    <w:p w:rsidR="00D9601D" w:rsidRPr="00D9601D" w:rsidRDefault="00D9601D" w:rsidP="00D9601D">
      <w:pPr>
        <w:widowControl w:val="0"/>
        <w:jc w:val="both"/>
        <w:rPr>
          <w:sz w:val="20"/>
          <w:lang w:val="en-CA"/>
        </w:rPr>
      </w:pPr>
      <w:r w:rsidRPr="00D9601D">
        <w:rPr>
          <w:sz w:val="20"/>
          <w:lang w:val="en-CA"/>
        </w:rPr>
        <w:lastRenderedPageBreak/>
        <w:t>Origin of the case:</w:t>
      </w:r>
      <w:r w:rsidRPr="00D9601D">
        <w:rPr>
          <w:sz w:val="20"/>
          <w:lang w:val="en-CA"/>
        </w:rPr>
        <w:tab/>
      </w:r>
      <w:r w:rsidRPr="00D9601D">
        <w:rPr>
          <w:sz w:val="20"/>
          <w:lang w:val="en-CA"/>
        </w:rPr>
        <w:tab/>
      </w:r>
      <w:r w:rsidRPr="00D9601D">
        <w:rPr>
          <w:sz w:val="20"/>
          <w:lang w:val="en-CA"/>
        </w:rPr>
        <w:tab/>
      </w:r>
      <w:bookmarkStart w:id="5" w:name="4"/>
      <w:bookmarkEnd w:id="5"/>
      <w:r w:rsidR="008944F3">
        <w:rPr>
          <w:sz w:val="20"/>
          <w:lang w:val="en-CA"/>
        </w:rPr>
        <w:tab/>
      </w:r>
      <w:r w:rsidRPr="00D9601D">
        <w:rPr>
          <w:sz w:val="20"/>
          <w:lang w:val="en-CA"/>
        </w:rPr>
        <w:t>Alberta</w:t>
      </w:r>
    </w:p>
    <w:p w:rsidR="00D9601D" w:rsidRPr="00D9601D" w:rsidRDefault="00D9601D" w:rsidP="00D9601D">
      <w:pPr>
        <w:widowControl w:val="0"/>
        <w:jc w:val="both"/>
        <w:rPr>
          <w:sz w:val="20"/>
          <w:lang w:val="en-CA"/>
        </w:rPr>
      </w:pPr>
    </w:p>
    <w:p w:rsidR="00D9601D" w:rsidRPr="00D9601D" w:rsidRDefault="00D9601D" w:rsidP="00D9601D">
      <w:pPr>
        <w:widowControl w:val="0"/>
        <w:jc w:val="both"/>
        <w:rPr>
          <w:sz w:val="20"/>
          <w:lang w:val="en-CA"/>
        </w:rPr>
      </w:pPr>
      <w:r w:rsidRPr="00D9601D">
        <w:rPr>
          <w:sz w:val="20"/>
          <w:lang w:val="en-CA"/>
        </w:rPr>
        <w:t>File No.:</w:t>
      </w:r>
      <w:r w:rsidRPr="00D9601D">
        <w:rPr>
          <w:sz w:val="20"/>
          <w:lang w:val="en-CA"/>
        </w:rPr>
        <w:tab/>
      </w:r>
      <w:r w:rsidRPr="00D9601D">
        <w:rPr>
          <w:sz w:val="20"/>
          <w:lang w:val="en-CA"/>
        </w:rPr>
        <w:tab/>
      </w:r>
      <w:r w:rsidRPr="00D9601D">
        <w:rPr>
          <w:sz w:val="20"/>
          <w:lang w:val="en-CA"/>
        </w:rPr>
        <w:tab/>
      </w:r>
      <w:r>
        <w:rPr>
          <w:sz w:val="20"/>
          <w:lang w:val="en-CA"/>
        </w:rPr>
        <w:tab/>
      </w:r>
      <w:r>
        <w:rPr>
          <w:sz w:val="20"/>
          <w:lang w:val="en-CA"/>
        </w:rPr>
        <w:tab/>
      </w:r>
      <w:r>
        <w:rPr>
          <w:sz w:val="20"/>
          <w:lang w:val="en-CA"/>
        </w:rPr>
        <w:tab/>
      </w:r>
      <w:r w:rsidRPr="00D9601D">
        <w:rPr>
          <w:sz w:val="20"/>
          <w:lang w:val="en-CA"/>
        </w:rPr>
        <w:tab/>
      </w:r>
      <w:bookmarkStart w:id="6" w:name="2"/>
      <w:bookmarkEnd w:id="6"/>
      <w:r w:rsidRPr="00D9601D">
        <w:rPr>
          <w:sz w:val="20"/>
          <w:lang w:val="en-CA"/>
        </w:rPr>
        <w:t>35842</w:t>
      </w:r>
    </w:p>
    <w:p w:rsidR="00D9601D" w:rsidRPr="00D9601D" w:rsidRDefault="00D9601D" w:rsidP="00D9601D">
      <w:pPr>
        <w:widowControl w:val="0"/>
        <w:jc w:val="both"/>
        <w:rPr>
          <w:sz w:val="20"/>
          <w:lang w:val="en-CA"/>
        </w:rPr>
      </w:pPr>
    </w:p>
    <w:p w:rsidR="00D9601D" w:rsidRPr="00D9601D" w:rsidRDefault="00D9601D" w:rsidP="00D9601D">
      <w:pPr>
        <w:jc w:val="both"/>
        <w:rPr>
          <w:sz w:val="20"/>
          <w:lang w:val="en-CA"/>
        </w:rPr>
      </w:pPr>
      <w:r w:rsidRPr="00D9601D">
        <w:rPr>
          <w:sz w:val="20"/>
          <w:lang w:val="en-CA"/>
        </w:rPr>
        <w:t>Judgment of the Court of Appeal:</w:t>
      </w:r>
      <w:r w:rsidRPr="00D9601D">
        <w:rPr>
          <w:sz w:val="20"/>
          <w:lang w:val="en-CA"/>
        </w:rPr>
        <w:tab/>
        <w:t>February</w:t>
      </w:r>
      <w:bookmarkStart w:id="7" w:name="5"/>
      <w:bookmarkEnd w:id="7"/>
      <w:r w:rsidRPr="00D9601D">
        <w:rPr>
          <w:sz w:val="20"/>
          <w:lang w:val="en-CA"/>
        </w:rPr>
        <w:t> 21, 2014</w:t>
      </w:r>
    </w:p>
    <w:p w:rsidR="00D9601D" w:rsidRPr="00D9601D" w:rsidRDefault="00D9601D" w:rsidP="00D9601D">
      <w:pPr>
        <w:widowControl w:val="0"/>
        <w:jc w:val="both"/>
        <w:rPr>
          <w:sz w:val="20"/>
          <w:lang w:val="en-CA"/>
        </w:rPr>
      </w:pPr>
    </w:p>
    <w:p w:rsidR="00D9601D" w:rsidRPr="00D9601D" w:rsidRDefault="00D9601D" w:rsidP="00D9601D">
      <w:pPr>
        <w:widowControl w:val="0"/>
        <w:ind w:left="2880" w:hanging="2880"/>
        <w:jc w:val="both"/>
        <w:rPr>
          <w:sz w:val="20"/>
          <w:lang w:val="en-CA"/>
        </w:rPr>
      </w:pPr>
      <w:r w:rsidRPr="00D9601D">
        <w:rPr>
          <w:sz w:val="20"/>
          <w:lang w:val="en-CA"/>
        </w:rPr>
        <w:t>Counsel:</w:t>
      </w:r>
      <w:r w:rsidRPr="00D9601D">
        <w:rPr>
          <w:sz w:val="20"/>
          <w:lang w:val="en-CA"/>
        </w:rPr>
        <w:tab/>
      </w:r>
      <w:bookmarkStart w:id="8" w:name="6"/>
      <w:bookmarkEnd w:id="8"/>
      <w:r w:rsidRPr="00D9601D">
        <w:rPr>
          <w:sz w:val="20"/>
          <w:lang w:val="en-CA"/>
        </w:rPr>
        <w:t>Allan Damer and Sébastien Grammond for the appellant Boutet</w:t>
      </w:r>
    </w:p>
    <w:p w:rsidR="00D9601D" w:rsidRPr="00D9601D" w:rsidRDefault="00D9601D" w:rsidP="00D9601D">
      <w:pPr>
        <w:widowControl w:val="0"/>
        <w:ind w:left="2880" w:hanging="2880"/>
        <w:jc w:val="both"/>
        <w:rPr>
          <w:sz w:val="20"/>
          <w:lang w:val="en-CA"/>
        </w:rPr>
      </w:pPr>
      <w:r>
        <w:rPr>
          <w:sz w:val="20"/>
          <w:lang w:val="en-CA"/>
        </w:rPr>
        <w:tab/>
      </w:r>
      <w:r w:rsidRPr="00D9601D">
        <w:rPr>
          <w:sz w:val="20"/>
          <w:lang w:val="en-CA"/>
        </w:rPr>
        <w:t>Roger J.F. Lepage, Francis P. Poulin and Romain Baudemont for the appellant Caron</w:t>
      </w:r>
    </w:p>
    <w:p w:rsidR="00D9601D" w:rsidRPr="00D9601D" w:rsidRDefault="00D9601D" w:rsidP="00D9601D">
      <w:pPr>
        <w:widowControl w:val="0"/>
        <w:ind w:left="2880" w:hanging="2880"/>
        <w:jc w:val="both"/>
        <w:rPr>
          <w:sz w:val="20"/>
          <w:lang w:val="en-CA"/>
        </w:rPr>
      </w:pPr>
      <w:r w:rsidRPr="00D9601D">
        <w:rPr>
          <w:sz w:val="20"/>
          <w:lang w:val="en-CA"/>
        </w:rPr>
        <w:tab/>
      </w:r>
      <w:bookmarkStart w:id="9" w:name="7"/>
      <w:bookmarkEnd w:id="9"/>
      <w:r w:rsidRPr="00D9601D">
        <w:rPr>
          <w:sz w:val="20"/>
          <w:lang w:val="en-CA"/>
        </w:rPr>
        <w:t xml:space="preserve">Teresa R. </w:t>
      </w:r>
      <w:proofErr w:type="spellStart"/>
      <w:r w:rsidRPr="00D9601D">
        <w:rPr>
          <w:sz w:val="20"/>
          <w:lang w:val="en-CA"/>
        </w:rPr>
        <w:t>Haykowsky</w:t>
      </w:r>
      <w:proofErr w:type="spellEnd"/>
      <w:r w:rsidRPr="00D9601D">
        <w:rPr>
          <w:sz w:val="20"/>
          <w:lang w:val="en-CA"/>
        </w:rPr>
        <w:t xml:space="preserve"> for the respondent</w:t>
      </w:r>
    </w:p>
    <w:p w:rsidR="00D9601D" w:rsidRPr="00D9601D" w:rsidRDefault="00D9601D" w:rsidP="00D9601D">
      <w:pPr>
        <w:widowControl w:val="0"/>
        <w:ind w:left="720" w:hanging="720"/>
        <w:jc w:val="both"/>
        <w:rPr>
          <w:b/>
          <w:sz w:val="20"/>
        </w:rPr>
      </w:pPr>
    </w:p>
    <w:p w:rsidR="00D9601D" w:rsidRPr="00D9601D" w:rsidRDefault="00D9601D" w:rsidP="00D9601D">
      <w:pPr>
        <w:widowControl w:val="0"/>
        <w:ind w:left="720" w:hanging="720"/>
        <w:jc w:val="both"/>
        <w:rPr>
          <w:b/>
          <w:sz w:val="20"/>
        </w:rPr>
      </w:pPr>
    </w:p>
    <w:p w:rsidR="00D9601D" w:rsidRPr="00D9601D" w:rsidRDefault="00D9601D" w:rsidP="00D9601D">
      <w:pPr>
        <w:widowControl w:val="0"/>
        <w:ind w:left="720" w:hanging="720"/>
        <w:jc w:val="both"/>
        <w:rPr>
          <w:sz w:val="20"/>
          <w:lang w:val="fr-CA"/>
        </w:rPr>
      </w:pPr>
      <w:r w:rsidRPr="00D9601D">
        <w:rPr>
          <w:b/>
          <w:sz w:val="20"/>
          <w:lang w:val="fr-CA"/>
        </w:rPr>
        <w:fldChar w:fldCharType="begin"/>
      </w:r>
      <w:r w:rsidRPr="00D9601D">
        <w:rPr>
          <w:b/>
          <w:sz w:val="20"/>
          <w:lang w:val="fr-CA"/>
        </w:rPr>
        <w:instrText xml:space="preserve"> SEQ CHAPTER \h \r 1</w:instrText>
      </w:r>
      <w:r w:rsidRPr="00D9601D">
        <w:rPr>
          <w:b/>
          <w:sz w:val="20"/>
        </w:rPr>
        <w:fldChar w:fldCharType="end"/>
      </w:r>
      <w:r w:rsidRPr="00D9601D">
        <w:rPr>
          <w:b/>
          <w:sz w:val="20"/>
          <w:lang w:val="fr-CA"/>
        </w:rPr>
        <w:t>35842</w:t>
      </w:r>
      <w:r w:rsidRPr="00D9601D">
        <w:rPr>
          <w:sz w:val="20"/>
          <w:lang w:val="fr-CA"/>
        </w:rPr>
        <w:tab/>
      </w:r>
      <w:r w:rsidRPr="00D9601D">
        <w:rPr>
          <w:b/>
          <w:i/>
          <w:sz w:val="20"/>
          <w:lang w:val="fr-CA"/>
        </w:rPr>
        <w:t xml:space="preserve">Pierre </w:t>
      </w:r>
      <w:proofErr w:type="spellStart"/>
      <w:r w:rsidRPr="00D9601D">
        <w:rPr>
          <w:b/>
          <w:i/>
          <w:sz w:val="20"/>
          <w:lang w:val="fr-CA"/>
        </w:rPr>
        <w:t>Boutet</w:t>
      </w:r>
      <w:proofErr w:type="spellEnd"/>
      <w:r w:rsidRPr="00D9601D">
        <w:rPr>
          <w:b/>
          <w:i/>
          <w:sz w:val="20"/>
          <w:lang w:val="fr-CA"/>
        </w:rPr>
        <w:t xml:space="preserve"> c. Sa Majesté la Reine — et entre — Gilles Caron c. Sa Majesté la Reine</w:t>
      </w:r>
    </w:p>
    <w:p w:rsidR="00D9601D" w:rsidRPr="00D9601D" w:rsidRDefault="00D9601D" w:rsidP="00D9601D">
      <w:pPr>
        <w:jc w:val="both"/>
        <w:rPr>
          <w:sz w:val="20"/>
          <w:lang w:val="fr-CA"/>
        </w:rPr>
      </w:pPr>
    </w:p>
    <w:p w:rsidR="00D9601D" w:rsidRPr="00D9601D" w:rsidRDefault="00D9601D" w:rsidP="00D9601D">
      <w:pPr>
        <w:jc w:val="both"/>
        <w:rPr>
          <w:sz w:val="20"/>
          <w:lang w:val="fr-CA"/>
        </w:rPr>
      </w:pPr>
      <w:r w:rsidRPr="00D9601D">
        <w:rPr>
          <w:sz w:val="20"/>
          <w:lang w:val="fr-CA"/>
        </w:rPr>
        <w:t xml:space="preserve">Droit constitutionnel - Garanties linguistiques - Droit à la publication - Portée du </w:t>
      </w:r>
      <w:r w:rsidRPr="00D9601D">
        <w:rPr>
          <w:i/>
          <w:sz w:val="20"/>
          <w:lang w:val="fr-CA"/>
        </w:rPr>
        <w:t>Décret en conseil sur la Terre de Rupert et du Territoire du Nord-Ouest</w:t>
      </w:r>
      <w:r w:rsidRPr="00D9601D">
        <w:rPr>
          <w:sz w:val="20"/>
          <w:lang w:val="fr-CA"/>
        </w:rPr>
        <w:t xml:space="preserve">, le 23 juin 1870, LRC 1985, </w:t>
      </w:r>
      <w:proofErr w:type="spellStart"/>
      <w:r w:rsidRPr="00D9601D">
        <w:rPr>
          <w:sz w:val="20"/>
          <w:lang w:val="fr-CA"/>
        </w:rPr>
        <w:t>app</w:t>
      </w:r>
      <w:proofErr w:type="spellEnd"/>
      <w:r w:rsidRPr="00D9601D">
        <w:rPr>
          <w:sz w:val="20"/>
          <w:lang w:val="fr-CA"/>
        </w:rPr>
        <w:t xml:space="preserve"> II, no 9 - Les appelants ont été accusés d’infractions à la </w:t>
      </w:r>
      <w:r w:rsidRPr="00D9601D">
        <w:rPr>
          <w:i/>
          <w:sz w:val="20"/>
          <w:lang w:val="fr-CA"/>
        </w:rPr>
        <w:t>Traffic Safety Act</w:t>
      </w:r>
      <w:r w:rsidRPr="00D9601D">
        <w:rPr>
          <w:sz w:val="20"/>
          <w:lang w:val="fr-CA"/>
        </w:rPr>
        <w:t xml:space="preserve">, R.S.A. 2000, c. T-6, une loi albertaine adoptée en anglais seulement - À leur procès, les appelants ont soutenu que la </w:t>
      </w:r>
      <w:r w:rsidRPr="00D9601D">
        <w:rPr>
          <w:i/>
          <w:sz w:val="20"/>
          <w:lang w:val="fr-CA"/>
        </w:rPr>
        <w:t xml:space="preserve">Traffic Safety Act </w:t>
      </w:r>
      <w:r w:rsidRPr="00D9601D">
        <w:rPr>
          <w:sz w:val="20"/>
          <w:lang w:val="fr-CA"/>
        </w:rPr>
        <w:t xml:space="preserve">était inconstitutionnelle, puisqu’elle n’avait pas été adoptée en français et en anglais - Au terme du procès, un juge de la Cour provinciale de l’Alberta a donné raison aux appelants et a déclaré que le </w:t>
      </w:r>
      <w:r w:rsidRPr="00D9601D">
        <w:rPr>
          <w:i/>
          <w:sz w:val="20"/>
          <w:lang w:val="fr-CA"/>
        </w:rPr>
        <w:t xml:space="preserve">Décret de 1870 </w:t>
      </w:r>
      <w:r w:rsidRPr="00D9601D">
        <w:rPr>
          <w:sz w:val="20"/>
          <w:lang w:val="fr-CA"/>
        </w:rPr>
        <w:t xml:space="preserve">imposait à l’Assemblée législative albertaine l’obligation d’adopter les lois en français et en anglais - Cette décision a été infirmée par la Cour du banc de la Reine, un jugement confirmé par la Cour d’appel - Est-ce que la </w:t>
      </w:r>
      <w:r w:rsidRPr="00D9601D">
        <w:rPr>
          <w:i/>
          <w:sz w:val="20"/>
          <w:lang w:val="fr-CA"/>
        </w:rPr>
        <w:t>Loi linguistique</w:t>
      </w:r>
      <w:r w:rsidRPr="00D9601D">
        <w:rPr>
          <w:sz w:val="20"/>
          <w:lang w:val="fr-CA"/>
        </w:rPr>
        <w:t xml:space="preserve">, R.S.A. 2000, c. L-6, est </w:t>
      </w:r>
      <w:r w:rsidRPr="00D9601D">
        <w:rPr>
          <w:i/>
          <w:sz w:val="20"/>
          <w:lang w:val="fr-CA"/>
        </w:rPr>
        <w:t>ultra vires</w:t>
      </w:r>
      <w:r w:rsidRPr="00D9601D">
        <w:rPr>
          <w:sz w:val="20"/>
          <w:lang w:val="fr-CA"/>
        </w:rPr>
        <w:t xml:space="preserve"> ou sans effet dans la mesure où elle abroge une obligation constitutionnelle de l’Alberta d’édicter, d’imprimer et de publier ses lois et ses règlements en français et en anglais conformément, notamment, au </w:t>
      </w:r>
      <w:r w:rsidRPr="00D9601D">
        <w:rPr>
          <w:i/>
          <w:sz w:val="20"/>
          <w:lang w:val="fr-CA"/>
        </w:rPr>
        <w:t>Décret de 1870</w:t>
      </w:r>
      <w:r w:rsidRPr="00D9601D">
        <w:rPr>
          <w:sz w:val="20"/>
          <w:lang w:val="fr-CA"/>
        </w:rPr>
        <w:t xml:space="preserve">? - En cas de réponse affirmative à la question 1, est-ce que la </w:t>
      </w:r>
      <w:r w:rsidRPr="00D9601D">
        <w:rPr>
          <w:i/>
          <w:sz w:val="20"/>
          <w:lang w:val="fr-CA"/>
        </w:rPr>
        <w:t xml:space="preserve">Traffic Safety Act </w:t>
      </w:r>
      <w:r w:rsidRPr="00D9601D">
        <w:rPr>
          <w:sz w:val="20"/>
          <w:lang w:val="fr-CA"/>
        </w:rPr>
        <w:t xml:space="preserve">ainsi que les autres lois et règlements qui n’ont pas été édictés, imprimés et publiés en français sont inopérants ? </w:t>
      </w:r>
    </w:p>
    <w:p w:rsidR="00D9601D" w:rsidRPr="00D9601D" w:rsidRDefault="00D9601D" w:rsidP="00D9601D">
      <w:pPr>
        <w:jc w:val="both"/>
        <w:rPr>
          <w:sz w:val="20"/>
          <w:lang w:val="fr-CA"/>
        </w:rPr>
      </w:pPr>
    </w:p>
    <w:p w:rsidR="00D9601D" w:rsidRPr="00D9601D" w:rsidRDefault="00D9601D" w:rsidP="00D9601D">
      <w:pPr>
        <w:jc w:val="both"/>
        <w:rPr>
          <w:sz w:val="20"/>
          <w:lang w:val="fr-CA"/>
        </w:rPr>
      </w:pPr>
      <w:r w:rsidRPr="00D9601D">
        <w:rPr>
          <w:sz w:val="20"/>
          <w:lang w:val="fr-CA"/>
        </w:rPr>
        <w:t xml:space="preserve">L’appelant Pierre </w:t>
      </w:r>
      <w:proofErr w:type="spellStart"/>
      <w:r w:rsidRPr="00D9601D">
        <w:rPr>
          <w:sz w:val="20"/>
          <w:lang w:val="fr-CA"/>
        </w:rPr>
        <w:t>Boutet</w:t>
      </w:r>
      <w:proofErr w:type="spellEnd"/>
      <w:r w:rsidRPr="00D9601D">
        <w:rPr>
          <w:sz w:val="20"/>
          <w:lang w:val="fr-CA"/>
        </w:rPr>
        <w:t xml:space="preserve"> a été accusé d’une infraction à la </w:t>
      </w:r>
      <w:r w:rsidRPr="00D9601D">
        <w:rPr>
          <w:i/>
          <w:sz w:val="20"/>
          <w:lang w:val="fr-CA"/>
        </w:rPr>
        <w:t>Traffic Safety Act</w:t>
      </w:r>
      <w:r w:rsidRPr="00D9601D">
        <w:rPr>
          <w:sz w:val="20"/>
          <w:lang w:val="fr-CA"/>
        </w:rPr>
        <w:t>, une loi albertaine adoptée en anglais seulement. À son procès, Monsieur Boutet a soutenu que la loi</w:t>
      </w:r>
      <w:r w:rsidRPr="00D9601D">
        <w:rPr>
          <w:i/>
          <w:sz w:val="20"/>
          <w:lang w:val="fr-CA"/>
        </w:rPr>
        <w:t xml:space="preserve"> </w:t>
      </w:r>
      <w:r w:rsidRPr="00D9601D">
        <w:rPr>
          <w:sz w:val="20"/>
          <w:lang w:val="fr-CA"/>
        </w:rPr>
        <w:t xml:space="preserve">était inconstitutionnelle, puisqu’elle n’avait pas été adoptée en français et en anglais. La cause de Monsieur Boutet a été jointe à celle de Monsieur Gilles Caron, qui soulevait les mêmes questions. Au terme d’un procès qui a duré près de 90 jours, le juge Wenden de la Cour provinciale de l’Alberta a donné raison aux Messieurs Boutet et Caron et a déclaré que la </w:t>
      </w:r>
      <w:r w:rsidRPr="00D9601D">
        <w:rPr>
          <w:i/>
          <w:sz w:val="20"/>
          <w:lang w:val="fr-CA"/>
        </w:rPr>
        <w:t>Proclamation royale de 1869</w:t>
      </w:r>
      <w:r w:rsidRPr="00D9601D">
        <w:rPr>
          <w:sz w:val="20"/>
          <w:lang w:val="fr-CA"/>
        </w:rPr>
        <w:t xml:space="preserve"> et le </w:t>
      </w:r>
      <w:r w:rsidRPr="00D9601D">
        <w:rPr>
          <w:i/>
          <w:sz w:val="20"/>
          <w:lang w:val="fr-CA"/>
        </w:rPr>
        <w:t>Décret de 1870</w:t>
      </w:r>
      <w:r w:rsidRPr="00D9601D">
        <w:rPr>
          <w:sz w:val="20"/>
          <w:lang w:val="fr-CA"/>
        </w:rPr>
        <w:t xml:space="preserve"> imposaient à l’Assemblée législative albertaine l’obligation d’adopter les lois en français et en anglais. Cette décision a été infirmée par la Cour du banc de la Reine, un jugement confirmé par la Cour d’appel.</w:t>
      </w:r>
    </w:p>
    <w:p w:rsidR="00D9601D" w:rsidRPr="00D9601D" w:rsidRDefault="00D9601D" w:rsidP="00D9601D">
      <w:pPr>
        <w:jc w:val="both"/>
        <w:rPr>
          <w:sz w:val="20"/>
          <w:lang w:val="fr-CA"/>
        </w:rPr>
      </w:pPr>
    </w:p>
    <w:p w:rsidR="00D9601D" w:rsidRPr="00D9601D" w:rsidRDefault="00D9601D" w:rsidP="00D9601D">
      <w:pPr>
        <w:widowControl w:val="0"/>
        <w:jc w:val="both"/>
        <w:rPr>
          <w:sz w:val="20"/>
          <w:lang w:val="fr-CA"/>
        </w:rPr>
      </w:pPr>
    </w:p>
    <w:p w:rsidR="00D9601D" w:rsidRPr="00D9601D" w:rsidRDefault="00D9601D" w:rsidP="00D9601D">
      <w:pPr>
        <w:widowControl w:val="0"/>
        <w:jc w:val="both"/>
        <w:rPr>
          <w:sz w:val="20"/>
          <w:lang w:val="fr-CA"/>
        </w:rPr>
      </w:pPr>
      <w:r w:rsidRPr="00D9601D">
        <w:rPr>
          <w:sz w:val="20"/>
          <w:lang w:val="fr-CA"/>
        </w:rPr>
        <w:t>Origine:</w:t>
      </w:r>
      <w:r w:rsidRPr="00D9601D">
        <w:rPr>
          <w:sz w:val="20"/>
          <w:lang w:val="fr-CA"/>
        </w:rPr>
        <w:tab/>
      </w:r>
      <w:r w:rsidRPr="00D9601D">
        <w:rPr>
          <w:sz w:val="20"/>
          <w:lang w:val="fr-CA"/>
        </w:rPr>
        <w:tab/>
      </w:r>
      <w:r w:rsidRPr="00D9601D">
        <w:rPr>
          <w:sz w:val="20"/>
          <w:lang w:val="fr-CA"/>
        </w:rPr>
        <w:tab/>
      </w:r>
      <w:r w:rsidRPr="00D9601D">
        <w:rPr>
          <w:sz w:val="20"/>
          <w:lang w:val="fr-CA"/>
        </w:rPr>
        <w:tab/>
      </w:r>
      <w:r>
        <w:rPr>
          <w:sz w:val="20"/>
          <w:lang w:val="fr-CA"/>
        </w:rPr>
        <w:tab/>
      </w:r>
      <w:r>
        <w:rPr>
          <w:sz w:val="20"/>
          <w:lang w:val="fr-CA"/>
        </w:rPr>
        <w:tab/>
      </w:r>
      <w:r w:rsidRPr="00D9601D">
        <w:rPr>
          <w:sz w:val="20"/>
          <w:lang w:val="fr-CA"/>
        </w:rPr>
        <w:t>Alberta</w:t>
      </w:r>
    </w:p>
    <w:p w:rsidR="00D9601D" w:rsidRPr="00D9601D" w:rsidRDefault="00D9601D" w:rsidP="00D9601D">
      <w:pPr>
        <w:widowControl w:val="0"/>
        <w:jc w:val="both"/>
        <w:rPr>
          <w:sz w:val="20"/>
          <w:lang w:val="fr-CA"/>
        </w:rPr>
      </w:pPr>
    </w:p>
    <w:p w:rsidR="00D9601D" w:rsidRPr="00D9601D" w:rsidRDefault="00D9601D" w:rsidP="00D9601D">
      <w:pPr>
        <w:widowControl w:val="0"/>
        <w:jc w:val="both"/>
        <w:rPr>
          <w:sz w:val="20"/>
          <w:lang w:val="fr-CA"/>
        </w:rPr>
      </w:pPr>
      <w:r w:rsidRPr="00D9601D">
        <w:rPr>
          <w:sz w:val="20"/>
          <w:lang w:val="fr-CA"/>
        </w:rPr>
        <w:t>N</w:t>
      </w:r>
      <w:r w:rsidRPr="00D9601D">
        <w:rPr>
          <w:sz w:val="20"/>
          <w:vertAlign w:val="superscript"/>
          <w:lang w:val="fr-CA"/>
        </w:rPr>
        <w:t>o</w:t>
      </w:r>
      <w:r w:rsidRPr="00D9601D">
        <w:rPr>
          <w:sz w:val="20"/>
          <w:lang w:val="fr-CA"/>
        </w:rPr>
        <w:t xml:space="preserve"> du greffe:</w:t>
      </w:r>
      <w:r w:rsidRPr="00D9601D">
        <w:rPr>
          <w:sz w:val="20"/>
          <w:lang w:val="fr-CA"/>
        </w:rPr>
        <w:tab/>
      </w:r>
      <w:r w:rsidRPr="00D9601D">
        <w:rPr>
          <w:sz w:val="20"/>
          <w:lang w:val="fr-CA"/>
        </w:rPr>
        <w:tab/>
      </w:r>
      <w:r w:rsidRPr="00D9601D">
        <w:rPr>
          <w:sz w:val="20"/>
          <w:lang w:val="fr-CA"/>
        </w:rPr>
        <w:tab/>
      </w:r>
      <w:r w:rsidRPr="00D9601D">
        <w:rPr>
          <w:sz w:val="20"/>
          <w:lang w:val="fr-CA"/>
        </w:rPr>
        <w:tab/>
      </w:r>
      <w:r>
        <w:rPr>
          <w:sz w:val="20"/>
          <w:lang w:val="fr-CA"/>
        </w:rPr>
        <w:tab/>
      </w:r>
      <w:r w:rsidRPr="00D9601D">
        <w:rPr>
          <w:sz w:val="20"/>
          <w:lang w:val="fr-CA"/>
        </w:rPr>
        <w:t>35842</w:t>
      </w:r>
    </w:p>
    <w:p w:rsidR="00D9601D" w:rsidRPr="00D9601D" w:rsidRDefault="00D9601D" w:rsidP="00D9601D">
      <w:pPr>
        <w:widowControl w:val="0"/>
        <w:jc w:val="both"/>
        <w:rPr>
          <w:sz w:val="20"/>
          <w:lang w:val="fr-CA"/>
        </w:rPr>
      </w:pPr>
    </w:p>
    <w:p w:rsidR="00D9601D" w:rsidRPr="00D9601D" w:rsidRDefault="00D9601D" w:rsidP="00D9601D">
      <w:pPr>
        <w:jc w:val="both"/>
        <w:rPr>
          <w:sz w:val="20"/>
          <w:lang w:val="fr-CA"/>
        </w:rPr>
      </w:pPr>
      <w:r w:rsidRPr="00D9601D">
        <w:rPr>
          <w:sz w:val="20"/>
          <w:lang w:val="fr-CA"/>
        </w:rPr>
        <w:t>Arrêt de la Cour d’appel:</w:t>
      </w:r>
      <w:r w:rsidRPr="00D9601D">
        <w:rPr>
          <w:sz w:val="20"/>
          <w:lang w:val="fr-CA"/>
        </w:rPr>
        <w:tab/>
      </w:r>
      <w:r w:rsidRPr="00D9601D">
        <w:rPr>
          <w:sz w:val="20"/>
          <w:lang w:val="fr-CA"/>
        </w:rPr>
        <w:tab/>
        <w:t>le 21 février 2014</w:t>
      </w:r>
    </w:p>
    <w:p w:rsidR="00D9601D" w:rsidRPr="00D9601D" w:rsidRDefault="00D9601D" w:rsidP="00D9601D">
      <w:pPr>
        <w:widowControl w:val="0"/>
        <w:jc w:val="both"/>
        <w:rPr>
          <w:sz w:val="20"/>
          <w:lang w:val="fr-CA"/>
        </w:rPr>
      </w:pPr>
    </w:p>
    <w:p w:rsidR="00D9601D" w:rsidRPr="00D9601D" w:rsidRDefault="00D9601D" w:rsidP="00D9601D">
      <w:pPr>
        <w:widowControl w:val="0"/>
        <w:ind w:left="2520" w:hanging="2520"/>
        <w:jc w:val="both"/>
        <w:rPr>
          <w:sz w:val="20"/>
          <w:lang w:val="fr-CA"/>
        </w:rPr>
      </w:pPr>
      <w:r w:rsidRPr="00D9601D">
        <w:rPr>
          <w:sz w:val="20"/>
          <w:lang w:val="fr-CA"/>
        </w:rPr>
        <w:t>Avocats:</w:t>
      </w:r>
      <w:r w:rsidRPr="00D9601D">
        <w:rPr>
          <w:sz w:val="20"/>
          <w:lang w:val="fr-CA"/>
        </w:rPr>
        <w:tab/>
        <w:t>M</w:t>
      </w:r>
      <w:r w:rsidRPr="00D9601D">
        <w:rPr>
          <w:sz w:val="20"/>
          <w:vertAlign w:val="superscript"/>
          <w:lang w:val="fr-CA"/>
        </w:rPr>
        <w:t>e</w:t>
      </w:r>
      <w:r w:rsidRPr="00D9601D">
        <w:rPr>
          <w:sz w:val="20"/>
          <w:lang w:val="fr-CA"/>
        </w:rPr>
        <w:t> Allan Damer et M</w:t>
      </w:r>
      <w:r w:rsidRPr="00D9601D">
        <w:rPr>
          <w:sz w:val="20"/>
          <w:vertAlign w:val="superscript"/>
          <w:lang w:val="fr-CA"/>
        </w:rPr>
        <w:t>e</w:t>
      </w:r>
      <w:r w:rsidRPr="00D9601D">
        <w:rPr>
          <w:sz w:val="20"/>
          <w:lang w:val="fr-CA"/>
        </w:rPr>
        <w:t xml:space="preserve"> Sébastien </w:t>
      </w:r>
      <w:proofErr w:type="spellStart"/>
      <w:r w:rsidRPr="00D9601D">
        <w:rPr>
          <w:sz w:val="20"/>
          <w:lang w:val="fr-CA"/>
        </w:rPr>
        <w:t>Grammond</w:t>
      </w:r>
      <w:proofErr w:type="spellEnd"/>
      <w:r w:rsidRPr="00D9601D">
        <w:rPr>
          <w:sz w:val="20"/>
          <w:lang w:val="fr-CA"/>
        </w:rPr>
        <w:t xml:space="preserve"> pour l’appelant Monsieur Boutet</w:t>
      </w:r>
    </w:p>
    <w:p w:rsidR="00D9601D" w:rsidRPr="00D9601D" w:rsidRDefault="00D9601D" w:rsidP="00D9601D">
      <w:pPr>
        <w:widowControl w:val="0"/>
        <w:ind w:left="2520" w:hanging="2520"/>
        <w:jc w:val="both"/>
        <w:rPr>
          <w:sz w:val="20"/>
          <w:lang w:val="fr-CA"/>
        </w:rPr>
      </w:pPr>
      <w:r>
        <w:rPr>
          <w:sz w:val="20"/>
          <w:lang w:val="fr-CA"/>
        </w:rPr>
        <w:tab/>
      </w:r>
      <w:r w:rsidRPr="00D9601D">
        <w:rPr>
          <w:sz w:val="20"/>
          <w:lang w:val="fr-CA"/>
        </w:rPr>
        <w:t>M</w:t>
      </w:r>
      <w:r w:rsidRPr="00D9601D">
        <w:rPr>
          <w:sz w:val="20"/>
          <w:vertAlign w:val="superscript"/>
          <w:lang w:val="fr-CA"/>
        </w:rPr>
        <w:t>e</w:t>
      </w:r>
      <w:r w:rsidRPr="00D9601D">
        <w:rPr>
          <w:sz w:val="20"/>
          <w:lang w:val="fr-CA"/>
        </w:rPr>
        <w:t> Roger J.F. Lepage, M</w:t>
      </w:r>
      <w:r w:rsidRPr="00D9601D">
        <w:rPr>
          <w:sz w:val="20"/>
          <w:vertAlign w:val="superscript"/>
          <w:lang w:val="fr-CA"/>
        </w:rPr>
        <w:t>e</w:t>
      </w:r>
      <w:r w:rsidRPr="00D9601D">
        <w:rPr>
          <w:sz w:val="20"/>
          <w:lang w:val="fr-CA"/>
        </w:rPr>
        <w:t> Francis P. Poulin et M</w:t>
      </w:r>
      <w:r w:rsidRPr="00D9601D">
        <w:rPr>
          <w:sz w:val="20"/>
          <w:vertAlign w:val="superscript"/>
          <w:lang w:val="fr-CA"/>
        </w:rPr>
        <w:t>e</w:t>
      </w:r>
      <w:r w:rsidRPr="00D9601D">
        <w:rPr>
          <w:sz w:val="20"/>
          <w:lang w:val="fr-CA"/>
        </w:rPr>
        <w:t xml:space="preserve"> Romain </w:t>
      </w:r>
      <w:proofErr w:type="spellStart"/>
      <w:r w:rsidRPr="00D9601D">
        <w:rPr>
          <w:sz w:val="20"/>
          <w:lang w:val="fr-CA"/>
        </w:rPr>
        <w:t>Baudemont</w:t>
      </w:r>
      <w:proofErr w:type="spellEnd"/>
      <w:r w:rsidRPr="00D9601D">
        <w:rPr>
          <w:sz w:val="20"/>
          <w:lang w:val="fr-CA"/>
        </w:rPr>
        <w:t xml:space="preserve"> pour l’appelant Monsieur Caron</w:t>
      </w:r>
    </w:p>
    <w:p w:rsidR="00D9601D" w:rsidRPr="00D9601D" w:rsidRDefault="00D9601D" w:rsidP="00D9601D">
      <w:pPr>
        <w:widowControl w:val="0"/>
        <w:ind w:left="2520" w:hanging="2520"/>
        <w:jc w:val="both"/>
        <w:rPr>
          <w:sz w:val="20"/>
          <w:lang w:val="fr-CA"/>
        </w:rPr>
      </w:pPr>
      <w:r w:rsidRPr="00D9601D">
        <w:rPr>
          <w:sz w:val="20"/>
          <w:lang w:val="fr-CA"/>
        </w:rPr>
        <w:tab/>
        <w:t>M</w:t>
      </w:r>
      <w:r w:rsidRPr="00D9601D">
        <w:rPr>
          <w:sz w:val="20"/>
          <w:vertAlign w:val="superscript"/>
          <w:lang w:val="fr-CA"/>
        </w:rPr>
        <w:t>e</w:t>
      </w:r>
      <w:r w:rsidRPr="00D9601D">
        <w:rPr>
          <w:sz w:val="20"/>
          <w:lang w:val="fr-CA"/>
        </w:rPr>
        <w:t xml:space="preserve"> Teresa R. </w:t>
      </w:r>
      <w:proofErr w:type="spellStart"/>
      <w:r w:rsidRPr="00D9601D">
        <w:rPr>
          <w:sz w:val="20"/>
          <w:lang w:val="fr-CA"/>
        </w:rPr>
        <w:t>Haykowsky</w:t>
      </w:r>
      <w:proofErr w:type="spellEnd"/>
      <w:r w:rsidRPr="00D9601D">
        <w:rPr>
          <w:sz w:val="20"/>
          <w:lang w:val="fr-CA"/>
        </w:rPr>
        <w:t xml:space="preserve"> pour l’intimée</w:t>
      </w:r>
    </w:p>
    <w:p w:rsidR="00D9601D" w:rsidRPr="00D9601D" w:rsidRDefault="00D9601D" w:rsidP="003F011A">
      <w:pPr>
        <w:rPr>
          <w:lang w:val="fr-CA"/>
        </w:rPr>
      </w:pPr>
    </w:p>
    <w:p w:rsidR="00D9601D" w:rsidRPr="00D9601D" w:rsidRDefault="00D9601D" w:rsidP="003F011A">
      <w:pPr>
        <w:rPr>
          <w:lang w:val="fr-CA"/>
        </w:rPr>
      </w:pPr>
    </w:p>
    <w:p w:rsidR="00D9601D" w:rsidRPr="00D9601D" w:rsidRDefault="00D9601D" w:rsidP="003F011A">
      <w:pPr>
        <w:rPr>
          <w:lang w:val="fr-CA"/>
        </w:rPr>
      </w:pPr>
    </w:p>
    <w:p w:rsidR="001C4415" w:rsidRPr="00F53768" w:rsidRDefault="001C4415" w:rsidP="001C4415">
      <w:pPr>
        <w:widowControl w:val="0"/>
        <w:outlineLvl w:val="0"/>
      </w:pPr>
      <w:r w:rsidRPr="00F53768">
        <w:t xml:space="preserve">Supreme Court of Canada / Cour </w:t>
      </w:r>
      <w:proofErr w:type="spellStart"/>
      <w:r w:rsidRPr="00F53768">
        <w:t>suprême</w:t>
      </w:r>
      <w:proofErr w:type="spellEnd"/>
      <w:r w:rsidRPr="00F53768">
        <w:t xml:space="preserve"> du Canada : </w:t>
      </w:r>
    </w:p>
    <w:p w:rsidR="001C4415" w:rsidRPr="00F53768" w:rsidRDefault="00107511" w:rsidP="001C4415">
      <w:pPr>
        <w:widowControl w:val="0"/>
        <w:outlineLvl w:val="0"/>
        <w:rPr>
          <w:color w:val="0000FF"/>
          <w:u w:val="single"/>
        </w:rPr>
      </w:pPr>
      <w:hyperlink r:id="rId8" w:history="1">
        <w:r w:rsidR="001C4415" w:rsidRPr="00F53768">
          <w:rPr>
            <w:rStyle w:val="Hyperlink"/>
          </w:rPr>
          <w:t>comments-commentaires@scc-csc.ca</w:t>
        </w:r>
      </w:hyperlink>
    </w:p>
    <w:p w:rsidR="001C4415" w:rsidRPr="00F53768" w:rsidRDefault="001C4415" w:rsidP="001C4415">
      <w:pPr>
        <w:widowControl w:val="0"/>
        <w:outlineLvl w:val="0"/>
      </w:pPr>
      <w:r w:rsidRPr="00F53768">
        <w:t>(613) 995-4330</w:t>
      </w:r>
    </w:p>
    <w:p w:rsidR="001C4415" w:rsidRPr="00F53768" w:rsidRDefault="001C4415" w:rsidP="001C4415">
      <w:pPr>
        <w:widowControl w:val="0"/>
        <w:rPr>
          <w:sz w:val="20"/>
        </w:rPr>
      </w:pPr>
    </w:p>
    <w:p w:rsidR="0036476C" w:rsidRPr="00F53768" w:rsidRDefault="001C4415" w:rsidP="0036476C">
      <w:pPr>
        <w:pStyle w:val="Footer"/>
        <w:jc w:val="center"/>
      </w:pPr>
      <w:r w:rsidRPr="00F53768">
        <w:t xml:space="preserve">- 30 </w:t>
      </w:r>
      <w:r w:rsidR="0036476C" w:rsidRPr="00F53768">
        <w:t xml:space="preserve">– </w:t>
      </w:r>
    </w:p>
    <w:p w:rsidR="0036476C" w:rsidRPr="00F53768" w:rsidRDefault="0036476C" w:rsidP="0036476C">
      <w:pPr>
        <w:pStyle w:val="Footer"/>
        <w:jc w:val="center"/>
      </w:pPr>
    </w:p>
    <w:p w:rsidR="0036476C" w:rsidRPr="00F53768" w:rsidRDefault="0036476C" w:rsidP="0036476C">
      <w:pPr>
        <w:pStyle w:val="Footer"/>
        <w:jc w:val="center"/>
      </w:pPr>
    </w:p>
    <w:sectPr w:rsidR="0036476C" w:rsidRPr="00F5376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5956"/>
    <w:rsid w:val="000F7714"/>
    <w:rsid w:val="001002A7"/>
    <w:rsid w:val="00103400"/>
    <w:rsid w:val="00105085"/>
    <w:rsid w:val="001065AF"/>
    <w:rsid w:val="00107511"/>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53ED1"/>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011A"/>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75CB4"/>
    <w:rsid w:val="004824D8"/>
    <w:rsid w:val="0048671C"/>
    <w:rsid w:val="0048741E"/>
    <w:rsid w:val="00491284"/>
    <w:rsid w:val="00491C71"/>
    <w:rsid w:val="004927D1"/>
    <w:rsid w:val="004A40E1"/>
    <w:rsid w:val="004A56AC"/>
    <w:rsid w:val="004A6F06"/>
    <w:rsid w:val="004B1550"/>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0F7"/>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944F3"/>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5389"/>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56312"/>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A67E3"/>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822D8"/>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9601D"/>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977A5"/>
    <w:rsid w:val="00EA2FA7"/>
    <w:rsid w:val="00EA389B"/>
    <w:rsid w:val="00EB1B1D"/>
    <w:rsid w:val="00EB6CB3"/>
    <w:rsid w:val="00EC0B90"/>
    <w:rsid w:val="00EC103C"/>
    <w:rsid w:val="00EC79B0"/>
    <w:rsid w:val="00ED1C3A"/>
    <w:rsid w:val="00ED2962"/>
    <w:rsid w:val="00ED2D18"/>
    <w:rsid w:val="00ED4D5F"/>
    <w:rsid w:val="00ED67B7"/>
    <w:rsid w:val="00EE1079"/>
    <w:rsid w:val="00EE1D6B"/>
    <w:rsid w:val="00EE2815"/>
    <w:rsid w:val="00EE77E0"/>
    <w:rsid w:val="00EF0BD7"/>
    <w:rsid w:val="00EF447F"/>
    <w:rsid w:val="00EF778F"/>
    <w:rsid w:val="00EF7999"/>
    <w:rsid w:val="00F006DA"/>
    <w:rsid w:val="00F020DF"/>
    <w:rsid w:val="00F05B65"/>
    <w:rsid w:val="00F118D3"/>
    <w:rsid w:val="00F1242C"/>
    <w:rsid w:val="00F1248F"/>
    <w:rsid w:val="00F1258D"/>
    <w:rsid w:val="00F128C3"/>
    <w:rsid w:val="00F1711D"/>
    <w:rsid w:val="00F223F4"/>
    <w:rsid w:val="00F23EAF"/>
    <w:rsid w:val="00F269BB"/>
    <w:rsid w:val="00F301C0"/>
    <w:rsid w:val="00F317F9"/>
    <w:rsid w:val="00F33A4A"/>
    <w:rsid w:val="00F353AE"/>
    <w:rsid w:val="00F43DC9"/>
    <w:rsid w:val="00F441EF"/>
    <w:rsid w:val="00F443E2"/>
    <w:rsid w:val="00F52595"/>
    <w:rsid w:val="00F530EE"/>
    <w:rsid w:val="00F53768"/>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4741"/>
    <w:rsid w:val="00FD7940"/>
    <w:rsid w:val="00FE3585"/>
    <w:rsid w:val="00FE4393"/>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 w:type="paragraph" w:styleId="BalloonText">
    <w:name w:val="Balloon Text"/>
    <w:basedOn w:val="Normal"/>
    <w:link w:val="BalloonTextChar"/>
    <w:uiPriority w:val="99"/>
    <w:semiHidden/>
    <w:unhideWhenUsed/>
    <w:rsid w:val="00894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31018865">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590510386">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23903125">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320228720">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58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5877</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2015-11-17T19:05:00Z</dcterms:created>
  <dcterms:modified xsi:type="dcterms:W3CDTF">2015-11-26T20:19:00Z</dcterms:modified>
</cp:coreProperties>
</file>