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Default="00D01D61"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 AND LEAVE APPLICATION</w:t>
      </w:r>
      <w:r w:rsidR="00CC044F">
        <w:rPr>
          <w:b/>
        </w:rPr>
        <w:t>S</w:t>
      </w:r>
    </w:p>
    <w:p w:rsidR="006F2579" w:rsidRDefault="006F2579" w:rsidP="006F2579">
      <w:pPr>
        <w:widowControl w:val="0"/>
        <w:rPr>
          <w:b/>
        </w:rPr>
      </w:pPr>
    </w:p>
    <w:p w:rsidR="006F2579" w:rsidRPr="00497B5E" w:rsidRDefault="00372704" w:rsidP="006F2579">
      <w:pPr>
        <w:widowControl w:val="0"/>
        <w:rPr>
          <w:b/>
        </w:rPr>
      </w:pPr>
      <w:r>
        <w:rPr>
          <w:b/>
        </w:rPr>
        <w:t xml:space="preserve">November </w:t>
      </w:r>
      <w:r w:rsidR="00521EC3">
        <w:rPr>
          <w:b/>
        </w:rPr>
        <w:t>26</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521EC3">
        <w:rPr>
          <w:b/>
          <w:lang w:val="fr-CA"/>
        </w:rPr>
        <w:t>26</w:t>
      </w:r>
      <w:r w:rsidR="00372704">
        <w:rPr>
          <w:b/>
          <w:lang w:val="fr-CA"/>
        </w:rPr>
        <w:t xml:space="preserve"> novembre</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w:t>
      </w:r>
      <w:r w:rsidR="00521EC3">
        <w:rPr>
          <w:lang w:val="fr-CA"/>
        </w:rPr>
        <w:t>’</w:t>
      </w:r>
      <w:r>
        <w:rPr>
          <w:lang w:val="fr-CA"/>
        </w:rPr>
        <w:t>appel et</w:t>
      </w:r>
      <w:r w:rsidR="00521EC3">
        <w:rPr>
          <w:lang w:val="fr-CA"/>
        </w:rPr>
        <w:t xml:space="preserve"> les</w:t>
      </w:r>
      <w:r w:rsidR="00CC044F">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CC43A4"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 / APPEL</w:t>
      </w:r>
    </w:p>
    <w:p w:rsidR="002767DF" w:rsidRPr="009D2AD9" w:rsidRDefault="002767DF" w:rsidP="002767DF">
      <w:pPr>
        <w:rPr>
          <w:b/>
          <w:szCs w:val="24"/>
          <w:lang w:val="fr-CA"/>
        </w:rPr>
      </w:pPr>
    </w:p>
    <w:p w:rsidR="002767DF" w:rsidRDefault="00623896" w:rsidP="002767DF">
      <w:pPr>
        <w:tabs>
          <w:tab w:val="left" w:pos="720"/>
          <w:tab w:val="left" w:pos="1296"/>
          <w:tab w:val="left" w:pos="2160"/>
          <w:tab w:val="left" w:pos="2880"/>
          <w:tab w:val="left" w:pos="4320"/>
          <w:tab w:val="left" w:pos="10224"/>
          <w:tab w:val="left" w:pos="11376"/>
        </w:tabs>
        <w:jc w:val="both"/>
        <w:rPr>
          <w:lang w:val="fr-CA"/>
        </w:rPr>
      </w:pPr>
      <w:proofErr w:type="spellStart"/>
      <w:r>
        <w:rPr>
          <w:lang w:val="fr-CA"/>
        </w:rPr>
        <w:t>Reasons</w:t>
      </w:r>
      <w:proofErr w:type="spellEnd"/>
      <w:r>
        <w:rPr>
          <w:lang w:val="fr-CA"/>
        </w:rPr>
        <w:t xml:space="preserve"> for</w:t>
      </w:r>
      <w:r w:rsidR="002767DF" w:rsidRPr="009D2AD9">
        <w:rPr>
          <w:lang w:val="fr-CA"/>
        </w:rPr>
        <w:t xml:space="preserve"> </w:t>
      </w:r>
      <w:proofErr w:type="spellStart"/>
      <w:r w:rsidR="002767DF" w:rsidRPr="009D2AD9">
        <w:rPr>
          <w:lang w:val="fr-CA"/>
        </w:rPr>
        <w:t>judgment</w:t>
      </w:r>
      <w:proofErr w:type="spellEnd"/>
      <w:r w:rsidR="002767DF" w:rsidRPr="009D2AD9">
        <w:rPr>
          <w:lang w:val="fr-CA"/>
        </w:rPr>
        <w:t xml:space="preserve"> </w:t>
      </w:r>
      <w:proofErr w:type="spellStart"/>
      <w:r w:rsidR="002767DF" w:rsidRPr="009D2AD9">
        <w:rPr>
          <w:lang w:val="fr-CA"/>
        </w:rPr>
        <w:t>will</w:t>
      </w:r>
      <w:proofErr w:type="spellEnd"/>
      <w:r w:rsidR="002767DF" w:rsidRPr="009D2AD9">
        <w:rPr>
          <w:lang w:val="fr-CA"/>
        </w:rPr>
        <w:t xml:space="preserve"> </w:t>
      </w:r>
      <w:proofErr w:type="spellStart"/>
      <w:r w:rsidR="002767DF" w:rsidRPr="009D2AD9">
        <w:rPr>
          <w:lang w:val="fr-CA"/>
        </w:rPr>
        <w:t>be</w:t>
      </w:r>
      <w:proofErr w:type="spellEnd"/>
      <w:r w:rsidR="002767DF" w:rsidRPr="009D2AD9">
        <w:rPr>
          <w:lang w:val="fr-CA"/>
        </w:rPr>
        <w:t xml:space="preserve"> </w:t>
      </w:r>
      <w:proofErr w:type="spellStart"/>
      <w:r w:rsidR="002767DF" w:rsidRPr="009D2AD9">
        <w:rPr>
          <w:lang w:val="fr-CA"/>
        </w:rPr>
        <w:t>available</w:t>
      </w:r>
      <w:proofErr w:type="spellEnd"/>
      <w:r w:rsidR="002767DF" w:rsidRPr="009D2AD9">
        <w:rPr>
          <w:lang w:val="fr-CA"/>
        </w:rPr>
        <w:t xml:space="preserve"> </w:t>
      </w:r>
      <w:proofErr w:type="spellStart"/>
      <w:r w:rsidR="002767DF" w:rsidRPr="009D2AD9">
        <w:rPr>
          <w:lang w:val="fr-CA"/>
        </w:rPr>
        <w:t>shortly</w:t>
      </w:r>
      <w:proofErr w:type="spellEnd"/>
      <w:r w:rsidR="002767DF" w:rsidRPr="009D2AD9">
        <w:rPr>
          <w:lang w:val="fr-CA"/>
        </w:rPr>
        <w:t xml:space="preserve"> at: / </w:t>
      </w:r>
      <w:r w:rsidRPr="00623896">
        <w:rPr>
          <w:lang w:val="fr-CA"/>
        </w:rPr>
        <w:t>Motifs de jugement</w:t>
      </w:r>
      <w:r>
        <w:rPr>
          <w:lang w:val="fr-CA"/>
        </w:rPr>
        <w:t xml:space="preserve"> </w:t>
      </w:r>
      <w:r w:rsidR="003413DF">
        <w:rPr>
          <w:lang w:val="fr-CA"/>
        </w:rPr>
        <w:t>disponible</w:t>
      </w:r>
      <w:r>
        <w:rPr>
          <w:lang w:val="fr-CA"/>
        </w:rPr>
        <w:t>s</w:t>
      </w:r>
      <w:r w:rsidR="002767DF" w:rsidRPr="009D2AD9">
        <w:rPr>
          <w:lang w:val="fr-CA"/>
        </w:rPr>
        <w:t xml:space="preserve"> sous peu à: </w:t>
      </w:r>
    </w:p>
    <w:p w:rsidR="00B1256C" w:rsidRDefault="00CC7847"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D438D5">
          <w:rPr>
            <w:rStyle w:val="Hyperlink"/>
            <w:lang w:val="fr-CA"/>
          </w:rPr>
          <w:t>http://scc-csc.lexum.com/scc-csc/en/nav.do</w:t>
        </w:r>
      </w:hyperlink>
    </w:p>
    <w:p w:rsidR="00B1256C" w:rsidRDefault="00CC7847"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E21F53" w:rsidRDefault="00D01D61" w:rsidP="00EF7C06">
      <w:pPr>
        <w:ind w:left="1440" w:hanging="1440"/>
        <w:jc w:val="both"/>
        <w:rPr>
          <w:rFonts w:eastAsia="Calibri"/>
          <w:sz w:val="20"/>
          <w:szCs w:val="22"/>
        </w:rPr>
      </w:pPr>
      <w:r w:rsidRPr="00EF7C06">
        <w:rPr>
          <w:rFonts w:eastAsia="Calibri"/>
          <w:b/>
          <w:sz w:val="20"/>
          <w:szCs w:val="22"/>
          <w:lang w:val="en-CA"/>
        </w:rPr>
        <w:fldChar w:fldCharType="begin"/>
      </w:r>
      <w:r w:rsidR="00EF7C06" w:rsidRPr="00E21F53">
        <w:rPr>
          <w:rFonts w:eastAsia="Calibri"/>
          <w:b/>
          <w:sz w:val="20"/>
          <w:szCs w:val="22"/>
        </w:rPr>
        <w:instrText xml:space="preserve"> SEQ CHAPTER \h \r 1</w:instrText>
      </w:r>
      <w:r w:rsidRPr="00EF7C06">
        <w:rPr>
          <w:rFonts w:eastAsia="Calibri"/>
          <w:b/>
          <w:sz w:val="20"/>
          <w:szCs w:val="22"/>
          <w:lang w:val="en-CA"/>
        </w:rPr>
        <w:fldChar w:fldCharType="end"/>
      </w:r>
      <w:r w:rsidR="00EF7C06" w:rsidRPr="00E21F53">
        <w:rPr>
          <w:rFonts w:eastAsia="Calibri"/>
          <w:b/>
          <w:sz w:val="20"/>
          <w:szCs w:val="22"/>
        </w:rPr>
        <w:t>3</w:t>
      </w:r>
      <w:r w:rsidR="007C6C79" w:rsidRPr="00E21F53">
        <w:rPr>
          <w:rFonts w:eastAsia="Calibri"/>
          <w:b/>
          <w:sz w:val="20"/>
          <w:szCs w:val="22"/>
        </w:rPr>
        <w:t>5</w:t>
      </w:r>
      <w:r w:rsidR="00521EC3">
        <w:rPr>
          <w:rFonts w:eastAsia="Calibri"/>
          <w:b/>
          <w:sz w:val="20"/>
          <w:szCs w:val="22"/>
        </w:rPr>
        <w:t>918</w:t>
      </w:r>
      <w:r w:rsidR="00EF7C06" w:rsidRPr="00E21F53">
        <w:rPr>
          <w:rFonts w:eastAsia="Calibri"/>
          <w:sz w:val="20"/>
          <w:szCs w:val="22"/>
        </w:rPr>
        <w:tab/>
      </w:r>
      <w:r w:rsidR="00521EC3" w:rsidRPr="00521EC3">
        <w:rPr>
          <w:rFonts w:eastAsia="Calibri"/>
          <w:b/>
          <w:sz w:val="20"/>
          <w:szCs w:val="22"/>
          <w:u w:val="single"/>
        </w:rPr>
        <w:t xml:space="preserve">Canadian Broadcasting Corporation v. </w:t>
      </w:r>
      <w:r w:rsidR="00D714D3" w:rsidRPr="00D714D3">
        <w:rPr>
          <w:rFonts w:eastAsia="Calibri"/>
          <w:b/>
          <w:sz w:val="20"/>
          <w:szCs w:val="22"/>
          <w:u w:val="single"/>
        </w:rPr>
        <w:t>SODRAC 2003 Inc. and Society for Reproduction Rights of Authors, Composers and Publishers in Canada (SODRAC) Inc.</w:t>
      </w:r>
      <w:r w:rsidR="00D714D3">
        <w:rPr>
          <w:rFonts w:eastAsia="Calibri"/>
          <w:b/>
          <w:sz w:val="20"/>
          <w:szCs w:val="22"/>
          <w:u w:val="single"/>
        </w:rPr>
        <w:t xml:space="preserve"> – and – </w:t>
      </w:r>
      <w:r w:rsidR="00D714D3" w:rsidRPr="00D714D3">
        <w:rPr>
          <w:rFonts w:eastAsia="Calibri"/>
          <w:b/>
          <w:sz w:val="20"/>
          <w:szCs w:val="22"/>
          <w:u w:val="single"/>
        </w:rPr>
        <w:t>Centre for Intellectual Property Policy, Ariel Katz, Samuelson-</w:t>
      </w:r>
      <w:proofErr w:type="spellStart"/>
      <w:r w:rsidR="00D714D3" w:rsidRPr="00D714D3">
        <w:rPr>
          <w:rFonts w:eastAsia="Calibri"/>
          <w:b/>
          <w:sz w:val="20"/>
          <w:szCs w:val="22"/>
          <w:u w:val="single"/>
        </w:rPr>
        <w:t>Glushko</w:t>
      </w:r>
      <w:proofErr w:type="spellEnd"/>
      <w:r w:rsidR="00D714D3" w:rsidRPr="00D714D3">
        <w:rPr>
          <w:rFonts w:eastAsia="Calibri"/>
          <w:b/>
          <w:sz w:val="20"/>
          <w:szCs w:val="22"/>
          <w:u w:val="single"/>
        </w:rPr>
        <w:t xml:space="preserve"> Canadian Internet Policy and Public Interest Clinic, Canadian Musical Reproduction Rights Agency Ltd., Canadian Music Publishers Association, International Confederation of Music Publishers, Music Canada, International Federation of the Phonographic Industry, Canadian Council of Music Industry Associations, Canadian Independent Music Association and Association </w:t>
      </w:r>
      <w:proofErr w:type="spellStart"/>
      <w:r w:rsidR="00D714D3" w:rsidRPr="00D714D3">
        <w:rPr>
          <w:rFonts w:eastAsia="Calibri"/>
          <w:b/>
          <w:sz w:val="20"/>
          <w:szCs w:val="22"/>
          <w:u w:val="single"/>
        </w:rPr>
        <w:t>québécoise</w:t>
      </w:r>
      <w:proofErr w:type="spellEnd"/>
      <w:r w:rsidR="00D714D3" w:rsidRPr="00D714D3">
        <w:rPr>
          <w:rFonts w:eastAsia="Calibri"/>
          <w:b/>
          <w:sz w:val="20"/>
          <w:szCs w:val="22"/>
          <w:u w:val="single"/>
        </w:rPr>
        <w:t xml:space="preserve"> de </w:t>
      </w:r>
      <w:proofErr w:type="spellStart"/>
      <w:r w:rsidR="00D714D3" w:rsidRPr="00D714D3">
        <w:rPr>
          <w:rFonts w:eastAsia="Calibri"/>
          <w:b/>
          <w:sz w:val="20"/>
          <w:szCs w:val="22"/>
          <w:u w:val="single"/>
        </w:rPr>
        <w:t>l’industrie</w:t>
      </w:r>
      <w:proofErr w:type="spellEnd"/>
      <w:r w:rsidR="00D714D3" w:rsidRPr="00D714D3">
        <w:rPr>
          <w:rFonts w:eastAsia="Calibri"/>
          <w:b/>
          <w:sz w:val="20"/>
          <w:szCs w:val="22"/>
          <w:u w:val="single"/>
        </w:rPr>
        <w:t xml:space="preserve"> du </w:t>
      </w:r>
      <w:proofErr w:type="spellStart"/>
      <w:r w:rsidR="00D714D3" w:rsidRPr="00D714D3">
        <w:rPr>
          <w:rFonts w:eastAsia="Calibri"/>
          <w:b/>
          <w:sz w:val="20"/>
          <w:szCs w:val="22"/>
          <w:u w:val="single"/>
        </w:rPr>
        <w:t>disque</w:t>
      </w:r>
      <w:proofErr w:type="spellEnd"/>
      <w:r w:rsidR="00D714D3" w:rsidRPr="00D714D3">
        <w:rPr>
          <w:rFonts w:eastAsia="Calibri"/>
          <w:b/>
          <w:sz w:val="20"/>
          <w:szCs w:val="22"/>
          <w:u w:val="single"/>
        </w:rPr>
        <w:t xml:space="preserve">, du spectacle et de la </w:t>
      </w:r>
      <w:proofErr w:type="spellStart"/>
      <w:r w:rsidR="00D714D3" w:rsidRPr="00D714D3">
        <w:rPr>
          <w:rFonts w:eastAsia="Calibri"/>
          <w:b/>
          <w:sz w:val="20"/>
          <w:szCs w:val="22"/>
          <w:u w:val="single"/>
        </w:rPr>
        <w:t>vidéo</w:t>
      </w:r>
      <w:proofErr w:type="spellEnd"/>
      <w:r w:rsidR="00E21F53" w:rsidRPr="005D29DE">
        <w:rPr>
          <w:rFonts w:eastAsia="Calibri"/>
          <w:b/>
          <w:sz w:val="20"/>
          <w:szCs w:val="22"/>
        </w:rPr>
        <w:t xml:space="preserve"> </w:t>
      </w:r>
      <w:r w:rsidR="00EF7C06" w:rsidRPr="005D29DE">
        <w:rPr>
          <w:rFonts w:eastAsia="Calibri"/>
          <w:iCs/>
          <w:sz w:val="20"/>
          <w:szCs w:val="22"/>
        </w:rPr>
        <w:t>(</w:t>
      </w:r>
      <w:r w:rsidR="00521EC3">
        <w:rPr>
          <w:rFonts w:eastAsia="Calibri"/>
          <w:iCs/>
          <w:sz w:val="20"/>
          <w:szCs w:val="22"/>
        </w:rPr>
        <w:t>F.</w:t>
      </w:r>
      <w:r w:rsidR="000A5484">
        <w:rPr>
          <w:rFonts w:eastAsia="Calibri"/>
          <w:iCs/>
          <w:sz w:val="20"/>
          <w:szCs w:val="22"/>
        </w:rPr>
        <w:t>C.</w:t>
      </w:r>
      <w:r w:rsidR="00EF7C06" w:rsidRPr="00E21F53">
        <w:rPr>
          <w:rFonts w:eastAsia="Calibri"/>
          <w:iCs/>
          <w:sz w:val="20"/>
          <w:szCs w:val="22"/>
        </w:rPr>
        <w:t>)</w:t>
      </w:r>
    </w:p>
    <w:p w:rsidR="00EF7C06" w:rsidRPr="00E21F53"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E21F53">
        <w:rPr>
          <w:rFonts w:eastAsia="Calibri"/>
          <w:b/>
          <w:sz w:val="20"/>
          <w:szCs w:val="22"/>
        </w:rPr>
        <w:t xml:space="preserve">2015 SCC </w:t>
      </w:r>
      <w:r w:rsidR="00E21F53" w:rsidRPr="00E21F53">
        <w:rPr>
          <w:rFonts w:eastAsia="Calibri"/>
          <w:b/>
          <w:sz w:val="20"/>
          <w:szCs w:val="22"/>
        </w:rPr>
        <w:t>5</w:t>
      </w:r>
      <w:r w:rsidR="00521EC3">
        <w:rPr>
          <w:rFonts w:eastAsia="Calibri"/>
          <w:b/>
          <w:sz w:val="20"/>
          <w:szCs w:val="22"/>
        </w:rPr>
        <w:t>7</w:t>
      </w:r>
      <w:r w:rsidR="00EF7C06" w:rsidRPr="00E21F53">
        <w:rPr>
          <w:rFonts w:eastAsia="Calibri"/>
          <w:b/>
          <w:sz w:val="20"/>
          <w:szCs w:val="22"/>
        </w:rPr>
        <w:t xml:space="preserve"> / 2015 CSC </w:t>
      </w:r>
      <w:r w:rsidR="00E21F53" w:rsidRPr="00E21F53">
        <w:rPr>
          <w:rFonts w:eastAsia="Calibri"/>
          <w:b/>
          <w:sz w:val="20"/>
          <w:szCs w:val="22"/>
        </w:rPr>
        <w:t>5</w:t>
      </w:r>
      <w:r w:rsidR="00521EC3">
        <w:rPr>
          <w:rFonts w:eastAsia="Calibri"/>
          <w:b/>
          <w:sz w:val="20"/>
          <w:szCs w:val="22"/>
        </w:rPr>
        <w:t>7</w:t>
      </w:r>
    </w:p>
    <w:p w:rsidR="00EF7C06" w:rsidRPr="00E21F53"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D714D3" w:rsidRDefault="00EF7C06" w:rsidP="00EF7C06">
      <w:pPr>
        <w:ind w:left="1440" w:hanging="1440"/>
        <w:rPr>
          <w:rFonts w:eastAsia="Calibri"/>
          <w:sz w:val="20"/>
          <w:szCs w:val="22"/>
          <w:u w:val="single"/>
        </w:rPr>
      </w:pPr>
      <w:r w:rsidRPr="00D714D3">
        <w:rPr>
          <w:rFonts w:eastAsia="Calibri"/>
          <w:sz w:val="20"/>
          <w:szCs w:val="22"/>
        </w:rPr>
        <w:t>Coram:</w:t>
      </w:r>
      <w:r w:rsidRPr="00D714D3">
        <w:rPr>
          <w:rFonts w:eastAsia="Calibri"/>
          <w:sz w:val="20"/>
          <w:szCs w:val="22"/>
        </w:rPr>
        <w:tab/>
      </w:r>
      <w:r w:rsidR="00D714D3" w:rsidRPr="00D714D3">
        <w:rPr>
          <w:rFonts w:eastAsia="Calibri"/>
          <w:sz w:val="20"/>
          <w:szCs w:val="22"/>
          <w:u w:val="single"/>
        </w:rPr>
        <w:t xml:space="preserve">McLachlin C.J. and </w:t>
      </w:r>
      <w:proofErr w:type="spellStart"/>
      <w:r w:rsidR="00D714D3" w:rsidRPr="00D714D3">
        <w:rPr>
          <w:rFonts w:eastAsia="Calibri"/>
          <w:sz w:val="20"/>
          <w:szCs w:val="22"/>
          <w:u w:val="single"/>
        </w:rPr>
        <w:t>Abella</w:t>
      </w:r>
      <w:proofErr w:type="spellEnd"/>
      <w:r w:rsidR="00D714D3" w:rsidRPr="00D714D3">
        <w:rPr>
          <w:rFonts w:eastAsia="Calibri"/>
          <w:sz w:val="20"/>
          <w:szCs w:val="22"/>
          <w:u w:val="single"/>
        </w:rPr>
        <w:t xml:space="preserve">, Rothstein, Cromwell, Moldaver, Karakatsanis, Wagner, </w:t>
      </w:r>
      <w:proofErr w:type="spellStart"/>
      <w:r w:rsidR="00D714D3" w:rsidRPr="00D714D3">
        <w:rPr>
          <w:rFonts w:eastAsia="Calibri"/>
          <w:sz w:val="20"/>
          <w:szCs w:val="22"/>
          <w:u w:val="single"/>
        </w:rPr>
        <w:t>Gascon</w:t>
      </w:r>
      <w:proofErr w:type="spellEnd"/>
      <w:r w:rsidR="00D714D3" w:rsidRPr="00D714D3">
        <w:rPr>
          <w:rFonts w:eastAsia="Calibri"/>
          <w:sz w:val="20"/>
          <w:szCs w:val="22"/>
          <w:u w:val="single"/>
        </w:rPr>
        <w:t xml:space="preserve"> and </w:t>
      </w:r>
      <w:proofErr w:type="spellStart"/>
      <w:r w:rsidR="00D714D3" w:rsidRPr="00D714D3">
        <w:rPr>
          <w:rFonts w:eastAsia="Calibri"/>
          <w:sz w:val="20"/>
          <w:szCs w:val="22"/>
          <w:u w:val="single"/>
        </w:rPr>
        <w:t>Côté</w:t>
      </w:r>
      <w:proofErr w:type="spellEnd"/>
      <w:r w:rsidR="00D714D3" w:rsidRPr="00D714D3">
        <w:rPr>
          <w:rFonts w:eastAsia="Calibri"/>
          <w:sz w:val="20"/>
          <w:szCs w:val="22"/>
          <w:u w:val="single"/>
        </w:rPr>
        <w:t xml:space="preserve"> JJ.</w:t>
      </w:r>
    </w:p>
    <w:p w:rsidR="005D29DE" w:rsidRPr="00D714D3" w:rsidRDefault="005D29DE" w:rsidP="00D714D3">
      <w:pPr>
        <w:jc w:val="both"/>
        <w:rPr>
          <w:sz w:val="20"/>
        </w:rPr>
      </w:pPr>
    </w:p>
    <w:p w:rsidR="00D714D3" w:rsidRPr="00D714D3" w:rsidRDefault="00D714D3" w:rsidP="00D714D3">
      <w:pPr>
        <w:jc w:val="both"/>
        <w:rPr>
          <w:rFonts w:eastAsiaTheme="minorHAnsi"/>
          <w:sz w:val="20"/>
          <w:lang w:val="en-CA"/>
        </w:rPr>
      </w:pPr>
      <w:r w:rsidRPr="00D714D3">
        <w:rPr>
          <w:rFonts w:eastAsiaTheme="minorHAnsi"/>
          <w:sz w:val="20"/>
          <w:lang w:val="en-CA"/>
        </w:rPr>
        <w:t xml:space="preserve">The appeal from the judgment </w:t>
      </w:r>
      <w:bookmarkStart w:id="0" w:name="BM_1_"/>
      <w:bookmarkEnd w:id="0"/>
      <w:r w:rsidRPr="00D714D3">
        <w:rPr>
          <w:rFonts w:eastAsiaTheme="minorHAnsi"/>
          <w:sz w:val="20"/>
          <w:lang w:val="en-CA"/>
        </w:rPr>
        <w:t>of the Federal Court of Appeal, Number A-516-12, 2014 FCA 84, dated March 31, 2014, heard on March 16, 2015, is allowed with costs in this Court and in the Federal Court of Appeal.</w:t>
      </w:r>
    </w:p>
    <w:p w:rsidR="00D714D3" w:rsidRPr="00D714D3" w:rsidRDefault="00D714D3" w:rsidP="00D714D3">
      <w:pPr>
        <w:jc w:val="both"/>
        <w:rPr>
          <w:rFonts w:eastAsiaTheme="minorHAnsi"/>
          <w:sz w:val="20"/>
          <w:lang w:val="en-CA"/>
        </w:rPr>
      </w:pPr>
    </w:p>
    <w:p w:rsidR="00D714D3" w:rsidRPr="00D714D3" w:rsidRDefault="00D714D3" w:rsidP="00D714D3">
      <w:pPr>
        <w:jc w:val="both"/>
        <w:rPr>
          <w:rFonts w:eastAsiaTheme="minorHAnsi"/>
          <w:sz w:val="20"/>
          <w:lang w:val="en-CA"/>
        </w:rPr>
      </w:pPr>
      <w:r w:rsidRPr="00D714D3">
        <w:rPr>
          <w:rFonts w:eastAsiaTheme="minorHAnsi"/>
          <w:sz w:val="20"/>
          <w:lang w:val="en-CA"/>
        </w:rPr>
        <w:t>The statutory licence issued pursuant to the decision of the Copyright Board in file Nos. 70.02-2008-01 and 70.2-2008-02 is set aside as it relates to the valuation of CBC’s television and Internet broadcast-incidental copies, and the decision is remitted to the Board for reconsideration of that valuation.</w:t>
      </w:r>
    </w:p>
    <w:p w:rsidR="00D714D3" w:rsidRPr="00D714D3" w:rsidRDefault="00D714D3" w:rsidP="00D714D3">
      <w:pPr>
        <w:jc w:val="both"/>
        <w:rPr>
          <w:rFonts w:eastAsiaTheme="minorHAnsi"/>
          <w:sz w:val="20"/>
          <w:lang w:val="en-CA"/>
        </w:rPr>
      </w:pPr>
    </w:p>
    <w:p w:rsidR="00D714D3" w:rsidRPr="00D714D3" w:rsidRDefault="00D714D3" w:rsidP="00D714D3">
      <w:pPr>
        <w:jc w:val="both"/>
        <w:rPr>
          <w:rFonts w:eastAsiaTheme="minorHAnsi"/>
          <w:sz w:val="20"/>
          <w:lang w:val="en-CA"/>
        </w:rPr>
      </w:pPr>
      <w:r w:rsidRPr="00D714D3">
        <w:rPr>
          <w:rFonts w:eastAsiaTheme="minorHAnsi"/>
          <w:sz w:val="20"/>
          <w:lang w:val="en-CA"/>
        </w:rPr>
        <w:t>The interim licence issued pursuant to the decision of the Copyright Board in file No. 70.2-2012-01 is set aside to the extent that the interim licence fees were based on the valuation of the broadcast-incidental copies in the 2008-2012 statutory licence, and the decision is remitted to the Board for reconsideration consistent with the principles guiding the redetermination of the 2008-2012 licence.</w:t>
      </w:r>
    </w:p>
    <w:p w:rsidR="00D714D3" w:rsidRPr="00D714D3" w:rsidRDefault="00D714D3" w:rsidP="00D714D3">
      <w:pPr>
        <w:jc w:val="both"/>
        <w:rPr>
          <w:rFonts w:eastAsiaTheme="minorHAnsi"/>
          <w:sz w:val="20"/>
          <w:lang w:val="en-CA"/>
        </w:rPr>
      </w:pPr>
    </w:p>
    <w:p w:rsidR="005D29DE" w:rsidRPr="00D714D3" w:rsidRDefault="00D714D3" w:rsidP="00D714D3">
      <w:pPr>
        <w:jc w:val="both"/>
        <w:rPr>
          <w:rFonts w:eastAsiaTheme="minorHAnsi"/>
          <w:sz w:val="20"/>
        </w:rPr>
      </w:pPr>
      <w:proofErr w:type="spellStart"/>
      <w:r w:rsidRPr="00D714D3">
        <w:rPr>
          <w:rFonts w:eastAsiaTheme="minorHAnsi"/>
          <w:sz w:val="20"/>
        </w:rPr>
        <w:t>Abella</w:t>
      </w:r>
      <w:proofErr w:type="spellEnd"/>
      <w:r w:rsidRPr="00D714D3">
        <w:rPr>
          <w:rFonts w:eastAsiaTheme="minorHAnsi"/>
          <w:sz w:val="20"/>
        </w:rPr>
        <w:t xml:space="preserve"> and Karakatsanis JJ. are dissenting.</w:t>
      </w:r>
    </w:p>
    <w:p w:rsidR="00D714D3" w:rsidRPr="00D714D3" w:rsidRDefault="00D714D3" w:rsidP="00D714D3">
      <w:pPr>
        <w:jc w:val="both"/>
        <w:rPr>
          <w:sz w:val="20"/>
        </w:rPr>
      </w:pPr>
    </w:p>
    <w:p w:rsidR="005D29DE" w:rsidRPr="00D714D3" w:rsidRDefault="005D29DE" w:rsidP="00D714D3">
      <w:pPr>
        <w:jc w:val="both"/>
        <w:rPr>
          <w:sz w:val="20"/>
        </w:rPr>
      </w:pPr>
    </w:p>
    <w:p w:rsidR="00D714D3" w:rsidRPr="00D714D3" w:rsidRDefault="00D714D3" w:rsidP="00D714D3">
      <w:pPr>
        <w:jc w:val="both"/>
        <w:rPr>
          <w:rFonts w:eastAsiaTheme="minorHAnsi"/>
          <w:sz w:val="20"/>
          <w:lang w:val="fr-CA"/>
        </w:rPr>
      </w:pPr>
      <w:r w:rsidRPr="00D714D3">
        <w:rPr>
          <w:rFonts w:eastAsiaTheme="minorHAnsi"/>
          <w:sz w:val="20"/>
          <w:lang w:val="fr-CA"/>
        </w:rPr>
        <w:t>L’appel interjeté contre l’arrêt de la Cour d’appel fédérale, numéro A-516-12, 2014 CAF 84, en date du 31 mars 2014, entendu le 16 mars 2015, est accueilli avec dépens devant la Cour et devant la Cour d’appel fédérale.</w:t>
      </w:r>
    </w:p>
    <w:p w:rsidR="00D714D3" w:rsidRPr="00D714D3" w:rsidRDefault="00D714D3" w:rsidP="00D714D3">
      <w:pPr>
        <w:jc w:val="both"/>
        <w:rPr>
          <w:rFonts w:eastAsiaTheme="minorHAnsi"/>
          <w:sz w:val="20"/>
          <w:lang w:val="fr-CA"/>
        </w:rPr>
      </w:pPr>
    </w:p>
    <w:p w:rsidR="00D714D3" w:rsidRPr="00D714D3" w:rsidRDefault="00D714D3" w:rsidP="00D714D3">
      <w:pPr>
        <w:jc w:val="both"/>
        <w:rPr>
          <w:rFonts w:eastAsiaTheme="minorHAnsi"/>
          <w:sz w:val="20"/>
          <w:lang w:val="fr-CA"/>
        </w:rPr>
      </w:pPr>
      <w:r w:rsidRPr="00D714D3">
        <w:rPr>
          <w:rFonts w:eastAsiaTheme="minorHAnsi"/>
          <w:sz w:val="20"/>
          <w:lang w:val="fr-CA"/>
        </w:rPr>
        <w:t>La licence légale octroyée aux termes de la décision de la Commission du droit d’auteur dans les dossiers n</w:t>
      </w:r>
      <w:r w:rsidRPr="00D714D3">
        <w:rPr>
          <w:rFonts w:eastAsiaTheme="minorHAnsi"/>
          <w:sz w:val="20"/>
          <w:vertAlign w:val="superscript"/>
          <w:lang w:val="fr-CA"/>
        </w:rPr>
        <w:t>os</w:t>
      </w:r>
      <w:r w:rsidRPr="00D714D3">
        <w:rPr>
          <w:rFonts w:eastAsiaTheme="minorHAnsi"/>
          <w:sz w:val="20"/>
          <w:lang w:val="fr-CA"/>
        </w:rPr>
        <w:t xml:space="preserve"> 70.2-2008-01 et 70.2- 2008-02 est annulée en ce qui a trait à la fixation des redevances relatives aux copies accessoires de diffusion télévisuelle et sur Internet de la SRC, et la décision est renvoyée à la Commission pour réexamen de cette fixation.</w:t>
      </w:r>
    </w:p>
    <w:p w:rsidR="00D714D3" w:rsidRPr="00D714D3" w:rsidRDefault="00D714D3" w:rsidP="00D714D3">
      <w:pPr>
        <w:jc w:val="both"/>
        <w:rPr>
          <w:rFonts w:eastAsiaTheme="minorHAnsi"/>
          <w:sz w:val="20"/>
          <w:lang w:val="fr-CA"/>
        </w:rPr>
      </w:pPr>
    </w:p>
    <w:p w:rsidR="00D714D3" w:rsidRPr="00D714D3" w:rsidRDefault="00D714D3" w:rsidP="00D714D3">
      <w:pPr>
        <w:jc w:val="both"/>
        <w:rPr>
          <w:rFonts w:eastAsiaTheme="minorHAnsi"/>
          <w:sz w:val="20"/>
          <w:lang w:val="fr-CA"/>
        </w:rPr>
      </w:pPr>
      <w:r w:rsidRPr="00D714D3">
        <w:rPr>
          <w:rFonts w:eastAsiaTheme="minorHAnsi"/>
          <w:sz w:val="20"/>
          <w:lang w:val="fr-CA"/>
        </w:rPr>
        <w:t>La licence provisoire délivrée aux termes de la décision de la Commission du droit d’auteur dans le dossier n</w:t>
      </w:r>
      <w:r w:rsidRPr="00D714D3">
        <w:rPr>
          <w:rFonts w:eastAsiaTheme="minorHAnsi"/>
          <w:sz w:val="20"/>
          <w:vertAlign w:val="superscript"/>
          <w:lang w:val="fr-CA"/>
        </w:rPr>
        <w:t>o</w:t>
      </w:r>
      <w:r w:rsidRPr="00D714D3">
        <w:rPr>
          <w:rFonts w:eastAsiaTheme="minorHAnsi"/>
          <w:sz w:val="20"/>
          <w:lang w:val="fr-CA"/>
        </w:rPr>
        <w:t xml:space="preserve"> 70.2-2012-01 est annulée dans la mesure où les redevances fixées par cette licence reposaient sur l’évaluation des copies accessoires de diffusion dans la licence légale 2008-2012, et la décision est renvoyée à la Commission pour réexamen en conformité avec les principes qui s’appliquent aux fins de la nouvelle décision sur la licence 2008-2012.</w:t>
      </w:r>
    </w:p>
    <w:p w:rsidR="00D714D3" w:rsidRPr="00D714D3" w:rsidRDefault="00D714D3" w:rsidP="00D714D3">
      <w:pPr>
        <w:jc w:val="both"/>
        <w:rPr>
          <w:rFonts w:eastAsiaTheme="minorHAnsi"/>
          <w:sz w:val="20"/>
          <w:lang w:val="fr-CA"/>
        </w:rPr>
      </w:pPr>
    </w:p>
    <w:p w:rsidR="00D714D3" w:rsidRPr="00D714D3" w:rsidRDefault="00D714D3" w:rsidP="00D714D3">
      <w:pPr>
        <w:widowControl w:val="0"/>
        <w:jc w:val="both"/>
        <w:rPr>
          <w:rFonts w:eastAsiaTheme="minorHAnsi"/>
          <w:sz w:val="20"/>
          <w:lang w:val="fr-CA"/>
        </w:rPr>
      </w:pPr>
      <w:r w:rsidRPr="00D714D3">
        <w:rPr>
          <w:rFonts w:eastAsiaTheme="minorHAnsi"/>
          <w:sz w:val="20"/>
          <w:lang w:val="fr-CA"/>
        </w:rPr>
        <w:t>Les juges Abella et Karakatsanis sont dissidentes.</w:t>
      </w:r>
    </w:p>
    <w:p w:rsidR="00D714D3" w:rsidRDefault="00D714D3" w:rsidP="00D714D3">
      <w:pPr>
        <w:widowControl w:val="0"/>
        <w:rPr>
          <w:rFonts w:eastAsiaTheme="minorHAnsi"/>
          <w:szCs w:val="22"/>
          <w:lang w:val="fr-CA"/>
        </w:rPr>
      </w:pPr>
    </w:p>
    <w:p w:rsidR="00E21F53" w:rsidRPr="00D714D3" w:rsidRDefault="005D29DE" w:rsidP="00D714D3">
      <w:pPr>
        <w:widowControl w:val="0"/>
        <w:rPr>
          <w:sz w:val="20"/>
          <w:lang w:val="fr-CA"/>
        </w:rPr>
      </w:pPr>
      <w:r>
        <w:rPr>
          <w:noProof/>
          <w:sz w:val="20"/>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D714D3" w:rsidRDefault="00C6146D" w:rsidP="00FC4ECC">
      <w:pPr>
        <w:ind w:left="1440" w:hanging="1440"/>
        <w:rPr>
          <w:sz w:val="20"/>
          <w:lang w:val="fr-CA"/>
        </w:rPr>
      </w:pPr>
    </w:p>
    <w:p w:rsidR="009D2AD9" w:rsidRPr="0044099A" w:rsidRDefault="00D01D61"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9" w:history="1">
        <w:r w:rsidR="00521EC3" w:rsidRPr="00245122">
          <w:rPr>
            <w:rStyle w:val="Hyperlink"/>
            <w:szCs w:val="24"/>
          </w:rPr>
          <w:t>http://scc-csc.lexum.com/scc-csc/news/en/item/5096/index.do</w:t>
        </w:r>
      </w:hyperlink>
      <w:r w:rsidR="00463D03">
        <w:rPr>
          <w:szCs w:val="24"/>
        </w:rPr>
        <w:t xml:space="preserve">. </w:t>
      </w:r>
    </w:p>
    <w:p w:rsid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hyperlink r:id="rId10" w:history="1">
        <w:r w:rsidR="00521EC3" w:rsidRPr="00245122">
          <w:rPr>
            <w:rStyle w:val="Hyperlink"/>
            <w:szCs w:val="24"/>
            <w:lang w:val="fr-CA"/>
          </w:rPr>
          <w:t>http://scc-csc.lexum.com/scc-csc/news/fr/item/5096/index.do</w:t>
        </w:r>
      </w:hyperlink>
      <w:r w:rsidR="00463D03">
        <w:rPr>
          <w:szCs w:val="24"/>
          <w:lang w:val="fr-CA"/>
        </w:rPr>
        <w:t xml:space="preserve"> </w:t>
      </w:r>
    </w:p>
    <w:p w:rsidR="00E21F53" w:rsidRDefault="00E21F53" w:rsidP="00494283">
      <w:pPr>
        <w:jc w:val="both"/>
        <w:rPr>
          <w:sz w:val="20"/>
          <w:lang w:val="fr-CA"/>
        </w:rPr>
      </w:pPr>
    </w:p>
    <w:p w:rsidR="00F170A2" w:rsidRPr="000A5484" w:rsidRDefault="00F170A2" w:rsidP="00494283">
      <w:pPr>
        <w:jc w:val="both"/>
        <w:rPr>
          <w:sz w:val="20"/>
          <w:lang w:val="fr-CA"/>
        </w:rPr>
      </w:pPr>
    </w:p>
    <w:p w:rsidR="009571E4" w:rsidRPr="0084156A" w:rsidRDefault="009571E4" w:rsidP="009571E4">
      <w:pPr>
        <w:jc w:val="both"/>
        <w:rPr>
          <w:b/>
        </w:rPr>
      </w:pPr>
      <w:r w:rsidRPr="0084156A">
        <w:rPr>
          <w:b/>
        </w:rPr>
        <w:t>DISMISSED WITH COSTS / REJETÉES AVEC DÉPENS</w:t>
      </w:r>
    </w:p>
    <w:p w:rsidR="004D422A" w:rsidRPr="00F170A2" w:rsidRDefault="004D422A" w:rsidP="00F170A2">
      <w:pPr>
        <w:jc w:val="both"/>
        <w:rPr>
          <w:sz w:val="20"/>
        </w:rPr>
      </w:pPr>
    </w:p>
    <w:p w:rsidR="00F170A2" w:rsidRPr="00F170A2" w:rsidRDefault="00F170A2" w:rsidP="00F170A2">
      <w:pPr>
        <w:jc w:val="both"/>
        <w:rPr>
          <w:sz w:val="20"/>
          <w:lang w:val="en-CA"/>
        </w:rPr>
      </w:pPr>
      <w:r w:rsidRPr="00F170A2">
        <w:rPr>
          <w:i/>
          <w:sz w:val="20"/>
          <w:lang w:val="en-CA"/>
        </w:rPr>
        <w:t>Lyle Agar v. Ulrich Weber et al.</w:t>
      </w:r>
      <w:r w:rsidRPr="00F170A2">
        <w:rPr>
          <w:sz w:val="20"/>
          <w:lang w:val="en-CA"/>
        </w:rPr>
        <w:t xml:space="preserve"> (B.C.) (Civil) (By Leave) (</w:t>
      </w:r>
      <w:hyperlink r:id="rId11" w:history="1">
        <w:r w:rsidRPr="00F170A2">
          <w:rPr>
            <w:rStyle w:val="Hyperlink"/>
            <w:sz w:val="20"/>
            <w:lang w:val="en-CA"/>
          </w:rPr>
          <w:t>36090</w:t>
        </w:r>
      </w:hyperlink>
      <w:r w:rsidRPr="00F170A2">
        <w:rPr>
          <w:sz w:val="20"/>
          <w:lang w:val="en-CA"/>
        </w:rPr>
        <w:t>)</w:t>
      </w:r>
    </w:p>
    <w:p w:rsidR="00F170A2" w:rsidRPr="00F170A2" w:rsidRDefault="00F170A2" w:rsidP="00F170A2">
      <w:pPr>
        <w:jc w:val="both"/>
        <w:rPr>
          <w:sz w:val="20"/>
        </w:rPr>
      </w:pPr>
      <w:r w:rsidRPr="00F170A2">
        <w:rPr>
          <w:sz w:val="20"/>
        </w:rPr>
        <w:t xml:space="preserve">Coram: McLachlin / Wagner / </w:t>
      </w:r>
      <w:proofErr w:type="spellStart"/>
      <w:r w:rsidRPr="00F170A2">
        <w:rPr>
          <w:sz w:val="20"/>
        </w:rPr>
        <w:t>Gascon</w:t>
      </w:r>
      <w:proofErr w:type="spellEnd"/>
    </w:p>
    <w:p w:rsidR="00F170A2" w:rsidRPr="00F170A2" w:rsidRDefault="00F170A2" w:rsidP="00F170A2">
      <w:pPr>
        <w:jc w:val="both"/>
        <w:rPr>
          <w:sz w:val="20"/>
        </w:rPr>
      </w:pPr>
    </w:p>
    <w:p w:rsidR="00F170A2" w:rsidRPr="00F170A2" w:rsidRDefault="00F170A2" w:rsidP="00F170A2">
      <w:pPr>
        <w:jc w:val="both"/>
        <w:rPr>
          <w:sz w:val="20"/>
        </w:rPr>
      </w:pPr>
      <w:r w:rsidRPr="00F170A2">
        <w:rPr>
          <w:sz w:val="20"/>
        </w:rPr>
        <w:t>****</w:t>
      </w:r>
    </w:p>
    <w:p w:rsidR="00F170A2" w:rsidRPr="00F170A2" w:rsidRDefault="00F170A2" w:rsidP="00F170A2">
      <w:pPr>
        <w:jc w:val="both"/>
        <w:rPr>
          <w:sz w:val="20"/>
        </w:rPr>
      </w:pPr>
    </w:p>
    <w:p w:rsidR="00F170A2" w:rsidRPr="00F170A2" w:rsidRDefault="00F170A2" w:rsidP="00F170A2">
      <w:pPr>
        <w:autoSpaceDN w:val="0"/>
        <w:jc w:val="both"/>
        <w:rPr>
          <w:sz w:val="20"/>
          <w:lang w:val="en-CA" w:eastAsia="en-CA"/>
        </w:rPr>
      </w:pPr>
      <w:r w:rsidRPr="00D714D3">
        <w:rPr>
          <w:i/>
          <w:sz w:val="20"/>
          <w:lang w:eastAsia="en-CA"/>
        </w:rPr>
        <w:t xml:space="preserve">Rahim </w:t>
      </w:r>
      <w:proofErr w:type="spellStart"/>
      <w:r w:rsidRPr="00D714D3">
        <w:rPr>
          <w:i/>
          <w:sz w:val="20"/>
          <w:lang w:eastAsia="en-CA"/>
        </w:rPr>
        <w:t>Jivraj</w:t>
      </w:r>
      <w:proofErr w:type="spellEnd"/>
      <w:r w:rsidRPr="00D714D3">
        <w:rPr>
          <w:i/>
          <w:sz w:val="20"/>
          <w:lang w:eastAsia="en-CA"/>
        </w:rPr>
        <w:t xml:space="preserve"> v. Bryan G. </w:t>
      </w:r>
      <w:proofErr w:type="spellStart"/>
      <w:r w:rsidRPr="00D714D3">
        <w:rPr>
          <w:i/>
          <w:sz w:val="20"/>
          <w:lang w:eastAsia="en-CA"/>
        </w:rPr>
        <w:t>Baynham</w:t>
      </w:r>
      <w:proofErr w:type="spellEnd"/>
      <w:r w:rsidRPr="00D714D3">
        <w:rPr>
          <w:i/>
          <w:sz w:val="20"/>
          <w:lang w:eastAsia="en-CA"/>
        </w:rPr>
        <w:t>, Q.C. et al.</w:t>
      </w:r>
      <w:r w:rsidRPr="00D714D3">
        <w:rPr>
          <w:sz w:val="20"/>
          <w:lang w:eastAsia="en-CA"/>
        </w:rPr>
        <w:t xml:space="preserve"> </w:t>
      </w:r>
      <w:r w:rsidRPr="00F170A2">
        <w:rPr>
          <w:sz w:val="20"/>
          <w:lang w:val="en-CA" w:eastAsia="en-CA"/>
        </w:rPr>
        <w:t>(B.C.) (Civil) (By Leave) (</w:t>
      </w:r>
      <w:hyperlink r:id="rId12" w:history="1">
        <w:r w:rsidRPr="00F170A2">
          <w:rPr>
            <w:rStyle w:val="Hyperlink"/>
            <w:sz w:val="20"/>
            <w:lang w:val="en-CA" w:eastAsia="en-CA"/>
          </w:rPr>
          <w:t>36531</w:t>
        </w:r>
      </w:hyperlink>
      <w:r w:rsidRPr="00F170A2">
        <w:rPr>
          <w:sz w:val="20"/>
          <w:lang w:val="en-CA" w:eastAsia="en-CA"/>
        </w:rPr>
        <w:t>)</w:t>
      </w:r>
    </w:p>
    <w:p w:rsidR="00F170A2" w:rsidRPr="00F170A2" w:rsidRDefault="00F170A2" w:rsidP="00F170A2">
      <w:pPr>
        <w:jc w:val="both"/>
        <w:rPr>
          <w:sz w:val="20"/>
        </w:rPr>
      </w:pPr>
      <w:r w:rsidRPr="00F170A2">
        <w:rPr>
          <w:sz w:val="20"/>
        </w:rPr>
        <w:t xml:space="preserve">(The motion for an extension of time to serve and file the application for leave to appeal is granted. The application for leave to appeal is dismissed with costs to Bryan G. </w:t>
      </w:r>
      <w:proofErr w:type="spellStart"/>
      <w:r w:rsidRPr="00F170A2">
        <w:rPr>
          <w:sz w:val="20"/>
        </w:rPr>
        <w:t>Baynham</w:t>
      </w:r>
      <w:proofErr w:type="spellEnd"/>
      <w:r w:rsidRPr="00F170A2">
        <w:rPr>
          <w:sz w:val="20"/>
        </w:rPr>
        <w:t xml:space="preserve">, Q.C. and Daniel J. Reid. / </w:t>
      </w:r>
    </w:p>
    <w:p w:rsidR="00F170A2" w:rsidRPr="00F170A2" w:rsidRDefault="00F170A2" w:rsidP="00F170A2">
      <w:pPr>
        <w:jc w:val="both"/>
        <w:rPr>
          <w:sz w:val="20"/>
          <w:lang w:val="fr-CA"/>
        </w:rPr>
      </w:pPr>
      <w:r w:rsidRPr="00F170A2">
        <w:rPr>
          <w:sz w:val="20"/>
          <w:lang w:val="fr-CA"/>
        </w:rPr>
        <w:lastRenderedPageBreak/>
        <w:t>La requête en prorogation du délai de signification et de dépôt de la demande d’autorisation d’appel est accueillie. La demande d’autorisation d’appel</w:t>
      </w:r>
      <w:r w:rsidR="00C761C9">
        <w:rPr>
          <w:sz w:val="20"/>
          <w:lang w:val="fr-CA"/>
        </w:rPr>
        <w:t xml:space="preserve"> est</w:t>
      </w:r>
      <w:r w:rsidRPr="00F170A2">
        <w:rPr>
          <w:sz w:val="20"/>
          <w:lang w:val="fr-CA"/>
        </w:rPr>
        <w:t xml:space="preserve"> rejetée avec dépens en faveur de Bryan G. </w:t>
      </w:r>
      <w:proofErr w:type="spellStart"/>
      <w:r w:rsidRPr="00F170A2">
        <w:rPr>
          <w:sz w:val="20"/>
          <w:lang w:val="fr-CA"/>
        </w:rPr>
        <w:t>Baynham</w:t>
      </w:r>
      <w:proofErr w:type="spellEnd"/>
      <w:r w:rsidRPr="00F170A2">
        <w:rPr>
          <w:sz w:val="20"/>
          <w:lang w:val="fr-CA"/>
        </w:rPr>
        <w:t xml:space="preserve">, </w:t>
      </w:r>
      <w:proofErr w:type="spellStart"/>
      <w:r w:rsidRPr="00F170A2">
        <w:rPr>
          <w:sz w:val="20"/>
          <w:lang w:val="fr-CA"/>
        </w:rPr>
        <w:t>c.r</w:t>
      </w:r>
      <w:proofErr w:type="spellEnd"/>
      <w:r w:rsidRPr="00F170A2">
        <w:rPr>
          <w:sz w:val="20"/>
          <w:lang w:val="fr-CA"/>
        </w:rPr>
        <w:t>. et Daniel J. Reid.)</w:t>
      </w:r>
    </w:p>
    <w:p w:rsidR="00F170A2" w:rsidRPr="00F170A2" w:rsidRDefault="00F170A2" w:rsidP="00F170A2">
      <w:pPr>
        <w:jc w:val="both"/>
        <w:rPr>
          <w:sz w:val="20"/>
        </w:rPr>
      </w:pPr>
      <w:r w:rsidRPr="00F170A2">
        <w:rPr>
          <w:sz w:val="20"/>
        </w:rPr>
        <w:t xml:space="preserve">Coram: McLachlin / Moldaver / </w:t>
      </w:r>
      <w:proofErr w:type="spellStart"/>
      <w:r w:rsidRPr="00F170A2">
        <w:rPr>
          <w:sz w:val="20"/>
        </w:rPr>
        <w:t>Gascon</w:t>
      </w:r>
      <w:proofErr w:type="spellEnd"/>
    </w:p>
    <w:p w:rsidR="00F170A2" w:rsidRPr="00F170A2" w:rsidRDefault="00F170A2" w:rsidP="00F170A2">
      <w:pPr>
        <w:jc w:val="both"/>
        <w:rPr>
          <w:sz w:val="20"/>
        </w:rPr>
      </w:pPr>
    </w:p>
    <w:p w:rsidR="00F170A2" w:rsidRPr="00F170A2" w:rsidRDefault="00F170A2" w:rsidP="00F170A2">
      <w:pPr>
        <w:jc w:val="both"/>
        <w:rPr>
          <w:sz w:val="20"/>
        </w:rPr>
      </w:pPr>
      <w:r w:rsidRPr="00F170A2">
        <w:rPr>
          <w:sz w:val="20"/>
        </w:rPr>
        <w:t>****</w:t>
      </w:r>
    </w:p>
    <w:p w:rsidR="00F170A2" w:rsidRPr="00F170A2" w:rsidRDefault="00F170A2" w:rsidP="00F170A2">
      <w:pPr>
        <w:jc w:val="both"/>
        <w:rPr>
          <w:sz w:val="20"/>
        </w:rPr>
      </w:pPr>
    </w:p>
    <w:p w:rsidR="00F170A2" w:rsidRPr="00F170A2" w:rsidRDefault="00F170A2" w:rsidP="00F170A2">
      <w:pPr>
        <w:autoSpaceDN w:val="0"/>
        <w:jc w:val="both"/>
        <w:rPr>
          <w:sz w:val="20"/>
          <w:lang w:val="en-CA" w:eastAsia="en-CA"/>
        </w:rPr>
      </w:pPr>
      <w:r w:rsidRPr="00F170A2">
        <w:rPr>
          <w:i/>
          <w:sz w:val="20"/>
          <w:lang w:val="en-CA" w:eastAsia="en-CA"/>
        </w:rPr>
        <w:t xml:space="preserve">Saskatchewan Democratic Action Party v. Saskatchewan Chief Electoral Officer, Michael D. </w:t>
      </w:r>
      <w:proofErr w:type="spellStart"/>
      <w:r w:rsidRPr="00F170A2">
        <w:rPr>
          <w:i/>
          <w:sz w:val="20"/>
          <w:lang w:val="en-CA" w:eastAsia="en-CA"/>
        </w:rPr>
        <w:t>Boda</w:t>
      </w:r>
      <w:proofErr w:type="spellEnd"/>
      <w:r w:rsidRPr="00F170A2">
        <w:rPr>
          <w:sz w:val="20"/>
          <w:lang w:val="en-CA" w:eastAsia="en-CA"/>
        </w:rPr>
        <w:t xml:space="preserve"> (Sask.) (Civil) (By Leave) (</w:t>
      </w:r>
      <w:hyperlink r:id="rId13" w:history="1">
        <w:r w:rsidRPr="00F170A2">
          <w:rPr>
            <w:rStyle w:val="Hyperlink"/>
            <w:sz w:val="20"/>
            <w:lang w:val="en-CA" w:eastAsia="en-CA"/>
          </w:rPr>
          <w:t>36604</w:t>
        </w:r>
      </w:hyperlink>
      <w:r w:rsidRPr="00F170A2">
        <w:rPr>
          <w:sz w:val="20"/>
          <w:lang w:val="en-CA" w:eastAsia="en-CA"/>
        </w:rPr>
        <w:t>)</w:t>
      </w:r>
    </w:p>
    <w:p w:rsidR="00F170A2" w:rsidRPr="00F170A2" w:rsidRDefault="00F170A2" w:rsidP="00F170A2">
      <w:pPr>
        <w:jc w:val="both"/>
        <w:rPr>
          <w:sz w:val="20"/>
        </w:rPr>
      </w:pPr>
      <w:r w:rsidRPr="00F170A2">
        <w:rPr>
          <w:sz w:val="20"/>
        </w:rPr>
        <w:t xml:space="preserve">(The motions to expedite the application for leave to appeal and in </w:t>
      </w:r>
      <w:r w:rsidRPr="00F170A2">
        <w:rPr>
          <w:i/>
          <w:sz w:val="20"/>
        </w:rPr>
        <w:t>Mandamus</w:t>
      </w:r>
      <w:r w:rsidRPr="00F170A2">
        <w:rPr>
          <w:sz w:val="20"/>
        </w:rPr>
        <w:t xml:space="preserve"> are dismissed. The application for leave to appeal is dismissed with costs. / </w:t>
      </w:r>
    </w:p>
    <w:p w:rsidR="00F170A2" w:rsidRPr="00F170A2" w:rsidRDefault="00F170A2" w:rsidP="00F170A2">
      <w:pPr>
        <w:jc w:val="both"/>
        <w:rPr>
          <w:sz w:val="20"/>
          <w:lang w:val="fr-CA"/>
        </w:rPr>
      </w:pPr>
      <w:r w:rsidRPr="00F170A2">
        <w:rPr>
          <w:sz w:val="20"/>
          <w:lang w:val="fr-CA"/>
        </w:rPr>
        <w:t xml:space="preserve">Les requêtes visant pour accélérer la demande d’autorisation d’appel et en </w:t>
      </w:r>
      <w:r w:rsidRPr="00F170A2">
        <w:rPr>
          <w:i/>
          <w:sz w:val="20"/>
          <w:lang w:val="fr-CA"/>
        </w:rPr>
        <w:t>Mandamus</w:t>
      </w:r>
      <w:r w:rsidRPr="00F170A2">
        <w:rPr>
          <w:sz w:val="20"/>
          <w:lang w:val="fr-CA"/>
        </w:rPr>
        <w:t xml:space="preserve"> sont rejetées. La demande d’autorisation d’appel est rejetée avec dépens.)</w:t>
      </w:r>
    </w:p>
    <w:p w:rsidR="00F170A2" w:rsidRPr="00F170A2" w:rsidRDefault="00F170A2" w:rsidP="00F170A2">
      <w:pPr>
        <w:jc w:val="both"/>
        <w:rPr>
          <w:sz w:val="20"/>
          <w:lang w:val="fr-CA"/>
        </w:rPr>
      </w:pPr>
      <w:r w:rsidRPr="00F170A2">
        <w:rPr>
          <w:sz w:val="20"/>
          <w:lang w:val="fr-CA"/>
        </w:rPr>
        <w:t>Coram: McLachlin / Moldaver / Gascon</w:t>
      </w:r>
    </w:p>
    <w:p w:rsidR="00F170A2" w:rsidRPr="00F170A2" w:rsidRDefault="00F170A2" w:rsidP="00F170A2">
      <w:pPr>
        <w:jc w:val="both"/>
        <w:rPr>
          <w:sz w:val="20"/>
          <w:lang w:val="fr-CA"/>
        </w:rPr>
      </w:pPr>
    </w:p>
    <w:p w:rsidR="00F170A2" w:rsidRPr="00F170A2" w:rsidRDefault="00F170A2" w:rsidP="00F170A2">
      <w:pPr>
        <w:jc w:val="both"/>
        <w:rPr>
          <w:sz w:val="20"/>
        </w:rPr>
      </w:pPr>
      <w:r w:rsidRPr="00F170A2">
        <w:rPr>
          <w:sz w:val="20"/>
        </w:rPr>
        <w:t>****</w:t>
      </w:r>
    </w:p>
    <w:p w:rsidR="00F170A2" w:rsidRPr="00F170A2" w:rsidRDefault="00F170A2" w:rsidP="00F170A2">
      <w:pPr>
        <w:jc w:val="both"/>
        <w:rPr>
          <w:sz w:val="20"/>
        </w:rPr>
      </w:pPr>
    </w:p>
    <w:p w:rsidR="00F170A2" w:rsidRPr="00F170A2" w:rsidRDefault="00F170A2" w:rsidP="00F170A2">
      <w:pPr>
        <w:jc w:val="both"/>
        <w:rPr>
          <w:sz w:val="20"/>
        </w:rPr>
      </w:pPr>
      <w:r w:rsidRPr="00F170A2">
        <w:rPr>
          <w:i/>
          <w:sz w:val="20"/>
          <w:lang w:val="en-CA" w:eastAsia="en-CA"/>
        </w:rPr>
        <w:t xml:space="preserve">Peter A. </w:t>
      </w:r>
      <w:proofErr w:type="spellStart"/>
      <w:r w:rsidRPr="00F170A2">
        <w:rPr>
          <w:i/>
          <w:sz w:val="20"/>
          <w:lang w:val="en-CA" w:eastAsia="en-CA"/>
        </w:rPr>
        <w:t>Khaiter</w:t>
      </w:r>
      <w:proofErr w:type="spellEnd"/>
      <w:r w:rsidRPr="00F170A2">
        <w:rPr>
          <w:i/>
          <w:sz w:val="20"/>
          <w:lang w:val="en-CA" w:eastAsia="en-CA"/>
        </w:rPr>
        <w:t xml:space="preserve"> v. Her Majesty the Queen in Right of Ontario et al.</w:t>
      </w:r>
      <w:r w:rsidRPr="00F170A2">
        <w:rPr>
          <w:sz w:val="20"/>
          <w:lang w:val="en-CA" w:eastAsia="en-CA"/>
        </w:rPr>
        <w:t xml:space="preserve"> (Ont.) (Civil) (By Leave) (</w:t>
      </w:r>
      <w:hyperlink r:id="rId14" w:history="1">
        <w:r w:rsidRPr="00F170A2">
          <w:rPr>
            <w:rStyle w:val="Hyperlink"/>
            <w:sz w:val="20"/>
            <w:lang w:val="en-CA" w:eastAsia="en-CA"/>
          </w:rPr>
          <w:t>36576</w:t>
        </w:r>
      </w:hyperlink>
      <w:r w:rsidRPr="00F170A2">
        <w:rPr>
          <w:sz w:val="20"/>
          <w:lang w:val="en-CA" w:eastAsia="en-CA"/>
        </w:rPr>
        <w:t>)</w:t>
      </w:r>
    </w:p>
    <w:p w:rsidR="00F170A2" w:rsidRPr="00D714D3" w:rsidRDefault="00F170A2" w:rsidP="00F170A2">
      <w:pPr>
        <w:jc w:val="both"/>
        <w:rPr>
          <w:sz w:val="20"/>
        </w:rPr>
      </w:pPr>
      <w:r w:rsidRPr="00D714D3">
        <w:rPr>
          <w:sz w:val="20"/>
        </w:rPr>
        <w:t xml:space="preserve">Coram: McLachlin / Moldaver / </w:t>
      </w:r>
      <w:proofErr w:type="spellStart"/>
      <w:r w:rsidRPr="00D714D3">
        <w:rPr>
          <w:sz w:val="20"/>
        </w:rPr>
        <w:t>Gascon</w:t>
      </w:r>
      <w:proofErr w:type="spellEnd"/>
    </w:p>
    <w:p w:rsidR="00F170A2" w:rsidRPr="00D714D3" w:rsidRDefault="00F170A2" w:rsidP="00F170A2">
      <w:pPr>
        <w:jc w:val="both"/>
        <w:rPr>
          <w:sz w:val="20"/>
        </w:rPr>
      </w:pPr>
    </w:p>
    <w:p w:rsidR="00F170A2" w:rsidRPr="00F170A2" w:rsidRDefault="00F170A2" w:rsidP="00F170A2">
      <w:pPr>
        <w:jc w:val="both"/>
        <w:rPr>
          <w:sz w:val="20"/>
        </w:rPr>
      </w:pPr>
      <w:r w:rsidRPr="00F170A2">
        <w:rPr>
          <w:sz w:val="20"/>
        </w:rPr>
        <w:t>****</w:t>
      </w:r>
    </w:p>
    <w:p w:rsidR="00F170A2" w:rsidRPr="0084156A" w:rsidRDefault="00F170A2" w:rsidP="00F170A2">
      <w:pPr>
        <w:jc w:val="both"/>
        <w:rPr>
          <w:sz w:val="20"/>
        </w:rPr>
      </w:pPr>
    </w:p>
    <w:p w:rsidR="00D852CC" w:rsidRPr="00494283" w:rsidRDefault="00D852CC" w:rsidP="003B434B">
      <w:pPr>
        <w:jc w:val="both"/>
        <w:rPr>
          <w:sz w:val="20"/>
        </w:rPr>
      </w:pPr>
    </w:p>
    <w:p w:rsidR="00494283" w:rsidRPr="00494283" w:rsidRDefault="00494283" w:rsidP="003B434B">
      <w:pPr>
        <w:jc w:val="both"/>
        <w:rPr>
          <w:sz w:val="20"/>
        </w:rPr>
      </w:pPr>
    </w:p>
    <w:p w:rsidR="002E4682" w:rsidRPr="00210652" w:rsidRDefault="002E4682" w:rsidP="002E4682">
      <w:pPr>
        <w:widowControl w:val="0"/>
        <w:outlineLvl w:val="0"/>
      </w:pPr>
      <w:r w:rsidRPr="00210652">
        <w:t xml:space="preserve">Supreme Court of Canada / Cour </w:t>
      </w:r>
      <w:proofErr w:type="spellStart"/>
      <w:r w:rsidRPr="00210652">
        <w:t>suprême</w:t>
      </w:r>
      <w:proofErr w:type="spellEnd"/>
      <w:r w:rsidRPr="00210652">
        <w:t xml:space="preserve"> du Canada : </w:t>
      </w:r>
    </w:p>
    <w:p w:rsidR="002E4682" w:rsidRPr="007C6C79" w:rsidRDefault="00CC7847" w:rsidP="002E4682">
      <w:pPr>
        <w:widowControl w:val="0"/>
        <w:outlineLvl w:val="0"/>
        <w:rPr>
          <w:color w:val="0000FF"/>
          <w:u w:val="single"/>
        </w:rPr>
      </w:pPr>
      <w:hyperlink r:id="rId15" w:history="1">
        <w:r w:rsidR="002E4682" w:rsidRPr="007C6C79">
          <w:rPr>
            <w:rStyle w:val="Hyperlink"/>
          </w:rPr>
          <w:t>comments-commentaires@scc-csc.ca</w:t>
        </w:r>
      </w:hyperlink>
    </w:p>
    <w:p w:rsidR="002E4682" w:rsidRPr="007C6C79" w:rsidRDefault="002E4682" w:rsidP="002E4682">
      <w:pPr>
        <w:widowControl w:val="0"/>
        <w:outlineLvl w:val="0"/>
      </w:pPr>
      <w:r w:rsidRPr="007C6C79">
        <w:t>(613) 995-4330</w:t>
      </w:r>
    </w:p>
    <w:p w:rsidR="002E4682" w:rsidRPr="007C6C79" w:rsidRDefault="002E4682" w:rsidP="002E4682">
      <w:pPr>
        <w:widowControl w:val="0"/>
        <w:rPr>
          <w:sz w:val="20"/>
        </w:rPr>
      </w:pPr>
    </w:p>
    <w:p w:rsidR="002E4682" w:rsidRPr="007C6C79" w:rsidRDefault="002E4682" w:rsidP="002E4682">
      <w:pPr>
        <w:widowControl w:val="0"/>
        <w:rPr>
          <w:sz w:val="20"/>
        </w:rPr>
      </w:pPr>
    </w:p>
    <w:p w:rsidR="002E4682" w:rsidRPr="007C6C79" w:rsidRDefault="002E4682" w:rsidP="002E4682">
      <w:pPr>
        <w:pStyle w:val="Footer"/>
        <w:jc w:val="center"/>
      </w:pPr>
      <w:r w:rsidRPr="007C6C79">
        <w:t>- 30 -</w:t>
      </w:r>
    </w:p>
    <w:p w:rsidR="002E4682" w:rsidRPr="007C6C79" w:rsidRDefault="002E4682" w:rsidP="002E4682">
      <w:pPr>
        <w:pStyle w:val="Footer"/>
        <w:jc w:val="center"/>
      </w:pPr>
    </w:p>
    <w:p w:rsidR="003F43E6" w:rsidRPr="002E4682" w:rsidRDefault="003F43E6" w:rsidP="002E4682">
      <w:pPr>
        <w:widowControl w:val="0"/>
        <w:outlineLvl w:val="0"/>
        <w:rPr>
          <w:sz w:val="20"/>
          <w:lang w:val="fr-CA"/>
        </w:rPr>
      </w:pPr>
      <w:bookmarkStart w:id="1" w:name="_GoBack"/>
      <w:bookmarkEnd w:id="1"/>
    </w:p>
    <w:sectPr w:rsidR="003F43E6" w:rsidRPr="002E4682"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47" w:rsidRDefault="00CC7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Pr="00CC7847" w:rsidRDefault="000E3305" w:rsidP="00CC7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47" w:rsidRDefault="00CC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47" w:rsidRDefault="00CC7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47" w:rsidRDefault="00CC7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847" w:rsidRDefault="00CC7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5"/>
  </w:num>
  <w:num w:numId="6">
    <w:abstractNumId w:val="1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3"/>
  </w:num>
  <w:num w:numId="13">
    <w:abstractNumId w:val="5"/>
  </w:num>
  <w:num w:numId="14">
    <w:abstractNumId w:val="3"/>
  </w:num>
  <w:num w:numId="15">
    <w:abstractNumId w:val="14"/>
  </w:num>
  <w:num w:numId="16">
    <w:abstractNumId w:val="8"/>
  </w:num>
  <w:num w:numId="17">
    <w:abstractNumId w:val="16"/>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484"/>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1FD3"/>
    <w:rsid w:val="000E3305"/>
    <w:rsid w:val="000E35CD"/>
    <w:rsid w:val="000E50F2"/>
    <w:rsid w:val="000E5407"/>
    <w:rsid w:val="000F22D3"/>
    <w:rsid w:val="000F3B4D"/>
    <w:rsid w:val="000F525E"/>
    <w:rsid w:val="00100CEE"/>
    <w:rsid w:val="00101E4B"/>
    <w:rsid w:val="001027F9"/>
    <w:rsid w:val="00102C52"/>
    <w:rsid w:val="00102F8F"/>
    <w:rsid w:val="001045B1"/>
    <w:rsid w:val="001068F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1B13"/>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4894"/>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C3"/>
    <w:rsid w:val="00521EFA"/>
    <w:rsid w:val="005229FF"/>
    <w:rsid w:val="00525B79"/>
    <w:rsid w:val="00532EB0"/>
    <w:rsid w:val="00532EEF"/>
    <w:rsid w:val="00535069"/>
    <w:rsid w:val="00535A60"/>
    <w:rsid w:val="00544481"/>
    <w:rsid w:val="00545F3F"/>
    <w:rsid w:val="00546DAD"/>
    <w:rsid w:val="00547C0E"/>
    <w:rsid w:val="00550A35"/>
    <w:rsid w:val="005542A1"/>
    <w:rsid w:val="00557DCC"/>
    <w:rsid w:val="005617DA"/>
    <w:rsid w:val="00561B18"/>
    <w:rsid w:val="00566C79"/>
    <w:rsid w:val="00570169"/>
    <w:rsid w:val="005812EF"/>
    <w:rsid w:val="00587914"/>
    <w:rsid w:val="005925EC"/>
    <w:rsid w:val="0059611F"/>
    <w:rsid w:val="00597224"/>
    <w:rsid w:val="0059795B"/>
    <w:rsid w:val="005A1B7D"/>
    <w:rsid w:val="005A3592"/>
    <w:rsid w:val="005A4082"/>
    <w:rsid w:val="005A7109"/>
    <w:rsid w:val="005B0AAB"/>
    <w:rsid w:val="005B0D9E"/>
    <w:rsid w:val="005B4EB8"/>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3896"/>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97826"/>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56A"/>
    <w:rsid w:val="0084161A"/>
    <w:rsid w:val="00841962"/>
    <w:rsid w:val="008453C8"/>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1C9"/>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C7847"/>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14D3"/>
    <w:rsid w:val="00D7507B"/>
    <w:rsid w:val="00D7557F"/>
    <w:rsid w:val="00D75BC9"/>
    <w:rsid w:val="00D75EE3"/>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170A2"/>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60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53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090"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cc-csc.lexum.com/scc-csc/news/fr/item/5096/index.d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c-csc.lexum.com/scc-csc/news/en/item/5096/index.do" TargetMode="External"/><Relationship Id="rId14" Type="http://schemas.openxmlformats.org/officeDocument/2006/relationships/hyperlink" Target="http://www.scc-csc.ca/case-dossier/info/sum-som-eng.aspx?cas=365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2015-11-26T14:20:00Z</dcterms:created>
  <dcterms:modified xsi:type="dcterms:W3CDTF">2015-11-26T14:21:00Z</dcterms:modified>
</cp:coreProperties>
</file>