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406755" w:rsidP="006F2579">
      <w:pPr>
        <w:widowControl w:val="0"/>
        <w:rPr>
          <w:b/>
        </w:rPr>
      </w:pPr>
      <w:r>
        <w:rPr>
          <w:b/>
        </w:rPr>
        <w:t xml:space="preserve">December </w:t>
      </w:r>
      <w:r w:rsidR="00EB2033">
        <w:rPr>
          <w:b/>
        </w:rPr>
        <w:t>14</w:t>
      </w:r>
      <w:r>
        <w:rPr>
          <w:b/>
        </w:rPr>
        <w:t>,</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B4D42" w:rsidRDefault="006F2579" w:rsidP="006F2579">
      <w:pPr>
        <w:widowControl w:val="0"/>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406755">
        <w:t>December 1</w:t>
      </w:r>
      <w:r w:rsidR="00EB2033">
        <w:t>7</w:t>
      </w:r>
      <w:r w:rsidR="00960719" w:rsidRPr="004B4D42">
        <w:t>,</w:t>
      </w:r>
      <w:r w:rsidR="002F38D7" w:rsidRPr="004B4D42">
        <w:t xml:space="preserve"> </w:t>
      </w:r>
      <w:r w:rsidR="006648D1" w:rsidRPr="004B4D42">
        <w:t>2015</w:t>
      </w:r>
      <w:r w:rsidRPr="004B4D42">
        <w:t>.  This list is subject to change.</w:t>
      </w:r>
    </w:p>
    <w:p w:rsidR="00FF5AA4" w:rsidRDefault="00FF5AA4" w:rsidP="006F2579">
      <w:pPr>
        <w:widowControl w:val="0"/>
      </w:pPr>
    </w:p>
    <w:p w:rsidR="00B43418" w:rsidRPr="004B4D42" w:rsidRDefault="00B43418" w:rsidP="006F2579">
      <w:pPr>
        <w:widowControl w:val="0"/>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EB2033">
        <w:rPr>
          <w:b/>
          <w:lang w:val="fr-CA"/>
        </w:rPr>
        <w:t>14</w:t>
      </w:r>
      <w:r w:rsidR="00406755">
        <w:rPr>
          <w:b/>
          <w:lang w:val="fr-CA"/>
        </w:rPr>
        <w:t xml:space="preserve"> déc</w:t>
      </w:r>
      <w:r w:rsidR="00957342">
        <w:rPr>
          <w:b/>
          <w:lang w:val="fr-CA"/>
        </w:rPr>
        <w:t>em</w:t>
      </w:r>
      <w:r w:rsidR="0001736B">
        <w:rPr>
          <w:b/>
          <w:lang w:val="fr-CA"/>
        </w:rPr>
        <w:t>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406755">
        <w:rPr>
          <w:lang w:val="fr-CA"/>
        </w:rPr>
        <w:t>1</w:t>
      </w:r>
      <w:r w:rsidR="00EB2033">
        <w:rPr>
          <w:lang w:val="fr-CA"/>
        </w:rPr>
        <w:t>7</w:t>
      </w:r>
      <w:r w:rsidR="0042648D">
        <w:rPr>
          <w:lang w:val="fr-CA"/>
        </w:rPr>
        <w:t xml:space="preserve"> décembre </w:t>
      </w:r>
      <w:r w:rsidR="006648D1" w:rsidRPr="004B4D42">
        <w:rPr>
          <w:lang w:val="fr-CA"/>
        </w:rPr>
        <w:t>2015</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648D" w:rsidRPr="009C09D7" w:rsidRDefault="0042648D" w:rsidP="00406755">
      <w:pPr>
        <w:jc w:val="both"/>
        <w:rPr>
          <w:sz w:val="20"/>
          <w:lang w:val="fr-CA" w:eastAsia="en-CA"/>
        </w:rPr>
      </w:pPr>
    </w:p>
    <w:p w:rsidR="00EB2033" w:rsidRPr="00EB2033" w:rsidRDefault="00EB2033" w:rsidP="00CA43A0">
      <w:pPr>
        <w:pStyle w:val="NoSpacing"/>
        <w:numPr>
          <w:ilvl w:val="0"/>
          <w:numId w:val="37"/>
        </w:numPr>
        <w:ind w:left="360"/>
        <w:jc w:val="both"/>
        <w:rPr>
          <w:sz w:val="20"/>
          <w:szCs w:val="20"/>
          <w:lang w:val="en-CA"/>
        </w:rPr>
      </w:pPr>
      <w:r w:rsidRPr="00EB2033">
        <w:rPr>
          <w:i/>
          <w:sz w:val="20"/>
          <w:szCs w:val="20"/>
          <w:lang w:val="en-CA"/>
        </w:rPr>
        <w:t>Martin Green v. Her Majesty the Queen</w:t>
      </w:r>
      <w:r w:rsidRPr="00EB2033">
        <w:rPr>
          <w:sz w:val="20"/>
          <w:szCs w:val="20"/>
          <w:lang w:val="en-CA"/>
        </w:rPr>
        <w:t xml:space="preserve"> (Man.) (Criminal) (By Leave) (</w:t>
      </w:r>
      <w:hyperlink r:id="rId8" w:history="1">
        <w:r w:rsidRPr="00CA43A0">
          <w:rPr>
            <w:rStyle w:val="Hyperlink"/>
            <w:sz w:val="20"/>
            <w:szCs w:val="20"/>
            <w:lang w:val="en-CA"/>
          </w:rPr>
          <w:t>36558</w:t>
        </w:r>
      </w:hyperlink>
      <w:r w:rsidRPr="00EB2033">
        <w:rPr>
          <w:sz w:val="20"/>
          <w:szCs w:val="20"/>
          <w:lang w:val="en-CA"/>
        </w:rPr>
        <w:t>)</w:t>
      </w:r>
    </w:p>
    <w:p w:rsidR="00EB2033" w:rsidRPr="00EB2033" w:rsidRDefault="00EB2033" w:rsidP="00CA43A0">
      <w:pPr>
        <w:pStyle w:val="NoSpacing"/>
        <w:ind w:left="360" w:hanging="360"/>
        <w:jc w:val="both"/>
        <w:rPr>
          <w:sz w:val="20"/>
          <w:szCs w:val="20"/>
          <w:lang w:val="en-CA"/>
        </w:rPr>
      </w:pPr>
    </w:p>
    <w:p w:rsidR="00EB2033" w:rsidRPr="00EB2033" w:rsidRDefault="00EB2033" w:rsidP="00CA43A0">
      <w:pPr>
        <w:pStyle w:val="NoSpacing"/>
        <w:numPr>
          <w:ilvl w:val="0"/>
          <w:numId w:val="37"/>
        </w:numPr>
        <w:ind w:left="360"/>
        <w:jc w:val="both"/>
        <w:rPr>
          <w:sz w:val="20"/>
          <w:szCs w:val="20"/>
          <w:lang w:val="en-CA"/>
        </w:rPr>
      </w:pPr>
      <w:r w:rsidRPr="00EB2033">
        <w:rPr>
          <w:i/>
          <w:sz w:val="20"/>
          <w:szCs w:val="20"/>
          <w:lang w:val="en-CA"/>
        </w:rPr>
        <w:t xml:space="preserve">Marco </w:t>
      </w:r>
      <w:proofErr w:type="spellStart"/>
      <w:r w:rsidRPr="00EB2033">
        <w:rPr>
          <w:i/>
          <w:sz w:val="20"/>
          <w:szCs w:val="20"/>
          <w:lang w:val="en-CA"/>
        </w:rPr>
        <w:t>Viscomi</w:t>
      </w:r>
      <w:proofErr w:type="spellEnd"/>
      <w:r w:rsidRPr="00EB2033">
        <w:rPr>
          <w:i/>
          <w:sz w:val="20"/>
          <w:szCs w:val="20"/>
          <w:lang w:val="en-CA"/>
        </w:rPr>
        <w:t xml:space="preserve"> v. Attorney General of Canada et al.</w:t>
      </w:r>
      <w:r w:rsidRPr="00EB2033">
        <w:rPr>
          <w:sz w:val="20"/>
          <w:szCs w:val="20"/>
          <w:lang w:val="en-CA"/>
        </w:rPr>
        <w:t xml:space="preserve"> (Ont.) (Criminal) (By Leave) (</w:t>
      </w:r>
      <w:hyperlink r:id="rId9" w:history="1">
        <w:r w:rsidRPr="00CA43A0">
          <w:rPr>
            <w:rStyle w:val="Hyperlink"/>
            <w:sz w:val="20"/>
            <w:szCs w:val="20"/>
            <w:lang w:val="en-CA"/>
          </w:rPr>
          <w:t>36648</w:t>
        </w:r>
      </w:hyperlink>
      <w:r w:rsidRPr="00EB2033">
        <w:rPr>
          <w:sz w:val="20"/>
          <w:szCs w:val="20"/>
          <w:lang w:val="en-CA"/>
        </w:rPr>
        <w:t>)</w:t>
      </w:r>
    </w:p>
    <w:p w:rsidR="00EB2033" w:rsidRPr="00EB2033" w:rsidRDefault="00EB2033" w:rsidP="00CA43A0">
      <w:pPr>
        <w:ind w:left="360" w:hanging="360"/>
        <w:jc w:val="both"/>
        <w:rPr>
          <w:sz w:val="20"/>
          <w:lang w:val="en-CA"/>
        </w:rPr>
      </w:pPr>
    </w:p>
    <w:p w:rsidR="00EB2033" w:rsidRPr="00EB2033" w:rsidRDefault="00EB2033" w:rsidP="00CA43A0">
      <w:pPr>
        <w:pStyle w:val="NoSpacing"/>
        <w:numPr>
          <w:ilvl w:val="0"/>
          <w:numId w:val="37"/>
        </w:numPr>
        <w:ind w:left="360"/>
        <w:jc w:val="both"/>
        <w:rPr>
          <w:sz w:val="20"/>
          <w:szCs w:val="20"/>
          <w:lang w:val="en-CA"/>
        </w:rPr>
      </w:pPr>
      <w:r w:rsidRPr="00EB2033">
        <w:rPr>
          <w:i/>
          <w:sz w:val="20"/>
          <w:szCs w:val="20"/>
          <w:lang w:val="en-CA"/>
        </w:rPr>
        <w:t xml:space="preserve">Nirmala Devi Arjun v. Her Majesty the Queen </w:t>
      </w:r>
      <w:r w:rsidRPr="00EB2033">
        <w:rPr>
          <w:sz w:val="20"/>
          <w:szCs w:val="20"/>
          <w:lang w:val="en-CA"/>
        </w:rPr>
        <w:t>(B.C.) (Criminal) (By Leave) (</w:t>
      </w:r>
      <w:hyperlink r:id="rId10" w:history="1">
        <w:r w:rsidRPr="00CA43A0">
          <w:rPr>
            <w:rStyle w:val="Hyperlink"/>
            <w:sz w:val="20"/>
            <w:szCs w:val="20"/>
            <w:lang w:val="en-CA"/>
          </w:rPr>
          <w:t>36568</w:t>
        </w:r>
      </w:hyperlink>
      <w:r w:rsidRPr="00EB2033">
        <w:rPr>
          <w:sz w:val="20"/>
          <w:szCs w:val="20"/>
          <w:lang w:val="en-CA"/>
        </w:rPr>
        <w:t>)</w:t>
      </w:r>
    </w:p>
    <w:p w:rsidR="00EB2033" w:rsidRPr="00EB2033" w:rsidRDefault="00EB2033" w:rsidP="00CA43A0">
      <w:pPr>
        <w:pStyle w:val="NoSpacing"/>
        <w:ind w:left="360" w:hanging="360"/>
        <w:jc w:val="both"/>
        <w:rPr>
          <w:sz w:val="20"/>
          <w:szCs w:val="20"/>
          <w:lang w:val="en-CA"/>
        </w:rPr>
      </w:pPr>
    </w:p>
    <w:p w:rsidR="00EB2033" w:rsidRPr="00CA43A0" w:rsidRDefault="00EB2033" w:rsidP="00CA43A0">
      <w:pPr>
        <w:pStyle w:val="NoSpacing"/>
        <w:numPr>
          <w:ilvl w:val="0"/>
          <w:numId w:val="37"/>
        </w:numPr>
        <w:ind w:left="360"/>
        <w:jc w:val="both"/>
        <w:rPr>
          <w:sz w:val="20"/>
          <w:szCs w:val="20"/>
        </w:rPr>
      </w:pPr>
      <w:r w:rsidRPr="00EB2033">
        <w:rPr>
          <w:i/>
          <w:sz w:val="20"/>
          <w:szCs w:val="20"/>
          <w:lang w:val="en-CA"/>
        </w:rPr>
        <w:t xml:space="preserve">Brother </w:t>
      </w:r>
      <w:proofErr w:type="spellStart"/>
      <w:r w:rsidRPr="00EB2033">
        <w:rPr>
          <w:i/>
          <w:sz w:val="20"/>
          <w:szCs w:val="20"/>
          <w:lang w:val="en-CA"/>
        </w:rPr>
        <w:t>Kornelis</w:t>
      </w:r>
      <w:proofErr w:type="spellEnd"/>
      <w:r w:rsidRPr="00EB2033">
        <w:rPr>
          <w:i/>
          <w:sz w:val="20"/>
          <w:szCs w:val="20"/>
          <w:lang w:val="en-CA"/>
        </w:rPr>
        <w:t xml:space="preserve"> </w:t>
      </w:r>
      <w:proofErr w:type="spellStart"/>
      <w:r w:rsidRPr="00EB2033">
        <w:rPr>
          <w:i/>
          <w:sz w:val="20"/>
          <w:szCs w:val="20"/>
          <w:lang w:val="en-CA"/>
        </w:rPr>
        <w:t>Kleverin</w:t>
      </w:r>
      <w:r w:rsidR="0068141A">
        <w:rPr>
          <w:i/>
          <w:sz w:val="20"/>
          <w:szCs w:val="20"/>
          <w:lang w:val="en-CA"/>
        </w:rPr>
        <w:t>g</w:t>
      </w:r>
      <w:proofErr w:type="spellEnd"/>
      <w:r w:rsidR="0068141A">
        <w:rPr>
          <w:i/>
          <w:sz w:val="20"/>
          <w:szCs w:val="20"/>
          <w:lang w:val="en-CA"/>
        </w:rPr>
        <w:t xml:space="preserve"> v. Attorney General of Canada</w:t>
      </w:r>
      <w:r w:rsidRPr="00EB2033">
        <w:rPr>
          <w:i/>
          <w:sz w:val="20"/>
          <w:szCs w:val="20"/>
          <w:lang w:val="en-CA"/>
        </w:rPr>
        <w:t xml:space="preserve"> et al. </w:t>
      </w:r>
      <w:r w:rsidRPr="00CA43A0">
        <w:rPr>
          <w:sz w:val="20"/>
          <w:szCs w:val="20"/>
        </w:rPr>
        <w:t>(F</w:t>
      </w:r>
      <w:r w:rsidR="0068141A" w:rsidRPr="00CA43A0">
        <w:rPr>
          <w:sz w:val="20"/>
          <w:szCs w:val="20"/>
        </w:rPr>
        <w:t>.</w:t>
      </w:r>
      <w:r w:rsidRPr="00CA43A0">
        <w:rPr>
          <w:sz w:val="20"/>
          <w:szCs w:val="20"/>
        </w:rPr>
        <w:t>C</w:t>
      </w:r>
      <w:r w:rsidR="0068141A" w:rsidRPr="00CA43A0">
        <w:rPr>
          <w:sz w:val="20"/>
          <w:szCs w:val="20"/>
        </w:rPr>
        <w:t>.</w:t>
      </w:r>
      <w:r w:rsidRPr="00CA43A0">
        <w:rPr>
          <w:sz w:val="20"/>
          <w:szCs w:val="20"/>
        </w:rPr>
        <w:t>) (Civil) (By Leave) (</w:t>
      </w:r>
      <w:hyperlink r:id="rId11" w:history="1">
        <w:r w:rsidRPr="00CA43A0">
          <w:rPr>
            <w:rStyle w:val="Hyperlink"/>
            <w:sz w:val="20"/>
            <w:szCs w:val="20"/>
          </w:rPr>
          <w:t>35620</w:t>
        </w:r>
      </w:hyperlink>
      <w:r w:rsidRPr="00CA43A0">
        <w:rPr>
          <w:sz w:val="20"/>
          <w:szCs w:val="20"/>
        </w:rPr>
        <w:t>)</w:t>
      </w:r>
    </w:p>
    <w:p w:rsidR="0042648D" w:rsidRPr="00CA43A0" w:rsidRDefault="0042648D" w:rsidP="00CA43A0">
      <w:pPr>
        <w:ind w:left="360" w:hanging="360"/>
        <w:jc w:val="both"/>
        <w:rPr>
          <w:sz w:val="20"/>
        </w:rPr>
      </w:pPr>
    </w:p>
    <w:p w:rsidR="00EB2033" w:rsidRPr="00CA43A0" w:rsidRDefault="00EB2033" w:rsidP="00CA43A0">
      <w:pPr>
        <w:pStyle w:val="ListParagraph"/>
        <w:numPr>
          <w:ilvl w:val="0"/>
          <w:numId w:val="37"/>
        </w:numPr>
        <w:ind w:left="360"/>
        <w:jc w:val="both"/>
        <w:rPr>
          <w:sz w:val="20"/>
          <w:szCs w:val="20"/>
          <w:lang w:val="fr-CA"/>
        </w:rPr>
      </w:pPr>
      <w:r w:rsidRPr="00CA43A0">
        <w:rPr>
          <w:i/>
          <w:sz w:val="20"/>
          <w:szCs w:val="20"/>
          <w:lang w:val="fr-CA"/>
        </w:rPr>
        <w:t>Fédération des producteurs acéricole</w:t>
      </w:r>
      <w:r w:rsidR="0068141A" w:rsidRPr="00CA43A0">
        <w:rPr>
          <w:i/>
          <w:sz w:val="20"/>
          <w:lang w:val="fr-CA"/>
        </w:rPr>
        <w:t>s du Québec c. S.K. Export Inc.</w:t>
      </w:r>
      <w:r w:rsidRPr="00CA43A0">
        <w:rPr>
          <w:i/>
          <w:sz w:val="20"/>
          <w:szCs w:val="20"/>
          <w:lang w:val="fr-CA"/>
        </w:rPr>
        <w:t xml:space="preserve"> et a</w:t>
      </w:r>
      <w:r w:rsidR="0068141A" w:rsidRPr="00CA43A0">
        <w:rPr>
          <w:i/>
          <w:sz w:val="20"/>
          <w:lang w:val="fr-CA"/>
        </w:rPr>
        <w:t>utre</w:t>
      </w:r>
      <w:r w:rsidRPr="00CA43A0">
        <w:rPr>
          <w:i/>
          <w:sz w:val="20"/>
          <w:szCs w:val="20"/>
          <w:lang w:val="fr-CA"/>
        </w:rPr>
        <w:t xml:space="preserve"> </w:t>
      </w:r>
      <w:r w:rsidRPr="00CA43A0">
        <w:rPr>
          <w:sz w:val="20"/>
          <w:szCs w:val="20"/>
          <w:lang w:val="fr-CA"/>
        </w:rPr>
        <w:t>(N.</w:t>
      </w:r>
      <w:r w:rsidRPr="00CA43A0">
        <w:rPr>
          <w:sz w:val="20"/>
          <w:szCs w:val="20"/>
          <w:lang w:val="fr-CA"/>
        </w:rPr>
        <w:noBreakHyphen/>
        <w:t>B.) (Civile) (Autorisation) (</w:t>
      </w:r>
      <w:hyperlink r:id="rId12" w:history="1">
        <w:r w:rsidRPr="00CA43A0">
          <w:rPr>
            <w:rStyle w:val="Hyperlink"/>
            <w:sz w:val="20"/>
            <w:lang w:val="fr-CA"/>
          </w:rPr>
          <w:t>36551</w:t>
        </w:r>
      </w:hyperlink>
      <w:r w:rsidRPr="00CA43A0">
        <w:rPr>
          <w:sz w:val="20"/>
          <w:szCs w:val="20"/>
          <w:lang w:val="fr-CA"/>
        </w:rPr>
        <w:t>)</w:t>
      </w:r>
    </w:p>
    <w:p w:rsidR="00EB2033" w:rsidRPr="0068141A" w:rsidRDefault="00EB2033" w:rsidP="00CA43A0">
      <w:pPr>
        <w:widowControl w:val="0"/>
        <w:ind w:left="360" w:hanging="360"/>
        <w:jc w:val="both"/>
        <w:rPr>
          <w:sz w:val="20"/>
          <w:lang w:val="fr-CA"/>
        </w:rPr>
      </w:pPr>
    </w:p>
    <w:p w:rsidR="00EB2033" w:rsidRPr="00CA43A0" w:rsidRDefault="00EB2033" w:rsidP="00CA43A0">
      <w:pPr>
        <w:pStyle w:val="ListParagraph"/>
        <w:numPr>
          <w:ilvl w:val="0"/>
          <w:numId w:val="37"/>
        </w:numPr>
        <w:ind w:left="360"/>
        <w:jc w:val="both"/>
        <w:rPr>
          <w:sz w:val="20"/>
          <w:szCs w:val="20"/>
        </w:rPr>
      </w:pPr>
      <w:r w:rsidRPr="00CA43A0">
        <w:rPr>
          <w:i/>
          <w:sz w:val="20"/>
          <w:szCs w:val="20"/>
          <w:lang w:val="fr-CA"/>
        </w:rPr>
        <w:t>Marlon Ric</w:t>
      </w:r>
      <w:proofErr w:type="spellStart"/>
      <w:r w:rsidRPr="00CA43A0">
        <w:rPr>
          <w:i/>
          <w:sz w:val="20"/>
          <w:szCs w:val="20"/>
        </w:rPr>
        <w:t>hards</w:t>
      </w:r>
      <w:proofErr w:type="spellEnd"/>
      <w:r w:rsidRPr="00CA43A0">
        <w:rPr>
          <w:i/>
          <w:sz w:val="20"/>
          <w:szCs w:val="20"/>
        </w:rPr>
        <w:t xml:space="preserve"> v. Her Majesty the Queen</w:t>
      </w:r>
      <w:r w:rsidRPr="00CA43A0">
        <w:rPr>
          <w:sz w:val="20"/>
          <w:szCs w:val="20"/>
        </w:rPr>
        <w:t xml:space="preserve"> (Ont.) (Criminal) (By Leave) (</w:t>
      </w:r>
      <w:hyperlink r:id="rId13" w:history="1">
        <w:r w:rsidRPr="00CA43A0">
          <w:rPr>
            <w:rStyle w:val="Hyperlink"/>
            <w:sz w:val="20"/>
          </w:rPr>
          <w:t>36550</w:t>
        </w:r>
      </w:hyperlink>
      <w:r w:rsidRPr="00CA43A0">
        <w:rPr>
          <w:sz w:val="20"/>
          <w:szCs w:val="20"/>
        </w:rPr>
        <w:t>)</w:t>
      </w:r>
    </w:p>
    <w:p w:rsidR="00EB2033" w:rsidRPr="00EB2033" w:rsidRDefault="00EB2033" w:rsidP="00CA43A0">
      <w:pPr>
        <w:widowControl w:val="0"/>
        <w:ind w:left="360" w:hanging="360"/>
        <w:jc w:val="both"/>
        <w:rPr>
          <w:sz w:val="20"/>
        </w:rPr>
      </w:pPr>
    </w:p>
    <w:p w:rsidR="00EB2033" w:rsidRPr="00CA43A0" w:rsidRDefault="00EB2033" w:rsidP="00CA43A0">
      <w:pPr>
        <w:pStyle w:val="ListParagraph"/>
        <w:numPr>
          <w:ilvl w:val="0"/>
          <w:numId w:val="37"/>
        </w:numPr>
        <w:ind w:left="360"/>
        <w:jc w:val="both"/>
        <w:rPr>
          <w:sz w:val="20"/>
          <w:lang w:val="en-CA"/>
        </w:rPr>
      </w:pPr>
      <w:r w:rsidRPr="00CA43A0">
        <w:rPr>
          <w:i/>
          <w:sz w:val="20"/>
          <w:lang w:eastAsia="en-CA"/>
        </w:rPr>
        <w:t xml:space="preserve">Andrew </w:t>
      </w:r>
      <w:proofErr w:type="spellStart"/>
      <w:r w:rsidRPr="00CA43A0">
        <w:rPr>
          <w:i/>
          <w:sz w:val="20"/>
          <w:lang w:eastAsia="en-CA"/>
        </w:rPr>
        <w:t>Sabean</w:t>
      </w:r>
      <w:proofErr w:type="spellEnd"/>
      <w:r w:rsidRPr="00CA43A0">
        <w:rPr>
          <w:i/>
          <w:sz w:val="20"/>
          <w:lang w:eastAsia="en-CA"/>
        </w:rPr>
        <w:t xml:space="preserve"> v. Portage La Prairie Mutual Insurance Company</w:t>
      </w:r>
      <w:r w:rsidRPr="00CA43A0">
        <w:rPr>
          <w:sz w:val="20"/>
          <w:lang w:eastAsia="en-CA"/>
        </w:rPr>
        <w:t xml:space="preserve"> (N.S.) (Civil) (By Leave) (</w:t>
      </w:r>
      <w:hyperlink r:id="rId14" w:history="1">
        <w:r w:rsidRPr="00CA43A0">
          <w:rPr>
            <w:rStyle w:val="Hyperlink"/>
            <w:sz w:val="20"/>
            <w:lang w:eastAsia="en-CA"/>
          </w:rPr>
          <w:t>36575</w:t>
        </w:r>
      </w:hyperlink>
      <w:r w:rsidRPr="00CA43A0">
        <w:rPr>
          <w:sz w:val="20"/>
          <w:lang w:eastAsia="en-CA"/>
        </w:rPr>
        <w:t>)</w:t>
      </w:r>
    </w:p>
    <w:p w:rsidR="00EB2033" w:rsidRPr="00EB2033" w:rsidRDefault="00EB2033" w:rsidP="00CA43A0">
      <w:pPr>
        <w:widowControl w:val="0"/>
        <w:ind w:left="360" w:hanging="360"/>
        <w:jc w:val="both"/>
        <w:rPr>
          <w:sz w:val="20"/>
          <w:lang w:val="en-CA"/>
        </w:rPr>
      </w:pPr>
    </w:p>
    <w:p w:rsidR="00EB2033" w:rsidRPr="00CA43A0" w:rsidRDefault="00EB2033" w:rsidP="00CA43A0">
      <w:pPr>
        <w:pStyle w:val="ListParagraph"/>
        <w:numPr>
          <w:ilvl w:val="0"/>
          <w:numId w:val="37"/>
        </w:numPr>
        <w:ind w:left="360"/>
        <w:jc w:val="both"/>
        <w:rPr>
          <w:sz w:val="20"/>
          <w:szCs w:val="20"/>
        </w:rPr>
      </w:pPr>
      <w:r w:rsidRPr="00CA43A0">
        <w:rPr>
          <w:i/>
          <w:sz w:val="20"/>
          <w:szCs w:val="20"/>
        </w:rPr>
        <w:t>Peter Andrew Webster v. Her Majesty the Queen</w:t>
      </w:r>
      <w:r w:rsidRPr="00CA43A0">
        <w:rPr>
          <w:sz w:val="20"/>
          <w:szCs w:val="20"/>
        </w:rPr>
        <w:t xml:space="preserve"> (B.C.) (Criminal) (By Leave) (</w:t>
      </w:r>
      <w:hyperlink r:id="rId15" w:history="1">
        <w:r w:rsidRPr="00CA43A0">
          <w:rPr>
            <w:rStyle w:val="Hyperlink"/>
            <w:sz w:val="20"/>
          </w:rPr>
          <w:t>36635</w:t>
        </w:r>
      </w:hyperlink>
      <w:r w:rsidRPr="00CA43A0">
        <w:rPr>
          <w:sz w:val="20"/>
          <w:szCs w:val="20"/>
        </w:rPr>
        <w:t>)</w:t>
      </w:r>
    </w:p>
    <w:p w:rsidR="00EB2033" w:rsidRPr="00EB2033" w:rsidRDefault="00EB2033" w:rsidP="00CA43A0">
      <w:pPr>
        <w:widowControl w:val="0"/>
        <w:ind w:left="360" w:hanging="360"/>
        <w:jc w:val="both"/>
        <w:rPr>
          <w:sz w:val="20"/>
        </w:rPr>
      </w:pPr>
    </w:p>
    <w:p w:rsidR="00EB2033" w:rsidRPr="00CA43A0" w:rsidRDefault="00EB2033" w:rsidP="00CA43A0">
      <w:pPr>
        <w:pStyle w:val="ListParagraph"/>
        <w:numPr>
          <w:ilvl w:val="0"/>
          <w:numId w:val="37"/>
        </w:numPr>
        <w:tabs>
          <w:tab w:val="left" w:pos="394"/>
        </w:tabs>
        <w:ind w:left="360"/>
        <w:jc w:val="both"/>
        <w:rPr>
          <w:sz w:val="20"/>
          <w:lang w:val="en-CA"/>
        </w:rPr>
      </w:pPr>
      <w:r w:rsidRPr="00CA43A0">
        <w:rPr>
          <w:i/>
          <w:sz w:val="20"/>
        </w:rPr>
        <w:t>Robert Glen Harrison v. British Columbia (Law Society) et al.</w:t>
      </w:r>
      <w:r w:rsidRPr="00CA43A0">
        <w:rPr>
          <w:sz w:val="20"/>
        </w:rPr>
        <w:t xml:space="preserve"> (B.C.) (Civil) (By Leave) (</w:t>
      </w:r>
      <w:hyperlink r:id="rId16" w:history="1">
        <w:r w:rsidRPr="00CA43A0">
          <w:rPr>
            <w:rStyle w:val="Hyperlink"/>
            <w:sz w:val="20"/>
          </w:rPr>
          <w:t>36588</w:t>
        </w:r>
      </w:hyperlink>
      <w:r w:rsidRPr="00CA43A0">
        <w:rPr>
          <w:sz w:val="20"/>
        </w:rPr>
        <w:t>)</w:t>
      </w:r>
    </w:p>
    <w:p w:rsidR="00EB2033" w:rsidRDefault="00EB2033" w:rsidP="000B6193">
      <w:pPr>
        <w:jc w:val="both"/>
        <w:rPr>
          <w:sz w:val="20"/>
        </w:rPr>
      </w:pPr>
    </w:p>
    <w:p w:rsidR="00B974A4" w:rsidRPr="00024711" w:rsidRDefault="00B974A4" w:rsidP="00024711">
      <w:pPr>
        <w:jc w:val="both"/>
        <w:rPr>
          <w:sz w:val="20"/>
        </w:rPr>
      </w:pPr>
    </w:p>
    <w:p w:rsidR="00F70C8A" w:rsidRPr="00024711" w:rsidRDefault="00F70C8A" w:rsidP="00024711">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rPr>
            </w:pPr>
            <w:r w:rsidRPr="00024711">
              <w:rPr>
                <w:rStyle w:val="SCCFileNumberChar"/>
                <w:sz w:val="20"/>
                <w:szCs w:val="20"/>
              </w:rPr>
              <w:t>36558</w:t>
            </w:r>
          </w:p>
        </w:tc>
        <w:tc>
          <w:tcPr>
            <w:tcW w:w="4457" w:type="pct"/>
            <w:gridSpan w:val="3"/>
          </w:tcPr>
          <w:p w:rsidR="00CA43A0" w:rsidRPr="00024711" w:rsidRDefault="00CA43A0" w:rsidP="00024711">
            <w:pPr>
              <w:pStyle w:val="SCCLsocParty"/>
              <w:jc w:val="both"/>
              <w:rPr>
                <w:b/>
                <w:sz w:val="20"/>
                <w:szCs w:val="20"/>
                <w:lang w:val="en-US"/>
              </w:rPr>
            </w:pPr>
            <w:r w:rsidRPr="00024711">
              <w:rPr>
                <w:b/>
                <w:sz w:val="20"/>
                <w:szCs w:val="20"/>
                <w:lang w:val="en-US"/>
              </w:rPr>
              <w:t>Martin Green v. Her Majesty the Queen</w:t>
            </w:r>
          </w:p>
          <w:p w:rsidR="00CA43A0" w:rsidRPr="00024711" w:rsidRDefault="00CA43A0" w:rsidP="00024711">
            <w:pPr>
              <w:jc w:val="both"/>
              <w:rPr>
                <w:sz w:val="20"/>
              </w:rPr>
            </w:pPr>
            <w:r w:rsidRPr="00024711">
              <w:rPr>
                <w:sz w:val="20"/>
              </w:rPr>
              <w:t>(Man.) (Criminal) (By Leave)</w:t>
            </w:r>
          </w:p>
        </w:tc>
      </w:tr>
      <w:tr w:rsidR="00CA43A0" w:rsidRPr="00024711" w:rsidTr="00CA43A0">
        <w:tc>
          <w:tcPr>
            <w:tcW w:w="5000" w:type="pct"/>
            <w:gridSpan w:val="4"/>
          </w:tcPr>
          <w:p w:rsidR="00CA43A0" w:rsidRPr="00024711" w:rsidRDefault="00CA43A0" w:rsidP="00024711">
            <w:pPr>
              <w:jc w:val="both"/>
              <w:rPr>
                <w:sz w:val="20"/>
              </w:rPr>
            </w:pPr>
            <w:r w:rsidRPr="00024711">
              <w:rPr>
                <w:i/>
                <w:sz w:val="20"/>
              </w:rPr>
              <w:lastRenderedPageBreak/>
              <w:t>Charter of Rights</w:t>
            </w:r>
            <w:r w:rsidRPr="00024711">
              <w:rPr>
                <w:sz w:val="20"/>
              </w:rPr>
              <w:t xml:space="preserve"> – Freedom of Expression – Section 2(b) of the </w:t>
            </w:r>
            <w:r w:rsidRPr="00024711">
              <w:rPr>
                <w:i/>
                <w:sz w:val="20"/>
              </w:rPr>
              <w:t>Charter</w:t>
            </w:r>
            <w:r w:rsidRPr="00024711">
              <w:rPr>
                <w:sz w:val="20"/>
              </w:rPr>
              <w:t xml:space="preserve"> – Administrative law – Natural justice – Whether the applicant’s right to natural justice and procedural fairness were violated – Whether the applicant’s s. 2(b) </w:t>
            </w:r>
            <w:r w:rsidRPr="00024711">
              <w:rPr>
                <w:i/>
                <w:sz w:val="20"/>
              </w:rPr>
              <w:t>Charter</w:t>
            </w:r>
            <w:r w:rsidRPr="00024711">
              <w:rPr>
                <w:sz w:val="20"/>
              </w:rPr>
              <w:t xml:space="preserve"> rights were violated – Whether the lower courts  erred – s. 2(b) of the </w:t>
            </w:r>
            <w:r w:rsidRPr="00024711">
              <w:rPr>
                <w:i/>
                <w:sz w:val="20"/>
              </w:rPr>
              <w:t>Charter</w:t>
            </w:r>
            <w:r w:rsidRPr="00024711">
              <w:rPr>
                <w:sz w:val="20"/>
              </w:rPr>
              <w:t>.</w:t>
            </w:r>
          </w:p>
        </w:tc>
      </w:tr>
      <w:tr w:rsidR="00CA43A0" w:rsidRPr="00024711" w:rsidTr="00CA43A0">
        <w:tc>
          <w:tcPr>
            <w:tcW w:w="5000" w:type="pct"/>
            <w:gridSpan w:val="4"/>
          </w:tcPr>
          <w:p w:rsidR="00CA43A0" w:rsidRPr="00024711" w:rsidRDefault="00CA43A0" w:rsidP="00024711">
            <w:pPr>
              <w:jc w:val="both"/>
              <w:rPr>
                <w:sz w:val="20"/>
              </w:rPr>
            </w:pPr>
          </w:p>
        </w:tc>
      </w:tr>
      <w:tr w:rsidR="00CA43A0" w:rsidRPr="00024711" w:rsidTr="00CA43A0">
        <w:tc>
          <w:tcPr>
            <w:tcW w:w="5000" w:type="pct"/>
            <w:gridSpan w:val="4"/>
          </w:tcPr>
          <w:p w:rsidR="00CA43A0" w:rsidRPr="00024711" w:rsidRDefault="00CA43A0" w:rsidP="00024711">
            <w:pPr>
              <w:jc w:val="both"/>
              <w:rPr>
                <w:sz w:val="20"/>
              </w:rPr>
            </w:pPr>
            <w:r w:rsidRPr="00024711">
              <w:rPr>
                <w:sz w:val="20"/>
              </w:rPr>
              <w:t xml:space="preserve">The applicant was convicted of trespass pursuant to the </w:t>
            </w:r>
            <w:r w:rsidRPr="00024711">
              <w:rPr>
                <w:i/>
                <w:sz w:val="20"/>
              </w:rPr>
              <w:t>Petty Trespassing Act</w:t>
            </w:r>
            <w:r w:rsidRPr="00024711">
              <w:rPr>
                <w:sz w:val="20"/>
              </w:rPr>
              <w:t>, C.C.S.M., c. P50.  The applicant’s summary conviction appeal was dismissed. The Court of Appeal dismissed the applicant’s application for leave to appeal.</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August 29, 2014</w:t>
            </w:r>
          </w:p>
          <w:p w:rsidR="00CA43A0" w:rsidRPr="00024711" w:rsidRDefault="00CA43A0" w:rsidP="00024711">
            <w:pPr>
              <w:jc w:val="both"/>
              <w:rPr>
                <w:sz w:val="20"/>
              </w:rPr>
            </w:pPr>
            <w:r w:rsidRPr="00024711">
              <w:rPr>
                <w:sz w:val="20"/>
              </w:rPr>
              <w:t>Provincial Court of Manitoba</w:t>
            </w:r>
          </w:p>
          <w:p w:rsidR="00CA43A0" w:rsidRPr="00024711" w:rsidRDefault="00CA43A0" w:rsidP="00024711">
            <w:pPr>
              <w:jc w:val="both"/>
              <w:rPr>
                <w:sz w:val="20"/>
              </w:rPr>
            </w:pPr>
            <w:r w:rsidRPr="00024711">
              <w:rPr>
                <w:sz w:val="20"/>
              </w:rPr>
              <w:t>(</w:t>
            </w:r>
            <w:proofErr w:type="spellStart"/>
            <w:r w:rsidRPr="00024711">
              <w:rPr>
                <w:sz w:val="20"/>
              </w:rPr>
              <w:t>Krahn</w:t>
            </w:r>
            <w:proofErr w:type="spellEnd"/>
            <w:r w:rsidRPr="00024711">
              <w:rPr>
                <w:sz w:val="20"/>
              </w:rPr>
              <w:t xml:space="preserve"> P.J.)</w:t>
            </w:r>
          </w:p>
          <w:p w:rsidR="00CA43A0" w:rsidRPr="00024711" w:rsidRDefault="00CA43A0" w:rsidP="00024711">
            <w:pPr>
              <w:jc w:val="both"/>
              <w:rPr>
                <w:sz w:val="20"/>
              </w:rPr>
            </w:pPr>
            <w:r w:rsidRPr="00024711">
              <w:rPr>
                <w:sz w:val="20"/>
              </w:rPr>
              <w:t>2014 MBPC 42</w:t>
            </w:r>
          </w:p>
          <w:p w:rsidR="00CA43A0" w:rsidRPr="00024711" w:rsidRDefault="00CA43A0" w:rsidP="00024711">
            <w:pPr>
              <w:jc w:val="both"/>
              <w:rPr>
                <w:rStyle w:val="documentstaticurl"/>
                <w:sz w:val="20"/>
              </w:rPr>
            </w:pPr>
            <w:hyperlink r:id="rId17" w:history="1">
              <w:r w:rsidRPr="00024711">
                <w:rPr>
                  <w:rStyle w:val="Hyperlink"/>
                  <w:sz w:val="20"/>
                </w:rPr>
                <w:t>http://canlii.ca/t/gds2v</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 xml:space="preserve">Conviction for trespass pursuant to the </w:t>
            </w:r>
            <w:r w:rsidRPr="00024711">
              <w:rPr>
                <w:i/>
                <w:sz w:val="20"/>
              </w:rPr>
              <w:t>Petty Trespassing Act</w:t>
            </w:r>
            <w:r w:rsidRPr="00024711">
              <w:rPr>
                <w:sz w:val="20"/>
              </w:rPr>
              <w:t>, C.C.S.M., c. P50</w:t>
            </w:r>
          </w:p>
          <w:p w:rsidR="00CA43A0" w:rsidRPr="00024711" w:rsidRDefault="00CA43A0" w:rsidP="00024711">
            <w:pPr>
              <w:jc w:val="both"/>
              <w:rPr>
                <w:sz w:val="20"/>
              </w:rPr>
            </w:pP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March 31, 2015</w:t>
            </w:r>
          </w:p>
          <w:p w:rsidR="00CA43A0" w:rsidRPr="00024711" w:rsidRDefault="00CA43A0" w:rsidP="00024711">
            <w:pPr>
              <w:jc w:val="both"/>
              <w:rPr>
                <w:sz w:val="20"/>
              </w:rPr>
            </w:pPr>
            <w:r w:rsidRPr="00024711">
              <w:rPr>
                <w:sz w:val="20"/>
              </w:rPr>
              <w:t>Queen’s Bench of Manitoba</w:t>
            </w:r>
          </w:p>
          <w:p w:rsidR="00CA43A0" w:rsidRPr="00024711" w:rsidRDefault="00CA43A0" w:rsidP="00024711">
            <w:pPr>
              <w:jc w:val="both"/>
              <w:rPr>
                <w:sz w:val="20"/>
              </w:rPr>
            </w:pPr>
            <w:r w:rsidRPr="00024711">
              <w:rPr>
                <w:sz w:val="20"/>
              </w:rPr>
              <w:t>(</w:t>
            </w:r>
            <w:proofErr w:type="spellStart"/>
            <w:r w:rsidRPr="00024711">
              <w:rPr>
                <w:sz w:val="20"/>
              </w:rPr>
              <w:t>Lanchbery</w:t>
            </w:r>
            <w:proofErr w:type="spellEnd"/>
            <w:r w:rsidRPr="00024711">
              <w:rPr>
                <w:sz w:val="20"/>
              </w:rPr>
              <w:t xml:space="preserve"> J.)</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Applicant’s summary conviction appeal dismissed</w:t>
            </w:r>
          </w:p>
          <w:p w:rsidR="00CA43A0" w:rsidRPr="00024711" w:rsidRDefault="00CA43A0" w:rsidP="00024711">
            <w:pPr>
              <w:jc w:val="both"/>
              <w:rPr>
                <w:sz w:val="20"/>
              </w:rPr>
            </w:pP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June 19, 2015</w:t>
            </w:r>
          </w:p>
          <w:p w:rsidR="00CA43A0" w:rsidRPr="00024711" w:rsidRDefault="00CA43A0" w:rsidP="00024711">
            <w:pPr>
              <w:jc w:val="both"/>
              <w:rPr>
                <w:sz w:val="20"/>
              </w:rPr>
            </w:pPr>
            <w:r w:rsidRPr="00024711">
              <w:rPr>
                <w:sz w:val="20"/>
              </w:rPr>
              <w:t>Court of Appeal of Manitoba</w:t>
            </w:r>
          </w:p>
          <w:p w:rsidR="00CA43A0" w:rsidRPr="00024711" w:rsidRDefault="00CA43A0" w:rsidP="00024711">
            <w:pPr>
              <w:jc w:val="both"/>
              <w:rPr>
                <w:sz w:val="20"/>
              </w:rPr>
            </w:pPr>
            <w:r w:rsidRPr="00024711">
              <w:rPr>
                <w:sz w:val="20"/>
              </w:rPr>
              <w:t>(Monnin J.A.)</w:t>
            </w:r>
          </w:p>
          <w:p w:rsidR="00CA43A0" w:rsidRPr="00024711" w:rsidRDefault="00CA43A0" w:rsidP="00024711">
            <w:pPr>
              <w:jc w:val="both"/>
              <w:rPr>
                <w:sz w:val="20"/>
              </w:rPr>
            </w:pPr>
            <w:r w:rsidRPr="00024711">
              <w:rPr>
                <w:sz w:val="20"/>
              </w:rPr>
              <w:t>2015 MBCA 60; AR15-30-08376</w:t>
            </w:r>
          </w:p>
          <w:p w:rsidR="00CA43A0" w:rsidRPr="00024711" w:rsidRDefault="00CA43A0" w:rsidP="00024711">
            <w:pPr>
              <w:jc w:val="both"/>
              <w:rPr>
                <w:sz w:val="20"/>
              </w:rPr>
            </w:pPr>
            <w:hyperlink r:id="rId18" w:history="1">
              <w:r w:rsidRPr="00024711">
                <w:rPr>
                  <w:rStyle w:val="Hyperlink"/>
                  <w:sz w:val="20"/>
                </w:rPr>
                <w:t>http://canlii.ca/t/gjnl3</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Applicant’s application for leave to appeal denied</w:t>
            </w:r>
          </w:p>
        </w:tc>
      </w:tr>
      <w:tr w:rsidR="00CA43A0" w:rsidRPr="00024711" w:rsidTr="00CA43A0">
        <w:tc>
          <w:tcPr>
            <w:tcW w:w="2427" w:type="pct"/>
            <w:gridSpan w:val="2"/>
          </w:tcPr>
          <w:p w:rsidR="00CA43A0" w:rsidRPr="00024711" w:rsidRDefault="00CA43A0" w:rsidP="00024711">
            <w:pPr>
              <w:jc w:val="both"/>
              <w:rPr>
                <w:sz w:val="20"/>
              </w:rPr>
            </w:pPr>
            <w:r w:rsidRPr="00024711">
              <w:rPr>
                <w:sz w:val="20"/>
              </w:rPr>
              <w:t>August 18, 2015</w:t>
            </w:r>
          </w:p>
          <w:p w:rsidR="00CA43A0" w:rsidRPr="00024711" w:rsidRDefault="00CA43A0" w:rsidP="00024711">
            <w:pPr>
              <w:jc w:val="both"/>
              <w:rPr>
                <w:sz w:val="20"/>
              </w:rPr>
            </w:pPr>
            <w:r w:rsidRPr="00024711">
              <w:rPr>
                <w:sz w:val="20"/>
              </w:rPr>
              <w:t>Supreme Court of Canada</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Application for leave to appeal filed</w:t>
            </w:r>
          </w:p>
          <w:p w:rsidR="00CA43A0" w:rsidRPr="00024711" w:rsidRDefault="00CA43A0" w:rsidP="00024711">
            <w:pPr>
              <w:jc w:val="both"/>
              <w:rPr>
                <w:sz w:val="20"/>
              </w:rPr>
            </w:pPr>
          </w:p>
        </w:tc>
      </w:tr>
    </w:tbl>
    <w:p w:rsidR="00CA43A0" w:rsidRPr="00024711" w:rsidRDefault="00CA43A0" w:rsidP="000247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lang w:val="fr-CA"/>
              </w:rPr>
            </w:pPr>
            <w:r w:rsidRPr="00024711">
              <w:rPr>
                <w:rStyle w:val="SCCFileNumberChar"/>
                <w:sz w:val="20"/>
                <w:szCs w:val="20"/>
                <w:lang w:val="fr-CA"/>
              </w:rPr>
              <w:t>36558</w:t>
            </w:r>
          </w:p>
        </w:tc>
        <w:tc>
          <w:tcPr>
            <w:tcW w:w="4457" w:type="pct"/>
            <w:gridSpan w:val="3"/>
          </w:tcPr>
          <w:p w:rsidR="00CA43A0" w:rsidRPr="00024711" w:rsidRDefault="00CA43A0" w:rsidP="00024711">
            <w:pPr>
              <w:pStyle w:val="SCCLsocParty"/>
              <w:jc w:val="both"/>
              <w:rPr>
                <w:b/>
                <w:sz w:val="20"/>
                <w:szCs w:val="20"/>
              </w:rPr>
            </w:pPr>
            <w:r w:rsidRPr="00024711">
              <w:rPr>
                <w:b/>
                <w:sz w:val="20"/>
                <w:szCs w:val="20"/>
              </w:rPr>
              <w:t>Martin Green c. Sa Majesté la Reine</w:t>
            </w:r>
          </w:p>
          <w:p w:rsidR="00CA43A0" w:rsidRPr="00024711" w:rsidRDefault="00CA43A0" w:rsidP="00024711">
            <w:pPr>
              <w:jc w:val="both"/>
              <w:rPr>
                <w:sz w:val="20"/>
                <w:lang w:val="fr-CA"/>
              </w:rPr>
            </w:pPr>
            <w:r w:rsidRPr="00024711">
              <w:rPr>
                <w:sz w:val="20"/>
                <w:lang w:val="fr-CA"/>
              </w:rPr>
              <w:t>(Man.) (Criminelle) (Sur autorisation)</w:t>
            </w:r>
          </w:p>
        </w:tc>
      </w:tr>
      <w:tr w:rsidR="00CA43A0" w:rsidRPr="00024711" w:rsidTr="00CA43A0">
        <w:tc>
          <w:tcPr>
            <w:tcW w:w="5000" w:type="pct"/>
            <w:gridSpan w:val="4"/>
          </w:tcPr>
          <w:p w:rsidR="00CA43A0" w:rsidRPr="00024711" w:rsidRDefault="00CA43A0" w:rsidP="00024711">
            <w:pPr>
              <w:jc w:val="both"/>
              <w:rPr>
                <w:sz w:val="20"/>
                <w:lang w:val="fr-CA"/>
              </w:rPr>
            </w:pPr>
            <w:r w:rsidRPr="00024711">
              <w:rPr>
                <w:i/>
                <w:sz w:val="20"/>
                <w:lang w:val="fr-CA"/>
              </w:rPr>
              <w:t>Charte des droits</w:t>
            </w:r>
            <w:r w:rsidRPr="00024711">
              <w:rPr>
                <w:sz w:val="20"/>
                <w:lang w:val="fr-CA"/>
              </w:rPr>
              <w:t xml:space="preserve"> – Liberté d’expression – Alinéa 2</w:t>
            </w:r>
            <w:r w:rsidRPr="00024711">
              <w:rPr>
                <w:i/>
                <w:sz w:val="20"/>
                <w:lang w:val="fr-CA"/>
              </w:rPr>
              <w:t>b</w:t>
            </w:r>
            <w:r w:rsidRPr="00024711">
              <w:rPr>
                <w:sz w:val="20"/>
                <w:lang w:val="fr-CA"/>
              </w:rPr>
              <w:t xml:space="preserve">) de la </w:t>
            </w:r>
            <w:r w:rsidRPr="00024711">
              <w:rPr>
                <w:i/>
                <w:sz w:val="20"/>
                <w:lang w:val="fr-CA"/>
              </w:rPr>
              <w:t>Charte</w:t>
            </w:r>
            <w:r w:rsidRPr="00024711">
              <w:rPr>
                <w:sz w:val="20"/>
                <w:lang w:val="fr-CA"/>
              </w:rPr>
              <w:t xml:space="preserve"> – Droit administratif – Justice naturelle – Les droits du demandeur à la justice naturelle et à l’équité procédurale ont-ils été violés? – Les droits que l’al. 2</w:t>
            </w:r>
            <w:r w:rsidRPr="00024711">
              <w:rPr>
                <w:i/>
                <w:sz w:val="20"/>
                <w:lang w:val="fr-CA"/>
              </w:rPr>
              <w:t>b</w:t>
            </w:r>
            <w:r w:rsidRPr="00024711">
              <w:rPr>
                <w:sz w:val="20"/>
                <w:lang w:val="fr-CA"/>
              </w:rPr>
              <w:t xml:space="preserve">) de la </w:t>
            </w:r>
            <w:r w:rsidRPr="00024711">
              <w:rPr>
                <w:i/>
                <w:sz w:val="20"/>
                <w:lang w:val="fr-CA"/>
              </w:rPr>
              <w:t>Charte</w:t>
            </w:r>
            <w:r w:rsidRPr="00024711">
              <w:rPr>
                <w:sz w:val="20"/>
                <w:lang w:val="fr-CA"/>
              </w:rPr>
              <w:t xml:space="preserve"> garantit au demandeur ont-ils été violés? – Les juridictions inférieures ont-elles commis une erreur? – Alinéa 2</w:t>
            </w:r>
            <w:r w:rsidRPr="00024711">
              <w:rPr>
                <w:i/>
                <w:sz w:val="20"/>
                <w:lang w:val="fr-CA"/>
              </w:rPr>
              <w:t>b</w:t>
            </w:r>
            <w:r w:rsidRPr="00024711">
              <w:rPr>
                <w:sz w:val="20"/>
                <w:lang w:val="fr-CA"/>
              </w:rPr>
              <w:t xml:space="preserve">) de la </w:t>
            </w:r>
            <w:r w:rsidRPr="00024711">
              <w:rPr>
                <w:i/>
                <w:sz w:val="20"/>
                <w:lang w:val="fr-CA"/>
              </w:rPr>
              <w:t>Charte</w:t>
            </w:r>
            <w:r w:rsidRPr="00024711">
              <w:rPr>
                <w:sz w:val="20"/>
                <w:lang w:val="fr-CA"/>
              </w:rPr>
              <w:t>.</w:t>
            </w:r>
          </w:p>
        </w:tc>
      </w:tr>
      <w:tr w:rsidR="00CA43A0" w:rsidRPr="00024711" w:rsidTr="00CA43A0">
        <w:tc>
          <w:tcPr>
            <w:tcW w:w="5000" w:type="pct"/>
            <w:gridSpan w:val="4"/>
          </w:tcPr>
          <w:p w:rsidR="00CA43A0" w:rsidRPr="00024711" w:rsidRDefault="00CA43A0" w:rsidP="00024711">
            <w:pPr>
              <w:jc w:val="both"/>
              <w:rPr>
                <w:sz w:val="20"/>
                <w:lang w:val="fr-CA"/>
              </w:rPr>
            </w:pP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 xml:space="preserve">Le demandeur a été déclaré coupable d’intrusion en application de la </w:t>
            </w:r>
            <w:r w:rsidRPr="00024711">
              <w:rPr>
                <w:i/>
                <w:sz w:val="20"/>
                <w:lang w:val="fr-CA"/>
              </w:rPr>
              <w:t>Loi sur l’intrusion</w:t>
            </w:r>
            <w:r w:rsidRPr="00024711">
              <w:rPr>
                <w:sz w:val="20"/>
                <w:lang w:val="fr-CA"/>
              </w:rPr>
              <w:t>, C.P.L.M., ch. P50. L’appel de la déclaration de culpabilité par procédure sommaire interjeté par le demandeur a été rejeté. La Cour d’appel a rejeté la demande d’autorisation d’appel du demandeur.</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29 août 2014</w:t>
            </w:r>
          </w:p>
          <w:p w:rsidR="00CA43A0" w:rsidRPr="00024711" w:rsidRDefault="00CA43A0" w:rsidP="00024711">
            <w:pPr>
              <w:jc w:val="both"/>
              <w:rPr>
                <w:sz w:val="20"/>
                <w:lang w:val="fr-CA"/>
              </w:rPr>
            </w:pPr>
            <w:r w:rsidRPr="00024711">
              <w:rPr>
                <w:sz w:val="20"/>
                <w:lang w:val="fr-CA"/>
              </w:rPr>
              <w:t>Cour provinciale du Manitoba</w:t>
            </w:r>
          </w:p>
          <w:p w:rsidR="00CA43A0" w:rsidRPr="00024711" w:rsidRDefault="00CA43A0" w:rsidP="00024711">
            <w:pPr>
              <w:jc w:val="both"/>
              <w:rPr>
                <w:sz w:val="20"/>
                <w:lang w:val="fr-CA"/>
              </w:rPr>
            </w:pPr>
            <w:r w:rsidRPr="00024711">
              <w:rPr>
                <w:sz w:val="20"/>
                <w:lang w:val="fr-CA"/>
              </w:rPr>
              <w:t>(Juge Krahn)</w:t>
            </w:r>
          </w:p>
          <w:p w:rsidR="00CA43A0" w:rsidRPr="00024711" w:rsidRDefault="00CA43A0" w:rsidP="00024711">
            <w:pPr>
              <w:jc w:val="both"/>
              <w:rPr>
                <w:sz w:val="20"/>
                <w:lang w:val="fr-CA"/>
              </w:rPr>
            </w:pPr>
            <w:r w:rsidRPr="00024711">
              <w:rPr>
                <w:sz w:val="20"/>
                <w:lang w:val="fr-CA"/>
              </w:rPr>
              <w:t>2014 MBPC 42</w:t>
            </w:r>
          </w:p>
          <w:p w:rsidR="00CA43A0" w:rsidRPr="00024711" w:rsidRDefault="00CA43A0" w:rsidP="00024711">
            <w:pPr>
              <w:jc w:val="both"/>
              <w:rPr>
                <w:rStyle w:val="documentstaticurl"/>
                <w:sz w:val="20"/>
                <w:lang w:val="fr-CA"/>
              </w:rPr>
            </w:pPr>
            <w:hyperlink r:id="rId19" w:history="1">
              <w:r w:rsidRPr="00024711">
                <w:rPr>
                  <w:rStyle w:val="Hyperlink"/>
                  <w:sz w:val="20"/>
                  <w:lang w:val="fr-CA"/>
                </w:rPr>
                <w:t>http://canlii.ca/t/gds2v</w:t>
              </w:r>
            </w:hyperlink>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 xml:space="preserve">Déclaration de culpabilité d’intrusion en application de la </w:t>
            </w:r>
            <w:r w:rsidRPr="00024711">
              <w:rPr>
                <w:i/>
                <w:sz w:val="20"/>
                <w:lang w:val="fr-CA"/>
              </w:rPr>
              <w:t>Loi sur l’intrusion</w:t>
            </w:r>
            <w:r w:rsidRPr="00024711">
              <w:rPr>
                <w:sz w:val="20"/>
                <w:lang w:val="fr-CA"/>
              </w:rPr>
              <w:t>, C.P.L.M., ch. P50</w:t>
            </w:r>
          </w:p>
          <w:p w:rsidR="00CA43A0" w:rsidRPr="00024711" w:rsidRDefault="00CA43A0" w:rsidP="00024711">
            <w:pPr>
              <w:jc w:val="both"/>
              <w:rPr>
                <w:sz w:val="20"/>
                <w:lang w:val="fr-CA"/>
              </w:rPr>
            </w:pP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31 mars 2015</w:t>
            </w:r>
          </w:p>
          <w:p w:rsidR="00CA43A0" w:rsidRPr="00024711" w:rsidRDefault="00CA43A0" w:rsidP="00024711">
            <w:pPr>
              <w:jc w:val="both"/>
              <w:rPr>
                <w:sz w:val="20"/>
                <w:lang w:val="fr-CA"/>
              </w:rPr>
            </w:pPr>
            <w:r w:rsidRPr="00024711">
              <w:rPr>
                <w:sz w:val="20"/>
                <w:lang w:val="fr-CA"/>
              </w:rPr>
              <w:t>Cour du Banc de la Reine du Manitoba</w:t>
            </w:r>
          </w:p>
          <w:p w:rsidR="00CA43A0" w:rsidRPr="00024711" w:rsidRDefault="00CA43A0" w:rsidP="00024711">
            <w:pPr>
              <w:jc w:val="both"/>
              <w:rPr>
                <w:sz w:val="20"/>
                <w:lang w:val="fr-CA"/>
              </w:rPr>
            </w:pPr>
            <w:r w:rsidRPr="00024711">
              <w:rPr>
                <w:sz w:val="20"/>
                <w:lang w:val="fr-CA"/>
              </w:rPr>
              <w:t>(Juge Lanchbery)</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Rejet de l’appel de la déclaration de culpabilité par procédure sommaire interjeté par le demandeur</w:t>
            </w:r>
          </w:p>
          <w:p w:rsidR="00CA43A0" w:rsidRPr="00024711" w:rsidRDefault="00CA43A0" w:rsidP="00024711">
            <w:pPr>
              <w:jc w:val="both"/>
              <w:rPr>
                <w:sz w:val="20"/>
                <w:lang w:val="fr-CA"/>
              </w:rPr>
            </w:pP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lastRenderedPageBreak/>
              <w:t>19 juin 2015</w:t>
            </w:r>
          </w:p>
          <w:p w:rsidR="00CA43A0" w:rsidRPr="00024711" w:rsidRDefault="00CA43A0" w:rsidP="00024711">
            <w:pPr>
              <w:jc w:val="both"/>
              <w:rPr>
                <w:sz w:val="20"/>
                <w:lang w:val="fr-CA"/>
              </w:rPr>
            </w:pPr>
            <w:r w:rsidRPr="00024711">
              <w:rPr>
                <w:sz w:val="20"/>
                <w:lang w:val="fr-CA"/>
              </w:rPr>
              <w:t>Cour d’appel du Manitoba</w:t>
            </w:r>
          </w:p>
          <w:p w:rsidR="00CA43A0" w:rsidRPr="00024711" w:rsidRDefault="00CA43A0" w:rsidP="00024711">
            <w:pPr>
              <w:jc w:val="both"/>
              <w:rPr>
                <w:sz w:val="20"/>
                <w:lang w:val="fr-CA"/>
              </w:rPr>
            </w:pPr>
            <w:r w:rsidRPr="00024711">
              <w:rPr>
                <w:sz w:val="20"/>
                <w:lang w:val="fr-CA"/>
              </w:rPr>
              <w:t>(Juge Monnin)</w:t>
            </w:r>
          </w:p>
          <w:p w:rsidR="00CA43A0" w:rsidRPr="00024711" w:rsidRDefault="00CA43A0" w:rsidP="00024711">
            <w:pPr>
              <w:jc w:val="both"/>
              <w:rPr>
                <w:sz w:val="20"/>
              </w:rPr>
            </w:pPr>
            <w:r w:rsidRPr="00024711">
              <w:rPr>
                <w:sz w:val="20"/>
              </w:rPr>
              <w:t>2015 MBCA 60; AR15-30-08376</w:t>
            </w:r>
          </w:p>
          <w:p w:rsidR="00CA43A0" w:rsidRPr="00024711" w:rsidRDefault="00CA43A0" w:rsidP="00024711">
            <w:pPr>
              <w:jc w:val="both"/>
              <w:rPr>
                <w:sz w:val="20"/>
              </w:rPr>
            </w:pPr>
            <w:hyperlink r:id="rId20" w:history="1">
              <w:r w:rsidRPr="00024711">
                <w:rPr>
                  <w:rStyle w:val="Hyperlink"/>
                  <w:sz w:val="20"/>
                </w:rPr>
                <w:t>http://canlii.ca/t/gjnl3</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lang w:val="fr-CA"/>
              </w:rPr>
            </w:pPr>
            <w:r w:rsidRPr="00024711">
              <w:rPr>
                <w:sz w:val="20"/>
                <w:lang w:val="fr-CA"/>
              </w:rPr>
              <w:t>Rejet de la demande d’autorisation d’appel du demandeur</w:t>
            </w: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18 août 2015</w:t>
            </w:r>
          </w:p>
          <w:p w:rsidR="00CA43A0" w:rsidRPr="00024711" w:rsidRDefault="00CA43A0" w:rsidP="00024711">
            <w:pPr>
              <w:jc w:val="both"/>
              <w:rPr>
                <w:sz w:val="20"/>
                <w:lang w:val="fr-CA"/>
              </w:rPr>
            </w:pPr>
            <w:r w:rsidRPr="00024711">
              <w:rPr>
                <w:sz w:val="20"/>
                <w:lang w:val="fr-CA"/>
              </w:rPr>
              <w:t>Cour suprême du Canada</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Dépôt de la demande d’autorisation d’appel</w:t>
            </w:r>
          </w:p>
          <w:p w:rsidR="00CA43A0" w:rsidRPr="00024711" w:rsidRDefault="00CA43A0" w:rsidP="00024711">
            <w:pPr>
              <w:jc w:val="both"/>
              <w:rPr>
                <w:sz w:val="20"/>
                <w:lang w:val="fr-CA"/>
              </w:rPr>
            </w:pPr>
          </w:p>
        </w:tc>
      </w:tr>
    </w:tbl>
    <w:p w:rsidR="00CA43A0" w:rsidRPr="00024711" w:rsidRDefault="00CA43A0" w:rsidP="000247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rPr>
            </w:pPr>
            <w:r w:rsidRPr="00024711">
              <w:rPr>
                <w:rStyle w:val="SCCFileNumberChar"/>
                <w:sz w:val="20"/>
                <w:szCs w:val="20"/>
              </w:rPr>
              <w:t>36648</w:t>
            </w:r>
          </w:p>
        </w:tc>
        <w:tc>
          <w:tcPr>
            <w:tcW w:w="4457" w:type="pct"/>
            <w:gridSpan w:val="3"/>
          </w:tcPr>
          <w:p w:rsidR="00CA43A0" w:rsidRPr="00024711" w:rsidRDefault="00CA43A0" w:rsidP="00024711">
            <w:pPr>
              <w:pStyle w:val="SCCLsocParty"/>
              <w:jc w:val="both"/>
              <w:rPr>
                <w:b/>
                <w:sz w:val="20"/>
                <w:szCs w:val="20"/>
                <w:lang w:val="en-US"/>
              </w:rPr>
            </w:pPr>
            <w:r w:rsidRPr="00024711">
              <w:rPr>
                <w:b/>
                <w:sz w:val="20"/>
                <w:szCs w:val="20"/>
                <w:lang w:val="en-US"/>
              </w:rPr>
              <w:t xml:space="preserve">Marco </w:t>
            </w:r>
            <w:proofErr w:type="spellStart"/>
            <w:r w:rsidRPr="00024711">
              <w:rPr>
                <w:b/>
                <w:sz w:val="20"/>
                <w:szCs w:val="20"/>
                <w:lang w:val="en-US"/>
              </w:rPr>
              <w:t>Viscomi</w:t>
            </w:r>
            <w:proofErr w:type="spellEnd"/>
            <w:r w:rsidRPr="00024711">
              <w:rPr>
                <w:b/>
                <w:sz w:val="20"/>
                <w:szCs w:val="20"/>
                <w:lang w:val="en-US"/>
              </w:rPr>
              <w:t xml:space="preserve"> v. Attorney General of Canada, Attorney General of Ontario</w:t>
            </w:r>
          </w:p>
          <w:p w:rsidR="00CA43A0" w:rsidRPr="00024711" w:rsidRDefault="00CA43A0" w:rsidP="00024711">
            <w:pPr>
              <w:jc w:val="both"/>
              <w:rPr>
                <w:sz w:val="20"/>
              </w:rPr>
            </w:pPr>
            <w:r w:rsidRPr="00024711">
              <w:rPr>
                <w:sz w:val="20"/>
              </w:rPr>
              <w:t>(Ont.) (Criminal) (By Leave)</w:t>
            </w:r>
          </w:p>
        </w:tc>
      </w:tr>
      <w:tr w:rsidR="00CA43A0" w:rsidRPr="00024711" w:rsidTr="00CA43A0">
        <w:tc>
          <w:tcPr>
            <w:tcW w:w="5000" w:type="pct"/>
            <w:gridSpan w:val="4"/>
          </w:tcPr>
          <w:p w:rsidR="00CA43A0" w:rsidRPr="00024711" w:rsidRDefault="00CA43A0" w:rsidP="00024711">
            <w:pPr>
              <w:jc w:val="both"/>
              <w:rPr>
                <w:sz w:val="20"/>
              </w:rPr>
            </w:pPr>
            <w:r w:rsidRPr="00024711">
              <w:rPr>
                <w:i/>
                <w:sz w:val="20"/>
              </w:rPr>
              <w:t>Charter of Rights and Freedoms</w:t>
            </w:r>
            <w:r w:rsidRPr="00024711">
              <w:rPr>
                <w:sz w:val="20"/>
              </w:rPr>
              <w:t xml:space="preserve"> – Search and seizure – </w:t>
            </w:r>
            <w:r w:rsidRPr="00024711">
              <w:rPr>
                <w:i/>
                <w:sz w:val="20"/>
              </w:rPr>
              <w:t>Mutual Legal Assistance in Criminal Matters Act</w:t>
            </w:r>
            <w:r w:rsidRPr="00024711">
              <w:rPr>
                <w:sz w:val="20"/>
              </w:rPr>
              <w:t xml:space="preserve"> sets out a legislative scheme authorizing the gathering of evidence of an offence and sending gathered evidence to a requesting foreign state or entity – Whether ss. 17 to 21 of the </w:t>
            </w:r>
            <w:r w:rsidRPr="00024711">
              <w:rPr>
                <w:i/>
                <w:sz w:val="20"/>
              </w:rPr>
              <w:t>Mutual Legal Assistance in Criminal Matters Act</w:t>
            </w:r>
            <w:r w:rsidRPr="00024711">
              <w:rPr>
                <w:sz w:val="20"/>
              </w:rPr>
              <w:t xml:space="preserve"> infringe s. 8 of the </w:t>
            </w:r>
            <w:r w:rsidRPr="00024711">
              <w:rPr>
                <w:i/>
                <w:sz w:val="20"/>
              </w:rPr>
              <w:t>Charter</w:t>
            </w:r>
            <w:r w:rsidRPr="00024711">
              <w:rPr>
                <w:sz w:val="20"/>
              </w:rPr>
              <w:t xml:space="preserve"> – If so, whether infringement is a reasonable limit prescribed by law as can be demonstrably justified in a free and democratic society – </w:t>
            </w:r>
            <w:r w:rsidRPr="00024711">
              <w:rPr>
                <w:i/>
                <w:sz w:val="20"/>
              </w:rPr>
              <w:t>Mutual Legal Assistance in Criminal Matters Act</w:t>
            </w:r>
            <w:r w:rsidRPr="00024711">
              <w:rPr>
                <w:sz w:val="20"/>
              </w:rPr>
              <w:t>, R.S.C. 1985, c. 30 (4th Supp.), ss. 17 to 21.</w:t>
            </w:r>
          </w:p>
        </w:tc>
      </w:tr>
      <w:tr w:rsidR="00CA43A0" w:rsidRPr="00024711" w:rsidTr="00CA43A0">
        <w:tc>
          <w:tcPr>
            <w:tcW w:w="5000" w:type="pct"/>
            <w:gridSpan w:val="4"/>
          </w:tcPr>
          <w:p w:rsidR="00CA43A0" w:rsidRPr="00024711" w:rsidRDefault="00CA43A0" w:rsidP="00024711">
            <w:pPr>
              <w:jc w:val="both"/>
              <w:rPr>
                <w:sz w:val="20"/>
              </w:rPr>
            </w:pPr>
          </w:p>
        </w:tc>
      </w:tr>
      <w:tr w:rsidR="00CA43A0" w:rsidRPr="00024711" w:rsidTr="00CA43A0">
        <w:tc>
          <w:tcPr>
            <w:tcW w:w="5000" w:type="pct"/>
            <w:gridSpan w:val="4"/>
          </w:tcPr>
          <w:p w:rsidR="00CA43A0" w:rsidRPr="00024711" w:rsidRDefault="00CA43A0" w:rsidP="00024711">
            <w:pPr>
              <w:jc w:val="both"/>
              <w:rPr>
                <w:sz w:val="20"/>
              </w:rPr>
            </w:pPr>
            <w:r w:rsidRPr="00024711">
              <w:rPr>
                <w:sz w:val="20"/>
              </w:rPr>
              <w:t xml:space="preserve">American police traced internet communications related to alleged child luring in Virginia to an Internet Protocol address in Ontario. The Internet Service Provider identified the applicant as the subscriber at the relevant time and disclosed his address to American police. The American police notified Ontario police. Ontario police executed search warrants at the applicant’s residences. Charges were laid in Canada but withdrawn when the United States sought the applicant’s extradition. The applicant was committed for extradition and the Minister of Justice ordered his surrender but the Court of Appeal set aside the order for committal and quashed the surrender order. In separate </w:t>
            </w:r>
            <w:r w:rsidRPr="00024711">
              <w:rPr>
                <w:i/>
                <w:sz w:val="20"/>
              </w:rPr>
              <w:t>ex parte</w:t>
            </w:r>
            <w:r w:rsidRPr="00024711">
              <w:rPr>
                <w:sz w:val="20"/>
              </w:rPr>
              <w:t xml:space="preserve"> hearings, pursuant to ss. 18 and 20 of the </w:t>
            </w:r>
            <w:r w:rsidRPr="00024711">
              <w:rPr>
                <w:i/>
                <w:sz w:val="20"/>
              </w:rPr>
              <w:t>Mutual Legal Assistance in Criminal Matters Act</w:t>
            </w:r>
            <w:r w:rsidRPr="00024711">
              <w:rPr>
                <w:sz w:val="20"/>
              </w:rPr>
              <w:t xml:space="preserve">, R.S.C. 1985, c. 30 (4th Supp.), Code J. granted gathering orders and sending orders permitting Ontario authorities to gather and send to American authorities the evidence obtained by police in Ontario. The applicant brought a motion challenging the constitutionality of the gathering and sending provisions in the </w:t>
            </w:r>
            <w:r w:rsidRPr="00024711">
              <w:rPr>
                <w:i/>
                <w:sz w:val="20"/>
              </w:rPr>
              <w:t>Mutual Legal Assistance in Criminal Matters Act</w:t>
            </w:r>
            <w:r w:rsidRPr="00024711">
              <w:rPr>
                <w:sz w:val="20"/>
              </w:rPr>
              <w:t>.</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May 24, 2013</w:t>
            </w:r>
          </w:p>
          <w:p w:rsidR="00CA43A0" w:rsidRPr="00024711" w:rsidRDefault="00CA43A0" w:rsidP="00024711">
            <w:pPr>
              <w:jc w:val="both"/>
              <w:rPr>
                <w:sz w:val="20"/>
              </w:rPr>
            </w:pPr>
            <w:r w:rsidRPr="00024711">
              <w:rPr>
                <w:sz w:val="20"/>
              </w:rPr>
              <w:t>Ontario Superior Court of Justice</w:t>
            </w:r>
          </w:p>
          <w:p w:rsidR="00CA43A0" w:rsidRPr="00024711" w:rsidRDefault="00CA43A0" w:rsidP="00024711">
            <w:pPr>
              <w:jc w:val="both"/>
              <w:rPr>
                <w:sz w:val="20"/>
                <w:lang w:val="fr-CA"/>
              </w:rPr>
            </w:pPr>
            <w:r w:rsidRPr="00024711">
              <w:rPr>
                <w:sz w:val="20"/>
                <w:lang w:val="fr-CA"/>
              </w:rPr>
              <w:t xml:space="preserve">(Campbell J.) </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Committal for extradition to United States</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October 17, 2013</w:t>
            </w:r>
          </w:p>
          <w:p w:rsidR="00CA43A0" w:rsidRPr="00024711" w:rsidRDefault="00CA43A0" w:rsidP="00024711">
            <w:pPr>
              <w:jc w:val="both"/>
              <w:rPr>
                <w:sz w:val="20"/>
              </w:rPr>
            </w:pPr>
            <w:r w:rsidRPr="00024711">
              <w:rPr>
                <w:sz w:val="20"/>
              </w:rPr>
              <w:t xml:space="preserve">Minister of Justice </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Order for surrender</w:t>
            </w:r>
          </w:p>
        </w:tc>
      </w:tr>
      <w:tr w:rsidR="00CA43A0" w:rsidRPr="00024711" w:rsidTr="00CA43A0">
        <w:tc>
          <w:tcPr>
            <w:tcW w:w="2427" w:type="pct"/>
            <w:gridSpan w:val="2"/>
          </w:tcPr>
          <w:p w:rsidR="00CA43A0" w:rsidRPr="00024711" w:rsidRDefault="00CA43A0" w:rsidP="00024711">
            <w:pPr>
              <w:jc w:val="both"/>
              <w:rPr>
                <w:sz w:val="20"/>
              </w:rPr>
            </w:pPr>
            <w:r w:rsidRPr="00024711">
              <w:rPr>
                <w:sz w:val="20"/>
              </w:rPr>
              <w:t xml:space="preserve">January 9, 2015 </w:t>
            </w:r>
          </w:p>
          <w:p w:rsidR="00CA43A0" w:rsidRPr="00024711" w:rsidRDefault="00CA43A0" w:rsidP="00024711">
            <w:pPr>
              <w:jc w:val="both"/>
              <w:rPr>
                <w:sz w:val="20"/>
              </w:rPr>
            </w:pPr>
            <w:r w:rsidRPr="00024711">
              <w:rPr>
                <w:sz w:val="20"/>
              </w:rPr>
              <w:t>Ontario Superior Court of Justice</w:t>
            </w:r>
          </w:p>
          <w:p w:rsidR="00CA43A0" w:rsidRPr="00024711" w:rsidRDefault="00CA43A0" w:rsidP="00024711">
            <w:pPr>
              <w:jc w:val="both"/>
              <w:rPr>
                <w:sz w:val="20"/>
                <w:lang w:val="fr-CA"/>
              </w:rPr>
            </w:pPr>
            <w:r w:rsidRPr="00024711">
              <w:rPr>
                <w:sz w:val="20"/>
              </w:rPr>
              <w:t>Code J.</w:t>
            </w:r>
          </w:p>
          <w:p w:rsidR="00CA43A0" w:rsidRPr="00024711" w:rsidRDefault="00CA43A0" w:rsidP="00024711">
            <w:pPr>
              <w:jc w:val="both"/>
              <w:rPr>
                <w:sz w:val="20"/>
              </w:rPr>
            </w:pPr>
            <w:hyperlink r:id="rId21" w:history="1">
              <w:r w:rsidRPr="00024711">
                <w:rPr>
                  <w:rStyle w:val="Hyperlink"/>
                  <w:sz w:val="20"/>
                </w:rPr>
                <w:t>2015 ONSC 61</w:t>
              </w:r>
            </w:hyperlink>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i/>
                <w:sz w:val="20"/>
              </w:rPr>
            </w:pPr>
            <w:r w:rsidRPr="00024711">
              <w:rPr>
                <w:sz w:val="20"/>
              </w:rPr>
              <w:t xml:space="preserve">Sections 17 to 21 of the </w:t>
            </w:r>
            <w:r w:rsidRPr="00024711">
              <w:rPr>
                <w:i/>
                <w:sz w:val="20"/>
              </w:rPr>
              <w:t>Mutual Legal Assistance in Criminal Matters Act</w:t>
            </w:r>
            <w:r w:rsidRPr="00024711">
              <w:rPr>
                <w:sz w:val="20"/>
              </w:rPr>
              <w:t xml:space="preserve">, R.S.C. 1985, c. 30 (4th Supp.), held not to be in breach of s. 7 or s. 8 of the </w:t>
            </w:r>
            <w:r w:rsidRPr="00024711">
              <w:rPr>
                <w:i/>
                <w:sz w:val="20"/>
              </w:rPr>
              <w:t>Canadian Charter</w:t>
            </w:r>
            <w:r w:rsidRPr="00024711">
              <w:rPr>
                <w:sz w:val="20"/>
              </w:rPr>
              <w:t xml:space="preserve"> </w:t>
            </w:r>
            <w:r w:rsidRPr="00024711">
              <w:rPr>
                <w:i/>
                <w:sz w:val="20"/>
              </w:rPr>
              <w:t>of Rights and Freedoms</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June 30, 2015</w:t>
            </w:r>
          </w:p>
          <w:p w:rsidR="00CA43A0" w:rsidRPr="00024711" w:rsidRDefault="00CA43A0" w:rsidP="00024711">
            <w:pPr>
              <w:jc w:val="both"/>
              <w:rPr>
                <w:sz w:val="20"/>
              </w:rPr>
            </w:pPr>
            <w:r w:rsidRPr="00024711">
              <w:rPr>
                <w:sz w:val="20"/>
              </w:rPr>
              <w:t>Court of Appeal for Ontario</w:t>
            </w:r>
          </w:p>
          <w:p w:rsidR="00CA43A0" w:rsidRPr="00024711" w:rsidRDefault="00CA43A0" w:rsidP="00024711">
            <w:pPr>
              <w:jc w:val="both"/>
              <w:rPr>
                <w:sz w:val="20"/>
                <w:lang w:val="fr-CA"/>
              </w:rPr>
            </w:pPr>
            <w:r w:rsidRPr="00024711">
              <w:rPr>
                <w:sz w:val="20"/>
                <w:lang w:val="fr-CA"/>
              </w:rPr>
              <w:t>(Simmons, Cronk, Blair JJ.A.)</w:t>
            </w:r>
          </w:p>
          <w:p w:rsidR="00CA43A0" w:rsidRPr="00024711" w:rsidRDefault="00CA43A0" w:rsidP="00024711">
            <w:pPr>
              <w:jc w:val="both"/>
              <w:rPr>
                <w:rStyle w:val="Hyperlink"/>
                <w:sz w:val="20"/>
              </w:rPr>
            </w:pPr>
            <w:r w:rsidRPr="00024711">
              <w:rPr>
                <w:sz w:val="20"/>
              </w:rPr>
              <w:t xml:space="preserve">C57211, C57910,C59973; </w:t>
            </w:r>
            <w:hyperlink r:id="rId22" w:history="1">
              <w:r w:rsidRPr="00024711">
                <w:rPr>
                  <w:rStyle w:val="Hyperlink"/>
                  <w:sz w:val="20"/>
                </w:rPr>
                <w:t>2015 ONCA 484</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 xml:space="preserve">Appeal from committal order allowed; Committal order set aside; Surrender order quashed; Appeal from decision that ss. 17 to 21 of </w:t>
            </w:r>
            <w:r w:rsidRPr="00024711">
              <w:rPr>
                <w:i/>
                <w:sz w:val="20"/>
              </w:rPr>
              <w:t>Mutual Legal Assistance in Criminal Matters Act</w:t>
            </w:r>
            <w:r w:rsidRPr="00024711">
              <w:rPr>
                <w:sz w:val="20"/>
              </w:rPr>
              <w:t xml:space="preserve"> do not breach s. 7 or s. 8 of </w:t>
            </w:r>
            <w:r w:rsidRPr="00024711">
              <w:rPr>
                <w:i/>
                <w:sz w:val="20"/>
              </w:rPr>
              <w:t>Charter</w:t>
            </w:r>
            <w:r w:rsidRPr="00024711">
              <w:rPr>
                <w:sz w:val="20"/>
              </w:rPr>
              <w:t xml:space="preserve"> dismissed </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September 29, 2015</w:t>
            </w:r>
          </w:p>
          <w:p w:rsidR="00CA43A0" w:rsidRPr="00024711" w:rsidRDefault="00CA43A0" w:rsidP="00024711">
            <w:pPr>
              <w:jc w:val="both"/>
              <w:rPr>
                <w:sz w:val="20"/>
              </w:rPr>
            </w:pPr>
            <w:r w:rsidRPr="00024711">
              <w:rPr>
                <w:sz w:val="20"/>
              </w:rPr>
              <w:t>Supreme Court of Canada</w:t>
            </w: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Application for leave to appeal filed</w:t>
            </w:r>
          </w:p>
          <w:p w:rsidR="00CA43A0" w:rsidRPr="00024711" w:rsidRDefault="00CA43A0" w:rsidP="00024711">
            <w:pPr>
              <w:jc w:val="both"/>
              <w:rPr>
                <w:sz w:val="20"/>
              </w:rPr>
            </w:pPr>
          </w:p>
        </w:tc>
      </w:tr>
    </w:tbl>
    <w:p w:rsidR="00CA43A0" w:rsidRDefault="00CA43A0" w:rsidP="00024711">
      <w:pPr>
        <w:jc w:val="both"/>
        <w:rPr>
          <w:sz w:val="20"/>
        </w:rPr>
      </w:pPr>
    </w:p>
    <w:p w:rsidR="00024711" w:rsidRPr="00024711" w:rsidRDefault="00024711" w:rsidP="000247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lang w:val="fr-CA"/>
              </w:rPr>
            </w:pPr>
            <w:r w:rsidRPr="00024711">
              <w:rPr>
                <w:rStyle w:val="SCCFileNumberChar"/>
                <w:sz w:val="20"/>
                <w:szCs w:val="20"/>
                <w:lang w:val="fr-CA"/>
              </w:rPr>
              <w:t>36648</w:t>
            </w:r>
          </w:p>
        </w:tc>
        <w:tc>
          <w:tcPr>
            <w:tcW w:w="4457" w:type="pct"/>
            <w:gridSpan w:val="3"/>
          </w:tcPr>
          <w:p w:rsidR="00CA43A0" w:rsidRPr="00024711" w:rsidRDefault="00CA43A0" w:rsidP="00024711">
            <w:pPr>
              <w:pStyle w:val="SCCLsocParty"/>
              <w:jc w:val="both"/>
              <w:rPr>
                <w:b/>
                <w:sz w:val="20"/>
                <w:szCs w:val="20"/>
              </w:rPr>
            </w:pPr>
            <w:r w:rsidRPr="00024711">
              <w:rPr>
                <w:b/>
                <w:sz w:val="20"/>
                <w:szCs w:val="20"/>
              </w:rPr>
              <w:t>Marco Viscomi c. Procureur général du Canada, procureur général de l’Ontario</w:t>
            </w:r>
          </w:p>
          <w:p w:rsidR="00CA43A0" w:rsidRPr="00024711" w:rsidRDefault="00CA43A0" w:rsidP="00024711">
            <w:pPr>
              <w:jc w:val="both"/>
              <w:rPr>
                <w:sz w:val="20"/>
                <w:lang w:val="fr-CA"/>
              </w:rPr>
            </w:pPr>
            <w:r w:rsidRPr="00024711">
              <w:rPr>
                <w:sz w:val="20"/>
                <w:lang w:val="fr-CA"/>
              </w:rPr>
              <w:t>(Ont.) (Criminelle) (Sur autorisation)</w:t>
            </w:r>
          </w:p>
        </w:tc>
      </w:tr>
      <w:tr w:rsidR="00CA43A0" w:rsidRPr="00024711" w:rsidTr="00CA43A0">
        <w:tc>
          <w:tcPr>
            <w:tcW w:w="5000" w:type="pct"/>
            <w:gridSpan w:val="4"/>
          </w:tcPr>
          <w:p w:rsidR="00CA43A0" w:rsidRPr="00024711" w:rsidRDefault="00CA43A0" w:rsidP="00024711">
            <w:pPr>
              <w:jc w:val="both"/>
              <w:rPr>
                <w:sz w:val="20"/>
                <w:lang w:val="fr-CA"/>
              </w:rPr>
            </w:pPr>
            <w:r w:rsidRPr="00024711">
              <w:rPr>
                <w:i/>
                <w:sz w:val="20"/>
                <w:lang w:val="fr-CA"/>
              </w:rPr>
              <w:t>Charte des droits et libertés</w:t>
            </w:r>
            <w:r w:rsidRPr="00024711">
              <w:rPr>
                <w:sz w:val="20"/>
                <w:lang w:val="fr-CA"/>
              </w:rPr>
              <w:t xml:space="preserve"> – Fouilles et perquisitions – La </w:t>
            </w:r>
            <w:r w:rsidRPr="00024711">
              <w:rPr>
                <w:i/>
                <w:sz w:val="20"/>
                <w:lang w:val="fr-CA"/>
              </w:rPr>
              <w:t>Loi sur l’entraide juridique en matière criminelle</w:t>
            </w:r>
            <w:r w:rsidRPr="00024711">
              <w:rPr>
                <w:sz w:val="20"/>
                <w:lang w:val="fr-CA"/>
              </w:rPr>
              <w:t xml:space="preserve"> établit un cadre législatif qui autorise l’obtention d’éléments de preuve d’une infraction et l’envoi des éléments de preuve obtenus à l’État ou entité étranger qui en fait la demande – Les art. 17 à 21 de la </w:t>
            </w:r>
            <w:r w:rsidRPr="00024711">
              <w:rPr>
                <w:i/>
                <w:sz w:val="20"/>
                <w:lang w:val="fr-CA"/>
              </w:rPr>
              <w:t xml:space="preserve">Loi sur l’entraide juridique en matière criminelle </w:t>
            </w:r>
            <w:r w:rsidRPr="00024711">
              <w:rPr>
                <w:sz w:val="20"/>
                <w:lang w:val="fr-CA"/>
              </w:rPr>
              <w:t xml:space="preserve">violent-ils l’art. 8 de la </w:t>
            </w:r>
            <w:r w:rsidRPr="00024711">
              <w:rPr>
                <w:i/>
                <w:sz w:val="20"/>
                <w:lang w:val="fr-CA"/>
              </w:rPr>
              <w:t>Charte</w:t>
            </w:r>
            <w:r w:rsidRPr="00024711">
              <w:rPr>
                <w:sz w:val="20"/>
                <w:lang w:val="fr-CA"/>
              </w:rPr>
              <w:t xml:space="preserve">? – Dans l’affirmative, la violation constitue-t-elle une limite raisonnable prescrite par une règle de droit, dont la justification peut se démontrer dans le cadre d’une société libre et démocratique? – </w:t>
            </w:r>
            <w:r w:rsidRPr="00024711">
              <w:rPr>
                <w:i/>
                <w:sz w:val="20"/>
                <w:lang w:val="fr-CA"/>
              </w:rPr>
              <w:t>Loi sur l’entraide juridique en matière criminelle</w:t>
            </w:r>
            <w:r w:rsidRPr="00024711">
              <w:rPr>
                <w:sz w:val="20"/>
                <w:lang w:val="fr-CA"/>
              </w:rPr>
              <w:t>, L.R.C. 1985, ch. 30 (4</w:t>
            </w:r>
            <w:r w:rsidRPr="00024711">
              <w:rPr>
                <w:sz w:val="20"/>
                <w:vertAlign w:val="superscript"/>
                <w:lang w:val="fr-CA"/>
              </w:rPr>
              <w:t>e</w:t>
            </w:r>
            <w:r w:rsidRPr="00024711">
              <w:rPr>
                <w:sz w:val="20"/>
                <w:lang w:val="fr-CA"/>
              </w:rPr>
              <w:t xml:space="preserve"> suppl.), art. 17 à 21.</w:t>
            </w:r>
          </w:p>
        </w:tc>
      </w:tr>
      <w:tr w:rsidR="00CA43A0" w:rsidRPr="00024711" w:rsidTr="00CA43A0">
        <w:tc>
          <w:tcPr>
            <w:tcW w:w="5000" w:type="pct"/>
            <w:gridSpan w:val="4"/>
          </w:tcPr>
          <w:p w:rsidR="00CA43A0" w:rsidRPr="00024711" w:rsidRDefault="00CA43A0" w:rsidP="00024711">
            <w:pPr>
              <w:jc w:val="both"/>
              <w:rPr>
                <w:sz w:val="20"/>
                <w:lang w:val="fr-CA"/>
              </w:rPr>
            </w:pP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 xml:space="preserve">La police américaine a tracé des communications Internet liées à un présumé leurre d’enfants en Virginie à une adresse de protocole Internet en Ontario. Le fournisseur de services Internet a identifié le demandeur comme l’abonné à l’époque pertinente et a communiqué l’adresse de ce dernier à la police américaine. La police américaine a avisé la police ontarienne. La police ontarienne a exécuté des mandats de perquisition aux résidences du demandeur. Des accusations ont été portées au Canada, mais elles ont été retirées lorsque les États-Unis ont demandé l’extradition du demandeur. Le demandeur a été incarcéré en vue de son extradition et le ministre de la Justice a ordonné son extradition, mais la Cour d’appel a annulé l’ordonnance d’incarcération et l’arrêté d’extradition. À des audiences </w:t>
            </w:r>
            <w:r w:rsidRPr="00024711">
              <w:rPr>
                <w:i/>
                <w:sz w:val="20"/>
                <w:lang w:val="fr-CA"/>
              </w:rPr>
              <w:t>ex parte</w:t>
            </w:r>
            <w:r w:rsidRPr="00024711">
              <w:rPr>
                <w:sz w:val="20"/>
                <w:lang w:val="fr-CA"/>
              </w:rPr>
              <w:t xml:space="preserve"> distinctes, en application des art. 18 et 20 de la </w:t>
            </w:r>
            <w:r w:rsidRPr="00024711">
              <w:rPr>
                <w:i/>
                <w:sz w:val="20"/>
                <w:lang w:val="fr-CA"/>
              </w:rPr>
              <w:t>Loi sur l’entraide juridique en matière criminelle</w:t>
            </w:r>
            <w:r w:rsidRPr="00024711">
              <w:rPr>
                <w:sz w:val="20"/>
                <w:lang w:val="fr-CA"/>
              </w:rPr>
              <w:t>, L.R.C. 1985, ch. 30 (4</w:t>
            </w:r>
            <w:r w:rsidRPr="00024711">
              <w:rPr>
                <w:sz w:val="20"/>
                <w:vertAlign w:val="superscript"/>
                <w:lang w:val="fr-CA"/>
              </w:rPr>
              <w:t>e</w:t>
            </w:r>
            <w:r w:rsidRPr="00024711">
              <w:rPr>
                <w:sz w:val="20"/>
                <w:lang w:val="fr-CA"/>
              </w:rPr>
              <w:t xml:space="preserve"> suppl.), le juge Code a prononcé des ordonnances d’obtention et d’envoi permettant aux autorités ontariennes d’obtenir et d’envoyer aux autorités américaines les éléments de preuve obtenus par les policiers en Ontario. Le demandeur a présenté une motion contestant la constitutionnalité des dispositions de </w:t>
            </w:r>
            <w:r w:rsidRPr="00024711">
              <w:rPr>
                <w:i/>
                <w:sz w:val="20"/>
                <w:lang w:val="fr-CA"/>
              </w:rPr>
              <w:t>Loi sur l’entraide juridique en matière criminelle</w:t>
            </w:r>
            <w:r w:rsidRPr="00024711">
              <w:rPr>
                <w:sz w:val="20"/>
                <w:lang w:val="fr-CA"/>
              </w:rPr>
              <w:t xml:space="preserve"> portant sur l’obtention et l’envoi d’éléments de preuve. </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24 mai 2013</w:t>
            </w:r>
          </w:p>
          <w:p w:rsidR="00CA43A0" w:rsidRPr="00024711" w:rsidRDefault="00CA43A0" w:rsidP="00024711">
            <w:pPr>
              <w:jc w:val="both"/>
              <w:rPr>
                <w:sz w:val="20"/>
                <w:lang w:val="fr-CA"/>
              </w:rPr>
            </w:pPr>
            <w:r w:rsidRPr="00024711">
              <w:rPr>
                <w:sz w:val="20"/>
                <w:lang w:val="fr-CA"/>
              </w:rPr>
              <w:t>Cour supérieure de justice de l’Ontario</w:t>
            </w:r>
          </w:p>
          <w:p w:rsidR="00CA43A0" w:rsidRPr="00024711" w:rsidRDefault="00CA43A0" w:rsidP="00024711">
            <w:pPr>
              <w:jc w:val="both"/>
              <w:rPr>
                <w:sz w:val="20"/>
                <w:lang w:val="fr-CA"/>
              </w:rPr>
            </w:pPr>
            <w:r w:rsidRPr="00024711">
              <w:rPr>
                <w:sz w:val="20"/>
                <w:lang w:val="fr-CA"/>
              </w:rPr>
              <w:t xml:space="preserve">(Juge Campbell) </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Incarcération en vue de l’extradition vers les États-Unis</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17 octobre 2013</w:t>
            </w:r>
          </w:p>
          <w:p w:rsidR="00CA43A0" w:rsidRPr="00024711" w:rsidRDefault="00CA43A0" w:rsidP="00024711">
            <w:pPr>
              <w:jc w:val="both"/>
              <w:rPr>
                <w:sz w:val="20"/>
                <w:lang w:val="fr-CA"/>
              </w:rPr>
            </w:pPr>
            <w:r w:rsidRPr="00024711">
              <w:rPr>
                <w:sz w:val="20"/>
                <w:lang w:val="fr-CA"/>
              </w:rPr>
              <w:t xml:space="preserve">Ministre de la Justice </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Arrêté d’extradition</w:t>
            </w: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 xml:space="preserve">9 janvier 2015 </w:t>
            </w:r>
          </w:p>
          <w:p w:rsidR="00CA43A0" w:rsidRPr="00024711" w:rsidRDefault="00CA43A0" w:rsidP="00024711">
            <w:pPr>
              <w:jc w:val="both"/>
              <w:rPr>
                <w:sz w:val="20"/>
                <w:lang w:val="fr-CA"/>
              </w:rPr>
            </w:pPr>
            <w:r w:rsidRPr="00024711">
              <w:rPr>
                <w:sz w:val="20"/>
                <w:lang w:val="fr-CA"/>
              </w:rPr>
              <w:t>Cour supérieure de justice de l’Ontario</w:t>
            </w:r>
          </w:p>
          <w:p w:rsidR="00CA43A0" w:rsidRPr="00024711" w:rsidRDefault="00CA43A0" w:rsidP="00024711">
            <w:pPr>
              <w:jc w:val="both"/>
              <w:rPr>
                <w:sz w:val="20"/>
                <w:lang w:val="fr-CA"/>
              </w:rPr>
            </w:pPr>
            <w:r w:rsidRPr="00024711">
              <w:rPr>
                <w:sz w:val="20"/>
                <w:lang w:val="fr-CA"/>
              </w:rPr>
              <w:t>Juge Code</w:t>
            </w:r>
          </w:p>
          <w:p w:rsidR="00CA43A0" w:rsidRPr="00024711" w:rsidRDefault="00CA43A0" w:rsidP="00024711">
            <w:pPr>
              <w:jc w:val="both"/>
              <w:rPr>
                <w:sz w:val="20"/>
                <w:lang w:val="fr-CA"/>
              </w:rPr>
            </w:pPr>
            <w:hyperlink r:id="rId23" w:history="1">
              <w:r w:rsidRPr="00024711">
                <w:rPr>
                  <w:rStyle w:val="Hyperlink"/>
                  <w:sz w:val="20"/>
                  <w:lang w:val="fr-CA"/>
                </w:rPr>
                <w:t>2015 ONSC 61</w:t>
              </w:r>
            </w:hyperlink>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i/>
                <w:sz w:val="20"/>
                <w:lang w:val="fr-CA"/>
              </w:rPr>
            </w:pPr>
            <w:r w:rsidRPr="00024711">
              <w:rPr>
                <w:sz w:val="20"/>
                <w:lang w:val="fr-CA"/>
              </w:rPr>
              <w:t xml:space="preserve">Jugement statuant que les art. 17 à 21 de la </w:t>
            </w:r>
            <w:r w:rsidRPr="00024711">
              <w:rPr>
                <w:i/>
                <w:sz w:val="20"/>
                <w:lang w:val="fr-CA"/>
              </w:rPr>
              <w:t>Loi sur l’entraide juridique en matière criminelle</w:t>
            </w:r>
            <w:r w:rsidRPr="00024711">
              <w:rPr>
                <w:sz w:val="20"/>
                <w:lang w:val="fr-CA"/>
              </w:rPr>
              <w:t>, L.R.C. 1985, ch. 30 (4</w:t>
            </w:r>
            <w:r w:rsidRPr="00024711">
              <w:rPr>
                <w:sz w:val="20"/>
                <w:vertAlign w:val="superscript"/>
                <w:lang w:val="fr-CA"/>
              </w:rPr>
              <w:t>e</w:t>
            </w:r>
            <w:r w:rsidRPr="00024711">
              <w:rPr>
                <w:sz w:val="20"/>
                <w:lang w:val="fr-CA"/>
              </w:rPr>
              <w:t xml:space="preserve"> suppl.) ne violent pas les art. 7 ou 8 de la </w:t>
            </w:r>
            <w:r w:rsidRPr="00024711">
              <w:rPr>
                <w:i/>
                <w:sz w:val="20"/>
                <w:lang w:val="fr-CA"/>
              </w:rPr>
              <w:t>Charte canadienne des droits et libertés</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30 juin 2015</w:t>
            </w:r>
          </w:p>
          <w:p w:rsidR="00CA43A0" w:rsidRPr="00024711" w:rsidRDefault="00CA43A0" w:rsidP="00024711">
            <w:pPr>
              <w:jc w:val="both"/>
              <w:rPr>
                <w:sz w:val="20"/>
                <w:lang w:val="fr-CA"/>
              </w:rPr>
            </w:pPr>
            <w:r w:rsidRPr="00024711">
              <w:rPr>
                <w:sz w:val="20"/>
                <w:lang w:val="fr-CA"/>
              </w:rPr>
              <w:t>Cour d’appel de l’Ontario</w:t>
            </w:r>
          </w:p>
          <w:p w:rsidR="00CA43A0" w:rsidRPr="00024711" w:rsidRDefault="00CA43A0" w:rsidP="00024711">
            <w:pPr>
              <w:jc w:val="both"/>
              <w:rPr>
                <w:sz w:val="20"/>
                <w:lang w:val="fr-CA"/>
              </w:rPr>
            </w:pPr>
            <w:r w:rsidRPr="00024711">
              <w:rPr>
                <w:sz w:val="20"/>
                <w:lang w:val="fr-CA"/>
              </w:rPr>
              <w:t>(Juges Simmons, Cronk et Blair)</w:t>
            </w:r>
          </w:p>
          <w:p w:rsidR="00CA43A0" w:rsidRPr="00024711" w:rsidRDefault="00CA43A0" w:rsidP="00024711">
            <w:pPr>
              <w:jc w:val="both"/>
              <w:rPr>
                <w:rStyle w:val="Hyperlink"/>
                <w:sz w:val="20"/>
                <w:lang w:val="fr-CA"/>
              </w:rPr>
            </w:pPr>
            <w:r w:rsidRPr="00024711">
              <w:rPr>
                <w:sz w:val="20"/>
                <w:lang w:val="fr-CA"/>
              </w:rPr>
              <w:t xml:space="preserve">C57211, C57910,C59973; </w:t>
            </w:r>
            <w:hyperlink r:id="rId24" w:history="1">
              <w:r w:rsidRPr="00024711">
                <w:rPr>
                  <w:rStyle w:val="Hyperlink"/>
                  <w:sz w:val="20"/>
                  <w:lang w:val="fr-CA"/>
                </w:rPr>
                <w:t>2015 ONCA 484</w:t>
              </w:r>
            </w:hyperlink>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 xml:space="preserve">Arrêt accueillant l’appel de l’ordonnance d’incarcération; annulation de l’ordonnance d’incarcération; annulation de l’arrêté d’extradition; rejet de l’appel de la décision portant que les art. 17 à 21 de la </w:t>
            </w:r>
            <w:r w:rsidRPr="00024711">
              <w:rPr>
                <w:i/>
                <w:sz w:val="20"/>
                <w:lang w:val="fr-CA"/>
              </w:rPr>
              <w:t xml:space="preserve">Loi sur l’entraide juridique en matière criminelle </w:t>
            </w:r>
            <w:r w:rsidRPr="00024711">
              <w:rPr>
                <w:sz w:val="20"/>
                <w:lang w:val="fr-CA"/>
              </w:rPr>
              <w:t xml:space="preserve">ne violent pas les art. 7 ou s. 8 de la </w:t>
            </w:r>
            <w:r w:rsidRPr="00024711">
              <w:rPr>
                <w:i/>
                <w:sz w:val="20"/>
                <w:lang w:val="fr-CA"/>
              </w:rPr>
              <w:t>Charte</w:t>
            </w:r>
            <w:r w:rsidRPr="00024711">
              <w:rPr>
                <w:sz w:val="20"/>
                <w:lang w:val="fr-CA"/>
              </w:rPr>
              <w:t xml:space="preserve"> </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29 septembre 2015</w:t>
            </w:r>
          </w:p>
          <w:p w:rsidR="00CA43A0" w:rsidRPr="00024711" w:rsidRDefault="00CA43A0" w:rsidP="00024711">
            <w:pPr>
              <w:jc w:val="both"/>
              <w:rPr>
                <w:sz w:val="20"/>
                <w:lang w:val="fr-CA"/>
              </w:rPr>
            </w:pPr>
            <w:r w:rsidRPr="00024711">
              <w:rPr>
                <w:sz w:val="20"/>
                <w:lang w:val="fr-CA"/>
              </w:rPr>
              <w:t>Cour suprême du Canada</w:t>
            </w: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Dépôt de la demande d’autorisation d’appel</w:t>
            </w:r>
          </w:p>
        </w:tc>
      </w:tr>
    </w:tbl>
    <w:p w:rsidR="00CA43A0" w:rsidRDefault="00CA43A0" w:rsidP="00024711">
      <w:pPr>
        <w:jc w:val="both"/>
        <w:rPr>
          <w:sz w:val="20"/>
          <w:lang w:val="fr-CA"/>
        </w:rPr>
      </w:pPr>
    </w:p>
    <w:p w:rsidR="00024711" w:rsidRPr="00024711" w:rsidRDefault="00024711" w:rsidP="000247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rPr>
            </w:pPr>
            <w:r w:rsidRPr="00024711">
              <w:rPr>
                <w:rStyle w:val="SCCFileNumberChar"/>
                <w:sz w:val="20"/>
                <w:szCs w:val="20"/>
              </w:rPr>
              <w:t>36568</w:t>
            </w:r>
          </w:p>
        </w:tc>
        <w:tc>
          <w:tcPr>
            <w:tcW w:w="4457" w:type="pct"/>
            <w:gridSpan w:val="3"/>
          </w:tcPr>
          <w:p w:rsidR="00CA43A0" w:rsidRPr="00024711" w:rsidRDefault="00CA43A0" w:rsidP="00024711">
            <w:pPr>
              <w:pStyle w:val="SCCLsocParty"/>
              <w:jc w:val="both"/>
              <w:rPr>
                <w:b/>
                <w:sz w:val="20"/>
                <w:szCs w:val="20"/>
                <w:lang w:val="en-US"/>
              </w:rPr>
            </w:pPr>
            <w:r w:rsidRPr="00024711">
              <w:rPr>
                <w:b/>
                <w:sz w:val="20"/>
                <w:szCs w:val="20"/>
                <w:lang w:val="en-US"/>
              </w:rPr>
              <w:t>Nirmala Devi Arjun v. Her Majesty the Queen</w:t>
            </w:r>
          </w:p>
          <w:p w:rsidR="00CA43A0" w:rsidRPr="00024711" w:rsidRDefault="00CA43A0" w:rsidP="00024711">
            <w:pPr>
              <w:jc w:val="both"/>
              <w:rPr>
                <w:sz w:val="20"/>
              </w:rPr>
            </w:pPr>
            <w:r w:rsidRPr="00024711">
              <w:rPr>
                <w:sz w:val="20"/>
              </w:rPr>
              <w:t>(B.C.) (Criminal) (By Leave)</w:t>
            </w:r>
          </w:p>
        </w:tc>
      </w:tr>
      <w:tr w:rsidR="00CA43A0" w:rsidRPr="00024711" w:rsidTr="00CA43A0">
        <w:tc>
          <w:tcPr>
            <w:tcW w:w="5000" w:type="pct"/>
            <w:gridSpan w:val="4"/>
          </w:tcPr>
          <w:p w:rsidR="00CA43A0" w:rsidRPr="00024711" w:rsidRDefault="00CA43A0" w:rsidP="00024711">
            <w:pPr>
              <w:jc w:val="both"/>
              <w:rPr>
                <w:sz w:val="20"/>
              </w:rPr>
            </w:pPr>
            <w:r w:rsidRPr="00024711">
              <w:rPr>
                <w:sz w:val="20"/>
              </w:rPr>
              <w:t xml:space="preserve">Criminal law – </w:t>
            </w:r>
            <w:proofErr w:type="spellStart"/>
            <w:r w:rsidRPr="00024711">
              <w:rPr>
                <w:sz w:val="20"/>
              </w:rPr>
              <w:t>Defences</w:t>
            </w:r>
            <w:proofErr w:type="spellEnd"/>
            <w:r w:rsidRPr="00024711">
              <w:rPr>
                <w:sz w:val="20"/>
              </w:rPr>
              <w:t xml:space="preserve"> – Intoxication – Air of reality – Whether there was an air of reality to the defence of intoxication – Whether the Court of Appeal has unduly raised the evidentiary burden for the advanced intoxication defence in murder cases by requiring expert and eye-witness evidence of intoxication, and by reasoning that </w:t>
            </w:r>
            <w:r w:rsidRPr="00024711">
              <w:rPr>
                <w:sz w:val="20"/>
              </w:rPr>
              <w:lastRenderedPageBreak/>
              <w:t>circumstantial proof of intoxication is of no probative value or is irrelevant – When a murder charge involves extensive injuries to a victim, must an accused who raises the intoxication defence bear an evidentiary burden of proving incapacitation-by-intoxication.</w:t>
            </w:r>
          </w:p>
        </w:tc>
      </w:tr>
      <w:tr w:rsidR="00CA43A0" w:rsidRPr="00024711" w:rsidTr="00CA43A0">
        <w:tc>
          <w:tcPr>
            <w:tcW w:w="5000" w:type="pct"/>
            <w:gridSpan w:val="4"/>
          </w:tcPr>
          <w:p w:rsidR="00CA43A0" w:rsidRPr="00024711" w:rsidRDefault="00CA43A0" w:rsidP="00024711">
            <w:pPr>
              <w:jc w:val="both"/>
              <w:rPr>
                <w:sz w:val="20"/>
              </w:rPr>
            </w:pPr>
          </w:p>
        </w:tc>
      </w:tr>
      <w:tr w:rsidR="00CA43A0" w:rsidRPr="00024711" w:rsidTr="00CA43A0">
        <w:tc>
          <w:tcPr>
            <w:tcW w:w="5000" w:type="pct"/>
            <w:gridSpan w:val="4"/>
          </w:tcPr>
          <w:p w:rsidR="00CA43A0" w:rsidRPr="00024711" w:rsidRDefault="00CA43A0" w:rsidP="00024711">
            <w:pPr>
              <w:jc w:val="both"/>
              <w:rPr>
                <w:iCs/>
                <w:sz w:val="20"/>
              </w:rPr>
            </w:pPr>
            <w:r w:rsidRPr="00024711">
              <w:rPr>
                <w:sz w:val="20"/>
              </w:rPr>
              <w:t>Mr. Canning, the applicant’s friend, was found dead on the floor of the applicant’s bedroom. Mr. Canning sustained numerous sharp and blunt force injuries. The police officer found a meat cleaver and a bread knife in the applicant’s kitchen sink. There were no eye-witnesses, but the neighbours heard loud noises coming from the applicant’s apartment.</w:t>
            </w:r>
            <w:r w:rsidRPr="00024711">
              <w:rPr>
                <w:iCs/>
                <w:sz w:val="20"/>
              </w:rPr>
              <w:t xml:space="preserve"> After a trial by judge and jury, the applicant was convicted of second degree murder. The Court of Appeal dismissed the conviction appeal.</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November 6, 2013</w:t>
            </w:r>
          </w:p>
          <w:p w:rsidR="00CA43A0" w:rsidRPr="00024711" w:rsidRDefault="00CA43A0" w:rsidP="00024711">
            <w:pPr>
              <w:jc w:val="both"/>
              <w:rPr>
                <w:sz w:val="20"/>
              </w:rPr>
            </w:pPr>
            <w:r w:rsidRPr="00024711">
              <w:rPr>
                <w:sz w:val="20"/>
              </w:rPr>
              <w:t>Supreme Court of British Columbia</w:t>
            </w:r>
          </w:p>
          <w:p w:rsidR="00CA43A0" w:rsidRPr="00024711" w:rsidRDefault="00CA43A0" w:rsidP="00024711">
            <w:pPr>
              <w:jc w:val="both"/>
              <w:rPr>
                <w:sz w:val="20"/>
              </w:rPr>
            </w:pPr>
            <w:r w:rsidRPr="00024711">
              <w:rPr>
                <w:sz w:val="20"/>
              </w:rPr>
              <w:t>(Bowden J.)</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Conviction for second degree murder</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June 16, 2015</w:t>
            </w:r>
          </w:p>
          <w:p w:rsidR="00CA43A0" w:rsidRPr="00024711" w:rsidRDefault="00CA43A0" w:rsidP="00024711">
            <w:pPr>
              <w:jc w:val="both"/>
              <w:rPr>
                <w:sz w:val="20"/>
              </w:rPr>
            </w:pPr>
            <w:r w:rsidRPr="00024711">
              <w:rPr>
                <w:sz w:val="20"/>
              </w:rPr>
              <w:t xml:space="preserve">Court of Appeal for British Columbia </w:t>
            </w:r>
          </w:p>
          <w:p w:rsidR="00CA43A0" w:rsidRPr="00024711" w:rsidRDefault="00CA43A0" w:rsidP="00024711">
            <w:pPr>
              <w:jc w:val="both"/>
              <w:rPr>
                <w:sz w:val="20"/>
              </w:rPr>
            </w:pPr>
            <w:r w:rsidRPr="00024711">
              <w:rPr>
                <w:sz w:val="20"/>
              </w:rPr>
              <w:t>(Vancouver)</w:t>
            </w:r>
          </w:p>
          <w:p w:rsidR="00CA43A0" w:rsidRPr="00024711" w:rsidRDefault="00CA43A0" w:rsidP="00024711">
            <w:pPr>
              <w:jc w:val="both"/>
              <w:rPr>
                <w:sz w:val="20"/>
              </w:rPr>
            </w:pPr>
            <w:r w:rsidRPr="00024711">
              <w:rPr>
                <w:sz w:val="20"/>
              </w:rPr>
              <w:t xml:space="preserve">(Neilson, Garson, </w:t>
            </w:r>
            <w:proofErr w:type="spellStart"/>
            <w:r w:rsidRPr="00024711">
              <w:rPr>
                <w:sz w:val="20"/>
              </w:rPr>
              <w:t>Willcock</w:t>
            </w:r>
            <w:proofErr w:type="spellEnd"/>
            <w:r w:rsidRPr="00024711">
              <w:rPr>
                <w:sz w:val="20"/>
              </w:rPr>
              <w:t xml:space="preserve"> JJ.A.)</w:t>
            </w:r>
          </w:p>
          <w:p w:rsidR="00CA43A0" w:rsidRPr="00024711" w:rsidRDefault="00CA43A0" w:rsidP="00024711">
            <w:pPr>
              <w:jc w:val="both"/>
              <w:rPr>
                <w:sz w:val="20"/>
              </w:rPr>
            </w:pPr>
            <w:r w:rsidRPr="00024711">
              <w:rPr>
                <w:sz w:val="20"/>
              </w:rPr>
              <w:t>2015 BCCA 273; CA41792</w:t>
            </w:r>
          </w:p>
          <w:p w:rsidR="00CA43A0" w:rsidRPr="00024711" w:rsidRDefault="00CA43A0" w:rsidP="00024711">
            <w:pPr>
              <w:jc w:val="both"/>
              <w:rPr>
                <w:sz w:val="20"/>
              </w:rPr>
            </w:pPr>
            <w:hyperlink r:id="rId25" w:history="1">
              <w:r w:rsidRPr="00024711">
                <w:rPr>
                  <w:rStyle w:val="Hyperlink"/>
                  <w:rFonts w:eastAsiaTheme="majorEastAsia"/>
                  <w:sz w:val="20"/>
                </w:rPr>
                <w:t>http://canlii.ca/t/gjjhn</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Conviction appeal dismissed</w:t>
            </w:r>
          </w:p>
          <w:p w:rsidR="00CA43A0" w:rsidRPr="00024711" w:rsidRDefault="00CA43A0" w:rsidP="00024711">
            <w:pPr>
              <w:jc w:val="both"/>
              <w:rPr>
                <w:sz w:val="20"/>
              </w:rPr>
            </w:pP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August 24, 2015</w:t>
            </w:r>
          </w:p>
          <w:p w:rsidR="00CA43A0" w:rsidRPr="00024711" w:rsidRDefault="00CA43A0" w:rsidP="00024711">
            <w:pPr>
              <w:jc w:val="both"/>
              <w:rPr>
                <w:sz w:val="20"/>
              </w:rPr>
            </w:pPr>
            <w:r w:rsidRPr="00024711">
              <w:rPr>
                <w:sz w:val="20"/>
              </w:rPr>
              <w:t>Supreme Court of Canada</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Application for leave to appeal filed</w:t>
            </w:r>
          </w:p>
          <w:p w:rsidR="00CA43A0" w:rsidRPr="00024711" w:rsidRDefault="00CA43A0" w:rsidP="00024711">
            <w:pPr>
              <w:jc w:val="both"/>
              <w:rPr>
                <w:sz w:val="20"/>
              </w:rPr>
            </w:pPr>
          </w:p>
        </w:tc>
      </w:tr>
    </w:tbl>
    <w:p w:rsidR="00CA43A0" w:rsidRPr="00024711" w:rsidRDefault="00CA43A0" w:rsidP="000247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lang w:val="fr-CA"/>
              </w:rPr>
            </w:pPr>
            <w:r w:rsidRPr="00024711">
              <w:rPr>
                <w:rStyle w:val="SCCFileNumberChar"/>
                <w:sz w:val="20"/>
                <w:szCs w:val="20"/>
                <w:lang w:val="fr-CA"/>
              </w:rPr>
              <w:t>36568</w:t>
            </w:r>
          </w:p>
        </w:tc>
        <w:tc>
          <w:tcPr>
            <w:tcW w:w="4457" w:type="pct"/>
            <w:gridSpan w:val="3"/>
          </w:tcPr>
          <w:p w:rsidR="00CA43A0" w:rsidRPr="005A705E" w:rsidRDefault="00CA43A0" w:rsidP="00024711">
            <w:pPr>
              <w:pStyle w:val="SCCLsocParty"/>
              <w:jc w:val="both"/>
              <w:rPr>
                <w:b/>
                <w:sz w:val="20"/>
                <w:szCs w:val="20"/>
              </w:rPr>
            </w:pPr>
            <w:r w:rsidRPr="005A705E">
              <w:rPr>
                <w:b/>
                <w:sz w:val="20"/>
                <w:szCs w:val="20"/>
              </w:rPr>
              <w:t>Nirmala Devi Arjun c. Sa Majesté la Reine</w:t>
            </w:r>
          </w:p>
          <w:p w:rsidR="00CA43A0" w:rsidRPr="00024711" w:rsidRDefault="00CA43A0" w:rsidP="00024711">
            <w:pPr>
              <w:jc w:val="both"/>
              <w:rPr>
                <w:sz w:val="20"/>
                <w:lang w:val="fr-CA"/>
              </w:rPr>
            </w:pPr>
            <w:r w:rsidRPr="00024711">
              <w:rPr>
                <w:sz w:val="20"/>
                <w:lang w:val="fr-CA"/>
              </w:rPr>
              <w:t>(C.-B.) (Criminelle) (Sur autorisation)</w:t>
            </w: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Droit criminel – Moyens de défense – Intoxication – Vraisemblance – La défense d’intoxication était-elle vraisemblable? – La Cour d’appel a-t-elle indûment alourdi le fardeau de la preuve relatif à la défense d’intoxication avancée dans les affaires de meurtre en exigeant une preuve d’intoxication par témoignage d’expert et de témoin oculaire et en tenant le raisonnement selon lequel une preuve circonstancielle d’intoxication n’avait aucune valeur probante et était dénuée de pertinence? – Dans une affaire où la victime a subi de graves blessures, l’inculpé accusé de meurtre qui soulève la défense d’intoxication a-t-il nécessairement le fardeau de prouver l’incapacité par intoxication?</w:t>
            </w:r>
          </w:p>
        </w:tc>
      </w:tr>
      <w:tr w:rsidR="00CA43A0" w:rsidRPr="00024711" w:rsidTr="00CA43A0">
        <w:tc>
          <w:tcPr>
            <w:tcW w:w="5000" w:type="pct"/>
            <w:gridSpan w:val="4"/>
          </w:tcPr>
          <w:p w:rsidR="00CA43A0" w:rsidRPr="00024711" w:rsidRDefault="00CA43A0" w:rsidP="00024711">
            <w:pPr>
              <w:jc w:val="both"/>
              <w:rPr>
                <w:sz w:val="20"/>
                <w:lang w:val="fr-CA"/>
              </w:rPr>
            </w:pPr>
          </w:p>
        </w:tc>
      </w:tr>
      <w:tr w:rsidR="00CA43A0" w:rsidRPr="00024711" w:rsidTr="00CA43A0">
        <w:tc>
          <w:tcPr>
            <w:tcW w:w="5000" w:type="pct"/>
            <w:gridSpan w:val="4"/>
          </w:tcPr>
          <w:p w:rsidR="00CA43A0" w:rsidRPr="00024711" w:rsidRDefault="00CA43A0" w:rsidP="00024711">
            <w:pPr>
              <w:jc w:val="both"/>
              <w:rPr>
                <w:iCs/>
                <w:sz w:val="20"/>
                <w:lang w:val="fr-CA"/>
              </w:rPr>
            </w:pPr>
            <w:r w:rsidRPr="00024711">
              <w:rPr>
                <w:sz w:val="20"/>
                <w:lang w:val="fr-CA"/>
              </w:rPr>
              <w:t>Monsieur Canning, l’ami du demandeur, a été retrouvé mort sur le plancher de la chambre à coucher du demandeur. Monsieur Canning avait subi de nombreuses blessures sous forme de traumatismes causés par des objets tranchants et contondants. Le policier a trouvé un couperet à viande et un couteau à pain dans l’évier de cuisine du demandeur. Il n’y avait aucun témoin oculaire, mais les voisins ont entendu des bruits forts en provenance de l’appartement du demandeur.</w:t>
            </w:r>
            <w:r w:rsidRPr="00024711">
              <w:rPr>
                <w:iCs/>
                <w:sz w:val="20"/>
                <w:lang w:val="fr-CA"/>
              </w:rPr>
              <w:t xml:space="preserve"> Au terme d’un procès devant juge et jury, le demandeur a été déclaré coupable de meurtre au deuxième degré. La Cour d’appel a rejeté l’appel de la déclaration de culpabilité.</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6 novembre 2013</w:t>
            </w:r>
          </w:p>
          <w:p w:rsidR="00CA43A0" w:rsidRPr="00024711" w:rsidRDefault="00CA43A0" w:rsidP="00024711">
            <w:pPr>
              <w:jc w:val="both"/>
              <w:rPr>
                <w:sz w:val="20"/>
                <w:lang w:val="fr-CA"/>
              </w:rPr>
            </w:pPr>
            <w:r w:rsidRPr="00024711">
              <w:rPr>
                <w:sz w:val="20"/>
                <w:lang w:val="fr-CA"/>
              </w:rPr>
              <w:t>Cour suprême de la Colombie-Britannique</w:t>
            </w:r>
          </w:p>
          <w:p w:rsidR="00CA43A0" w:rsidRPr="00024711" w:rsidRDefault="00CA43A0" w:rsidP="00024711">
            <w:pPr>
              <w:jc w:val="both"/>
              <w:rPr>
                <w:sz w:val="20"/>
                <w:lang w:val="fr-CA"/>
              </w:rPr>
            </w:pPr>
            <w:r w:rsidRPr="00024711">
              <w:rPr>
                <w:sz w:val="20"/>
                <w:lang w:val="fr-CA"/>
              </w:rPr>
              <w:t>(Juge Bowden)</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Déclaration de culpabilité de meurtre au deuxième degré</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16 juin 2015</w:t>
            </w:r>
          </w:p>
          <w:p w:rsidR="00CA43A0" w:rsidRPr="00024711" w:rsidRDefault="00CA43A0" w:rsidP="00024711">
            <w:pPr>
              <w:jc w:val="both"/>
              <w:rPr>
                <w:sz w:val="20"/>
                <w:lang w:val="fr-CA"/>
              </w:rPr>
            </w:pPr>
            <w:r w:rsidRPr="00024711">
              <w:rPr>
                <w:sz w:val="20"/>
                <w:lang w:val="fr-CA"/>
              </w:rPr>
              <w:t>Cour d’appel de la Colombie-Britannique</w:t>
            </w:r>
          </w:p>
          <w:p w:rsidR="00CA43A0" w:rsidRPr="00024711" w:rsidRDefault="00CA43A0" w:rsidP="00024711">
            <w:pPr>
              <w:jc w:val="both"/>
              <w:rPr>
                <w:sz w:val="20"/>
                <w:lang w:val="fr-CA"/>
              </w:rPr>
            </w:pPr>
            <w:r w:rsidRPr="00024711">
              <w:rPr>
                <w:sz w:val="20"/>
                <w:lang w:val="fr-CA"/>
              </w:rPr>
              <w:t>(Vancouver)</w:t>
            </w:r>
          </w:p>
          <w:p w:rsidR="00CA43A0" w:rsidRPr="00024711" w:rsidRDefault="00CA43A0" w:rsidP="00024711">
            <w:pPr>
              <w:jc w:val="both"/>
              <w:rPr>
                <w:sz w:val="20"/>
                <w:lang w:val="fr-CA"/>
              </w:rPr>
            </w:pPr>
            <w:r w:rsidRPr="00024711">
              <w:rPr>
                <w:sz w:val="20"/>
                <w:lang w:val="fr-CA"/>
              </w:rPr>
              <w:t>(Juges Neilson, Garson et Willcock)</w:t>
            </w:r>
          </w:p>
          <w:p w:rsidR="00CA43A0" w:rsidRPr="00024711" w:rsidRDefault="00CA43A0" w:rsidP="00024711">
            <w:pPr>
              <w:jc w:val="both"/>
              <w:rPr>
                <w:sz w:val="20"/>
              </w:rPr>
            </w:pPr>
            <w:r w:rsidRPr="00024711">
              <w:rPr>
                <w:sz w:val="20"/>
              </w:rPr>
              <w:t>2015 BCCA 273; CA41792</w:t>
            </w:r>
          </w:p>
          <w:p w:rsidR="00CA43A0" w:rsidRPr="00024711" w:rsidRDefault="00CA43A0" w:rsidP="00024711">
            <w:pPr>
              <w:jc w:val="both"/>
              <w:rPr>
                <w:sz w:val="20"/>
              </w:rPr>
            </w:pPr>
            <w:hyperlink r:id="rId26" w:history="1">
              <w:r w:rsidRPr="00024711">
                <w:rPr>
                  <w:rStyle w:val="Hyperlink"/>
                  <w:rFonts w:eastAsiaTheme="majorEastAsia"/>
                  <w:sz w:val="20"/>
                </w:rPr>
                <w:t>http://canlii.ca/t/gjjhn</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lang w:val="fr-CA"/>
              </w:rPr>
            </w:pPr>
            <w:r w:rsidRPr="00024711">
              <w:rPr>
                <w:sz w:val="20"/>
                <w:lang w:val="fr-CA"/>
              </w:rPr>
              <w:t>Rejet de l’appel de a déclaration de culpabilité</w:t>
            </w:r>
          </w:p>
          <w:p w:rsidR="00CA43A0" w:rsidRPr="00024711" w:rsidRDefault="00CA43A0" w:rsidP="00024711">
            <w:pPr>
              <w:jc w:val="both"/>
              <w:rPr>
                <w:sz w:val="20"/>
                <w:lang w:val="fr-CA"/>
              </w:rPr>
            </w:pP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lastRenderedPageBreak/>
              <w:t>24 août 2015</w:t>
            </w:r>
          </w:p>
          <w:p w:rsidR="00CA43A0" w:rsidRPr="00024711" w:rsidRDefault="00CA43A0" w:rsidP="00024711">
            <w:pPr>
              <w:jc w:val="both"/>
              <w:rPr>
                <w:sz w:val="20"/>
                <w:lang w:val="fr-CA"/>
              </w:rPr>
            </w:pPr>
            <w:r w:rsidRPr="00024711">
              <w:rPr>
                <w:sz w:val="20"/>
                <w:lang w:val="fr-CA"/>
              </w:rPr>
              <w:t>Cour suprême du Canada</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Dépôt de la demande d’autorisation d’appel</w:t>
            </w:r>
          </w:p>
          <w:p w:rsidR="00CA43A0" w:rsidRPr="00024711" w:rsidRDefault="00CA43A0" w:rsidP="00024711">
            <w:pPr>
              <w:jc w:val="both"/>
              <w:rPr>
                <w:sz w:val="20"/>
                <w:lang w:val="fr-CA"/>
              </w:rPr>
            </w:pPr>
          </w:p>
        </w:tc>
        <w:bookmarkStart w:id="0" w:name="_GoBack"/>
        <w:bookmarkEnd w:id="0"/>
      </w:tr>
    </w:tbl>
    <w:p w:rsidR="00CA43A0" w:rsidRPr="00024711" w:rsidRDefault="00CA43A0" w:rsidP="000247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rPr>
            </w:pPr>
            <w:r w:rsidRPr="00024711">
              <w:rPr>
                <w:rStyle w:val="SCCFileNumberChar"/>
                <w:sz w:val="20"/>
                <w:szCs w:val="20"/>
              </w:rPr>
              <w:t>35620</w:t>
            </w:r>
          </w:p>
        </w:tc>
        <w:tc>
          <w:tcPr>
            <w:tcW w:w="4457" w:type="pct"/>
            <w:gridSpan w:val="3"/>
          </w:tcPr>
          <w:p w:rsidR="00CA43A0" w:rsidRPr="00024711" w:rsidRDefault="00CA43A0" w:rsidP="00024711">
            <w:pPr>
              <w:pStyle w:val="SCCLsocParty"/>
              <w:jc w:val="both"/>
              <w:rPr>
                <w:b/>
                <w:sz w:val="20"/>
                <w:szCs w:val="20"/>
                <w:lang w:val="en-US"/>
              </w:rPr>
            </w:pPr>
            <w:r w:rsidRPr="00024711">
              <w:rPr>
                <w:b/>
                <w:sz w:val="20"/>
                <w:szCs w:val="20"/>
                <w:lang w:val="en-US"/>
              </w:rPr>
              <w:t xml:space="preserve">Brother </w:t>
            </w:r>
            <w:proofErr w:type="spellStart"/>
            <w:r w:rsidRPr="00024711">
              <w:rPr>
                <w:b/>
                <w:sz w:val="20"/>
                <w:szCs w:val="20"/>
                <w:lang w:val="en-US"/>
              </w:rPr>
              <w:t>Kornelis</w:t>
            </w:r>
            <w:proofErr w:type="spellEnd"/>
            <w:r w:rsidRPr="00024711">
              <w:rPr>
                <w:b/>
                <w:sz w:val="20"/>
                <w:szCs w:val="20"/>
                <w:lang w:val="en-US"/>
              </w:rPr>
              <w:t xml:space="preserve"> </w:t>
            </w:r>
            <w:proofErr w:type="spellStart"/>
            <w:r w:rsidRPr="00024711">
              <w:rPr>
                <w:b/>
                <w:sz w:val="20"/>
                <w:szCs w:val="20"/>
                <w:lang w:val="en-US"/>
              </w:rPr>
              <w:t>Klevering</w:t>
            </w:r>
            <w:proofErr w:type="spellEnd"/>
            <w:r w:rsidRPr="00024711">
              <w:rPr>
                <w:b/>
                <w:sz w:val="20"/>
                <w:szCs w:val="20"/>
                <w:lang w:val="en-US"/>
              </w:rPr>
              <w:t xml:space="preserve"> v. Attorney General  of Canada, Marc </w:t>
            </w:r>
            <w:proofErr w:type="spellStart"/>
            <w:r w:rsidRPr="00024711">
              <w:rPr>
                <w:b/>
                <w:sz w:val="20"/>
                <w:szCs w:val="20"/>
                <w:lang w:val="en-US"/>
              </w:rPr>
              <w:t>Mayrand</w:t>
            </w:r>
            <w:proofErr w:type="spellEnd"/>
            <w:r w:rsidRPr="00024711">
              <w:rPr>
                <w:b/>
                <w:sz w:val="20"/>
                <w:szCs w:val="20"/>
                <w:lang w:val="en-US"/>
              </w:rPr>
              <w:t xml:space="preserve"> (Chief Electoral Officer), Frank </w:t>
            </w:r>
            <w:proofErr w:type="spellStart"/>
            <w:r w:rsidRPr="00024711">
              <w:rPr>
                <w:b/>
                <w:sz w:val="20"/>
                <w:szCs w:val="20"/>
                <w:lang w:val="en-US"/>
              </w:rPr>
              <w:t>Valeriote</w:t>
            </w:r>
            <w:proofErr w:type="spellEnd"/>
          </w:p>
          <w:p w:rsidR="00CA43A0" w:rsidRPr="00024711" w:rsidRDefault="00024711" w:rsidP="00024711">
            <w:pPr>
              <w:jc w:val="both"/>
              <w:rPr>
                <w:sz w:val="20"/>
              </w:rPr>
            </w:pPr>
            <w:r>
              <w:rPr>
                <w:sz w:val="20"/>
              </w:rPr>
              <w:t>(FC) (Civil) (By Leave)</w:t>
            </w:r>
          </w:p>
        </w:tc>
      </w:tr>
      <w:tr w:rsidR="00CA43A0" w:rsidRPr="00024711" w:rsidTr="00CA43A0">
        <w:tc>
          <w:tcPr>
            <w:tcW w:w="5000" w:type="pct"/>
            <w:gridSpan w:val="4"/>
          </w:tcPr>
          <w:p w:rsidR="00CA43A0" w:rsidRPr="00024711" w:rsidRDefault="00CA43A0" w:rsidP="00024711">
            <w:pPr>
              <w:jc w:val="both"/>
              <w:rPr>
                <w:sz w:val="20"/>
                <w:lang w:val="en"/>
              </w:rPr>
            </w:pPr>
            <w:r w:rsidRPr="00024711">
              <w:rPr>
                <w:rStyle w:val="italic1"/>
                <w:color w:val="000000"/>
                <w:sz w:val="20"/>
              </w:rPr>
              <w:t xml:space="preserve">Canadian Charter of Rights and Freedoms </w:t>
            </w:r>
            <w:r w:rsidRPr="00024711">
              <w:rPr>
                <w:sz w:val="20"/>
              </w:rPr>
              <w:t xml:space="preserve">– </w:t>
            </w:r>
            <w:r w:rsidRPr="00024711">
              <w:rPr>
                <w:rStyle w:val="italic1"/>
                <w:color w:val="000000"/>
                <w:sz w:val="20"/>
              </w:rPr>
              <w:t xml:space="preserve">Appeals and judicial review </w:t>
            </w:r>
            <w:r w:rsidRPr="00024711">
              <w:rPr>
                <w:sz w:val="20"/>
              </w:rPr>
              <w:t xml:space="preserve">– </w:t>
            </w:r>
            <w:r w:rsidRPr="00024711">
              <w:rPr>
                <w:rStyle w:val="italic1"/>
                <w:color w:val="000000"/>
                <w:sz w:val="20"/>
              </w:rPr>
              <w:t xml:space="preserve">Government law </w:t>
            </w:r>
            <w:r w:rsidRPr="00024711">
              <w:rPr>
                <w:sz w:val="20"/>
              </w:rPr>
              <w:t xml:space="preserve">– </w:t>
            </w:r>
            <w:r w:rsidRPr="00024711">
              <w:rPr>
                <w:rStyle w:val="italic1"/>
                <w:color w:val="000000"/>
                <w:sz w:val="20"/>
              </w:rPr>
              <w:t xml:space="preserve">Elections </w:t>
            </w:r>
            <w:r w:rsidRPr="00024711">
              <w:rPr>
                <w:sz w:val="20"/>
              </w:rPr>
              <w:t xml:space="preserve">– </w:t>
            </w:r>
            <w:r w:rsidRPr="00024711">
              <w:rPr>
                <w:rStyle w:val="italic1"/>
                <w:color w:val="000000"/>
                <w:sz w:val="20"/>
              </w:rPr>
              <w:t xml:space="preserve">Contested and controverted elections </w:t>
            </w:r>
            <w:r w:rsidRPr="00024711">
              <w:rPr>
                <w:sz w:val="20"/>
              </w:rPr>
              <w:t xml:space="preserve">– </w:t>
            </w:r>
            <w:r w:rsidRPr="00024711">
              <w:rPr>
                <w:rStyle w:val="italic1"/>
                <w:color w:val="000000"/>
                <w:sz w:val="20"/>
              </w:rPr>
              <w:t xml:space="preserve">Practice and procedure </w:t>
            </w:r>
            <w:r w:rsidRPr="00024711">
              <w:rPr>
                <w:sz w:val="20"/>
              </w:rPr>
              <w:t xml:space="preserve">– </w:t>
            </w:r>
            <w:r w:rsidRPr="00024711">
              <w:rPr>
                <w:rStyle w:val="italic1"/>
                <w:color w:val="000000"/>
                <w:sz w:val="20"/>
              </w:rPr>
              <w:t xml:space="preserve">Limitation periods </w:t>
            </w:r>
            <w:r w:rsidRPr="00024711">
              <w:rPr>
                <w:sz w:val="20"/>
              </w:rPr>
              <w:t xml:space="preserve">– </w:t>
            </w:r>
            <w:r w:rsidRPr="00024711">
              <w:rPr>
                <w:rStyle w:val="italic1"/>
                <w:color w:val="000000"/>
                <w:sz w:val="20"/>
              </w:rPr>
              <w:t xml:space="preserve">Whether </w:t>
            </w:r>
            <w:r w:rsidRPr="00024711">
              <w:rPr>
                <w:sz w:val="20"/>
              </w:rPr>
              <w:t xml:space="preserve">the Federal Court of Appeal erred in failing to adopt a more flexible and broader interpretation of s. 527 (b) of the </w:t>
            </w:r>
            <w:r w:rsidRPr="00024711">
              <w:rPr>
                <w:i/>
                <w:sz w:val="20"/>
              </w:rPr>
              <w:t>Canada Elections Act</w:t>
            </w:r>
            <w:r w:rsidRPr="00024711">
              <w:rPr>
                <w:sz w:val="20"/>
              </w:rPr>
              <w:t xml:space="preserve"> by focusing solely on a lateness issue when the more pressing issue of </w:t>
            </w:r>
            <w:r w:rsidRPr="00024711">
              <w:rPr>
                <w:i/>
                <w:sz w:val="20"/>
              </w:rPr>
              <w:t>Charter</w:t>
            </w:r>
            <w:r w:rsidRPr="00024711">
              <w:rPr>
                <w:sz w:val="20"/>
              </w:rPr>
              <w:t xml:space="preserve"> electoral violations should have commanded their attention – Whether </w:t>
            </w:r>
            <w:proofErr w:type="spellStart"/>
            <w:r w:rsidRPr="00024711">
              <w:rPr>
                <w:sz w:val="20"/>
              </w:rPr>
              <w:t>Prothonotary</w:t>
            </w:r>
            <w:proofErr w:type="spellEnd"/>
            <w:r w:rsidRPr="00024711">
              <w:rPr>
                <w:sz w:val="20"/>
              </w:rPr>
              <w:t xml:space="preserve"> </w:t>
            </w:r>
            <w:proofErr w:type="spellStart"/>
            <w:r w:rsidRPr="00024711">
              <w:rPr>
                <w:sz w:val="20"/>
              </w:rPr>
              <w:t>Milcyznski</w:t>
            </w:r>
            <w:proofErr w:type="spellEnd"/>
            <w:r w:rsidRPr="00024711">
              <w:rPr>
                <w:sz w:val="20"/>
              </w:rPr>
              <w:t xml:space="preserve"> erred when she dismissed a </w:t>
            </w:r>
            <w:r w:rsidRPr="00024711">
              <w:rPr>
                <w:i/>
                <w:sz w:val="20"/>
              </w:rPr>
              <w:t>Canada Elections Act</w:t>
            </w:r>
            <w:r w:rsidRPr="00024711">
              <w:rPr>
                <w:sz w:val="20"/>
              </w:rPr>
              <w:t xml:space="preserve"> application for being vexatious and frivolous when the requirements of establishing a fraud, as set down by sections 524(2) and 531 (2) of the </w:t>
            </w:r>
            <w:r w:rsidRPr="00024711">
              <w:rPr>
                <w:i/>
                <w:sz w:val="20"/>
              </w:rPr>
              <w:t>Act</w:t>
            </w:r>
            <w:r w:rsidRPr="00024711">
              <w:rPr>
                <w:sz w:val="20"/>
              </w:rPr>
              <w:t xml:space="preserve">, had been met by the Applicant – Whether </w:t>
            </w:r>
            <w:r w:rsidRPr="00024711">
              <w:rPr>
                <w:sz w:val="20"/>
                <w:lang w:eastAsia="en-CA"/>
              </w:rPr>
              <w:t xml:space="preserve">the fraudulent electoral voter suppression activity affected the results of the election, impacted on the integrity of the electoral process and injured democracy to s. 3 of the </w:t>
            </w:r>
            <w:r w:rsidRPr="00024711">
              <w:rPr>
                <w:i/>
                <w:sz w:val="20"/>
                <w:lang w:eastAsia="en-CA"/>
              </w:rPr>
              <w:t>Charter</w:t>
            </w:r>
            <w:r w:rsidRPr="00024711">
              <w:rPr>
                <w:sz w:val="20"/>
                <w:lang w:eastAsia="en-CA"/>
              </w:rPr>
              <w:t xml:space="preserve">. </w:t>
            </w:r>
            <w:r w:rsidRPr="00024711">
              <w:rPr>
                <w:i/>
                <w:sz w:val="20"/>
              </w:rPr>
              <w:t>Canada Elections Act</w:t>
            </w:r>
            <w:r w:rsidRPr="00024711">
              <w:rPr>
                <w:sz w:val="20"/>
              </w:rPr>
              <w:t xml:space="preserve">, </w:t>
            </w:r>
            <w:r w:rsidRPr="00024711">
              <w:rPr>
                <w:sz w:val="20"/>
                <w:lang w:val="en"/>
              </w:rPr>
              <w:t>(S.C. 2000, c. 9).</w:t>
            </w:r>
          </w:p>
        </w:tc>
      </w:tr>
      <w:tr w:rsidR="00CA43A0" w:rsidRPr="00024711" w:rsidTr="00CA43A0">
        <w:tc>
          <w:tcPr>
            <w:tcW w:w="5000" w:type="pct"/>
            <w:gridSpan w:val="4"/>
          </w:tcPr>
          <w:p w:rsidR="00CA43A0" w:rsidRPr="00024711" w:rsidRDefault="00CA43A0" w:rsidP="00024711">
            <w:pPr>
              <w:jc w:val="both"/>
              <w:rPr>
                <w:rStyle w:val="italic1"/>
                <w:color w:val="000000"/>
                <w:sz w:val="20"/>
              </w:rPr>
            </w:pPr>
          </w:p>
        </w:tc>
      </w:tr>
      <w:tr w:rsidR="00CA43A0" w:rsidRPr="00024711" w:rsidTr="00CA43A0">
        <w:tc>
          <w:tcPr>
            <w:tcW w:w="5000" w:type="pct"/>
            <w:gridSpan w:val="4"/>
          </w:tcPr>
          <w:p w:rsidR="00CA43A0" w:rsidRPr="00024711" w:rsidRDefault="00CA43A0" w:rsidP="00024711">
            <w:pPr>
              <w:jc w:val="both"/>
              <w:rPr>
                <w:sz w:val="20"/>
              </w:rPr>
            </w:pPr>
            <w:r w:rsidRPr="00024711">
              <w:rPr>
                <w:sz w:val="20"/>
              </w:rPr>
              <w:t xml:space="preserve">The Applicant brought an application contesting the results of the May 2, 2011, federal election for the riding of Guelph. He alleged that there were numerous automated telephone calls that purported to be from Elections Canada and which misdirected voters to non-existing polling stations. The Applicant made his application pursuant to s. 524(1) of the </w:t>
            </w:r>
            <w:r w:rsidRPr="00024711">
              <w:rPr>
                <w:i/>
                <w:sz w:val="20"/>
              </w:rPr>
              <w:t>Canada Elections Act</w:t>
            </w:r>
            <w:r w:rsidRPr="00024711">
              <w:rPr>
                <w:sz w:val="20"/>
              </w:rPr>
              <w:t>.</w:t>
            </w:r>
          </w:p>
          <w:p w:rsidR="00CA43A0" w:rsidRPr="00024711" w:rsidRDefault="00CA43A0" w:rsidP="00024711">
            <w:pPr>
              <w:jc w:val="both"/>
              <w:rPr>
                <w:sz w:val="20"/>
              </w:rPr>
            </w:pPr>
            <w:r w:rsidRPr="00024711">
              <w:rPr>
                <w:sz w:val="20"/>
              </w:rPr>
              <w:t xml:space="preserve"> </w:t>
            </w:r>
          </w:p>
        </w:tc>
      </w:tr>
      <w:tr w:rsidR="00CA43A0" w:rsidRPr="00024711" w:rsidTr="00CA43A0">
        <w:tc>
          <w:tcPr>
            <w:tcW w:w="2427" w:type="pct"/>
            <w:gridSpan w:val="2"/>
          </w:tcPr>
          <w:p w:rsidR="00CA43A0" w:rsidRPr="00024711" w:rsidRDefault="00CA43A0" w:rsidP="00024711">
            <w:pPr>
              <w:jc w:val="both"/>
              <w:rPr>
                <w:sz w:val="20"/>
              </w:rPr>
            </w:pPr>
            <w:r w:rsidRPr="00024711">
              <w:rPr>
                <w:sz w:val="20"/>
              </w:rPr>
              <w:t>September 19, 2013</w:t>
            </w:r>
          </w:p>
          <w:p w:rsidR="00CA43A0" w:rsidRPr="00024711" w:rsidRDefault="00CA43A0" w:rsidP="00024711">
            <w:pPr>
              <w:jc w:val="both"/>
              <w:rPr>
                <w:sz w:val="20"/>
              </w:rPr>
            </w:pPr>
            <w:r w:rsidRPr="00024711">
              <w:rPr>
                <w:sz w:val="20"/>
              </w:rPr>
              <w:t>Federal Court</w:t>
            </w:r>
          </w:p>
          <w:p w:rsidR="00CA43A0" w:rsidRPr="00024711" w:rsidRDefault="00CA43A0" w:rsidP="00024711">
            <w:pPr>
              <w:jc w:val="both"/>
              <w:rPr>
                <w:sz w:val="20"/>
              </w:rPr>
            </w:pPr>
            <w:r w:rsidRPr="00024711">
              <w:rPr>
                <w:sz w:val="20"/>
              </w:rPr>
              <w:t>(</w:t>
            </w:r>
            <w:proofErr w:type="spellStart"/>
            <w:r w:rsidRPr="00024711">
              <w:rPr>
                <w:sz w:val="20"/>
              </w:rPr>
              <w:t>Milczynski</w:t>
            </w:r>
            <w:proofErr w:type="spellEnd"/>
            <w:r w:rsidRPr="00024711">
              <w:rPr>
                <w:sz w:val="20"/>
              </w:rPr>
              <w:t xml:space="preserve"> </w:t>
            </w:r>
            <w:proofErr w:type="spellStart"/>
            <w:r w:rsidRPr="00024711">
              <w:rPr>
                <w:sz w:val="20"/>
              </w:rPr>
              <w:t>prothonotary</w:t>
            </w:r>
            <w:proofErr w:type="spellEnd"/>
            <w:r w:rsidRPr="00024711">
              <w:rPr>
                <w:sz w:val="20"/>
              </w:rPr>
              <w:t>)</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 xml:space="preserve">Application under s. 531(1) of the </w:t>
            </w:r>
            <w:r w:rsidRPr="00024711">
              <w:rPr>
                <w:i/>
                <w:sz w:val="20"/>
              </w:rPr>
              <w:t>Canada Elections Act</w:t>
            </w:r>
            <w:r w:rsidRPr="00024711">
              <w:rPr>
                <w:sz w:val="20"/>
              </w:rPr>
              <w:t xml:space="preserve"> dismissed as vexatious, frivolous or not made in good faith; application filed out of time.</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lang w:eastAsia="en-CA"/>
              </w:rPr>
            </w:pPr>
            <w:r w:rsidRPr="00024711">
              <w:rPr>
                <w:sz w:val="20"/>
                <w:lang w:eastAsia="en-CA"/>
              </w:rPr>
              <w:t>April 22, 2014</w:t>
            </w:r>
          </w:p>
          <w:p w:rsidR="00CA43A0" w:rsidRPr="00024711" w:rsidRDefault="00CA43A0" w:rsidP="00024711">
            <w:pPr>
              <w:jc w:val="both"/>
              <w:rPr>
                <w:sz w:val="20"/>
                <w:lang w:eastAsia="en-CA"/>
              </w:rPr>
            </w:pPr>
            <w:r w:rsidRPr="00024711">
              <w:rPr>
                <w:sz w:val="20"/>
                <w:lang w:eastAsia="en-CA"/>
              </w:rPr>
              <w:t>Federal Court</w:t>
            </w:r>
          </w:p>
          <w:p w:rsidR="00CA43A0" w:rsidRPr="00024711" w:rsidRDefault="00CA43A0" w:rsidP="00024711">
            <w:pPr>
              <w:jc w:val="both"/>
              <w:rPr>
                <w:sz w:val="20"/>
                <w:lang w:eastAsia="en-CA"/>
              </w:rPr>
            </w:pPr>
            <w:r w:rsidRPr="00024711">
              <w:rPr>
                <w:sz w:val="20"/>
                <w:lang w:eastAsia="en-CA"/>
              </w:rPr>
              <w:t>(Hughes J.)</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 xml:space="preserve">Appeal from </w:t>
            </w:r>
            <w:proofErr w:type="spellStart"/>
            <w:r w:rsidRPr="00024711">
              <w:rPr>
                <w:sz w:val="20"/>
              </w:rPr>
              <w:t>prothonotary’s</w:t>
            </w:r>
            <w:proofErr w:type="spellEnd"/>
            <w:r w:rsidRPr="00024711">
              <w:rPr>
                <w:sz w:val="20"/>
              </w:rPr>
              <w:t xml:space="preserve"> decision dismissed.</w:t>
            </w:r>
          </w:p>
        </w:tc>
      </w:tr>
      <w:tr w:rsidR="00CA43A0" w:rsidRPr="00024711" w:rsidTr="00CA43A0">
        <w:tc>
          <w:tcPr>
            <w:tcW w:w="2427" w:type="pct"/>
            <w:gridSpan w:val="2"/>
          </w:tcPr>
          <w:p w:rsidR="00CA43A0" w:rsidRPr="00024711" w:rsidRDefault="00CA43A0" w:rsidP="00024711">
            <w:pPr>
              <w:jc w:val="both"/>
              <w:rPr>
                <w:sz w:val="20"/>
              </w:rPr>
            </w:pPr>
            <w:r w:rsidRPr="00024711">
              <w:rPr>
                <w:sz w:val="20"/>
              </w:rPr>
              <w:t>June 23, 2015</w:t>
            </w:r>
          </w:p>
          <w:p w:rsidR="00CA43A0" w:rsidRPr="00024711" w:rsidRDefault="00CA43A0" w:rsidP="00024711">
            <w:pPr>
              <w:jc w:val="both"/>
              <w:rPr>
                <w:sz w:val="20"/>
              </w:rPr>
            </w:pPr>
            <w:r w:rsidRPr="00024711">
              <w:rPr>
                <w:sz w:val="20"/>
              </w:rPr>
              <w:t>Federal Court of Appeal</w:t>
            </w:r>
          </w:p>
          <w:p w:rsidR="00CA43A0" w:rsidRPr="00024711" w:rsidRDefault="00CA43A0" w:rsidP="00024711">
            <w:pPr>
              <w:jc w:val="both"/>
              <w:rPr>
                <w:sz w:val="20"/>
              </w:rPr>
            </w:pPr>
            <w:r w:rsidRPr="00024711">
              <w:rPr>
                <w:sz w:val="20"/>
              </w:rPr>
              <w:t xml:space="preserve">(Webb, </w:t>
            </w:r>
            <w:proofErr w:type="spellStart"/>
            <w:r w:rsidRPr="00024711">
              <w:rPr>
                <w:sz w:val="20"/>
              </w:rPr>
              <w:t>Ryer</w:t>
            </w:r>
            <w:proofErr w:type="spellEnd"/>
            <w:r w:rsidRPr="00024711">
              <w:rPr>
                <w:sz w:val="20"/>
              </w:rPr>
              <w:t xml:space="preserve"> and Rennie JJ.A.)</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Appeal dismissed.</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October 13, 2015</w:t>
            </w:r>
          </w:p>
          <w:p w:rsidR="00CA43A0" w:rsidRPr="00024711" w:rsidRDefault="00CA43A0" w:rsidP="00024711">
            <w:pPr>
              <w:jc w:val="both"/>
              <w:rPr>
                <w:sz w:val="20"/>
              </w:rPr>
            </w:pPr>
            <w:r w:rsidRPr="00024711">
              <w:rPr>
                <w:sz w:val="20"/>
              </w:rPr>
              <w:t>Supreme Court of Canada</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Application for leave to appeal filed.</w:t>
            </w:r>
          </w:p>
        </w:tc>
      </w:tr>
    </w:tbl>
    <w:p w:rsidR="00CA43A0" w:rsidRPr="00024711" w:rsidRDefault="00CA43A0" w:rsidP="000247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lang w:val="fr-CA"/>
              </w:rPr>
            </w:pPr>
            <w:r w:rsidRPr="00024711">
              <w:rPr>
                <w:rStyle w:val="SCCFileNumberChar"/>
                <w:sz w:val="20"/>
                <w:szCs w:val="20"/>
                <w:lang w:val="fr-CA"/>
              </w:rPr>
              <w:t>35620</w:t>
            </w:r>
          </w:p>
        </w:tc>
        <w:tc>
          <w:tcPr>
            <w:tcW w:w="4457" w:type="pct"/>
            <w:gridSpan w:val="3"/>
          </w:tcPr>
          <w:p w:rsidR="00CA43A0" w:rsidRPr="00024711" w:rsidRDefault="00CA43A0" w:rsidP="00024711">
            <w:pPr>
              <w:pStyle w:val="SCCLsocParty"/>
              <w:jc w:val="both"/>
              <w:rPr>
                <w:b/>
                <w:sz w:val="20"/>
                <w:szCs w:val="20"/>
              </w:rPr>
            </w:pPr>
            <w:r w:rsidRPr="00024711">
              <w:rPr>
                <w:b/>
                <w:sz w:val="20"/>
                <w:szCs w:val="20"/>
              </w:rPr>
              <w:t>Frère Kornelis Klevering c. Procureur général du Canada, Marc Mayrand (directeur général des élections), Frank Valeriote</w:t>
            </w:r>
          </w:p>
          <w:p w:rsidR="00CA43A0" w:rsidRPr="00024711" w:rsidRDefault="00CA43A0" w:rsidP="00024711">
            <w:pPr>
              <w:jc w:val="both"/>
              <w:rPr>
                <w:sz w:val="20"/>
                <w:lang w:val="fr-CA"/>
              </w:rPr>
            </w:pPr>
            <w:r w:rsidRPr="00024711">
              <w:rPr>
                <w:sz w:val="20"/>
                <w:lang w:val="fr-CA"/>
              </w:rPr>
              <w:t>(CF) (Civile) (Sur autorisation)</w:t>
            </w:r>
          </w:p>
        </w:tc>
      </w:tr>
      <w:tr w:rsidR="00CA43A0" w:rsidRPr="00024711" w:rsidTr="00CA43A0">
        <w:tc>
          <w:tcPr>
            <w:tcW w:w="5000" w:type="pct"/>
            <w:gridSpan w:val="4"/>
          </w:tcPr>
          <w:p w:rsidR="00CA43A0" w:rsidRPr="00024711" w:rsidRDefault="00CA43A0" w:rsidP="00024711">
            <w:pPr>
              <w:jc w:val="both"/>
              <w:rPr>
                <w:sz w:val="20"/>
                <w:lang w:val="fr-CA"/>
              </w:rPr>
            </w:pPr>
            <w:r w:rsidRPr="00024711">
              <w:rPr>
                <w:rStyle w:val="italic1"/>
                <w:color w:val="000000"/>
                <w:sz w:val="20"/>
                <w:lang w:val="fr-CA"/>
              </w:rPr>
              <w:t>Charte canadienne des droits et libertés – Appels et contrôle judiciaire – Droit administratif – Élections – Élections contestées – Pratique et procédure – Délais de prescription – La Cour d’appel fédérale a-t-elle eu tort de ne pas avoir adopté une interprétation plus souple et plus large de l’al. 5</w:t>
            </w:r>
            <w:r w:rsidRPr="00024711">
              <w:rPr>
                <w:sz w:val="20"/>
                <w:lang w:val="fr-CA"/>
              </w:rPr>
              <w:t>27</w:t>
            </w:r>
            <w:r w:rsidRPr="00024711">
              <w:rPr>
                <w:i/>
                <w:sz w:val="20"/>
                <w:lang w:val="fr-CA"/>
              </w:rPr>
              <w:t>b</w:t>
            </w:r>
            <w:r w:rsidRPr="00024711">
              <w:rPr>
                <w:sz w:val="20"/>
                <w:lang w:val="fr-CA"/>
              </w:rPr>
              <w:t xml:space="preserve">) de la </w:t>
            </w:r>
            <w:r w:rsidRPr="00024711">
              <w:rPr>
                <w:i/>
                <w:sz w:val="20"/>
                <w:lang w:val="fr-CA"/>
              </w:rPr>
              <w:t>Loi électorale du Canada</w:t>
            </w:r>
            <w:r w:rsidRPr="00024711">
              <w:rPr>
                <w:sz w:val="20"/>
                <w:lang w:val="fr-CA"/>
              </w:rPr>
              <w:t xml:space="preserve"> en se concentrant uniquement sur la question du retard, alors qu’elle aurait dû porter son attention sur la question plus pressante des violations électorales au regard de la </w:t>
            </w:r>
            <w:r w:rsidRPr="00024711">
              <w:rPr>
                <w:i/>
                <w:sz w:val="20"/>
                <w:lang w:val="fr-CA"/>
              </w:rPr>
              <w:t>Charte</w:t>
            </w:r>
            <w:r w:rsidRPr="00024711">
              <w:rPr>
                <w:sz w:val="20"/>
                <w:lang w:val="fr-CA"/>
              </w:rPr>
              <w:t xml:space="preserve">? – La protonotaire Milcyznski a-t-elle commis une erreur en rejetant une demande fondée sur la </w:t>
            </w:r>
            <w:r w:rsidRPr="00024711">
              <w:rPr>
                <w:i/>
                <w:sz w:val="20"/>
                <w:lang w:val="fr-CA"/>
              </w:rPr>
              <w:t>Loi électorale du Canada</w:t>
            </w:r>
            <w:r w:rsidRPr="00024711">
              <w:rPr>
                <w:sz w:val="20"/>
                <w:lang w:val="fr-CA"/>
              </w:rPr>
              <w:t xml:space="preserve"> parce que cette demande était selon elle vexatoire et dénuée de tout intérêt, alors que le demandeur avait rempli les exigences pour établir la fraude, telles qu’énoncées aux par. 524(2) et 531(2) de la </w:t>
            </w:r>
            <w:r w:rsidRPr="00024711">
              <w:rPr>
                <w:i/>
                <w:sz w:val="20"/>
                <w:lang w:val="fr-CA"/>
              </w:rPr>
              <w:t>Loi</w:t>
            </w:r>
            <w:r w:rsidRPr="00024711">
              <w:rPr>
                <w:sz w:val="20"/>
                <w:lang w:val="fr-CA"/>
              </w:rPr>
              <w:t xml:space="preserve">? – L’activité qui a consisté à empêcher frauduleusement les gens de voter a-t-elle </w:t>
            </w:r>
            <w:r w:rsidRPr="00024711">
              <w:rPr>
                <w:sz w:val="20"/>
                <w:lang w:val="fr-CA"/>
              </w:rPr>
              <w:lastRenderedPageBreak/>
              <w:t>eu une incidence sur les résultats de l’élection</w:t>
            </w:r>
            <w:r w:rsidRPr="00024711">
              <w:rPr>
                <w:sz w:val="20"/>
                <w:lang w:val="fr-CA" w:eastAsia="en-CA"/>
              </w:rPr>
              <w:t xml:space="preserve"> et sur l’intégrité du processus électoral et porté atteinte à la démocratie au regard de l’art. 3 de la </w:t>
            </w:r>
            <w:r w:rsidRPr="00024711">
              <w:rPr>
                <w:i/>
                <w:sz w:val="20"/>
                <w:lang w:val="fr-CA" w:eastAsia="en-CA"/>
              </w:rPr>
              <w:t>Charte</w:t>
            </w:r>
            <w:r w:rsidRPr="00024711">
              <w:rPr>
                <w:sz w:val="20"/>
                <w:lang w:val="fr-CA" w:eastAsia="en-CA"/>
              </w:rPr>
              <w:t xml:space="preserve">? </w:t>
            </w:r>
            <w:r w:rsidRPr="00024711">
              <w:rPr>
                <w:i/>
                <w:sz w:val="20"/>
                <w:lang w:val="fr-CA"/>
              </w:rPr>
              <w:t>Loi électorale du Canada</w:t>
            </w:r>
            <w:r w:rsidRPr="00024711">
              <w:rPr>
                <w:sz w:val="20"/>
                <w:lang w:val="fr-CA"/>
              </w:rPr>
              <w:t>, (L.C. 2000, ch. 9).</w:t>
            </w:r>
          </w:p>
        </w:tc>
      </w:tr>
      <w:tr w:rsidR="00CA43A0" w:rsidRPr="00024711" w:rsidTr="00CA43A0">
        <w:tc>
          <w:tcPr>
            <w:tcW w:w="5000" w:type="pct"/>
            <w:gridSpan w:val="4"/>
          </w:tcPr>
          <w:p w:rsidR="00CA43A0" w:rsidRPr="00024711" w:rsidRDefault="00CA43A0" w:rsidP="00024711">
            <w:pPr>
              <w:jc w:val="both"/>
              <w:rPr>
                <w:rStyle w:val="italic1"/>
                <w:color w:val="000000"/>
                <w:sz w:val="20"/>
                <w:lang w:val="fr-CA"/>
              </w:rPr>
            </w:pP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 xml:space="preserve">Le demandeur a présenté une demande contestant les résultats de l’élection fédérale du 2 mai 2011 dans la circonscription de Guelph. Selon le demandeur, il y aurait eu de nombreux appels automatiques qui provenaient censément d’Élections Canada et qui auraient mal dirigé les électeurs vers des bureaux de scrutin inexistants. Le demandeur a présenté sa demande en application du par. 524(1) de la </w:t>
            </w:r>
            <w:r w:rsidRPr="00024711">
              <w:rPr>
                <w:i/>
                <w:sz w:val="20"/>
                <w:lang w:val="fr-CA"/>
              </w:rPr>
              <w:t>Loi électorale du Canada.</w:t>
            </w:r>
          </w:p>
          <w:p w:rsidR="00CA43A0" w:rsidRPr="00024711" w:rsidRDefault="00CA43A0" w:rsidP="00024711">
            <w:pPr>
              <w:jc w:val="both"/>
              <w:rPr>
                <w:sz w:val="20"/>
                <w:lang w:val="fr-CA"/>
              </w:rPr>
            </w:pPr>
            <w:r w:rsidRPr="00024711">
              <w:rPr>
                <w:sz w:val="20"/>
                <w:lang w:val="fr-CA"/>
              </w:rPr>
              <w:t xml:space="preserve"> </w:t>
            </w: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19 septembre 2013</w:t>
            </w:r>
          </w:p>
          <w:p w:rsidR="00CA43A0" w:rsidRPr="00024711" w:rsidRDefault="00CA43A0" w:rsidP="00024711">
            <w:pPr>
              <w:jc w:val="both"/>
              <w:rPr>
                <w:sz w:val="20"/>
                <w:lang w:val="fr-CA"/>
              </w:rPr>
            </w:pPr>
            <w:r w:rsidRPr="00024711">
              <w:rPr>
                <w:sz w:val="20"/>
                <w:lang w:val="fr-CA"/>
              </w:rPr>
              <w:t>Cour fédérale</w:t>
            </w:r>
          </w:p>
          <w:p w:rsidR="00CA43A0" w:rsidRPr="00024711" w:rsidRDefault="00CA43A0" w:rsidP="00024711">
            <w:pPr>
              <w:jc w:val="both"/>
              <w:rPr>
                <w:sz w:val="20"/>
                <w:lang w:val="fr-CA"/>
              </w:rPr>
            </w:pPr>
            <w:r w:rsidRPr="00024711">
              <w:rPr>
                <w:sz w:val="20"/>
                <w:lang w:val="fr-CA"/>
              </w:rPr>
              <w:t>(Protonotaire Milczynski)</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 xml:space="preserve">Rejet de la demande fondée sur le par. 531(1) de la </w:t>
            </w:r>
            <w:r w:rsidRPr="00024711">
              <w:rPr>
                <w:i/>
                <w:sz w:val="20"/>
                <w:lang w:val="fr-CA"/>
              </w:rPr>
              <w:t>Loi électorale du Canada</w:t>
            </w:r>
            <w:r w:rsidRPr="00024711">
              <w:rPr>
                <w:sz w:val="20"/>
                <w:lang w:val="fr-CA"/>
              </w:rPr>
              <w:t xml:space="preserve"> parce que vexatoire et dénuée de tout intérêt ou de bonne foi; dépôt de la demande hors délai.</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eastAsia="en-CA"/>
              </w:rPr>
            </w:pPr>
            <w:r w:rsidRPr="00024711">
              <w:rPr>
                <w:sz w:val="20"/>
                <w:lang w:val="fr-CA" w:eastAsia="en-CA"/>
              </w:rPr>
              <w:t>22 avril 2014</w:t>
            </w:r>
          </w:p>
          <w:p w:rsidR="00CA43A0" w:rsidRPr="00024711" w:rsidRDefault="00CA43A0" w:rsidP="00024711">
            <w:pPr>
              <w:jc w:val="both"/>
              <w:rPr>
                <w:sz w:val="20"/>
                <w:lang w:val="fr-CA" w:eastAsia="en-CA"/>
              </w:rPr>
            </w:pPr>
            <w:r w:rsidRPr="00024711">
              <w:rPr>
                <w:sz w:val="20"/>
                <w:lang w:val="fr-CA" w:eastAsia="en-CA"/>
              </w:rPr>
              <w:t>Cour fédérale</w:t>
            </w:r>
          </w:p>
          <w:p w:rsidR="00CA43A0" w:rsidRPr="00024711" w:rsidRDefault="00CA43A0" w:rsidP="00024711">
            <w:pPr>
              <w:jc w:val="both"/>
              <w:rPr>
                <w:sz w:val="20"/>
                <w:lang w:val="fr-CA" w:eastAsia="en-CA"/>
              </w:rPr>
            </w:pPr>
            <w:r w:rsidRPr="00024711">
              <w:rPr>
                <w:sz w:val="20"/>
                <w:lang w:val="fr-CA" w:eastAsia="en-CA"/>
              </w:rPr>
              <w:t>(Juge Hughes)</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Rejet de l’appel de la décision de la protonotaire.</w:t>
            </w: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23 juin 2015</w:t>
            </w:r>
          </w:p>
          <w:p w:rsidR="00CA43A0" w:rsidRPr="00024711" w:rsidRDefault="00CA43A0" w:rsidP="00024711">
            <w:pPr>
              <w:jc w:val="both"/>
              <w:rPr>
                <w:sz w:val="20"/>
                <w:lang w:val="fr-CA"/>
              </w:rPr>
            </w:pPr>
            <w:r w:rsidRPr="00024711">
              <w:rPr>
                <w:sz w:val="20"/>
                <w:lang w:val="fr-CA"/>
              </w:rPr>
              <w:t>Cour d’appel fédérale</w:t>
            </w:r>
          </w:p>
          <w:p w:rsidR="00CA43A0" w:rsidRPr="00024711" w:rsidRDefault="00CA43A0" w:rsidP="00024711">
            <w:pPr>
              <w:jc w:val="both"/>
              <w:rPr>
                <w:sz w:val="20"/>
                <w:lang w:val="fr-CA"/>
              </w:rPr>
            </w:pPr>
            <w:r w:rsidRPr="00024711">
              <w:rPr>
                <w:sz w:val="20"/>
                <w:lang w:val="fr-CA"/>
              </w:rPr>
              <w:t>(Juges Webb, Ryer et Rennie)</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Rejet de l’appel.</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13 octobre 2015</w:t>
            </w:r>
          </w:p>
          <w:p w:rsidR="00CA43A0" w:rsidRPr="00024711" w:rsidRDefault="00CA43A0" w:rsidP="00024711">
            <w:pPr>
              <w:jc w:val="both"/>
              <w:rPr>
                <w:sz w:val="20"/>
                <w:lang w:val="fr-CA"/>
              </w:rPr>
            </w:pPr>
            <w:r w:rsidRPr="00024711">
              <w:rPr>
                <w:sz w:val="20"/>
                <w:lang w:val="fr-CA"/>
              </w:rPr>
              <w:t>Cour suprême du Canada</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Dépôt de demande d’autorisation d’appel.</w:t>
            </w:r>
          </w:p>
        </w:tc>
      </w:tr>
    </w:tbl>
    <w:p w:rsidR="00CA43A0" w:rsidRPr="00024711" w:rsidRDefault="00CA43A0" w:rsidP="000247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lang w:val="en-CA"/>
              </w:rPr>
            </w:pPr>
            <w:r w:rsidRPr="00024711">
              <w:rPr>
                <w:rStyle w:val="SCCFileNumberChar"/>
                <w:sz w:val="20"/>
                <w:szCs w:val="20"/>
              </w:rPr>
              <w:t>36551</w:t>
            </w:r>
          </w:p>
        </w:tc>
        <w:tc>
          <w:tcPr>
            <w:tcW w:w="4457" w:type="pct"/>
            <w:gridSpan w:val="3"/>
          </w:tcPr>
          <w:p w:rsidR="00CA43A0" w:rsidRPr="00024711" w:rsidRDefault="00CA43A0" w:rsidP="00024711">
            <w:pPr>
              <w:pStyle w:val="SCCLsocParty"/>
              <w:jc w:val="both"/>
              <w:rPr>
                <w:b/>
                <w:sz w:val="20"/>
                <w:szCs w:val="20"/>
              </w:rPr>
            </w:pPr>
            <w:r w:rsidRPr="00024711">
              <w:rPr>
                <w:b/>
                <w:sz w:val="20"/>
                <w:szCs w:val="20"/>
              </w:rPr>
              <w:t>Fédération des producteurs acéricoles du Québec v. S.K. Export Inc., Étienne St-Pierre</w:t>
            </w:r>
          </w:p>
          <w:p w:rsidR="00CA43A0" w:rsidRPr="00024711" w:rsidRDefault="00CA43A0" w:rsidP="00024711">
            <w:pPr>
              <w:jc w:val="both"/>
              <w:rPr>
                <w:sz w:val="20"/>
                <w:lang w:val="en-CA"/>
              </w:rPr>
            </w:pPr>
            <w:r w:rsidRPr="00024711">
              <w:rPr>
                <w:sz w:val="20"/>
                <w:lang w:val="en-CA"/>
              </w:rPr>
              <w:t>(N.B.) (Civil) (By Leave)</w:t>
            </w:r>
          </w:p>
        </w:tc>
      </w:tr>
      <w:tr w:rsidR="00CA43A0" w:rsidRPr="00024711" w:rsidTr="00CA43A0">
        <w:tc>
          <w:tcPr>
            <w:tcW w:w="5000" w:type="pct"/>
            <w:gridSpan w:val="4"/>
          </w:tcPr>
          <w:p w:rsidR="00CA43A0" w:rsidRPr="00024711" w:rsidRDefault="00CA43A0" w:rsidP="00024711">
            <w:pPr>
              <w:jc w:val="both"/>
              <w:rPr>
                <w:sz w:val="20"/>
                <w:lang w:val="en-CA"/>
              </w:rPr>
            </w:pPr>
            <w:r w:rsidRPr="00024711">
              <w:rPr>
                <w:sz w:val="20"/>
                <w:lang w:val="en-CA"/>
              </w:rPr>
              <w:t xml:space="preserve">Private international law – Recognition of judgment – Homologation of Quebec interlocutory injunction by New Brunswick – Purchase of maple syrup in New Brunswick subject to regulations of </w:t>
            </w:r>
            <w:proofErr w:type="spellStart"/>
            <w:r w:rsidRPr="00024711">
              <w:rPr>
                <w:sz w:val="20"/>
                <w:lang w:val="en-CA"/>
              </w:rPr>
              <w:t>Fédération</w:t>
            </w:r>
            <w:proofErr w:type="spellEnd"/>
            <w:r w:rsidRPr="00024711">
              <w:rPr>
                <w:sz w:val="20"/>
                <w:lang w:val="en-CA"/>
              </w:rPr>
              <w:t xml:space="preserve"> des </w:t>
            </w:r>
            <w:proofErr w:type="spellStart"/>
            <w:r w:rsidRPr="00024711">
              <w:rPr>
                <w:sz w:val="20"/>
                <w:lang w:val="en-CA"/>
              </w:rPr>
              <w:t>producteurs</w:t>
            </w:r>
            <w:proofErr w:type="spellEnd"/>
            <w:r w:rsidRPr="00024711">
              <w:rPr>
                <w:sz w:val="20"/>
                <w:lang w:val="en-CA"/>
              </w:rPr>
              <w:t xml:space="preserve"> </w:t>
            </w:r>
            <w:proofErr w:type="spellStart"/>
            <w:r w:rsidRPr="00024711">
              <w:rPr>
                <w:sz w:val="20"/>
                <w:lang w:val="en-CA"/>
              </w:rPr>
              <w:t>acéricoles</w:t>
            </w:r>
            <w:proofErr w:type="spellEnd"/>
            <w:r w:rsidRPr="00024711">
              <w:rPr>
                <w:sz w:val="20"/>
                <w:lang w:val="en-CA"/>
              </w:rPr>
              <w:t xml:space="preserve"> du Québec – Extraterritoriality of powers of </w:t>
            </w:r>
            <w:proofErr w:type="spellStart"/>
            <w:r w:rsidRPr="00024711">
              <w:rPr>
                <w:sz w:val="20"/>
                <w:lang w:val="en-CA"/>
              </w:rPr>
              <w:t>Fédération</w:t>
            </w:r>
            <w:proofErr w:type="spellEnd"/>
            <w:r w:rsidRPr="00024711">
              <w:rPr>
                <w:sz w:val="20"/>
                <w:lang w:val="en-CA"/>
              </w:rPr>
              <w:t xml:space="preserve"> des </w:t>
            </w:r>
            <w:proofErr w:type="spellStart"/>
            <w:r w:rsidRPr="00024711">
              <w:rPr>
                <w:sz w:val="20"/>
                <w:lang w:val="en-CA"/>
              </w:rPr>
              <w:t>producteurs</w:t>
            </w:r>
            <w:proofErr w:type="spellEnd"/>
            <w:r w:rsidRPr="00024711">
              <w:rPr>
                <w:sz w:val="20"/>
                <w:lang w:val="en-CA"/>
              </w:rPr>
              <w:t xml:space="preserve"> </w:t>
            </w:r>
            <w:proofErr w:type="spellStart"/>
            <w:r w:rsidRPr="00024711">
              <w:rPr>
                <w:sz w:val="20"/>
                <w:lang w:val="en-CA"/>
              </w:rPr>
              <w:t>acéricoles</w:t>
            </w:r>
            <w:proofErr w:type="spellEnd"/>
            <w:r w:rsidRPr="00024711">
              <w:rPr>
                <w:sz w:val="20"/>
                <w:lang w:val="en-CA"/>
              </w:rPr>
              <w:t xml:space="preserve"> du Québec – Whether courts below erred in refusing to exercise their discretion to homologate the interlocutory injunction in force in Quebec. </w:t>
            </w:r>
          </w:p>
        </w:tc>
      </w:tr>
      <w:tr w:rsidR="00CA43A0" w:rsidRPr="00024711" w:rsidTr="00CA43A0">
        <w:tc>
          <w:tcPr>
            <w:tcW w:w="5000" w:type="pct"/>
            <w:gridSpan w:val="4"/>
          </w:tcPr>
          <w:p w:rsidR="00CA43A0" w:rsidRPr="00024711" w:rsidRDefault="00CA43A0" w:rsidP="00024711">
            <w:pPr>
              <w:jc w:val="both"/>
              <w:rPr>
                <w:sz w:val="20"/>
                <w:lang w:val="en-CA"/>
              </w:rPr>
            </w:pPr>
          </w:p>
        </w:tc>
      </w:tr>
      <w:tr w:rsidR="00CA43A0" w:rsidRPr="00024711" w:rsidTr="00CA43A0">
        <w:tc>
          <w:tcPr>
            <w:tcW w:w="5000" w:type="pct"/>
            <w:gridSpan w:val="4"/>
          </w:tcPr>
          <w:p w:rsidR="00CA43A0" w:rsidRPr="00024711" w:rsidRDefault="00CA43A0" w:rsidP="00024711">
            <w:pPr>
              <w:jc w:val="both"/>
              <w:rPr>
                <w:sz w:val="20"/>
                <w:lang w:val="en-CA"/>
              </w:rPr>
            </w:pPr>
            <w:r w:rsidRPr="00024711">
              <w:rPr>
                <w:sz w:val="20"/>
                <w:lang w:val="en-CA"/>
              </w:rPr>
              <w:t xml:space="preserve">The </w:t>
            </w:r>
            <w:proofErr w:type="spellStart"/>
            <w:r w:rsidRPr="00024711">
              <w:rPr>
                <w:sz w:val="20"/>
                <w:lang w:val="en-CA"/>
              </w:rPr>
              <w:t>Fédération</w:t>
            </w:r>
            <w:proofErr w:type="spellEnd"/>
            <w:r w:rsidRPr="00024711">
              <w:rPr>
                <w:sz w:val="20"/>
                <w:lang w:val="en-CA"/>
              </w:rPr>
              <w:t xml:space="preserve"> des </w:t>
            </w:r>
            <w:proofErr w:type="spellStart"/>
            <w:r w:rsidRPr="00024711">
              <w:rPr>
                <w:sz w:val="20"/>
                <w:lang w:val="en-CA"/>
              </w:rPr>
              <w:t>producteurs</w:t>
            </w:r>
            <w:proofErr w:type="spellEnd"/>
            <w:r w:rsidRPr="00024711">
              <w:rPr>
                <w:sz w:val="20"/>
                <w:lang w:val="en-CA"/>
              </w:rPr>
              <w:t xml:space="preserve"> </w:t>
            </w:r>
            <w:proofErr w:type="spellStart"/>
            <w:r w:rsidRPr="00024711">
              <w:rPr>
                <w:sz w:val="20"/>
                <w:lang w:val="en-CA"/>
              </w:rPr>
              <w:t>acéricoles</w:t>
            </w:r>
            <w:proofErr w:type="spellEnd"/>
            <w:r w:rsidRPr="00024711">
              <w:rPr>
                <w:sz w:val="20"/>
                <w:lang w:val="en-CA"/>
              </w:rPr>
              <w:t xml:space="preserve"> du Québec obtained, in Quebec, an interlocutory injunction preventing the respondents, S.K. Export Inc. and its president, Étienne St-Pierre, from receiving, purchasing or dealing in maple syrup covered by its regulations. As the respondents’ sole residence and place of business is in New Brunswick, the </w:t>
            </w:r>
            <w:proofErr w:type="spellStart"/>
            <w:r w:rsidRPr="00024711">
              <w:rPr>
                <w:sz w:val="20"/>
                <w:lang w:val="en-CA"/>
              </w:rPr>
              <w:t>Fédération</w:t>
            </w:r>
            <w:proofErr w:type="spellEnd"/>
            <w:r w:rsidRPr="00024711">
              <w:rPr>
                <w:sz w:val="20"/>
                <w:lang w:val="en-CA"/>
              </w:rPr>
              <w:t xml:space="preserve"> des </w:t>
            </w:r>
            <w:proofErr w:type="spellStart"/>
            <w:r w:rsidRPr="00024711">
              <w:rPr>
                <w:sz w:val="20"/>
                <w:lang w:val="en-CA"/>
              </w:rPr>
              <w:t>producteurs</w:t>
            </w:r>
            <w:proofErr w:type="spellEnd"/>
            <w:r w:rsidRPr="00024711">
              <w:rPr>
                <w:sz w:val="20"/>
                <w:lang w:val="en-CA"/>
              </w:rPr>
              <w:t xml:space="preserve"> </w:t>
            </w:r>
            <w:proofErr w:type="spellStart"/>
            <w:r w:rsidRPr="00024711">
              <w:rPr>
                <w:sz w:val="20"/>
                <w:lang w:val="en-CA"/>
              </w:rPr>
              <w:t>acéricoles</w:t>
            </w:r>
            <w:proofErr w:type="spellEnd"/>
            <w:r w:rsidRPr="00024711">
              <w:rPr>
                <w:sz w:val="20"/>
                <w:lang w:val="en-CA"/>
              </w:rPr>
              <w:t xml:space="preserve"> du Québec tried to have this interlocutory injunction homologated in New Brunswick territory but were unsuccessful. </w:t>
            </w:r>
          </w:p>
          <w:p w:rsidR="00CA43A0" w:rsidRPr="00024711" w:rsidRDefault="00CA43A0" w:rsidP="00024711">
            <w:pPr>
              <w:jc w:val="both"/>
              <w:rPr>
                <w:sz w:val="20"/>
                <w:lang w:val="en-CA"/>
              </w:rPr>
            </w:pPr>
          </w:p>
        </w:tc>
      </w:tr>
      <w:tr w:rsidR="00CA43A0" w:rsidRPr="00024711" w:rsidTr="00CA43A0">
        <w:tc>
          <w:tcPr>
            <w:tcW w:w="2427" w:type="pct"/>
            <w:gridSpan w:val="2"/>
          </w:tcPr>
          <w:p w:rsidR="00CA43A0" w:rsidRPr="00024711" w:rsidRDefault="00CA43A0" w:rsidP="00024711">
            <w:pPr>
              <w:jc w:val="both"/>
              <w:rPr>
                <w:sz w:val="20"/>
                <w:lang w:val="en-CA"/>
              </w:rPr>
            </w:pPr>
            <w:r w:rsidRPr="00024711">
              <w:rPr>
                <w:sz w:val="20"/>
                <w:lang w:val="en-CA"/>
              </w:rPr>
              <w:t>November 6, 2014</w:t>
            </w:r>
          </w:p>
          <w:p w:rsidR="00CA43A0" w:rsidRPr="00024711" w:rsidRDefault="00CA43A0" w:rsidP="00024711">
            <w:pPr>
              <w:jc w:val="both"/>
              <w:rPr>
                <w:sz w:val="20"/>
                <w:lang w:val="en-CA"/>
              </w:rPr>
            </w:pPr>
            <w:r w:rsidRPr="00024711">
              <w:rPr>
                <w:sz w:val="20"/>
                <w:lang w:val="en-CA"/>
              </w:rPr>
              <w:t>New Brunswick Court of Queen’s Bench</w:t>
            </w:r>
          </w:p>
          <w:p w:rsidR="00CA43A0" w:rsidRPr="00024711" w:rsidRDefault="00CA43A0" w:rsidP="00024711">
            <w:pPr>
              <w:jc w:val="both"/>
              <w:rPr>
                <w:sz w:val="20"/>
                <w:lang w:val="en-CA"/>
              </w:rPr>
            </w:pPr>
            <w:r w:rsidRPr="00024711">
              <w:rPr>
                <w:sz w:val="20"/>
                <w:lang w:val="en-CA"/>
              </w:rPr>
              <w:t>(Ouellette J.)</w:t>
            </w:r>
          </w:p>
          <w:p w:rsidR="00CA43A0" w:rsidRPr="00024711" w:rsidRDefault="00CA43A0" w:rsidP="00024711">
            <w:pPr>
              <w:jc w:val="both"/>
              <w:rPr>
                <w:sz w:val="20"/>
                <w:lang w:val="en-CA"/>
              </w:rPr>
            </w:pPr>
            <w:hyperlink r:id="rId27" w:history="1">
              <w:r w:rsidRPr="00024711">
                <w:rPr>
                  <w:rStyle w:val="Hyperlink"/>
                  <w:sz w:val="20"/>
                  <w:lang w:val="en-CA"/>
                </w:rPr>
                <w:t>2014 NBQB 243</w:t>
              </w:r>
            </w:hyperlink>
          </w:p>
          <w:p w:rsidR="00CA43A0" w:rsidRPr="00024711" w:rsidRDefault="00CA43A0" w:rsidP="00024711">
            <w:pPr>
              <w:jc w:val="both"/>
              <w:rPr>
                <w:sz w:val="20"/>
                <w:lang w:val="en-CA"/>
              </w:rPr>
            </w:pPr>
          </w:p>
        </w:tc>
        <w:tc>
          <w:tcPr>
            <w:tcW w:w="243" w:type="pct"/>
          </w:tcPr>
          <w:p w:rsidR="00CA43A0" w:rsidRPr="00024711" w:rsidRDefault="00CA43A0" w:rsidP="00024711">
            <w:pPr>
              <w:jc w:val="both"/>
              <w:rPr>
                <w:sz w:val="20"/>
                <w:lang w:val="en-CA"/>
              </w:rPr>
            </w:pPr>
          </w:p>
        </w:tc>
        <w:tc>
          <w:tcPr>
            <w:tcW w:w="2330" w:type="pct"/>
          </w:tcPr>
          <w:p w:rsidR="00CA43A0" w:rsidRPr="00024711" w:rsidRDefault="00CA43A0" w:rsidP="00024711">
            <w:pPr>
              <w:jc w:val="both"/>
              <w:rPr>
                <w:sz w:val="20"/>
                <w:lang w:val="en-CA"/>
              </w:rPr>
            </w:pPr>
            <w:r w:rsidRPr="00024711">
              <w:rPr>
                <w:sz w:val="20"/>
                <w:lang w:val="en-CA"/>
              </w:rPr>
              <w:t xml:space="preserve">Motion by </w:t>
            </w:r>
            <w:proofErr w:type="spellStart"/>
            <w:r w:rsidRPr="00024711">
              <w:rPr>
                <w:sz w:val="20"/>
                <w:lang w:val="en-CA"/>
              </w:rPr>
              <w:t>Fédération</w:t>
            </w:r>
            <w:proofErr w:type="spellEnd"/>
            <w:r w:rsidRPr="00024711">
              <w:rPr>
                <w:sz w:val="20"/>
                <w:lang w:val="en-CA"/>
              </w:rPr>
              <w:t xml:space="preserve"> des </w:t>
            </w:r>
            <w:proofErr w:type="spellStart"/>
            <w:r w:rsidRPr="00024711">
              <w:rPr>
                <w:sz w:val="20"/>
                <w:lang w:val="en-CA"/>
              </w:rPr>
              <w:t>producteurs</w:t>
            </w:r>
            <w:proofErr w:type="spellEnd"/>
            <w:r w:rsidRPr="00024711">
              <w:rPr>
                <w:sz w:val="20"/>
                <w:lang w:val="en-CA"/>
              </w:rPr>
              <w:t xml:space="preserve"> </w:t>
            </w:r>
            <w:proofErr w:type="spellStart"/>
            <w:r w:rsidRPr="00024711">
              <w:rPr>
                <w:sz w:val="20"/>
                <w:lang w:val="en-CA"/>
              </w:rPr>
              <w:t>acéricoles</w:t>
            </w:r>
            <w:proofErr w:type="spellEnd"/>
            <w:r w:rsidRPr="00024711">
              <w:rPr>
                <w:sz w:val="20"/>
                <w:lang w:val="en-CA"/>
              </w:rPr>
              <w:t xml:space="preserve"> du Québec for recognition and enforcement of decision of Quebec Superior Court dismissed </w:t>
            </w:r>
          </w:p>
        </w:tc>
      </w:tr>
      <w:tr w:rsidR="00CA43A0" w:rsidRPr="00024711" w:rsidTr="00CA43A0">
        <w:tc>
          <w:tcPr>
            <w:tcW w:w="2427" w:type="pct"/>
            <w:gridSpan w:val="2"/>
          </w:tcPr>
          <w:p w:rsidR="00CA43A0" w:rsidRPr="00024711" w:rsidRDefault="00CA43A0" w:rsidP="00024711">
            <w:pPr>
              <w:jc w:val="both"/>
              <w:rPr>
                <w:sz w:val="20"/>
                <w:lang w:val="en-CA"/>
              </w:rPr>
            </w:pPr>
            <w:r w:rsidRPr="00024711">
              <w:rPr>
                <w:sz w:val="20"/>
                <w:lang w:val="en-CA"/>
              </w:rPr>
              <w:t>May 21, 2015</w:t>
            </w:r>
          </w:p>
          <w:p w:rsidR="00CA43A0" w:rsidRPr="00024711" w:rsidRDefault="00CA43A0" w:rsidP="00024711">
            <w:pPr>
              <w:jc w:val="both"/>
              <w:rPr>
                <w:sz w:val="20"/>
                <w:lang w:val="en-CA"/>
              </w:rPr>
            </w:pPr>
            <w:r w:rsidRPr="00024711">
              <w:rPr>
                <w:sz w:val="20"/>
                <w:lang w:val="en-CA"/>
              </w:rPr>
              <w:t>New Brunswick Court of Appeal</w:t>
            </w:r>
          </w:p>
          <w:p w:rsidR="00CA43A0" w:rsidRPr="00024711" w:rsidRDefault="00CA43A0" w:rsidP="00024711">
            <w:pPr>
              <w:jc w:val="both"/>
              <w:rPr>
                <w:sz w:val="20"/>
                <w:lang w:val="en-CA"/>
              </w:rPr>
            </w:pPr>
            <w:r w:rsidRPr="00024711">
              <w:rPr>
                <w:sz w:val="20"/>
                <w:lang w:val="en-CA"/>
              </w:rPr>
              <w:t>(</w:t>
            </w:r>
            <w:proofErr w:type="spellStart"/>
            <w:r w:rsidRPr="00024711">
              <w:rPr>
                <w:sz w:val="20"/>
                <w:lang w:val="en-CA"/>
              </w:rPr>
              <w:t>Larlee</w:t>
            </w:r>
            <w:proofErr w:type="spellEnd"/>
            <w:r w:rsidRPr="00024711">
              <w:rPr>
                <w:sz w:val="20"/>
                <w:lang w:val="en-CA"/>
              </w:rPr>
              <w:t xml:space="preserve">, </w:t>
            </w:r>
            <w:proofErr w:type="spellStart"/>
            <w:r w:rsidRPr="00024711">
              <w:rPr>
                <w:sz w:val="20"/>
                <w:lang w:val="en-CA"/>
              </w:rPr>
              <w:t>Deschênes</w:t>
            </w:r>
            <w:proofErr w:type="spellEnd"/>
            <w:r w:rsidRPr="00024711">
              <w:rPr>
                <w:sz w:val="20"/>
                <w:lang w:val="en-CA"/>
              </w:rPr>
              <w:t xml:space="preserve"> and Richard JJ.A.)</w:t>
            </w:r>
          </w:p>
          <w:p w:rsidR="00CA43A0" w:rsidRPr="00024711" w:rsidRDefault="00CA43A0" w:rsidP="00024711">
            <w:pPr>
              <w:jc w:val="both"/>
              <w:rPr>
                <w:sz w:val="20"/>
                <w:lang w:val="en-CA"/>
              </w:rPr>
            </w:pPr>
            <w:hyperlink r:id="rId28" w:history="1">
              <w:r w:rsidRPr="00024711">
                <w:rPr>
                  <w:rStyle w:val="Hyperlink"/>
                  <w:sz w:val="20"/>
                  <w:lang w:val="en-CA"/>
                </w:rPr>
                <w:t>2015 NBCA 30</w:t>
              </w:r>
            </w:hyperlink>
          </w:p>
          <w:p w:rsidR="00CA43A0" w:rsidRPr="00024711" w:rsidRDefault="00CA43A0" w:rsidP="00024711">
            <w:pPr>
              <w:jc w:val="both"/>
              <w:rPr>
                <w:sz w:val="20"/>
                <w:lang w:val="en-CA"/>
              </w:rPr>
            </w:pPr>
          </w:p>
        </w:tc>
        <w:tc>
          <w:tcPr>
            <w:tcW w:w="243" w:type="pct"/>
          </w:tcPr>
          <w:p w:rsidR="00CA43A0" w:rsidRPr="00024711" w:rsidRDefault="00CA43A0" w:rsidP="00024711">
            <w:pPr>
              <w:jc w:val="both"/>
              <w:rPr>
                <w:sz w:val="20"/>
                <w:lang w:val="en-CA"/>
              </w:rPr>
            </w:pPr>
          </w:p>
        </w:tc>
        <w:tc>
          <w:tcPr>
            <w:tcW w:w="2330" w:type="pct"/>
          </w:tcPr>
          <w:p w:rsidR="00CA43A0" w:rsidRPr="00024711" w:rsidRDefault="00CA43A0" w:rsidP="00024711">
            <w:pPr>
              <w:jc w:val="both"/>
              <w:rPr>
                <w:sz w:val="20"/>
                <w:lang w:val="en-CA"/>
              </w:rPr>
            </w:pPr>
            <w:r w:rsidRPr="00024711">
              <w:rPr>
                <w:sz w:val="20"/>
                <w:lang w:val="en-CA"/>
              </w:rPr>
              <w:t>Appeal dismissed</w:t>
            </w:r>
          </w:p>
          <w:p w:rsidR="00CA43A0" w:rsidRPr="00024711" w:rsidRDefault="00CA43A0" w:rsidP="00024711">
            <w:pPr>
              <w:jc w:val="both"/>
              <w:rPr>
                <w:sz w:val="20"/>
                <w:lang w:val="en-CA"/>
              </w:rPr>
            </w:pPr>
          </w:p>
        </w:tc>
      </w:tr>
      <w:tr w:rsidR="00CA43A0" w:rsidRPr="00024711" w:rsidTr="00CA43A0">
        <w:tc>
          <w:tcPr>
            <w:tcW w:w="2427" w:type="pct"/>
            <w:gridSpan w:val="2"/>
          </w:tcPr>
          <w:p w:rsidR="00CA43A0" w:rsidRPr="00024711" w:rsidRDefault="00CA43A0" w:rsidP="00024711">
            <w:pPr>
              <w:jc w:val="both"/>
              <w:rPr>
                <w:sz w:val="20"/>
                <w:lang w:val="en-CA"/>
              </w:rPr>
            </w:pPr>
            <w:r w:rsidRPr="00024711">
              <w:rPr>
                <w:sz w:val="20"/>
                <w:lang w:val="en-CA"/>
              </w:rPr>
              <w:t>August 11, 2015</w:t>
            </w:r>
          </w:p>
          <w:p w:rsidR="00CA43A0" w:rsidRPr="00024711" w:rsidRDefault="00CA43A0" w:rsidP="00024711">
            <w:pPr>
              <w:jc w:val="both"/>
              <w:rPr>
                <w:sz w:val="20"/>
                <w:lang w:val="en-CA"/>
              </w:rPr>
            </w:pPr>
            <w:r w:rsidRPr="00024711">
              <w:rPr>
                <w:sz w:val="20"/>
                <w:lang w:val="en-CA"/>
              </w:rPr>
              <w:lastRenderedPageBreak/>
              <w:t>Supreme Court of Canada</w:t>
            </w:r>
          </w:p>
          <w:p w:rsidR="00CA43A0" w:rsidRPr="00024711" w:rsidRDefault="00CA43A0" w:rsidP="00024711">
            <w:pPr>
              <w:jc w:val="both"/>
              <w:rPr>
                <w:sz w:val="20"/>
                <w:lang w:val="en-CA"/>
              </w:rPr>
            </w:pPr>
          </w:p>
        </w:tc>
        <w:tc>
          <w:tcPr>
            <w:tcW w:w="243" w:type="pct"/>
          </w:tcPr>
          <w:p w:rsidR="00CA43A0" w:rsidRPr="00024711" w:rsidRDefault="00CA43A0" w:rsidP="00024711">
            <w:pPr>
              <w:jc w:val="both"/>
              <w:rPr>
                <w:sz w:val="20"/>
                <w:lang w:val="en-CA"/>
              </w:rPr>
            </w:pPr>
          </w:p>
        </w:tc>
        <w:tc>
          <w:tcPr>
            <w:tcW w:w="2330" w:type="pct"/>
          </w:tcPr>
          <w:p w:rsidR="00CA43A0" w:rsidRPr="00024711" w:rsidRDefault="00CA43A0" w:rsidP="00024711">
            <w:pPr>
              <w:jc w:val="both"/>
              <w:rPr>
                <w:sz w:val="20"/>
                <w:lang w:val="en-CA"/>
              </w:rPr>
            </w:pPr>
            <w:r w:rsidRPr="00024711">
              <w:rPr>
                <w:sz w:val="20"/>
                <w:lang w:val="en-CA"/>
              </w:rPr>
              <w:t>Application for leave to appeal filed</w:t>
            </w:r>
          </w:p>
        </w:tc>
      </w:tr>
    </w:tbl>
    <w:p w:rsidR="00CA43A0" w:rsidRPr="00024711" w:rsidRDefault="00CA43A0" w:rsidP="0002471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rPr>
            </w:pPr>
            <w:r w:rsidRPr="00024711">
              <w:rPr>
                <w:rStyle w:val="SCCFileNumberChar"/>
                <w:sz w:val="20"/>
                <w:szCs w:val="20"/>
              </w:rPr>
              <w:t>36551</w:t>
            </w:r>
          </w:p>
        </w:tc>
        <w:tc>
          <w:tcPr>
            <w:tcW w:w="4457" w:type="pct"/>
            <w:gridSpan w:val="3"/>
          </w:tcPr>
          <w:p w:rsidR="00CA43A0" w:rsidRPr="00024711" w:rsidRDefault="00CA43A0" w:rsidP="00024711">
            <w:pPr>
              <w:pStyle w:val="SCCLsocParty"/>
              <w:jc w:val="both"/>
              <w:rPr>
                <w:b/>
                <w:sz w:val="20"/>
                <w:szCs w:val="20"/>
              </w:rPr>
            </w:pPr>
            <w:r w:rsidRPr="00024711">
              <w:rPr>
                <w:b/>
                <w:sz w:val="20"/>
                <w:szCs w:val="20"/>
              </w:rPr>
              <w:t>Fédération des producteurs acéricoles du Québec c. S.K. Export Inc., Étienne St-Pierre</w:t>
            </w:r>
          </w:p>
          <w:p w:rsidR="00CA43A0" w:rsidRPr="00024711" w:rsidRDefault="00CA43A0" w:rsidP="00024711">
            <w:pPr>
              <w:jc w:val="both"/>
              <w:rPr>
                <w:sz w:val="20"/>
              </w:rPr>
            </w:pPr>
            <w:r w:rsidRPr="00024711">
              <w:rPr>
                <w:sz w:val="20"/>
              </w:rPr>
              <w:t>(N.-B.) (Civile) (Autorisation)</w:t>
            </w: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Droit international privé – Reconnaissance d’un jugement – Homologation d’une injonction interlocutoire du Québec au Nouveau-Brunswick – Achat au Nouveau-Brunswick de sirop d’érable soumis à la réglementation de la Fédération des producteurs acéricoles du Québec – Extraterritorialité des pouvoirs de la Fédération des producteurs acéricoles du Québec – Les tribunaux inférieurs ont-ils errés en refusant d’exercer leur pouvoir discrétionnaire afin d’homologuer l’injonction interlocutoire en vigueur au Québec?</w:t>
            </w:r>
          </w:p>
        </w:tc>
      </w:tr>
      <w:tr w:rsidR="00CA43A0" w:rsidRPr="00024711" w:rsidTr="00CA43A0">
        <w:tc>
          <w:tcPr>
            <w:tcW w:w="5000" w:type="pct"/>
            <w:gridSpan w:val="4"/>
          </w:tcPr>
          <w:p w:rsidR="00CA43A0" w:rsidRPr="00024711" w:rsidRDefault="00CA43A0" w:rsidP="00024711">
            <w:pPr>
              <w:jc w:val="both"/>
              <w:rPr>
                <w:sz w:val="20"/>
                <w:lang w:val="fr-CA"/>
              </w:rPr>
            </w:pP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 xml:space="preserve">La Fédération des producteurs acéricoles du Québec a obtenu, au Québec, une injonction interlocutoire empêchant les intimés S.K. Export Inc. et son président M. Étienne St-Pierre de recevoir, d’acheter ou de transiger du sirop d’érable visé par sa réglementation. Comme les intimés ont leur unique domicile et place d’affaire au Nouveau-Brunswick, la Fédération des producteurs acéricoles du Québec tente de faire homologuer cette injonction interlocutoire sur le territoire Nouveau-Brunswickois, en vain. </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Le 6 novembre 2014</w:t>
            </w:r>
          </w:p>
          <w:p w:rsidR="00CA43A0" w:rsidRPr="00024711" w:rsidRDefault="00CA43A0" w:rsidP="00024711">
            <w:pPr>
              <w:jc w:val="both"/>
              <w:rPr>
                <w:sz w:val="20"/>
                <w:lang w:val="fr-CA"/>
              </w:rPr>
            </w:pPr>
            <w:r w:rsidRPr="00024711">
              <w:rPr>
                <w:sz w:val="20"/>
                <w:lang w:val="fr-CA"/>
              </w:rPr>
              <w:t>Cour du Banc de la Reine du Nouveau-Brunswick</w:t>
            </w:r>
          </w:p>
          <w:p w:rsidR="00CA43A0" w:rsidRPr="00024711" w:rsidRDefault="00CA43A0" w:rsidP="00024711">
            <w:pPr>
              <w:jc w:val="both"/>
              <w:rPr>
                <w:sz w:val="20"/>
              </w:rPr>
            </w:pPr>
            <w:r w:rsidRPr="00024711">
              <w:rPr>
                <w:sz w:val="20"/>
              </w:rPr>
              <w:t xml:space="preserve">(Le </w:t>
            </w:r>
            <w:proofErr w:type="spellStart"/>
            <w:r w:rsidRPr="00024711">
              <w:rPr>
                <w:sz w:val="20"/>
              </w:rPr>
              <w:t>juge</w:t>
            </w:r>
            <w:proofErr w:type="spellEnd"/>
            <w:r w:rsidRPr="00024711">
              <w:rPr>
                <w:sz w:val="20"/>
              </w:rPr>
              <w:t xml:space="preserve"> Ouellette)</w:t>
            </w:r>
          </w:p>
          <w:p w:rsidR="00CA43A0" w:rsidRPr="00024711" w:rsidRDefault="00CA43A0" w:rsidP="00024711">
            <w:pPr>
              <w:jc w:val="both"/>
              <w:rPr>
                <w:sz w:val="20"/>
              </w:rPr>
            </w:pPr>
            <w:hyperlink r:id="rId29" w:history="1">
              <w:r w:rsidRPr="00024711">
                <w:rPr>
                  <w:rStyle w:val="Hyperlink"/>
                  <w:sz w:val="20"/>
                </w:rPr>
                <w:t>2014 NBBR 243</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lang w:val="fr-CA"/>
              </w:rPr>
            </w:pPr>
            <w:r w:rsidRPr="00024711">
              <w:rPr>
                <w:sz w:val="20"/>
                <w:lang w:val="fr-CA"/>
              </w:rPr>
              <w:t>Rejet de la requête de la Fédération des producteurs acéricoles du Québec visant la reconnaissance et l’exécution de la décision de la Cour supérieure du Québec</w:t>
            </w: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Le 21 mai 2015</w:t>
            </w:r>
          </w:p>
          <w:p w:rsidR="00CA43A0" w:rsidRPr="00024711" w:rsidRDefault="00CA43A0" w:rsidP="00024711">
            <w:pPr>
              <w:jc w:val="both"/>
              <w:rPr>
                <w:sz w:val="20"/>
                <w:lang w:val="fr-CA"/>
              </w:rPr>
            </w:pPr>
            <w:r w:rsidRPr="00024711">
              <w:rPr>
                <w:sz w:val="20"/>
                <w:lang w:val="fr-CA"/>
              </w:rPr>
              <w:t>Cour d’appel du Nouveau-Brunswick</w:t>
            </w:r>
          </w:p>
          <w:p w:rsidR="00CA43A0" w:rsidRPr="00024711" w:rsidRDefault="00CA43A0" w:rsidP="00024711">
            <w:pPr>
              <w:jc w:val="both"/>
              <w:rPr>
                <w:sz w:val="20"/>
                <w:lang w:val="fr-CA"/>
              </w:rPr>
            </w:pPr>
            <w:r w:rsidRPr="00024711">
              <w:rPr>
                <w:sz w:val="20"/>
                <w:lang w:val="fr-CA"/>
              </w:rPr>
              <w:t xml:space="preserve">(Les juges </w:t>
            </w:r>
            <w:proofErr w:type="spellStart"/>
            <w:r w:rsidRPr="00024711">
              <w:rPr>
                <w:sz w:val="20"/>
                <w:lang w:val="fr-CA"/>
              </w:rPr>
              <w:t>Larlee</w:t>
            </w:r>
            <w:proofErr w:type="spellEnd"/>
            <w:r w:rsidRPr="00024711">
              <w:rPr>
                <w:sz w:val="20"/>
                <w:lang w:val="fr-CA"/>
              </w:rPr>
              <w:t xml:space="preserve">, </w:t>
            </w:r>
            <w:proofErr w:type="spellStart"/>
            <w:r w:rsidRPr="00024711">
              <w:rPr>
                <w:sz w:val="20"/>
                <w:lang w:val="fr-CA"/>
              </w:rPr>
              <w:t>Deschênes</w:t>
            </w:r>
            <w:proofErr w:type="spellEnd"/>
            <w:r w:rsidRPr="00024711">
              <w:rPr>
                <w:sz w:val="20"/>
                <w:lang w:val="fr-CA"/>
              </w:rPr>
              <w:t xml:space="preserve"> et Richard)</w:t>
            </w:r>
          </w:p>
          <w:p w:rsidR="00CA43A0" w:rsidRPr="00024711" w:rsidRDefault="00CA43A0" w:rsidP="00024711">
            <w:pPr>
              <w:jc w:val="both"/>
              <w:rPr>
                <w:sz w:val="20"/>
              </w:rPr>
            </w:pPr>
            <w:hyperlink r:id="rId30" w:history="1">
              <w:r w:rsidRPr="00024711">
                <w:rPr>
                  <w:rStyle w:val="Hyperlink"/>
                  <w:sz w:val="20"/>
                </w:rPr>
                <w:t>2015 NBCA 30</w:t>
              </w:r>
            </w:hyperlink>
          </w:p>
          <w:p w:rsidR="00CA43A0" w:rsidRPr="00024711" w:rsidRDefault="00CA43A0" w:rsidP="00024711">
            <w:pPr>
              <w:jc w:val="both"/>
              <w:rPr>
                <w:sz w:val="20"/>
                <w:lang w:val="fr-FR"/>
              </w:rPr>
            </w:pPr>
          </w:p>
        </w:tc>
        <w:tc>
          <w:tcPr>
            <w:tcW w:w="243" w:type="pct"/>
          </w:tcPr>
          <w:p w:rsidR="00CA43A0" w:rsidRPr="00024711" w:rsidRDefault="00CA43A0" w:rsidP="00024711">
            <w:pPr>
              <w:jc w:val="both"/>
              <w:rPr>
                <w:sz w:val="20"/>
                <w:lang w:val="fr-FR"/>
              </w:rPr>
            </w:pPr>
          </w:p>
        </w:tc>
        <w:tc>
          <w:tcPr>
            <w:tcW w:w="2330" w:type="pct"/>
          </w:tcPr>
          <w:p w:rsidR="00CA43A0" w:rsidRPr="00024711" w:rsidRDefault="00CA43A0" w:rsidP="00024711">
            <w:pPr>
              <w:jc w:val="both"/>
              <w:rPr>
                <w:sz w:val="20"/>
              </w:rPr>
            </w:pPr>
            <w:r w:rsidRPr="00024711">
              <w:rPr>
                <w:sz w:val="20"/>
              </w:rPr>
              <w:t>Rejet de l’appel</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Le 11 août 2015</w:t>
            </w:r>
          </w:p>
          <w:p w:rsidR="00CA43A0" w:rsidRPr="00024711" w:rsidRDefault="00CA43A0" w:rsidP="00024711">
            <w:pPr>
              <w:jc w:val="both"/>
              <w:rPr>
                <w:sz w:val="20"/>
                <w:lang w:val="fr-CA"/>
              </w:rPr>
            </w:pPr>
            <w:r w:rsidRPr="00024711">
              <w:rPr>
                <w:sz w:val="20"/>
                <w:lang w:val="fr-CA"/>
              </w:rPr>
              <w:t>Cour suprême du Canada</w:t>
            </w:r>
          </w:p>
          <w:p w:rsidR="00CA43A0" w:rsidRPr="00024711" w:rsidRDefault="00CA43A0" w:rsidP="00024711">
            <w:pPr>
              <w:jc w:val="both"/>
              <w:rPr>
                <w:sz w:val="20"/>
                <w:lang w:val="fr-FR"/>
              </w:rPr>
            </w:pPr>
          </w:p>
        </w:tc>
        <w:tc>
          <w:tcPr>
            <w:tcW w:w="243" w:type="pct"/>
          </w:tcPr>
          <w:p w:rsidR="00CA43A0" w:rsidRPr="00024711" w:rsidRDefault="00CA43A0" w:rsidP="00024711">
            <w:pPr>
              <w:jc w:val="both"/>
              <w:rPr>
                <w:sz w:val="20"/>
                <w:lang w:val="fr-FR"/>
              </w:rPr>
            </w:pPr>
          </w:p>
        </w:tc>
        <w:tc>
          <w:tcPr>
            <w:tcW w:w="2330" w:type="pct"/>
          </w:tcPr>
          <w:p w:rsidR="00CA43A0" w:rsidRPr="00024711" w:rsidRDefault="00CA43A0" w:rsidP="00024711">
            <w:pPr>
              <w:jc w:val="both"/>
              <w:rPr>
                <w:sz w:val="20"/>
              </w:rPr>
            </w:pPr>
            <w:r w:rsidRPr="00024711">
              <w:rPr>
                <w:sz w:val="20"/>
              </w:rPr>
              <w:t>Demande d'autorisation d'appel déposée</w:t>
            </w:r>
          </w:p>
        </w:tc>
      </w:tr>
    </w:tbl>
    <w:p w:rsidR="00CA43A0" w:rsidRPr="00024711" w:rsidRDefault="00CA43A0" w:rsidP="000247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rPr>
            </w:pPr>
            <w:r w:rsidRPr="00024711">
              <w:rPr>
                <w:rStyle w:val="SCCFileNumberChar"/>
                <w:sz w:val="20"/>
                <w:szCs w:val="20"/>
              </w:rPr>
              <w:t>36550</w:t>
            </w:r>
          </w:p>
        </w:tc>
        <w:tc>
          <w:tcPr>
            <w:tcW w:w="4457" w:type="pct"/>
            <w:gridSpan w:val="3"/>
          </w:tcPr>
          <w:p w:rsidR="00CA43A0" w:rsidRPr="00024711" w:rsidRDefault="00CA43A0" w:rsidP="00024711">
            <w:pPr>
              <w:pStyle w:val="SCCLsocParty"/>
              <w:jc w:val="both"/>
              <w:rPr>
                <w:b/>
                <w:sz w:val="20"/>
                <w:szCs w:val="20"/>
                <w:lang w:val="en-US"/>
              </w:rPr>
            </w:pPr>
            <w:r w:rsidRPr="00024711">
              <w:rPr>
                <w:b/>
                <w:sz w:val="20"/>
                <w:szCs w:val="20"/>
                <w:lang w:val="en-US"/>
              </w:rPr>
              <w:t>Marlon Richards v. Her Majesty the Queen</w:t>
            </w:r>
          </w:p>
          <w:p w:rsidR="00CA43A0" w:rsidRPr="00024711" w:rsidRDefault="00CA43A0" w:rsidP="00024711">
            <w:pPr>
              <w:jc w:val="both"/>
              <w:rPr>
                <w:sz w:val="20"/>
              </w:rPr>
            </w:pPr>
            <w:r w:rsidRPr="00024711">
              <w:rPr>
                <w:sz w:val="20"/>
              </w:rPr>
              <w:t>(Ont.) (Criminal) (By Leave)</w:t>
            </w:r>
          </w:p>
        </w:tc>
      </w:tr>
      <w:tr w:rsidR="00CA43A0" w:rsidRPr="00024711" w:rsidTr="00CA43A0">
        <w:tc>
          <w:tcPr>
            <w:tcW w:w="5000" w:type="pct"/>
            <w:gridSpan w:val="4"/>
          </w:tcPr>
          <w:p w:rsidR="00CA43A0" w:rsidRPr="00024711" w:rsidRDefault="00CA43A0" w:rsidP="00024711">
            <w:pPr>
              <w:jc w:val="both"/>
              <w:rPr>
                <w:sz w:val="20"/>
              </w:rPr>
            </w:pPr>
            <w:r w:rsidRPr="00024711">
              <w:rPr>
                <w:i/>
                <w:sz w:val="20"/>
              </w:rPr>
              <w:t>Charter of Rights</w:t>
            </w:r>
            <w:r w:rsidRPr="00024711">
              <w:rPr>
                <w:sz w:val="20"/>
              </w:rPr>
              <w:t xml:space="preserve"> – Section 10 of the </w:t>
            </w:r>
            <w:r w:rsidRPr="00024711">
              <w:rPr>
                <w:i/>
                <w:sz w:val="20"/>
              </w:rPr>
              <w:t>Charter</w:t>
            </w:r>
            <w:r w:rsidRPr="00024711">
              <w:rPr>
                <w:sz w:val="20"/>
              </w:rPr>
              <w:t xml:space="preserve"> – Police – Powers – Does the common-law power to search incident to arrest extend to pre-arrest searches – If so, what circumstances must exist in order to trigger this search power – If so, how are the s. 10 </w:t>
            </w:r>
            <w:r w:rsidRPr="00024711">
              <w:rPr>
                <w:i/>
                <w:sz w:val="20"/>
              </w:rPr>
              <w:t>Charter</w:t>
            </w:r>
            <w:r w:rsidRPr="00024711">
              <w:rPr>
                <w:sz w:val="20"/>
              </w:rPr>
              <w:t xml:space="preserve"> rights and obligations, which are triggered upon detention, impacted – What, if anything, must the detainee be told about the reason and object of the pre-arrest evidence search – Section 10 of the </w:t>
            </w:r>
            <w:r w:rsidRPr="00024711">
              <w:rPr>
                <w:i/>
                <w:sz w:val="20"/>
              </w:rPr>
              <w:t>Charter</w:t>
            </w:r>
            <w:r w:rsidRPr="00024711">
              <w:rPr>
                <w:sz w:val="20"/>
              </w:rPr>
              <w:t>.</w:t>
            </w:r>
          </w:p>
        </w:tc>
      </w:tr>
      <w:tr w:rsidR="00CA43A0" w:rsidRPr="00024711" w:rsidTr="00CA43A0">
        <w:tc>
          <w:tcPr>
            <w:tcW w:w="5000" w:type="pct"/>
            <w:gridSpan w:val="4"/>
          </w:tcPr>
          <w:p w:rsidR="00CA43A0" w:rsidRPr="00024711" w:rsidRDefault="00CA43A0" w:rsidP="00024711">
            <w:pPr>
              <w:jc w:val="both"/>
              <w:rPr>
                <w:sz w:val="20"/>
              </w:rPr>
            </w:pPr>
          </w:p>
        </w:tc>
      </w:tr>
      <w:tr w:rsidR="00CA43A0" w:rsidRPr="00024711" w:rsidTr="00CA43A0">
        <w:tc>
          <w:tcPr>
            <w:tcW w:w="5000" w:type="pct"/>
            <w:gridSpan w:val="4"/>
          </w:tcPr>
          <w:p w:rsidR="00CA43A0" w:rsidRPr="00024711" w:rsidRDefault="00CA43A0" w:rsidP="00024711">
            <w:pPr>
              <w:jc w:val="both"/>
              <w:rPr>
                <w:sz w:val="20"/>
              </w:rPr>
            </w:pPr>
            <w:r w:rsidRPr="00024711">
              <w:rPr>
                <w:sz w:val="20"/>
              </w:rPr>
              <w:t xml:space="preserve">A known, reliable confidential informant (the “CI”) told an Ontario Provincial Police (OPP) officer that the applicant would, at a specific time and place, have a quantity of crack cocaine in his possession. The OPP officer was able to corroborate the details of the information provided by the CI. The OPP officer believed that there were reasonable and probable grounds to arrest the applicant for possession of a controlled substance. The OPP officer contacted another police service and requested that they pull over the applicant’s taxi and arrest him for possession of a controlled substance. Acting on this instruction, the applicant’s taxi was pulled over. The officer saw a bulky item in the applicant’s jacket pocket and then the applicant pulled out three cell phones and was placed under arrest for breaching a condition of his recognizance (to not possess a cellular phone). The applicant was taken to the police station. So was the backpack that the applicant had been using as a pillow in the backseat of the taxi. A police officer searched the backpack and found 28.5 grams of crack cocaine. The trial judge conducted a </w:t>
            </w:r>
            <w:proofErr w:type="spellStart"/>
            <w:r w:rsidRPr="00024711">
              <w:rPr>
                <w:i/>
                <w:sz w:val="20"/>
              </w:rPr>
              <w:t>voir</w:t>
            </w:r>
            <w:proofErr w:type="spellEnd"/>
            <w:r w:rsidRPr="00024711">
              <w:rPr>
                <w:i/>
                <w:sz w:val="20"/>
              </w:rPr>
              <w:t xml:space="preserve"> dire</w:t>
            </w:r>
            <w:r w:rsidRPr="00024711">
              <w:rPr>
                <w:sz w:val="20"/>
              </w:rPr>
              <w:t xml:space="preserve"> and ruled that the applicant’s rights under ss. 7, 8 and 9 of the </w:t>
            </w:r>
            <w:r w:rsidRPr="00024711">
              <w:rPr>
                <w:i/>
                <w:sz w:val="20"/>
              </w:rPr>
              <w:t>Charter</w:t>
            </w:r>
            <w:r w:rsidRPr="00024711">
              <w:rPr>
                <w:sz w:val="20"/>
              </w:rPr>
              <w:t xml:space="preserve"> were not infringed. The evidence was admissible pursuant to s. 24(2) of the </w:t>
            </w:r>
            <w:r w:rsidRPr="00024711">
              <w:rPr>
                <w:i/>
                <w:sz w:val="20"/>
              </w:rPr>
              <w:t>Charter</w:t>
            </w:r>
            <w:r w:rsidRPr="00024711">
              <w:rPr>
                <w:sz w:val="20"/>
              </w:rPr>
              <w:t>. The applicant was convicted of possession of cocaine for the purpose of trafficking and two breaches of recognizance. The applicant’s conviction appeal was dismissed.</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lastRenderedPageBreak/>
              <w:t>March 21, 2013</w:t>
            </w:r>
          </w:p>
          <w:p w:rsidR="00CA43A0" w:rsidRPr="00024711" w:rsidRDefault="00CA43A0" w:rsidP="00024711">
            <w:pPr>
              <w:jc w:val="both"/>
              <w:rPr>
                <w:sz w:val="20"/>
              </w:rPr>
            </w:pPr>
            <w:r w:rsidRPr="00024711">
              <w:rPr>
                <w:sz w:val="20"/>
              </w:rPr>
              <w:t>Ontario Superior Court of Justice</w:t>
            </w:r>
          </w:p>
          <w:p w:rsidR="00CA43A0" w:rsidRPr="00024711" w:rsidRDefault="00CA43A0" w:rsidP="00024711">
            <w:pPr>
              <w:jc w:val="both"/>
              <w:rPr>
                <w:sz w:val="20"/>
              </w:rPr>
            </w:pPr>
            <w:r w:rsidRPr="00024711">
              <w:rPr>
                <w:sz w:val="20"/>
              </w:rPr>
              <w:t>(Gates J.)</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proofErr w:type="spellStart"/>
            <w:r w:rsidRPr="00024711">
              <w:rPr>
                <w:i/>
                <w:sz w:val="20"/>
              </w:rPr>
              <w:t>Voir</w:t>
            </w:r>
            <w:proofErr w:type="spellEnd"/>
            <w:r w:rsidRPr="00024711">
              <w:rPr>
                <w:i/>
                <w:sz w:val="20"/>
              </w:rPr>
              <w:t xml:space="preserve"> dire</w:t>
            </w:r>
            <w:r w:rsidRPr="00024711">
              <w:rPr>
                <w:sz w:val="20"/>
              </w:rPr>
              <w:t xml:space="preserve"> ruling: applicant’s rights under ss. 7, 8 and 9 of the </w:t>
            </w:r>
            <w:r w:rsidRPr="00024711">
              <w:rPr>
                <w:i/>
                <w:sz w:val="20"/>
              </w:rPr>
              <w:t>Charter</w:t>
            </w:r>
            <w:r w:rsidRPr="00024711">
              <w:rPr>
                <w:sz w:val="20"/>
              </w:rPr>
              <w:t xml:space="preserve"> not infringed</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May 15, 2015</w:t>
            </w:r>
          </w:p>
          <w:p w:rsidR="00CA43A0" w:rsidRPr="00024711" w:rsidRDefault="00CA43A0" w:rsidP="00024711">
            <w:pPr>
              <w:jc w:val="both"/>
              <w:rPr>
                <w:sz w:val="20"/>
              </w:rPr>
            </w:pPr>
            <w:r w:rsidRPr="00024711">
              <w:rPr>
                <w:sz w:val="20"/>
              </w:rPr>
              <w:t>Court of Appeal for Ontario</w:t>
            </w:r>
          </w:p>
          <w:p w:rsidR="00CA43A0" w:rsidRPr="00024711" w:rsidRDefault="00CA43A0" w:rsidP="00024711">
            <w:pPr>
              <w:jc w:val="both"/>
              <w:rPr>
                <w:sz w:val="20"/>
                <w:lang w:val="de-DE"/>
              </w:rPr>
            </w:pPr>
            <w:r w:rsidRPr="00024711">
              <w:rPr>
                <w:sz w:val="20"/>
              </w:rPr>
              <w:t>(</w:t>
            </w:r>
            <w:r w:rsidRPr="00024711">
              <w:rPr>
                <w:sz w:val="20"/>
                <w:lang w:val="de-DE"/>
              </w:rPr>
              <w:t>Gillese, Tulloch, Lauwers JJ.A.)</w:t>
            </w:r>
          </w:p>
          <w:p w:rsidR="00CA43A0" w:rsidRPr="00024711" w:rsidRDefault="00CA43A0" w:rsidP="00024711">
            <w:pPr>
              <w:jc w:val="both"/>
              <w:rPr>
                <w:sz w:val="20"/>
              </w:rPr>
            </w:pPr>
            <w:r w:rsidRPr="00024711">
              <w:rPr>
                <w:sz w:val="20"/>
              </w:rPr>
              <w:t>2015 ONCA 348; C58166</w:t>
            </w:r>
          </w:p>
          <w:p w:rsidR="00CA43A0" w:rsidRPr="00024711" w:rsidRDefault="00CA43A0" w:rsidP="00024711">
            <w:pPr>
              <w:jc w:val="both"/>
              <w:rPr>
                <w:rFonts w:eastAsiaTheme="majorEastAsia"/>
                <w:color w:val="0000FF"/>
                <w:sz w:val="20"/>
                <w:u w:val="single"/>
              </w:rPr>
            </w:pPr>
            <w:hyperlink r:id="rId31" w:history="1">
              <w:r w:rsidRPr="00024711">
                <w:rPr>
                  <w:rStyle w:val="Hyperlink"/>
                  <w:rFonts w:eastAsiaTheme="majorEastAsia"/>
                  <w:sz w:val="20"/>
                </w:rPr>
                <w:t>http://canlii.ca/t/gj0x5</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Conviction appeal dismissed</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August 11, 2015</w:t>
            </w:r>
          </w:p>
          <w:p w:rsidR="00CA43A0" w:rsidRPr="00024711" w:rsidRDefault="00CA43A0" w:rsidP="00024711">
            <w:pPr>
              <w:jc w:val="both"/>
              <w:rPr>
                <w:sz w:val="20"/>
              </w:rPr>
            </w:pPr>
            <w:r w:rsidRPr="00024711">
              <w:rPr>
                <w:sz w:val="20"/>
              </w:rPr>
              <w:t>Supreme Court of Canada</w:t>
            </w: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Application for leave to appeal filed</w:t>
            </w:r>
          </w:p>
          <w:p w:rsidR="00CA43A0" w:rsidRPr="00024711" w:rsidRDefault="00CA43A0" w:rsidP="00024711">
            <w:pPr>
              <w:jc w:val="both"/>
              <w:rPr>
                <w:sz w:val="20"/>
              </w:rPr>
            </w:pPr>
          </w:p>
        </w:tc>
      </w:tr>
    </w:tbl>
    <w:p w:rsidR="00CA43A0" w:rsidRDefault="00CA43A0" w:rsidP="00024711">
      <w:pPr>
        <w:jc w:val="both"/>
        <w:rPr>
          <w:sz w:val="20"/>
        </w:rPr>
      </w:pPr>
    </w:p>
    <w:p w:rsidR="00024711" w:rsidRPr="00024711" w:rsidRDefault="00024711" w:rsidP="000247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lang w:val="fr-CA"/>
              </w:rPr>
            </w:pPr>
            <w:r w:rsidRPr="00024711">
              <w:rPr>
                <w:rStyle w:val="SCCFileNumberChar"/>
                <w:sz w:val="20"/>
                <w:szCs w:val="20"/>
                <w:lang w:val="fr-CA"/>
              </w:rPr>
              <w:t>36550</w:t>
            </w:r>
          </w:p>
        </w:tc>
        <w:tc>
          <w:tcPr>
            <w:tcW w:w="4457" w:type="pct"/>
            <w:gridSpan w:val="3"/>
          </w:tcPr>
          <w:p w:rsidR="00CA43A0" w:rsidRPr="00024711" w:rsidRDefault="00CA43A0" w:rsidP="00024711">
            <w:pPr>
              <w:pStyle w:val="SCCLsocParty"/>
              <w:jc w:val="both"/>
              <w:rPr>
                <w:b/>
                <w:sz w:val="20"/>
                <w:szCs w:val="20"/>
              </w:rPr>
            </w:pPr>
            <w:r w:rsidRPr="00024711">
              <w:rPr>
                <w:b/>
                <w:sz w:val="20"/>
                <w:szCs w:val="20"/>
              </w:rPr>
              <w:t>Marlon Richards c. Sa Majesté la Reine</w:t>
            </w:r>
          </w:p>
          <w:p w:rsidR="00CA43A0" w:rsidRPr="00024711" w:rsidRDefault="00CA43A0" w:rsidP="00024711">
            <w:pPr>
              <w:jc w:val="both"/>
              <w:rPr>
                <w:sz w:val="20"/>
                <w:lang w:val="fr-CA"/>
              </w:rPr>
            </w:pPr>
            <w:r w:rsidRPr="00024711">
              <w:rPr>
                <w:sz w:val="20"/>
                <w:lang w:val="fr-CA"/>
              </w:rPr>
              <w:t>(Ont.) (Criminelle) (Sur autorisation)</w:t>
            </w:r>
          </w:p>
        </w:tc>
      </w:tr>
      <w:tr w:rsidR="00CA43A0" w:rsidRPr="00024711" w:rsidTr="00CA43A0">
        <w:tc>
          <w:tcPr>
            <w:tcW w:w="5000" w:type="pct"/>
            <w:gridSpan w:val="4"/>
          </w:tcPr>
          <w:p w:rsidR="00CA43A0" w:rsidRPr="00024711" w:rsidRDefault="00CA43A0" w:rsidP="00024711">
            <w:pPr>
              <w:jc w:val="both"/>
              <w:rPr>
                <w:sz w:val="20"/>
                <w:lang w:val="fr-CA"/>
              </w:rPr>
            </w:pPr>
            <w:r w:rsidRPr="00024711">
              <w:rPr>
                <w:i/>
                <w:sz w:val="20"/>
                <w:lang w:val="fr-CA"/>
              </w:rPr>
              <w:t>Charte des droits</w:t>
            </w:r>
            <w:r w:rsidRPr="00024711">
              <w:rPr>
                <w:sz w:val="20"/>
                <w:lang w:val="fr-CA"/>
              </w:rPr>
              <w:t xml:space="preserve"> – Article 10 de la </w:t>
            </w:r>
            <w:r w:rsidRPr="00024711">
              <w:rPr>
                <w:i/>
                <w:sz w:val="20"/>
                <w:lang w:val="fr-CA"/>
              </w:rPr>
              <w:t>Charte</w:t>
            </w:r>
            <w:r w:rsidRPr="00024711">
              <w:rPr>
                <w:sz w:val="20"/>
                <w:lang w:val="fr-CA"/>
              </w:rPr>
              <w:t xml:space="preserve"> – Police – Pouvoirs – Le pouvoir de common law de procéder à une fouille accessoire à l’arrestation s’étend-il aux fouilles effectuées avant l’arrestation? – Dans l’affirmative, quelles circonstances doivent exister pour qu’entre en jeu ce pouvoir de fouille? – Dans l’affirmative, quelle est l’incidence sur les droits et obligations qui découlent de l’art. 10 de la </w:t>
            </w:r>
            <w:r w:rsidRPr="00024711">
              <w:rPr>
                <w:i/>
                <w:sz w:val="20"/>
                <w:lang w:val="fr-CA"/>
              </w:rPr>
              <w:t>Charte</w:t>
            </w:r>
            <w:r w:rsidRPr="00024711">
              <w:rPr>
                <w:sz w:val="20"/>
                <w:lang w:val="fr-CA"/>
              </w:rPr>
              <w:t xml:space="preserve">, lesquels entrent en jeu dès qu’il y a détention? – Que doit être dit au détenu, le cas échéant, au sujet de la raison et de l’objet de la fouille effectuée avant l’arrestation? – Article 10 de la </w:t>
            </w:r>
            <w:r w:rsidRPr="00024711">
              <w:rPr>
                <w:i/>
                <w:sz w:val="20"/>
                <w:lang w:val="fr-CA"/>
              </w:rPr>
              <w:t>Charte</w:t>
            </w:r>
            <w:r w:rsidRPr="00024711">
              <w:rPr>
                <w:sz w:val="20"/>
                <w:lang w:val="fr-CA"/>
              </w:rPr>
              <w:t>.</w:t>
            </w:r>
          </w:p>
        </w:tc>
      </w:tr>
      <w:tr w:rsidR="00CA43A0" w:rsidRPr="00024711" w:rsidTr="00CA43A0">
        <w:tc>
          <w:tcPr>
            <w:tcW w:w="5000" w:type="pct"/>
            <w:gridSpan w:val="4"/>
          </w:tcPr>
          <w:p w:rsidR="00CA43A0" w:rsidRPr="00024711" w:rsidRDefault="00CA43A0" w:rsidP="00024711">
            <w:pPr>
              <w:jc w:val="both"/>
              <w:rPr>
                <w:sz w:val="20"/>
                <w:lang w:val="fr-CA"/>
              </w:rPr>
            </w:pP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 xml:space="preserve">Un indicateur confidentiel connu et fiable (l’« IC ») a informé un agent de la Police provinciale de l’Ontario (PPO) que le demandeur, à une heure et à un endroit précis, aurait une quantité de crack en sa possession. L’agent de la PPO a pu corroborer les détails de l’information fournie par l’IC. L’agent de la PPO croyait qu’il existait des motifs raisonnables et probables d’arrêter le demandeur pour possession d’une substance désignée. L’agent de la PPO a communiqué avec un autre service de police et lui a demandé d’intercepter le taxi du demandeur et de l’arrêter pour possession d’une substance désignée. Suite à cette directive, le taxi du demandeur a été intercepté. L’agent a vu quelque chose de volumineux dans la poche du blouson du demandeur et ce dernier en a retiré trois téléphones cellulaires, après quoi il a été mis en état d’arrestation pour avoir violé une condition de son engagement (c’est-à-dire ne pas posséder de téléphone cellulaire). Le demandeur a été amené au poste de police, tout comme le sac à dos dont il se servait comme coussin sur la banquette arrière du taxi. Un policier a fouillé le sac à dos et y a trouvé 28,5 grammes de crack. Le juge du procès a tenu un voir-dire et a statué que les droits que les art. 7, 8 et 9 de la </w:t>
            </w:r>
            <w:r w:rsidRPr="00024711">
              <w:rPr>
                <w:i/>
                <w:sz w:val="20"/>
                <w:lang w:val="fr-CA"/>
              </w:rPr>
              <w:t>Charte</w:t>
            </w:r>
            <w:r w:rsidRPr="00024711">
              <w:rPr>
                <w:sz w:val="20"/>
                <w:lang w:val="fr-CA"/>
              </w:rPr>
              <w:t xml:space="preserve"> garantissent au demandeur n’avaient pas été violés. La preuve était admissible en application du par. 24(2) de la </w:t>
            </w:r>
            <w:r w:rsidRPr="00024711">
              <w:rPr>
                <w:i/>
                <w:sz w:val="20"/>
                <w:lang w:val="fr-CA"/>
              </w:rPr>
              <w:t>Charte</w:t>
            </w:r>
            <w:r w:rsidRPr="00024711">
              <w:rPr>
                <w:sz w:val="20"/>
                <w:lang w:val="fr-CA"/>
              </w:rPr>
              <w:t>. Le demandeur a été déclaré coupable de possession de cocaïne en vue d’en faire le trafic et de deux manquements à son engagement. L’appel de la déclaration de culpabilité interjeté par le demandeur a été rejeté.</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21 mars 2013</w:t>
            </w:r>
          </w:p>
          <w:p w:rsidR="00CA43A0" w:rsidRPr="00024711" w:rsidRDefault="00CA43A0" w:rsidP="00024711">
            <w:pPr>
              <w:jc w:val="both"/>
              <w:rPr>
                <w:sz w:val="20"/>
                <w:lang w:val="fr-CA"/>
              </w:rPr>
            </w:pPr>
            <w:r w:rsidRPr="00024711">
              <w:rPr>
                <w:sz w:val="20"/>
                <w:lang w:val="fr-CA"/>
              </w:rPr>
              <w:t>Cour supérieure de justice de l’Ontario</w:t>
            </w:r>
          </w:p>
          <w:p w:rsidR="00CA43A0" w:rsidRPr="00024711" w:rsidRDefault="00CA43A0" w:rsidP="00024711">
            <w:pPr>
              <w:jc w:val="both"/>
              <w:rPr>
                <w:sz w:val="20"/>
                <w:lang w:val="fr-CA"/>
              </w:rPr>
            </w:pPr>
            <w:r w:rsidRPr="00024711">
              <w:rPr>
                <w:sz w:val="20"/>
                <w:lang w:val="fr-CA"/>
              </w:rPr>
              <w:t>(Juge Gates)</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 xml:space="preserve">Décision au terme d’un voir-dire : les droits que les art. 7, 8 et 9 de la </w:t>
            </w:r>
            <w:r w:rsidRPr="00024711">
              <w:rPr>
                <w:i/>
                <w:sz w:val="20"/>
                <w:lang w:val="fr-CA"/>
              </w:rPr>
              <w:t>Charte</w:t>
            </w:r>
            <w:r w:rsidRPr="00024711">
              <w:rPr>
                <w:sz w:val="20"/>
                <w:lang w:val="fr-CA"/>
              </w:rPr>
              <w:t xml:space="preserve"> garantissent au demandeur n’ont pas été violés</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15 mai 2015</w:t>
            </w:r>
          </w:p>
          <w:p w:rsidR="00CA43A0" w:rsidRPr="00024711" w:rsidRDefault="00CA43A0" w:rsidP="00024711">
            <w:pPr>
              <w:jc w:val="both"/>
              <w:rPr>
                <w:sz w:val="20"/>
                <w:lang w:val="fr-CA"/>
              </w:rPr>
            </w:pPr>
            <w:r w:rsidRPr="00024711">
              <w:rPr>
                <w:sz w:val="20"/>
                <w:lang w:val="fr-CA"/>
              </w:rPr>
              <w:t>Cour d’appel de l’Ontario</w:t>
            </w:r>
          </w:p>
          <w:p w:rsidR="00CA43A0" w:rsidRPr="00024711" w:rsidRDefault="00CA43A0" w:rsidP="00024711">
            <w:pPr>
              <w:jc w:val="both"/>
              <w:rPr>
                <w:sz w:val="20"/>
                <w:lang w:val="fr-CA"/>
              </w:rPr>
            </w:pPr>
            <w:r w:rsidRPr="00024711">
              <w:rPr>
                <w:sz w:val="20"/>
                <w:lang w:val="fr-CA"/>
              </w:rPr>
              <w:t>(Juges Gillese, Tulloch et Lauwers)</w:t>
            </w:r>
          </w:p>
          <w:p w:rsidR="00CA43A0" w:rsidRPr="00024711" w:rsidRDefault="00CA43A0" w:rsidP="00024711">
            <w:pPr>
              <w:jc w:val="both"/>
              <w:rPr>
                <w:sz w:val="20"/>
              </w:rPr>
            </w:pPr>
            <w:r w:rsidRPr="00024711">
              <w:rPr>
                <w:sz w:val="20"/>
              </w:rPr>
              <w:t>2015 ONCA 348; C58166</w:t>
            </w:r>
          </w:p>
          <w:p w:rsidR="00CA43A0" w:rsidRPr="00024711" w:rsidRDefault="00CA43A0" w:rsidP="00024711">
            <w:pPr>
              <w:jc w:val="both"/>
              <w:rPr>
                <w:rFonts w:eastAsiaTheme="majorEastAsia"/>
                <w:color w:val="0000FF"/>
                <w:sz w:val="20"/>
                <w:u w:val="single"/>
              </w:rPr>
            </w:pPr>
            <w:hyperlink r:id="rId32" w:history="1">
              <w:r w:rsidRPr="00024711">
                <w:rPr>
                  <w:rStyle w:val="Hyperlink"/>
                  <w:rFonts w:eastAsiaTheme="majorEastAsia"/>
                  <w:sz w:val="20"/>
                </w:rPr>
                <w:t>http://canlii.ca/t/gj0x5</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lang w:val="fr-CA"/>
              </w:rPr>
            </w:pPr>
            <w:r w:rsidRPr="00024711">
              <w:rPr>
                <w:sz w:val="20"/>
                <w:lang w:val="fr-CA"/>
              </w:rPr>
              <w:t>Rejet de l’appel de la déclaration de culpabilité</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11 août 2015</w:t>
            </w:r>
          </w:p>
          <w:p w:rsidR="00CA43A0" w:rsidRPr="00024711" w:rsidRDefault="00CA43A0" w:rsidP="00024711">
            <w:pPr>
              <w:jc w:val="both"/>
              <w:rPr>
                <w:sz w:val="20"/>
                <w:lang w:val="fr-CA"/>
              </w:rPr>
            </w:pPr>
            <w:r w:rsidRPr="00024711">
              <w:rPr>
                <w:sz w:val="20"/>
                <w:lang w:val="fr-CA"/>
              </w:rPr>
              <w:t>Cour suprême du Canada</w:t>
            </w: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Dépôt de la demande d’autorisation d’appel</w:t>
            </w:r>
          </w:p>
          <w:p w:rsidR="00CA43A0" w:rsidRPr="00024711" w:rsidRDefault="00CA43A0" w:rsidP="00024711">
            <w:pPr>
              <w:jc w:val="both"/>
              <w:rPr>
                <w:sz w:val="20"/>
                <w:lang w:val="fr-CA"/>
              </w:rPr>
            </w:pPr>
          </w:p>
        </w:tc>
      </w:tr>
    </w:tbl>
    <w:p w:rsidR="00CA43A0" w:rsidRDefault="00CA43A0" w:rsidP="00024711">
      <w:pPr>
        <w:jc w:val="both"/>
        <w:rPr>
          <w:sz w:val="20"/>
          <w:lang w:val="fr-CA"/>
        </w:rPr>
      </w:pPr>
    </w:p>
    <w:p w:rsidR="00024711" w:rsidRPr="00024711" w:rsidRDefault="00024711" w:rsidP="000247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rPr>
            </w:pPr>
            <w:r w:rsidRPr="00024711">
              <w:rPr>
                <w:rStyle w:val="SCCFileNumberChar"/>
                <w:sz w:val="20"/>
                <w:szCs w:val="20"/>
              </w:rPr>
              <w:t>36575</w:t>
            </w:r>
          </w:p>
        </w:tc>
        <w:tc>
          <w:tcPr>
            <w:tcW w:w="4457" w:type="pct"/>
            <w:gridSpan w:val="3"/>
          </w:tcPr>
          <w:p w:rsidR="00CA43A0" w:rsidRPr="00024711" w:rsidRDefault="00CA43A0" w:rsidP="00024711">
            <w:pPr>
              <w:pStyle w:val="SCCLsocParty"/>
              <w:jc w:val="both"/>
              <w:rPr>
                <w:b/>
                <w:sz w:val="20"/>
                <w:szCs w:val="20"/>
              </w:rPr>
            </w:pPr>
            <w:r w:rsidRPr="00024711">
              <w:rPr>
                <w:b/>
                <w:sz w:val="20"/>
                <w:szCs w:val="20"/>
              </w:rPr>
              <w:t xml:space="preserve">Andrew </w:t>
            </w:r>
            <w:proofErr w:type="spellStart"/>
            <w:r w:rsidRPr="00024711">
              <w:rPr>
                <w:b/>
                <w:sz w:val="20"/>
                <w:szCs w:val="20"/>
              </w:rPr>
              <w:t>Sabean</w:t>
            </w:r>
            <w:proofErr w:type="spellEnd"/>
            <w:r w:rsidRPr="00024711">
              <w:rPr>
                <w:b/>
                <w:sz w:val="20"/>
                <w:szCs w:val="20"/>
              </w:rPr>
              <w:t xml:space="preserve"> v. Portage La Prairie </w:t>
            </w:r>
            <w:proofErr w:type="spellStart"/>
            <w:r w:rsidRPr="00024711">
              <w:rPr>
                <w:b/>
                <w:sz w:val="20"/>
                <w:szCs w:val="20"/>
              </w:rPr>
              <w:t>Mutual</w:t>
            </w:r>
            <w:proofErr w:type="spellEnd"/>
            <w:r w:rsidRPr="00024711">
              <w:rPr>
                <w:b/>
                <w:sz w:val="20"/>
                <w:szCs w:val="20"/>
              </w:rPr>
              <w:t xml:space="preserve"> </w:t>
            </w:r>
            <w:proofErr w:type="spellStart"/>
            <w:r w:rsidRPr="00024711">
              <w:rPr>
                <w:b/>
                <w:sz w:val="20"/>
                <w:szCs w:val="20"/>
              </w:rPr>
              <w:t>Insurance</w:t>
            </w:r>
            <w:proofErr w:type="spellEnd"/>
            <w:r w:rsidRPr="00024711">
              <w:rPr>
                <w:b/>
                <w:sz w:val="20"/>
                <w:szCs w:val="20"/>
              </w:rPr>
              <w:t xml:space="preserve"> </w:t>
            </w:r>
            <w:proofErr w:type="spellStart"/>
            <w:r w:rsidRPr="00024711">
              <w:rPr>
                <w:b/>
                <w:sz w:val="20"/>
                <w:szCs w:val="20"/>
              </w:rPr>
              <w:t>Company</w:t>
            </w:r>
            <w:proofErr w:type="spellEnd"/>
          </w:p>
          <w:p w:rsidR="00CA43A0" w:rsidRPr="00024711" w:rsidRDefault="00CA43A0" w:rsidP="00024711">
            <w:pPr>
              <w:jc w:val="both"/>
              <w:rPr>
                <w:sz w:val="20"/>
              </w:rPr>
            </w:pPr>
            <w:r w:rsidRPr="00024711">
              <w:rPr>
                <w:sz w:val="20"/>
              </w:rPr>
              <w:t>(N.S.) (Civil) (By Leave)</w:t>
            </w:r>
          </w:p>
        </w:tc>
      </w:tr>
      <w:tr w:rsidR="00CA43A0" w:rsidRPr="00024711" w:rsidTr="00CA43A0">
        <w:tc>
          <w:tcPr>
            <w:tcW w:w="5000" w:type="pct"/>
            <w:gridSpan w:val="4"/>
          </w:tcPr>
          <w:p w:rsidR="00CA43A0" w:rsidRPr="00024711" w:rsidRDefault="00CA43A0" w:rsidP="00024711">
            <w:pPr>
              <w:jc w:val="both"/>
              <w:rPr>
                <w:sz w:val="20"/>
              </w:rPr>
            </w:pPr>
            <w:r w:rsidRPr="00024711">
              <w:rPr>
                <w:sz w:val="20"/>
              </w:rPr>
              <w:t>Commercial law – Insurance – Automobile insurance – Excess insurance – Deductibility of future CPP disability benefits payable to a plaintiff under an “SEF 44 claim” – Interpretation of insurance policy SEF 44 endorsement – Whether court of appeal erred in determining that Canada Pension Plan disability benefits was a “policy of insurance” within the meaning of s. 4(b)(vii) of the SEF 44 endorsement.</w:t>
            </w:r>
          </w:p>
        </w:tc>
      </w:tr>
      <w:tr w:rsidR="00CA43A0" w:rsidRPr="00024711" w:rsidTr="00CA43A0">
        <w:tc>
          <w:tcPr>
            <w:tcW w:w="5000" w:type="pct"/>
            <w:gridSpan w:val="4"/>
          </w:tcPr>
          <w:p w:rsidR="00CA43A0" w:rsidRPr="00024711" w:rsidRDefault="00CA43A0" w:rsidP="00024711">
            <w:pPr>
              <w:jc w:val="both"/>
              <w:rPr>
                <w:sz w:val="20"/>
              </w:rPr>
            </w:pPr>
          </w:p>
        </w:tc>
      </w:tr>
      <w:tr w:rsidR="00CA43A0" w:rsidRPr="00024711" w:rsidTr="00CA43A0">
        <w:tc>
          <w:tcPr>
            <w:tcW w:w="5000" w:type="pct"/>
            <w:gridSpan w:val="4"/>
          </w:tcPr>
          <w:p w:rsidR="00CA43A0" w:rsidRPr="00024711" w:rsidRDefault="00CA43A0" w:rsidP="00024711">
            <w:pPr>
              <w:jc w:val="both"/>
              <w:rPr>
                <w:sz w:val="20"/>
              </w:rPr>
            </w:pPr>
            <w:r w:rsidRPr="00024711">
              <w:rPr>
                <w:sz w:val="20"/>
              </w:rPr>
              <w:t>In October 2004, Mr. </w:t>
            </w:r>
            <w:proofErr w:type="spellStart"/>
            <w:r w:rsidRPr="00024711">
              <w:rPr>
                <w:sz w:val="20"/>
              </w:rPr>
              <w:t>Sabean</w:t>
            </w:r>
            <w:proofErr w:type="spellEnd"/>
            <w:r w:rsidRPr="00024711">
              <w:rPr>
                <w:sz w:val="20"/>
              </w:rPr>
              <w:t xml:space="preserve"> and his passenger were injured in a motor vehicle accident when the car driven by the </w:t>
            </w:r>
            <w:proofErr w:type="spellStart"/>
            <w:r w:rsidRPr="00024711">
              <w:rPr>
                <w:sz w:val="20"/>
              </w:rPr>
              <w:t>tortfeasor</w:t>
            </w:r>
            <w:proofErr w:type="spellEnd"/>
            <w:r w:rsidRPr="00024711">
              <w:rPr>
                <w:sz w:val="20"/>
              </w:rPr>
              <w:t xml:space="preserve"> struck his vehicle in an intersection. That driver was inadequately insured. Mr. </w:t>
            </w:r>
            <w:proofErr w:type="spellStart"/>
            <w:r w:rsidRPr="00024711">
              <w:rPr>
                <w:sz w:val="20"/>
              </w:rPr>
              <w:t>Sabean’s</w:t>
            </w:r>
            <w:proofErr w:type="spellEnd"/>
            <w:r w:rsidRPr="00024711">
              <w:rPr>
                <w:sz w:val="20"/>
              </w:rPr>
              <w:t xml:space="preserve"> most significant injury was to his left shoulder and arm and eventually had to be amputated to relieve his pain. He could no longer work as a farm labourer and was approved for CPP disability benefits effective February, 2005. In May, 2013, a jury awarded Mr. </w:t>
            </w:r>
            <w:proofErr w:type="spellStart"/>
            <w:r w:rsidRPr="00024711">
              <w:rPr>
                <w:sz w:val="20"/>
              </w:rPr>
              <w:t>Sabean</w:t>
            </w:r>
            <w:proofErr w:type="spellEnd"/>
            <w:r w:rsidRPr="00024711">
              <w:rPr>
                <w:sz w:val="20"/>
              </w:rPr>
              <w:t xml:space="preserve"> damages for his injuries in the amount of $465,408. The amount he received from the </w:t>
            </w:r>
            <w:proofErr w:type="spellStart"/>
            <w:r w:rsidRPr="00024711">
              <w:rPr>
                <w:sz w:val="20"/>
              </w:rPr>
              <w:t>tortfeasor’s</w:t>
            </w:r>
            <w:proofErr w:type="spellEnd"/>
            <w:r w:rsidRPr="00024711">
              <w:rPr>
                <w:sz w:val="20"/>
              </w:rPr>
              <w:t xml:space="preserve"> insurer was $382,131.13. Mr. </w:t>
            </w:r>
            <w:proofErr w:type="spellStart"/>
            <w:r w:rsidRPr="00024711">
              <w:rPr>
                <w:sz w:val="20"/>
              </w:rPr>
              <w:t>Sabean</w:t>
            </w:r>
            <w:proofErr w:type="spellEnd"/>
            <w:r w:rsidRPr="00024711">
              <w:rPr>
                <w:sz w:val="20"/>
              </w:rPr>
              <w:t xml:space="preserve"> then made claim under the excess insurance provisions of his own policy with the respondent, Portage La Prairie Mutual Insurance Company. A dispute arose regarding the deductibility of his future CPP disability benefits. The court was asked to decide whether the value of those future benefits should be deducted from the remaining portion of the damages award. </w:t>
            </w:r>
          </w:p>
          <w:p w:rsidR="00CA43A0" w:rsidRPr="00024711" w:rsidRDefault="00CA43A0" w:rsidP="00024711">
            <w:pPr>
              <w:jc w:val="both"/>
              <w:rPr>
                <w:sz w:val="20"/>
              </w:rPr>
            </w:pPr>
          </w:p>
        </w:tc>
      </w:tr>
      <w:tr w:rsidR="00CA43A0" w:rsidRPr="00024711" w:rsidTr="00024711">
        <w:trPr>
          <w:trHeight w:val="864"/>
        </w:trPr>
        <w:tc>
          <w:tcPr>
            <w:tcW w:w="2427" w:type="pct"/>
            <w:gridSpan w:val="2"/>
          </w:tcPr>
          <w:p w:rsidR="00CA43A0" w:rsidRPr="00024711" w:rsidRDefault="00CA43A0" w:rsidP="00024711">
            <w:pPr>
              <w:jc w:val="both"/>
              <w:rPr>
                <w:sz w:val="20"/>
              </w:rPr>
            </w:pPr>
            <w:r w:rsidRPr="00024711">
              <w:rPr>
                <w:sz w:val="20"/>
              </w:rPr>
              <w:t>September 30, 2013</w:t>
            </w:r>
          </w:p>
          <w:p w:rsidR="00CA43A0" w:rsidRPr="00024711" w:rsidRDefault="00CA43A0" w:rsidP="00024711">
            <w:pPr>
              <w:jc w:val="both"/>
              <w:rPr>
                <w:sz w:val="20"/>
              </w:rPr>
            </w:pPr>
            <w:r w:rsidRPr="00024711">
              <w:rPr>
                <w:sz w:val="20"/>
              </w:rPr>
              <w:t>Supreme Court of Nova Scotia, Trial Division</w:t>
            </w:r>
          </w:p>
          <w:p w:rsidR="00CA43A0" w:rsidRPr="00024711" w:rsidRDefault="00CA43A0" w:rsidP="00024711">
            <w:pPr>
              <w:jc w:val="both"/>
              <w:rPr>
                <w:sz w:val="20"/>
              </w:rPr>
            </w:pPr>
            <w:r w:rsidRPr="00024711">
              <w:rPr>
                <w:sz w:val="20"/>
              </w:rPr>
              <w:t>(Murray J.)</w:t>
            </w:r>
          </w:p>
          <w:p w:rsidR="00CA43A0" w:rsidRPr="00024711" w:rsidRDefault="00CA43A0" w:rsidP="00024711">
            <w:pPr>
              <w:jc w:val="both"/>
              <w:rPr>
                <w:sz w:val="20"/>
              </w:rPr>
            </w:pPr>
            <w:hyperlink r:id="rId33" w:history="1">
              <w:r w:rsidRPr="00024711">
                <w:rPr>
                  <w:rStyle w:val="Hyperlink"/>
                  <w:sz w:val="20"/>
                </w:rPr>
                <w:t>2013 NSSC 306</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Future CPP disability benefits not deductible from amount payable in damages pursuant to s. 4(b)(vii) of the SEF 44 policy</w:t>
            </w:r>
          </w:p>
          <w:p w:rsidR="00CA43A0" w:rsidRPr="00024711" w:rsidRDefault="00CA43A0" w:rsidP="00024711">
            <w:pPr>
              <w:jc w:val="both"/>
              <w:rPr>
                <w:sz w:val="20"/>
              </w:rPr>
            </w:pP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June 4, 2015</w:t>
            </w:r>
          </w:p>
          <w:p w:rsidR="00CA43A0" w:rsidRPr="00024711" w:rsidRDefault="00CA43A0" w:rsidP="00024711">
            <w:pPr>
              <w:jc w:val="both"/>
              <w:rPr>
                <w:sz w:val="20"/>
              </w:rPr>
            </w:pPr>
            <w:r w:rsidRPr="00024711">
              <w:rPr>
                <w:sz w:val="20"/>
              </w:rPr>
              <w:t>Nova Scotia Court of Appeal</w:t>
            </w:r>
          </w:p>
          <w:p w:rsidR="00CA43A0" w:rsidRPr="00024711" w:rsidRDefault="00CA43A0" w:rsidP="00024711">
            <w:pPr>
              <w:jc w:val="both"/>
              <w:rPr>
                <w:sz w:val="20"/>
              </w:rPr>
            </w:pPr>
            <w:r w:rsidRPr="00024711">
              <w:rPr>
                <w:sz w:val="20"/>
              </w:rPr>
              <w:t xml:space="preserve">(Beveridge, Hamilton and </w:t>
            </w:r>
            <w:proofErr w:type="spellStart"/>
            <w:r w:rsidRPr="00024711">
              <w:rPr>
                <w:sz w:val="20"/>
              </w:rPr>
              <w:t>Scanlan</w:t>
            </w:r>
            <w:proofErr w:type="spellEnd"/>
            <w:r w:rsidRPr="00024711">
              <w:rPr>
                <w:sz w:val="20"/>
              </w:rPr>
              <w:t xml:space="preserve"> JJ.A.)</w:t>
            </w:r>
          </w:p>
          <w:p w:rsidR="00CA43A0" w:rsidRPr="00024711" w:rsidRDefault="00CA43A0" w:rsidP="00024711">
            <w:pPr>
              <w:jc w:val="both"/>
              <w:rPr>
                <w:sz w:val="20"/>
              </w:rPr>
            </w:pPr>
            <w:hyperlink r:id="rId34" w:history="1">
              <w:r w:rsidRPr="00024711">
                <w:rPr>
                  <w:rStyle w:val="Hyperlink"/>
                  <w:sz w:val="20"/>
                </w:rPr>
                <w:t>2015 NSCA 53</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Respondent’s appeal allowed in part; future CPP disability benefits deductible from amounts payable by SEF 44 insurers; matter remitted to trial judge to determining value of</w:t>
            </w:r>
          </w:p>
          <w:p w:rsidR="00CA43A0" w:rsidRPr="00024711" w:rsidRDefault="00CA43A0" w:rsidP="00024711">
            <w:pPr>
              <w:jc w:val="both"/>
              <w:rPr>
                <w:sz w:val="20"/>
              </w:rPr>
            </w:pPr>
            <w:r w:rsidRPr="00024711">
              <w:rPr>
                <w:sz w:val="20"/>
              </w:rPr>
              <w:t xml:space="preserve">applicant’s future CPP disability benefits </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August 24, 2015</w:t>
            </w:r>
          </w:p>
          <w:p w:rsidR="00CA43A0" w:rsidRPr="00024711" w:rsidRDefault="00CA43A0" w:rsidP="00024711">
            <w:pPr>
              <w:jc w:val="both"/>
              <w:rPr>
                <w:sz w:val="20"/>
              </w:rPr>
            </w:pPr>
            <w:r w:rsidRPr="00024711">
              <w:rPr>
                <w:sz w:val="20"/>
              </w:rPr>
              <w:t>Supreme Court of Canada</w:t>
            </w: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Application for leave to appeal filed</w:t>
            </w:r>
          </w:p>
          <w:p w:rsidR="00CA43A0" w:rsidRPr="00024711" w:rsidRDefault="00CA43A0" w:rsidP="00024711">
            <w:pPr>
              <w:jc w:val="both"/>
              <w:rPr>
                <w:sz w:val="20"/>
              </w:rPr>
            </w:pPr>
          </w:p>
        </w:tc>
      </w:tr>
    </w:tbl>
    <w:p w:rsidR="00CA43A0" w:rsidRDefault="00CA43A0" w:rsidP="00024711">
      <w:pPr>
        <w:jc w:val="both"/>
        <w:rPr>
          <w:sz w:val="20"/>
        </w:rPr>
      </w:pPr>
    </w:p>
    <w:p w:rsidR="00024711" w:rsidRPr="00024711" w:rsidRDefault="00024711" w:rsidP="000247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lang w:val="fr-CA"/>
              </w:rPr>
            </w:pPr>
            <w:r w:rsidRPr="00024711">
              <w:rPr>
                <w:rStyle w:val="SCCFileNumberChar"/>
                <w:sz w:val="20"/>
                <w:szCs w:val="20"/>
                <w:lang w:val="fr-CA"/>
              </w:rPr>
              <w:t>36575</w:t>
            </w:r>
          </w:p>
        </w:tc>
        <w:tc>
          <w:tcPr>
            <w:tcW w:w="4457" w:type="pct"/>
            <w:gridSpan w:val="3"/>
          </w:tcPr>
          <w:p w:rsidR="00CA43A0" w:rsidRPr="00024711" w:rsidRDefault="00CA43A0" w:rsidP="00024711">
            <w:pPr>
              <w:pStyle w:val="SCCLsocParty"/>
              <w:jc w:val="both"/>
              <w:rPr>
                <w:b/>
                <w:sz w:val="20"/>
                <w:szCs w:val="20"/>
              </w:rPr>
            </w:pPr>
            <w:r w:rsidRPr="00024711">
              <w:rPr>
                <w:b/>
                <w:sz w:val="20"/>
                <w:szCs w:val="20"/>
              </w:rPr>
              <w:t>Andrew Sabean c. Portage La Prairie Mutual Insurance Company</w:t>
            </w:r>
          </w:p>
          <w:p w:rsidR="00CA43A0" w:rsidRPr="00024711" w:rsidRDefault="00CA43A0" w:rsidP="00024711">
            <w:pPr>
              <w:jc w:val="both"/>
              <w:rPr>
                <w:sz w:val="20"/>
                <w:lang w:val="fr-CA"/>
              </w:rPr>
            </w:pPr>
            <w:r w:rsidRPr="00024711">
              <w:rPr>
                <w:sz w:val="20"/>
                <w:lang w:val="fr-CA"/>
              </w:rPr>
              <w:t>(N.-É.) (Civile) (Sur autorisation)</w:t>
            </w: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Droit commercial – Assurance – Assurance automobile – Assurance de risques successifs –  Déductibilité des prestations d’invalidité futures payables à un demandeur sous le RPC au titre d’une « réclamation sous l’avenant SEF 44 » – Interprétation de l’avenant SEF 44 à une police d’assurance – La cour d’appel a-t-elle commis une erreur en statuant que les prestations d’invalidité sous le Régime de pensions du Canada étaient une [</w:t>
            </w:r>
            <w:r w:rsidRPr="00024711">
              <w:rPr>
                <w:smallCaps/>
                <w:sz w:val="20"/>
                <w:lang w:val="fr-CA"/>
              </w:rPr>
              <w:t>traduction</w:t>
            </w:r>
            <w:r w:rsidRPr="00024711">
              <w:rPr>
                <w:sz w:val="20"/>
                <w:lang w:val="fr-CA"/>
              </w:rPr>
              <w:t>] « police d’assurance » au sens du sous-al. 4</w:t>
            </w:r>
            <w:r w:rsidRPr="00024711">
              <w:rPr>
                <w:i/>
                <w:sz w:val="20"/>
                <w:lang w:val="fr-CA"/>
              </w:rPr>
              <w:t>b</w:t>
            </w:r>
            <w:r w:rsidRPr="00024711">
              <w:rPr>
                <w:sz w:val="20"/>
                <w:lang w:val="fr-CA"/>
              </w:rPr>
              <w:t>)(vii) de l’avenant SEF 44?</w:t>
            </w:r>
          </w:p>
        </w:tc>
      </w:tr>
      <w:tr w:rsidR="00CA43A0" w:rsidRPr="00024711" w:rsidTr="00CA43A0">
        <w:tc>
          <w:tcPr>
            <w:tcW w:w="5000" w:type="pct"/>
            <w:gridSpan w:val="4"/>
          </w:tcPr>
          <w:p w:rsidR="00CA43A0" w:rsidRPr="00024711" w:rsidRDefault="00CA43A0" w:rsidP="00024711">
            <w:pPr>
              <w:jc w:val="both"/>
              <w:rPr>
                <w:sz w:val="20"/>
                <w:lang w:val="fr-CA"/>
              </w:rPr>
            </w:pP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 xml:space="preserve">En octobre 2004, M. Sabean et sa passagère ont été blessés dans un accident automobile lorsque la voiture que conduisait l’auteur du délit a heurté son véhicule à une intersection. Ce conducteur était sous-assuré. La blessure la plus grave qu’a subie M. Sabean était à l’épaule et au bras gauches, ce qui a finalement nécessité une amputation pour soulager la douleur. Monsieur Sabean ne pouvait plus travailler comme ouvrier agricole et sa demande de prestations d’invalidité sous le RPC a été approuvée avec prise d’effet en février 2005. En mai 2013, un jury a accordé à M. Sabean la somme de 465 408 $ à titre de dommages-intérêts pour ses blessures. Il a reçu la somme de 382 131,13 $ de l’assureur de l’auteur du délit. Monsieur Sabean a alors fait une réclamation fondée sur les dispositions en matière d’assurance de risques successifs de sa propre police auprès de l’intimée, Portage La Prairie Mutual Insurance Company. Il y a eu un litige portant sur la déductibilité de ses futures prestations d’invalidité sous </w:t>
            </w:r>
            <w:r w:rsidRPr="00024711">
              <w:rPr>
                <w:sz w:val="20"/>
                <w:lang w:val="fr-CA"/>
              </w:rPr>
              <w:lastRenderedPageBreak/>
              <w:t>le RPC. On a demandé à la cour de statuer sur la question de savoir si la valeur de ces prestations futures devait être déduite du solde du montant des dommages-intérêts accordés. </w:t>
            </w:r>
          </w:p>
          <w:p w:rsidR="00CA43A0" w:rsidRPr="00024711" w:rsidRDefault="00CA43A0" w:rsidP="00024711">
            <w:pPr>
              <w:jc w:val="both"/>
              <w:rPr>
                <w:sz w:val="20"/>
                <w:lang w:val="fr-CA"/>
              </w:rPr>
            </w:pPr>
          </w:p>
        </w:tc>
      </w:tr>
      <w:tr w:rsidR="00CA43A0" w:rsidRPr="00024711" w:rsidTr="00024711">
        <w:trPr>
          <w:trHeight w:val="864"/>
        </w:trPr>
        <w:tc>
          <w:tcPr>
            <w:tcW w:w="2427" w:type="pct"/>
            <w:gridSpan w:val="2"/>
          </w:tcPr>
          <w:p w:rsidR="00CA43A0" w:rsidRPr="00024711" w:rsidRDefault="00CA43A0" w:rsidP="00024711">
            <w:pPr>
              <w:jc w:val="both"/>
              <w:rPr>
                <w:sz w:val="20"/>
                <w:lang w:val="fr-CA"/>
              </w:rPr>
            </w:pPr>
            <w:r w:rsidRPr="00024711">
              <w:rPr>
                <w:sz w:val="20"/>
                <w:lang w:val="fr-CA"/>
              </w:rPr>
              <w:lastRenderedPageBreak/>
              <w:t>30 septembre 2013</w:t>
            </w:r>
          </w:p>
          <w:p w:rsidR="00CA43A0" w:rsidRPr="00024711" w:rsidRDefault="00CA43A0" w:rsidP="00024711">
            <w:pPr>
              <w:jc w:val="both"/>
              <w:rPr>
                <w:sz w:val="20"/>
                <w:lang w:val="fr-CA"/>
              </w:rPr>
            </w:pPr>
            <w:r w:rsidRPr="00024711">
              <w:rPr>
                <w:sz w:val="20"/>
                <w:lang w:val="fr-CA"/>
              </w:rPr>
              <w:t>Cour suprême de la Nouvelle-Écosse, Section de première instance</w:t>
            </w:r>
          </w:p>
          <w:p w:rsidR="00CA43A0" w:rsidRPr="00024711" w:rsidRDefault="00CA43A0" w:rsidP="00024711">
            <w:pPr>
              <w:jc w:val="both"/>
              <w:rPr>
                <w:sz w:val="20"/>
                <w:lang w:val="fr-CA"/>
              </w:rPr>
            </w:pPr>
            <w:r w:rsidRPr="00024711">
              <w:rPr>
                <w:sz w:val="20"/>
                <w:lang w:val="fr-CA"/>
              </w:rPr>
              <w:t>(Juge Murray)</w:t>
            </w:r>
          </w:p>
          <w:p w:rsidR="00CA43A0" w:rsidRPr="00024711" w:rsidRDefault="00CA43A0" w:rsidP="00024711">
            <w:pPr>
              <w:jc w:val="both"/>
              <w:rPr>
                <w:sz w:val="20"/>
                <w:lang w:val="fr-CA"/>
              </w:rPr>
            </w:pPr>
            <w:hyperlink r:id="rId35" w:history="1">
              <w:r w:rsidRPr="00024711">
                <w:rPr>
                  <w:rStyle w:val="Hyperlink"/>
                  <w:sz w:val="20"/>
                  <w:lang w:val="fr-CA"/>
                </w:rPr>
                <w:t>2013 NSSC 306</w:t>
              </w:r>
            </w:hyperlink>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Jugement portant que les prestations d’invalidité futures sous le RPC ne sont pas déductibles du montant payable au titre de dommages-intérêts en application du sous-al. 4</w:t>
            </w:r>
            <w:r w:rsidRPr="00024711">
              <w:rPr>
                <w:i/>
                <w:sz w:val="20"/>
                <w:lang w:val="fr-CA"/>
              </w:rPr>
              <w:t>b</w:t>
            </w:r>
            <w:r w:rsidRPr="00024711">
              <w:rPr>
                <w:sz w:val="20"/>
                <w:lang w:val="fr-CA"/>
              </w:rPr>
              <w:t>)(vii) de l’avenant SEF 44 à la police d’assurance</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4 juin 2015</w:t>
            </w:r>
          </w:p>
          <w:p w:rsidR="00CA43A0" w:rsidRPr="00024711" w:rsidRDefault="00CA43A0" w:rsidP="00024711">
            <w:pPr>
              <w:jc w:val="both"/>
              <w:rPr>
                <w:sz w:val="20"/>
                <w:lang w:val="fr-CA"/>
              </w:rPr>
            </w:pPr>
            <w:r w:rsidRPr="00024711">
              <w:rPr>
                <w:sz w:val="20"/>
                <w:lang w:val="fr-CA"/>
              </w:rPr>
              <w:t>Cour d’appel de la Nouvelle-Écosse</w:t>
            </w:r>
          </w:p>
          <w:p w:rsidR="00CA43A0" w:rsidRPr="00024711" w:rsidRDefault="00CA43A0" w:rsidP="00024711">
            <w:pPr>
              <w:jc w:val="both"/>
              <w:rPr>
                <w:sz w:val="20"/>
                <w:lang w:val="fr-CA"/>
              </w:rPr>
            </w:pPr>
            <w:r w:rsidRPr="00024711">
              <w:rPr>
                <w:sz w:val="20"/>
                <w:lang w:val="fr-CA"/>
              </w:rPr>
              <w:t>(Juges Beveridge, Hamilton et Scanlan)</w:t>
            </w:r>
          </w:p>
          <w:p w:rsidR="00CA43A0" w:rsidRPr="00024711" w:rsidRDefault="00CA43A0" w:rsidP="00024711">
            <w:pPr>
              <w:jc w:val="both"/>
              <w:rPr>
                <w:sz w:val="20"/>
                <w:lang w:val="fr-CA"/>
              </w:rPr>
            </w:pPr>
            <w:hyperlink r:id="rId36" w:history="1">
              <w:r w:rsidRPr="00024711">
                <w:rPr>
                  <w:rStyle w:val="Hyperlink"/>
                  <w:sz w:val="20"/>
                  <w:lang w:val="fr-CA"/>
                </w:rPr>
                <w:t>2015 NSCA 53</w:t>
              </w:r>
            </w:hyperlink>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Arrêt accueillant l’appel de l’intimée en partie; les prestations d’invalidité futures sous le RPC sont déductibles des montants payables par les assureurs sous l’avenant SEF 44; renvoi de l’affaire au juge de première instance pour qu’il détermine la valeur des prestations d’invalidité futures sous le RPC</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24 août 2015</w:t>
            </w:r>
          </w:p>
          <w:p w:rsidR="00CA43A0" w:rsidRPr="00024711" w:rsidRDefault="00CA43A0" w:rsidP="00024711">
            <w:pPr>
              <w:jc w:val="both"/>
              <w:rPr>
                <w:sz w:val="20"/>
                <w:lang w:val="fr-CA"/>
              </w:rPr>
            </w:pPr>
            <w:r w:rsidRPr="00024711">
              <w:rPr>
                <w:sz w:val="20"/>
                <w:lang w:val="fr-CA"/>
              </w:rPr>
              <w:t>Cour suprême du Canada</w:t>
            </w: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Dépôt de la demande d’autorisation d’appel</w:t>
            </w:r>
          </w:p>
          <w:p w:rsidR="00CA43A0" w:rsidRPr="00024711" w:rsidRDefault="00CA43A0" w:rsidP="00024711">
            <w:pPr>
              <w:jc w:val="both"/>
              <w:rPr>
                <w:sz w:val="20"/>
                <w:lang w:val="fr-CA"/>
              </w:rPr>
            </w:pPr>
          </w:p>
        </w:tc>
      </w:tr>
    </w:tbl>
    <w:p w:rsidR="00CA43A0" w:rsidRDefault="00CA43A0" w:rsidP="00024711">
      <w:pPr>
        <w:jc w:val="both"/>
        <w:rPr>
          <w:sz w:val="20"/>
          <w:lang w:val="fr-CA"/>
        </w:rPr>
      </w:pPr>
    </w:p>
    <w:p w:rsidR="004B211C" w:rsidRPr="00024711" w:rsidRDefault="004B211C" w:rsidP="000247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rPr>
            </w:pPr>
            <w:r w:rsidRPr="00024711">
              <w:rPr>
                <w:rStyle w:val="SCCFileNumberChar"/>
                <w:sz w:val="20"/>
                <w:szCs w:val="20"/>
              </w:rPr>
              <w:t>36635</w:t>
            </w:r>
          </w:p>
        </w:tc>
        <w:tc>
          <w:tcPr>
            <w:tcW w:w="4457" w:type="pct"/>
            <w:gridSpan w:val="3"/>
          </w:tcPr>
          <w:p w:rsidR="00CA43A0" w:rsidRPr="004B211C" w:rsidRDefault="00CA43A0" w:rsidP="00024711">
            <w:pPr>
              <w:pStyle w:val="SCCLsocParty"/>
              <w:jc w:val="both"/>
              <w:rPr>
                <w:b/>
                <w:sz w:val="20"/>
                <w:szCs w:val="20"/>
                <w:lang w:val="en-US"/>
              </w:rPr>
            </w:pPr>
            <w:r w:rsidRPr="004B211C">
              <w:rPr>
                <w:b/>
                <w:sz w:val="20"/>
                <w:szCs w:val="20"/>
                <w:lang w:val="en-US"/>
              </w:rPr>
              <w:t>Peter Andrew Webster v. Her Majesty the Queen</w:t>
            </w:r>
          </w:p>
          <w:p w:rsidR="00CA43A0" w:rsidRPr="00024711" w:rsidRDefault="00CA43A0" w:rsidP="00024711">
            <w:pPr>
              <w:jc w:val="both"/>
              <w:rPr>
                <w:sz w:val="20"/>
              </w:rPr>
            </w:pPr>
            <w:r w:rsidRPr="00024711">
              <w:rPr>
                <w:sz w:val="20"/>
              </w:rPr>
              <w:t>(B.C.) (Criminal) (By Leave)</w:t>
            </w:r>
          </w:p>
        </w:tc>
      </w:tr>
      <w:tr w:rsidR="00CA43A0" w:rsidRPr="00024711" w:rsidTr="00CA43A0">
        <w:tc>
          <w:tcPr>
            <w:tcW w:w="5000" w:type="pct"/>
            <w:gridSpan w:val="4"/>
          </w:tcPr>
          <w:p w:rsidR="00CA43A0" w:rsidRPr="00024711" w:rsidRDefault="00CA43A0" w:rsidP="00024711">
            <w:pPr>
              <w:jc w:val="both"/>
              <w:rPr>
                <w:sz w:val="20"/>
              </w:rPr>
            </w:pPr>
            <w:r w:rsidRPr="00024711">
              <w:rPr>
                <w:i/>
                <w:sz w:val="20"/>
              </w:rPr>
              <w:t xml:space="preserve">Charter of Rights and Freedoms </w:t>
            </w:r>
            <w:r w:rsidRPr="00024711">
              <w:rPr>
                <w:sz w:val="20"/>
              </w:rPr>
              <w:t xml:space="preserve">– Criminal law – Unreasonable search and seizure – Evidence – Text messages – Whether there is a reasonable expectation of privacy over the common areas of a multi-unit residential building – Whether the common areas of a condominium building are captured by the </w:t>
            </w:r>
            <w:r w:rsidRPr="00024711">
              <w:rPr>
                <w:i/>
                <w:sz w:val="20"/>
              </w:rPr>
              <w:t>Criminal Code</w:t>
            </w:r>
            <w:r w:rsidRPr="00024711">
              <w:rPr>
                <w:sz w:val="20"/>
              </w:rPr>
              <w:t xml:space="preserve"> definition of a dwelling house – Whether police require judicial authorization to obtain renters’ information from a condominium building manager – Whether Part VI of </w:t>
            </w:r>
            <w:r w:rsidRPr="00024711">
              <w:rPr>
                <w:i/>
                <w:sz w:val="20"/>
              </w:rPr>
              <w:t>Criminal Code</w:t>
            </w:r>
            <w:r w:rsidRPr="00024711">
              <w:rPr>
                <w:sz w:val="20"/>
              </w:rPr>
              <w:t xml:space="preserve"> applies to historic text messages.</w:t>
            </w:r>
          </w:p>
        </w:tc>
      </w:tr>
      <w:tr w:rsidR="00CA43A0" w:rsidRPr="00024711" w:rsidTr="00CA43A0">
        <w:tc>
          <w:tcPr>
            <w:tcW w:w="5000" w:type="pct"/>
            <w:gridSpan w:val="4"/>
          </w:tcPr>
          <w:p w:rsidR="00CA43A0" w:rsidRPr="00024711" w:rsidRDefault="00CA43A0" w:rsidP="00024711">
            <w:pPr>
              <w:jc w:val="both"/>
              <w:rPr>
                <w:sz w:val="20"/>
              </w:rPr>
            </w:pPr>
          </w:p>
        </w:tc>
      </w:tr>
      <w:tr w:rsidR="00CA43A0" w:rsidRPr="00024711" w:rsidTr="00CA43A0">
        <w:tc>
          <w:tcPr>
            <w:tcW w:w="5000" w:type="pct"/>
            <w:gridSpan w:val="4"/>
          </w:tcPr>
          <w:p w:rsidR="00CA43A0" w:rsidRPr="00024711" w:rsidRDefault="00CA43A0" w:rsidP="00024711">
            <w:pPr>
              <w:jc w:val="both"/>
              <w:rPr>
                <w:sz w:val="20"/>
              </w:rPr>
            </w:pPr>
            <w:r w:rsidRPr="00024711">
              <w:rPr>
                <w:sz w:val="20"/>
              </w:rPr>
              <w:t>Police investigating cocaine and heroin trafficking believed that phone numbers connected to drug dealing also were connected to the applicant. They undertook surveillance and observed the applicant engaging in behavior they believed was consistent with drug dealing. During this surveillance they gained access to common areas of a multi-unit residential condominium building where the applicant resided and they obtained renters’ information for the building from the building manager. Police arrested the applicant in the elevator of the condominium building while he was in possession of a large quantity of cocaine. They entered his condominium unit before obtaining a search warrant, in order to remove his girlfriend, but they did not search the unit until after a search warrant was issued. They relied on a production order to obtain records of historic text messages that they entered at trial as evidence of drug dealing.</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February 18, 2013</w:t>
            </w:r>
          </w:p>
          <w:p w:rsidR="00CA43A0" w:rsidRPr="00024711" w:rsidRDefault="00CA43A0" w:rsidP="00024711">
            <w:pPr>
              <w:jc w:val="both"/>
              <w:rPr>
                <w:sz w:val="20"/>
              </w:rPr>
            </w:pPr>
            <w:r w:rsidRPr="00024711">
              <w:rPr>
                <w:sz w:val="20"/>
              </w:rPr>
              <w:t>Provincial Court of British Columbia</w:t>
            </w:r>
          </w:p>
          <w:p w:rsidR="00CA43A0" w:rsidRPr="00024711" w:rsidRDefault="00CA43A0" w:rsidP="00024711">
            <w:pPr>
              <w:jc w:val="both"/>
              <w:rPr>
                <w:sz w:val="20"/>
              </w:rPr>
            </w:pPr>
            <w:r w:rsidRPr="00024711">
              <w:rPr>
                <w:sz w:val="20"/>
              </w:rPr>
              <w:t xml:space="preserve">(Wallace J.) </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Motion to exclude evidence dismissed</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June 10, 2013</w:t>
            </w:r>
          </w:p>
          <w:p w:rsidR="00CA43A0" w:rsidRPr="00024711" w:rsidRDefault="00CA43A0" w:rsidP="00024711">
            <w:pPr>
              <w:jc w:val="both"/>
              <w:rPr>
                <w:sz w:val="20"/>
              </w:rPr>
            </w:pPr>
            <w:r w:rsidRPr="00024711">
              <w:rPr>
                <w:sz w:val="20"/>
              </w:rPr>
              <w:t>Provincial Court of British Columbia</w:t>
            </w:r>
          </w:p>
          <w:p w:rsidR="00CA43A0" w:rsidRPr="00024711" w:rsidRDefault="00CA43A0" w:rsidP="00024711">
            <w:pPr>
              <w:jc w:val="both"/>
              <w:rPr>
                <w:sz w:val="20"/>
              </w:rPr>
            </w:pPr>
            <w:r w:rsidRPr="00024711">
              <w:rPr>
                <w:sz w:val="20"/>
              </w:rPr>
              <w:t xml:space="preserve">(Wallace J.) </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Confirmation evidence admissible at trial;</w:t>
            </w:r>
          </w:p>
          <w:p w:rsidR="00CA43A0" w:rsidRPr="00024711" w:rsidRDefault="00CA43A0" w:rsidP="00024711">
            <w:pPr>
              <w:jc w:val="both"/>
              <w:rPr>
                <w:sz w:val="20"/>
              </w:rPr>
            </w:pPr>
            <w:r w:rsidRPr="00024711">
              <w:rPr>
                <w:sz w:val="20"/>
              </w:rPr>
              <w:t>Conviction for possession of cocaine for purposes of trafficking</w:t>
            </w:r>
          </w:p>
        </w:tc>
      </w:tr>
      <w:tr w:rsidR="00CA43A0" w:rsidRPr="00024711" w:rsidTr="00CA43A0">
        <w:tc>
          <w:tcPr>
            <w:tcW w:w="2427" w:type="pct"/>
            <w:gridSpan w:val="2"/>
          </w:tcPr>
          <w:p w:rsidR="00CA43A0" w:rsidRPr="00024711" w:rsidRDefault="00CA43A0" w:rsidP="00024711">
            <w:pPr>
              <w:jc w:val="both"/>
              <w:rPr>
                <w:sz w:val="20"/>
              </w:rPr>
            </w:pPr>
            <w:r w:rsidRPr="00024711">
              <w:rPr>
                <w:sz w:val="20"/>
              </w:rPr>
              <w:t xml:space="preserve">October 15, 2013 </w:t>
            </w:r>
          </w:p>
          <w:p w:rsidR="00CA43A0" w:rsidRPr="00024711" w:rsidRDefault="00CA43A0" w:rsidP="00024711">
            <w:pPr>
              <w:jc w:val="both"/>
              <w:rPr>
                <w:sz w:val="20"/>
              </w:rPr>
            </w:pPr>
            <w:r w:rsidRPr="00024711">
              <w:rPr>
                <w:sz w:val="20"/>
              </w:rPr>
              <w:t>Provincial Court of British Columbia</w:t>
            </w:r>
          </w:p>
          <w:p w:rsidR="00CA43A0" w:rsidRPr="00024711" w:rsidRDefault="00CA43A0" w:rsidP="00024711">
            <w:pPr>
              <w:jc w:val="both"/>
              <w:rPr>
                <w:sz w:val="20"/>
              </w:rPr>
            </w:pPr>
            <w:r w:rsidRPr="00024711">
              <w:rPr>
                <w:sz w:val="20"/>
              </w:rPr>
              <w:t xml:space="preserve">(Wallace J.) </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Application to re-open case dismissed</w:t>
            </w:r>
          </w:p>
        </w:tc>
      </w:tr>
      <w:tr w:rsidR="00CA43A0" w:rsidRPr="00024711" w:rsidTr="00CA43A0">
        <w:tc>
          <w:tcPr>
            <w:tcW w:w="2427" w:type="pct"/>
            <w:gridSpan w:val="2"/>
          </w:tcPr>
          <w:p w:rsidR="00CA43A0" w:rsidRPr="00024711" w:rsidRDefault="00CA43A0" w:rsidP="00024711">
            <w:pPr>
              <w:jc w:val="both"/>
              <w:rPr>
                <w:sz w:val="20"/>
              </w:rPr>
            </w:pPr>
            <w:r w:rsidRPr="00024711">
              <w:rPr>
                <w:sz w:val="20"/>
              </w:rPr>
              <w:t>June 24, 2015</w:t>
            </w:r>
          </w:p>
          <w:p w:rsidR="00CA43A0" w:rsidRPr="00024711" w:rsidRDefault="00CA43A0" w:rsidP="00024711">
            <w:pPr>
              <w:jc w:val="both"/>
              <w:rPr>
                <w:sz w:val="20"/>
              </w:rPr>
            </w:pPr>
            <w:r w:rsidRPr="00024711">
              <w:rPr>
                <w:sz w:val="20"/>
              </w:rPr>
              <w:lastRenderedPageBreak/>
              <w:t>Court of Appeal for British Columbia (Vancouver)</w:t>
            </w:r>
          </w:p>
          <w:p w:rsidR="00CA43A0" w:rsidRPr="00024711" w:rsidRDefault="00CA43A0" w:rsidP="00024711">
            <w:pPr>
              <w:jc w:val="both"/>
              <w:rPr>
                <w:sz w:val="20"/>
              </w:rPr>
            </w:pPr>
            <w:r w:rsidRPr="00024711">
              <w:rPr>
                <w:sz w:val="20"/>
              </w:rPr>
              <w:t xml:space="preserve">(Newbury, Lowry, </w:t>
            </w:r>
            <w:proofErr w:type="spellStart"/>
            <w:r w:rsidRPr="00024711">
              <w:rPr>
                <w:sz w:val="20"/>
              </w:rPr>
              <w:t>Chiasson</w:t>
            </w:r>
            <w:proofErr w:type="spellEnd"/>
            <w:r w:rsidRPr="00024711">
              <w:rPr>
                <w:sz w:val="20"/>
              </w:rPr>
              <w:t xml:space="preserve"> JJ.A.)</w:t>
            </w:r>
          </w:p>
          <w:p w:rsidR="00CA43A0" w:rsidRPr="00024711" w:rsidRDefault="00CA43A0" w:rsidP="00024711">
            <w:pPr>
              <w:jc w:val="both"/>
              <w:rPr>
                <w:rStyle w:val="Hyperlink"/>
                <w:sz w:val="20"/>
              </w:rPr>
            </w:pPr>
            <w:r w:rsidRPr="00024711">
              <w:rPr>
                <w:sz w:val="20"/>
              </w:rPr>
              <w:t xml:space="preserve">CA41426; </w:t>
            </w:r>
            <w:hyperlink r:id="rId37" w:history="1">
              <w:r w:rsidRPr="00024711">
                <w:rPr>
                  <w:rStyle w:val="Hyperlink"/>
                  <w:sz w:val="20"/>
                </w:rPr>
                <w:t>2015 BCCA 286</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Appeal dismissed</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lastRenderedPageBreak/>
              <w:t>September 23, 2015</w:t>
            </w:r>
          </w:p>
          <w:p w:rsidR="00CA43A0" w:rsidRPr="00024711" w:rsidRDefault="00CA43A0" w:rsidP="00024711">
            <w:pPr>
              <w:jc w:val="both"/>
              <w:rPr>
                <w:sz w:val="20"/>
              </w:rPr>
            </w:pPr>
            <w:r w:rsidRPr="00024711">
              <w:rPr>
                <w:sz w:val="20"/>
              </w:rPr>
              <w:t>Supreme Court of Canada</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Application for leave to appeal and request for oral hearing filed</w:t>
            </w:r>
          </w:p>
        </w:tc>
      </w:tr>
    </w:tbl>
    <w:p w:rsidR="00CA43A0" w:rsidRPr="00024711" w:rsidRDefault="00CA43A0" w:rsidP="000247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lang w:val="fr-CA"/>
              </w:rPr>
            </w:pPr>
            <w:r w:rsidRPr="00024711">
              <w:rPr>
                <w:rStyle w:val="SCCFileNumberChar"/>
                <w:sz w:val="20"/>
                <w:szCs w:val="20"/>
                <w:lang w:val="fr-CA"/>
              </w:rPr>
              <w:t>36635</w:t>
            </w:r>
          </w:p>
        </w:tc>
        <w:tc>
          <w:tcPr>
            <w:tcW w:w="4457" w:type="pct"/>
            <w:gridSpan w:val="3"/>
          </w:tcPr>
          <w:p w:rsidR="00CA43A0" w:rsidRPr="004B211C" w:rsidRDefault="00CA43A0" w:rsidP="00024711">
            <w:pPr>
              <w:pStyle w:val="SCCLsocParty"/>
              <w:jc w:val="both"/>
              <w:rPr>
                <w:b/>
                <w:sz w:val="20"/>
                <w:szCs w:val="20"/>
              </w:rPr>
            </w:pPr>
            <w:r w:rsidRPr="004B211C">
              <w:rPr>
                <w:b/>
                <w:sz w:val="20"/>
                <w:szCs w:val="20"/>
              </w:rPr>
              <w:t>Peter Andrew Webster c. Sa Majesté la Reine</w:t>
            </w:r>
          </w:p>
          <w:p w:rsidR="00CA43A0" w:rsidRPr="00024711" w:rsidRDefault="00CA43A0" w:rsidP="00024711">
            <w:pPr>
              <w:jc w:val="both"/>
              <w:rPr>
                <w:sz w:val="20"/>
                <w:lang w:val="fr-CA"/>
              </w:rPr>
            </w:pPr>
            <w:r w:rsidRPr="00024711">
              <w:rPr>
                <w:sz w:val="20"/>
                <w:lang w:val="fr-CA"/>
              </w:rPr>
              <w:t>(C.-B.) (Criminelle) (Sur autorisation)</w:t>
            </w:r>
          </w:p>
        </w:tc>
      </w:tr>
      <w:tr w:rsidR="00CA43A0" w:rsidRPr="00024711" w:rsidTr="00CA43A0">
        <w:tc>
          <w:tcPr>
            <w:tcW w:w="5000" w:type="pct"/>
            <w:gridSpan w:val="4"/>
          </w:tcPr>
          <w:p w:rsidR="00CA43A0" w:rsidRPr="00024711" w:rsidRDefault="00CA43A0" w:rsidP="00024711">
            <w:pPr>
              <w:jc w:val="both"/>
              <w:rPr>
                <w:sz w:val="20"/>
                <w:lang w:val="fr-CA"/>
              </w:rPr>
            </w:pPr>
            <w:r w:rsidRPr="00024711">
              <w:rPr>
                <w:i/>
                <w:sz w:val="20"/>
                <w:lang w:val="fr-CA"/>
              </w:rPr>
              <w:t xml:space="preserve">Charte des droits et libertés </w:t>
            </w:r>
            <w:r w:rsidRPr="00024711">
              <w:rPr>
                <w:sz w:val="20"/>
                <w:lang w:val="fr-CA"/>
              </w:rPr>
              <w:t xml:space="preserve">– Droit criminel – Fouilles, perquisitions et saisies abusives – Preuve – Messages textes – Y a-t-il une attente raisonnable en matière de vie privée quant aux espaces communs d’un immeuble résidentiel à logements multiples? – Les espaces communs d’un immeuble en copropriété divise sont-ils compris dans la définition de maison d’habitation du </w:t>
            </w:r>
            <w:r w:rsidRPr="00024711">
              <w:rPr>
                <w:i/>
                <w:sz w:val="20"/>
                <w:lang w:val="fr-CA"/>
              </w:rPr>
              <w:t>Code criminel</w:t>
            </w:r>
            <w:r w:rsidRPr="00024711">
              <w:rPr>
                <w:sz w:val="20"/>
                <w:lang w:val="fr-CA"/>
              </w:rPr>
              <w:t>?</w:t>
            </w:r>
            <w:r w:rsidRPr="00024711">
              <w:rPr>
                <w:i/>
                <w:sz w:val="20"/>
                <w:lang w:val="fr-CA"/>
              </w:rPr>
              <w:t xml:space="preserve"> </w:t>
            </w:r>
            <w:r w:rsidRPr="00024711">
              <w:rPr>
                <w:sz w:val="20"/>
                <w:lang w:val="fr-CA"/>
              </w:rPr>
              <w:t xml:space="preserve">– Un policier a-t-il besoin d’une autorisation judiciaire pour obtenir, de la part du gestionnaire d’un immeuble en copropriété indivise, des renseignements sur des locataires? – La Partie VI du </w:t>
            </w:r>
            <w:r w:rsidRPr="00024711">
              <w:rPr>
                <w:i/>
                <w:sz w:val="20"/>
                <w:lang w:val="fr-CA"/>
              </w:rPr>
              <w:t>Code criminel</w:t>
            </w:r>
            <w:r w:rsidRPr="00024711">
              <w:rPr>
                <w:sz w:val="20"/>
                <w:lang w:val="fr-CA"/>
              </w:rPr>
              <w:t xml:space="preserve"> s’applique-t-elle à l’historique de messages textes?</w:t>
            </w:r>
          </w:p>
        </w:tc>
      </w:tr>
      <w:tr w:rsidR="00CA43A0" w:rsidRPr="00024711" w:rsidTr="00CA43A0">
        <w:tc>
          <w:tcPr>
            <w:tcW w:w="5000" w:type="pct"/>
            <w:gridSpan w:val="4"/>
          </w:tcPr>
          <w:p w:rsidR="00CA43A0" w:rsidRPr="00024711" w:rsidRDefault="00CA43A0" w:rsidP="00024711">
            <w:pPr>
              <w:jc w:val="both"/>
              <w:rPr>
                <w:sz w:val="20"/>
                <w:lang w:val="fr-CA"/>
              </w:rPr>
            </w:pP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 xml:space="preserve">Des policiers qui enquêtaient sur une affaire de trafic de cocaïne et d’héroïne croyaient que des numéros de téléphone liés au trafic de stupéfiants étaient également liés au demandeur. Ils ont entrepris une opération de surveillance et ont observé que le demandeur se comportait comme quelqu’un qui, croyaient-ils, s’adonnait au trafic de stupéfiants. Pendant cette opération de surveillance, ils ont obtenu accès aux espaces communs d’un immeuble à logements multiples en copropriété divise où habitait le demandeur et ils ont obtenu, de la part du gestionnaire de l’immeuble, des renseignements sur des locataires relativement à l’immeuble. Les policiers ont arrêté le demandeur dans l’ascenseur de l’immeuble alors qu’il était en possession d’une quantité importante de cocaïne. Ils sont entrés dans le logement du demandeur avant d’obtenir un mandat de perquisition afin de faire sortir des lieux la petite amie du demandeur, mais ils n’ont pas perquisitionné le logement tant qu’un mandat de perquisition n’a pas été décerné.  Les policiers se sont appuyés sur une ordonnance de communication pour obtenir des relevés de l’historique de messages textes qu’ils ont produits au procès comme preuve du trafic de stupéfiants.   </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18 février 2013</w:t>
            </w:r>
          </w:p>
          <w:p w:rsidR="00CA43A0" w:rsidRPr="00024711" w:rsidRDefault="00CA43A0" w:rsidP="00024711">
            <w:pPr>
              <w:jc w:val="both"/>
              <w:rPr>
                <w:sz w:val="20"/>
                <w:lang w:val="fr-CA"/>
              </w:rPr>
            </w:pPr>
            <w:r w:rsidRPr="00024711">
              <w:rPr>
                <w:sz w:val="20"/>
                <w:lang w:val="fr-CA"/>
              </w:rPr>
              <w:t>Cour provinciale de la Colombie-Britannique</w:t>
            </w:r>
          </w:p>
          <w:p w:rsidR="00CA43A0" w:rsidRPr="00024711" w:rsidRDefault="00CA43A0" w:rsidP="00024711">
            <w:pPr>
              <w:jc w:val="both"/>
              <w:rPr>
                <w:sz w:val="20"/>
                <w:lang w:val="fr-CA"/>
              </w:rPr>
            </w:pPr>
            <w:r w:rsidRPr="00024711">
              <w:rPr>
                <w:sz w:val="20"/>
                <w:lang w:val="fr-CA"/>
              </w:rPr>
              <w:t xml:space="preserve">(Juge Wallace) </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Rejet de la requête d’exclusion de la preuve</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10 juin 2013</w:t>
            </w:r>
          </w:p>
          <w:p w:rsidR="00CA43A0" w:rsidRPr="00024711" w:rsidRDefault="00CA43A0" w:rsidP="00024711">
            <w:pPr>
              <w:jc w:val="both"/>
              <w:rPr>
                <w:sz w:val="20"/>
                <w:lang w:val="fr-CA"/>
              </w:rPr>
            </w:pPr>
            <w:r w:rsidRPr="00024711">
              <w:rPr>
                <w:sz w:val="20"/>
                <w:lang w:val="fr-CA"/>
              </w:rPr>
              <w:t>Cour provinciale de la Colombie-Britannique</w:t>
            </w:r>
          </w:p>
          <w:p w:rsidR="00CA43A0" w:rsidRPr="00024711" w:rsidRDefault="00CA43A0" w:rsidP="00024711">
            <w:pPr>
              <w:jc w:val="both"/>
              <w:rPr>
                <w:sz w:val="20"/>
                <w:lang w:val="fr-CA"/>
              </w:rPr>
            </w:pPr>
            <w:r w:rsidRPr="00024711">
              <w:rPr>
                <w:sz w:val="20"/>
                <w:lang w:val="fr-CA"/>
              </w:rPr>
              <w:t xml:space="preserve">(Juge Wallace) </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Décision portant que la preuve de confirmation est admissible au procès;</w:t>
            </w:r>
          </w:p>
          <w:p w:rsidR="00CA43A0" w:rsidRPr="00024711" w:rsidRDefault="00CA43A0" w:rsidP="00024711">
            <w:pPr>
              <w:jc w:val="both"/>
              <w:rPr>
                <w:sz w:val="20"/>
                <w:lang w:val="fr-CA"/>
              </w:rPr>
            </w:pPr>
            <w:r w:rsidRPr="00024711">
              <w:rPr>
                <w:sz w:val="20"/>
                <w:lang w:val="fr-CA"/>
              </w:rPr>
              <w:t>Déclaration de culpabilité de possession de cocaïne en vue d’en faire le trafic</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 xml:space="preserve">15 octobre 2013 </w:t>
            </w:r>
          </w:p>
          <w:p w:rsidR="00CA43A0" w:rsidRPr="00024711" w:rsidRDefault="00CA43A0" w:rsidP="00024711">
            <w:pPr>
              <w:jc w:val="both"/>
              <w:rPr>
                <w:sz w:val="20"/>
                <w:lang w:val="fr-CA"/>
              </w:rPr>
            </w:pPr>
            <w:r w:rsidRPr="00024711">
              <w:rPr>
                <w:sz w:val="20"/>
                <w:lang w:val="fr-CA"/>
              </w:rPr>
              <w:t>Cour provinciale de la Colombie-Britannique</w:t>
            </w:r>
          </w:p>
          <w:p w:rsidR="00CA43A0" w:rsidRPr="00024711" w:rsidRDefault="00CA43A0" w:rsidP="00024711">
            <w:pPr>
              <w:jc w:val="both"/>
              <w:rPr>
                <w:sz w:val="20"/>
                <w:lang w:val="fr-CA"/>
              </w:rPr>
            </w:pPr>
            <w:r w:rsidRPr="00024711">
              <w:rPr>
                <w:sz w:val="20"/>
                <w:lang w:val="fr-CA"/>
              </w:rPr>
              <w:t xml:space="preserve">(Juge Wallace) </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Rejet de la demande de réouverture de l’affaire</w:t>
            </w: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24 juin 2015</w:t>
            </w:r>
          </w:p>
          <w:p w:rsidR="00CA43A0" w:rsidRPr="00024711" w:rsidRDefault="00CA43A0" w:rsidP="00024711">
            <w:pPr>
              <w:jc w:val="both"/>
              <w:rPr>
                <w:sz w:val="20"/>
                <w:lang w:val="fr-CA"/>
              </w:rPr>
            </w:pPr>
            <w:r w:rsidRPr="00024711">
              <w:rPr>
                <w:sz w:val="20"/>
                <w:lang w:val="fr-CA"/>
              </w:rPr>
              <w:t>Cour d’appel de la Colombie-Britannique (Vancouver)</w:t>
            </w:r>
          </w:p>
          <w:p w:rsidR="00CA43A0" w:rsidRPr="00024711" w:rsidRDefault="00CA43A0" w:rsidP="00024711">
            <w:pPr>
              <w:jc w:val="both"/>
              <w:rPr>
                <w:sz w:val="20"/>
                <w:lang w:val="fr-CA"/>
              </w:rPr>
            </w:pPr>
            <w:r w:rsidRPr="00024711">
              <w:rPr>
                <w:sz w:val="20"/>
                <w:lang w:val="fr-CA"/>
              </w:rPr>
              <w:t>(Juges Newbury, Lowry et Chiasson)</w:t>
            </w:r>
          </w:p>
          <w:p w:rsidR="00CA43A0" w:rsidRPr="00024711" w:rsidRDefault="00CA43A0" w:rsidP="00024711">
            <w:pPr>
              <w:jc w:val="both"/>
              <w:rPr>
                <w:rStyle w:val="Hyperlink"/>
                <w:sz w:val="20"/>
                <w:lang w:val="fr-CA"/>
              </w:rPr>
            </w:pPr>
            <w:r w:rsidRPr="00024711">
              <w:rPr>
                <w:sz w:val="20"/>
                <w:lang w:val="fr-CA"/>
              </w:rPr>
              <w:t xml:space="preserve">CA41426; </w:t>
            </w:r>
            <w:hyperlink r:id="rId38" w:history="1">
              <w:r w:rsidRPr="00024711">
                <w:rPr>
                  <w:rStyle w:val="Hyperlink"/>
                  <w:sz w:val="20"/>
                  <w:lang w:val="fr-CA"/>
                </w:rPr>
                <w:t>2015 BCCA 286</w:t>
              </w:r>
            </w:hyperlink>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Rejet de l’appel</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23 septembre 2015</w:t>
            </w:r>
          </w:p>
          <w:p w:rsidR="00CA43A0" w:rsidRPr="00024711" w:rsidRDefault="00CA43A0" w:rsidP="00024711">
            <w:pPr>
              <w:jc w:val="both"/>
              <w:rPr>
                <w:sz w:val="20"/>
                <w:lang w:val="fr-CA"/>
              </w:rPr>
            </w:pPr>
            <w:r w:rsidRPr="00024711">
              <w:rPr>
                <w:sz w:val="20"/>
                <w:lang w:val="fr-CA"/>
              </w:rPr>
              <w:t>Cour suprême du Canada</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Dépôt de la demande d’autorisation d’appel et de la demande d’audience orale</w:t>
            </w:r>
          </w:p>
        </w:tc>
      </w:tr>
    </w:tbl>
    <w:p w:rsidR="00CA43A0" w:rsidRPr="00024711" w:rsidRDefault="00CA43A0" w:rsidP="0002471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rPr>
            </w:pPr>
            <w:r w:rsidRPr="00024711">
              <w:rPr>
                <w:rStyle w:val="SCCFileNumberChar"/>
                <w:sz w:val="20"/>
                <w:szCs w:val="20"/>
              </w:rPr>
              <w:lastRenderedPageBreak/>
              <w:t>36588</w:t>
            </w:r>
          </w:p>
        </w:tc>
        <w:tc>
          <w:tcPr>
            <w:tcW w:w="4457" w:type="pct"/>
            <w:gridSpan w:val="3"/>
          </w:tcPr>
          <w:p w:rsidR="00CA43A0" w:rsidRPr="004B211C" w:rsidRDefault="00CA43A0" w:rsidP="00024711">
            <w:pPr>
              <w:pStyle w:val="SCCLsocParty"/>
              <w:jc w:val="both"/>
              <w:rPr>
                <w:b/>
                <w:sz w:val="20"/>
                <w:szCs w:val="20"/>
                <w:lang w:val="en-US"/>
              </w:rPr>
            </w:pPr>
            <w:r w:rsidRPr="004B211C">
              <w:rPr>
                <w:b/>
                <w:sz w:val="20"/>
                <w:szCs w:val="20"/>
                <w:lang w:val="en-US"/>
              </w:rPr>
              <w:t>Robert Glen Harrison v. British Columbia (Law Society), Angus Gunn</w:t>
            </w:r>
          </w:p>
          <w:p w:rsidR="00CA43A0" w:rsidRPr="00024711" w:rsidRDefault="00CA43A0" w:rsidP="00024711">
            <w:pPr>
              <w:jc w:val="both"/>
              <w:rPr>
                <w:sz w:val="20"/>
              </w:rPr>
            </w:pPr>
            <w:r w:rsidRPr="00024711">
              <w:rPr>
                <w:sz w:val="20"/>
              </w:rPr>
              <w:t>(B.C.) (Civil) (By Leave)</w:t>
            </w:r>
          </w:p>
        </w:tc>
      </w:tr>
      <w:tr w:rsidR="00CA43A0" w:rsidRPr="00024711" w:rsidTr="00CA43A0">
        <w:tc>
          <w:tcPr>
            <w:tcW w:w="5000" w:type="pct"/>
            <w:gridSpan w:val="4"/>
          </w:tcPr>
          <w:p w:rsidR="00CA43A0" w:rsidRPr="00024711" w:rsidRDefault="00CA43A0" w:rsidP="00024711">
            <w:pPr>
              <w:jc w:val="both"/>
              <w:rPr>
                <w:sz w:val="20"/>
              </w:rPr>
            </w:pPr>
            <w:r w:rsidRPr="00024711">
              <w:rPr>
                <w:i/>
                <w:sz w:val="20"/>
              </w:rPr>
              <w:t>Charter of Rights</w:t>
            </w:r>
            <w:r w:rsidRPr="00024711">
              <w:rPr>
                <w:sz w:val="20"/>
              </w:rPr>
              <w:t xml:space="preserve"> – Right to life, liberty and security of the person – Right to equality – Whether courts below erred in concluding that Law Society’s investigation was exempt from judicial review – Whether courts below wrongly dismissed plaintiff’s claims for duty before determining if children’s ministry’s actions were consistent with good faith requirement in </w:t>
            </w:r>
            <w:proofErr w:type="spellStart"/>
            <w:r w:rsidRPr="00024711">
              <w:rPr>
                <w:i/>
                <w:sz w:val="20"/>
              </w:rPr>
              <w:t>Syl</w:t>
            </w:r>
            <w:proofErr w:type="spellEnd"/>
            <w:r w:rsidRPr="00024711">
              <w:rPr>
                <w:i/>
                <w:sz w:val="20"/>
              </w:rPr>
              <w:t xml:space="preserve"> Apps Secure Treatment Centre v. B.D</w:t>
            </w:r>
            <w:r w:rsidRPr="00024711">
              <w:rPr>
                <w:sz w:val="20"/>
              </w:rPr>
              <w:t xml:space="preserve">., 2007 SCC 38 – Whether applicant has remedy under s. 24(1) of </w:t>
            </w:r>
            <w:r w:rsidRPr="00024711">
              <w:rPr>
                <w:i/>
                <w:sz w:val="20"/>
              </w:rPr>
              <w:t xml:space="preserve">Charter </w:t>
            </w:r>
            <w:r w:rsidRPr="00024711">
              <w:rPr>
                <w:sz w:val="20"/>
              </w:rPr>
              <w:t>in relation to an act or omission of Government of British Columbia.</w:t>
            </w:r>
          </w:p>
        </w:tc>
      </w:tr>
      <w:tr w:rsidR="00CA43A0" w:rsidRPr="00024711" w:rsidTr="00CA43A0">
        <w:tc>
          <w:tcPr>
            <w:tcW w:w="5000" w:type="pct"/>
            <w:gridSpan w:val="4"/>
          </w:tcPr>
          <w:p w:rsidR="00CA43A0" w:rsidRPr="00024711" w:rsidRDefault="00CA43A0" w:rsidP="00024711">
            <w:pPr>
              <w:jc w:val="both"/>
              <w:rPr>
                <w:sz w:val="20"/>
              </w:rPr>
            </w:pPr>
          </w:p>
        </w:tc>
      </w:tr>
      <w:tr w:rsidR="00CA43A0" w:rsidRPr="00024711" w:rsidTr="00CA43A0">
        <w:tc>
          <w:tcPr>
            <w:tcW w:w="5000" w:type="pct"/>
            <w:gridSpan w:val="4"/>
          </w:tcPr>
          <w:p w:rsidR="00CA43A0" w:rsidRPr="00024711" w:rsidRDefault="00CA43A0" w:rsidP="00024711">
            <w:pPr>
              <w:jc w:val="both"/>
              <w:rPr>
                <w:sz w:val="20"/>
              </w:rPr>
            </w:pPr>
            <w:r w:rsidRPr="00024711">
              <w:rPr>
                <w:sz w:val="20"/>
              </w:rPr>
              <w:t>The applicant, Mr. Harrison, made a complaint to the Law Society about the quality of the advice that he received from his lawyer, the respondent, Mr. Gunn, in connection with a civil claim that was dismissed. The investigator into the complaint concluded that there was insufficient evidence to support an allegation of professional misconduct on the part of Mr. Gunn. The Review Committee declined to take any further action and closed their file. Mr. Harrison sought judicial review of that decision.</w:t>
            </w: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February 17, 2015</w:t>
            </w:r>
          </w:p>
          <w:p w:rsidR="00CA43A0" w:rsidRPr="00024711" w:rsidRDefault="00CA43A0" w:rsidP="00024711">
            <w:pPr>
              <w:jc w:val="both"/>
              <w:rPr>
                <w:sz w:val="20"/>
              </w:rPr>
            </w:pPr>
            <w:r w:rsidRPr="00024711">
              <w:rPr>
                <w:sz w:val="20"/>
              </w:rPr>
              <w:t>Supreme Court of British Columbia</w:t>
            </w:r>
          </w:p>
          <w:p w:rsidR="00CA43A0" w:rsidRPr="00024711" w:rsidRDefault="00CA43A0" w:rsidP="00024711">
            <w:pPr>
              <w:jc w:val="both"/>
              <w:rPr>
                <w:sz w:val="20"/>
              </w:rPr>
            </w:pPr>
            <w:r w:rsidRPr="00024711">
              <w:rPr>
                <w:sz w:val="20"/>
              </w:rPr>
              <w:t>(</w:t>
            </w:r>
            <w:proofErr w:type="spellStart"/>
            <w:r w:rsidRPr="00024711">
              <w:rPr>
                <w:sz w:val="20"/>
              </w:rPr>
              <w:t>Grauer</w:t>
            </w:r>
            <w:proofErr w:type="spellEnd"/>
            <w:r w:rsidRPr="00024711">
              <w:rPr>
                <w:sz w:val="20"/>
              </w:rPr>
              <w:t xml:space="preserve"> J.)</w:t>
            </w:r>
          </w:p>
          <w:p w:rsidR="00CA43A0" w:rsidRPr="00024711" w:rsidRDefault="00CA43A0" w:rsidP="00024711">
            <w:pPr>
              <w:jc w:val="both"/>
              <w:rPr>
                <w:sz w:val="20"/>
              </w:rPr>
            </w:pPr>
            <w:hyperlink r:id="rId39" w:history="1">
              <w:r w:rsidRPr="00024711">
                <w:rPr>
                  <w:rStyle w:val="Hyperlink"/>
                  <w:sz w:val="20"/>
                </w:rPr>
                <w:t>2015 BCSC 211</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Applicant’s application for judicial review of decision of Law Society’s Complainants’ Review Committee dismissed</w:t>
            </w:r>
          </w:p>
          <w:p w:rsidR="00CA43A0" w:rsidRPr="00024711" w:rsidRDefault="00CA43A0" w:rsidP="00024711">
            <w:pPr>
              <w:jc w:val="both"/>
              <w:rPr>
                <w:sz w:val="20"/>
              </w:rPr>
            </w:pP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June 3, 2015</w:t>
            </w:r>
          </w:p>
          <w:p w:rsidR="00CA43A0" w:rsidRPr="00024711" w:rsidRDefault="00CA43A0" w:rsidP="00024711">
            <w:pPr>
              <w:jc w:val="both"/>
              <w:rPr>
                <w:sz w:val="20"/>
              </w:rPr>
            </w:pPr>
            <w:r w:rsidRPr="00024711">
              <w:rPr>
                <w:sz w:val="20"/>
              </w:rPr>
              <w:t xml:space="preserve">Court of Appeal for British Columbia </w:t>
            </w:r>
          </w:p>
          <w:p w:rsidR="00CA43A0" w:rsidRPr="00024711" w:rsidRDefault="00CA43A0" w:rsidP="00024711">
            <w:pPr>
              <w:jc w:val="both"/>
              <w:rPr>
                <w:sz w:val="20"/>
              </w:rPr>
            </w:pPr>
            <w:r w:rsidRPr="00024711">
              <w:rPr>
                <w:sz w:val="20"/>
              </w:rPr>
              <w:t>(Vancouver)</w:t>
            </w:r>
          </w:p>
          <w:p w:rsidR="00CA43A0" w:rsidRPr="00024711" w:rsidRDefault="00CA43A0" w:rsidP="00024711">
            <w:pPr>
              <w:jc w:val="both"/>
              <w:rPr>
                <w:sz w:val="20"/>
              </w:rPr>
            </w:pPr>
            <w:r w:rsidRPr="00024711">
              <w:rPr>
                <w:sz w:val="20"/>
              </w:rPr>
              <w:t xml:space="preserve">(Newbury, </w:t>
            </w:r>
            <w:proofErr w:type="spellStart"/>
            <w:r w:rsidRPr="00024711">
              <w:rPr>
                <w:sz w:val="20"/>
              </w:rPr>
              <w:t>Tysoe</w:t>
            </w:r>
            <w:proofErr w:type="spellEnd"/>
            <w:r w:rsidRPr="00024711">
              <w:rPr>
                <w:sz w:val="20"/>
              </w:rPr>
              <w:t xml:space="preserve"> and Savage JJ.A.)</w:t>
            </w:r>
          </w:p>
          <w:p w:rsidR="00CA43A0" w:rsidRPr="00024711" w:rsidRDefault="00CA43A0" w:rsidP="00024711">
            <w:pPr>
              <w:jc w:val="both"/>
              <w:rPr>
                <w:sz w:val="20"/>
              </w:rPr>
            </w:pPr>
            <w:hyperlink r:id="rId40" w:history="1">
              <w:r w:rsidRPr="00024711">
                <w:rPr>
                  <w:rStyle w:val="Hyperlink"/>
                  <w:sz w:val="20"/>
                </w:rPr>
                <w:t>2015 BCCA 258</w:t>
              </w:r>
            </w:hyperlink>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Applicant’s appeal dismissed</w:t>
            </w:r>
          </w:p>
          <w:p w:rsidR="00CA43A0" w:rsidRPr="00024711" w:rsidRDefault="00CA43A0" w:rsidP="00024711">
            <w:pPr>
              <w:jc w:val="both"/>
              <w:rPr>
                <w:sz w:val="20"/>
              </w:rPr>
            </w:pPr>
          </w:p>
          <w:p w:rsidR="00CA43A0" w:rsidRPr="00024711" w:rsidRDefault="00CA43A0" w:rsidP="00024711">
            <w:pPr>
              <w:jc w:val="both"/>
              <w:rPr>
                <w:sz w:val="20"/>
              </w:rPr>
            </w:pPr>
          </w:p>
        </w:tc>
      </w:tr>
      <w:tr w:rsidR="00CA43A0" w:rsidRPr="00024711" w:rsidTr="00CA43A0">
        <w:tc>
          <w:tcPr>
            <w:tcW w:w="2427" w:type="pct"/>
            <w:gridSpan w:val="2"/>
          </w:tcPr>
          <w:p w:rsidR="00CA43A0" w:rsidRPr="00024711" w:rsidRDefault="00CA43A0" w:rsidP="00024711">
            <w:pPr>
              <w:jc w:val="both"/>
              <w:rPr>
                <w:sz w:val="20"/>
              </w:rPr>
            </w:pPr>
            <w:r w:rsidRPr="00024711">
              <w:rPr>
                <w:sz w:val="20"/>
              </w:rPr>
              <w:t>September 1, 2015</w:t>
            </w:r>
          </w:p>
          <w:p w:rsidR="00CA43A0" w:rsidRPr="00024711" w:rsidRDefault="00CA43A0" w:rsidP="00024711">
            <w:pPr>
              <w:jc w:val="both"/>
              <w:rPr>
                <w:sz w:val="20"/>
              </w:rPr>
            </w:pPr>
            <w:r w:rsidRPr="00024711">
              <w:rPr>
                <w:sz w:val="20"/>
              </w:rPr>
              <w:t>Supreme Court of Canada</w:t>
            </w:r>
          </w:p>
          <w:p w:rsidR="00CA43A0" w:rsidRPr="00024711" w:rsidRDefault="00CA43A0" w:rsidP="00024711">
            <w:pPr>
              <w:jc w:val="both"/>
              <w:rPr>
                <w:sz w:val="20"/>
              </w:rPr>
            </w:pPr>
          </w:p>
        </w:tc>
        <w:tc>
          <w:tcPr>
            <w:tcW w:w="243" w:type="pct"/>
          </w:tcPr>
          <w:p w:rsidR="00CA43A0" w:rsidRPr="00024711" w:rsidRDefault="00CA43A0" w:rsidP="00024711">
            <w:pPr>
              <w:jc w:val="both"/>
              <w:rPr>
                <w:sz w:val="20"/>
              </w:rPr>
            </w:pPr>
          </w:p>
        </w:tc>
        <w:tc>
          <w:tcPr>
            <w:tcW w:w="2330" w:type="pct"/>
          </w:tcPr>
          <w:p w:rsidR="00CA43A0" w:rsidRPr="00024711" w:rsidRDefault="00CA43A0" w:rsidP="00024711">
            <w:pPr>
              <w:jc w:val="both"/>
              <w:rPr>
                <w:sz w:val="20"/>
              </w:rPr>
            </w:pPr>
            <w:r w:rsidRPr="00024711">
              <w:rPr>
                <w:sz w:val="20"/>
              </w:rPr>
              <w:t>Application for leave to appeal filed</w:t>
            </w:r>
          </w:p>
          <w:p w:rsidR="00CA43A0" w:rsidRPr="00024711" w:rsidRDefault="00CA43A0" w:rsidP="00024711">
            <w:pPr>
              <w:jc w:val="both"/>
              <w:rPr>
                <w:sz w:val="20"/>
              </w:rPr>
            </w:pPr>
          </w:p>
        </w:tc>
      </w:tr>
    </w:tbl>
    <w:p w:rsidR="00CA43A0" w:rsidRPr="00024711" w:rsidRDefault="00CA43A0" w:rsidP="0002471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43A0" w:rsidRPr="00024711" w:rsidTr="00CA43A0">
        <w:tc>
          <w:tcPr>
            <w:tcW w:w="543" w:type="pct"/>
          </w:tcPr>
          <w:p w:rsidR="00CA43A0" w:rsidRPr="00024711" w:rsidRDefault="00CA43A0" w:rsidP="00024711">
            <w:pPr>
              <w:jc w:val="both"/>
              <w:rPr>
                <w:sz w:val="20"/>
                <w:lang w:val="fr-CA"/>
              </w:rPr>
            </w:pPr>
            <w:r w:rsidRPr="00024711">
              <w:rPr>
                <w:rStyle w:val="SCCFileNumberChar"/>
                <w:sz w:val="20"/>
                <w:szCs w:val="20"/>
                <w:lang w:val="fr-CA"/>
              </w:rPr>
              <w:t>36588</w:t>
            </w:r>
          </w:p>
        </w:tc>
        <w:tc>
          <w:tcPr>
            <w:tcW w:w="4457" w:type="pct"/>
            <w:gridSpan w:val="3"/>
          </w:tcPr>
          <w:p w:rsidR="00CA43A0" w:rsidRPr="004B211C" w:rsidRDefault="00CA43A0" w:rsidP="00024711">
            <w:pPr>
              <w:pStyle w:val="SCCLsocParty"/>
              <w:jc w:val="both"/>
              <w:rPr>
                <w:b/>
                <w:sz w:val="20"/>
                <w:szCs w:val="20"/>
              </w:rPr>
            </w:pPr>
            <w:r w:rsidRPr="004B211C">
              <w:rPr>
                <w:b/>
                <w:sz w:val="20"/>
                <w:szCs w:val="20"/>
              </w:rPr>
              <w:t>Robert Glen Harrison c. Colombie-Britannique (Law Society), Angus Gunn</w:t>
            </w:r>
          </w:p>
          <w:p w:rsidR="00CA43A0" w:rsidRPr="00024711" w:rsidRDefault="00CA43A0" w:rsidP="00024711">
            <w:pPr>
              <w:jc w:val="both"/>
              <w:rPr>
                <w:sz w:val="20"/>
                <w:lang w:val="fr-CA"/>
              </w:rPr>
            </w:pPr>
            <w:r w:rsidRPr="00024711">
              <w:rPr>
                <w:sz w:val="20"/>
                <w:lang w:val="fr-CA"/>
              </w:rPr>
              <w:t>(C.-B.) (Civile) (Sur autorisation)</w:t>
            </w:r>
          </w:p>
        </w:tc>
      </w:tr>
      <w:tr w:rsidR="00CA43A0" w:rsidRPr="00024711" w:rsidTr="00CA43A0">
        <w:tc>
          <w:tcPr>
            <w:tcW w:w="5000" w:type="pct"/>
            <w:gridSpan w:val="4"/>
          </w:tcPr>
          <w:p w:rsidR="00CA43A0" w:rsidRPr="00024711" w:rsidRDefault="00CA43A0" w:rsidP="00024711">
            <w:pPr>
              <w:jc w:val="both"/>
              <w:rPr>
                <w:sz w:val="20"/>
                <w:lang w:val="fr-CA"/>
              </w:rPr>
            </w:pPr>
            <w:r w:rsidRPr="00024711">
              <w:rPr>
                <w:i/>
                <w:sz w:val="20"/>
                <w:lang w:val="fr-CA"/>
              </w:rPr>
              <w:t>Charte des droits</w:t>
            </w:r>
            <w:r w:rsidRPr="00024711">
              <w:rPr>
                <w:sz w:val="20"/>
                <w:lang w:val="fr-CA"/>
              </w:rPr>
              <w:t xml:space="preserve"> – Droit à la vie, à la liberté et à la sécurité de la personne – Droit à l’égalité – Les juridictions inférieures ont-elles eu tort de conclure que l’enquête du barreau ne pouvait pas être l’objet d’un contrôle judiciaire? – Les juridictions inférieures ont-elles rejeté à tort les réclamations du demandeur fondées sur une obligation de diligence avant de déterminer si les gestes posés par le ministère des services à l’enfance étaient conformes à l’exigence de bonne foi établie dans l’arrêt </w:t>
            </w:r>
            <w:r w:rsidRPr="00024711">
              <w:rPr>
                <w:i/>
                <w:sz w:val="20"/>
                <w:lang w:val="fr-CA"/>
              </w:rPr>
              <w:t>Syl Apps Secure Treatment Centre c. B.D</w:t>
            </w:r>
            <w:r w:rsidRPr="00024711">
              <w:rPr>
                <w:sz w:val="20"/>
                <w:lang w:val="fr-CA"/>
              </w:rPr>
              <w:t xml:space="preserve">., 2007 SCC 38? – Le demandeur a-t-il un recours fondé sur le par. 24(1) de la </w:t>
            </w:r>
            <w:r w:rsidRPr="00024711">
              <w:rPr>
                <w:i/>
                <w:sz w:val="20"/>
                <w:lang w:val="fr-CA"/>
              </w:rPr>
              <w:t xml:space="preserve">Charte </w:t>
            </w:r>
            <w:r w:rsidRPr="00024711">
              <w:rPr>
                <w:sz w:val="20"/>
                <w:lang w:val="fr-CA"/>
              </w:rPr>
              <w:t>en lien avec un acte ou une omission du gouvernement de la Colombie-Britannique?</w:t>
            </w:r>
          </w:p>
        </w:tc>
      </w:tr>
      <w:tr w:rsidR="00CA43A0" w:rsidRPr="00024711" w:rsidTr="00CA43A0">
        <w:tc>
          <w:tcPr>
            <w:tcW w:w="5000" w:type="pct"/>
            <w:gridSpan w:val="4"/>
          </w:tcPr>
          <w:p w:rsidR="00CA43A0" w:rsidRPr="00024711" w:rsidRDefault="00CA43A0" w:rsidP="00024711">
            <w:pPr>
              <w:jc w:val="both"/>
              <w:rPr>
                <w:sz w:val="20"/>
                <w:lang w:val="fr-CA"/>
              </w:rPr>
            </w:pPr>
          </w:p>
        </w:tc>
      </w:tr>
      <w:tr w:rsidR="00CA43A0" w:rsidRPr="00024711" w:rsidTr="00CA43A0">
        <w:tc>
          <w:tcPr>
            <w:tcW w:w="5000" w:type="pct"/>
            <w:gridSpan w:val="4"/>
          </w:tcPr>
          <w:p w:rsidR="00CA43A0" w:rsidRPr="00024711" w:rsidRDefault="00CA43A0" w:rsidP="00024711">
            <w:pPr>
              <w:jc w:val="both"/>
              <w:rPr>
                <w:sz w:val="20"/>
                <w:lang w:val="fr-CA"/>
              </w:rPr>
            </w:pPr>
            <w:r w:rsidRPr="00024711">
              <w:rPr>
                <w:sz w:val="20"/>
                <w:lang w:val="fr-CA"/>
              </w:rPr>
              <w:t>Le demandeur, M. Harrison, a porté plainte au barreau au sujet de la qualité des conseils qu’il avait reçus de son avocat, l’intimé, M</w:t>
            </w:r>
            <w:r w:rsidRPr="00024711">
              <w:rPr>
                <w:sz w:val="20"/>
                <w:vertAlign w:val="superscript"/>
                <w:lang w:val="fr-CA"/>
              </w:rPr>
              <w:t>e</w:t>
            </w:r>
            <w:r w:rsidRPr="00024711">
              <w:rPr>
                <w:sz w:val="20"/>
                <w:lang w:val="fr-CA"/>
              </w:rPr>
              <w:t> Gunn, en lien avec une action au civil qui a été rejetée. L’enquêteur chargé de la plainte a conclu que la preuve était insuffisante pour étayer une allégation d’inconduite professionnelle de la part de M</w:t>
            </w:r>
            <w:r w:rsidRPr="00024711">
              <w:rPr>
                <w:sz w:val="20"/>
                <w:vertAlign w:val="superscript"/>
                <w:lang w:val="fr-CA"/>
              </w:rPr>
              <w:t>e</w:t>
            </w:r>
            <w:r w:rsidRPr="00024711">
              <w:rPr>
                <w:sz w:val="20"/>
                <w:lang w:val="fr-CA"/>
              </w:rPr>
              <w:t> Gunn. Le comité de révision a refusé de prendre d’autres mesures et a fermé son dossier. Monsieur Harrison a sollicité le contrôle judiciaire de cette décision.</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17 février 2015</w:t>
            </w:r>
          </w:p>
          <w:p w:rsidR="00CA43A0" w:rsidRPr="00024711" w:rsidRDefault="00CA43A0" w:rsidP="00024711">
            <w:pPr>
              <w:jc w:val="both"/>
              <w:rPr>
                <w:sz w:val="20"/>
                <w:lang w:val="fr-CA"/>
              </w:rPr>
            </w:pPr>
            <w:r w:rsidRPr="00024711">
              <w:rPr>
                <w:sz w:val="20"/>
                <w:lang w:val="fr-CA"/>
              </w:rPr>
              <w:t>Cour suprême de la Colombie-Britannique</w:t>
            </w:r>
          </w:p>
          <w:p w:rsidR="00CA43A0" w:rsidRPr="00024711" w:rsidRDefault="00CA43A0" w:rsidP="00024711">
            <w:pPr>
              <w:jc w:val="both"/>
              <w:rPr>
                <w:sz w:val="20"/>
                <w:lang w:val="fr-CA"/>
              </w:rPr>
            </w:pPr>
            <w:r w:rsidRPr="00024711">
              <w:rPr>
                <w:sz w:val="20"/>
                <w:lang w:val="fr-CA"/>
              </w:rPr>
              <w:t>(Juge Grauer)</w:t>
            </w:r>
          </w:p>
          <w:p w:rsidR="00CA43A0" w:rsidRPr="00024711" w:rsidRDefault="00CA43A0" w:rsidP="00024711">
            <w:pPr>
              <w:jc w:val="both"/>
              <w:rPr>
                <w:sz w:val="20"/>
                <w:lang w:val="fr-CA"/>
              </w:rPr>
            </w:pPr>
            <w:hyperlink r:id="rId41" w:history="1">
              <w:r w:rsidRPr="00024711">
                <w:rPr>
                  <w:rStyle w:val="Hyperlink"/>
                  <w:sz w:val="20"/>
                  <w:lang w:val="fr-CA"/>
                </w:rPr>
                <w:t>2015 BCSC 211</w:t>
              </w:r>
            </w:hyperlink>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Rejet de la demande du demandeur en contrôle judiciaire de la décision du Complainants’ Review Committee du barreau intimé</w:t>
            </w: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lastRenderedPageBreak/>
              <w:t>3 juin 2015</w:t>
            </w:r>
          </w:p>
          <w:p w:rsidR="00CA43A0" w:rsidRPr="00024711" w:rsidRDefault="00CA43A0" w:rsidP="00024711">
            <w:pPr>
              <w:jc w:val="both"/>
              <w:rPr>
                <w:sz w:val="20"/>
                <w:lang w:val="fr-CA"/>
              </w:rPr>
            </w:pPr>
            <w:r w:rsidRPr="00024711">
              <w:rPr>
                <w:sz w:val="20"/>
                <w:lang w:val="fr-CA"/>
              </w:rPr>
              <w:t>Cour d’appel de la Colombie-Britannique</w:t>
            </w:r>
          </w:p>
          <w:p w:rsidR="00CA43A0" w:rsidRPr="00024711" w:rsidRDefault="00CA43A0" w:rsidP="00024711">
            <w:pPr>
              <w:jc w:val="both"/>
              <w:rPr>
                <w:sz w:val="20"/>
                <w:lang w:val="fr-CA"/>
              </w:rPr>
            </w:pPr>
            <w:r w:rsidRPr="00024711">
              <w:rPr>
                <w:sz w:val="20"/>
                <w:lang w:val="fr-CA"/>
              </w:rPr>
              <w:t>(Vancouver)</w:t>
            </w:r>
          </w:p>
          <w:p w:rsidR="00CA43A0" w:rsidRPr="00024711" w:rsidRDefault="00CA43A0" w:rsidP="00024711">
            <w:pPr>
              <w:jc w:val="both"/>
              <w:rPr>
                <w:sz w:val="20"/>
                <w:lang w:val="fr-CA"/>
              </w:rPr>
            </w:pPr>
            <w:r w:rsidRPr="00024711">
              <w:rPr>
                <w:sz w:val="20"/>
                <w:lang w:val="fr-CA"/>
              </w:rPr>
              <w:t>(Juges Newbury, Tysoe et Savage)</w:t>
            </w:r>
          </w:p>
          <w:p w:rsidR="00CA43A0" w:rsidRPr="00024711" w:rsidRDefault="00CA43A0" w:rsidP="00024711">
            <w:pPr>
              <w:jc w:val="both"/>
              <w:rPr>
                <w:sz w:val="20"/>
                <w:lang w:val="fr-CA"/>
              </w:rPr>
            </w:pPr>
            <w:hyperlink r:id="rId42" w:history="1">
              <w:r w:rsidRPr="00024711">
                <w:rPr>
                  <w:rStyle w:val="Hyperlink"/>
                  <w:sz w:val="20"/>
                  <w:lang w:val="fr-CA"/>
                </w:rPr>
                <w:t>2015 BCCA 258</w:t>
              </w:r>
            </w:hyperlink>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Rejet de l’appel du demandeur</w:t>
            </w:r>
          </w:p>
          <w:p w:rsidR="00CA43A0" w:rsidRPr="00024711" w:rsidRDefault="00CA43A0" w:rsidP="00024711">
            <w:pPr>
              <w:jc w:val="both"/>
              <w:rPr>
                <w:sz w:val="20"/>
                <w:lang w:val="fr-CA"/>
              </w:rPr>
            </w:pPr>
          </w:p>
          <w:p w:rsidR="00CA43A0" w:rsidRPr="00024711" w:rsidRDefault="00CA43A0" w:rsidP="00024711">
            <w:pPr>
              <w:jc w:val="both"/>
              <w:rPr>
                <w:sz w:val="20"/>
                <w:lang w:val="fr-CA"/>
              </w:rPr>
            </w:pPr>
          </w:p>
        </w:tc>
      </w:tr>
      <w:tr w:rsidR="00CA43A0" w:rsidRPr="00024711" w:rsidTr="00CA43A0">
        <w:tc>
          <w:tcPr>
            <w:tcW w:w="2427" w:type="pct"/>
            <w:gridSpan w:val="2"/>
          </w:tcPr>
          <w:p w:rsidR="00CA43A0" w:rsidRPr="00024711" w:rsidRDefault="00CA43A0" w:rsidP="00024711">
            <w:pPr>
              <w:jc w:val="both"/>
              <w:rPr>
                <w:sz w:val="20"/>
                <w:lang w:val="fr-CA"/>
              </w:rPr>
            </w:pPr>
            <w:r w:rsidRPr="00024711">
              <w:rPr>
                <w:sz w:val="20"/>
                <w:lang w:val="fr-CA"/>
              </w:rPr>
              <w:t>1</w:t>
            </w:r>
            <w:r w:rsidRPr="00024711">
              <w:rPr>
                <w:sz w:val="20"/>
                <w:vertAlign w:val="superscript"/>
                <w:lang w:val="fr-CA"/>
              </w:rPr>
              <w:t>er</w:t>
            </w:r>
            <w:r w:rsidRPr="00024711">
              <w:rPr>
                <w:sz w:val="20"/>
                <w:lang w:val="fr-CA"/>
              </w:rPr>
              <w:t xml:space="preserve"> septembre 2015</w:t>
            </w:r>
          </w:p>
          <w:p w:rsidR="00CA43A0" w:rsidRPr="00024711" w:rsidRDefault="00CA43A0" w:rsidP="00024711">
            <w:pPr>
              <w:jc w:val="both"/>
              <w:rPr>
                <w:sz w:val="20"/>
                <w:lang w:val="fr-CA"/>
              </w:rPr>
            </w:pPr>
            <w:r w:rsidRPr="00024711">
              <w:rPr>
                <w:sz w:val="20"/>
                <w:lang w:val="fr-CA"/>
              </w:rPr>
              <w:t>Cour suprême du Canada</w:t>
            </w:r>
          </w:p>
          <w:p w:rsidR="00CA43A0" w:rsidRPr="00024711" w:rsidRDefault="00CA43A0" w:rsidP="00024711">
            <w:pPr>
              <w:jc w:val="both"/>
              <w:rPr>
                <w:sz w:val="20"/>
                <w:lang w:val="fr-CA"/>
              </w:rPr>
            </w:pPr>
          </w:p>
        </w:tc>
        <w:tc>
          <w:tcPr>
            <w:tcW w:w="243" w:type="pct"/>
          </w:tcPr>
          <w:p w:rsidR="00CA43A0" w:rsidRPr="00024711" w:rsidRDefault="00CA43A0" w:rsidP="00024711">
            <w:pPr>
              <w:jc w:val="both"/>
              <w:rPr>
                <w:sz w:val="20"/>
                <w:lang w:val="fr-CA"/>
              </w:rPr>
            </w:pPr>
          </w:p>
        </w:tc>
        <w:tc>
          <w:tcPr>
            <w:tcW w:w="2330" w:type="pct"/>
          </w:tcPr>
          <w:p w:rsidR="00CA43A0" w:rsidRPr="00024711" w:rsidRDefault="00CA43A0" w:rsidP="00024711">
            <w:pPr>
              <w:jc w:val="both"/>
              <w:rPr>
                <w:sz w:val="20"/>
                <w:lang w:val="fr-CA"/>
              </w:rPr>
            </w:pPr>
            <w:r w:rsidRPr="00024711">
              <w:rPr>
                <w:sz w:val="20"/>
                <w:lang w:val="fr-CA"/>
              </w:rPr>
              <w:t>Dépôt de la demande d’autorisation d’appel</w:t>
            </w:r>
          </w:p>
          <w:p w:rsidR="00CA43A0" w:rsidRPr="00024711" w:rsidRDefault="00CA43A0" w:rsidP="00024711">
            <w:pPr>
              <w:jc w:val="both"/>
              <w:rPr>
                <w:sz w:val="20"/>
                <w:lang w:val="fr-CA"/>
              </w:rPr>
            </w:pPr>
          </w:p>
        </w:tc>
      </w:tr>
    </w:tbl>
    <w:p w:rsidR="00CA43A0" w:rsidRPr="00024711" w:rsidRDefault="00CA43A0" w:rsidP="00024711">
      <w:pPr>
        <w:jc w:val="both"/>
        <w:rPr>
          <w:sz w:val="20"/>
          <w:lang w:val="fr-CA"/>
        </w:rPr>
      </w:pPr>
    </w:p>
    <w:p w:rsidR="00CA43A0" w:rsidRPr="00CA43A0" w:rsidRDefault="00CA43A0" w:rsidP="009550BB">
      <w:pPr>
        <w:ind w:left="360" w:hanging="360"/>
        <w:jc w:val="both"/>
        <w:rPr>
          <w:sz w:val="20"/>
          <w:lang w:val="fr-CA"/>
        </w:rPr>
      </w:pPr>
    </w:p>
    <w:p w:rsidR="00CA43A0" w:rsidRPr="00CA43A0" w:rsidRDefault="00CA43A0" w:rsidP="009550BB">
      <w:pPr>
        <w:ind w:left="360" w:hanging="360"/>
        <w:jc w:val="both"/>
        <w:rPr>
          <w:sz w:val="20"/>
          <w:lang w:val="fr-CA"/>
        </w:rPr>
      </w:pPr>
    </w:p>
    <w:p w:rsidR="00CA43A0" w:rsidRPr="00CA43A0" w:rsidRDefault="00CA43A0"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Cour </w:t>
      </w:r>
      <w:proofErr w:type="spellStart"/>
      <w:r w:rsidRPr="004B4D42">
        <w:t>suprême</w:t>
      </w:r>
      <w:proofErr w:type="spellEnd"/>
      <w:r w:rsidRPr="004B4D42">
        <w:t xml:space="preserve"> du Canada : </w:t>
      </w:r>
    </w:p>
    <w:p w:rsidR="00D3344A" w:rsidRPr="004B4D42" w:rsidRDefault="00CA43A0" w:rsidP="00D3344A">
      <w:pPr>
        <w:widowControl w:val="0"/>
        <w:outlineLvl w:val="0"/>
        <w:rPr>
          <w:u w:val="single"/>
        </w:rPr>
      </w:pPr>
      <w:hyperlink r:id="rId43"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A0" w:rsidRDefault="00CA43A0" w:rsidP="0034178A">
      <w:r>
        <w:separator/>
      </w:r>
    </w:p>
  </w:endnote>
  <w:endnote w:type="continuationSeparator" w:id="0">
    <w:p w:rsidR="00CA43A0" w:rsidRDefault="00CA43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42" w:rsidRDefault="001C5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A0" w:rsidRPr="00EF33BF" w:rsidRDefault="00CA43A0"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42" w:rsidRDefault="001C5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A0" w:rsidRDefault="00CA43A0" w:rsidP="0034178A">
      <w:r>
        <w:separator/>
      </w:r>
    </w:p>
  </w:footnote>
  <w:footnote w:type="continuationSeparator" w:id="0">
    <w:p w:rsidR="00CA43A0" w:rsidRDefault="00CA43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42" w:rsidRDefault="001C5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42" w:rsidRDefault="001C5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42" w:rsidRDefault="001C5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624972"/>
    <w:multiLevelType w:val="hybridMultilevel"/>
    <w:tmpl w:val="24C4CE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5E3244"/>
    <w:multiLevelType w:val="hybridMultilevel"/>
    <w:tmpl w:val="0A9689B0"/>
    <w:lvl w:ilvl="0" w:tplc="C79C3DF2">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300FA"/>
    <w:multiLevelType w:val="hybridMultilevel"/>
    <w:tmpl w:val="F82A16FC"/>
    <w:lvl w:ilvl="0" w:tplc="00143EA0">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A7BF1"/>
    <w:multiLevelType w:val="hybridMultilevel"/>
    <w:tmpl w:val="372C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21385"/>
    <w:multiLevelType w:val="hybridMultilevel"/>
    <w:tmpl w:val="EDFE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BA3741"/>
    <w:multiLevelType w:val="hybridMultilevel"/>
    <w:tmpl w:val="CFB6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797C07"/>
    <w:multiLevelType w:val="hybridMultilevel"/>
    <w:tmpl w:val="574A0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61BF0"/>
    <w:multiLevelType w:val="hybridMultilevel"/>
    <w:tmpl w:val="2004AFDE"/>
    <w:lvl w:ilvl="0" w:tplc="A81E30C4">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677C8"/>
    <w:multiLevelType w:val="hybridMultilevel"/>
    <w:tmpl w:val="FE00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9"/>
  </w:num>
  <w:num w:numId="2">
    <w:abstractNumId w:val="5"/>
  </w:num>
  <w:num w:numId="3">
    <w:abstractNumId w:val="0"/>
  </w:num>
  <w:num w:numId="4">
    <w:abstractNumId w:val="29"/>
  </w:num>
  <w:num w:numId="5">
    <w:abstractNumId w:val="1"/>
  </w:num>
  <w:num w:numId="6">
    <w:abstractNumId w:val="3"/>
  </w:num>
  <w:num w:numId="7">
    <w:abstractNumId w:val="4"/>
  </w:num>
  <w:num w:numId="8">
    <w:abstractNumId w:val="34"/>
  </w:num>
  <w:num w:numId="9">
    <w:abstractNumId w:val="31"/>
  </w:num>
  <w:num w:numId="10">
    <w:abstractNumId w:val="18"/>
  </w:num>
  <w:num w:numId="11">
    <w:abstractNumId w:val="26"/>
  </w:num>
  <w:num w:numId="12">
    <w:abstractNumId w:val="16"/>
  </w:num>
  <w:num w:numId="13">
    <w:abstractNumId w:val="6"/>
  </w:num>
  <w:num w:numId="14">
    <w:abstractNumId w:val="11"/>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711"/>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0E17"/>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642"/>
    <w:rsid w:val="001C5E6C"/>
    <w:rsid w:val="001D0423"/>
    <w:rsid w:val="001D1020"/>
    <w:rsid w:val="001D1E16"/>
    <w:rsid w:val="001D235D"/>
    <w:rsid w:val="001D2555"/>
    <w:rsid w:val="001D337C"/>
    <w:rsid w:val="001D380D"/>
    <w:rsid w:val="001D65C6"/>
    <w:rsid w:val="001D6A1C"/>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23A5"/>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211C"/>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A6D67"/>
    <w:rsid w:val="005A705E"/>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A43A0"/>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520"/>
    <w:rsid w:val="00ED2E12"/>
    <w:rsid w:val="00ED4F03"/>
    <w:rsid w:val="00ED52B2"/>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CA43A0"/>
  </w:style>
  <w:style w:type="character" w:customStyle="1" w:styleId="italic1">
    <w:name w:val="italic1"/>
    <w:basedOn w:val="DefaultParagraphFont"/>
    <w:rsid w:val="00CA4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550" TargetMode="External"/><Relationship Id="rId18" Type="http://schemas.openxmlformats.org/officeDocument/2006/relationships/hyperlink" Target="http://canlii.ca/t/gjnl3" TargetMode="External"/><Relationship Id="rId26" Type="http://schemas.openxmlformats.org/officeDocument/2006/relationships/hyperlink" Target="http://canlii.ca/t/gjjhn" TargetMode="External"/><Relationship Id="rId39" Type="http://schemas.openxmlformats.org/officeDocument/2006/relationships/hyperlink" Target="http://canlii.ca/t/ggc6s" TargetMode="External"/><Relationship Id="rId3" Type="http://schemas.openxmlformats.org/officeDocument/2006/relationships/styles" Target="styles.xml"/><Relationship Id="rId21" Type="http://schemas.openxmlformats.org/officeDocument/2006/relationships/hyperlink" Target="http://www.canlii.org/en/on/onsc/doc/2015/2015onsc61/2015onsc61.html?resultIndex=1" TargetMode="External"/><Relationship Id="rId34" Type="http://schemas.openxmlformats.org/officeDocument/2006/relationships/hyperlink" Target="http://canlii.ca/t/gjcrw" TargetMode="External"/><Relationship Id="rId42" Type="http://schemas.openxmlformats.org/officeDocument/2006/relationships/hyperlink" Target="http://canlii.ca/t/gjgd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fra.aspx?cas=36551" TargetMode="External"/><Relationship Id="rId17" Type="http://schemas.openxmlformats.org/officeDocument/2006/relationships/hyperlink" Target="http://canlii.ca/t/gds2v" TargetMode="External"/><Relationship Id="rId25" Type="http://schemas.openxmlformats.org/officeDocument/2006/relationships/hyperlink" Target="http://canlii.ca/t/gjjhn" TargetMode="External"/><Relationship Id="rId33" Type="http://schemas.openxmlformats.org/officeDocument/2006/relationships/hyperlink" Target="http://canlii.ca/t/g27bd" TargetMode="External"/><Relationship Id="rId38" Type="http://schemas.openxmlformats.org/officeDocument/2006/relationships/hyperlink" Target="http://www.canlii.org/en/bc/bcca/doc/2015/2015bcca286/2015bcca286.html?autocompleteStr=2015%20bcca%20286&amp;autocompletePos=1"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c-csc.ca/case-dossier/info/sum-som-eng.aspx?cas=36588" TargetMode="External"/><Relationship Id="rId20" Type="http://schemas.openxmlformats.org/officeDocument/2006/relationships/hyperlink" Target="http://canlii.ca/t/gjnl3" TargetMode="External"/><Relationship Id="rId29" Type="http://schemas.openxmlformats.org/officeDocument/2006/relationships/hyperlink" Target="http://www.canlii.org/fr/nb/nbbr/doc/2014/2014nbbr243/2014nbbr243.html?searchUrlHash=AAAAAQAMcy5rLiBleHBvcnQgAAAAAAE&amp;resultIndex=2" TargetMode="External"/><Relationship Id="rId41" Type="http://schemas.openxmlformats.org/officeDocument/2006/relationships/hyperlink" Target="http://canlii.ca/t/ggc6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5620" TargetMode="External"/><Relationship Id="rId24" Type="http://schemas.openxmlformats.org/officeDocument/2006/relationships/hyperlink" Target="http://www.canlii.org/en/on/onca/doc/2015/2015onca484/2015onca484.html?autocompleteStr=2015%20ONCA%20484&amp;autocompletePos=1" TargetMode="External"/><Relationship Id="rId32" Type="http://schemas.openxmlformats.org/officeDocument/2006/relationships/hyperlink" Target="http://canlii.ca/t/gj0x5" TargetMode="External"/><Relationship Id="rId37" Type="http://schemas.openxmlformats.org/officeDocument/2006/relationships/hyperlink" Target="http://www.canlii.org/en/bc/bcca/doc/2015/2015bcca286/2015bcca286.html?autocompleteStr=2015%20bcca%20286&amp;autocompletePos=1" TargetMode="External"/><Relationship Id="rId40" Type="http://schemas.openxmlformats.org/officeDocument/2006/relationships/hyperlink" Target="http://canlii.ca/t/gjgd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cc-csc.ca/case-dossier/info/sum-som-eng.aspx?cas=36635" TargetMode="External"/><Relationship Id="rId23" Type="http://schemas.openxmlformats.org/officeDocument/2006/relationships/hyperlink" Target="http://www.canlii.org/en/on/onsc/doc/2015/2015onsc61/2015onsc61.html?resultIndex=1" TargetMode="External"/><Relationship Id="rId28" Type="http://schemas.openxmlformats.org/officeDocument/2006/relationships/hyperlink" Target="http://www.canlii.org/fr/nb/nbca/doc/2015/2015nbca30/2015nbca30.html?autocompleteStr=2015%20nbca%2030&amp;autocompletePos=1" TargetMode="External"/><Relationship Id="rId36" Type="http://schemas.openxmlformats.org/officeDocument/2006/relationships/hyperlink" Target="http://canlii.ca/t/gjcrw" TargetMode="External"/><Relationship Id="rId49" Type="http://schemas.openxmlformats.org/officeDocument/2006/relationships/footer" Target="footer3.xml"/><Relationship Id="rId10" Type="http://schemas.openxmlformats.org/officeDocument/2006/relationships/hyperlink" Target="http://www.scc-csc.ca/case-dossier/info/sum-som-eng.aspx?cas=36568" TargetMode="External"/><Relationship Id="rId19" Type="http://schemas.openxmlformats.org/officeDocument/2006/relationships/hyperlink" Target="http://canlii.ca/t/gds2v" TargetMode="External"/><Relationship Id="rId31" Type="http://schemas.openxmlformats.org/officeDocument/2006/relationships/hyperlink" Target="http://canlii.ca/t/gj0x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6648" TargetMode="External"/><Relationship Id="rId14" Type="http://schemas.openxmlformats.org/officeDocument/2006/relationships/hyperlink" Target="http://www.scc-csc.ca/case-dossier/info/sum-som-eng.aspx?cas=36575" TargetMode="External"/><Relationship Id="rId22" Type="http://schemas.openxmlformats.org/officeDocument/2006/relationships/hyperlink" Target="http://www.canlii.org/en/on/onca/doc/2015/2015onca484/2015onca484.html?autocompleteStr=2015%20ONCA%20484&amp;autocompletePos=1" TargetMode="External"/><Relationship Id="rId27" Type="http://schemas.openxmlformats.org/officeDocument/2006/relationships/hyperlink" Target="http://www.canlii.org/en/nb/nbqb/doc/2014/2014nbqb243/2014nbqb243.html" TargetMode="External"/><Relationship Id="rId30" Type="http://schemas.openxmlformats.org/officeDocument/2006/relationships/hyperlink" Target="http://www.canlii.org/fr/nb/nbca/doc/2015/2015nbca30/2015nbca30.html?autocompleteStr=2015%20nbca%2030&amp;autocompletePos=1" TargetMode="External"/><Relationship Id="rId35" Type="http://schemas.openxmlformats.org/officeDocument/2006/relationships/hyperlink" Target="http://canlii.ca/t/g27bd" TargetMode="External"/><Relationship Id="rId43" Type="http://schemas.openxmlformats.org/officeDocument/2006/relationships/hyperlink" Target="mailto:comments-commentaires@scc-csc.ca" TargetMode="External"/><Relationship Id="rId48" Type="http://schemas.openxmlformats.org/officeDocument/2006/relationships/header" Target="header3.xml"/><Relationship Id="rId8" Type="http://schemas.openxmlformats.org/officeDocument/2006/relationships/hyperlink" Target="http://www.scc-csc.ca/case-dossier/info/sum-som-eng.aspx?cas=36558"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A3F21-D082-4518-8A8D-C2E24A36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6232</Words>
  <Characters>35528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2015-12-14T16:21:00Z</dcterms:created>
  <dcterms:modified xsi:type="dcterms:W3CDTF">2015-12-14T16:51:00Z</dcterms:modified>
</cp:coreProperties>
</file>