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406755" w:rsidP="006F2579">
      <w:pPr>
        <w:widowControl w:val="0"/>
        <w:rPr>
          <w:b/>
        </w:rPr>
      </w:pPr>
      <w:r>
        <w:rPr>
          <w:b/>
        </w:rPr>
        <w:t xml:space="preserve">December </w:t>
      </w:r>
      <w:r w:rsidR="00C21013">
        <w:rPr>
          <w:b/>
        </w:rPr>
        <w:t>2</w:t>
      </w:r>
      <w:r w:rsidR="00EB2033">
        <w:rPr>
          <w:b/>
        </w:rPr>
        <w:t>1</w:t>
      </w:r>
      <w:r>
        <w:rPr>
          <w:b/>
        </w:rPr>
        <w:t>,</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B4D42" w:rsidRDefault="006F2579" w:rsidP="006F2579">
      <w:pPr>
        <w:widowControl w:val="0"/>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C21013">
        <w:t>December 24</w:t>
      </w:r>
      <w:r w:rsidR="00960719" w:rsidRPr="004B4D42">
        <w:t>,</w:t>
      </w:r>
      <w:r w:rsidR="002F38D7" w:rsidRPr="004B4D42">
        <w:t xml:space="preserve"> </w:t>
      </w:r>
      <w:r w:rsidR="006648D1" w:rsidRPr="004B4D42">
        <w:t>2015</w:t>
      </w:r>
      <w:r w:rsidRPr="004B4D42">
        <w:t>.  This list is subject to change.</w:t>
      </w:r>
    </w:p>
    <w:p w:rsidR="00FF5AA4" w:rsidRDefault="00FF5AA4" w:rsidP="006F2579">
      <w:pPr>
        <w:widowControl w:val="0"/>
      </w:pPr>
    </w:p>
    <w:p w:rsidR="00B43418" w:rsidRPr="004B4D42" w:rsidRDefault="00B43418" w:rsidP="006F2579">
      <w:pPr>
        <w:widowControl w:val="0"/>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C21013">
        <w:rPr>
          <w:b/>
          <w:lang w:val="fr-CA"/>
        </w:rPr>
        <w:t>2</w:t>
      </w:r>
      <w:r w:rsidR="00EB2033">
        <w:rPr>
          <w:b/>
          <w:lang w:val="fr-CA"/>
        </w:rPr>
        <w:t>1</w:t>
      </w:r>
      <w:r w:rsidR="00406755">
        <w:rPr>
          <w:b/>
          <w:lang w:val="fr-CA"/>
        </w:rPr>
        <w:t xml:space="preserve"> déc</w:t>
      </w:r>
      <w:r w:rsidR="00957342">
        <w:rPr>
          <w:b/>
          <w:lang w:val="fr-CA"/>
        </w:rPr>
        <w:t>em</w:t>
      </w:r>
      <w:r w:rsidR="0001736B">
        <w:rPr>
          <w:b/>
          <w:lang w:val="fr-CA"/>
        </w:rPr>
        <w:t>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C21013">
        <w:rPr>
          <w:lang w:val="fr-CA"/>
        </w:rPr>
        <w:t>24</w:t>
      </w:r>
      <w:r w:rsidR="0042648D">
        <w:rPr>
          <w:lang w:val="fr-CA"/>
        </w:rPr>
        <w:t xml:space="preserve"> décembre </w:t>
      </w:r>
      <w:r w:rsidR="006648D1" w:rsidRPr="004B4D42">
        <w:rPr>
          <w:lang w:val="fr-CA"/>
        </w:rPr>
        <w:t>2015</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80556B" w:rsidRDefault="0080556B" w:rsidP="009B14F4">
      <w:pPr>
        <w:widowControl w:val="0"/>
        <w:jc w:val="both"/>
        <w:rPr>
          <w:sz w:val="20"/>
          <w:lang w:val="fr-CA"/>
        </w:rPr>
      </w:pPr>
      <w:bookmarkStart w:id="0" w:name="_GoBack"/>
      <w:bookmarkEnd w:id="0"/>
    </w:p>
    <w:p w:rsidR="001838E0"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E2CD8" w:rsidRPr="004B4D42" w:rsidRDefault="006E2CD8" w:rsidP="009B14F4">
      <w:pPr>
        <w:widowControl w:val="0"/>
        <w:jc w:val="both"/>
        <w:rPr>
          <w:sz w:val="20"/>
          <w:lang w:val="fr-CA"/>
        </w:rPr>
      </w:pPr>
    </w:p>
    <w:p w:rsidR="00C21013" w:rsidRPr="00C21013" w:rsidRDefault="00C21013" w:rsidP="00C21013">
      <w:pPr>
        <w:pStyle w:val="ListParagraph"/>
        <w:numPr>
          <w:ilvl w:val="0"/>
          <w:numId w:val="38"/>
        </w:numPr>
        <w:ind w:left="360"/>
        <w:jc w:val="both"/>
        <w:rPr>
          <w:sz w:val="20"/>
          <w:lang w:val="fr-CA"/>
        </w:rPr>
      </w:pPr>
      <w:r w:rsidRPr="00C21013">
        <w:rPr>
          <w:rFonts w:eastAsia="Calibri"/>
          <w:bCs/>
          <w:i/>
          <w:iCs/>
          <w:sz w:val="20"/>
          <w:lang w:val="fr-CA"/>
        </w:rPr>
        <w:t xml:space="preserve">Elena-Gabriela </w:t>
      </w:r>
      <w:proofErr w:type="spellStart"/>
      <w:r w:rsidRPr="00C21013">
        <w:rPr>
          <w:rFonts w:eastAsia="Calibri"/>
          <w:bCs/>
          <w:i/>
          <w:iCs/>
          <w:sz w:val="20"/>
          <w:lang w:val="fr-CA"/>
        </w:rPr>
        <w:t>Zugravescu</w:t>
      </w:r>
      <w:proofErr w:type="spellEnd"/>
      <w:r w:rsidRPr="00C21013">
        <w:rPr>
          <w:rFonts w:eastAsia="Calibri"/>
          <w:bCs/>
          <w:i/>
          <w:iCs/>
          <w:sz w:val="20"/>
          <w:lang w:val="fr-CA"/>
        </w:rPr>
        <w:t xml:space="preserve"> c. Sa Majesté la Reine</w:t>
      </w:r>
      <w:r w:rsidRPr="00C21013">
        <w:rPr>
          <w:rFonts w:eastAsia="Calibri"/>
          <w:sz w:val="20"/>
          <w:lang w:val="fr-CA"/>
        </w:rPr>
        <w:t xml:space="preserve"> (</w:t>
      </w:r>
      <w:proofErr w:type="spellStart"/>
      <w:r w:rsidRPr="00C21013">
        <w:rPr>
          <w:rFonts w:eastAsia="Calibri"/>
          <w:sz w:val="20"/>
          <w:lang w:val="fr-CA"/>
        </w:rPr>
        <w:t>Qc</w:t>
      </w:r>
      <w:proofErr w:type="spellEnd"/>
      <w:r w:rsidRPr="00C21013">
        <w:rPr>
          <w:rFonts w:eastAsia="Calibri"/>
          <w:sz w:val="20"/>
          <w:lang w:val="fr-CA"/>
        </w:rPr>
        <w:t>) (Criminelle) (Autorisation) (</w:t>
      </w:r>
      <w:hyperlink r:id="rId8" w:history="1">
        <w:r w:rsidRPr="00C21013">
          <w:rPr>
            <w:rStyle w:val="Hyperlink"/>
            <w:rFonts w:eastAsia="Calibri"/>
            <w:sz w:val="20"/>
            <w:lang w:val="fr-CA"/>
          </w:rPr>
          <w:t>36559</w:t>
        </w:r>
      </w:hyperlink>
      <w:r w:rsidRPr="00C21013">
        <w:rPr>
          <w:rFonts w:eastAsia="Calibri"/>
          <w:sz w:val="20"/>
          <w:lang w:val="fr-CA"/>
        </w:rPr>
        <w:t>)</w:t>
      </w:r>
    </w:p>
    <w:p w:rsidR="00C21013" w:rsidRPr="00C21013" w:rsidRDefault="00C21013" w:rsidP="00C21013">
      <w:pPr>
        <w:ind w:left="360" w:hanging="360"/>
        <w:jc w:val="both"/>
        <w:rPr>
          <w:sz w:val="20"/>
          <w:lang w:val="fr-CA"/>
        </w:rPr>
      </w:pPr>
    </w:p>
    <w:p w:rsidR="00C21013" w:rsidRPr="00C21013" w:rsidRDefault="00C21013" w:rsidP="00C21013">
      <w:pPr>
        <w:pStyle w:val="ListParagraph"/>
        <w:numPr>
          <w:ilvl w:val="0"/>
          <w:numId w:val="38"/>
        </w:numPr>
        <w:ind w:left="360"/>
        <w:jc w:val="both"/>
        <w:rPr>
          <w:rFonts w:eastAsia="Calibri"/>
          <w:sz w:val="20"/>
          <w:lang w:val="en-CA"/>
        </w:rPr>
      </w:pPr>
      <w:r>
        <w:rPr>
          <w:rFonts w:eastAsia="Calibri"/>
          <w:bCs/>
          <w:i/>
          <w:iCs/>
          <w:sz w:val="20"/>
          <w:lang w:val="en-CA"/>
        </w:rPr>
        <w:t>A.Y.</w:t>
      </w:r>
      <w:r w:rsidRPr="00C21013">
        <w:rPr>
          <w:rFonts w:eastAsia="Calibri"/>
          <w:bCs/>
          <w:i/>
          <w:iCs/>
          <w:sz w:val="20"/>
          <w:lang w:val="en-CA"/>
        </w:rPr>
        <w:t xml:space="preserve"> et al. v. Catholic Ch</w:t>
      </w:r>
      <w:r>
        <w:rPr>
          <w:rFonts w:eastAsia="Calibri"/>
          <w:bCs/>
          <w:i/>
          <w:iCs/>
          <w:sz w:val="20"/>
          <w:lang w:val="en-CA"/>
        </w:rPr>
        <w:t>ildren's Aid Society of Toronto</w:t>
      </w:r>
      <w:r w:rsidRPr="00C21013">
        <w:rPr>
          <w:rFonts w:eastAsia="Calibri"/>
          <w:bCs/>
          <w:i/>
          <w:iCs/>
          <w:sz w:val="20"/>
          <w:lang w:val="en-CA"/>
        </w:rPr>
        <w:t xml:space="preserve"> et al. </w:t>
      </w:r>
      <w:r w:rsidRPr="00C21013">
        <w:rPr>
          <w:rFonts w:eastAsia="Calibri"/>
          <w:sz w:val="20"/>
          <w:lang w:val="en-CA"/>
        </w:rPr>
        <w:t>(Ont.) (Civil) (By Leave) (</w:t>
      </w:r>
      <w:hyperlink r:id="rId9" w:history="1">
        <w:r w:rsidRPr="00C21013">
          <w:rPr>
            <w:rStyle w:val="Hyperlink"/>
            <w:rFonts w:eastAsia="Calibri"/>
            <w:sz w:val="20"/>
            <w:lang w:val="en-CA"/>
          </w:rPr>
          <w:t>36669</w:t>
        </w:r>
      </w:hyperlink>
      <w:r w:rsidRPr="00C21013">
        <w:rPr>
          <w:rFonts w:eastAsia="Calibri"/>
          <w:sz w:val="20"/>
          <w:lang w:val="en-CA"/>
        </w:rPr>
        <w:t>)</w:t>
      </w:r>
    </w:p>
    <w:p w:rsidR="00C21013" w:rsidRPr="00C21013" w:rsidRDefault="00C21013" w:rsidP="00C21013">
      <w:pPr>
        <w:ind w:left="360" w:hanging="360"/>
        <w:jc w:val="both"/>
        <w:rPr>
          <w:sz w:val="20"/>
        </w:rPr>
      </w:pPr>
    </w:p>
    <w:p w:rsidR="00B974A4" w:rsidRPr="00C21013" w:rsidRDefault="00C21013" w:rsidP="00C21013">
      <w:pPr>
        <w:pStyle w:val="ListParagraph"/>
        <w:numPr>
          <w:ilvl w:val="0"/>
          <w:numId w:val="38"/>
        </w:numPr>
        <w:ind w:left="360"/>
        <w:jc w:val="both"/>
        <w:rPr>
          <w:sz w:val="20"/>
          <w:lang w:val="fr-CA"/>
        </w:rPr>
      </w:pPr>
      <w:r w:rsidRPr="00C21013">
        <w:rPr>
          <w:rFonts w:eastAsia="Calibri"/>
          <w:i/>
          <w:sz w:val="20"/>
          <w:lang w:val="en-CA"/>
        </w:rPr>
        <w:t xml:space="preserve">Peter </w:t>
      </w:r>
      <w:proofErr w:type="spellStart"/>
      <w:r w:rsidRPr="00C21013">
        <w:rPr>
          <w:rFonts w:eastAsia="Calibri"/>
          <w:i/>
          <w:sz w:val="20"/>
          <w:lang w:val="en-CA"/>
        </w:rPr>
        <w:t>Quon</w:t>
      </w:r>
      <w:proofErr w:type="spellEnd"/>
      <w:r w:rsidRPr="00C21013">
        <w:rPr>
          <w:rFonts w:eastAsia="Calibri"/>
          <w:i/>
          <w:sz w:val="20"/>
          <w:lang w:val="en-CA"/>
        </w:rPr>
        <w:t xml:space="preserve"> San Wong v. Her Majesty the Queen</w:t>
      </w:r>
      <w:r w:rsidRPr="00C21013">
        <w:rPr>
          <w:rFonts w:eastAsia="Calibri"/>
          <w:sz w:val="20"/>
          <w:lang w:val="en-CA"/>
        </w:rPr>
        <w:t xml:space="preserve"> (B.C.) (Criminal) (By Leave) (</w:t>
      </w:r>
      <w:hyperlink r:id="rId10" w:history="1">
        <w:r w:rsidRPr="00C21013">
          <w:rPr>
            <w:rStyle w:val="Hyperlink"/>
            <w:rFonts w:eastAsia="Calibri"/>
            <w:sz w:val="20"/>
            <w:lang w:val="en-CA"/>
          </w:rPr>
          <w:t>36577</w:t>
        </w:r>
      </w:hyperlink>
      <w:r w:rsidRPr="00C21013">
        <w:rPr>
          <w:rFonts w:eastAsia="Calibri"/>
          <w:sz w:val="20"/>
          <w:lang w:val="en-CA"/>
        </w:rPr>
        <w:t>)</w:t>
      </w:r>
    </w:p>
    <w:p w:rsidR="00F70C8A" w:rsidRPr="00196D7C" w:rsidRDefault="00F70C8A" w:rsidP="00196D7C">
      <w:pPr>
        <w:ind w:left="360" w:hanging="360"/>
        <w:jc w:val="both"/>
        <w:rPr>
          <w:sz w:val="20"/>
          <w:lang w:val="fr-CA"/>
        </w:rPr>
      </w:pPr>
    </w:p>
    <w:p w:rsidR="00196D7C" w:rsidRPr="00196D7C" w:rsidRDefault="00196D7C" w:rsidP="00196D7C">
      <w:pPr>
        <w:ind w:left="360" w:hanging="360"/>
        <w:jc w:val="both"/>
        <w:rPr>
          <w:sz w:val="20"/>
          <w:lang w:val="fr-CA"/>
        </w:rPr>
      </w:pPr>
    </w:p>
    <w:p w:rsidR="00196D7C" w:rsidRPr="00196D7C" w:rsidRDefault="00196D7C" w:rsidP="00196D7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6D7C" w:rsidRPr="00196D7C" w:rsidTr="00E95A6A">
        <w:tc>
          <w:tcPr>
            <w:tcW w:w="543" w:type="pct"/>
          </w:tcPr>
          <w:p w:rsidR="00196D7C" w:rsidRPr="00196D7C" w:rsidRDefault="00196D7C" w:rsidP="00196D7C">
            <w:pPr>
              <w:jc w:val="both"/>
              <w:rPr>
                <w:sz w:val="20"/>
                <w:lang w:val="en-CA"/>
              </w:rPr>
            </w:pPr>
            <w:r w:rsidRPr="00196D7C">
              <w:rPr>
                <w:rStyle w:val="SCCFileNumberChar"/>
                <w:sz w:val="20"/>
                <w:szCs w:val="20"/>
              </w:rPr>
              <w:t>36559</w:t>
            </w:r>
          </w:p>
        </w:tc>
        <w:tc>
          <w:tcPr>
            <w:tcW w:w="4457" w:type="pct"/>
            <w:gridSpan w:val="3"/>
          </w:tcPr>
          <w:p w:rsidR="00196D7C" w:rsidRPr="00196D7C" w:rsidRDefault="00196D7C" w:rsidP="00196D7C">
            <w:pPr>
              <w:pStyle w:val="SCCLsocParty"/>
              <w:jc w:val="both"/>
              <w:rPr>
                <w:b/>
                <w:sz w:val="20"/>
                <w:szCs w:val="20"/>
                <w:lang w:val="en-CA"/>
              </w:rPr>
            </w:pPr>
            <w:r w:rsidRPr="00196D7C">
              <w:rPr>
                <w:b/>
                <w:sz w:val="20"/>
                <w:szCs w:val="20"/>
                <w:lang w:val="en-CA"/>
              </w:rPr>
              <w:t>Elena-Gabriela Zugravescu v. Her Majesty the Queen</w:t>
            </w:r>
          </w:p>
          <w:p w:rsidR="00196D7C" w:rsidRPr="00196D7C" w:rsidRDefault="00196D7C" w:rsidP="00196D7C">
            <w:pPr>
              <w:jc w:val="both"/>
              <w:rPr>
                <w:sz w:val="20"/>
                <w:lang w:val="en-CA"/>
              </w:rPr>
            </w:pPr>
            <w:r w:rsidRPr="00196D7C">
              <w:rPr>
                <w:sz w:val="20"/>
                <w:lang w:val="en-CA"/>
              </w:rPr>
              <w:t>(Que.) (Criminal) (By Leave)</w:t>
            </w:r>
          </w:p>
        </w:tc>
      </w:tr>
      <w:tr w:rsidR="00196D7C" w:rsidRPr="00196D7C" w:rsidTr="00E95A6A">
        <w:tc>
          <w:tcPr>
            <w:tcW w:w="5000" w:type="pct"/>
            <w:gridSpan w:val="4"/>
          </w:tcPr>
          <w:p w:rsidR="00196D7C" w:rsidRPr="00196D7C" w:rsidRDefault="00196D7C" w:rsidP="00196D7C">
            <w:pPr>
              <w:pStyle w:val="SCCBanSummary"/>
              <w:rPr>
                <w:smallCaps w:val="0"/>
                <w:sz w:val="20"/>
                <w:szCs w:val="20"/>
              </w:rPr>
            </w:pPr>
            <w:r w:rsidRPr="00196D7C">
              <w:rPr>
                <w:smallCaps w:val="0"/>
                <w:sz w:val="20"/>
                <w:szCs w:val="20"/>
              </w:rPr>
              <w:t>Criminal law – Appeals – Offences – Elements of offence – Attempted murder – Assault – Assault with weapon – Defences – Battered wife syndrome – Automatism – Whether verdicts were unreasonable.</w:t>
            </w:r>
          </w:p>
          <w:p w:rsidR="00196D7C" w:rsidRPr="00196D7C" w:rsidRDefault="00196D7C" w:rsidP="00196D7C">
            <w:pPr>
              <w:jc w:val="both"/>
              <w:rPr>
                <w:sz w:val="20"/>
                <w:lang w:val="en-CA"/>
              </w:rPr>
            </w:pPr>
          </w:p>
        </w:tc>
      </w:tr>
      <w:tr w:rsidR="00196D7C" w:rsidRPr="00196D7C" w:rsidTr="00E95A6A">
        <w:tc>
          <w:tcPr>
            <w:tcW w:w="5000" w:type="pct"/>
            <w:gridSpan w:val="4"/>
          </w:tcPr>
          <w:p w:rsidR="00196D7C" w:rsidRPr="00196D7C" w:rsidRDefault="00196D7C" w:rsidP="00196D7C">
            <w:pPr>
              <w:jc w:val="both"/>
              <w:rPr>
                <w:color w:val="000000"/>
                <w:sz w:val="20"/>
                <w:lang w:val="en-CA"/>
              </w:rPr>
            </w:pPr>
            <w:r w:rsidRPr="00196D7C">
              <w:rPr>
                <w:color w:val="000000"/>
                <w:sz w:val="20"/>
                <w:lang w:val="en-CA"/>
              </w:rPr>
              <w:t>The applicant Ms. Zugravescu was charged with attempted murder, assault causing bodily harm, assault with use of a weapon and possession of a weapon for a dangerous purpose. Those charges were in connection with an assault committed against her spouse in a metro station on June 21, 2010. Without denying that she had assaulted her husband, the applicant disputed that she had had the specific intent to kill him. Essentially, she alleged a blackout or temporary amnesia at the time of the assault. The issue was the applicant’s intent. The Court of Québec found that the applicant’s version was not credible and rejected her testimony. The applicant was convicted of the four counts. She appealed the verdict and the sentence imposed on her. The Court of Appeal found that the evidence of the physical facts of the assault was clear, reliable and extensive.</w:t>
            </w:r>
          </w:p>
        </w:tc>
      </w:tr>
      <w:tr w:rsidR="00196D7C" w:rsidRPr="00196D7C" w:rsidTr="00E95A6A">
        <w:tc>
          <w:tcPr>
            <w:tcW w:w="5000" w:type="pct"/>
            <w:gridSpan w:val="4"/>
          </w:tcPr>
          <w:p w:rsidR="00196D7C" w:rsidRPr="00196D7C" w:rsidRDefault="00196D7C" w:rsidP="00196D7C">
            <w:pPr>
              <w:jc w:val="both"/>
              <w:rPr>
                <w:sz w:val="20"/>
                <w:lang w:val="en-CA"/>
              </w:rPr>
            </w:pPr>
          </w:p>
        </w:tc>
      </w:tr>
      <w:tr w:rsidR="00196D7C" w:rsidRPr="00196D7C" w:rsidTr="00E95A6A">
        <w:tc>
          <w:tcPr>
            <w:tcW w:w="2427" w:type="pct"/>
            <w:gridSpan w:val="2"/>
          </w:tcPr>
          <w:p w:rsidR="00196D7C" w:rsidRPr="00196D7C" w:rsidRDefault="00196D7C" w:rsidP="00196D7C">
            <w:pPr>
              <w:jc w:val="both"/>
              <w:rPr>
                <w:sz w:val="20"/>
                <w:lang w:val="en-CA"/>
              </w:rPr>
            </w:pPr>
            <w:r w:rsidRPr="00196D7C">
              <w:rPr>
                <w:sz w:val="20"/>
                <w:lang w:val="en-CA"/>
              </w:rPr>
              <w:t>June 22, 2011</w:t>
            </w:r>
          </w:p>
          <w:p w:rsidR="00196D7C" w:rsidRPr="00196D7C" w:rsidRDefault="00196D7C" w:rsidP="00196D7C">
            <w:pPr>
              <w:jc w:val="both"/>
              <w:rPr>
                <w:sz w:val="20"/>
                <w:lang w:val="en-CA"/>
              </w:rPr>
            </w:pPr>
            <w:r w:rsidRPr="00196D7C">
              <w:rPr>
                <w:sz w:val="20"/>
                <w:lang w:val="en-CA"/>
              </w:rPr>
              <w:t>Court of Québec</w:t>
            </w:r>
          </w:p>
          <w:p w:rsidR="00196D7C" w:rsidRPr="00196D7C" w:rsidRDefault="00196D7C" w:rsidP="00196D7C">
            <w:pPr>
              <w:jc w:val="both"/>
              <w:rPr>
                <w:sz w:val="20"/>
                <w:lang w:val="en-CA"/>
              </w:rPr>
            </w:pPr>
            <w:r w:rsidRPr="00196D7C">
              <w:rPr>
                <w:sz w:val="20"/>
                <w:lang w:val="en-CA"/>
              </w:rPr>
              <w:lastRenderedPageBreak/>
              <w:t>(Judge Lavergne)</w:t>
            </w:r>
          </w:p>
          <w:p w:rsidR="00196D7C" w:rsidRPr="00196D7C" w:rsidRDefault="00196D7C" w:rsidP="00196D7C">
            <w:pPr>
              <w:jc w:val="both"/>
              <w:rPr>
                <w:sz w:val="20"/>
                <w:lang w:val="en-CA"/>
              </w:rPr>
            </w:pPr>
            <w:r w:rsidRPr="00196D7C">
              <w:rPr>
                <w:sz w:val="20"/>
                <w:lang w:val="en-CA"/>
              </w:rPr>
              <w:t xml:space="preserve">Neutral citation: </w:t>
            </w:r>
            <w:r w:rsidRPr="00196D7C">
              <w:rPr>
                <w:color w:val="000000"/>
                <w:sz w:val="20"/>
                <w:lang w:val="en-CA"/>
              </w:rPr>
              <w:t>2011 QCCQ 6969</w:t>
            </w:r>
          </w:p>
          <w:p w:rsidR="00196D7C" w:rsidRPr="00196D7C" w:rsidRDefault="00196D7C" w:rsidP="00196D7C">
            <w:pPr>
              <w:jc w:val="both"/>
              <w:rPr>
                <w:sz w:val="20"/>
                <w:lang w:val="en-CA"/>
              </w:rPr>
            </w:pPr>
          </w:p>
        </w:tc>
        <w:tc>
          <w:tcPr>
            <w:tcW w:w="243" w:type="pct"/>
          </w:tcPr>
          <w:p w:rsidR="00196D7C" w:rsidRPr="00196D7C" w:rsidRDefault="00196D7C" w:rsidP="00196D7C">
            <w:pPr>
              <w:jc w:val="both"/>
              <w:rPr>
                <w:sz w:val="20"/>
                <w:lang w:val="en-CA"/>
              </w:rPr>
            </w:pPr>
          </w:p>
        </w:tc>
        <w:tc>
          <w:tcPr>
            <w:tcW w:w="2330" w:type="pct"/>
          </w:tcPr>
          <w:p w:rsidR="00196D7C" w:rsidRPr="00196D7C" w:rsidRDefault="00196D7C" w:rsidP="00196D7C">
            <w:pPr>
              <w:jc w:val="both"/>
              <w:rPr>
                <w:color w:val="000000"/>
                <w:sz w:val="20"/>
                <w:lang w:val="en-CA"/>
              </w:rPr>
            </w:pPr>
            <w:r w:rsidRPr="00196D7C">
              <w:rPr>
                <w:color w:val="000000"/>
                <w:sz w:val="20"/>
                <w:lang w:val="en-CA"/>
              </w:rPr>
              <w:t xml:space="preserve">Applicant convicted of one count of attempted murder, two counts of assault (causing bodily harm </w:t>
            </w:r>
            <w:r w:rsidRPr="00196D7C">
              <w:rPr>
                <w:color w:val="000000"/>
                <w:sz w:val="20"/>
                <w:lang w:val="en-CA"/>
              </w:rPr>
              <w:lastRenderedPageBreak/>
              <w:t xml:space="preserve">and with use of weapon) and one count of possession of weapon for dangerous purpose </w:t>
            </w:r>
          </w:p>
          <w:p w:rsidR="00196D7C" w:rsidRPr="00196D7C" w:rsidRDefault="00196D7C" w:rsidP="00196D7C">
            <w:pPr>
              <w:jc w:val="both"/>
              <w:rPr>
                <w:sz w:val="20"/>
                <w:lang w:val="en-CA"/>
              </w:rPr>
            </w:pPr>
          </w:p>
        </w:tc>
      </w:tr>
      <w:tr w:rsidR="00196D7C" w:rsidRPr="00196D7C" w:rsidTr="00E95A6A">
        <w:tc>
          <w:tcPr>
            <w:tcW w:w="2427" w:type="pct"/>
            <w:gridSpan w:val="2"/>
          </w:tcPr>
          <w:p w:rsidR="00196D7C" w:rsidRPr="00196D7C" w:rsidRDefault="00196D7C" w:rsidP="00196D7C">
            <w:pPr>
              <w:jc w:val="both"/>
              <w:rPr>
                <w:sz w:val="20"/>
                <w:lang w:val="en-CA"/>
              </w:rPr>
            </w:pPr>
            <w:r w:rsidRPr="00196D7C">
              <w:rPr>
                <w:sz w:val="20"/>
                <w:lang w:val="en-CA"/>
              </w:rPr>
              <w:lastRenderedPageBreak/>
              <w:t>May 19, 2015</w:t>
            </w:r>
          </w:p>
          <w:p w:rsidR="00196D7C" w:rsidRPr="00196D7C" w:rsidRDefault="00196D7C" w:rsidP="00196D7C">
            <w:pPr>
              <w:jc w:val="both"/>
              <w:rPr>
                <w:sz w:val="20"/>
                <w:lang w:val="en-CA"/>
              </w:rPr>
            </w:pPr>
            <w:r w:rsidRPr="00196D7C">
              <w:rPr>
                <w:sz w:val="20"/>
                <w:lang w:val="en-CA"/>
              </w:rPr>
              <w:t>Quebec Court of Appeal (Montréal)</w:t>
            </w:r>
          </w:p>
          <w:p w:rsidR="00196D7C" w:rsidRPr="00196D7C" w:rsidRDefault="00196D7C" w:rsidP="00196D7C">
            <w:pPr>
              <w:jc w:val="both"/>
              <w:rPr>
                <w:sz w:val="20"/>
                <w:lang w:val="en-CA"/>
              </w:rPr>
            </w:pPr>
            <w:r w:rsidRPr="00196D7C">
              <w:rPr>
                <w:sz w:val="20"/>
                <w:lang w:val="en-CA"/>
              </w:rPr>
              <w:t>(Pelletier, Kasirer and Vauclair JJ.A.)</w:t>
            </w:r>
          </w:p>
          <w:p w:rsidR="00196D7C" w:rsidRPr="00196D7C" w:rsidRDefault="00196D7C" w:rsidP="00196D7C">
            <w:pPr>
              <w:jc w:val="both"/>
              <w:rPr>
                <w:sz w:val="20"/>
                <w:lang w:val="en-CA"/>
              </w:rPr>
            </w:pPr>
            <w:r w:rsidRPr="00196D7C">
              <w:rPr>
                <w:sz w:val="20"/>
                <w:lang w:val="en-CA"/>
              </w:rPr>
              <w:t xml:space="preserve">Neutral citation: </w:t>
            </w:r>
            <w:r w:rsidRPr="00196D7C">
              <w:rPr>
                <w:rStyle w:val="hit1"/>
                <w:b w:val="0"/>
                <w:color w:val="auto"/>
                <w:sz w:val="20"/>
                <w:lang w:val="en-CA"/>
              </w:rPr>
              <w:t>2015 QCCA 914</w:t>
            </w:r>
          </w:p>
          <w:p w:rsidR="00196D7C" w:rsidRPr="00196D7C" w:rsidRDefault="00196D7C" w:rsidP="00196D7C">
            <w:pPr>
              <w:jc w:val="both"/>
              <w:rPr>
                <w:sz w:val="20"/>
                <w:lang w:val="en-CA"/>
              </w:rPr>
            </w:pPr>
          </w:p>
        </w:tc>
        <w:tc>
          <w:tcPr>
            <w:tcW w:w="243" w:type="pct"/>
          </w:tcPr>
          <w:p w:rsidR="00196D7C" w:rsidRPr="00196D7C" w:rsidRDefault="00196D7C" w:rsidP="00196D7C">
            <w:pPr>
              <w:jc w:val="both"/>
              <w:rPr>
                <w:sz w:val="20"/>
                <w:lang w:val="en-CA"/>
              </w:rPr>
            </w:pPr>
          </w:p>
        </w:tc>
        <w:tc>
          <w:tcPr>
            <w:tcW w:w="2330" w:type="pct"/>
          </w:tcPr>
          <w:p w:rsidR="00196D7C" w:rsidRPr="00196D7C" w:rsidRDefault="00196D7C" w:rsidP="00196D7C">
            <w:pPr>
              <w:jc w:val="both"/>
              <w:rPr>
                <w:sz w:val="20"/>
                <w:lang w:val="en-CA"/>
              </w:rPr>
            </w:pPr>
            <w:r w:rsidRPr="00196D7C">
              <w:rPr>
                <w:sz w:val="20"/>
                <w:lang w:val="en-CA"/>
              </w:rPr>
              <w:t>Appeals dismissed</w:t>
            </w:r>
          </w:p>
          <w:p w:rsidR="00196D7C" w:rsidRPr="00196D7C" w:rsidRDefault="00196D7C" w:rsidP="00196D7C">
            <w:pPr>
              <w:jc w:val="both"/>
              <w:rPr>
                <w:sz w:val="20"/>
                <w:lang w:val="en-CA"/>
              </w:rPr>
            </w:pPr>
          </w:p>
        </w:tc>
      </w:tr>
      <w:tr w:rsidR="00196D7C" w:rsidRPr="00196D7C" w:rsidTr="00E95A6A">
        <w:tc>
          <w:tcPr>
            <w:tcW w:w="2427" w:type="pct"/>
            <w:gridSpan w:val="2"/>
          </w:tcPr>
          <w:p w:rsidR="00196D7C" w:rsidRPr="00196D7C" w:rsidRDefault="00196D7C" w:rsidP="00196D7C">
            <w:pPr>
              <w:jc w:val="both"/>
              <w:rPr>
                <w:sz w:val="20"/>
                <w:lang w:val="en-CA"/>
              </w:rPr>
            </w:pPr>
            <w:r w:rsidRPr="00196D7C">
              <w:rPr>
                <w:sz w:val="20"/>
                <w:lang w:val="en-CA"/>
              </w:rPr>
              <w:t>August 17, 2015</w:t>
            </w:r>
          </w:p>
          <w:p w:rsidR="00196D7C" w:rsidRPr="00196D7C" w:rsidRDefault="00196D7C" w:rsidP="00196D7C">
            <w:pPr>
              <w:jc w:val="both"/>
              <w:rPr>
                <w:sz w:val="20"/>
                <w:lang w:val="en-CA"/>
              </w:rPr>
            </w:pPr>
            <w:r w:rsidRPr="00196D7C">
              <w:rPr>
                <w:sz w:val="20"/>
                <w:lang w:val="en-CA"/>
              </w:rPr>
              <w:t>Supreme Court of du Canada</w:t>
            </w:r>
          </w:p>
          <w:p w:rsidR="00196D7C" w:rsidRPr="00196D7C" w:rsidRDefault="00196D7C" w:rsidP="00196D7C">
            <w:pPr>
              <w:jc w:val="both"/>
              <w:rPr>
                <w:sz w:val="20"/>
                <w:lang w:val="en-CA"/>
              </w:rPr>
            </w:pPr>
          </w:p>
        </w:tc>
        <w:tc>
          <w:tcPr>
            <w:tcW w:w="243" w:type="pct"/>
          </w:tcPr>
          <w:p w:rsidR="00196D7C" w:rsidRPr="00196D7C" w:rsidRDefault="00196D7C" w:rsidP="00196D7C">
            <w:pPr>
              <w:jc w:val="both"/>
              <w:rPr>
                <w:sz w:val="20"/>
                <w:lang w:val="en-CA"/>
              </w:rPr>
            </w:pPr>
          </w:p>
        </w:tc>
        <w:tc>
          <w:tcPr>
            <w:tcW w:w="2330" w:type="pct"/>
          </w:tcPr>
          <w:p w:rsidR="00196D7C" w:rsidRPr="00196D7C" w:rsidRDefault="00196D7C" w:rsidP="00196D7C">
            <w:pPr>
              <w:jc w:val="both"/>
              <w:rPr>
                <w:sz w:val="20"/>
                <w:lang w:val="en-CA"/>
              </w:rPr>
            </w:pPr>
            <w:r w:rsidRPr="00196D7C">
              <w:rPr>
                <w:sz w:val="20"/>
                <w:lang w:val="en-CA"/>
              </w:rPr>
              <w:t>Application for leave to appeal filed</w:t>
            </w:r>
          </w:p>
          <w:p w:rsidR="00196D7C" w:rsidRPr="00196D7C" w:rsidRDefault="00196D7C" w:rsidP="00196D7C">
            <w:pPr>
              <w:jc w:val="both"/>
              <w:rPr>
                <w:sz w:val="20"/>
                <w:lang w:val="en-CA"/>
              </w:rPr>
            </w:pPr>
          </w:p>
        </w:tc>
      </w:tr>
    </w:tbl>
    <w:p w:rsidR="00196D7C" w:rsidRPr="00196D7C" w:rsidRDefault="00196D7C" w:rsidP="00196D7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6D7C" w:rsidRPr="00196D7C" w:rsidTr="00E95A6A">
        <w:tc>
          <w:tcPr>
            <w:tcW w:w="543" w:type="pct"/>
          </w:tcPr>
          <w:p w:rsidR="00196D7C" w:rsidRPr="00196D7C" w:rsidRDefault="00196D7C" w:rsidP="00196D7C">
            <w:pPr>
              <w:jc w:val="both"/>
              <w:rPr>
                <w:sz w:val="20"/>
              </w:rPr>
            </w:pPr>
            <w:r w:rsidRPr="00196D7C">
              <w:rPr>
                <w:rStyle w:val="SCCFileNumberChar"/>
                <w:sz w:val="20"/>
                <w:szCs w:val="20"/>
              </w:rPr>
              <w:t>36559</w:t>
            </w:r>
          </w:p>
        </w:tc>
        <w:tc>
          <w:tcPr>
            <w:tcW w:w="4457" w:type="pct"/>
            <w:gridSpan w:val="3"/>
          </w:tcPr>
          <w:p w:rsidR="00196D7C" w:rsidRPr="00196D7C" w:rsidRDefault="00196D7C" w:rsidP="00196D7C">
            <w:pPr>
              <w:pStyle w:val="SCCLsocParty"/>
              <w:jc w:val="both"/>
              <w:rPr>
                <w:b/>
                <w:sz w:val="20"/>
                <w:szCs w:val="20"/>
              </w:rPr>
            </w:pPr>
            <w:r w:rsidRPr="00196D7C">
              <w:rPr>
                <w:b/>
                <w:sz w:val="20"/>
                <w:szCs w:val="20"/>
              </w:rPr>
              <w:t xml:space="preserve">Elena-Gabriela </w:t>
            </w:r>
            <w:proofErr w:type="spellStart"/>
            <w:r w:rsidRPr="00196D7C">
              <w:rPr>
                <w:b/>
                <w:sz w:val="20"/>
                <w:szCs w:val="20"/>
              </w:rPr>
              <w:t>Zugravescu</w:t>
            </w:r>
            <w:proofErr w:type="spellEnd"/>
            <w:r w:rsidRPr="00196D7C">
              <w:rPr>
                <w:b/>
                <w:sz w:val="20"/>
                <w:szCs w:val="20"/>
              </w:rPr>
              <w:t xml:space="preserve"> c. Sa Majesté la Reine</w:t>
            </w:r>
          </w:p>
          <w:p w:rsidR="00196D7C" w:rsidRPr="00196D7C" w:rsidRDefault="00196D7C" w:rsidP="00196D7C">
            <w:pPr>
              <w:jc w:val="both"/>
              <w:rPr>
                <w:sz w:val="20"/>
              </w:rPr>
            </w:pPr>
            <w:r w:rsidRPr="00196D7C">
              <w:rPr>
                <w:sz w:val="20"/>
              </w:rPr>
              <w:t>(Qc) (</w:t>
            </w:r>
            <w:proofErr w:type="spellStart"/>
            <w:r w:rsidRPr="00196D7C">
              <w:rPr>
                <w:sz w:val="20"/>
              </w:rPr>
              <w:t>Criminelle</w:t>
            </w:r>
            <w:proofErr w:type="spellEnd"/>
            <w:r w:rsidRPr="00196D7C">
              <w:rPr>
                <w:sz w:val="20"/>
              </w:rPr>
              <w:t>) (</w:t>
            </w:r>
            <w:proofErr w:type="spellStart"/>
            <w:r w:rsidRPr="00196D7C">
              <w:rPr>
                <w:sz w:val="20"/>
              </w:rPr>
              <w:t>Autorisation</w:t>
            </w:r>
            <w:proofErr w:type="spellEnd"/>
            <w:r w:rsidRPr="00196D7C">
              <w:rPr>
                <w:sz w:val="20"/>
              </w:rPr>
              <w:t>)</w:t>
            </w:r>
          </w:p>
        </w:tc>
      </w:tr>
      <w:tr w:rsidR="00196D7C" w:rsidRPr="00196D7C" w:rsidTr="00E95A6A">
        <w:tc>
          <w:tcPr>
            <w:tcW w:w="5000" w:type="pct"/>
            <w:gridSpan w:val="4"/>
          </w:tcPr>
          <w:p w:rsidR="00196D7C" w:rsidRPr="00196D7C" w:rsidRDefault="00196D7C" w:rsidP="00196D7C">
            <w:pPr>
              <w:pStyle w:val="SCCBanSummary"/>
              <w:rPr>
                <w:smallCaps w:val="0"/>
                <w:sz w:val="20"/>
                <w:szCs w:val="20"/>
                <w:lang w:val="fr-CA"/>
              </w:rPr>
            </w:pPr>
            <w:r w:rsidRPr="00196D7C">
              <w:rPr>
                <w:smallCaps w:val="0"/>
                <w:sz w:val="20"/>
                <w:szCs w:val="20"/>
                <w:lang w:val="fr-CA"/>
              </w:rPr>
              <w:t>Droit criminel – Appels – Infractions – Éléments de l’infraction – Tentative de meurtre – Voies de fait – Agression armée – Moyens de défense – Syndrome de la femme battue – Automatisme – Les verdicts étaient-ils déraisonnables?</w:t>
            </w:r>
          </w:p>
          <w:p w:rsidR="00196D7C" w:rsidRPr="00196D7C" w:rsidRDefault="00196D7C" w:rsidP="00196D7C">
            <w:pPr>
              <w:jc w:val="both"/>
              <w:rPr>
                <w:sz w:val="20"/>
                <w:lang w:val="fr-CA"/>
              </w:rPr>
            </w:pPr>
          </w:p>
        </w:tc>
      </w:tr>
      <w:tr w:rsidR="00196D7C" w:rsidRPr="00196D7C" w:rsidTr="00E95A6A">
        <w:tc>
          <w:tcPr>
            <w:tcW w:w="5000" w:type="pct"/>
            <w:gridSpan w:val="4"/>
          </w:tcPr>
          <w:p w:rsidR="00196D7C" w:rsidRPr="00196D7C" w:rsidRDefault="00196D7C" w:rsidP="00196D7C">
            <w:pPr>
              <w:jc w:val="both"/>
              <w:rPr>
                <w:color w:val="000000"/>
                <w:sz w:val="20"/>
                <w:lang w:val="fr-CA"/>
              </w:rPr>
            </w:pPr>
            <w:r w:rsidRPr="00196D7C">
              <w:rPr>
                <w:color w:val="000000"/>
                <w:sz w:val="20"/>
                <w:lang w:val="fr-CA"/>
              </w:rPr>
              <w:t>La demanderesse, Mme </w:t>
            </w:r>
            <w:proofErr w:type="spellStart"/>
            <w:r w:rsidRPr="00196D7C">
              <w:rPr>
                <w:color w:val="000000"/>
                <w:sz w:val="20"/>
                <w:lang w:val="fr-CA"/>
              </w:rPr>
              <w:t>Zugravescu</w:t>
            </w:r>
            <w:proofErr w:type="spellEnd"/>
            <w:r w:rsidRPr="00196D7C">
              <w:rPr>
                <w:color w:val="000000"/>
                <w:sz w:val="20"/>
                <w:lang w:val="fr-CA"/>
              </w:rPr>
              <w:t xml:space="preserve"> est accusée de tentative de meurtre, de voies de fait causant des lésions corporelles, de voies de fait avec utilisation d’une arme et de possession d’une arme dans un dessein dangereux. Ces accusations sont en lien avec une agression perpétrée le 21 juin 2010 contre son époux dans une station du métro. Sans nier avoir agressé son mari, la demanderesse conteste qu’elle ait eu l’intention spécifique de le tuer. Elle allègue à toutes fins utiles un black-out ou une amnésie passagère au moment de l’agression. Le point en litige consiste à déterminer l’intention de la demanderesse. La Cour du Québec conclut que la version de la demanderesse ne s’avère pas crédible et rejette son témoignage. La demanderesse est reconnue coupable des 4 chefs d’accusation. Cette dernière interjette appel du verdict et de la peine imposée. La Cour d’appel considère que la preuve des faits matériels de l’agression était claire, fiable et abondante.</w:t>
            </w:r>
          </w:p>
        </w:tc>
      </w:tr>
      <w:tr w:rsidR="00196D7C" w:rsidRPr="00196D7C" w:rsidTr="00E95A6A">
        <w:tc>
          <w:tcPr>
            <w:tcW w:w="5000" w:type="pct"/>
            <w:gridSpan w:val="4"/>
          </w:tcPr>
          <w:p w:rsidR="00196D7C" w:rsidRPr="00196D7C" w:rsidRDefault="00196D7C" w:rsidP="00196D7C">
            <w:pPr>
              <w:jc w:val="both"/>
              <w:rPr>
                <w:sz w:val="20"/>
                <w:lang w:val="fr-CA"/>
              </w:rPr>
            </w:pPr>
          </w:p>
        </w:tc>
      </w:tr>
      <w:tr w:rsidR="00196D7C" w:rsidRPr="00196D7C" w:rsidTr="00E95A6A">
        <w:tc>
          <w:tcPr>
            <w:tcW w:w="2427" w:type="pct"/>
            <w:gridSpan w:val="2"/>
          </w:tcPr>
          <w:p w:rsidR="00196D7C" w:rsidRPr="00196D7C" w:rsidRDefault="00196D7C" w:rsidP="00196D7C">
            <w:pPr>
              <w:jc w:val="both"/>
              <w:rPr>
                <w:sz w:val="20"/>
                <w:lang w:val="fr-CA"/>
              </w:rPr>
            </w:pPr>
            <w:r w:rsidRPr="00196D7C">
              <w:rPr>
                <w:sz w:val="20"/>
                <w:lang w:val="fr-CA"/>
              </w:rPr>
              <w:t>Le 22 juin 2011</w:t>
            </w:r>
          </w:p>
          <w:p w:rsidR="00196D7C" w:rsidRPr="00196D7C" w:rsidRDefault="00196D7C" w:rsidP="00196D7C">
            <w:pPr>
              <w:jc w:val="both"/>
              <w:rPr>
                <w:sz w:val="20"/>
                <w:lang w:val="fr-CA"/>
              </w:rPr>
            </w:pPr>
            <w:r w:rsidRPr="00196D7C">
              <w:rPr>
                <w:sz w:val="20"/>
                <w:lang w:val="fr-CA"/>
              </w:rPr>
              <w:t>Cour du Québec</w:t>
            </w:r>
          </w:p>
          <w:p w:rsidR="00196D7C" w:rsidRPr="00196D7C" w:rsidRDefault="00196D7C" w:rsidP="00196D7C">
            <w:pPr>
              <w:jc w:val="both"/>
              <w:rPr>
                <w:sz w:val="20"/>
                <w:lang w:val="fr-CA"/>
              </w:rPr>
            </w:pPr>
            <w:r w:rsidRPr="00196D7C">
              <w:rPr>
                <w:sz w:val="20"/>
                <w:lang w:val="fr-CA"/>
              </w:rPr>
              <w:t xml:space="preserve">(Le juge </w:t>
            </w:r>
            <w:proofErr w:type="spellStart"/>
            <w:r w:rsidRPr="00196D7C">
              <w:rPr>
                <w:sz w:val="20"/>
                <w:lang w:val="fr-CA"/>
              </w:rPr>
              <w:t>Lavergne</w:t>
            </w:r>
            <w:proofErr w:type="spellEnd"/>
            <w:r w:rsidRPr="00196D7C">
              <w:rPr>
                <w:sz w:val="20"/>
                <w:lang w:val="fr-CA"/>
              </w:rPr>
              <w:t>)</w:t>
            </w:r>
          </w:p>
          <w:p w:rsidR="00196D7C" w:rsidRPr="00196D7C" w:rsidRDefault="00196D7C" w:rsidP="00196D7C">
            <w:pPr>
              <w:jc w:val="both"/>
              <w:rPr>
                <w:sz w:val="20"/>
              </w:rPr>
            </w:pPr>
            <w:r w:rsidRPr="00196D7C">
              <w:rPr>
                <w:sz w:val="20"/>
              </w:rPr>
              <w:t xml:space="preserve">Référence </w:t>
            </w:r>
            <w:proofErr w:type="spellStart"/>
            <w:r w:rsidRPr="00196D7C">
              <w:rPr>
                <w:sz w:val="20"/>
              </w:rPr>
              <w:t>neutre</w:t>
            </w:r>
            <w:proofErr w:type="spellEnd"/>
            <w:r w:rsidRPr="00196D7C">
              <w:rPr>
                <w:sz w:val="20"/>
              </w:rPr>
              <w:t xml:space="preserve"> : </w:t>
            </w:r>
            <w:r w:rsidRPr="00196D7C">
              <w:rPr>
                <w:color w:val="000000"/>
                <w:sz w:val="20"/>
              </w:rPr>
              <w:t>2011 QCCQ 6969</w:t>
            </w:r>
          </w:p>
          <w:p w:rsidR="00196D7C" w:rsidRPr="00196D7C" w:rsidRDefault="00196D7C" w:rsidP="00196D7C">
            <w:pPr>
              <w:jc w:val="both"/>
              <w:rPr>
                <w:sz w:val="20"/>
              </w:rPr>
            </w:pPr>
          </w:p>
        </w:tc>
        <w:tc>
          <w:tcPr>
            <w:tcW w:w="243" w:type="pct"/>
          </w:tcPr>
          <w:p w:rsidR="00196D7C" w:rsidRPr="00196D7C" w:rsidRDefault="00196D7C" w:rsidP="00196D7C">
            <w:pPr>
              <w:jc w:val="both"/>
              <w:rPr>
                <w:sz w:val="20"/>
              </w:rPr>
            </w:pPr>
          </w:p>
        </w:tc>
        <w:tc>
          <w:tcPr>
            <w:tcW w:w="2330" w:type="pct"/>
          </w:tcPr>
          <w:p w:rsidR="00196D7C" w:rsidRPr="00196D7C" w:rsidRDefault="00196D7C" w:rsidP="00196D7C">
            <w:pPr>
              <w:jc w:val="both"/>
              <w:rPr>
                <w:color w:val="000000"/>
                <w:sz w:val="20"/>
                <w:lang w:val="fr-CA"/>
              </w:rPr>
            </w:pPr>
            <w:r w:rsidRPr="00196D7C">
              <w:rPr>
                <w:color w:val="000000"/>
                <w:sz w:val="20"/>
                <w:lang w:val="fr-CA"/>
              </w:rPr>
              <w:t xml:space="preserve">Demanderesse reconnue coupable d’un chef de tentative de meurtre, de deux chefs de voies de fait (causant lésions corporelles et avec utilisation d’une arme) et d’un chef de possession d’une arme dans un dessein dangereux. </w:t>
            </w:r>
          </w:p>
          <w:p w:rsidR="00196D7C" w:rsidRPr="00196D7C" w:rsidRDefault="00196D7C" w:rsidP="00196D7C">
            <w:pPr>
              <w:jc w:val="both"/>
              <w:rPr>
                <w:sz w:val="20"/>
                <w:lang w:val="fr-CA"/>
              </w:rPr>
            </w:pPr>
          </w:p>
        </w:tc>
      </w:tr>
      <w:tr w:rsidR="00196D7C" w:rsidRPr="00196D7C" w:rsidTr="00E95A6A">
        <w:tc>
          <w:tcPr>
            <w:tcW w:w="2427" w:type="pct"/>
            <w:gridSpan w:val="2"/>
          </w:tcPr>
          <w:p w:rsidR="00196D7C" w:rsidRPr="00196D7C" w:rsidRDefault="00196D7C" w:rsidP="00196D7C">
            <w:pPr>
              <w:jc w:val="both"/>
              <w:rPr>
                <w:sz w:val="20"/>
                <w:lang w:val="fr-CA"/>
              </w:rPr>
            </w:pPr>
            <w:r w:rsidRPr="00196D7C">
              <w:rPr>
                <w:sz w:val="20"/>
                <w:lang w:val="fr-CA"/>
              </w:rPr>
              <w:t>Le 19 mai 2015</w:t>
            </w:r>
          </w:p>
          <w:p w:rsidR="00196D7C" w:rsidRPr="00196D7C" w:rsidRDefault="00196D7C" w:rsidP="00196D7C">
            <w:pPr>
              <w:jc w:val="both"/>
              <w:rPr>
                <w:sz w:val="20"/>
                <w:lang w:val="fr-CA"/>
              </w:rPr>
            </w:pPr>
            <w:r w:rsidRPr="00196D7C">
              <w:rPr>
                <w:sz w:val="20"/>
                <w:lang w:val="fr-CA"/>
              </w:rPr>
              <w:t>Cour d’appel du Québec (Montréal)</w:t>
            </w:r>
          </w:p>
          <w:p w:rsidR="00196D7C" w:rsidRPr="00196D7C" w:rsidRDefault="00196D7C" w:rsidP="00196D7C">
            <w:pPr>
              <w:jc w:val="both"/>
              <w:rPr>
                <w:sz w:val="20"/>
                <w:lang w:val="fr-CA"/>
              </w:rPr>
            </w:pPr>
            <w:r w:rsidRPr="00196D7C">
              <w:rPr>
                <w:sz w:val="20"/>
                <w:lang w:val="fr-CA"/>
              </w:rPr>
              <w:t xml:space="preserve">(Les juges Pelletier, </w:t>
            </w:r>
            <w:proofErr w:type="spellStart"/>
            <w:r w:rsidRPr="00196D7C">
              <w:rPr>
                <w:sz w:val="20"/>
                <w:lang w:val="fr-CA"/>
              </w:rPr>
              <w:t>Kasirer</w:t>
            </w:r>
            <w:proofErr w:type="spellEnd"/>
            <w:r w:rsidRPr="00196D7C">
              <w:rPr>
                <w:sz w:val="20"/>
                <w:lang w:val="fr-CA"/>
              </w:rPr>
              <w:t xml:space="preserve"> et </w:t>
            </w:r>
            <w:proofErr w:type="spellStart"/>
            <w:r w:rsidRPr="00196D7C">
              <w:rPr>
                <w:sz w:val="20"/>
                <w:lang w:val="fr-CA"/>
              </w:rPr>
              <w:t>Vauclair</w:t>
            </w:r>
            <w:proofErr w:type="spellEnd"/>
            <w:r w:rsidRPr="00196D7C">
              <w:rPr>
                <w:sz w:val="20"/>
                <w:lang w:val="fr-CA"/>
              </w:rPr>
              <w:t>)</w:t>
            </w:r>
          </w:p>
          <w:p w:rsidR="00196D7C" w:rsidRPr="00196D7C" w:rsidRDefault="00196D7C" w:rsidP="00196D7C">
            <w:pPr>
              <w:jc w:val="both"/>
              <w:rPr>
                <w:sz w:val="20"/>
              </w:rPr>
            </w:pPr>
            <w:r w:rsidRPr="00196D7C">
              <w:rPr>
                <w:sz w:val="20"/>
              </w:rPr>
              <w:t xml:space="preserve">Référence </w:t>
            </w:r>
            <w:proofErr w:type="spellStart"/>
            <w:r w:rsidRPr="00196D7C">
              <w:rPr>
                <w:sz w:val="20"/>
              </w:rPr>
              <w:t>neutre</w:t>
            </w:r>
            <w:proofErr w:type="spellEnd"/>
            <w:r w:rsidRPr="00196D7C">
              <w:rPr>
                <w:sz w:val="20"/>
              </w:rPr>
              <w:t xml:space="preserve"> : </w:t>
            </w:r>
            <w:r w:rsidRPr="00196D7C">
              <w:rPr>
                <w:rStyle w:val="hit1"/>
                <w:b w:val="0"/>
                <w:color w:val="auto"/>
                <w:sz w:val="20"/>
              </w:rPr>
              <w:t>2015 QCCA 914</w:t>
            </w:r>
          </w:p>
          <w:p w:rsidR="00196D7C" w:rsidRPr="00196D7C" w:rsidRDefault="00196D7C" w:rsidP="00196D7C">
            <w:pPr>
              <w:jc w:val="both"/>
              <w:rPr>
                <w:sz w:val="20"/>
              </w:rPr>
            </w:pPr>
          </w:p>
        </w:tc>
        <w:tc>
          <w:tcPr>
            <w:tcW w:w="243" w:type="pct"/>
          </w:tcPr>
          <w:p w:rsidR="00196D7C" w:rsidRPr="00196D7C" w:rsidRDefault="00196D7C" w:rsidP="00196D7C">
            <w:pPr>
              <w:jc w:val="both"/>
              <w:rPr>
                <w:sz w:val="20"/>
              </w:rPr>
            </w:pPr>
          </w:p>
        </w:tc>
        <w:tc>
          <w:tcPr>
            <w:tcW w:w="2330" w:type="pct"/>
          </w:tcPr>
          <w:p w:rsidR="00196D7C" w:rsidRPr="00196D7C" w:rsidRDefault="00196D7C" w:rsidP="00196D7C">
            <w:pPr>
              <w:jc w:val="both"/>
              <w:rPr>
                <w:sz w:val="20"/>
              </w:rPr>
            </w:pPr>
            <w:r w:rsidRPr="00196D7C">
              <w:rPr>
                <w:sz w:val="20"/>
              </w:rPr>
              <w:t>Appels rejetés.</w:t>
            </w:r>
          </w:p>
          <w:p w:rsidR="00196D7C" w:rsidRPr="00196D7C" w:rsidRDefault="00196D7C" w:rsidP="00196D7C">
            <w:pPr>
              <w:jc w:val="both"/>
              <w:rPr>
                <w:sz w:val="20"/>
              </w:rPr>
            </w:pPr>
          </w:p>
        </w:tc>
      </w:tr>
      <w:tr w:rsidR="00196D7C" w:rsidRPr="00196D7C" w:rsidTr="00E95A6A">
        <w:tc>
          <w:tcPr>
            <w:tcW w:w="2427" w:type="pct"/>
            <w:gridSpan w:val="2"/>
          </w:tcPr>
          <w:p w:rsidR="00196D7C" w:rsidRPr="00196D7C" w:rsidRDefault="00196D7C" w:rsidP="00196D7C">
            <w:pPr>
              <w:jc w:val="both"/>
              <w:rPr>
                <w:sz w:val="20"/>
                <w:lang w:val="fr-CA"/>
              </w:rPr>
            </w:pPr>
            <w:r w:rsidRPr="00196D7C">
              <w:rPr>
                <w:sz w:val="20"/>
                <w:lang w:val="fr-CA"/>
              </w:rPr>
              <w:t>Le 17 août 2015</w:t>
            </w:r>
          </w:p>
          <w:p w:rsidR="00196D7C" w:rsidRPr="00196D7C" w:rsidRDefault="00196D7C" w:rsidP="00196D7C">
            <w:pPr>
              <w:jc w:val="both"/>
              <w:rPr>
                <w:sz w:val="20"/>
                <w:lang w:val="fr-CA"/>
              </w:rPr>
            </w:pPr>
            <w:r w:rsidRPr="00196D7C">
              <w:rPr>
                <w:sz w:val="20"/>
                <w:lang w:val="fr-CA"/>
              </w:rPr>
              <w:t>Cour suprême du Canada</w:t>
            </w:r>
          </w:p>
          <w:p w:rsidR="00196D7C" w:rsidRPr="00196D7C" w:rsidRDefault="00196D7C" w:rsidP="00196D7C">
            <w:pPr>
              <w:jc w:val="both"/>
              <w:rPr>
                <w:sz w:val="20"/>
                <w:lang w:val="fr-CA"/>
              </w:rPr>
            </w:pPr>
          </w:p>
        </w:tc>
        <w:tc>
          <w:tcPr>
            <w:tcW w:w="243" w:type="pct"/>
          </w:tcPr>
          <w:p w:rsidR="00196D7C" w:rsidRPr="00196D7C" w:rsidRDefault="00196D7C" w:rsidP="00196D7C">
            <w:pPr>
              <w:jc w:val="both"/>
              <w:rPr>
                <w:sz w:val="20"/>
                <w:lang w:val="fr-CA"/>
              </w:rPr>
            </w:pPr>
          </w:p>
        </w:tc>
        <w:tc>
          <w:tcPr>
            <w:tcW w:w="2330" w:type="pct"/>
          </w:tcPr>
          <w:p w:rsidR="00196D7C" w:rsidRPr="00196D7C" w:rsidRDefault="00196D7C" w:rsidP="00196D7C">
            <w:pPr>
              <w:jc w:val="both"/>
              <w:rPr>
                <w:sz w:val="20"/>
              </w:rPr>
            </w:pPr>
            <w:proofErr w:type="spellStart"/>
            <w:r w:rsidRPr="00196D7C">
              <w:rPr>
                <w:sz w:val="20"/>
              </w:rPr>
              <w:t>Demande</w:t>
            </w:r>
            <w:proofErr w:type="spellEnd"/>
            <w:r w:rsidRPr="00196D7C">
              <w:rPr>
                <w:sz w:val="20"/>
              </w:rPr>
              <w:t xml:space="preserve"> </w:t>
            </w:r>
            <w:proofErr w:type="spellStart"/>
            <w:r w:rsidRPr="00196D7C">
              <w:rPr>
                <w:sz w:val="20"/>
              </w:rPr>
              <w:t>d’autorisation</w:t>
            </w:r>
            <w:proofErr w:type="spellEnd"/>
            <w:r w:rsidRPr="00196D7C">
              <w:rPr>
                <w:sz w:val="20"/>
              </w:rPr>
              <w:t xml:space="preserve"> </w:t>
            </w:r>
            <w:proofErr w:type="spellStart"/>
            <w:r w:rsidRPr="00196D7C">
              <w:rPr>
                <w:sz w:val="20"/>
              </w:rPr>
              <w:t>d’appel</w:t>
            </w:r>
            <w:proofErr w:type="spellEnd"/>
            <w:r w:rsidRPr="00196D7C">
              <w:rPr>
                <w:sz w:val="20"/>
              </w:rPr>
              <w:t xml:space="preserve"> </w:t>
            </w:r>
            <w:proofErr w:type="spellStart"/>
            <w:r w:rsidRPr="00196D7C">
              <w:rPr>
                <w:sz w:val="20"/>
              </w:rPr>
              <w:t>déposée</w:t>
            </w:r>
            <w:proofErr w:type="spellEnd"/>
            <w:r w:rsidRPr="00196D7C">
              <w:rPr>
                <w:sz w:val="20"/>
              </w:rPr>
              <w:t>.</w:t>
            </w:r>
          </w:p>
          <w:p w:rsidR="00196D7C" w:rsidRPr="00196D7C" w:rsidRDefault="00196D7C" w:rsidP="00196D7C">
            <w:pPr>
              <w:jc w:val="both"/>
              <w:rPr>
                <w:sz w:val="20"/>
              </w:rPr>
            </w:pPr>
          </w:p>
        </w:tc>
      </w:tr>
    </w:tbl>
    <w:p w:rsidR="00196D7C" w:rsidRPr="00196D7C" w:rsidRDefault="00196D7C" w:rsidP="00196D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6D7C" w:rsidRPr="00196D7C" w:rsidTr="00E95A6A">
        <w:tc>
          <w:tcPr>
            <w:tcW w:w="543" w:type="pct"/>
          </w:tcPr>
          <w:p w:rsidR="00196D7C" w:rsidRPr="00196D7C" w:rsidRDefault="00196D7C" w:rsidP="00196D7C">
            <w:pPr>
              <w:jc w:val="both"/>
              <w:rPr>
                <w:sz w:val="20"/>
              </w:rPr>
            </w:pPr>
            <w:r w:rsidRPr="00196D7C">
              <w:rPr>
                <w:rStyle w:val="SCCFileNumberChar"/>
                <w:sz w:val="20"/>
                <w:szCs w:val="20"/>
              </w:rPr>
              <w:t>36669</w:t>
            </w:r>
          </w:p>
        </w:tc>
        <w:tc>
          <w:tcPr>
            <w:tcW w:w="4457" w:type="pct"/>
            <w:gridSpan w:val="3"/>
          </w:tcPr>
          <w:p w:rsidR="00196D7C" w:rsidRPr="00196D7C" w:rsidRDefault="00196D7C" w:rsidP="00196D7C">
            <w:pPr>
              <w:pStyle w:val="SCCLsocParty"/>
              <w:jc w:val="both"/>
              <w:rPr>
                <w:b/>
                <w:sz w:val="20"/>
                <w:szCs w:val="20"/>
                <w:lang w:val="en-US"/>
              </w:rPr>
            </w:pPr>
            <w:r w:rsidRPr="00196D7C">
              <w:rPr>
                <w:b/>
                <w:sz w:val="20"/>
                <w:szCs w:val="20"/>
                <w:lang w:val="en-US"/>
              </w:rPr>
              <w:t>A.Y., P.Y. v. Catholic Children's Aid Society of Toronto et al.</w:t>
            </w:r>
          </w:p>
          <w:p w:rsidR="00196D7C" w:rsidRPr="00196D7C" w:rsidRDefault="00196D7C" w:rsidP="00196D7C">
            <w:pPr>
              <w:jc w:val="both"/>
              <w:rPr>
                <w:sz w:val="20"/>
              </w:rPr>
            </w:pPr>
            <w:r w:rsidRPr="00196D7C">
              <w:rPr>
                <w:sz w:val="20"/>
              </w:rPr>
              <w:t>(Ont.) (Civil) (By Leave)</w:t>
            </w:r>
          </w:p>
        </w:tc>
      </w:tr>
      <w:tr w:rsidR="00196D7C" w:rsidRPr="00196D7C" w:rsidTr="00E95A6A">
        <w:tc>
          <w:tcPr>
            <w:tcW w:w="5000" w:type="pct"/>
            <w:gridSpan w:val="4"/>
          </w:tcPr>
          <w:p w:rsidR="00196D7C" w:rsidRPr="00196D7C" w:rsidRDefault="00196D7C" w:rsidP="00196D7C">
            <w:pPr>
              <w:pStyle w:val="SCCBanSummary"/>
              <w:rPr>
                <w:sz w:val="20"/>
                <w:szCs w:val="20"/>
              </w:rPr>
            </w:pPr>
            <w:r w:rsidRPr="00196D7C">
              <w:rPr>
                <w:sz w:val="20"/>
                <w:szCs w:val="20"/>
              </w:rPr>
              <w:t>(Publication ban in case) (Publication ban on party) (Court file contains information that is not available for inspection by the public)</w:t>
            </w:r>
          </w:p>
          <w:p w:rsidR="00196D7C" w:rsidRPr="00196D7C" w:rsidRDefault="00196D7C" w:rsidP="00196D7C">
            <w:pPr>
              <w:jc w:val="both"/>
              <w:rPr>
                <w:sz w:val="20"/>
              </w:rPr>
            </w:pPr>
          </w:p>
          <w:p w:rsidR="00196D7C" w:rsidRPr="00196D7C" w:rsidRDefault="00196D7C" w:rsidP="00196D7C">
            <w:pPr>
              <w:jc w:val="both"/>
              <w:rPr>
                <w:sz w:val="20"/>
              </w:rPr>
            </w:pPr>
            <w:r w:rsidRPr="00196D7C">
              <w:rPr>
                <w:i/>
                <w:sz w:val="20"/>
              </w:rPr>
              <w:t>Charter of Rights</w:t>
            </w:r>
            <w:r w:rsidRPr="00196D7C">
              <w:rPr>
                <w:sz w:val="20"/>
              </w:rPr>
              <w:t xml:space="preserve"> – Right to life, liberty and security of the person – Status of persons – Child protection – Applicants’ four children made wards of Crown with no access to parents in 2011 – Whether motion judge was wrong in granting summary judgment and making their four children Crown wards without access on the evidence, or lack thereof, before the court.</w:t>
            </w:r>
          </w:p>
        </w:tc>
      </w:tr>
      <w:tr w:rsidR="00196D7C" w:rsidRPr="00196D7C" w:rsidTr="00E95A6A">
        <w:tc>
          <w:tcPr>
            <w:tcW w:w="5000" w:type="pct"/>
            <w:gridSpan w:val="4"/>
          </w:tcPr>
          <w:p w:rsidR="00196D7C" w:rsidRPr="00196D7C" w:rsidRDefault="00196D7C" w:rsidP="00196D7C">
            <w:pPr>
              <w:jc w:val="both"/>
              <w:rPr>
                <w:sz w:val="20"/>
              </w:rPr>
            </w:pPr>
          </w:p>
        </w:tc>
      </w:tr>
      <w:tr w:rsidR="00196D7C" w:rsidRPr="00196D7C" w:rsidTr="00E95A6A">
        <w:tc>
          <w:tcPr>
            <w:tcW w:w="5000" w:type="pct"/>
            <w:gridSpan w:val="4"/>
          </w:tcPr>
          <w:p w:rsidR="00196D7C" w:rsidRPr="00196D7C" w:rsidRDefault="00196D7C" w:rsidP="00196D7C">
            <w:pPr>
              <w:jc w:val="both"/>
              <w:rPr>
                <w:sz w:val="20"/>
              </w:rPr>
            </w:pPr>
            <w:r w:rsidRPr="00196D7C">
              <w:rPr>
                <w:sz w:val="20"/>
              </w:rPr>
              <w:t xml:space="preserve">The applicants are parents of four children who were apprehended by the Catholic Children’s Aid Society of Toronto. The applicants have lived in Canada as permanent residents since 2008. The children are approximately 17, 14, 10 and 7 years of age. The Society became involved with the family in March, 2011 after the oldest child disclosed to a teacher that his father had hit him. At the time, the Society sought and obtained a six-month Society </w:t>
            </w:r>
            <w:proofErr w:type="spellStart"/>
            <w:r w:rsidRPr="00196D7C">
              <w:rPr>
                <w:sz w:val="20"/>
              </w:rPr>
              <w:t>wardship</w:t>
            </w:r>
            <w:proofErr w:type="spellEnd"/>
            <w:r w:rsidRPr="00196D7C">
              <w:rPr>
                <w:sz w:val="20"/>
              </w:rPr>
              <w:t xml:space="preserve"> order. Subsequently, the children were returned to the parents, subject to a supervision order with terms. On November 16, 2011, the Society learned that one of the children had run away from the family home and had disclosed on-going abuse of all of the children by the parents over a period of years. All of the children were apprehended. The Society sought to have the children made Crown wards with no access to the parents.</w:t>
            </w:r>
          </w:p>
          <w:p w:rsidR="00196D7C" w:rsidRPr="00196D7C" w:rsidRDefault="00196D7C" w:rsidP="00196D7C">
            <w:pPr>
              <w:jc w:val="both"/>
              <w:rPr>
                <w:sz w:val="20"/>
              </w:rPr>
            </w:pPr>
          </w:p>
        </w:tc>
      </w:tr>
      <w:tr w:rsidR="00196D7C" w:rsidRPr="00196D7C" w:rsidTr="00E95A6A">
        <w:tc>
          <w:tcPr>
            <w:tcW w:w="2427" w:type="pct"/>
            <w:gridSpan w:val="2"/>
          </w:tcPr>
          <w:p w:rsidR="00196D7C" w:rsidRPr="00196D7C" w:rsidRDefault="00196D7C" w:rsidP="00196D7C">
            <w:pPr>
              <w:jc w:val="both"/>
              <w:rPr>
                <w:sz w:val="20"/>
              </w:rPr>
            </w:pPr>
            <w:r w:rsidRPr="00196D7C">
              <w:rPr>
                <w:sz w:val="20"/>
              </w:rPr>
              <w:t>October 7, 2013</w:t>
            </w:r>
          </w:p>
          <w:p w:rsidR="00196D7C" w:rsidRPr="00196D7C" w:rsidRDefault="00196D7C" w:rsidP="00196D7C">
            <w:pPr>
              <w:jc w:val="both"/>
              <w:rPr>
                <w:sz w:val="20"/>
              </w:rPr>
            </w:pPr>
            <w:r w:rsidRPr="00196D7C">
              <w:rPr>
                <w:sz w:val="20"/>
              </w:rPr>
              <w:t>Ontario Superior Court of Justice</w:t>
            </w:r>
          </w:p>
          <w:p w:rsidR="00196D7C" w:rsidRPr="00196D7C" w:rsidRDefault="00196D7C" w:rsidP="00196D7C">
            <w:pPr>
              <w:jc w:val="both"/>
              <w:rPr>
                <w:sz w:val="20"/>
              </w:rPr>
            </w:pPr>
            <w:r w:rsidRPr="00196D7C">
              <w:rPr>
                <w:sz w:val="20"/>
              </w:rPr>
              <w:t>(Curtis J.)</w:t>
            </w:r>
          </w:p>
          <w:p w:rsidR="00196D7C" w:rsidRPr="00196D7C" w:rsidRDefault="00196D7C" w:rsidP="00196D7C">
            <w:pPr>
              <w:jc w:val="both"/>
              <w:rPr>
                <w:sz w:val="20"/>
              </w:rPr>
            </w:pPr>
            <w:r w:rsidRPr="00196D7C">
              <w:rPr>
                <w:sz w:val="20"/>
              </w:rPr>
              <w:t>Unreported</w:t>
            </w:r>
          </w:p>
          <w:p w:rsidR="00196D7C" w:rsidRPr="00196D7C" w:rsidRDefault="00196D7C" w:rsidP="00196D7C">
            <w:pPr>
              <w:jc w:val="both"/>
              <w:rPr>
                <w:sz w:val="20"/>
              </w:rPr>
            </w:pPr>
          </w:p>
        </w:tc>
        <w:tc>
          <w:tcPr>
            <w:tcW w:w="243" w:type="pct"/>
          </w:tcPr>
          <w:p w:rsidR="00196D7C" w:rsidRPr="00196D7C" w:rsidRDefault="00196D7C" w:rsidP="00196D7C">
            <w:pPr>
              <w:jc w:val="both"/>
              <w:rPr>
                <w:sz w:val="20"/>
              </w:rPr>
            </w:pPr>
          </w:p>
        </w:tc>
        <w:tc>
          <w:tcPr>
            <w:tcW w:w="2330" w:type="pct"/>
          </w:tcPr>
          <w:p w:rsidR="00196D7C" w:rsidRPr="00196D7C" w:rsidRDefault="00196D7C" w:rsidP="00196D7C">
            <w:pPr>
              <w:jc w:val="both"/>
              <w:rPr>
                <w:sz w:val="20"/>
              </w:rPr>
            </w:pPr>
            <w:r w:rsidRPr="00196D7C">
              <w:rPr>
                <w:sz w:val="20"/>
              </w:rPr>
              <w:t>Respondents’ motion for summary judgment granted; Children made Crown wards with no access for parents</w:t>
            </w:r>
          </w:p>
          <w:p w:rsidR="00196D7C" w:rsidRPr="00196D7C" w:rsidRDefault="00196D7C" w:rsidP="00196D7C">
            <w:pPr>
              <w:jc w:val="both"/>
              <w:rPr>
                <w:sz w:val="20"/>
              </w:rPr>
            </w:pPr>
          </w:p>
        </w:tc>
      </w:tr>
      <w:tr w:rsidR="00196D7C" w:rsidRPr="00196D7C" w:rsidTr="00E95A6A">
        <w:tc>
          <w:tcPr>
            <w:tcW w:w="2427" w:type="pct"/>
            <w:gridSpan w:val="2"/>
          </w:tcPr>
          <w:p w:rsidR="00196D7C" w:rsidRPr="00196D7C" w:rsidRDefault="00196D7C" w:rsidP="00196D7C">
            <w:pPr>
              <w:jc w:val="both"/>
              <w:rPr>
                <w:sz w:val="20"/>
              </w:rPr>
            </w:pPr>
            <w:r w:rsidRPr="00196D7C">
              <w:rPr>
                <w:sz w:val="20"/>
              </w:rPr>
              <w:t>November 3, 2014</w:t>
            </w:r>
          </w:p>
          <w:p w:rsidR="00196D7C" w:rsidRPr="00196D7C" w:rsidRDefault="00196D7C" w:rsidP="00196D7C">
            <w:pPr>
              <w:jc w:val="both"/>
              <w:rPr>
                <w:sz w:val="20"/>
              </w:rPr>
            </w:pPr>
            <w:r w:rsidRPr="00196D7C">
              <w:rPr>
                <w:sz w:val="20"/>
              </w:rPr>
              <w:t>Ontario Superior Court of Justice</w:t>
            </w:r>
          </w:p>
          <w:p w:rsidR="00196D7C" w:rsidRPr="00196D7C" w:rsidRDefault="00196D7C" w:rsidP="00196D7C">
            <w:pPr>
              <w:jc w:val="both"/>
              <w:rPr>
                <w:sz w:val="20"/>
              </w:rPr>
            </w:pPr>
            <w:r w:rsidRPr="00196D7C">
              <w:rPr>
                <w:sz w:val="20"/>
              </w:rPr>
              <w:t>(Perkins J.)</w:t>
            </w:r>
          </w:p>
          <w:p w:rsidR="00196D7C" w:rsidRPr="00196D7C" w:rsidRDefault="00196D7C" w:rsidP="00196D7C">
            <w:pPr>
              <w:jc w:val="both"/>
              <w:rPr>
                <w:sz w:val="20"/>
              </w:rPr>
            </w:pPr>
            <w:hyperlink r:id="rId11" w:history="1">
              <w:r w:rsidRPr="00196D7C">
                <w:rPr>
                  <w:rStyle w:val="Hyperlink"/>
                  <w:sz w:val="20"/>
                </w:rPr>
                <w:t>2014 ONSC 6526</w:t>
              </w:r>
            </w:hyperlink>
          </w:p>
          <w:p w:rsidR="00196D7C" w:rsidRPr="00196D7C" w:rsidRDefault="00196D7C" w:rsidP="00196D7C">
            <w:pPr>
              <w:jc w:val="both"/>
              <w:rPr>
                <w:sz w:val="20"/>
              </w:rPr>
            </w:pPr>
          </w:p>
        </w:tc>
        <w:tc>
          <w:tcPr>
            <w:tcW w:w="243" w:type="pct"/>
          </w:tcPr>
          <w:p w:rsidR="00196D7C" w:rsidRPr="00196D7C" w:rsidRDefault="00196D7C" w:rsidP="00196D7C">
            <w:pPr>
              <w:jc w:val="both"/>
              <w:rPr>
                <w:sz w:val="20"/>
              </w:rPr>
            </w:pPr>
          </w:p>
        </w:tc>
        <w:tc>
          <w:tcPr>
            <w:tcW w:w="2330" w:type="pct"/>
          </w:tcPr>
          <w:p w:rsidR="00196D7C" w:rsidRPr="00196D7C" w:rsidRDefault="00196D7C" w:rsidP="00196D7C">
            <w:pPr>
              <w:jc w:val="both"/>
              <w:rPr>
                <w:sz w:val="20"/>
              </w:rPr>
            </w:pPr>
            <w:r w:rsidRPr="00196D7C">
              <w:rPr>
                <w:sz w:val="20"/>
              </w:rPr>
              <w:t>Applicants’ appeal dismissed</w:t>
            </w:r>
          </w:p>
        </w:tc>
      </w:tr>
      <w:tr w:rsidR="00196D7C" w:rsidRPr="00196D7C" w:rsidTr="00E95A6A">
        <w:tc>
          <w:tcPr>
            <w:tcW w:w="2427" w:type="pct"/>
            <w:gridSpan w:val="2"/>
          </w:tcPr>
          <w:p w:rsidR="00196D7C" w:rsidRPr="00196D7C" w:rsidRDefault="00196D7C" w:rsidP="00196D7C">
            <w:pPr>
              <w:jc w:val="both"/>
              <w:rPr>
                <w:sz w:val="20"/>
              </w:rPr>
            </w:pPr>
            <w:r w:rsidRPr="00196D7C">
              <w:rPr>
                <w:sz w:val="20"/>
              </w:rPr>
              <w:t>July 3, 2015</w:t>
            </w:r>
          </w:p>
          <w:p w:rsidR="00196D7C" w:rsidRPr="00196D7C" w:rsidRDefault="00196D7C" w:rsidP="00196D7C">
            <w:pPr>
              <w:jc w:val="both"/>
              <w:rPr>
                <w:sz w:val="20"/>
              </w:rPr>
            </w:pPr>
            <w:r w:rsidRPr="00196D7C">
              <w:rPr>
                <w:sz w:val="20"/>
              </w:rPr>
              <w:t>Court of Appeal for Ontario</w:t>
            </w:r>
          </w:p>
          <w:p w:rsidR="00196D7C" w:rsidRPr="00196D7C" w:rsidRDefault="00196D7C" w:rsidP="00196D7C">
            <w:pPr>
              <w:jc w:val="both"/>
              <w:rPr>
                <w:sz w:val="20"/>
              </w:rPr>
            </w:pPr>
            <w:r w:rsidRPr="00196D7C">
              <w:rPr>
                <w:sz w:val="20"/>
              </w:rPr>
              <w:t>(</w:t>
            </w:r>
            <w:proofErr w:type="spellStart"/>
            <w:r w:rsidRPr="00196D7C">
              <w:rPr>
                <w:sz w:val="20"/>
              </w:rPr>
              <w:t>Weiler</w:t>
            </w:r>
            <w:proofErr w:type="spellEnd"/>
            <w:r w:rsidRPr="00196D7C">
              <w:rPr>
                <w:sz w:val="20"/>
              </w:rPr>
              <w:t xml:space="preserve">, Cronk and </w:t>
            </w:r>
            <w:proofErr w:type="spellStart"/>
            <w:r w:rsidRPr="00196D7C">
              <w:rPr>
                <w:sz w:val="20"/>
              </w:rPr>
              <w:t>Pepall</w:t>
            </w:r>
            <w:proofErr w:type="spellEnd"/>
            <w:r w:rsidRPr="00196D7C">
              <w:rPr>
                <w:sz w:val="20"/>
              </w:rPr>
              <w:t xml:space="preserve"> JJ.A.)</w:t>
            </w:r>
          </w:p>
          <w:p w:rsidR="00196D7C" w:rsidRPr="00196D7C" w:rsidRDefault="00196D7C" w:rsidP="00196D7C">
            <w:pPr>
              <w:jc w:val="both"/>
              <w:rPr>
                <w:sz w:val="20"/>
              </w:rPr>
            </w:pPr>
            <w:r w:rsidRPr="00196D7C">
              <w:rPr>
                <w:sz w:val="20"/>
              </w:rPr>
              <w:t>2015 ONCA 493</w:t>
            </w:r>
          </w:p>
          <w:p w:rsidR="00196D7C" w:rsidRPr="00196D7C" w:rsidRDefault="00196D7C" w:rsidP="00196D7C">
            <w:pPr>
              <w:jc w:val="both"/>
              <w:rPr>
                <w:sz w:val="20"/>
              </w:rPr>
            </w:pPr>
          </w:p>
        </w:tc>
        <w:tc>
          <w:tcPr>
            <w:tcW w:w="243" w:type="pct"/>
          </w:tcPr>
          <w:p w:rsidR="00196D7C" w:rsidRPr="00196D7C" w:rsidRDefault="00196D7C" w:rsidP="00196D7C">
            <w:pPr>
              <w:jc w:val="both"/>
              <w:rPr>
                <w:sz w:val="20"/>
              </w:rPr>
            </w:pPr>
          </w:p>
        </w:tc>
        <w:tc>
          <w:tcPr>
            <w:tcW w:w="2330" w:type="pct"/>
          </w:tcPr>
          <w:p w:rsidR="00196D7C" w:rsidRPr="00196D7C" w:rsidRDefault="00196D7C" w:rsidP="00196D7C">
            <w:pPr>
              <w:jc w:val="both"/>
              <w:rPr>
                <w:sz w:val="20"/>
              </w:rPr>
            </w:pPr>
            <w:r w:rsidRPr="00196D7C">
              <w:rPr>
                <w:sz w:val="20"/>
              </w:rPr>
              <w:t>Applicant’s appeal dismissed</w:t>
            </w:r>
          </w:p>
          <w:p w:rsidR="00196D7C" w:rsidRPr="00196D7C" w:rsidRDefault="00196D7C" w:rsidP="00196D7C">
            <w:pPr>
              <w:jc w:val="both"/>
              <w:rPr>
                <w:sz w:val="20"/>
              </w:rPr>
            </w:pPr>
          </w:p>
        </w:tc>
      </w:tr>
      <w:tr w:rsidR="00196D7C" w:rsidRPr="00196D7C" w:rsidTr="00E95A6A">
        <w:tc>
          <w:tcPr>
            <w:tcW w:w="2427" w:type="pct"/>
            <w:gridSpan w:val="2"/>
          </w:tcPr>
          <w:p w:rsidR="00196D7C" w:rsidRPr="00196D7C" w:rsidRDefault="00196D7C" w:rsidP="00196D7C">
            <w:pPr>
              <w:jc w:val="both"/>
              <w:rPr>
                <w:sz w:val="20"/>
              </w:rPr>
            </w:pPr>
            <w:r w:rsidRPr="00196D7C">
              <w:rPr>
                <w:sz w:val="20"/>
              </w:rPr>
              <w:t>October 2, 2015</w:t>
            </w:r>
          </w:p>
          <w:p w:rsidR="00196D7C" w:rsidRPr="00196D7C" w:rsidRDefault="00196D7C" w:rsidP="00196D7C">
            <w:pPr>
              <w:jc w:val="both"/>
              <w:rPr>
                <w:sz w:val="20"/>
              </w:rPr>
            </w:pPr>
            <w:r w:rsidRPr="00196D7C">
              <w:rPr>
                <w:sz w:val="20"/>
              </w:rPr>
              <w:t>Supreme Court of Canada</w:t>
            </w:r>
          </w:p>
          <w:p w:rsidR="00196D7C" w:rsidRPr="00196D7C" w:rsidRDefault="00196D7C" w:rsidP="00196D7C">
            <w:pPr>
              <w:jc w:val="both"/>
              <w:rPr>
                <w:sz w:val="20"/>
              </w:rPr>
            </w:pPr>
          </w:p>
          <w:p w:rsidR="00196D7C" w:rsidRPr="00196D7C" w:rsidRDefault="00196D7C" w:rsidP="00196D7C">
            <w:pPr>
              <w:jc w:val="both"/>
              <w:rPr>
                <w:sz w:val="20"/>
              </w:rPr>
            </w:pPr>
          </w:p>
        </w:tc>
        <w:tc>
          <w:tcPr>
            <w:tcW w:w="243" w:type="pct"/>
          </w:tcPr>
          <w:p w:rsidR="00196D7C" w:rsidRPr="00196D7C" w:rsidRDefault="00196D7C" w:rsidP="00196D7C">
            <w:pPr>
              <w:jc w:val="both"/>
              <w:rPr>
                <w:sz w:val="20"/>
              </w:rPr>
            </w:pPr>
          </w:p>
        </w:tc>
        <w:tc>
          <w:tcPr>
            <w:tcW w:w="2330" w:type="pct"/>
          </w:tcPr>
          <w:p w:rsidR="00196D7C" w:rsidRPr="00196D7C" w:rsidRDefault="00196D7C" w:rsidP="00196D7C">
            <w:pPr>
              <w:jc w:val="both"/>
              <w:rPr>
                <w:sz w:val="20"/>
              </w:rPr>
            </w:pPr>
            <w:r w:rsidRPr="00196D7C">
              <w:rPr>
                <w:sz w:val="20"/>
              </w:rPr>
              <w:t>Motion for extension of time to serve and file application for leave to appeal and application for leave to appeal filed</w:t>
            </w:r>
          </w:p>
        </w:tc>
      </w:tr>
    </w:tbl>
    <w:p w:rsidR="00196D7C" w:rsidRPr="00196D7C" w:rsidRDefault="00196D7C" w:rsidP="00196D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6D7C" w:rsidRPr="00196D7C" w:rsidTr="00E95A6A">
        <w:tc>
          <w:tcPr>
            <w:tcW w:w="543" w:type="pct"/>
          </w:tcPr>
          <w:p w:rsidR="00196D7C" w:rsidRPr="00196D7C" w:rsidRDefault="00196D7C" w:rsidP="00196D7C">
            <w:pPr>
              <w:jc w:val="both"/>
              <w:rPr>
                <w:sz w:val="20"/>
                <w:lang w:val="fr-CA"/>
              </w:rPr>
            </w:pPr>
            <w:r w:rsidRPr="00196D7C">
              <w:rPr>
                <w:rStyle w:val="SCCFileNumberChar"/>
                <w:sz w:val="20"/>
                <w:szCs w:val="20"/>
                <w:lang w:val="fr-CA"/>
              </w:rPr>
              <w:t>36669</w:t>
            </w:r>
          </w:p>
        </w:tc>
        <w:tc>
          <w:tcPr>
            <w:tcW w:w="4457" w:type="pct"/>
            <w:gridSpan w:val="3"/>
          </w:tcPr>
          <w:p w:rsidR="00196D7C" w:rsidRPr="00196D7C" w:rsidRDefault="00196D7C" w:rsidP="00196D7C">
            <w:pPr>
              <w:pStyle w:val="SCCLsocParty"/>
              <w:jc w:val="both"/>
              <w:rPr>
                <w:b/>
                <w:sz w:val="20"/>
                <w:szCs w:val="20"/>
                <w:lang w:val="en-US"/>
              </w:rPr>
            </w:pPr>
            <w:r w:rsidRPr="00196D7C">
              <w:rPr>
                <w:b/>
                <w:sz w:val="20"/>
                <w:szCs w:val="20"/>
                <w:lang w:val="en-US"/>
              </w:rPr>
              <w:t>A.Y., P.Y. c. Catholic Children's Aid Society of Toronto et al.</w:t>
            </w:r>
          </w:p>
          <w:p w:rsidR="00196D7C" w:rsidRPr="00196D7C" w:rsidRDefault="00196D7C" w:rsidP="00196D7C">
            <w:pPr>
              <w:jc w:val="both"/>
              <w:rPr>
                <w:sz w:val="20"/>
                <w:lang w:val="fr-CA"/>
              </w:rPr>
            </w:pPr>
            <w:r w:rsidRPr="00196D7C">
              <w:rPr>
                <w:sz w:val="20"/>
                <w:lang w:val="fr-CA"/>
              </w:rPr>
              <w:t>(Ont.) (Civile) (Sur autorisation)</w:t>
            </w:r>
          </w:p>
        </w:tc>
      </w:tr>
      <w:tr w:rsidR="00196D7C" w:rsidRPr="00196D7C" w:rsidTr="00E95A6A">
        <w:tc>
          <w:tcPr>
            <w:tcW w:w="5000" w:type="pct"/>
            <w:gridSpan w:val="4"/>
          </w:tcPr>
          <w:p w:rsidR="00196D7C" w:rsidRPr="00196D7C" w:rsidRDefault="00196D7C" w:rsidP="00196D7C">
            <w:pPr>
              <w:pStyle w:val="SCCBanSummary"/>
              <w:rPr>
                <w:sz w:val="20"/>
                <w:szCs w:val="20"/>
                <w:lang w:val="fr-CA"/>
              </w:rPr>
            </w:pPr>
            <w:r w:rsidRPr="00196D7C">
              <w:rPr>
                <w:sz w:val="20"/>
                <w:szCs w:val="20"/>
                <w:lang w:val="fr-CA"/>
              </w:rPr>
              <w:t>(Ordonnance de non-publication dans le dossier) (Ordonnance de non-publication visant une partie) (Le dossier de la Cour renferme des données que le public n’est pas autorisé à consulter)</w:t>
            </w:r>
          </w:p>
          <w:p w:rsidR="00196D7C" w:rsidRPr="00196D7C" w:rsidRDefault="00196D7C" w:rsidP="00196D7C">
            <w:pPr>
              <w:jc w:val="both"/>
              <w:rPr>
                <w:sz w:val="20"/>
                <w:lang w:val="fr-CA"/>
              </w:rPr>
            </w:pPr>
          </w:p>
          <w:p w:rsidR="00196D7C" w:rsidRPr="00196D7C" w:rsidRDefault="00196D7C" w:rsidP="00196D7C">
            <w:pPr>
              <w:jc w:val="both"/>
              <w:rPr>
                <w:sz w:val="20"/>
                <w:lang w:val="fr-CA"/>
              </w:rPr>
            </w:pPr>
            <w:r w:rsidRPr="00196D7C">
              <w:rPr>
                <w:i/>
                <w:sz w:val="20"/>
                <w:lang w:val="fr-CA"/>
              </w:rPr>
              <w:t>Charte des droits</w:t>
            </w:r>
            <w:r w:rsidRPr="00196D7C">
              <w:rPr>
                <w:sz w:val="20"/>
                <w:lang w:val="fr-CA"/>
              </w:rPr>
              <w:t xml:space="preserve"> – Droit à la vie, à la liberté et à la sécurité de la personne – Droit des personnes – Protection de l’enfance – Les quatre enfants des demandeurs ont été placés sous la tutelle de la Couronne en 2011 – Le juge de première instance a-t-il eu tort de prononcer un jugement sommaire et de placer les quatre enfants des demandeurs sous la tutelle de la Couronne sans accès aux demandeurs, d’après la preuve, ou l’absence de preuve, présentée à la Cour?</w:t>
            </w:r>
          </w:p>
        </w:tc>
      </w:tr>
      <w:tr w:rsidR="00196D7C" w:rsidRPr="00196D7C" w:rsidTr="00E95A6A">
        <w:tc>
          <w:tcPr>
            <w:tcW w:w="5000" w:type="pct"/>
            <w:gridSpan w:val="4"/>
          </w:tcPr>
          <w:p w:rsidR="00196D7C" w:rsidRPr="00196D7C" w:rsidRDefault="00196D7C" w:rsidP="00196D7C">
            <w:pPr>
              <w:jc w:val="both"/>
              <w:rPr>
                <w:sz w:val="20"/>
                <w:lang w:val="fr-CA"/>
              </w:rPr>
            </w:pPr>
          </w:p>
        </w:tc>
      </w:tr>
      <w:tr w:rsidR="00196D7C" w:rsidRPr="00196D7C" w:rsidTr="00E95A6A">
        <w:tc>
          <w:tcPr>
            <w:tcW w:w="5000" w:type="pct"/>
            <w:gridSpan w:val="4"/>
          </w:tcPr>
          <w:p w:rsidR="00196D7C" w:rsidRPr="00196D7C" w:rsidRDefault="00196D7C" w:rsidP="00196D7C">
            <w:pPr>
              <w:jc w:val="both"/>
              <w:rPr>
                <w:sz w:val="20"/>
                <w:lang w:val="fr-CA"/>
              </w:rPr>
            </w:pPr>
            <w:r w:rsidRPr="00196D7C">
              <w:rPr>
                <w:sz w:val="20"/>
                <w:lang w:val="fr-CA"/>
              </w:rPr>
              <w:t>Les demandeurs sont les parents de quatre enfants qui ont été appréhendés par la Catholic Children’s Aid Society of Toronto (la « Société »). Les demandeurs vivent au Canada comme résidents permanents depuis 2008. Les enfants sont âgés d’environ 17, 14, 10 et 7 ans. La Société a commencé à intervenir auprès de la famille en mars 2011, après que l’aîné des enfants a révélé à une enseignante que son père l’avait frappé. À l’époque, la Société a demandé et obtenu une ordonnance de tutelle par la Société d’une durée de six mois. Par la suite, les enfants ont été retournés aux parents, sous réserve d’une ordonnance de surveillance assortie de conditions. Le 16 novembre 2011, la Société a appris qu’un des enfants avait fui le domicile familial et avait révélé que tous les enfants avaient été l’objet de violence continue à leur endroit par les parents sur plusieurs années. Tous les enfants ont été appréhendés. La Société a demandé que les enfants soient placés sous la tutelle de la Couronne, sans accès aux parents.</w:t>
            </w:r>
          </w:p>
          <w:p w:rsidR="00196D7C" w:rsidRPr="00196D7C" w:rsidRDefault="00196D7C" w:rsidP="00196D7C">
            <w:pPr>
              <w:jc w:val="both"/>
              <w:rPr>
                <w:sz w:val="20"/>
                <w:lang w:val="fr-CA"/>
              </w:rPr>
            </w:pPr>
          </w:p>
        </w:tc>
      </w:tr>
      <w:tr w:rsidR="00196D7C" w:rsidRPr="00196D7C" w:rsidTr="00E95A6A">
        <w:tc>
          <w:tcPr>
            <w:tcW w:w="2427" w:type="pct"/>
            <w:gridSpan w:val="2"/>
          </w:tcPr>
          <w:p w:rsidR="00196D7C" w:rsidRPr="00196D7C" w:rsidRDefault="00196D7C" w:rsidP="00196D7C">
            <w:pPr>
              <w:jc w:val="both"/>
              <w:rPr>
                <w:sz w:val="20"/>
                <w:lang w:val="fr-CA"/>
              </w:rPr>
            </w:pPr>
            <w:r w:rsidRPr="00196D7C">
              <w:rPr>
                <w:sz w:val="20"/>
                <w:lang w:val="fr-CA"/>
              </w:rPr>
              <w:lastRenderedPageBreak/>
              <w:t>7 octobre 2013</w:t>
            </w:r>
          </w:p>
          <w:p w:rsidR="00196D7C" w:rsidRPr="00196D7C" w:rsidRDefault="00196D7C" w:rsidP="00196D7C">
            <w:pPr>
              <w:jc w:val="both"/>
              <w:rPr>
                <w:sz w:val="20"/>
                <w:lang w:val="fr-CA"/>
              </w:rPr>
            </w:pPr>
            <w:r w:rsidRPr="00196D7C">
              <w:rPr>
                <w:sz w:val="20"/>
                <w:lang w:val="fr-CA"/>
              </w:rPr>
              <w:t>Cour supérieure de justice de l’Ontario</w:t>
            </w:r>
          </w:p>
          <w:p w:rsidR="00196D7C" w:rsidRPr="00196D7C" w:rsidRDefault="00196D7C" w:rsidP="00196D7C">
            <w:pPr>
              <w:jc w:val="both"/>
              <w:rPr>
                <w:sz w:val="20"/>
                <w:lang w:val="fr-CA"/>
              </w:rPr>
            </w:pPr>
            <w:r w:rsidRPr="00196D7C">
              <w:rPr>
                <w:sz w:val="20"/>
                <w:lang w:val="fr-CA"/>
              </w:rPr>
              <w:t>(Juge Curtis)</w:t>
            </w:r>
          </w:p>
          <w:p w:rsidR="00196D7C" w:rsidRPr="00196D7C" w:rsidRDefault="00196D7C" w:rsidP="00196D7C">
            <w:pPr>
              <w:jc w:val="both"/>
              <w:rPr>
                <w:sz w:val="20"/>
                <w:lang w:val="fr-CA"/>
              </w:rPr>
            </w:pPr>
            <w:r w:rsidRPr="00196D7C">
              <w:rPr>
                <w:sz w:val="20"/>
                <w:lang w:val="fr-CA"/>
              </w:rPr>
              <w:t>Non publié</w:t>
            </w:r>
          </w:p>
          <w:p w:rsidR="00196D7C" w:rsidRPr="00196D7C" w:rsidRDefault="00196D7C" w:rsidP="00196D7C">
            <w:pPr>
              <w:jc w:val="both"/>
              <w:rPr>
                <w:sz w:val="20"/>
                <w:lang w:val="fr-CA"/>
              </w:rPr>
            </w:pPr>
          </w:p>
        </w:tc>
        <w:tc>
          <w:tcPr>
            <w:tcW w:w="243" w:type="pct"/>
          </w:tcPr>
          <w:p w:rsidR="00196D7C" w:rsidRPr="00196D7C" w:rsidRDefault="00196D7C" w:rsidP="00196D7C">
            <w:pPr>
              <w:jc w:val="both"/>
              <w:rPr>
                <w:sz w:val="20"/>
                <w:lang w:val="fr-CA"/>
              </w:rPr>
            </w:pPr>
          </w:p>
        </w:tc>
        <w:tc>
          <w:tcPr>
            <w:tcW w:w="2330" w:type="pct"/>
          </w:tcPr>
          <w:p w:rsidR="00196D7C" w:rsidRPr="00196D7C" w:rsidRDefault="00196D7C" w:rsidP="00196D7C">
            <w:pPr>
              <w:jc w:val="both"/>
              <w:rPr>
                <w:sz w:val="20"/>
                <w:lang w:val="fr-CA"/>
              </w:rPr>
            </w:pPr>
            <w:r w:rsidRPr="00196D7C">
              <w:rPr>
                <w:sz w:val="20"/>
                <w:lang w:val="fr-CA"/>
              </w:rPr>
              <w:t>Jugement sommaire prononcé sur motion des intimés; ordonnance plaçant les enfants sous la tutelle de la Couronne sans accès aux parents</w:t>
            </w:r>
          </w:p>
          <w:p w:rsidR="00196D7C" w:rsidRPr="00196D7C" w:rsidRDefault="00196D7C" w:rsidP="00196D7C">
            <w:pPr>
              <w:jc w:val="both"/>
              <w:rPr>
                <w:sz w:val="20"/>
                <w:lang w:val="fr-CA"/>
              </w:rPr>
            </w:pPr>
          </w:p>
        </w:tc>
      </w:tr>
      <w:tr w:rsidR="00196D7C" w:rsidRPr="00196D7C" w:rsidTr="00E95A6A">
        <w:tc>
          <w:tcPr>
            <w:tcW w:w="2427" w:type="pct"/>
            <w:gridSpan w:val="2"/>
          </w:tcPr>
          <w:p w:rsidR="00196D7C" w:rsidRPr="00196D7C" w:rsidRDefault="00196D7C" w:rsidP="00196D7C">
            <w:pPr>
              <w:jc w:val="both"/>
              <w:rPr>
                <w:sz w:val="20"/>
                <w:lang w:val="fr-CA"/>
              </w:rPr>
            </w:pPr>
            <w:r w:rsidRPr="00196D7C">
              <w:rPr>
                <w:sz w:val="20"/>
                <w:lang w:val="fr-CA"/>
              </w:rPr>
              <w:t>3 novembre 2014</w:t>
            </w:r>
          </w:p>
          <w:p w:rsidR="00196D7C" w:rsidRPr="00196D7C" w:rsidRDefault="00196D7C" w:rsidP="00196D7C">
            <w:pPr>
              <w:jc w:val="both"/>
              <w:rPr>
                <w:sz w:val="20"/>
                <w:lang w:val="fr-CA"/>
              </w:rPr>
            </w:pPr>
            <w:r w:rsidRPr="00196D7C">
              <w:rPr>
                <w:sz w:val="20"/>
                <w:lang w:val="fr-CA"/>
              </w:rPr>
              <w:t>Cour supérieure de justice de l’Ontario</w:t>
            </w:r>
          </w:p>
          <w:p w:rsidR="00196D7C" w:rsidRPr="00196D7C" w:rsidRDefault="00196D7C" w:rsidP="00196D7C">
            <w:pPr>
              <w:jc w:val="both"/>
              <w:rPr>
                <w:sz w:val="20"/>
                <w:lang w:val="fr-CA"/>
              </w:rPr>
            </w:pPr>
            <w:r w:rsidRPr="00196D7C">
              <w:rPr>
                <w:sz w:val="20"/>
                <w:lang w:val="fr-CA"/>
              </w:rPr>
              <w:t>(Juge Perkins)</w:t>
            </w:r>
          </w:p>
          <w:p w:rsidR="00196D7C" w:rsidRPr="00196D7C" w:rsidRDefault="00196D7C" w:rsidP="00196D7C">
            <w:pPr>
              <w:jc w:val="both"/>
              <w:rPr>
                <w:sz w:val="20"/>
                <w:lang w:val="fr-CA"/>
              </w:rPr>
            </w:pPr>
            <w:hyperlink r:id="rId12" w:history="1">
              <w:r w:rsidRPr="00196D7C">
                <w:rPr>
                  <w:rStyle w:val="Hyperlink"/>
                  <w:sz w:val="20"/>
                  <w:lang w:val="fr-CA"/>
                </w:rPr>
                <w:t>2014 ONSC 6526</w:t>
              </w:r>
            </w:hyperlink>
          </w:p>
          <w:p w:rsidR="00196D7C" w:rsidRPr="00196D7C" w:rsidRDefault="00196D7C" w:rsidP="00196D7C">
            <w:pPr>
              <w:jc w:val="both"/>
              <w:rPr>
                <w:sz w:val="20"/>
                <w:lang w:val="fr-CA"/>
              </w:rPr>
            </w:pPr>
          </w:p>
        </w:tc>
        <w:tc>
          <w:tcPr>
            <w:tcW w:w="243" w:type="pct"/>
          </w:tcPr>
          <w:p w:rsidR="00196D7C" w:rsidRPr="00196D7C" w:rsidRDefault="00196D7C" w:rsidP="00196D7C">
            <w:pPr>
              <w:jc w:val="both"/>
              <w:rPr>
                <w:sz w:val="20"/>
                <w:lang w:val="fr-CA"/>
              </w:rPr>
            </w:pPr>
          </w:p>
        </w:tc>
        <w:tc>
          <w:tcPr>
            <w:tcW w:w="2330" w:type="pct"/>
          </w:tcPr>
          <w:p w:rsidR="00196D7C" w:rsidRPr="00196D7C" w:rsidRDefault="00196D7C" w:rsidP="00196D7C">
            <w:pPr>
              <w:jc w:val="both"/>
              <w:rPr>
                <w:sz w:val="20"/>
                <w:lang w:val="fr-CA"/>
              </w:rPr>
            </w:pPr>
            <w:r w:rsidRPr="00196D7C">
              <w:rPr>
                <w:sz w:val="20"/>
                <w:lang w:val="fr-CA"/>
              </w:rPr>
              <w:t>Rejet de l’appel des demandeurs</w:t>
            </w:r>
          </w:p>
        </w:tc>
      </w:tr>
      <w:tr w:rsidR="00196D7C" w:rsidRPr="00196D7C" w:rsidTr="00E95A6A">
        <w:tc>
          <w:tcPr>
            <w:tcW w:w="2427" w:type="pct"/>
            <w:gridSpan w:val="2"/>
          </w:tcPr>
          <w:p w:rsidR="00196D7C" w:rsidRPr="00196D7C" w:rsidRDefault="00196D7C" w:rsidP="00196D7C">
            <w:pPr>
              <w:jc w:val="both"/>
              <w:rPr>
                <w:sz w:val="20"/>
                <w:lang w:val="fr-CA"/>
              </w:rPr>
            </w:pPr>
            <w:r w:rsidRPr="00196D7C">
              <w:rPr>
                <w:sz w:val="20"/>
                <w:lang w:val="fr-CA"/>
              </w:rPr>
              <w:t>3 juillet 2015</w:t>
            </w:r>
          </w:p>
          <w:p w:rsidR="00196D7C" w:rsidRPr="00196D7C" w:rsidRDefault="00196D7C" w:rsidP="00196D7C">
            <w:pPr>
              <w:jc w:val="both"/>
              <w:rPr>
                <w:sz w:val="20"/>
                <w:lang w:val="fr-CA"/>
              </w:rPr>
            </w:pPr>
            <w:r w:rsidRPr="00196D7C">
              <w:rPr>
                <w:sz w:val="20"/>
                <w:lang w:val="fr-CA"/>
              </w:rPr>
              <w:t>Cour d’appel de l’Ontario</w:t>
            </w:r>
          </w:p>
          <w:p w:rsidR="00196D7C" w:rsidRPr="00196D7C" w:rsidRDefault="00196D7C" w:rsidP="00196D7C">
            <w:pPr>
              <w:jc w:val="both"/>
              <w:rPr>
                <w:sz w:val="20"/>
                <w:lang w:val="fr-CA"/>
              </w:rPr>
            </w:pPr>
            <w:r w:rsidRPr="00196D7C">
              <w:rPr>
                <w:sz w:val="20"/>
                <w:lang w:val="fr-CA"/>
              </w:rPr>
              <w:t>(Juges Weiler, Cronk et Pepall)</w:t>
            </w:r>
          </w:p>
          <w:p w:rsidR="00196D7C" w:rsidRPr="00196D7C" w:rsidRDefault="00196D7C" w:rsidP="00196D7C">
            <w:pPr>
              <w:jc w:val="both"/>
              <w:rPr>
                <w:sz w:val="20"/>
                <w:lang w:val="fr-CA"/>
              </w:rPr>
            </w:pPr>
            <w:r w:rsidRPr="00196D7C">
              <w:rPr>
                <w:sz w:val="20"/>
                <w:lang w:val="fr-CA"/>
              </w:rPr>
              <w:t>2015 ONCA 493</w:t>
            </w:r>
          </w:p>
          <w:p w:rsidR="00196D7C" w:rsidRPr="00196D7C" w:rsidRDefault="00196D7C" w:rsidP="00196D7C">
            <w:pPr>
              <w:jc w:val="both"/>
              <w:rPr>
                <w:sz w:val="20"/>
                <w:lang w:val="fr-CA"/>
              </w:rPr>
            </w:pPr>
          </w:p>
        </w:tc>
        <w:tc>
          <w:tcPr>
            <w:tcW w:w="243" w:type="pct"/>
          </w:tcPr>
          <w:p w:rsidR="00196D7C" w:rsidRPr="00196D7C" w:rsidRDefault="00196D7C" w:rsidP="00196D7C">
            <w:pPr>
              <w:jc w:val="both"/>
              <w:rPr>
                <w:sz w:val="20"/>
                <w:lang w:val="fr-CA"/>
              </w:rPr>
            </w:pPr>
          </w:p>
        </w:tc>
        <w:tc>
          <w:tcPr>
            <w:tcW w:w="2330" w:type="pct"/>
          </w:tcPr>
          <w:p w:rsidR="00196D7C" w:rsidRPr="00196D7C" w:rsidRDefault="00196D7C" w:rsidP="00196D7C">
            <w:pPr>
              <w:jc w:val="both"/>
              <w:rPr>
                <w:sz w:val="20"/>
                <w:lang w:val="fr-CA"/>
              </w:rPr>
            </w:pPr>
            <w:r w:rsidRPr="00196D7C">
              <w:rPr>
                <w:sz w:val="20"/>
                <w:lang w:val="fr-CA"/>
              </w:rPr>
              <w:t>Rejet de l’appel des demandeurs</w:t>
            </w:r>
          </w:p>
          <w:p w:rsidR="00196D7C" w:rsidRPr="00196D7C" w:rsidRDefault="00196D7C" w:rsidP="00196D7C">
            <w:pPr>
              <w:jc w:val="both"/>
              <w:rPr>
                <w:sz w:val="20"/>
                <w:lang w:val="fr-CA"/>
              </w:rPr>
            </w:pPr>
          </w:p>
        </w:tc>
      </w:tr>
      <w:tr w:rsidR="00196D7C" w:rsidRPr="00196D7C" w:rsidTr="00E95A6A">
        <w:tc>
          <w:tcPr>
            <w:tcW w:w="2427" w:type="pct"/>
            <w:gridSpan w:val="2"/>
          </w:tcPr>
          <w:p w:rsidR="00196D7C" w:rsidRPr="00196D7C" w:rsidRDefault="00196D7C" w:rsidP="00196D7C">
            <w:pPr>
              <w:jc w:val="both"/>
              <w:rPr>
                <w:sz w:val="20"/>
                <w:lang w:val="fr-CA"/>
              </w:rPr>
            </w:pPr>
            <w:r w:rsidRPr="00196D7C">
              <w:rPr>
                <w:sz w:val="20"/>
                <w:lang w:val="fr-CA"/>
              </w:rPr>
              <w:t>2 octobre 2015</w:t>
            </w:r>
          </w:p>
          <w:p w:rsidR="00196D7C" w:rsidRPr="00196D7C" w:rsidRDefault="00196D7C" w:rsidP="00196D7C">
            <w:pPr>
              <w:jc w:val="both"/>
              <w:rPr>
                <w:sz w:val="20"/>
                <w:lang w:val="fr-CA"/>
              </w:rPr>
            </w:pPr>
            <w:r w:rsidRPr="00196D7C">
              <w:rPr>
                <w:sz w:val="20"/>
                <w:lang w:val="fr-CA"/>
              </w:rPr>
              <w:t>Cour suprême du Canada</w:t>
            </w:r>
          </w:p>
          <w:p w:rsidR="00196D7C" w:rsidRPr="00196D7C" w:rsidRDefault="00196D7C" w:rsidP="00196D7C">
            <w:pPr>
              <w:jc w:val="both"/>
              <w:rPr>
                <w:sz w:val="20"/>
                <w:lang w:val="fr-CA"/>
              </w:rPr>
            </w:pPr>
          </w:p>
          <w:p w:rsidR="00196D7C" w:rsidRPr="00196D7C" w:rsidRDefault="00196D7C" w:rsidP="00196D7C">
            <w:pPr>
              <w:jc w:val="both"/>
              <w:rPr>
                <w:sz w:val="20"/>
                <w:lang w:val="fr-CA"/>
              </w:rPr>
            </w:pPr>
          </w:p>
        </w:tc>
        <w:tc>
          <w:tcPr>
            <w:tcW w:w="243" w:type="pct"/>
          </w:tcPr>
          <w:p w:rsidR="00196D7C" w:rsidRPr="00196D7C" w:rsidRDefault="00196D7C" w:rsidP="00196D7C">
            <w:pPr>
              <w:jc w:val="both"/>
              <w:rPr>
                <w:sz w:val="20"/>
                <w:lang w:val="fr-CA"/>
              </w:rPr>
            </w:pPr>
          </w:p>
        </w:tc>
        <w:tc>
          <w:tcPr>
            <w:tcW w:w="2330" w:type="pct"/>
          </w:tcPr>
          <w:p w:rsidR="00196D7C" w:rsidRPr="00196D7C" w:rsidRDefault="00196D7C" w:rsidP="00196D7C">
            <w:pPr>
              <w:jc w:val="both"/>
              <w:rPr>
                <w:sz w:val="20"/>
                <w:lang w:val="fr-CA"/>
              </w:rPr>
            </w:pPr>
            <w:r w:rsidRPr="00196D7C">
              <w:rPr>
                <w:sz w:val="20"/>
                <w:lang w:val="fr-CA"/>
              </w:rPr>
              <w:t>Requête en prorogation du délai de signification et de dépôt de la demande d’autorisation d’appel et de la demande d’autorisation d’appel</w:t>
            </w:r>
          </w:p>
        </w:tc>
      </w:tr>
    </w:tbl>
    <w:p w:rsidR="00196D7C" w:rsidRPr="00196D7C" w:rsidRDefault="00196D7C" w:rsidP="00196D7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6D7C" w:rsidRPr="00196D7C" w:rsidTr="00E95A6A">
        <w:tc>
          <w:tcPr>
            <w:tcW w:w="543" w:type="pct"/>
          </w:tcPr>
          <w:p w:rsidR="00196D7C" w:rsidRPr="00196D7C" w:rsidRDefault="00196D7C" w:rsidP="00196D7C">
            <w:pPr>
              <w:jc w:val="both"/>
              <w:rPr>
                <w:sz w:val="20"/>
              </w:rPr>
            </w:pPr>
            <w:r w:rsidRPr="00196D7C">
              <w:rPr>
                <w:rStyle w:val="SCCFileNumberChar"/>
                <w:sz w:val="20"/>
                <w:szCs w:val="20"/>
              </w:rPr>
              <w:t>36577</w:t>
            </w:r>
          </w:p>
        </w:tc>
        <w:tc>
          <w:tcPr>
            <w:tcW w:w="4457" w:type="pct"/>
            <w:gridSpan w:val="3"/>
          </w:tcPr>
          <w:p w:rsidR="00196D7C" w:rsidRPr="00196D7C" w:rsidRDefault="00196D7C" w:rsidP="00196D7C">
            <w:pPr>
              <w:pStyle w:val="SCCLsocParty"/>
              <w:jc w:val="both"/>
              <w:rPr>
                <w:b/>
                <w:sz w:val="20"/>
                <w:szCs w:val="20"/>
                <w:lang w:val="en-US"/>
              </w:rPr>
            </w:pPr>
            <w:r w:rsidRPr="00196D7C">
              <w:rPr>
                <w:b/>
                <w:sz w:val="20"/>
                <w:szCs w:val="20"/>
                <w:lang w:val="en-US"/>
              </w:rPr>
              <w:t xml:space="preserve">Peter </w:t>
            </w:r>
            <w:proofErr w:type="spellStart"/>
            <w:r w:rsidRPr="00196D7C">
              <w:rPr>
                <w:b/>
                <w:sz w:val="20"/>
                <w:szCs w:val="20"/>
                <w:lang w:val="en-US"/>
              </w:rPr>
              <w:t>Quon</w:t>
            </w:r>
            <w:proofErr w:type="spellEnd"/>
            <w:r w:rsidRPr="00196D7C">
              <w:rPr>
                <w:b/>
                <w:sz w:val="20"/>
                <w:szCs w:val="20"/>
                <w:lang w:val="en-US"/>
              </w:rPr>
              <w:t xml:space="preserve"> San Wong v. Her Majesty the Queen</w:t>
            </w:r>
          </w:p>
          <w:p w:rsidR="00196D7C" w:rsidRPr="00196D7C" w:rsidRDefault="00196D7C" w:rsidP="00196D7C">
            <w:pPr>
              <w:jc w:val="both"/>
              <w:rPr>
                <w:sz w:val="20"/>
              </w:rPr>
            </w:pPr>
            <w:r w:rsidRPr="00196D7C">
              <w:rPr>
                <w:sz w:val="20"/>
              </w:rPr>
              <w:t>(B.C.) (Criminal) (By Leave)</w:t>
            </w:r>
          </w:p>
        </w:tc>
      </w:tr>
      <w:tr w:rsidR="00196D7C" w:rsidRPr="00196D7C" w:rsidTr="00E95A6A">
        <w:tc>
          <w:tcPr>
            <w:tcW w:w="5000" w:type="pct"/>
            <w:gridSpan w:val="4"/>
          </w:tcPr>
          <w:p w:rsidR="00196D7C" w:rsidRPr="00196D7C" w:rsidRDefault="00196D7C" w:rsidP="00196D7C">
            <w:pPr>
              <w:jc w:val="both"/>
              <w:rPr>
                <w:sz w:val="20"/>
              </w:rPr>
            </w:pPr>
            <w:r w:rsidRPr="00196D7C">
              <w:rPr>
                <w:sz w:val="20"/>
              </w:rPr>
              <w:t xml:space="preserve">Criminal law – Evidence – Appeals – Whether inconsistency in the jurisprudence regarding jury cautions required by </w:t>
            </w:r>
            <w:r w:rsidRPr="00196D7C">
              <w:rPr>
                <w:i/>
                <w:sz w:val="20"/>
              </w:rPr>
              <w:t xml:space="preserve">R. v. </w:t>
            </w:r>
            <w:proofErr w:type="spellStart"/>
            <w:r w:rsidRPr="00196D7C">
              <w:rPr>
                <w:i/>
                <w:sz w:val="20"/>
              </w:rPr>
              <w:t>Vetrovec</w:t>
            </w:r>
            <w:proofErr w:type="spellEnd"/>
            <w:r w:rsidRPr="00196D7C">
              <w:rPr>
                <w:sz w:val="20"/>
              </w:rPr>
              <w:t xml:space="preserve">, [1982] 1 S.C.R. 811 – Whether cases have watered down the circumstances in which courts will find that the caution is mandatory – Application of curative </w:t>
            </w:r>
            <w:r w:rsidRPr="00196D7C">
              <w:rPr>
                <w:i/>
                <w:sz w:val="20"/>
              </w:rPr>
              <w:t xml:space="preserve">proviso </w:t>
            </w:r>
            <w:r w:rsidRPr="00196D7C">
              <w:rPr>
                <w:sz w:val="20"/>
              </w:rPr>
              <w:t xml:space="preserve">in s. 686(1) (b) (iii) of the </w:t>
            </w:r>
            <w:r w:rsidRPr="00196D7C">
              <w:rPr>
                <w:i/>
                <w:iCs/>
                <w:sz w:val="20"/>
              </w:rPr>
              <w:t>Criminal Code</w:t>
            </w:r>
            <w:r w:rsidRPr="00196D7C">
              <w:rPr>
                <w:iCs/>
                <w:sz w:val="20"/>
              </w:rPr>
              <w:t xml:space="preserve"> – Whether </w:t>
            </w:r>
            <w:r w:rsidRPr="00196D7C">
              <w:rPr>
                <w:sz w:val="20"/>
              </w:rPr>
              <w:t>there has been a marked dilution of the test for the application of the proviso in recent appellate jurisprudence</w:t>
            </w:r>
            <w:r w:rsidRPr="00196D7C">
              <w:rPr>
                <w:iCs/>
                <w:sz w:val="20"/>
              </w:rPr>
              <w:t xml:space="preserve"> – </w:t>
            </w:r>
            <w:r w:rsidRPr="00196D7C">
              <w:rPr>
                <w:i/>
                <w:iCs/>
                <w:sz w:val="20"/>
              </w:rPr>
              <w:t>R. v. Sarrazin</w:t>
            </w:r>
            <w:r w:rsidRPr="00196D7C">
              <w:rPr>
                <w:iCs/>
                <w:sz w:val="20"/>
              </w:rPr>
              <w:t xml:space="preserve">, </w:t>
            </w:r>
            <w:r w:rsidRPr="00196D7C">
              <w:rPr>
                <w:sz w:val="20"/>
              </w:rPr>
              <w:t xml:space="preserve">2011 SCC 54. </w:t>
            </w:r>
          </w:p>
        </w:tc>
      </w:tr>
      <w:tr w:rsidR="00196D7C" w:rsidRPr="00196D7C" w:rsidTr="00E95A6A">
        <w:tc>
          <w:tcPr>
            <w:tcW w:w="5000" w:type="pct"/>
            <w:gridSpan w:val="4"/>
          </w:tcPr>
          <w:p w:rsidR="00196D7C" w:rsidRPr="00196D7C" w:rsidRDefault="00196D7C" w:rsidP="00196D7C">
            <w:pPr>
              <w:jc w:val="both"/>
              <w:rPr>
                <w:sz w:val="20"/>
              </w:rPr>
            </w:pPr>
          </w:p>
        </w:tc>
      </w:tr>
      <w:tr w:rsidR="00196D7C" w:rsidRPr="00196D7C" w:rsidTr="00E95A6A">
        <w:tc>
          <w:tcPr>
            <w:tcW w:w="5000" w:type="pct"/>
            <w:gridSpan w:val="4"/>
          </w:tcPr>
          <w:p w:rsidR="00196D7C" w:rsidRPr="00196D7C" w:rsidRDefault="00196D7C" w:rsidP="00196D7C">
            <w:pPr>
              <w:jc w:val="both"/>
              <w:rPr>
                <w:sz w:val="20"/>
              </w:rPr>
            </w:pPr>
            <w:r w:rsidRPr="00196D7C">
              <w:rPr>
                <w:sz w:val="20"/>
              </w:rPr>
              <w:t>The applicant was convicted by a jury of the first-degree murder of Ping Li and of discharging a firearm at Xing Li with intent to wound. Xing Li was the operator of a brothel in a Burnaby apartment building. A caller made arrangements to visit the apartment, went into a bedroom with Ping Li, and emerged a short time later holding a gun to her head and saying “robbery.” Xing Li was asked to lie on the floor, and when he refused to give access to the apartment building he was shot. Ping Li was also shot, and died from her wounds. There was evidence that the person who shot Ping Li and Xing Li had visited the apartment earlier that day.</w:t>
            </w:r>
          </w:p>
          <w:p w:rsidR="00196D7C" w:rsidRPr="00196D7C" w:rsidRDefault="00196D7C" w:rsidP="00196D7C">
            <w:pPr>
              <w:jc w:val="both"/>
              <w:rPr>
                <w:sz w:val="20"/>
              </w:rPr>
            </w:pPr>
          </w:p>
          <w:p w:rsidR="00196D7C" w:rsidRPr="00196D7C" w:rsidRDefault="00196D7C" w:rsidP="00196D7C">
            <w:pPr>
              <w:jc w:val="both"/>
              <w:rPr>
                <w:sz w:val="20"/>
              </w:rPr>
            </w:pPr>
            <w:r w:rsidRPr="00196D7C">
              <w:rPr>
                <w:sz w:val="20"/>
              </w:rPr>
              <w:t xml:space="preserve">At trial, the principle issues was whether the applicant was the assailant, whether Ping Li had been forcibly confined and whether the shooting of Xing Li constituted attempted murder. Eye witness evidence came from Xing Li. The Crown also adduced evidence regarding cell phone calls, and of the security camera tape from the apartment building lobby showing the person entering in the daylight and in the evening. The applicant’s sister was interviewed by police, and was asked if she could say whether the individual in the security camera tape was her brother. She was also called to testify at trial. </w:t>
            </w:r>
          </w:p>
          <w:p w:rsidR="00196D7C" w:rsidRPr="00196D7C" w:rsidRDefault="00196D7C" w:rsidP="00196D7C">
            <w:pPr>
              <w:jc w:val="both"/>
              <w:rPr>
                <w:sz w:val="20"/>
              </w:rPr>
            </w:pPr>
          </w:p>
          <w:p w:rsidR="00196D7C" w:rsidRPr="00196D7C" w:rsidRDefault="00196D7C" w:rsidP="00196D7C">
            <w:pPr>
              <w:jc w:val="both"/>
              <w:rPr>
                <w:sz w:val="20"/>
              </w:rPr>
            </w:pPr>
            <w:r w:rsidRPr="00196D7C">
              <w:rPr>
                <w:sz w:val="20"/>
              </w:rPr>
              <w:t xml:space="preserve">The applicant appealed his conviction, arguing the judge should have given the jury a </w:t>
            </w:r>
            <w:proofErr w:type="spellStart"/>
            <w:r w:rsidRPr="00196D7C">
              <w:rPr>
                <w:i/>
                <w:sz w:val="20"/>
              </w:rPr>
              <w:t>Vetrovec</w:t>
            </w:r>
            <w:proofErr w:type="spellEnd"/>
            <w:r w:rsidRPr="00196D7C">
              <w:rPr>
                <w:sz w:val="20"/>
              </w:rPr>
              <w:t xml:space="preserve"> warning about the credibility of the Li's evidence and that he erred in admitting evidence from Wong's sister.</w:t>
            </w:r>
          </w:p>
          <w:p w:rsidR="00196D7C" w:rsidRPr="00196D7C" w:rsidRDefault="00196D7C" w:rsidP="00196D7C">
            <w:pPr>
              <w:jc w:val="both"/>
              <w:rPr>
                <w:sz w:val="20"/>
              </w:rPr>
            </w:pPr>
          </w:p>
        </w:tc>
      </w:tr>
      <w:tr w:rsidR="00196D7C" w:rsidRPr="00196D7C" w:rsidTr="00E95A6A">
        <w:tc>
          <w:tcPr>
            <w:tcW w:w="2427" w:type="pct"/>
            <w:gridSpan w:val="2"/>
          </w:tcPr>
          <w:p w:rsidR="00196D7C" w:rsidRPr="00196D7C" w:rsidRDefault="00196D7C" w:rsidP="00196D7C">
            <w:pPr>
              <w:jc w:val="both"/>
              <w:rPr>
                <w:sz w:val="20"/>
              </w:rPr>
            </w:pPr>
            <w:r w:rsidRPr="00196D7C">
              <w:rPr>
                <w:sz w:val="20"/>
              </w:rPr>
              <w:t>February 22, 2013</w:t>
            </w:r>
          </w:p>
          <w:p w:rsidR="00196D7C" w:rsidRPr="00196D7C" w:rsidRDefault="00196D7C" w:rsidP="00196D7C">
            <w:pPr>
              <w:jc w:val="both"/>
              <w:rPr>
                <w:sz w:val="20"/>
              </w:rPr>
            </w:pPr>
            <w:r w:rsidRPr="00196D7C">
              <w:rPr>
                <w:sz w:val="20"/>
              </w:rPr>
              <w:t>Supreme Court of British Columbia</w:t>
            </w:r>
          </w:p>
          <w:p w:rsidR="00196D7C" w:rsidRPr="00196D7C" w:rsidRDefault="00196D7C" w:rsidP="00196D7C">
            <w:pPr>
              <w:jc w:val="both"/>
              <w:rPr>
                <w:sz w:val="20"/>
              </w:rPr>
            </w:pPr>
            <w:r w:rsidRPr="00196D7C">
              <w:rPr>
                <w:sz w:val="20"/>
              </w:rPr>
              <w:t>(</w:t>
            </w:r>
            <w:proofErr w:type="spellStart"/>
            <w:r w:rsidRPr="00196D7C">
              <w:rPr>
                <w:sz w:val="20"/>
              </w:rPr>
              <w:t>Greyell</w:t>
            </w:r>
            <w:proofErr w:type="spellEnd"/>
            <w:r w:rsidRPr="00196D7C">
              <w:rPr>
                <w:sz w:val="20"/>
              </w:rPr>
              <w:t xml:space="preserve"> J.)</w:t>
            </w:r>
          </w:p>
          <w:p w:rsidR="00196D7C" w:rsidRPr="00196D7C" w:rsidRDefault="00196D7C" w:rsidP="00196D7C">
            <w:pPr>
              <w:jc w:val="both"/>
              <w:rPr>
                <w:sz w:val="20"/>
              </w:rPr>
            </w:pPr>
          </w:p>
        </w:tc>
        <w:tc>
          <w:tcPr>
            <w:tcW w:w="243" w:type="pct"/>
          </w:tcPr>
          <w:p w:rsidR="00196D7C" w:rsidRPr="00196D7C" w:rsidRDefault="00196D7C" w:rsidP="00196D7C">
            <w:pPr>
              <w:jc w:val="both"/>
              <w:rPr>
                <w:sz w:val="20"/>
              </w:rPr>
            </w:pPr>
          </w:p>
        </w:tc>
        <w:tc>
          <w:tcPr>
            <w:tcW w:w="2330" w:type="pct"/>
          </w:tcPr>
          <w:p w:rsidR="00196D7C" w:rsidRPr="00196D7C" w:rsidRDefault="00196D7C" w:rsidP="00196D7C">
            <w:pPr>
              <w:jc w:val="both"/>
              <w:rPr>
                <w:sz w:val="20"/>
              </w:rPr>
            </w:pPr>
            <w:r w:rsidRPr="00196D7C">
              <w:rPr>
                <w:sz w:val="20"/>
              </w:rPr>
              <w:t>Convictions: first degree murder and discharging a firearm with intent to wound</w:t>
            </w:r>
          </w:p>
          <w:p w:rsidR="00196D7C" w:rsidRPr="00196D7C" w:rsidRDefault="00196D7C" w:rsidP="00196D7C">
            <w:pPr>
              <w:jc w:val="both"/>
              <w:rPr>
                <w:sz w:val="20"/>
              </w:rPr>
            </w:pPr>
            <w:r w:rsidRPr="00196D7C">
              <w:rPr>
                <w:sz w:val="20"/>
              </w:rPr>
              <w:t>Acquittal: attempted murder</w:t>
            </w:r>
          </w:p>
        </w:tc>
      </w:tr>
      <w:tr w:rsidR="00196D7C" w:rsidRPr="00196D7C" w:rsidTr="00E95A6A">
        <w:tc>
          <w:tcPr>
            <w:tcW w:w="2427" w:type="pct"/>
            <w:gridSpan w:val="2"/>
          </w:tcPr>
          <w:p w:rsidR="00196D7C" w:rsidRPr="00196D7C" w:rsidRDefault="00196D7C" w:rsidP="00196D7C">
            <w:pPr>
              <w:jc w:val="both"/>
              <w:rPr>
                <w:sz w:val="20"/>
              </w:rPr>
            </w:pPr>
            <w:r w:rsidRPr="00196D7C">
              <w:rPr>
                <w:sz w:val="20"/>
              </w:rPr>
              <w:t>November 10, 2014</w:t>
            </w:r>
          </w:p>
          <w:p w:rsidR="00196D7C" w:rsidRPr="00196D7C" w:rsidRDefault="00196D7C" w:rsidP="00196D7C">
            <w:pPr>
              <w:jc w:val="both"/>
              <w:rPr>
                <w:sz w:val="20"/>
              </w:rPr>
            </w:pPr>
            <w:r w:rsidRPr="00196D7C">
              <w:rPr>
                <w:sz w:val="20"/>
              </w:rPr>
              <w:t>Court of Appeal for British Columbia (Vancouver)</w:t>
            </w:r>
          </w:p>
          <w:p w:rsidR="00196D7C" w:rsidRPr="00196D7C" w:rsidRDefault="00196D7C" w:rsidP="00196D7C">
            <w:pPr>
              <w:jc w:val="both"/>
              <w:rPr>
                <w:sz w:val="20"/>
              </w:rPr>
            </w:pPr>
            <w:r w:rsidRPr="00196D7C">
              <w:rPr>
                <w:sz w:val="20"/>
              </w:rPr>
              <w:t>(Newbury, Saunders and Lowry JJ.A.)</w:t>
            </w:r>
          </w:p>
          <w:p w:rsidR="00196D7C" w:rsidRPr="00196D7C" w:rsidRDefault="00196D7C" w:rsidP="00196D7C">
            <w:pPr>
              <w:jc w:val="both"/>
              <w:rPr>
                <w:sz w:val="20"/>
              </w:rPr>
            </w:pPr>
            <w:r w:rsidRPr="00196D7C">
              <w:rPr>
                <w:sz w:val="20"/>
              </w:rPr>
              <w:lastRenderedPageBreak/>
              <w:t xml:space="preserve">Neutral citation: </w:t>
            </w:r>
            <w:hyperlink r:id="rId13" w:history="1">
              <w:r w:rsidRPr="00196D7C">
                <w:rPr>
                  <w:rStyle w:val="Hyperlink"/>
                  <w:sz w:val="20"/>
                </w:rPr>
                <w:t>2014 BCCA 486</w:t>
              </w:r>
            </w:hyperlink>
          </w:p>
          <w:p w:rsidR="00196D7C" w:rsidRPr="00196D7C" w:rsidRDefault="00196D7C" w:rsidP="00196D7C">
            <w:pPr>
              <w:jc w:val="both"/>
              <w:rPr>
                <w:sz w:val="20"/>
              </w:rPr>
            </w:pPr>
          </w:p>
        </w:tc>
        <w:tc>
          <w:tcPr>
            <w:tcW w:w="243" w:type="pct"/>
          </w:tcPr>
          <w:p w:rsidR="00196D7C" w:rsidRPr="00196D7C" w:rsidRDefault="00196D7C" w:rsidP="00196D7C">
            <w:pPr>
              <w:jc w:val="both"/>
              <w:rPr>
                <w:sz w:val="20"/>
              </w:rPr>
            </w:pPr>
          </w:p>
        </w:tc>
        <w:tc>
          <w:tcPr>
            <w:tcW w:w="2330" w:type="pct"/>
          </w:tcPr>
          <w:p w:rsidR="00196D7C" w:rsidRPr="00196D7C" w:rsidRDefault="00196D7C" w:rsidP="00196D7C">
            <w:pPr>
              <w:jc w:val="both"/>
              <w:rPr>
                <w:sz w:val="20"/>
              </w:rPr>
            </w:pPr>
            <w:r w:rsidRPr="00196D7C">
              <w:rPr>
                <w:sz w:val="20"/>
              </w:rPr>
              <w:t>Appeal dismissed</w:t>
            </w:r>
          </w:p>
          <w:p w:rsidR="00196D7C" w:rsidRPr="00196D7C" w:rsidRDefault="00196D7C" w:rsidP="00196D7C">
            <w:pPr>
              <w:jc w:val="both"/>
              <w:rPr>
                <w:sz w:val="20"/>
              </w:rPr>
            </w:pPr>
          </w:p>
        </w:tc>
      </w:tr>
      <w:tr w:rsidR="00196D7C" w:rsidRPr="00196D7C" w:rsidTr="00E95A6A">
        <w:tc>
          <w:tcPr>
            <w:tcW w:w="2427" w:type="pct"/>
            <w:gridSpan w:val="2"/>
          </w:tcPr>
          <w:p w:rsidR="00196D7C" w:rsidRPr="00196D7C" w:rsidRDefault="00196D7C" w:rsidP="00196D7C">
            <w:pPr>
              <w:jc w:val="both"/>
              <w:rPr>
                <w:sz w:val="20"/>
              </w:rPr>
            </w:pPr>
            <w:r w:rsidRPr="00196D7C">
              <w:rPr>
                <w:sz w:val="20"/>
              </w:rPr>
              <w:lastRenderedPageBreak/>
              <w:t>August 26, 2015</w:t>
            </w:r>
          </w:p>
          <w:p w:rsidR="00196D7C" w:rsidRPr="00196D7C" w:rsidRDefault="00196D7C" w:rsidP="00196D7C">
            <w:pPr>
              <w:jc w:val="both"/>
              <w:rPr>
                <w:sz w:val="20"/>
              </w:rPr>
            </w:pPr>
            <w:r w:rsidRPr="00196D7C">
              <w:rPr>
                <w:sz w:val="20"/>
              </w:rPr>
              <w:t>Supreme Court of Canada</w:t>
            </w:r>
          </w:p>
          <w:p w:rsidR="00196D7C" w:rsidRPr="00196D7C" w:rsidRDefault="00196D7C" w:rsidP="00196D7C">
            <w:pPr>
              <w:jc w:val="both"/>
              <w:rPr>
                <w:sz w:val="20"/>
              </w:rPr>
            </w:pPr>
          </w:p>
        </w:tc>
        <w:tc>
          <w:tcPr>
            <w:tcW w:w="243" w:type="pct"/>
          </w:tcPr>
          <w:p w:rsidR="00196D7C" w:rsidRPr="00196D7C" w:rsidRDefault="00196D7C" w:rsidP="00196D7C">
            <w:pPr>
              <w:jc w:val="both"/>
              <w:rPr>
                <w:sz w:val="20"/>
              </w:rPr>
            </w:pPr>
          </w:p>
        </w:tc>
        <w:tc>
          <w:tcPr>
            <w:tcW w:w="2330" w:type="pct"/>
          </w:tcPr>
          <w:p w:rsidR="00196D7C" w:rsidRPr="00196D7C" w:rsidRDefault="00196D7C" w:rsidP="00196D7C">
            <w:pPr>
              <w:jc w:val="both"/>
              <w:rPr>
                <w:sz w:val="20"/>
              </w:rPr>
            </w:pPr>
            <w:r w:rsidRPr="00196D7C">
              <w:rPr>
                <w:sz w:val="20"/>
              </w:rPr>
              <w:t>Motion to extend time to serve and file application for leave to appeal and application for leave to appeal filed</w:t>
            </w:r>
          </w:p>
        </w:tc>
      </w:tr>
    </w:tbl>
    <w:p w:rsidR="00196D7C" w:rsidRPr="00196D7C" w:rsidRDefault="00196D7C" w:rsidP="00196D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6D7C" w:rsidRPr="00196D7C" w:rsidTr="00E95A6A">
        <w:tc>
          <w:tcPr>
            <w:tcW w:w="543" w:type="pct"/>
          </w:tcPr>
          <w:p w:rsidR="00196D7C" w:rsidRPr="00196D7C" w:rsidRDefault="00196D7C" w:rsidP="00196D7C">
            <w:pPr>
              <w:jc w:val="both"/>
              <w:rPr>
                <w:sz w:val="20"/>
                <w:lang w:val="fr-CA"/>
              </w:rPr>
            </w:pPr>
            <w:r w:rsidRPr="00196D7C">
              <w:rPr>
                <w:rStyle w:val="SCCFileNumberChar"/>
                <w:sz w:val="20"/>
                <w:szCs w:val="20"/>
                <w:lang w:val="fr-CA"/>
              </w:rPr>
              <w:t>36577</w:t>
            </w:r>
          </w:p>
        </w:tc>
        <w:tc>
          <w:tcPr>
            <w:tcW w:w="4457" w:type="pct"/>
            <w:gridSpan w:val="3"/>
          </w:tcPr>
          <w:p w:rsidR="00196D7C" w:rsidRPr="00196D7C" w:rsidRDefault="00196D7C" w:rsidP="00196D7C">
            <w:pPr>
              <w:pStyle w:val="SCCLsocParty"/>
              <w:jc w:val="both"/>
              <w:rPr>
                <w:b/>
                <w:sz w:val="20"/>
                <w:szCs w:val="20"/>
              </w:rPr>
            </w:pPr>
            <w:r w:rsidRPr="00196D7C">
              <w:rPr>
                <w:b/>
                <w:sz w:val="20"/>
                <w:szCs w:val="20"/>
              </w:rPr>
              <w:t>Peter Quon San Wong c. Sa Majesté la Reine</w:t>
            </w:r>
          </w:p>
          <w:p w:rsidR="00196D7C" w:rsidRPr="00196D7C" w:rsidRDefault="00196D7C" w:rsidP="00196D7C">
            <w:pPr>
              <w:jc w:val="both"/>
              <w:rPr>
                <w:sz w:val="20"/>
                <w:lang w:val="fr-CA"/>
              </w:rPr>
            </w:pPr>
            <w:r w:rsidRPr="00196D7C">
              <w:rPr>
                <w:sz w:val="20"/>
                <w:lang w:val="fr-CA"/>
              </w:rPr>
              <w:t>(C.-B.) (Criminelle) (Sur autorisation)</w:t>
            </w:r>
          </w:p>
        </w:tc>
      </w:tr>
      <w:tr w:rsidR="00196D7C" w:rsidRPr="00196D7C" w:rsidTr="00E95A6A">
        <w:tc>
          <w:tcPr>
            <w:tcW w:w="5000" w:type="pct"/>
            <w:gridSpan w:val="4"/>
          </w:tcPr>
          <w:p w:rsidR="00196D7C" w:rsidRPr="00196D7C" w:rsidRDefault="00196D7C" w:rsidP="00196D7C">
            <w:pPr>
              <w:jc w:val="both"/>
              <w:rPr>
                <w:sz w:val="20"/>
                <w:lang w:val="fr-CA"/>
              </w:rPr>
            </w:pPr>
            <w:r w:rsidRPr="00196D7C">
              <w:rPr>
                <w:sz w:val="20"/>
                <w:lang w:val="fr-CA"/>
              </w:rPr>
              <w:t xml:space="preserve">Droit criminel – Preuve – Appels – Y a-t-il des discordances dans la jurisprudence relative aux mises en garde au jury prescrites par l’arrêt </w:t>
            </w:r>
            <w:r w:rsidRPr="00196D7C">
              <w:rPr>
                <w:i/>
                <w:sz w:val="20"/>
                <w:lang w:val="fr-CA"/>
              </w:rPr>
              <w:t>R. c. Vetrovec</w:t>
            </w:r>
            <w:r w:rsidRPr="00196D7C">
              <w:rPr>
                <w:sz w:val="20"/>
                <w:lang w:val="fr-CA"/>
              </w:rPr>
              <w:t>, [1982] 1 R.C.S. 811? – La jurisprudence a-t-elle réduit le nombre de situations dans lesquelles les tribunaux concluront que la mise en garde est obligatoire? – Application de la disposition réparatrice correspondant au sous-al. 686(1)</w:t>
            </w:r>
            <w:r w:rsidRPr="00196D7C">
              <w:rPr>
                <w:i/>
                <w:sz w:val="20"/>
                <w:lang w:val="fr-CA"/>
              </w:rPr>
              <w:t>b</w:t>
            </w:r>
            <w:r w:rsidRPr="00196D7C">
              <w:rPr>
                <w:sz w:val="20"/>
                <w:lang w:val="fr-CA"/>
              </w:rPr>
              <w:t xml:space="preserve">)(iii) du </w:t>
            </w:r>
            <w:r w:rsidRPr="00196D7C">
              <w:rPr>
                <w:i/>
                <w:iCs/>
                <w:sz w:val="20"/>
                <w:lang w:val="fr-CA"/>
              </w:rPr>
              <w:t>Code criminel</w:t>
            </w:r>
            <w:r w:rsidRPr="00196D7C">
              <w:rPr>
                <w:iCs/>
                <w:sz w:val="20"/>
                <w:lang w:val="fr-CA"/>
              </w:rPr>
              <w:t xml:space="preserve"> – Y a-t-il eu un assouplissement marqué du critère d’application de la disposition dans la jurisprudence récente des tribunaux d’appel? – </w:t>
            </w:r>
            <w:r w:rsidRPr="00196D7C">
              <w:rPr>
                <w:i/>
                <w:iCs/>
                <w:sz w:val="20"/>
                <w:lang w:val="fr-CA"/>
              </w:rPr>
              <w:t>R. c. Sarrazin</w:t>
            </w:r>
            <w:r w:rsidRPr="00196D7C">
              <w:rPr>
                <w:iCs/>
                <w:sz w:val="20"/>
                <w:lang w:val="fr-CA"/>
              </w:rPr>
              <w:t>,</w:t>
            </w:r>
            <w:r w:rsidRPr="00196D7C">
              <w:rPr>
                <w:i/>
                <w:iCs/>
                <w:sz w:val="20"/>
                <w:lang w:val="fr-CA"/>
              </w:rPr>
              <w:t xml:space="preserve"> </w:t>
            </w:r>
            <w:r w:rsidRPr="00196D7C">
              <w:rPr>
                <w:sz w:val="20"/>
                <w:lang w:val="fr-CA"/>
              </w:rPr>
              <w:t xml:space="preserve">2011 CSC 54. </w:t>
            </w:r>
          </w:p>
        </w:tc>
      </w:tr>
      <w:tr w:rsidR="00196D7C" w:rsidRPr="00196D7C" w:rsidTr="00E95A6A">
        <w:tc>
          <w:tcPr>
            <w:tcW w:w="5000" w:type="pct"/>
            <w:gridSpan w:val="4"/>
          </w:tcPr>
          <w:p w:rsidR="00196D7C" w:rsidRPr="00196D7C" w:rsidRDefault="00196D7C" w:rsidP="00196D7C">
            <w:pPr>
              <w:jc w:val="both"/>
              <w:rPr>
                <w:sz w:val="20"/>
                <w:lang w:val="fr-CA"/>
              </w:rPr>
            </w:pPr>
          </w:p>
        </w:tc>
      </w:tr>
      <w:tr w:rsidR="00196D7C" w:rsidRPr="00196D7C" w:rsidTr="00E95A6A">
        <w:tc>
          <w:tcPr>
            <w:tcW w:w="5000" w:type="pct"/>
            <w:gridSpan w:val="4"/>
          </w:tcPr>
          <w:p w:rsidR="00196D7C" w:rsidRPr="00196D7C" w:rsidRDefault="00196D7C" w:rsidP="00196D7C">
            <w:pPr>
              <w:jc w:val="both"/>
              <w:rPr>
                <w:sz w:val="20"/>
                <w:lang w:val="fr-CA"/>
              </w:rPr>
            </w:pPr>
            <w:r w:rsidRPr="00196D7C">
              <w:rPr>
                <w:sz w:val="20"/>
                <w:lang w:val="fr-CA"/>
              </w:rPr>
              <w:t>Un jury a déclaré le demandeur coupable du meurtre au premier degré de Ping Li et d’avoir déchargé une arme à feu en direction Xing Li dans l’intention de le blesser. Xing Li exploitait un bordel dans un immeuble d’habitation à Burnaby. Quelqu'un a pris rendez-vous au téléphone pour visiter l’appartement, il est entré dans une chambre à coucher avec Ping Li et il en est ressorti peu de temps après, lui braquant une arme à feu à la tête et prononçant le mot [</w:t>
            </w:r>
            <w:r w:rsidRPr="00196D7C">
              <w:rPr>
                <w:smallCaps/>
                <w:sz w:val="20"/>
                <w:lang w:val="fr-CA"/>
              </w:rPr>
              <w:t>traduction</w:t>
            </w:r>
            <w:r w:rsidRPr="00196D7C">
              <w:rPr>
                <w:sz w:val="20"/>
                <w:lang w:val="fr-CA"/>
              </w:rPr>
              <w:t>] « vol ». Il a demandé à Xing Li de se coucher par terre et lorsque celui-ci a refusé de lui donner accès à l’immeuble d’habitation, il a été atteint d’un projectile d’arme à feu. Ping Li a également été atteinte et elle est décédée de ses blessures. Des éléments de preuve indiquaient que la personne qui avait tiré sur Ping Li et Xing Li avait visité l’appartement plus tôt ce jour-là.</w:t>
            </w:r>
          </w:p>
          <w:p w:rsidR="00196D7C" w:rsidRPr="00196D7C" w:rsidRDefault="00196D7C" w:rsidP="00196D7C">
            <w:pPr>
              <w:jc w:val="both"/>
              <w:rPr>
                <w:sz w:val="20"/>
                <w:lang w:val="fr-CA"/>
              </w:rPr>
            </w:pPr>
          </w:p>
          <w:p w:rsidR="00196D7C" w:rsidRPr="00196D7C" w:rsidRDefault="00196D7C" w:rsidP="00196D7C">
            <w:pPr>
              <w:jc w:val="both"/>
              <w:rPr>
                <w:sz w:val="20"/>
                <w:lang w:val="fr-CA"/>
              </w:rPr>
            </w:pPr>
            <w:r w:rsidRPr="00196D7C">
              <w:rPr>
                <w:sz w:val="20"/>
                <w:lang w:val="fr-CA"/>
              </w:rPr>
              <w:t xml:space="preserve">Au procès, les principales questions en cause étaient de savoir si le demandeur était l’agresseur, si Ping Li avait été séquestrée et si le coup de feu tiré sur Xing Li constituait une tentative de meurtre. Le témoignage oculaire est venu de Xing Li. Le ministère public a également présenté des éléments de preuve relatifs aux appels par téléphone cellulaire et de l’enregistrement de la caméra de sécurité capté dans le hall de l’immeuble d’habitation, montrant la personne y pénétrant le jour et le soir. Les policiers ont posé des questions à la sœur du demandeur et ils lui ont demandé si la personne qui apparaissait sur la bande vidéo de la caméra de sécurité était la personne qui avait tiré sur Ping Li et Xing Li. La sœur du demandeur a également été assignée comme témoin au procès. </w:t>
            </w:r>
          </w:p>
          <w:p w:rsidR="00196D7C" w:rsidRPr="00196D7C" w:rsidRDefault="00196D7C" w:rsidP="00196D7C">
            <w:pPr>
              <w:jc w:val="both"/>
              <w:rPr>
                <w:sz w:val="20"/>
                <w:lang w:val="fr-CA"/>
              </w:rPr>
            </w:pPr>
          </w:p>
          <w:p w:rsidR="00196D7C" w:rsidRPr="00196D7C" w:rsidRDefault="00196D7C" w:rsidP="00196D7C">
            <w:pPr>
              <w:jc w:val="both"/>
              <w:rPr>
                <w:sz w:val="20"/>
                <w:lang w:val="fr-CA"/>
              </w:rPr>
            </w:pPr>
            <w:r w:rsidRPr="00196D7C">
              <w:rPr>
                <w:sz w:val="20"/>
                <w:lang w:val="fr-CA"/>
              </w:rPr>
              <w:t xml:space="preserve">Le demandeur a interjeté appel de sa déclaration de culpabilité, plaidant que le juge aurait dû donner au jury une mise en garde de type </w:t>
            </w:r>
            <w:r w:rsidRPr="00196D7C">
              <w:rPr>
                <w:i/>
                <w:sz w:val="20"/>
                <w:lang w:val="fr-CA"/>
              </w:rPr>
              <w:t>Vetrovec</w:t>
            </w:r>
            <w:r w:rsidRPr="00196D7C">
              <w:rPr>
                <w:sz w:val="20"/>
                <w:lang w:val="fr-CA"/>
              </w:rPr>
              <w:t xml:space="preserve"> relativement à la crédibilité du témoignage de M. Li et que le juge avait eu tort d’admettre en preuve le témoignage de la sœur de M. Wong.</w:t>
            </w:r>
          </w:p>
          <w:p w:rsidR="00196D7C" w:rsidRPr="00196D7C" w:rsidRDefault="00196D7C" w:rsidP="00196D7C">
            <w:pPr>
              <w:jc w:val="both"/>
              <w:rPr>
                <w:sz w:val="20"/>
                <w:lang w:val="fr-CA"/>
              </w:rPr>
            </w:pPr>
          </w:p>
        </w:tc>
      </w:tr>
      <w:tr w:rsidR="00196D7C" w:rsidRPr="00196D7C" w:rsidTr="00E95A6A">
        <w:tc>
          <w:tcPr>
            <w:tcW w:w="2427" w:type="pct"/>
            <w:gridSpan w:val="2"/>
          </w:tcPr>
          <w:p w:rsidR="00196D7C" w:rsidRPr="00196D7C" w:rsidRDefault="00196D7C" w:rsidP="00196D7C">
            <w:pPr>
              <w:jc w:val="both"/>
              <w:rPr>
                <w:sz w:val="20"/>
                <w:lang w:val="fr-CA"/>
              </w:rPr>
            </w:pPr>
            <w:r w:rsidRPr="00196D7C">
              <w:rPr>
                <w:sz w:val="20"/>
                <w:lang w:val="fr-CA"/>
              </w:rPr>
              <w:t>22 février 2013</w:t>
            </w:r>
          </w:p>
          <w:p w:rsidR="00196D7C" w:rsidRPr="00196D7C" w:rsidRDefault="00196D7C" w:rsidP="00196D7C">
            <w:pPr>
              <w:jc w:val="both"/>
              <w:rPr>
                <w:sz w:val="20"/>
                <w:lang w:val="fr-CA"/>
              </w:rPr>
            </w:pPr>
            <w:r w:rsidRPr="00196D7C">
              <w:rPr>
                <w:sz w:val="20"/>
                <w:lang w:val="fr-CA"/>
              </w:rPr>
              <w:t>Cour suprême de la Colombie-Britannique</w:t>
            </w:r>
          </w:p>
          <w:p w:rsidR="00196D7C" w:rsidRPr="00196D7C" w:rsidRDefault="00196D7C" w:rsidP="00196D7C">
            <w:pPr>
              <w:jc w:val="both"/>
              <w:rPr>
                <w:sz w:val="20"/>
                <w:lang w:val="fr-CA"/>
              </w:rPr>
            </w:pPr>
            <w:r w:rsidRPr="00196D7C">
              <w:rPr>
                <w:sz w:val="20"/>
                <w:lang w:val="fr-CA"/>
              </w:rPr>
              <w:t>(Juge Greyell)</w:t>
            </w:r>
          </w:p>
          <w:p w:rsidR="00196D7C" w:rsidRPr="00196D7C" w:rsidRDefault="00196D7C" w:rsidP="00196D7C">
            <w:pPr>
              <w:jc w:val="both"/>
              <w:rPr>
                <w:sz w:val="20"/>
                <w:lang w:val="fr-CA"/>
              </w:rPr>
            </w:pPr>
          </w:p>
        </w:tc>
        <w:tc>
          <w:tcPr>
            <w:tcW w:w="243" w:type="pct"/>
          </w:tcPr>
          <w:p w:rsidR="00196D7C" w:rsidRPr="00196D7C" w:rsidRDefault="00196D7C" w:rsidP="00196D7C">
            <w:pPr>
              <w:jc w:val="both"/>
              <w:rPr>
                <w:sz w:val="20"/>
                <w:lang w:val="fr-CA"/>
              </w:rPr>
            </w:pPr>
          </w:p>
        </w:tc>
        <w:tc>
          <w:tcPr>
            <w:tcW w:w="2330" w:type="pct"/>
          </w:tcPr>
          <w:p w:rsidR="00196D7C" w:rsidRPr="00196D7C" w:rsidRDefault="00196D7C" w:rsidP="00196D7C">
            <w:pPr>
              <w:jc w:val="both"/>
              <w:rPr>
                <w:sz w:val="20"/>
                <w:lang w:val="fr-CA"/>
              </w:rPr>
            </w:pPr>
            <w:r w:rsidRPr="00196D7C">
              <w:rPr>
                <w:sz w:val="20"/>
                <w:lang w:val="fr-CA"/>
              </w:rPr>
              <w:t>Déclarations de culpabilité : meurtre au premier degré et avoir déchargé une arme à feu dans l’intention de blesser</w:t>
            </w:r>
          </w:p>
          <w:p w:rsidR="00196D7C" w:rsidRPr="00196D7C" w:rsidRDefault="00196D7C" w:rsidP="00196D7C">
            <w:pPr>
              <w:jc w:val="both"/>
              <w:rPr>
                <w:sz w:val="20"/>
                <w:lang w:val="fr-CA"/>
              </w:rPr>
            </w:pPr>
            <w:r w:rsidRPr="00196D7C">
              <w:rPr>
                <w:sz w:val="20"/>
                <w:lang w:val="fr-CA"/>
              </w:rPr>
              <w:t>Acquittement : tentative de meurtre</w:t>
            </w:r>
          </w:p>
          <w:p w:rsidR="00196D7C" w:rsidRPr="00196D7C" w:rsidRDefault="00196D7C" w:rsidP="00196D7C">
            <w:pPr>
              <w:jc w:val="both"/>
              <w:rPr>
                <w:sz w:val="20"/>
                <w:lang w:val="fr-CA"/>
              </w:rPr>
            </w:pPr>
          </w:p>
        </w:tc>
      </w:tr>
      <w:tr w:rsidR="00196D7C" w:rsidRPr="00196D7C" w:rsidTr="00E95A6A">
        <w:tc>
          <w:tcPr>
            <w:tcW w:w="2427" w:type="pct"/>
            <w:gridSpan w:val="2"/>
          </w:tcPr>
          <w:p w:rsidR="00196D7C" w:rsidRPr="00196D7C" w:rsidRDefault="00196D7C" w:rsidP="00196D7C">
            <w:pPr>
              <w:jc w:val="both"/>
              <w:rPr>
                <w:sz w:val="20"/>
                <w:lang w:val="fr-CA"/>
              </w:rPr>
            </w:pPr>
            <w:r w:rsidRPr="00196D7C">
              <w:rPr>
                <w:sz w:val="20"/>
                <w:lang w:val="fr-CA"/>
              </w:rPr>
              <w:t>10 novembre 2014</w:t>
            </w:r>
          </w:p>
          <w:p w:rsidR="00196D7C" w:rsidRPr="00196D7C" w:rsidRDefault="00196D7C" w:rsidP="00196D7C">
            <w:pPr>
              <w:jc w:val="both"/>
              <w:rPr>
                <w:sz w:val="20"/>
                <w:lang w:val="fr-CA"/>
              </w:rPr>
            </w:pPr>
            <w:r w:rsidRPr="00196D7C">
              <w:rPr>
                <w:sz w:val="20"/>
                <w:lang w:val="fr-CA"/>
              </w:rPr>
              <w:t>Cour d’appel de la Colombie-Britannique (Vancouver)</w:t>
            </w:r>
          </w:p>
          <w:p w:rsidR="00196D7C" w:rsidRPr="00196D7C" w:rsidRDefault="00196D7C" w:rsidP="00196D7C">
            <w:pPr>
              <w:jc w:val="both"/>
              <w:rPr>
                <w:sz w:val="20"/>
                <w:lang w:val="fr-CA"/>
              </w:rPr>
            </w:pPr>
            <w:r w:rsidRPr="00196D7C">
              <w:rPr>
                <w:sz w:val="20"/>
                <w:lang w:val="fr-CA"/>
              </w:rPr>
              <w:t>(Juges Newbury, Saunders et Lowry)</w:t>
            </w:r>
          </w:p>
          <w:p w:rsidR="00196D7C" w:rsidRPr="00196D7C" w:rsidRDefault="00196D7C" w:rsidP="00196D7C">
            <w:pPr>
              <w:jc w:val="both"/>
              <w:rPr>
                <w:sz w:val="20"/>
                <w:lang w:val="fr-CA"/>
              </w:rPr>
            </w:pPr>
            <w:r w:rsidRPr="00196D7C">
              <w:rPr>
                <w:sz w:val="20"/>
                <w:lang w:val="fr-CA"/>
              </w:rPr>
              <w:t xml:space="preserve">Référence neutre : </w:t>
            </w:r>
            <w:hyperlink r:id="rId14" w:history="1">
              <w:r w:rsidRPr="00196D7C">
                <w:rPr>
                  <w:rStyle w:val="Hyperlink"/>
                  <w:sz w:val="20"/>
                  <w:lang w:val="fr-CA"/>
                </w:rPr>
                <w:t>2014 BCCA 486</w:t>
              </w:r>
            </w:hyperlink>
          </w:p>
          <w:p w:rsidR="00196D7C" w:rsidRPr="00196D7C" w:rsidRDefault="00196D7C" w:rsidP="00196D7C">
            <w:pPr>
              <w:jc w:val="both"/>
              <w:rPr>
                <w:sz w:val="20"/>
                <w:lang w:val="fr-CA"/>
              </w:rPr>
            </w:pPr>
          </w:p>
        </w:tc>
        <w:tc>
          <w:tcPr>
            <w:tcW w:w="243" w:type="pct"/>
          </w:tcPr>
          <w:p w:rsidR="00196D7C" w:rsidRPr="00196D7C" w:rsidRDefault="00196D7C" w:rsidP="00196D7C">
            <w:pPr>
              <w:jc w:val="both"/>
              <w:rPr>
                <w:sz w:val="20"/>
                <w:lang w:val="fr-CA"/>
              </w:rPr>
            </w:pPr>
          </w:p>
        </w:tc>
        <w:tc>
          <w:tcPr>
            <w:tcW w:w="2330" w:type="pct"/>
          </w:tcPr>
          <w:p w:rsidR="00196D7C" w:rsidRPr="00196D7C" w:rsidRDefault="00196D7C" w:rsidP="00196D7C">
            <w:pPr>
              <w:jc w:val="both"/>
              <w:rPr>
                <w:sz w:val="20"/>
                <w:lang w:val="fr-CA"/>
              </w:rPr>
            </w:pPr>
            <w:r w:rsidRPr="00196D7C">
              <w:rPr>
                <w:sz w:val="20"/>
                <w:lang w:val="fr-CA"/>
              </w:rPr>
              <w:t>Rejet de l’appel</w:t>
            </w:r>
          </w:p>
          <w:p w:rsidR="00196D7C" w:rsidRPr="00196D7C" w:rsidRDefault="00196D7C" w:rsidP="00196D7C">
            <w:pPr>
              <w:jc w:val="both"/>
              <w:rPr>
                <w:sz w:val="20"/>
                <w:lang w:val="fr-CA"/>
              </w:rPr>
            </w:pPr>
          </w:p>
        </w:tc>
      </w:tr>
      <w:tr w:rsidR="00196D7C" w:rsidRPr="00196D7C" w:rsidTr="00E95A6A">
        <w:tc>
          <w:tcPr>
            <w:tcW w:w="2427" w:type="pct"/>
            <w:gridSpan w:val="2"/>
          </w:tcPr>
          <w:p w:rsidR="00196D7C" w:rsidRPr="00196D7C" w:rsidRDefault="00196D7C" w:rsidP="00196D7C">
            <w:pPr>
              <w:jc w:val="both"/>
              <w:rPr>
                <w:sz w:val="20"/>
                <w:lang w:val="fr-CA"/>
              </w:rPr>
            </w:pPr>
            <w:r w:rsidRPr="00196D7C">
              <w:rPr>
                <w:sz w:val="20"/>
                <w:lang w:val="fr-CA"/>
              </w:rPr>
              <w:t>26 août 2015</w:t>
            </w:r>
          </w:p>
          <w:p w:rsidR="00196D7C" w:rsidRPr="00196D7C" w:rsidRDefault="00196D7C" w:rsidP="00196D7C">
            <w:pPr>
              <w:jc w:val="both"/>
              <w:rPr>
                <w:sz w:val="20"/>
                <w:lang w:val="fr-CA"/>
              </w:rPr>
            </w:pPr>
            <w:r w:rsidRPr="00196D7C">
              <w:rPr>
                <w:sz w:val="20"/>
                <w:lang w:val="fr-CA"/>
              </w:rPr>
              <w:t>Cour suprême du Canada</w:t>
            </w:r>
          </w:p>
          <w:p w:rsidR="00196D7C" w:rsidRPr="00196D7C" w:rsidRDefault="00196D7C" w:rsidP="00196D7C">
            <w:pPr>
              <w:jc w:val="both"/>
              <w:rPr>
                <w:sz w:val="20"/>
                <w:lang w:val="fr-CA"/>
              </w:rPr>
            </w:pPr>
          </w:p>
        </w:tc>
        <w:tc>
          <w:tcPr>
            <w:tcW w:w="243" w:type="pct"/>
          </w:tcPr>
          <w:p w:rsidR="00196D7C" w:rsidRPr="00196D7C" w:rsidRDefault="00196D7C" w:rsidP="00196D7C">
            <w:pPr>
              <w:jc w:val="both"/>
              <w:rPr>
                <w:sz w:val="20"/>
                <w:lang w:val="fr-CA"/>
              </w:rPr>
            </w:pPr>
          </w:p>
        </w:tc>
        <w:tc>
          <w:tcPr>
            <w:tcW w:w="2330" w:type="pct"/>
          </w:tcPr>
          <w:p w:rsidR="00196D7C" w:rsidRPr="00196D7C" w:rsidRDefault="00196D7C" w:rsidP="00196D7C">
            <w:pPr>
              <w:jc w:val="both"/>
              <w:rPr>
                <w:sz w:val="20"/>
                <w:lang w:val="fr-CA"/>
              </w:rPr>
            </w:pPr>
            <w:r w:rsidRPr="00196D7C">
              <w:rPr>
                <w:sz w:val="20"/>
                <w:lang w:val="fr-CA"/>
              </w:rPr>
              <w:t>Dépôt de la requête en prorogation du délai de signification et de dépôt de la demande d’autorisation d’appel et de la demande d’autorisation d’appel</w:t>
            </w:r>
          </w:p>
        </w:tc>
      </w:tr>
    </w:tbl>
    <w:p w:rsidR="00C21013" w:rsidRDefault="00C21013" w:rsidP="009550BB">
      <w:pPr>
        <w:ind w:left="360" w:hanging="360"/>
        <w:jc w:val="both"/>
        <w:rPr>
          <w:sz w:val="20"/>
          <w:lang w:val="fr-CA"/>
        </w:rPr>
      </w:pPr>
    </w:p>
    <w:p w:rsidR="00C21013" w:rsidRDefault="00C21013" w:rsidP="009550BB">
      <w:pPr>
        <w:ind w:left="360" w:hanging="360"/>
        <w:jc w:val="both"/>
        <w:rPr>
          <w:sz w:val="20"/>
          <w:lang w:val="fr-CA"/>
        </w:rPr>
      </w:pPr>
    </w:p>
    <w:p w:rsidR="00C21013" w:rsidRPr="00C21013" w:rsidRDefault="00C21013" w:rsidP="009550BB">
      <w:pPr>
        <w:ind w:left="360" w:hanging="360"/>
        <w:jc w:val="both"/>
        <w:rPr>
          <w:sz w:val="20"/>
          <w:lang w:val="fr-CA"/>
        </w:rPr>
      </w:pPr>
    </w:p>
    <w:p w:rsidR="00D3344A" w:rsidRPr="004B4D42" w:rsidRDefault="00D3344A" w:rsidP="00D3344A">
      <w:pPr>
        <w:widowControl w:val="0"/>
        <w:outlineLvl w:val="0"/>
      </w:pPr>
      <w:r w:rsidRPr="00E7483A">
        <w:lastRenderedPageBreak/>
        <w:t>Supreme</w:t>
      </w:r>
      <w:r w:rsidRPr="004B4D42">
        <w:t xml:space="preserve"> Court of Canada / Cour </w:t>
      </w:r>
      <w:proofErr w:type="spellStart"/>
      <w:r w:rsidRPr="004B4D42">
        <w:t>suprême</w:t>
      </w:r>
      <w:proofErr w:type="spellEnd"/>
      <w:r w:rsidRPr="004B4D42">
        <w:t xml:space="preserve"> du Canada : </w:t>
      </w:r>
    </w:p>
    <w:p w:rsidR="00D3344A" w:rsidRPr="004B4D42" w:rsidRDefault="00FA3876" w:rsidP="00D3344A">
      <w:pPr>
        <w:widowControl w:val="0"/>
        <w:outlineLvl w:val="0"/>
        <w:rPr>
          <w:u w:val="single"/>
        </w:rPr>
      </w:pPr>
      <w:hyperlink r:id="rId15"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footerReference w:type="default" r:id="rId1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EF33BF" w:rsidRDefault="00D46172" w:rsidP="00EF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624972"/>
    <w:multiLevelType w:val="hybridMultilevel"/>
    <w:tmpl w:val="24C4CE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5E3244"/>
    <w:multiLevelType w:val="hybridMultilevel"/>
    <w:tmpl w:val="0A9689B0"/>
    <w:lvl w:ilvl="0" w:tplc="C79C3DF2">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300FA"/>
    <w:multiLevelType w:val="hybridMultilevel"/>
    <w:tmpl w:val="F82A16FC"/>
    <w:lvl w:ilvl="0" w:tplc="00143EA0">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A7BF1"/>
    <w:multiLevelType w:val="hybridMultilevel"/>
    <w:tmpl w:val="372C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21385"/>
    <w:multiLevelType w:val="hybridMultilevel"/>
    <w:tmpl w:val="EDFE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40684"/>
    <w:multiLevelType w:val="hybridMultilevel"/>
    <w:tmpl w:val="36B0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BA3741"/>
    <w:multiLevelType w:val="hybridMultilevel"/>
    <w:tmpl w:val="CFB6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797C07"/>
    <w:multiLevelType w:val="hybridMultilevel"/>
    <w:tmpl w:val="574A0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61BF0"/>
    <w:multiLevelType w:val="hybridMultilevel"/>
    <w:tmpl w:val="2004AFDE"/>
    <w:lvl w:ilvl="0" w:tplc="A81E30C4">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677C8"/>
    <w:multiLevelType w:val="hybridMultilevel"/>
    <w:tmpl w:val="FE00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9"/>
  </w:num>
  <w:num w:numId="2">
    <w:abstractNumId w:val="5"/>
  </w:num>
  <w:num w:numId="3">
    <w:abstractNumId w:val="0"/>
  </w:num>
  <w:num w:numId="4">
    <w:abstractNumId w:val="30"/>
  </w:num>
  <w:num w:numId="5">
    <w:abstractNumId w:val="1"/>
  </w:num>
  <w:num w:numId="6">
    <w:abstractNumId w:val="3"/>
  </w:num>
  <w:num w:numId="7">
    <w:abstractNumId w:val="4"/>
  </w:num>
  <w:num w:numId="8">
    <w:abstractNumId w:val="35"/>
  </w:num>
  <w:num w:numId="9">
    <w:abstractNumId w:val="32"/>
  </w:num>
  <w:num w:numId="10">
    <w:abstractNumId w:val="18"/>
  </w:num>
  <w:num w:numId="11">
    <w:abstractNumId w:val="27"/>
  </w:num>
  <w:num w:numId="12">
    <w:abstractNumId w:val="16"/>
  </w:num>
  <w:num w:numId="13">
    <w:abstractNumId w:val="6"/>
  </w:num>
  <w:num w:numId="14">
    <w:abstractNumId w:val="11"/>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9"/>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96D7C"/>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1640C"/>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2CD8"/>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1075"/>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520"/>
    <w:rsid w:val="00ED2E12"/>
    <w:rsid w:val="00ED4F03"/>
    <w:rsid w:val="00ED52B2"/>
    <w:rsid w:val="00EE0ADC"/>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6653"/>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876"/>
    <w:rsid w:val="00FA3AA3"/>
    <w:rsid w:val="00FA4324"/>
    <w:rsid w:val="00FA538C"/>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hit1">
    <w:name w:val="hit1"/>
    <w:basedOn w:val="DefaultParagraphFont"/>
    <w:rsid w:val="00196D7C"/>
    <w:rPr>
      <w:b/>
      <w:bCs/>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559" TargetMode="External"/><Relationship Id="rId13" Type="http://schemas.openxmlformats.org/officeDocument/2006/relationships/hyperlink" Target="http://www.canlii.org/en/bc/bcca/doc/2014/2014bcca486/2014bcca486.html?autocompleteStr=2014bcca486&amp;autocompletePos=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lii.ca/t/gf8r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gf8rj"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6577" TargetMode="External"/><Relationship Id="rId4" Type="http://schemas.openxmlformats.org/officeDocument/2006/relationships/settings" Target="settings.xml"/><Relationship Id="rId9" Type="http://schemas.openxmlformats.org/officeDocument/2006/relationships/hyperlink" Target="http://www.scc-csc.ca/case-dossier/info/sum-som-eng.aspx?cas=36669" TargetMode="External"/><Relationship Id="rId14" Type="http://schemas.openxmlformats.org/officeDocument/2006/relationships/hyperlink" Target="http://www.canlii.org/en/bc/bcca/doc/2014/2014bcca486/2014bcca486.html?autocompleteStr=2014bcca486&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86500-E3B2-4904-8C99-D4D369BA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15410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2015-12-21T16:16:00Z</dcterms:created>
  <dcterms:modified xsi:type="dcterms:W3CDTF">2015-12-21T16:27:00Z</dcterms:modified>
</cp:coreProperties>
</file>