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4B4E10" w:rsidP="006F2579">
      <w:pPr>
        <w:widowControl w:val="0"/>
        <w:rPr>
          <w:b/>
        </w:rPr>
      </w:pPr>
      <w:r>
        <w:rPr>
          <w:b/>
        </w:rPr>
        <w:t xml:space="preserve">February </w:t>
      </w:r>
      <w:r w:rsidR="001029D6">
        <w:rPr>
          <w:b/>
        </w:rPr>
        <w:t>22</w:t>
      </w:r>
      <w:r w:rsidR="00B936A8">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124EFD">
        <w:t xml:space="preserve">February </w:t>
      </w:r>
      <w:r w:rsidR="001029D6">
        <w:t>25</w:t>
      </w:r>
      <w:r w:rsidR="002F38D7" w:rsidRPr="004B4D42">
        <w:t xml:space="preserve"> </w:t>
      </w:r>
      <w:r w:rsidR="006648D1" w:rsidRPr="004B4D42">
        <w:t>201</w:t>
      </w:r>
      <w:r w:rsidR="00674329">
        <w:t>6</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1029D6">
        <w:rPr>
          <w:b/>
          <w:lang w:val="fr-CA"/>
        </w:rPr>
        <w:t xml:space="preserve">22 </w:t>
      </w:r>
      <w:r w:rsidR="00124EFD">
        <w:rPr>
          <w:b/>
          <w:lang w:val="fr-CA"/>
        </w:rPr>
        <w:t>février</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1029D6">
        <w:rPr>
          <w:lang w:val="fr-CA"/>
        </w:rPr>
        <w:t>25</w:t>
      </w:r>
      <w:r w:rsidR="00124EFD">
        <w:rPr>
          <w:lang w:val="fr-CA"/>
        </w:rPr>
        <w:t xml:space="preserve"> février</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B4E10" w:rsidRPr="009F77F0" w:rsidRDefault="004B4E10" w:rsidP="00124EFD">
      <w:pPr>
        <w:jc w:val="both"/>
        <w:rPr>
          <w:i/>
          <w:sz w:val="20"/>
          <w:lang w:val="en-CA" w:eastAsia="en-CA"/>
        </w:rPr>
      </w:pPr>
    </w:p>
    <w:p w:rsidR="009F77F0" w:rsidRPr="009F77F0" w:rsidRDefault="009F77F0" w:rsidP="009F77F0">
      <w:pPr>
        <w:pStyle w:val="NoSpacing"/>
        <w:numPr>
          <w:ilvl w:val="0"/>
          <w:numId w:val="2"/>
        </w:numPr>
        <w:ind w:left="360"/>
        <w:jc w:val="both"/>
        <w:rPr>
          <w:sz w:val="20"/>
          <w:szCs w:val="20"/>
          <w:lang w:val="fr-CA" w:eastAsia="en-US"/>
        </w:rPr>
      </w:pPr>
      <w:r w:rsidRPr="009F77F0">
        <w:rPr>
          <w:i/>
          <w:sz w:val="20"/>
          <w:szCs w:val="20"/>
          <w:lang w:val="fr-CA" w:eastAsia="en-US"/>
        </w:rPr>
        <w:t>X.M.V. c. F.V</w:t>
      </w:r>
      <w:r w:rsidRPr="009F77F0">
        <w:rPr>
          <w:sz w:val="20"/>
          <w:szCs w:val="20"/>
          <w:lang w:val="fr-CA" w:eastAsia="en-US"/>
        </w:rPr>
        <w:t xml:space="preserve"> (</w:t>
      </w:r>
      <w:proofErr w:type="spellStart"/>
      <w:r w:rsidRPr="009F77F0">
        <w:rPr>
          <w:sz w:val="20"/>
          <w:szCs w:val="20"/>
          <w:lang w:val="fr-CA" w:eastAsia="en-US"/>
        </w:rPr>
        <w:t>Qc</w:t>
      </w:r>
      <w:proofErr w:type="spellEnd"/>
      <w:r w:rsidRPr="009F77F0">
        <w:rPr>
          <w:sz w:val="20"/>
          <w:szCs w:val="20"/>
          <w:lang w:val="fr-CA" w:eastAsia="en-US"/>
        </w:rPr>
        <w:t>) (Civile) (Autorisation) (</w:t>
      </w:r>
      <w:hyperlink r:id="rId8" w:history="1">
        <w:r w:rsidRPr="009F77F0">
          <w:rPr>
            <w:rStyle w:val="Hyperlink"/>
            <w:sz w:val="20"/>
            <w:szCs w:val="20"/>
            <w:lang w:val="fr-CA" w:eastAsia="en-US"/>
          </w:rPr>
          <w:t>36709</w:t>
        </w:r>
      </w:hyperlink>
      <w:r w:rsidRPr="009F77F0">
        <w:rPr>
          <w:sz w:val="20"/>
          <w:szCs w:val="20"/>
          <w:lang w:val="fr-CA" w:eastAsia="en-US"/>
        </w:rPr>
        <w:t>)</w:t>
      </w:r>
    </w:p>
    <w:p w:rsidR="009F77F0" w:rsidRPr="009F77F0" w:rsidRDefault="009F77F0" w:rsidP="009F77F0">
      <w:pPr>
        <w:widowControl w:val="0"/>
        <w:ind w:left="360" w:hanging="360"/>
        <w:jc w:val="both"/>
        <w:rPr>
          <w:sz w:val="20"/>
          <w:lang w:val="fr-CA"/>
        </w:rPr>
      </w:pPr>
    </w:p>
    <w:p w:rsidR="009F77F0" w:rsidRPr="009F77F0" w:rsidRDefault="00B936A8" w:rsidP="009F77F0">
      <w:pPr>
        <w:pStyle w:val="NoSpacing"/>
        <w:numPr>
          <w:ilvl w:val="0"/>
          <w:numId w:val="2"/>
        </w:numPr>
        <w:ind w:left="360"/>
        <w:jc w:val="both"/>
        <w:rPr>
          <w:sz w:val="20"/>
          <w:szCs w:val="20"/>
          <w:lang w:val="fr-CA"/>
        </w:rPr>
      </w:pPr>
      <w:r w:rsidRPr="009F77F0">
        <w:rPr>
          <w:i/>
          <w:sz w:val="20"/>
          <w:szCs w:val="20"/>
        </w:rPr>
        <w:t>Wu</w:t>
      </w:r>
      <w:r w:rsidRPr="009F77F0">
        <w:rPr>
          <w:i/>
          <w:sz w:val="20"/>
          <w:szCs w:val="20"/>
        </w:rPr>
        <w:t xml:space="preserve"> </w:t>
      </w:r>
      <w:r w:rsidR="009F77F0" w:rsidRPr="009F77F0">
        <w:rPr>
          <w:i/>
          <w:sz w:val="20"/>
          <w:szCs w:val="20"/>
        </w:rPr>
        <w:t xml:space="preserve">Shang </w:t>
      </w:r>
      <w:proofErr w:type="spellStart"/>
      <w:r w:rsidR="009F77F0" w:rsidRPr="009F77F0">
        <w:rPr>
          <w:i/>
          <w:sz w:val="20"/>
          <w:szCs w:val="20"/>
        </w:rPr>
        <w:t>En</w:t>
      </w:r>
      <w:bookmarkStart w:id="0" w:name="_GoBack"/>
      <w:bookmarkEnd w:id="0"/>
      <w:proofErr w:type="spellEnd"/>
      <w:r w:rsidR="009F77F0" w:rsidRPr="009F77F0">
        <w:rPr>
          <w:i/>
          <w:sz w:val="20"/>
          <w:szCs w:val="20"/>
        </w:rPr>
        <w:t xml:space="preserve"> v. Her Majesty the Queen</w:t>
      </w:r>
      <w:r w:rsidR="009F77F0" w:rsidRPr="009F77F0">
        <w:rPr>
          <w:sz w:val="20"/>
          <w:szCs w:val="20"/>
        </w:rPr>
        <w:t xml:space="preserve"> (Ont.) </w:t>
      </w:r>
      <w:r w:rsidR="009F77F0" w:rsidRPr="009F77F0">
        <w:rPr>
          <w:sz w:val="20"/>
          <w:szCs w:val="20"/>
          <w:lang w:val="fr-CA"/>
        </w:rPr>
        <w:t>(</w:t>
      </w:r>
      <w:proofErr w:type="spellStart"/>
      <w:r w:rsidR="009F77F0" w:rsidRPr="009F77F0">
        <w:rPr>
          <w:sz w:val="20"/>
          <w:szCs w:val="20"/>
          <w:lang w:val="fr-CA"/>
        </w:rPr>
        <w:t>Criminal</w:t>
      </w:r>
      <w:proofErr w:type="spellEnd"/>
      <w:r w:rsidR="009F77F0" w:rsidRPr="009F77F0">
        <w:rPr>
          <w:sz w:val="20"/>
          <w:szCs w:val="20"/>
          <w:lang w:val="fr-CA"/>
        </w:rPr>
        <w:t xml:space="preserve">) (By </w:t>
      </w:r>
      <w:proofErr w:type="spellStart"/>
      <w:r w:rsidR="009F77F0" w:rsidRPr="009F77F0">
        <w:rPr>
          <w:sz w:val="20"/>
          <w:szCs w:val="20"/>
          <w:lang w:val="fr-CA"/>
        </w:rPr>
        <w:t>Leave</w:t>
      </w:r>
      <w:proofErr w:type="spellEnd"/>
      <w:r w:rsidR="009F77F0" w:rsidRPr="009F77F0">
        <w:rPr>
          <w:sz w:val="20"/>
          <w:szCs w:val="20"/>
          <w:lang w:val="fr-CA"/>
        </w:rPr>
        <w:t>) (</w:t>
      </w:r>
      <w:hyperlink r:id="rId9" w:history="1">
        <w:r w:rsidR="009F77F0" w:rsidRPr="009F77F0">
          <w:rPr>
            <w:rStyle w:val="Hyperlink"/>
            <w:sz w:val="20"/>
            <w:szCs w:val="20"/>
            <w:lang w:val="fr-CA"/>
          </w:rPr>
          <w:t>36744</w:t>
        </w:r>
      </w:hyperlink>
      <w:r w:rsidR="009F77F0" w:rsidRPr="009F77F0">
        <w:rPr>
          <w:sz w:val="20"/>
          <w:szCs w:val="20"/>
          <w:lang w:val="fr-CA"/>
        </w:rPr>
        <w:t>)</w:t>
      </w:r>
    </w:p>
    <w:p w:rsidR="009F77F0" w:rsidRPr="009F77F0" w:rsidRDefault="009F77F0" w:rsidP="009F77F0">
      <w:pPr>
        <w:pStyle w:val="NoSpacing"/>
        <w:ind w:left="360" w:hanging="360"/>
        <w:jc w:val="both"/>
        <w:rPr>
          <w:sz w:val="20"/>
          <w:szCs w:val="20"/>
          <w:lang w:val="fr-CA"/>
        </w:rPr>
      </w:pPr>
    </w:p>
    <w:p w:rsidR="009F77F0" w:rsidRPr="009F77F0" w:rsidRDefault="009F77F0" w:rsidP="009F77F0">
      <w:pPr>
        <w:pStyle w:val="NoSpacing"/>
        <w:numPr>
          <w:ilvl w:val="0"/>
          <w:numId w:val="2"/>
        </w:numPr>
        <w:ind w:left="360"/>
        <w:jc w:val="both"/>
        <w:rPr>
          <w:sz w:val="20"/>
          <w:szCs w:val="20"/>
          <w:lang w:val="fr-CA"/>
        </w:rPr>
      </w:pPr>
      <w:r w:rsidRPr="009F77F0">
        <w:rPr>
          <w:i/>
          <w:sz w:val="20"/>
          <w:szCs w:val="20"/>
          <w:lang w:val="fr-CA"/>
        </w:rPr>
        <w:t>Louis Cartier c. Sa Majesté la Reine</w:t>
      </w:r>
      <w:r w:rsidRPr="009F77F0">
        <w:rPr>
          <w:sz w:val="20"/>
          <w:szCs w:val="20"/>
          <w:lang w:val="fr-CA"/>
        </w:rPr>
        <w:t xml:space="preserve"> (</w:t>
      </w:r>
      <w:proofErr w:type="spellStart"/>
      <w:r w:rsidRPr="009F77F0">
        <w:rPr>
          <w:sz w:val="20"/>
          <w:szCs w:val="20"/>
          <w:lang w:val="fr-CA"/>
        </w:rPr>
        <w:t>Qc</w:t>
      </w:r>
      <w:proofErr w:type="spellEnd"/>
      <w:r w:rsidRPr="009F77F0">
        <w:rPr>
          <w:sz w:val="20"/>
          <w:szCs w:val="20"/>
          <w:lang w:val="fr-CA"/>
        </w:rPr>
        <w:t>) (Criminelle) (Autorisation) (</w:t>
      </w:r>
      <w:hyperlink r:id="rId10" w:history="1">
        <w:r w:rsidRPr="009F77F0">
          <w:rPr>
            <w:rStyle w:val="Hyperlink"/>
            <w:sz w:val="20"/>
            <w:szCs w:val="20"/>
            <w:lang w:val="fr-CA"/>
          </w:rPr>
          <w:t>36725</w:t>
        </w:r>
      </w:hyperlink>
      <w:r w:rsidRPr="009F77F0">
        <w:rPr>
          <w:sz w:val="20"/>
          <w:szCs w:val="20"/>
          <w:lang w:val="fr-CA"/>
        </w:rPr>
        <w:t>)</w:t>
      </w:r>
    </w:p>
    <w:p w:rsidR="009F77F0" w:rsidRPr="009F77F0" w:rsidRDefault="009F77F0" w:rsidP="009F77F0">
      <w:pPr>
        <w:pStyle w:val="NoSpacing"/>
        <w:ind w:left="360" w:hanging="360"/>
        <w:jc w:val="both"/>
        <w:rPr>
          <w:sz w:val="20"/>
          <w:szCs w:val="20"/>
          <w:lang w:val="fr-CA"/>
        </w:rPr>
      </w:pPr>
    </w:p>
    <w:p w:rsidR="009F77F0" w:rsidRPr="009F77F0" w:rsidRDefault="009F77F0" w:rsidP="009F77F0">
      <w:pPr>
        <w:pStyle w:val="NoSpacing"/>
        <w:numPr>
          <w:ilvl w:val="0"/>
          <w:numId w:val="2"/>
        </w:numPr>
        <w:ind w:left="360"/>
        <w:jc w:val="both"/>
        <w:rPr>
          <w:sz w:val="20"/>
          <w:szCs w:val="20"/>
        </w:rPr>
      </w:pPr>
      <w:r w:rsidRPr="009F77F0">
        <w:rPr>
          <w:i/>
          <w:sz w:val="20"/>
          <w:szCs w:val="20"/>
        </w:rPr>
        <w:t xml:space="preserve">Fred </w:t>
      </w:r>
      <w:proofErr w:type="spellStart"/>
      <w:r w:rsidRPr="009F77F0">
        <w:rPr>
          <w:i/>
          <w:sz w:val="20"/>
          <w:szCs w:val="20"/>
        </w:rPr>
        <w:t>Bellehumeur</w:t>
      </w:r>
      <w:proofErr w:type="spellEnd"/>
      <w:r w:rsidRPr="009F77F0">
        <w:rPr>
          <w:i/>
          <w:sz w:val="20"/>
          <w:szCs w:val="20"/>
        </w:rPr>
        <w:t xml:space="preserve"> v. Windsor Factory Supply Ltd.</w:t>
      </w:r>
      <w:r w:rsidRPr="009F77F0">
        <w:rPr>
          <w:sz w:val="20"/>
          <w:szCs w:val="20"/>
        </w:rPr>
        <w:t xml:space="preserve"> (Ont.) (Civil) (By Leave) (</w:t>
      </w:r>
      <w:hyperlink r:id="rId11" w:history="1">
        <w:r w:rsidRPr="009F77F0">
          <w:rPr>
            <w:rStyle w:val="Hyperlink"/>
            <w:sz w:val="20"/>
            <w:szCs w:val="20"/>
          </w:rPr>
          <w:t>36617</w:t>
        </w:r>
      </w:hyperlink>
      <w:r w:rsidRPr="009F77F0">
        <w:rPr>
          <w:sz w:val="20"/>
          <w:szCs w:val="20"/>
        </w:rPr>
        <w:t>)</w:t>
      </w:r>
    </w:p>
    <w:p w:rsidR="009F77F0" w:rsidRPr="009F77F0" w:rsidRDefault="009F77F0" w:rsidP="009F77F0">
      <w:pPr>
        <w:pStyle w:val="NoSpacing"/>
        <w:ind w:left="360" w:hanging="360"/>
        <w:jc w:val="both"/>
        <w:rPr>
          <w:sz w:val="20"/>
          <w:szCs w:val="20"/>
        </w:rPr>
      </w:pPr>
    </w:p>
    <w:p w:rsidR="009F77F0" w:rsidRPr="009F77F0" w:rsidRDefault="009F77F0" w:rsidP="009F77F0">
      <w:pPr>
        <w:pStyle w:val="NoSpacing"/>
        <w:numPr>
          <w:ilvl w:val="0"/>
          <w:numId w:val="2"/>
        </w:numPr>
        <w:ind w:left="360"/>
        <w:jc w:val="both"/>
        <w:rPr>
          <w:sz w:val="20"/>
          <w:szCs w:val="20"/>
        </w:rPr>
      </w:pPr>
      <w:r w:rsidRPr="009F77F0">
        <w:rPr>
          <w:i/>
          <w:sz w:val="20"/>
          <w:szCs w:val="20"/>
        </w:rPr>
        <w:t>City of Saint John v. Canadian Union of Public Employees, Local 18 et al.</w:t>
      </w:r>
      <w:r w:rsidRPr="009F77F0">
        <w:rPr>
          <w:sz w:val="20"/>
          <w:szCs w:val="20"/>
        </w:rPr>
        <w:t xml:space="preserve"> (N.B.) (Civil) (By Leave) (</w:t>
      </w:r>
      <w:hyperlink r:id="rId12" w:history="1">
        <w:r w:rsidRPr="009F77F0">
          <w:rPr>
            <w:rStyle w:val="Hyperlink"/>
            <w:sz w:val="20"/>
            <w:szCs w:val="20"/>
          </w:rPr>
          <w:t>36611</w:t>
        </w:r>
      </w:hyperlink>
      <w:r w:rsidRPr="009F77F0">
        <w:rPr>
          <w:sz w:val="20"/>
          <w:szCs w:val="20"/>
        </w:rPr>
        <w:t>)</w:t>
      </w:r>
    </w:p>
    <w:p w:rsidR="009F77F0" w:rsidRPr="009F77F0" w:rsidRDefault="009F77F0" w:rsidP="009F77F0">
      <w:pPr>
        <w:pStyle w:val="NoSpacing"/>
        <w:ind w:left="360" w:hanging="360"/>
        <w:jc w:val="both"/>
        <w:rPr>
          <w:sz w:val="20"/>
          <w:szCs w:val="20"/>
        </w:rPr>
      </w:pPr>
    </w:p>
    <w:p w:rsidR="009F77F0" w:rsidRPr="009F77F0" w:rsidRDefault="009F77F0" w:rsidP="009F77F0">
      <w:pPr>
        <w:pStyle w:val="NoSpacing"/>
        <w:numPr>
          <w:ilvl w:val="0"/>
          <w:numId w:val="2"/>
        </w:numPr>
        <w:ind w:left="360"/>
        <w:jc w:val="both"/>
        <w:rPr>
          <w:sz w:val="20"/>
          <w:szCs w:val="20"/>
        </w:rPr>
      </w:pPr>
      <w:proofErr w:type="spellStart"/>
      <w:r>
        <w:rPr>
          <w:i/>
          <w:sz w:val="20"/>
          <w:szCs w:val="20"/>
          <w:lang w:val="fr-FR"/>
        </w:rPr>
        <w:t>Mirsada</w:t>
      </w:r>
      <w:proofErr w:type="spellEnd"/>
      <w:r>
        <w:rPr>
          <w:i/>
          <w:sz w:val="20"/>
          <w:szCs w:val="20"/>
          <w:lang w:val="fr-FR"/>
        </w:rPr>
        <w:t xml:space="preserve"> </w:t>
      </w:r>
      <w:proofErr w:type="spellStart"/>
      <w:r>
        <w:rPr>
          <w:i/>
          <w:sz w:val="20"/>
          <w:szCs w:val="20"/>
          <w:lang w:val="fr-FR"/>
        </w:rPr>
        <w:t>Mujagic</w:t>
      </w:r>
      <w:proofErr w:type="spellEnd"/>
      <w:r w:rsidRPr="009F77F0">
        <w:rPr>
          <w:i/>
          <w:sz w:val="20"/>
          <w:szCs w:val="20"/>
          <w:lang w:val="fr-FR"/>
        </w:rPr>
        <w:t xml:space="preserve"> et al. v. Annette </w:t>
      </w:r>
      <w:proofErr w:type="spellStart"/>
      <w:r w:rsidRPr="009F77F0">
        <w:rPr>
          <w:i/>
          <w:sz w:val="20"/>
          <w:szCs w:val="20"/>
          <w:lang w:val="fr-FR"/>
        </w:rPr>
        <w:t>Kamps</w:t>
      </w:r>
      <w:proofErr w:type="spellEnd"/>
      <w:r w:rsidRPr="009F77F0">
        <w:rPr>
          <w:sz w:val="20"/>
          <w:szCs w:val="20"/>
          <w:lang w:val="fr-FR"/>
        </w:rPr>
        <w:t xml:space="preserve"> (Ont.) </w:t>
      </w:r>
      <w:r w:rsidRPr="009F77F0">
        <w:rPr>
          <w:sz w:val="20"/>
          <w:szCs w:val="20"/>
        </w:rPr>
        <w:t>(Civil) (By Leave) (</w:t>
      </w:r>
      <w:hyperlink r:id="rId13" w:history="1">
        <w:r w:rsidRPr="009F77F0">
          <w:rPr>
            <w:rStyle w:val="Hyperlink"/>
            <w:sz w:val="20"/>
            <w:szCs w:val="20"/>
          </w:rPr>
          <w:t>36578</w:t>
        </w:r>
      </w:hyperlink>
      <w:r w:rsidRPr="009F77F0">
        <w:rPr>
          <w:sz w:val="20"/>
          <w:szCs w:val="20"/>
        </w:rPr>
        <w:t>)</w:t>
      </w:r>
    </w:p>
    <w:p w:rsidR="009F77F0" w:rsidRPr="003962CD" w:rsidRDefault="009F77F0" w:rsidP="003962CD">
      <w:pPr>
        <w:jc w:val="both"/>
        <w:rPr>
          <w:i/>
          <w:sz w:val="20"/>
          <w:lang w:eastAsia="en-CA"/>
        </w:rPr>
      </w:pPr>
    </w:p>
    <w:p w:rsidR="00D907B6" w:rsidRPr="003962CD" w:rsidRDefault="00D907B6" w:rsidP="003962CD">
      <w:pPr>
        <w:jc w:val="both"/>
        <w:rPr>
          <w:i/>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D907B6" w:rsidRPr="003962CD" w:rsidTr="001E01CF">
        <w:tc>
          <w:tcPr>
            <w:tcW w:w="542" w:type="pct"/>
          </w:tcPr>
          <w:p w:rsidR="00D907B6" w:rsidRPr="003962CD" w:rsidRDefault="00D907B6" w:rsidP="003962CD">
            <w:pPr>
              <w:jc w:val="both"/>
              <w:rPr>
                <w:sz w:val="20"/>
                <w:lang w:val="en-CA"/>
              </w:rPr>
            </w:pPr>
            <w:r w:rsidRPr="003962CD">
              <w:rPr>
                <w:rStyle w:val="SCCFileNumberChar"/>
                <w:sz w:val="20"/>
                <w:szCs w:val="20"/>
              </w:rPr>
              <w:t>36709</w:t>
            </w:r>
          </w:p>
        </w:tc>
        <w:tc>
          <w:tcPr>
            <w:tcW w:w="4458" w:type="pct"/>
            <w:gridSpan w:val="3"/>
          </w:tcPr>
          <w:p w:rsidR="00D907B6" w:rsidRPr="003962CD" w:rsidRDefault="00D907B6" w:rsidP="003962CD">
            <w:pPr>
              <w:pStyle w:val="SCCLsocParty"/>
              <w:jc w:val="both"/>
              <w:rPr>
                <w:b/>
                <w:sz w:val="20"/>
                <w:szCs w:val="20"/>
                <w:lang w:val="en-CA"/>
              </w:rPr>
            </w:pPr>
            <w:r w:rsidRPr="003962CD">
              <w:rPr>
                <w:b/>
                <w:sz w:val="20"/>
                <w:szCs w:val="20"/>
                <w:lang w:val="en-CA"/>
              </w:rPr>
              <w:t>X.M.V. v. F.V.</w:t>
            </w:r>
          </w:p>
          <w:p w:rsidR="00D907B6" w:rsidRPr="003962CD" w:rsidRDefault="00D907B6" w:rsidP="003962CD">
            <w:pPr>
              <w:jc w:val="both"/>
              <w:rPr>
                <w:sz w:val="20"/>
                <w:lang w:val="en-CA"/>
              </w:rPr>
            </w:pPr>
            <w:r w:rsidRPr="003962CD">
              <w:rPr>
                <w:sz w:val="20"/>
                <w:lang w:val="en-CA"/>
              </w:rPr>
              <w:t>(Que.) (Civil) (By Leave)</w:t>
            </w:r>
          </w:p>
        </w:tc>
      </w:tr>
      <w:tr w:rsidR="00D907B6" w:rsidRPr="003962CD" w:rsidTr="001E01CF">
        <w:tc>
          <w:tcPr>
            <w:tcW w:w="5000" w:type="pct"/>
            <w:gridSpan w:val="4"/>
          </w:tcPr>
          <w:p w:rsidR="00D907B6" w:rsidRPr="003962CD" w:rsidRDefault="00D907B6" w:rsidP="003962CD">
            <w:pPr>
              <w:pStyle w:val="SCCBanSummary"/>
              <w:rPr>
                <w:sz w:val="20"/>
                <w:szCs w:val="20"/>
              </w:rPr>
            </w:pPr>
            <w:r w:rsidRPr="003962CD">
              <w:rPr>
                <w:sz w:val="20"/>
                <w:szCs w:val="20"/>
              </w:rPr>
              <w:t>(Publication Ban in Case) (Publication Ban on Party)</w:t>
            </w:r>
          </w:p>
          <w:p w:rsidR="00D907B6" w:rsidRPr="003962CD" w:rsidRDefault="00D907B6" w:rsidP="003962CD">
            <w:pPr>
              <w:jc w:val="both"/>
              <w:rPr>
                <w:sz w:val="20"/>
                <w:lang w:val="en-CA"/>
              </w:rPr>
            </w:pPr>
          </w:p>
        </w:tc>
      </w:tr>
      <w:tr w:rsidR="00D907B6" w:rsidRPr="003962CD" w:rsidTr="001E01CF">
        <w:tc>
          <w:tcPr>
            <w:tcW w:w="5000" w:type="pct"/>
            <w:gridSpan w:val="4"/>
          </w:tcPr>
          <w:p w:rsidR="00D907B6" w:rsidRPr="003962CD" w:rsidRDefault="00D907B6" w:rsidP="003962CD">
            <w:pPr>
              <w:jc w:val="both"/>
              <w:rPr>
                <w:i/>
                <w:iCs/>
                <w:sz w:val="20"/>
                <w:lang w:val="en-CA"/>
              </w:rPr>
            </w:pPr>
            <w:r w:rsidRPr="003962CD">
              <w:rPr>
                <w:sz w:val="20"/>
                <w:lang w:val="en-CA"/>
              </w:rPr>
              <w:t xml:space="preserve">Family law – Marriage – Nullity – Civil procedure – Revocation of judgment – Standard of proof for application for annulment of marriage – Whether courts below erred in treatment of evidence – Whether Quebec law applies to marriage solemnized abroad by foreign nationals – </w:t>
            </w:r>
            <w:r w:rsidRPr="003962CD">
              <w:rPr>
                <w:i/>
                <w:sz w:val="20"/>
                <w:lang w:val="en-CA"/>
              </w:rPr>
              <w:t>Civil Code of Québec</w:t>
            </w:r>
            <w:r w:rsidRPr="003962CD">
              <w:rPr>
                <w:sz w:val="20"/>
                <w:lang w:val="en-CA"/>
              </w:rPr>
              <w:t>, art. 380.</w:t>
            </w:r>
          </w:p>
        </w:tc>
      </w:tr>
      <w:tr w:rsidR="00D907B6" w:rsidRPr="003962CD" w:rsidTr="001E01CF">
        <w:tc>
          <w:tcPr>
            <w:tcW w:w="5000" w:type="pct"/>
            <w:gridSpan w:val="4"/>
          </w:tcPr>
          <w:p w:rsidR="00D907B6" w:rsidRPr="003962CD" w:rsidRDefault="00D907B6" w:rsidP="003962CD">
            <w:pPr>
              <w:jc w:val="both"/>
              <w:rPr>
                <w:sz w:val="20"/>
                <w:lang w:val="en-CA"/>
              </w:rPr>
            </w:pPr>
          </w:p>
        </w:tc>
      </w:tr>
      <w:tr w:rsidR="00D907B6" w:rsidRPr="003962CD" w:rsidTr="001E01CF">
        <w:tc>
          <w:tcPr>
            <w:tcW w:w="5000" w:type="pct"/>
            <w:gridSpan w:val="4"/>
          </w:tcPr>
          <w:p w:rsidR="00D907B6" w:rsidRPr="003962CD" w:rsidRDefault="00D907B6" w:rsidP="003962CD">
            <w:pPr>
              <w:jc w:val="both"/>
              <w:rPr>
                <w:sz w:val="20"/>
                <w:lang w:val="en-CA"/>
              </w:rPr>
            </w:pPr>
            <w:r w:rsidRPr="003962CD">
              <w:rPr>
                <w:sz w:val="20"/>
                <w:lang w:val="en-CA"/>
              </w:rPr>
              <w:t xml:space="preserve">X.M.V. sought revocation of a default judgment annulling the marriage entered into by the parties in Albania. The courts below refused to revoke the annulment of marriage, as the outcome of the case turned mainly on the credibility of the parties and the contradictory testimony.  </w:t>
            </w:r>
          </w:p>
          <w:p w:rsidR="00D907B6" w:rsidRPr="003962CD" w:rsidRDefault="00D907B6" w:rsidP="003962CD">
            <w:pPr>
              <w:jc w:val="both"/>
              <w:rPr>
                <w:sz w:val="20"/>
                <w:lang w:val="en-CA"/>
              </w:rPr>
            </w:pP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en-CA"/>
              </w:rPr>
            </w:pPr>
            <w:r w:rsidRPr="003962CD">
              <w:rPr>
                <w:sz w:val="20"/>
                <w:lang w:val="en-CA"/>
              </w:rPr>
              <w:t>December 18, 2014</w:t>
            </w:r>
          </w:p>
          <w:p w:rsidR="00D907B6" w:rsidRPr="003962CD" w:rsidRDefault="00D907B6" w:rsidP="003962CD">
            <w:pPr>
              <w:jc w:val="both"/>
              <w:rPr>
                <w:sz w:val="20"/>
                <w:lang w:val="en-CA"/>
              </w:rPr>
            </w:pPr>
            <w:r w:rsidRPr="003962CD">
              <w:rPr>
                <w:sz w:val="20"/>
                <w:lang w:val="en-CA"/>
              </w:rPr>
              <w:t>Quebec Superior Court</w:t>
            </w:r>
          </w:p>
          <w:p w:rsidR="00D907B6" w:rsidRPr="003962CD" w:rsidRDefault="00D907B6" w:rsidP="003962CD">
            <w:pPr>
              <w:jc w:val="both"/>
              <w:rPr>
                <w:sz w:val="20"/>
                <w:lang w:val="en-CA"/>
              </w:rPr>
            </w:pPr>
            <w:r w:rsidRPr="003962CD">
              <w:rPr>
                <w:sz w:val="20"/>
                <w:lang w:val="en-CA"/>
              </w:rPr>
              <w:t>(Emery J.)</w:t>
            </w:r>
          </w:p>
          <w:p w:rsidR="00D907B6" w:rsidRPr="003962CD" w:rsidRDefault="00D907B6" w:rsidP="003962CD">
            <w:pPr>
              <w:jc w:val="both"/>
              <w:rPr>
                <w:sz w:val="20"/>
                <w:lang w:val="en-CA"/>
              </w:rPr>
            </w:pPr>
            <w:r w:rsidRPr="003962CD">
              <w:rPr>
                <w:sz w:val="20"/>
                <w:lang w:val="en-CA"/>
              </w:rPr>
              <w:t>Family law – 14523</w:t>
            </w:r>
          </w:p>
          <w:p w:rsidR="00D907B6" w:rsidRPr="003962CD" w:rsidRDefault="00D907B6" w:rsidP="003962CD">
            <w:pPr>
              <w:jc w:val="both"/>
              <w:rPr>
                <w:sz w:val="20"/>
                <w:lang w:val="en-CA"/>
              </w:rPr>
            </w:pPr>
            <w:r w:rsidRPr="003962CD">
              <w:rPr>
                <w:sz w:val="20"/>
                <w:lang w:val="en-CA"/>
              </w:rPr>
              <w:t>(Unreported)</w:t>
            </w:r>
          </w:p>
          <w:p w:rsidR="00D907B6" w:rsidRPr="003962CD" w:rsidRDefault="00D907B6" w:rsidP="003962CD">
            <w:pPr>
              <w:jc w:val="both"/>
              <w:rPr>
                <w:sz w:val="20"/>
                <w:lang w:val="en-CA"/>
              </w:rPr>
            </w:pPr>
          </w:p>
        </w:tc>
        <w:tc>
          <w:tcPr>
            <w:tcW w:w="270" w:type="pct"/>
          </w:tcPr>
          <w:p w:rsidR="00D907B6" w:rsidRPr="003962CD" w:rsidRDefault="00D907B6" w:rsidP="003962CD">
            <w:pPr>
              <w:jc w:val="both"/>
              <w:rPr>
                <w:sz w:val="20"/>
                <w:lang w:val="en-CA"/>
              </w:rPr>
            </w:pPr>
          </w:p>
        </w:tc>
        <w:tc>
          <w:tcPr>
            <w:tcW w:w="2340" w:type="pct"/>
          </w:tcPr>
          <w:p w:rsidR="00D907B6" w:rsidRPr="003962CD" w:rsidRDefault="00D907B6" w:rsidP="003962CD">
            <w:pPr>
              <w:jc w:val="both"/>
              <w:rPr>
                <w:sz w:val="20"/>
                <w:lang w:val="en-CA"/>
              </w:rPr>
            </w:pPr>
            <w:r w:rsidRPr="003962CD">
              <w:rPr>
                <w:sz w:val="20"/>
                <w:lang w:val="en-CA"/>
              </w:rPr>
              <w:t xml:space="preserve">Motion in revocation of default judgment declaring parties’ marriage null dismissed </w:t>
            </w:r>
          </w:p>
          <w:p w:rsidR="00D907B6" w:rsidRPr="003962CD" w:rsidRDefault="00D907B6" w:rsidP="003962CD">
            <w:pPr>
              <w:jc w:val="both"/>
              <w:rPr>
                <w:sz w:val="20"/>
                <w:lang w:val="en-CA"/>
              </w:rPr>
            </w:pP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en-CA"/>
              </w:rPr>
            </w:pPr>
            <w:r w:rsidRPr="003962CD">
              <w:rPr>
                <w:sz w:val="20"/>
                <w:lang w:val="en-CA"/>
              </w:rPr>
              <w:t>September 4, 2015</w:t>
            </w:r>
          </w:p>
          <w:p w:rsidR="00D907B6" w:rsidRPr="003962CD" w:rsidRDefault="00D907B6" w:rsidP="003962CD">
            <w:pPr>
              <w:jc w:val="both"/>
              <w:rPr>
                <w:sz w:val="20"/>
                <w:lang w:val="en-CA"/>
              </w:rPr>
            </w:pPr>
            <w:r w:rsidRPr="003962CD">
              <w:rPr>
                <w:sz w:val="20"/>
                <w:lang w:val="en-CA"/>
              </w:rPr>
              <w:t>Quebec Court of Appeal (Montréal)</w:t>
            </w:r>
          </w:p>
          <w:p w:rsidR="00D907B6" w:rsidRPr="003962CD" w:rsidRDefault="00D907B6" w:rsidP="003962CD">
            <w:pPr>
              <w:jc w:val="both"/>
              <w:rPr>
                <w:sz w:val="20"/>
                <w:lang w:val="en-CA"/>
              </w:rPr>
            </w:pPr>
            <w:r w:rsidRPr="003962CD">
              <w:rPr>
                <w:sz w:val="20"/>
                <w:lang w:val="en-CA"/>
              </w:rPr>
              <w:t>(Morissette, Bich and Bélanger JJ.A.)</w:t>
            </w:r>
          </w:p>
          <w:p w:rsidR="00D907B6" w:rsidRPr="003962CD" w:rsidRDefault="00D907B6" w:rsidP="003962CD">
            <w:pPr>
              <w:jc w:val="both"/>
              <w:rPr>
                <w:sz w:val="20"/>
                <w:lang w:val="en-CA"/>
              </w:rPr>
            </w:pPr>
            <w:hyperlink r:id="rId14" w:history="1">
              <w:r w:rsidRPr="003962CD">
                <w:rPr>
                  <w:rStyle w:val="Hyperlink"/>
                  <w:sz w:val="20"/>
                  <w:lang w:val="en-CA"/>
                </w:rPr>
                <w:t>2015 QCCA 1416</w:t>
              </w:r>
            </w:hyperlink>
          </w:p>
          <w:p w:rsidR="00D907B6" w:rsidRPr="003962CD" w:rsidRDefault="00D907B6" w:rsidP="003962CD">
            <w:pPr>
              <w:jc w:val="both"/>
              <w:rPr>
                <w:sz w:val="20"/>
                <w:lang w:val="en-CA"/>
              </w:rPr>
            </w:pPr>
          </w:p>
        </w:tc>
        <w:tc>
          <w:tcPr>
            <w:tcW w:w="270" w:type="pct"/>
          </w:tcPr>
          <w:p w:rsidR="00D907B6" w:rsidRPr="003962CD" w:rsidRDefault="00D907B6" w:rsidP="003962CD">
            <w:pPr>
              <w:jc w:val="both"/>
              <w:rPr>
                <w:sz w:val="20"/>
                <w:lang w:val="en-CA"/>
              </w:rPr>
            </w:pPr>
          </w:p>
        </w:tc>
        <w:tc>
          <w:tcPr>
            <w:tcW w:w="2340" w:type="pct"/>
          </w:tcPr>
          <w:p w:rsidR="00D907B6" w:rsidRPr="003962CD" w:rsidRDefault="00D907B6" w:rsidP="003962CD">
            <w:pPr>
              <w:jc w:val="both"/>
              <w:rPr>
                <w:sz w:val="20"/>
                <w:lang w:val="en-CA"/>
              </w:rPr>
            </w:pPr>
            <w:r w:rsidRPr="003962CD">
              <w:rPr>
                <w:sz w:val="20"/>
                <w:lang w:val="en-CA"/>
              </w:rPr>
              <w:t>Appeal dismissed</w:t>
            </w: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en-CA"/>
              </w:rPr>
            </w:pPr>
            <w:r w:rsidRPr="003962CD">
              <w:rPr>
                <w:sz w:val="20"/>
                <w:lang w:val="en-CA"/>
              </w:rPr>
              <w:t>November 3, 2015</w:t>
            </w:r>
          </w:p>
          <w:p w:rsidR="00D907B6" w:rsidRPr="003962CD" w:rsidRDefault="00D907B6" w:rsidP="003962CD">
            <w:pPr>
              <w:jc w:val="both"/>
              <w:rPr>
                <w:sz w:val="20"/>
                <w:lang w:val="en-CA"/>
              </w:rPr>
            </w:pPr>
            <w:r w:rsidRPr="003962CD">
              <w:rPr>
                <w:sz w:val="20"/>
                <w:lang w:val="en-CA"/>
              </w:rPr>
              <w:t>Supreme Court of Canada</w:t>
            </w:r>
          </w:p>
        </w:tc>
        <w:tc>
          <w:tcPr>
            <w:tcW w:w="270" w:type="pct"/>
          </w:tcPr>
          <w:p w:rsidR="00D907B6" w:rsidRPr="003962CD" w:rsidRDefault="00D907B6" w:rsidP="003962CD">
            <w:pPr>
              <w:jc w:val="both"/>
              <w:rPr>
                <w:sz w:val="20"/>
                <w:lang w:val="en-CA"/>
              </w:rPr>
            </w:pPr>
          </w:p>
        </w:tc>
        <w:tc>
          <w:tcPr>
            <w:tcW w:w="2340" w:type="pct"/>
          </w:tcPr>
          <w:p w:rsidR="00D907B6" w:rsidRPr="003962CD" w:rsidRDefault="00D907B6" w:rsidP="003962CD">
            <w:pPr>
              <w:jc w:val="both"/>
              <w:rPr>
                <w:sz w:val="20"/>
                <w:lang w:val="en-CA"/>
              </w:rPr>
            </w:pPr>
            <w:r w:rsidRPr="003962CD">
              <w:rPr>
                <w:sz w:val="20"/>
                <w:lang w:val="en-CA"/>
              </w:rPr>
              <w:t>Application for leave to appeal filed</w:t>
            </w:r>
          </w:p>
          <w:p w:rsidR="00D907B6" w:rsidRPr="003962CD" w:rsidRDefault="00D907B6" w:rsidP="003962CD">
            <w:pPr>
              <w:jc w:val="both"/>
              <w:rPr>
                <w:sz w:val="20"/>
                <w:lang w:val="en-CA"/>
              </w:rPr>
            </w:pPr>
          </w:p>
        </w:tc>
      </w:tr>
    </w:tbl>
    <w:p w:rsidR="00D907B6" w:rsidRDefault="00D907B6" w:rsidP="003962CD">
      <w:pPr>
        <w:jc w:val="both"/>
        <w:rPr>
          <w:sz w:val="20"/>
          <w:lang w:val="en-CA"/>
        </w:rPr>
      </w:pPr>
    </w:p>
    <w:p w:rsidR="003962CD" w:rsidRPr="003962CD" w:rsidRDefault="003962CD" w:rsidP="003962C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D907B6" w:rsidRPr="003962CD" w:rsidTr="001E01CF">
        <w:tc>
          <w:tcPr>
            <w:tcW w:w="542" w:type="pct"/>
          </w:tcPr>
          <w:p w:rsidR="00D907B6" w:rsidRPr="003962CD" w:rsidRDefault="00D907B6" w:rsidP="003962CD">
            <w:pPr>
              <w:jc w:val="both"/>
              <w:rPr>
                <w:sz w:val="20"/>
              </w:rPr>
            </w:pPr>
            <w:r w:rsidRPr="003962CD">
              <w:rPr>
                <w:rStyle w:val="SCCFileNumberChar"/>
                <w:sz w:val="20"/>
                <w:szCs w:val="20"/>
              </w:rPr>
              <w:t>36709</w:t>
            </w:r>
          </w:p>
        </w:tc>
        <w:tc>
          <w:tcPr>
            <w:tcW w:w="4458" w:type="pct"/>
            <w:gridSpan w:val="3"/>
          </w:tcPr>
          <w:p w:rsidR="00D907B6" w:rsidRPr="003962CD" w:rsidRDefault="00D907B6" w:rsidP="003962CD">
            <w:pPr>
              <w:pStyle w:val="SCCLsocParty"/>
              <w:jc w:val="both"/>
              <w:rPr>
                <w:b/>
                <w:sz w:val="20"/>
                <w:szCs w:val="20"/>
              </w:rPr>
            </w:pPr>
            <w:r w:rsidRPr="003962CD">
              <w:rPr>
                <w:b/>
                <w:sz w:val="20"/>
                <w:szCs w:val="20"/>
              </w:rPr>
              <w:t>X.M.V. c. F.V.</w:t>
            </w:r>
          </w:p>
          <w:p w:rsidR="00D907B6" w:rsidRPr="003962CD" w:rsidRDefault="00D907B6" w:rsidP="003962CD">
            <w:pPr>
              <w:jc w:val="both"/>
              <w:rPr>
                <w:sz w:val="20"/>
                <w:lang w:val="fr-FR"/>
              </w:rPr>
            </w:pPr>
            <w:r w:rsidRPr="003962CD">
              <w:rPr>
                <w:sz w:val="20"/>
                <w:lang w:val="fr-FR"/>
              </w:rPr>
              <w:t>(</w:t>
            </w:r>
            <w:proofErr w:type="spellStart"/>
            <w:r w:rsidRPr="003962CD">
              <w:rPr>
                <w:sz w:val="20"/>
                <w:lang w:val="fr-FR"/>
              </w:rPr>
              <w:t>Qc</w:t>
            </w:r>
            <w:proofErr w:type="spellEnd"/>
            <w:r w:rsidRPr="003962CD">
              <w:rPr>
                <w:sz w:val="20"/>
                <w:lang w:val="fr-FR"/>
              </w:rPr>
              <w:t>) (Civile) (Autorisation)</w:t>
            </w:r>
          </w:p>
        </w:tc>
      </w:tr>
      <w:tr w:rsidR="00D907B6" w:rsidRPr="003962CD" w:rsidTr="001E01CF">
        <w:tc>
          <w:tcPr>
            <w:tcW w:w="5000" w:type="pct"/>
            <w:gridSpan w:val="4"/>
          </w:tcPr>
          <w:p w:rsidR="00D907B6" w:rsidRPr="003962CD" w:rsidRDefault="00D907B6" w:rsidP="003962CD">
            <w:pPr>
              <w:pStyle w:val="SCCBanSummary"/>
              <w:rPr>
                <w:sz w:val="20"/>
                <w:szCs w:val="20"/>
                <w:lang w:val="fr-FR"/>
              </w:rPr>
            </w:pPr>
            <w:r w:rsidRPr="003962CD">
              <w:rPr>
                <w:sz w:val="20"/>
                <w:szCs w:val="20"/>
                <w:lang w:val="fr-FR"/>
              </w:rPr>
              <w:t>(Ordonnance de non-publication dans le dossier) (Ordonnance de non-publication visant une partie)</w:t>
            </w:r>
          </w:p>
          <w:p w:rsidR="00D907B6" w:rsidRPr="003962CD" w:rsidRDefault="00D907B6" w:rsidP="003962CD">
            <w:pPr>
              <w:jc w:val="both"/>
              <w:rPr>
                <w:sz w:val="20"/>
                <w:lang w:val="fr-FR"/>
              </w:rPr>
            </w:pPr>
          </w:p>
        </w:tc>
      </w:tr>
      <w:tr w:rsidR="00D907B6" w:rsidRPr="003962CD" w:rsidTr="001E01CF">
        <w:tc>
          <w:tcPr>
            <w:tcW w:w="5000" w:type="pct"/>
            <w:gridSpan w:val="4"/>
          </w:tcPr>
          <w:p w:rsidR="00D907B6" w:rsidRPr="003962CD" w:rsidRDefault="00D907B6" w:rsidP="003962CD">
            <w:pPr>
              <w:jc w:val="both"/>
              <w:rPr>
                <w:i/>
                <w:iCs/>
                <w:sz w:val="20"/>
                <w:lang w:val="fr-FR"/>
              </w:rPr>
            </w:pPr>
            <w:r w:rsidRPr="003962CD">
              <w:rPr>
                <w:sz w:val="20"/>
                <w:lang w:val="fr-FR"/>
              </w:rPr>
              <w:t xml:space="preserve">Droit de la famille – Mariage – Nullité – Procédure civile – Rétractation d’un jugement – Quel est le standard de preuve pour une demande en nullité d’un mariage? – Les tribunaux inférieurs ont-ils commis une erreur dans le traitement de la preuve? – Le droit québécois s’applique-t-il à un mariage célébré à l’étranger par des ressortissants étrangers? – </w:t>
            </w:r>
            <w:r w:rsidRPr="003962CD">
              <w:rPr>
                <w:i/>
                <w:sz w:val="20"/>
                <w:lang w:val="fr-FR"/>
              </w:rPr>
              <w:t>Code Civil du Québec</w:t>
            </w:r>
            <w:r w:rsidRPr="003962CD">
              <w:rPr>
                <w:sz w:val="20"/>
                <w:lang w:val="fr-FR"/>
              </w:rPr>
              <w:t>, art. 380.</w:t>
            </w:r>
          </w:p>
        </w:tc>
      </w:tr>
      <w:tr w:rsidR="00D907B6" w:rsidRPr="003962CD" w:rsidTr="001E01CF">
        <w:tc>
          <w:tcPr>
            <w:tcW w:w="5000" w:type="pct"/>
            <w:gridSpan w:val="4"/>
          </w:tcPr>
          <w:p w:rsidR="00D907B6" w:rsidRPr="003962CD" w:rsidRDefault="00D907B6" w:rsidP="003962CD">
            <w:pPr>
              <w:jc w:val="both"/>
              <w:rPr>
                <w:sz w:val="20"/>
                <w:lang w:val="fr-FR"/>
              </w:rPr>
            </w:pPr>
          </w:p>
        </w:tc>
      </w:tr>
      <w:tr w:rsidR="00D907B6" w:rsidRPr="003962CD" w:rsidTr="001E01CF">
        <w:tc>
          <w:tcPr>
            <w:tcW w:w="5000" w:type="pct"/>
            <w:gridSpan w:val="4"/>
          </w:tcPr>
          <w:p w:rsidR="00D907B6" w:rsidRPr="003962CD" w:rsidRDefault="00D907B6" w:rsidP="003962CD">
            <w:pPr>
              <w:jc w:val="both"/>
              <w:rPr>
                <w:sz w:val="20"/>
                <w:lang w:val="fr-FR"/>
              </w:rPr>
            </w:pPr>
            <w:r w:rsidRPr="003962CD">
              <w:rPr>
                <w:sz w:val="20"/>
                <w:lang w:val="fr-FR"/>
              </w:rPr>
              <w:t xml:space="preserve">X.M.V. tente de faire rétracter un jugement par défaut annulant le mariage contracté en Albanie entre les parties. Les tribunaux inférieurs ont refusé de rétracter l’annulation du mariage, l’issue du litige tournant principalement sur la crédibilité des parties et des témoignages contradictoires.  </w:t>
            </w:r>
          </w:p>
          <w:p w:rsidR="00D907B6" w:rsidRPr="003962CD" w:rsidRDefault="00D907B6" w:rsidP="003962CD">
            <w:pPr>
              <w:jc w:val="both"/>
              <w:rPr>
                <w:sz w:val="20"/>
                <w:lang w:val="fr-FR"/>
              </w:rPr>
            </w:pP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fr-FR"/>
              </w:rPr>
            </w:pPr>
            <w:r w:rsidRPr="003962CD">
              <w:rPr>
                <w:sz w:val="20"/>
                <w:lang w:val="fr-FR"/>
              </w:rPr>
              <w:t>Le 18 décembre 2014</w:t>
            </w:r>
          </w:p>
          <w:p w:rsidR="00D907B6" w:rsidRPr="003962CD" w:rsidRDefault="00D907B6" w:rsidP="003962CD">
            <w:pPr>
              <w:jc w:val="both"/>
              <w:rPr>
                <w:sz w:val="20"/>
                <w:lang w:val="fr-FR"/>
              </w:rPr>
            </w:pPr>
            <w:r w:rsidRPr="003962CD">
              <w:rPr>
                <w:sz w:val="20"/>
                <w:lang w:val="fr-FR"/>
              </w:rPr>
              <w:t>Cour supérieure du Québec</w:t>
            </w:r>
          </w:p>
          <w:p w:rsidR="00D907B6" w:rsidRPr="003962CD" w:rsidRDefault="00D907B6" w:rsidP="003962CD">
            <w:pPr>
              <w:jc w:val="both"/>
              <w:rPr>
                <w:sz w:val="20"/>
                <w:lang w:val="fr-FR"/>
              </w:rPr>
            </w:pPr>
            <w:r w:rsidRPr="003962CD">
              <w:rPr>
                <w:sz w:val="20"/>
                <w:lang w:val="fr-FR"/>
              </w:rPr>
              <w:t>(Le juge Emery)</w:t>
            </w:r>
          </w:p>
          <w:p w:rsidR="00D907B6" w:rsidRPr="003962CD" w:rsidRDefault="00D907B6" w:rsidP="003962CD">
            <w:pPr>
              <w:jc w:val="both"/>
              <w:rPr>
                <w:sz w:val="20"/>
                <w:lang w:val="fr-FR"/>
              </w:rPr>
            </w:pPr>
            <w:r w:rsidRPr="003962CD">
              <w:rPr>
                <w:sz w:val="20"/>
                <w:lang w:val="fr-FR"/>
              </w:rPr>
              <w:t>Droit de la famille – 14523</w:t>
            </w:r>
          </w:p>
          <w:p w:rsidR="00D907B6" w:rsidRPr="003962CD" w:rsidRDefault="00D907B6" w:rsidP="003962CD">
            <w:pPr>
              <w:jc w:val="both"/>
              <w:rPr>
                <w:sz w:val="20"/>
              </w:rPr>
            </w:pPr>
            <w:r w:rsidRPr="003962CD">
              <w:rPr>
                <w:sz w:val="20"/>
              </w:rPr>
              <w:t>(Non-</w:t>
            </w:r>
            <w:proofErr w:type="spellStart"/>
            <w:r w:rsidRPr="003962CD">
              <w:rPr>
                <w:sz w:val="20"/>
              </w:rPr>
              <w:t>publié</w:t>
            </w:r>
            <w:proofErr w:type="spellEnd"/>
            <w:r w:rsidRPr="003962CD">
              <w:rPr>
                <w:sz w:val="20"/>
              </w:rPr>
              <w:t>)</w:t>
            </w:r>
          </w:p>
          <w:p w:rsidR="00D907B6" w:rsidRPr="003962CD" w:rsidRDefault="00D907B6" w:rsidP="003962CD">
            <w:pPr>
              <w:jc w:val="both"/>
              <w:rPr>
                <w:sz w:val="20"/>
              </w:rPr>
            </w:pPr>
          </w:p>
        </w:tc>
        <w:tc>
          <w:tcPr>
            <w:tcW w:w="270" w:type="pct"/>
          </w:tcPr>
          <w:p w:rsidR="00D907B6" w:rsidRPr="003962CD" w:rsidRDefault="00D907B6" w:rsidP="003962CD">
            <w:pPr>
              <w:jc w:val="both"/>
              <w:rPr>
                <w:sz w:val="20"/>
              </w:rPr>
            </w:pPr>
          </w:p>
        </w:tc>
        <w:tc>
          <w:tcPr>
            <w:tcW w:w="2340" w:type="pct"/>
          </w:tcPr>
          <w:p w:rsidR="00D907B6" w:rsidRPr="003962CD" w:rsidRDefault="00D907B6" w:rsidP="003962CD">
            <w:pPr>
              <w:jc w:val="both"/>
              <w:rPr>
                <w:sz w:val="20"/>
                <w:lang w:val="fr-FR"/>
              </w:rPr>
            </w:pPr>
            <w:r w:rsidRPr="003962CD">
              <w:rPr>
                <w:sz w:val="20"/>
                <w:lang w:val="fr-FR"/>
              </w:rPr>
              <w:t xml:space="preserve">Requête en rétractation d’un jugement par défaut prononçant la nullité du mariage entre les parties rejetée. </w:t>
            </w:r>
          </w:p>
          <w:p w:rsidR="00D907B6" w:rsidRPr="003962CD" w:rsidRDefault="00D907B6" w:rsidP="003962CD">
            <w:pPr>
              <w:jc w:val="both"/>
              <w:rPr>
                <w:sz w:val="20"/>
                <w:lang w:val="fr-FR"/>
              </w:rPr>
            </w:pP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fr-FR"/>
              </w:rPr>
            </w:pPr>
            <w:r w:rsidRPr="003962CD">
              <w:rPr>
                <w:sz w:val="20"/>
                <w:lang w:val="fr-FR"/>
              </w:rPr>
              <w:t>Le 4 septembre 2015</w:t>
            </w:r>
          </w:p>
          <w:p w:rsidR="00D907B6" w:rsidRPr="003962CD" w:rsidRDefault="00D907B6" w:rsidP="003962CD">
            <w:pPr>
              <w:jc w:val="both"/>
              <w:rPr>
                <w:sz w:val="20"/>
                <w:lang w:val="fr-FR"/>
              </w:rPr>
            </w:pPr>
            <w:r w:rsidRPr="003962CD">
              <w:rPr>
                <w:sz w:val="20"/>
                <w:lang w:val="fr-FR"/>
              </w:rPr>
              <w:t>Cour d’appel du Québec (Montréal)</w:t>
            </w:r>
          </w:p>
          <w:p w:rsidR="00D907B6" w:rsidRPr="003962CD" w:rsidRDefault="00D907B6" w:rsidP="003962CD">
            <w:pPr>
              <w:jc w:val="both"/>
              <w:rPr>
                <w:sz w:val="20"/>
                <w:lang w:val="fr-FR"/>
              </w:rPr>
            </w:pPr>
            <w:r w:rsidRPr="003962CD">
              <w:rPr>
                <w:sz w:val="20"/>
                <w:lang w:val="fr-FR"/>
              </w:rPr>
              <w:t xml:space="preserve">(Les juges Morissette, </w:t>
            </w:r>
            <w:proofErr w:type="spellStart"/>
            <w:r w:rsidRPr="003962CD">
              <w:rPr>
                <w:sz w:val="20"/>
                <w:lang w:val="fr-FR"/>
              </w:rPr>
              <w:t>Bich</w:t>
            </w:r>
            <w:proofErr w:type="spellEnd"/>
            <w:r w:rsidRPr="003962CD">
              <w:rPr>
                <w:sz w:val="20"/>
                <w:lang w:val="fr-FR"/>
              </w:rPr>
              <w:t xml:space="preserve"> et Bélanger)</w:t>
            </w:r>
          </w:p>
          <w:p w:rsidR="00D907B6" w:rsidRPr="003962CD" w:rsidRDefault="00D907B6" w:rsidP="003962CD">
            <w:pPr>
              <w:jc w:val="both"/>
              <w:rPr>
                <w:sz w:val="20"/>
              </w:rPr>
            </w:pPr>
            <w:hyperlink r:id="rId15" w:history="1">
              <w:r w:rsidRPr="003962CD">
                <w:rPr>
                  <w:rStyle w:val="Hyperlink"/>
                  <w:sz w:val="20"/>
                </w:rPr>
                <w:t>2015 QCCA 1416</w:t>
              </w:r>
            </w:hyperlink>
          </w:p>
          <w:p w:rsidR="00D907B6" w:rsidRPr="003962CD" w:rsidRDefault="00D907B6" w:rsidP="003962CD">
            <w:pPr>
              <w:jc w:val="both"/>
              <w:rPr>
                <w:sz w:val="20"/>
              </w:rPr>
            </w:pPr>
          </w:p>
        </w:tc>
        <w:tc>
          <w:tcPr>
            <w:tcW w:w="270" w:type="pct"/>
          </w:tcPr>
          <w:p w:rsidR="00D907B6" w:rsidRPr="003962CD" w:rsidRDefault="00D907B6" w:rsidP="003962CD">
            <w:pPr>
              <w:jc w:val="both"/>
              <w:rPr>
                <w:sz w:val="20"/>
              </w:rPr>
            </w:pPr>
          </w:p>
        </w:tc>
        <w:tc>
          <w:tcPr>
            <w:tcW w:w="2340" w:type="pct"/>
          </w:tcPr>
          <w:p w:rsidR="00D907B6" w:rsidRPr="003962CD" w:rsidRDefault="00D907B6" w:rsidP="003962CD">
            <w:pPr>
              <w:jc w:val="both"/>
              <w:rPr>
                <w:sz w:val="20"/>
              </w:rPr>
            </w:pPr>
            <w:r w:rsidRPr="003962CD">
              <w:rPr>
                <w:sz w:val="20"/>
              </w:rPr>
              <w:t>Appel rejeté.</w:t>
            </w:r>
          </w:p>
        </w:tc>
      </w:tr>
      <w:tr w:rsidR="00D907B6" w:rsidRPr="003962CD" w:rsidTr="001E01CF">
        <w:tblPrEx>
          <w:tblCellMar>
            <w:bottom w:w="0" w:type="dxa"/>
          </w:tblCellMar>
        </w:tblPrEx>
        <w:tc>
          <w:tcPr>
            <w:tcW w:w="2390" w:type="pct"/>
            <w:gridSpan w:val="2"/>
          </w:tcPr>
          <w:p w:rsidR="00D907B6" w:rsidRPr="003962CD" w:rsidRDefault="00D907B6" w:rsidP="003962CD">
            <w:pPr>
              <w:jc w:val="both"/>
              <w:rPr>
                <w:sz w:val="20"/>
                <w:lang w:val="fr-FR"/>
              </w:rPr>
            </w:pPr>
            <w:r w:rsidRPr="003962CD">
              <w:rPr>
                <w:sz w:val="20"/>
                <w:lang w:val="fr-FR"/>
              </w:rPr>
              <w:t>Le 3 novembre 2015</w:t>
            </w:r>
          </w:p>
          <w:p w:rsidR="00D907B6" w:rsidRPr="003962CD" w:rsidRDefault="00D907B6" w:rsidP="003962CD">
            <w:pPr>
              <w:jc w:val="both"/>
              <w:rPr>
                <w:sz w:val="20"/>
                <w:lang w:val="fr-FR"/>
              </w:rPr>
            </w:pPr>
            <w:r w:rsidRPr="003962CD">
              <w:rPr>
                <w:sz w:val="20"/>
                <w:lang w:val="fr-FR"/>
              </w:rPr>
              <w:t>Cour suprême du Canada</w:t>
            </w:r>
          </w:p>
        </w:tc>
        <w:tc>
          <w:tcPr>
            <w:tcW w:w="270" w:type="pct"/>
          </w:tcPr>
          <w:p w:rsidR="00D907B6" w:rsidRPr="003962CD" w:rsidRDefault="00D907B6" w:rsidP="003962CD">
            <w:pPr>
              <w:jc w:val="both"/>
              <w:rPr>
                <w:sz w:val="20"/>
                <w:lang w:val="fr-FR"/>
              </w:rPr>
            </w:pPr>
          </w:p>
        </w:tc>
        <w:tc>
          <w:tcPr>
            <w:tcW w:w="2340" w:type="pct"/>
          </w:tcPr>
          <w:p w:rsidR="00D907B6" w:rsidRPr="003962CD" w:rsidRDefault="00D907B6" w:rsidP="003962CD">
            <w:pPr>
              <w:jc w:val="both"/>
              <w:rPr>
                <w:sz w:val="20"/>
              </w:rPr>
            </w:pPr>
            <w:proofErr w:type="spellStart"/>
            <w:r w:rsidRPr="003962CD">
              <w:rPr>
                <w:sz w:val="20"/>
              </w:rPr>
              <w:t>Demande</w:t>
            </w:r>
            <w:proofErr w:type="spellEnd"/>
            <w:r w:rsidRPr="003962CD">
              <w:rPr>
                <w:sz w:val="20"/>
              </w:rPr>
              <w:t xml:space="preserve"> </w:t>
            </w:r>
            <w:proofErr w:type="spellStart"/>
            <w:r w:rsidRPr="003962CD">
              <w:rPr>
                <w:sz w:val="20"/>
              </w:rPr>
              <w:t>d'autorisation</w:t>
            </w:r>
            <w:proofErr w:type="spellEnd"/>
            <w:r w:rsidRPr="003962CD">
              <w:rPr>
                <w:sz w:val="20"/>
              </w:rPr>
              <w:t xml:space="preserve"> </w:t>
            </w:r>
            <w:proofErr w:type="spellStart"/>
            <w:r w:rsidRPr="003962CD">
              <w:rPr>
                <w:sz w:val="20"/>
              </w:rPr>
              <w:t>d'appel</w:t>
            </w:r>
            <w:proofErr w:type="spellEnd"/>
            <w:r w:rsidRPr="003962CD">
              <w:rPr>
                <w:sz w:val="20"/>
              </w:rPr>
              <w:t xml:space="preserve"> </w:t>
            </w:r>
            <w:proofErr w:type="spellStart"/>
            <w:r w:rsidRPr="003962CD">
              <w:rPr>
                <w:sz w:val="20"/>
              </w:rPr>
              <w:t>déposée</w:t>
            </w:r>
            <w:proofErr w:type="spellEnd"/>
            <w:r w:rsidRPr="003962CD">
              <w:rPr>
                <w:sz w:val="20"/>
              </w:rPr>
              <w:t>.</w:t>
            </w:r>
          </w:p>
          <w:p w:rsidR="00D907B6" w:rsidRPr="003962CD" w:rsidRDefault="00D907B6" w:rsidP="003962CD">
            <w:pPr>
              <w:jc w:val="both"/>
              <w:rPr>
                <w:sz w:val="20"/>
              </w:rPr>
            </w:pPr>
          </w:p>
        </w:tc>
      </w:tr>
    </w:tbl>
    <w:p w:rsidR="00D907B6" w:rsidRDefault="00D907B6" w:rsidP="003962CD">
      <w:pPr>
        <w:jc w:val="both"/>
        <w:rPr>
          <w:sz w:val="20"/>
        </w:rPr>
      </w:pPr>
    </w:p>
    <w:p w:rsidR="003962CD" w:rsidRPr="003962CD" w:rsidRDefault="003962CD" w:rsidP="003962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90"/>
        <w:gridCol w:w="2931"/>
        <w:gridCol w:w="436"/>
        <w:gridCol w:w="4913"/>
      </w:tblGrid>
      <w:tr w:rsidR="00D907B6" w:rsidRPr="003962CD" w:rsidTr="001E01CF">
        <w:tc>
          <w:tcPr>
            <w:tcW w:w="534" w:type="pct"/>
          </w:tcPr>
          <w:p w:rsidR="00D907B6" w:rsidRPr="003962CD" w:rsidRDefault="00D907B6" w:rsidP="003962CD">
            <w:pPr>
              <w:jc w:val="both"/>
              <w:rPr>
                <w:sz w:val="20"/>
              </w:rPr>
            </w:pPr>
            <w:r w:rsidRPr="003962CD">
              <w:rPr>
                <w:rStyle w:val="SCCFileNumberChar"/>
                <w:sz w:val="20"/>
                <w:szCs w:val="20"/>
              </w:rPr>
              <w:t>36744</w:t>
            </w:r>
          </w:p>
        </w:tc>
        <w:tc>
          <w:tcPr>
            <w:tcW w:w="4466" w:type="pct"/>
            <w:gridSpan w:val="3"/>
          </w:tcPr>
          <w:p w:rsidR="00D907B6" w:rsidRPr="003962CD" w:rsidRDefault="00D907B6" w:rsidP="003962CD">
            <w:pPr>
              <w:pStyle w:val="SCCLsocParty"/>
              <w:jc w:val="both"/>
              <w:rPr>
                <w:b/>
                <w:sz w:val="20"/>
                <w:szCs w:val="20"/>
                <w:lang w:val="en-CA"/>
              </w:rPr>
            </w:pPr>
            <w:r w:rsidRPr="003962CD">
              <w:rPr>
                <w:b/>
                <w:sz w:val="20"/>
                <w:szCs w:val="20"/>
                <w:lang w:val="en-CA"/>
              </w:rPr>
              <w:t xml:space="preserve">Wu Shang </w:t>
            </w:r>
            <w:proofErr w:type="spellStart"/>
            <w:r w:rsidRPr="003962CD">
              <w:rPr>
                <w:b/>
                <w:sz w:val="20"/>
                <w:szCs w:val="20"/>
                <w:lang w:val="en-CA"/>
              </w:rPr>
              <w:t>En</w:t>
            </w:r>
            <w:proofErr w:type="spellEnd"/>
            <w:r w:rsidRPr="003962CD">
              <w:rPr>
                <w:b/>
                <w:sz w:val="20"/>
                <w:szCs w:val="20"/>
                <w:lang w:val="en-CA"/>
              </w:rPr>
              <w:t xml:space="preserve"> v. Her Majesty the Queen</w:t>
            </w:r>
          </w:p>
          <w:p w:rsidR="00D907B6" w:rsidRPr="003962CD" w:rsidRDefault="00D907B6" w:rsidP="003962CD">
            <w:pPr>
              <w:jc w:val="both"/>
              <w:rPr>
                <w:sz w:val="20"/>
              </w:rPr>
            </w:pPr>
            <w:r w:rsidRPr="003962CD">
              <w:rPr>
                <w:sz w:val="20"/>
              </w:rPr>
              <w:t>(Ont.) (Criminal) (By Leave)</w:t>
            </w:r>
          </w:p>
        </w:tc>
      </w:tr>
      <w:tr w:rsidR="00D907B6" w:rsidRPr="003962CD" w:rsidTr="001E01CF">
        <w:tc>
          <w:tcPr>
            <w:tcW w:w="5000" w:type="pct"/>
            <w:gridSpan w:val="4"/>
          </w:tcPr>
          <w:p w:rsidR="00D907B6" w:rsidRPr="003962CD" w:rsidRDefault="00D907B6" w:rsidP="003962CD">
            <w:pPr>
              <w:jc w:val="both"/>
              <w:rPr>
                <w:sz w:val="20"/>
              </w:rPr>
            </w:pPr>
            <w:r w:rsidRPr="003962CD">
              <w:rPr>
                <w:i/>
                <w:sz w:val="20"/>
              </w:rPr>
              <w:t xml:space="preserve">Charter </w:t>
            </w:r>
            <w:r w:rsidRPr="003962CD">
              <w:rPr>
                <w:sz w:val="20"/>
              </w:rPr>
              <w:t xml:space="preserve">— Criminal law — Controlled drugs and substances —Unreasonable search and seizure — Arbitrary detention or imprisonment — Remedies for denial of rights — Exclusion of evidence — During search incident to applicant’s arrest, police found evidence of drug possession and production — Police prepared Information to Obtain (“ITO”) search warrants for applicant’s residences — ITO contained information relating to entire investigation, including evidence obtained from search incident to applicant’s arrest — When warrants were executed, extensive evidence of drug production was found in residences — At trial, judge found arrest and search incident to arrest violated applicant’s </w:t>
            </w:r>
            <w:r w:rsidRPr="003962CD">
              <w:rPr>
                <w:i/>
                <w:sz w:val="20"/>
              </w:rPr>
              <w:t>Charter</w:t>
            </w:r>
            <w:r w:rsidRPr="003962CD">
              <w:rPr>
                <w:sz w:val="20"/>
              </w:rPr>
              <w:t xml:space="preserve"> rights because police officer did not have objectively reasonable grounds to arrest — Trial judge excised all reference to arrest from ITO and found that on balance of information warrant could not have issued — As a result, she excluded all evidence found in searches of residences and acquitted applicant — Whether there were reasonable grounds to arrest applicant — Whether modified objective test for reasonable suspicion also applies to reasonable grounds to arrest — </w:t>
            </w:r>
            <w:r w:rsidRPr="003962CD">
              <w:rPr>
                <w:i/>
                <w:sz w:val="20"/>
              </w:rPr>
              <w:t>Canadian Charter of Rights and Freedoms</w:t>
            </w:r>
            <w:r w:rsidRPr="003962CD">
              <w:rPr>
                <w:sz w:val="20"/>
              </w:rPr>
              <w:t>, ss. 8, 9 and 24(2).</w:t>
            </w:r>
          </w:p>
        </w:tc>
      </w:tr>
      <w:tr w:rsidR="00D907B6" w:rsidRPr="003962CD" w:rsidTr="001E01CF">
        <w:tc>
          <w:tcPr>
            <w:tcW w:w="5000" w:type="pct"/>
            <w:gridSpan w:val="4"/>
          </w:tcPr>
          <w:p w:rsidR="00D907B6" w:rsidRPr="003962CD" w:rsidRDefault="00D907B6" w:rsidP="003962CD">
            <w:pPr>
              <w:jc w:val="both"/>
              <w:rPr>
                <w:i/>
                <w:sz w:val="20"/>
              </w:rPr>
            </w:pPr>
          </w:p>
        </w:tc>
      </w:tr>
      <w:tr w:rsidR="00D907B6" w:rsidRPr="003962CD" w:rsidTr="001E01CF">
        <w:tc>
          <w:tcPr>
            <w:tcW w:w="5000" w:type="pct"/>
            <w:gridSpan w:val="4"/>
          </w:tcPr>
          <w:p w:rsidR="00D907B6" w:rsidRPr="003962CD" w:rsidRDefault="00D907B6" w:rsidP="003962CD">
            <w:pPr>
              <w:jc w:val="both"/>
              <w:rPr>
                <w:i/>
                <w:sz w:val="20"/>
              </w:rPr>
            </w:pPr>
            <w:r w:rsidRPr="003962CD">
              <w:rPr>
                <w:sz w:val="20"/>
              </w:rPr>
              <w:t xml:space="preserve">This case arises out of a police investigation into the production and distribution of methamphetamine. The investigation involved surveillance conducted by a team of police officers, led by Detective Constable </w:t>
            </w:r>
            <w:proofErr w:type="spellStart"/>
            <w:r w:rsidRPr="003962CD">
              <w:rPr>
                <w:sz w:val="20"/>
              </w:rPr>
              <w:t>Sparkes</w:t>
            </w:r>
            <w:proofErr w:type="spellEnd"/>
            <w:r w:rsidRPr="003962CD">
              <w:rPr>
                <w:sz w:val="20"/>
              </w:rPr>
              <w:t xml:space="preserve">, an officer experienced and trained in investigating drug-related criminal activity. At the end of two months of surveillance, Constable </w:t>
            </w:r>
            <w:proofErr w:type="spellStart"/>
            <w:r w:rsidRPr="003962CD">
              <w:rPr>
                <w:sz w:val="20"/>
              </w:rPr>
              <w:t>Sparkes</w:t>
            </w:r>
            <w:proofErr w:type="spellEnd"/>
            <w:r w:rsidRPr="003962CD">
              <w:rPr>
                <w:sz w:val="20"/>
              </w:rPr>
              <w:t xml:space="preserve"> believed that the applicant, Mr. Shang </w:t>
            </w:r>
            <w:proofErr w:type="spellStart"/>
            <w:r w:rsidRPr="003962CD">
              <w:rPr>
                <w:sz w:val="20"/>
              </w:rPr>
              <w:t>En</w:t>
            </w:r>
            <w:proofErr w:type="spellEnd"/>
            <w:r w:rsidRPr="003962CD">
              <w:rPr>
                <w:sz w:val="20"/>
              </w:rPr>
              <w:t xml:space="preserve"> Wu, was in possession of controlled substances. At Constable </w:t>
            </w:r>
            <w:proofErr w:type="spellStart"/>
            <w:r w:rsidRPr="003962CD">
              <w:rPr>
                <w:sz w:val="20"/>
              </w:rPr>
              <w:t>Sparkes</w:t>
            </w:r>
            <w:proofErr w:type="spellEnd"/>
            <w:r w:rsidRPr="003962CD">
              <w:rPr>
                <w:sz w:val="20"/>
              </w:rPr>
              <w:t xml:space="preserve">’ direction, Mr. Wu was arrested and charged with various drug-related offences. During a search incident to Mr. Wu’s arrest, the police found evidence of methamphetamine possession and production. The police prepared an Information to Obtain (ITO) search warrants with respect to two condominium units connected to Mr. Wu. The warrants were issued and the police searched the two units, finding extensive evidence of methamphetamine production. At trial, Constable </w:t>
            </w:r>
            <w:proofErr w:type="spellStart"/>
            <w:r w:rsidRPr="003962CD">
              <w:rPr>
                <w:sz w:val="20"/>
              </w:rPr>
              <w:t>Sparkes</w:t>
            </w:r>
            <w:proofErr w:type="spellEnd"/>
            <w:r w:rsidRPr="003962CD">
              <w:rPr>
                <w:sz w:val="20"/>
              </w:rPr>
              <w:t xml:space="preserve"> testified to his subjective belief that he had grounds to arrest Mr. Wu. The trial judge</w:t>
            </w:r>
            <w:r w:rsidRPr="003962CD">
              <w:rPr>
                <w:b/>
                <w:sz w:val="20"/>
              </w:rPr>
              <w:t xml:space="preserve"> </w:t>
            </w:r>
            <w:r w:rsidRPr="003962CD">
              <w:rPr>
                <w:sz w:val="20"/>
              </w:rPr>
              <w:t xml:space="preserve">was not persuaded, however, that those grounds were objectively reasonable. She concluded therefore that the arrest and the search incident to it violated Mr. Wu’s rights under ss. 8 and 9 of the </w:t>
            </w:r>
            <w:r w:rsidRPr="003962CD">
              <w:rPr>
                <w:i/>
                <w:sz w:val="20"/>
              </w:rPr>
              <w:t>Charter</w:t>
            </w:r>
            <w:r w:rsidRPr="003962CD">
              <w:rPr>
                <w:sz w:val="20"/>
              </w:rPr>
              <w:t xml:space="preserve">. Consequently, the trial judge excised all reference to the evidence found in the course of Mr. Wu’s arrest from the ITO. In the trial judge’s view, the loss of the evidence derived from the search combined with other problems in the ITO, weakened the grounds for the search warrants to such an extent that the ITO could not support the warrants. She excluded the evidence found in both condominium searches pursuant to s. 24(2) of the </w:t>
            </w:r>
            <w:r w:rsidRPr="003962CD">
              <w:rPr>
                <w:i/>
                <w:sz w:val="20"/>
              </w:rPr>
              <w:t>Charter</w:t>
            </w:r>
            <w:r w:rsidRPr="003962CD">
              <w:rPr>
                <w:sz w:val="20"/>
              </w:rPr>
              <w:t>, leaving the Crown without the evidence necessary to support the charges. The Court of Appeal allowed the Crown’s appeal, set aside the acquittals and ordered a new trial.</w:t>
            </w:r>
          </w:p>
        </w:tc>
      </w:tr>
      <w:tr w:rsidR="00D907B6" w:rsidRPr="003962CD" w:rsidTr="001E01CF">
        <w:tc>
          <w:tcPr>
            <w:tcW w:w="5000" w:type="pct"/>
            <w:gridSpan w:val="4"/>
          </w:tcPr>
          <w:p w:rsidR="00D907B6" w:rsidRPr="003962CD" w:rsidRDefault="00D907B6" w:rsidP="003962CD">
            <w:pPr>
              <w:jc w:val="both"/>
              <w:rPr>
                <w:sz w:val="20"/>
              </w:rPr>
            </w:pPr>
          </w:p>
        </w:tc>
      </w:tr>
      <w:tr w:rsidR="00D907B6" w:rsidRPr="003962CD" w:rsidTr="001E01CF">
        <w:tc>
          <w:tcPr>
            <w:tcW w:w="2115" w:type="pct"/>
            <w:gridSpan w:val="2"/>
          </w:tcPr>
          <w:p w:rsidR="00D907B6" w:rsidRPr="003962CD" w:rsidRDefault="00D907B6" w:rsidP="003962CD">
            <w:pPr>
              <w:jc w:val="both"/>
              <w:rPr>
                <w:sz w:val="20"/>
              </w:rPr>
            </w:pPr>
            <w:r w:rsidRPr="003962CD">
              <w:rPr>
                <w:sz w:val="20"/>
              </w:rPr>
              <w:t>April 29, 2013</w:t>
            </w:r>
          </w:p>
          <w:p w:rsidR="00D907B6" w:rsidRPr="003962CD" w:rsidRDefault="00D907B6" w:rsidP="003962CD">
            <w:pPr>
              <w:jc w:val="both"/>
              <w:rPr>
                <w:sz w:val="20"/>
              </w:rPr>
            </w:pPr>
            <w:r w:rsidRPr="003962CD">
              <w:rPr>
                <w:sz w:val="20"/>
              </w:rPr>
              <w:t>Ontario Superior Court of Justice</w:t>
            </w:r>
          </w:p>
          <w:p w:rsidR="00D907B6" w:rsidRPr="003962CD" w:rsidRDefault="00D907B6" w:rsidP="003962CD">
            <w:pPr>
              <w:jc w:val="both"/>
              <w:rPr>
                <w:sz w:val="20"/>
              </w:rPr>
            </w:pPr>
            <w:r w:rsidRPr="003962CD">
              <w:rPr>
                <w:sz w:val="20"/>
              </w:rPr>
              <w:t>(Gilmore J.)</w:t>
            </w:r>
          </w:p>
          <w:p w:rsidR="00D907B6" w:rsidRPr="003962CD" w:rsidRDefault="00D907B6" w:rsidP="003962CD">
            <w:pPr>
              <w:jc w:val="both"/>
              <w:rPr>
                <w:sz w:val="20"/>
              </w:rPr>
            </w:pPr>
          </w:p>
        </w:tc>
        <w:tc>
          <w:tcPr>
            <w:tcW w:w="235" w:type="pct"/>
          </w:tcPr>
          <w:p w:rsidR="00D907B6" w:rsidRPr="003962CD" w:rsidRDefault="00D907B6" w:rsidP="003962CD">
            <w:pPr>
              <w:jc w:val="both"/>
              <w:rPr>
                <w:sz w:val="20"/>
              </w:rPr>
            </w:pPr>
          </w:p>
        </w:tc>
        <w:tc>
          <w:tcPr>
            <w:tcW w:w="2650" w:type="pct"/>
          </w:tcPr>
          <w:p w:rsidR="00D907B6" w:rsidRPr="003962CD" w:rsidRDefault="00D907B6" w:rsidP="003962CD">
            <w:pPr>
              <w:jc w:val="both"/>
              <w:rPr>
                <w:sz w:val="20"/>
                <w:highlight w:val="yellow"/>
              </w:rPr>
            </w:pPr>
            <w:r w:rsidRPr="003962CD">
              <w:rPr>
                <w:sz w:val="20"/>
              </w:rPr>
              <w:t>Applicant acquitted of production of methamphetamine, possession of methamphetamine for the purpose of trafficking, production of ecstasy, possession of ecstasy for the purpose of trafficking, and possession of proceeds of crime.</w:t>
            </w:r>
          </w:p>
          <w:p w:rsidR="00D907B6" w:rsidRPr="003962CD" w:rsidRDefault="00D907B6" w:rsidP="003962CD">
            <w:pPr>
              <w:jc w:val="both"/>
              <w:rPr>
                <w:sz w:val="20"/>
              </w:rPr>
            </w:pPr>
          </w:p>
        </w:tc>
      </w:tr>
      <w:tr w:rsidR="00D907B6" w:rsidRPr="003962CD" w:rsidTr="001E01CF">
        <w:tc>
          <w:tcPr>
            <w:tcW w:w="2115" w:type="pct"/>
            <w:gridSpan w:val="2"/>
          </w:tcPr>
          <w:p w:rsidR="00D907B6" w:rsidRPr="003962CD" w:rsidRDefault="00D907B6" w:rsidP="003962CD">
            <w:pPr>
              <w:jc w:val="both"/>
              <w:rPr>
                <w:sz w:val="20"/>
              </w:rPr>
            </w:pPr>
            <w:r w:rsidRPr="003962CD">
              <w:rPr>
                <w:sz w:val="20"/>
              </w:rPr>
              <w:t>October 2, 2015</w:t>
            </w:r>
          </w:p>
          <w:p w:rsidR="00D907B6" w:rsidRPr="003962CD" w:rsidRDefault="00D907B6" w:rsidP="003962CD">
            <w:pPr>
              <w:jc w:val="both"/>
              <w:rPr>
                <w:sz w:val="20"/>
              </w:rPr>
            </w:pPr>
            <w:r w:rsidRPr="003962CD">
              <w:rPr>
                <w:sz w:val="20"/>
              </w:rPr>
              <w:t>Court of Appeal for Ontario</w:t>
            </w:r>
          </w:p>
          <w:p w:rsidR="00D907B6" w:rsidRPr="003962CD" w:rsidRDefault="00D907B6" w:rsidP="003962CD">
            <w:pPr>
              <w:jc w:val="both"/>
              <w:rPr>
                <w:sz w:val="20"/>
              </w:rPr>
            </w:pPr>
            <w:r w:rsidRPr="003962CD">
              <w:rPr>
                <w:sz w:val="20"/>
              </w:rPr>
              <w:t>(</w:t>
            </w:r>
            <w:proofErr w:type="spellStart"/>
            <w:r w:rsidRPr="003962CD">
              <w:rPr>
                <w:sz w:val="20"/>
              </w:rPr>
              <w:t>LaForme</w:t>
            </w:r>
            <w:proofErr w:type="spellEnd"/>
            <w:r w:rsidRPr="003962CD">
              <w:rPr>
                <w:sz w:val="20"/>
              </w:rPr>
              <w:t>, Watt and Epstein JJ.A.)</w:t>
            </w:r>
          </w:p>
          <w:p w:rsidR="00D907B6" w:rsidRPr="003962CD" w:rsidRDefault="00D907B6" w:rsidP="003962CD">
            <w:pPr>
              <w:jc w:val="both"/>
              <w:rPr>
                <w:sz w:val="20"/>
              </w:rPr>
            </w:pPr>
            <w:hyperlink r:id="rId16" w:history="1">
              <w:r w:rsidRPr="003962CD">
                <w:rPr>
                  <w:rStyle w:val="Hyperlink"/>
                  <w:sz w:val="20"/>
                </w:rPr>
                <w:t>2015 ONCA 667</w:t>
              </w:r>
            </w:hyperlink>
          </w:p>
          <w:p w:rsidR="00D907B6" w:rsidRPr="003962CD" w:rsidRDefault="00D907B6" w:rsidP="003962CD">
            <w:pPr>
              <w:jc w:val="both"/>
              <w:rPr>
                <w:sz w:val="20"/>
              </w:rPr>
            </w:pPr>
          </w:p>
        </w:tc>
        <w:tc>
          <w:tcPr>
            <w:tcW w:w="235" w:type="pct"/>
          </w:tcPr>
          <w:p w:rsidR="00D907B6" w:rsidRPr="003962CD" w:rsidRDefault="00D907B6" w:rsidP="003962CD">
            <w:pPr>
              <w:jc w:val="both"/>
              <w:rPr>
                <w:sz w:val="20"/>
              </w:rPr>
            </w:pPr>
          </w:p>
        </w:tc>
        <w:tc>
          <w:tcPr>
            <w:tcW w:w="2650" w:type="pct"/>
          </w:tcPr>
          <w:p w:rsidR="00D907B6" w:rsidRPr="003962CD" w:rsidRDefault="00D907B6" w:rsidP="003962CD">
            <w:pPr>
              <w:jc w:val="both"/>
              <w:rPr>
                <w:sz w:val="20"/>
              </w:rPr>
            </w:pPr>
            <w:r w:rsidRPr="003962CD">
              <w:rPr>
                <w:sz w:val="20"/>
              </w:rPr>
              <w:t>Crown’s appeal allowed, acquittals set aside and new trial ordered.</w:t>
            </w:r>
          </w:p>
          <w:p w:rsidR="00D907B6" w:rsidRPr="003962CD" w:rsidRDefault="00D907B6" w:rsidP="003962CD">
            <w:pPr>
              <w:jc w:val="both"/>
              <w:rPr>
                <w:sz w:val="20"/>
              </w:rPr>
            </w:pPr>
          </w:p>
        </w:tc>
      </w:tr>
      <w:tr w:rsidR="00D907B6" w:rsidRPr="003962CD" w:rsidTr="001E01CF">
        <w:tc>
          <w:tcPr>
            <w:tcW w:w="2115" w:type="pct"/>
            <w:gridSpan w:val="2"/>
          </w:tcPr>
          <w:p w:rsidR="00D907B6" w:rsidRPr="003962CD" w:rsidRDefault="00D907B6" w:rsidP="003962CD">
            <w:pPr>
              <w:jc w:val="both"/>
              <w:rPr>
                <w:sz w:val="20"/>
              </w:rPr>
            </w:pPr>
            <w:r w:rsidRPr="003962CD">
              <w:rPr>
                <w:sz w:val="20"/>
              </w:rPr>
              <w:t>December 1, 2015</w:t>
            </w:r>
          </w:p>
          <w:p w:rsidR="00D907B6" w:rsidRPr="003962CD" w:rsidRDefault="00D907B6" w:rsidP="003962CD">
            <w:pPr>
              <w:jc w:val="both"/>
              <w:rPr>
                <w:sz w:val="20"/>
              </w:rPr>
            </w:pPr>
            <w:r w:rsidRPr="003962CD">
              <w:rPr>
                <w:sz w:val="20"/>
              </w:rPr>
              <w:t>Supreme Court of Canada</w:t>
            </w:r>
          </w:p>
          <w:p w:rsidR="00D907B6" w:rsidRPr="003962CD" w:rsidRDefault="00D907B6" w:rsidP="003962CD">
            <w:pPr>
              <w:jc w:val="both"/>
              <w:rPr>
                <w:sz w:val="20"/>
              </w:rPr>
            </w:pPr>
          </w:p>
        </w:tc>
        <w:tc>
          <w:tcPr>
            <w:tcW w:w="235" w:type="pct"/>
          </w:tcPr>
          <w:p w:rsidR="00D907B6" w:rsidRPr="003962CD" w:rsidRDefault="00D907B6" w:rsidP="003962CD">
            <w:pPr>
              <w:jc w:val="both"/>
              <w:rPr>
                <w:sz w:val="20"/>
              </w:rPr>
            </w:pPr>
          </w:p>
        </w:tc>
        <w:tc>
          <w:tcPr>
            <w:tcW w:w="2650" w:type="pct"/>
          </w:tcPr>
          <w:p w:rsidR="00D907B6" w:rsidRPr="003962CD" w:rsidRDefault="00D907B6" w:rsidP="003962CD">
            <w:pPr>
              <w:jc w:val="both"/>
              <w:rPr>
                <w:sz w:val="20"/>
              </w:rPr>
            </w:pPr>
            <w:r w:rsidRPr="003962CD">
              <w:rPr>
                <w:sz w:val="20"/>
              </w:rPr>
              <w:t>Application for leave to appeal filed, together with request for oral hearing of leave application.</w:t>
            </w:r>
          </w:p>
        </w:tc>
      </w:tr>
    </w:tbl>
    <w:p w:rsidR="00D907B6" w:rsidRPr="003962CD" w:rsidRDefault="00D907B6" w:rsidP="003962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91"/>
        <w:gridCol w:w="2931"/>
        <w:gridCol w:w="439"/>
        <w:gridCol w:w="4909"/>
      </w:tblGrid>
      <w:tr w:rsidR="00D907B6" w:rsidRPr="003962CD" w:rsidTr="001E01CF">
        <w:tc>
          <w:tcPr>
            <w:tcW w:w="534" w:type="pct"/>
          </w:tcPr>
          <w:p w:rsidR="00D907B6" w:rsidRPr="003962CD" w:rsidRDefault="00D907B6" w:rsidP="003962CD">
            <w:pPr>
              <w:jc w:val="both"/>
              <w:rPr>
                <w:sz w:val="20"/>
              </w:rPr>
            </w:pPr>
            <w:r w:rsidRPr="003962CD">
              <w:rPr>
                <w:rStyle w:val="SCCFileNumberChar"/>
                <w:sz w:val="20"/>
                <w:szCs w:val="20"/>
              </w:rPr>
              <w:t>36744</w:t>
            </w:r>
          </w:p>
        </w:tc>
        <w:tc>
          <w:tcPr>
            <w:tcW w:w="4466" w:type="pct"/>
            <w:gridSpan w:val="3"/>
          </w:tcPr>
          <w:p w:rsidR="00D907B6" w:rsidRPr="003962CD" w:rsidRDefault="00D907B6" w:rsidP="003962CD">
            <w:pPr>
              <w:pStyle w:val="SCCLsocParty"/>
              <w:jc w:val="both"/>
              <w:rPr>
                <w:b/>
                <w:sz w:val="20"/>
                <w:szCs w:val="20"/>
              </w:rPr>
            </w:pPr>
            <w:r w:rsidRPr="003962CD">
              <w:rPr>
                <w:b/>
                <w:sz w:val="20"/>
                <w:szCs w:val="20"/>
              </w:rPr>
              <w:t>Wu Shang En c. Sa Majesté la Reine</w:t>
            </w:r>
          </w:p>
          <w:p w:rsidR="00D907B6" w:rsidRPr="003962CD" w:rsidRDefault="00D907B6" w:rsidP="003962CD">
            <w:pPr>
              <w:jc w:val="both"/>
              <w:rPr>
                <w:sz w:val="20"/>
              </w:rPr>
            </w:pPr>
            <w:r w:rsidRPr="003962CD">
              <w:rPr>
                <w:sz w:val="20"/>
              </w:rPr>
              <w:t>(Ont.) (</w:t>
            </w:r>
            <w:proofErr w:type="spellStart"/>
            <w:r w:rsidRPr="003962CD">
              <w:rPr>
                <w:sz w:val="20"/>
              </w:rPr>
              <w:t>Criminelle</w:t>
            </w:r>
            <w:proofErr w:type="spellEnd"/>
            <w:r w:rsidRPr="003962CD">
              <w:rPr>
                <w:sz w:val="20"/>
              </w:rPr>
              <w:t xml:space="preserve">) (Sur </w:t>
            </w:r>
            <w:proofErr w:type="spellStart"/>
            <w:r w:rsidRPr="003962CD">
              <w:rPr>
                <w:sz w:val="20"/>
              </w:rPr>
              <w:t>autorisation</w:t>
            </w:r>
            <w:proofErr w:type="spellEnd"/>
            <w:r w:rsidRPr="003962CD">
              <w:rPr>
                <w:sz w:val="20"/>
              </w:rPr>
              <w:t>)</w:t>
            </w:r>
          </w:p>
        </w:tc>
      </w:tr>
      <w:tr w:rsidR="00D907B6" w:rsidRPr="003962CD" w:rsidTr="001E01CF">
        <w:tc>
          <w:tcPr>
            <w:tcW w:w="5000" w:type="pct"/>
            <w:gridSpan w:val="4"/>
          </w:tcPr>
          <w:p w:rsidR="00D907B6" w:rsidRPr="003962CD" w:rsidRDefault="00D907B6" w:rsidP="003962CD">
            <w:pPr>
              <w:jc w:val="both"/>
              <w:rPr>
                <w:sz w:val="20"/>
                <w:lang w:val="fr-CA"/>
              </w:rPr>
            </w:pPr>
            <w:r w:rsidRPr="003962CD">
              <w:rPr>
                <w:i/>
                <w:sz w:val="20"/>
                <w:lang w:val="fr-CA"/>
              </w:rPr>
              <w:t xml:space="preserve">Charte </w:t>
            </w:r>
            <w:r w:rsidRPr="003962CD">
              <w:rPr>
                <w:sz w:val="20"/>
                <w:lang w:val="fr-CA"/>
              </w:rPr>
              <w:t xml:space="preserve">— Droit criminel — Drogues et autres substances — Fouilles, perquisitions et saisies abusives — Détention ou emprisonnement arbitraire — Recours en cas de négation de droits — Élément de preuve écarté — Au cours d’une fouille accessoire à l’arrestation du demandeur, les policiers ont trouvé des preuves de possession et de production de drogues — Les policiers ont préparé une dénonciation en vue d’obtenir des mandats de perquisition visant les résidences du demandeur — La dénonciation contenait des renseignements sur l’ensemble de l’enquête, y compris les éléments recueillis lors de la fouille accessoire à l’arrestation du demandeur — Les perquisitions effectuées dans les résidences conformément aux mandats ont révélé de nombreux éléments liés à la production de drogue — Au procès, la juge a conclu que l’arrestation et la fouille accessoire à l’arrestation du demandeur enfreignaient les droits garantis à ce dernier par la </w:t>
            </w:r>
            <w:r w:rsidRPr="003962CD">
              <w:rPr>
                <w:i/>
                <w:sz w:val="20"/>
                <w:lang w:val="fr-CA"/>
              </w:rPr>
              <w:t>Charte</w:t>
            </w:r>
            <w:r w:rsidRPr="003962CD">
              <w:rPr>
                <w:sz w:val="20"/>
                <w:lang w:val="fr-CA"/>
              </w:rPr>
              <w:t xml:space="preserve"> au motif que son arrestation ne reposait sur aucun motif raisonnable sur le plan objectif — La juge du procès a retranché de la dénonciation tous les renseignements concernant l’arrestation et a conclu que les mandats n’auraient pas été décernés sur la foi des renseignements restants — Par conséquent, elle a écarté tous les éléments obtenus lors des perquisitions des résidences et a acquitté le demandeur — L’arrestation du demandeur était-elle fondée sur des motifs raisonnables? — Le critère modifié de l’objectivité des soupçons raisonnables s’applique-t-il aussi aux motifs raisonnables d’arrestation? — </w:t>
            </w:r>
            <w:r w:rsidRPr="003962CD">
              <w:rPr>
                <w:i/>
                <w:sz w:val="20"/>
                <w:lang w:val="fr-CA"/>
              </w:rPr>
              <w:t>Charte canadienne des droits et libertés</w:t>
            </w:r>
            <w:r w:rsidRPr="003962CD">
              <w:rPr>
                <w:sz w:val="20"/>
                <w:lang w:val="fr-CA"/>
              </w:rPr>
              <w:t xml:space="preserve">, art. 8, 9 et 24(2). </w:t>
            </w:r>
          </w:p>
        </w:tc>
      </w:tr>
      <w:tr w:rsidR="00D907B6" w:rsidRPr="003962CD" w:rsidTr="001E01CF">
        <w:tc>
          <w:tcPr>
            <w:tcW w:w="5000" w:type="pct"/>
            <w:gridSpan w:val="4"/>
          </w:tcPr>
          <w:p w:rsidR="00D907B6" w:rsidRPr="003962CD" w:rsidRDefault="00D907B6" w:rsidP="003962CD">
            <w:pPr>
              <w:jc w:val="both"/>
              <w:rPr>
                <w:i/>
                <w:sz w:val="20"/>
                <w:lang w:val="fr-CA"/>
              </w:rPr>
            </w:pPr>
          </w:p>
        </w:tc>
      </w:tr>
      <w:tr w:rsidR="00D907B6" w:rsidRPr="003962CD" w:rsidTr="001E01CF">
        <w:tc>
          <w:tcPr>
            <w:tcW w:w="5000" w:type="pct"/>
            <w:gridSpan w:val="4"/>
          </w:tcPr>
          <w:p w:rsidR="00D907B6" w:rsidRPr="003962CD" w:rsidRDefault="00D907B6" w:rsidP="003962CD">
            <w:pPr>
              <w:jc w:val="both"/>
              <w:rPr>
                <w:i/>
                <w:sz w:val="20"/>
                <w:lang w:val="fr-CA"/>
              </w:rPr>
            </w:pPr>
            <w:r w:rsidRPr="003962CD">
              <w:rPr>
                <w:sz w:val="20"/>
                <w:lang w:val="fr-CA"/>
              </w:rPr>
              <w:t xml:space="preserve">L’affaire découle d’une enquête policière sur la production et la distribution de métamphétamine. Dans le cadre de l’enquête, une équipe de policiers dirigée par le détective </w:t>
            </w:r>
            <w:proofErr w:type="spellStart"/>
            <w:r w:rsidRPr="003962CD">
              <w:rPr>
                <w:sz w:val="20"/>
                <w:lang w:val="fr-CA"/>
              </w:rPr>
              <w:t>Sparkes</w:t>
            </w:r>
            <w:proofErr w:type="spellEnd"/>
            <w:r w:rsidRPr="003962CD">
              <w:rPr>
                <w:sz w:val="20"/>
                <w:lang w:val="fr-CA"/>
              </w:rPr>
              <w:t xml:space="preserve">, un agent ayant beaucoup d’expérience dans les enquêtes sur les activités criminelles liées aux drogues et formé dans le domaine, a procédé à une surveillance. Après deux mois de surveillance, le détective </w:t>
            </w:r>
            <w:proofErr w:type="spellStart"/>
            <w:r w:rsidRPr="003962CD">
              <w:rPr>
                <w:sz w:val="20"/>
                <w:lang w:val="fr-CA"/>
              </w:rPr>
              <w:t>Sparkes</w:t>
            </w:r>
            <w:proofErr w:type="spellEnd"/>
            <w:r w:rsidRPr="003962CD">
              <w:rPr>
                <w:sz w:val="20"/>
                <w:lang w:val="fr-CA"/>
              </w:rPr>
              <w:t xml:space="preserve"> croyait que M. Shang En Wu, le demandeur, avait des substances désignées en sa possession. Sur les ordres du détective </w:t>
            </w:r>
            <w:proofErr w:type="spellStart"/>
            <w:r w:rsidRPr="003962CD">
              <w:rPr>
                <w:sz w:val="20"/>
                <w:lang w:val="fr-CA"/>
              </w:rPr>
              <w:t>Sparkes</w:t>
            </w:r>
            <w:proofErr w:type="spellEnd"/>
            <w:r w:rsidRPr="003962CD">
              <w:rPr>
                <w:sz w:val="20"/>
                <w:lang w:val="fr-CA"/>
              </w:rPr>
              <w:t xml:space="preserve">, M. Wu a été arrêté et accusé d’infractions liées aux drogues. La fouille accessoire à l’arrestation de M. Wu a révélé des preuves de possession et de production de métamphétamine. Les policiers ont préparé une dénonciation en vue d’obtenir des mandats de perquisition visant deux condominiums appartenant à M. Wu. Les mandats ont été décernés, et les perquisitions ont révélé de nombreuses preuves de production de métamphétamine. Au procès, le détective </w:t>
            </w:r>
            <w:proofErr w:type="spellStart"/>
            <w:r w:rsidRPr="003962CD">
              <w:rPr>
                <w:sz w:val="20"/>
                <w:lang w:val="fr-CA"/>
              </w:rPr>
              <w:t>Sparkes</w:t>
            </w:r>
            <w:proofErr w:type="spellEnd"/>
            <w:r w:rsidRPr="003962CD">
              <w:rPr>
                <w:sz w:val="20"/>
                <w:lang w:val="fr-CA"/>
              </w:rPr>
              <w:t xml:space="preserve"> a déclaré avoir eu des motifs subjectifs d’arrêter M. Wu. La juge du procès n’était pas convaincue quant à leur caractère raisonnable sur le plan objectif. Selon elle, l’arrestation et la fouille accessoire à l’arrestation avaient enfreint les droits garantis par les art. 8 et 9 de la </w:t>
            </w:r>
            <w:r w:rsidRPr="003962CD">
              <w:rPr>
                <w:i/>
                <w:sz w:val="20"/>
                <w:lang w:val="fr-CA"/>
              </w:rPr>
              <w:t>Charte</w:t>
            </w:r>
            <w:r w:rsidRPr="003962CD">
              <w:rPr>
                <w:sz w:val="20"/>
                <w:lang w:val="fr-CA"/>
              </w:rPr>
              <w:t xml:space="preserve"> à M. Wu. Par conséquent, elle a retranché de la dénonciation tous les renseignements concernant les éléments recueillis dans le cadre de l’arrestation de M. Wu. À son avis, une fois retranchés ces éléments et compte tenu d’autres irrégularités dans la dénonciation, les motifs sur lesquels étaient fondés les mandats de perquisition se trouvaient affaiblis de telle sorte que la dénonciation ne pouvait justifier les mandats. Elle a donc écarté les éléments révélés par la perquisition des deux condominiums en vertu du par. 24(2) de la </w:t>
            </w:r>
            <w:r w:rsidRPr="003962CD">
              <w:rPr>
                <w:i/>
                <w:sz w:val="20"/>
                <w:lang w:val="fr-CA"/>
              </w:rPr>
              <w:t>Charte</w:t>
            </w:r>
            <w:r w:rsidRPr="003962CD">
              <w:rPr>
                <w:sz w:val="20"/>
                <w:lang w:val="fr-CA"/>
              </w:rPr>
              <w:t>. Le ministère public se trouvait alors privé des éléments de preuve sous-tendant les chefs d’accusation. La Cour d’appel a accueilli l’appel interjeté par le ministère public, a annulé les acquittements et ordonné la tenue d’un nouveau procès.</w:t>
            </w:r>
          </w:p>
        </w:tc>
      </w:tr>
      <w:tr w:rsidR="00D907B6" w:rsidRPr="003962CD" w:rsidTr="001E01CF">
        <w:tc>
          <w:tcPr>
            <w:tcW w:w="5000" w:type="pct"/>
            <w:gridSpan w:val="4"/>
          </w:tcPr>
          <w:p w:rsidR="00D907B6" w:rsidRPr="003962CD" w:rsidRDefault="00D907B6" w:rsidP="003962CD">
            <w:pPr>
              <w:jc w:val="both"/>
              <w:rPr>
                <w:sz w:val="20"/>
                <w:lang w:val="fr-CA"/>
              </w:rPr>
            </w:pPr>
          </w:p>
        </w:tc>
      </w:tr>
      <w:tr w:rsidR="00D907B6" w:rsidRPr="003962CD" w:rsidTr="001E01CF">
        <w:tc>
          <w:tcPr>
            <w:tcW w:w="2115" w:type="pct"/>
            <w:gridSpan w:val="2"/>
          </w:tcPr>
          <w:p w:rsidR="00D907B6" w:rsidRPr="003962CD" w:rsidRDefault="00D907B6" w:rsidP="003962CD">
            <w:pPr>
              <w:jc w:val="both"/>
              <w:rPr>
                <w:sz w:val="20"/>
                <w:lang w:val="fr-CA"/>
              </w:rPr>
            </w:pPr>
            <w:r w:rsidRPr="003962CD">
              <w:rPr>
                <w:sz w:val="20"/>
                <w:lang w:val="fr-CA"/>
              </w:rPr>
              <w:t>29 avril 2013</w:t>
            </w:r>
          </w:p>
          <w:p w:rsidR="00D907B6" w:rsidRPr="003962CD" w:rsidRDefault="00D907B6" w:rsidP="003962CD">
            <w:pPr>
              <w:jc w:val="both"/>
              <w:rPr>
                <w:sz w:val="20"/>
                <w:lang w:val="fr-CA"/>
              </w:rPr>
            </w:pPr>
            <w:r w:rsidRPr="003962CD">
              <w:rPr>
                <w:sz w:val="20"/>
                <w:lang w:val="fr-CA"/>
              </w:rPr>
              <w:t>Cour supérieure de justice de l’Ontario</w:t>
            </w:r>
          </w:p>
          <w:p w:rsidR="00D907B6" w:rsidRPr="003962CD" w:rsidRDefault="00D907B6" w:rsidP="003962CD">
            <w:pPr>
              <w:jc w:val="both"/>
              <w:rPr>
                <w:sz w:val="20"/>
              </w:rPr>
            </w:pPr>
            <w:r w:rsidRPr="003962CD">
              <w:rPr>
                <w:sz w:val="20"/>
              </w:rPr>
              <w:t>(Juge Gilmore)</w:t>
            </w:r>
          </w:p>
          <w:p w:rsidR="00D907B6" w:rsidRPr="003962CD" w:rsidRDefault="00D907B6" w:rsidP="003962CD">
            <w:pPr>
              <w:jc w:val="both"/>
              <w:rPr>
                <w:sz w:val="20"/>
              </w:rPr>
            </w:pPr>
          </w:p>
        </w:tc>
        <w:tc>
          <w:tcPr>
            <w:tcW w:w="237" w:type="pct"/>
          </w:tcPr>
          <w:p w:rsidR="00D907B6" w:rsidRPr="003962CD" w:rsidRDefault="00D907B6" w:rsidP="003962CD">
            <w:pPr>
              <w:jc w:val="both"/>
              <w:rPr>
                <w:sz w:val="20"/>
              </w:rPr>
            </w:pPr>
          </w:p>
        </w:tc>
        <w:tc>
          <w:tcPr>
            <w:tcW w:w="2647" w:type="pct"/>
          </w:tcPr>
          <w:p w:rsidR="00D907B6" w:rsidRPr="003962CD" w:rsidRDefault="00D907B6" w:rsidP="003962CD">
            <w:pPr>
              <w:jc w:val="both"/>
              <w:rPr>
                <w:sz w:val="20"/>
                <w:highlight w:val="yellow"/>
                <w:lang w:val="fr-CA"/>
              </w:rPr>
            </w:pPr>
            <w:r w:rsidRPr="003962CD">
              <w:rPr>
                <w:sz w:val="20"/>
                <w:lang w:val="fr-CA"/>
              </w:rPr>
              <w:t>Acquittement prononcé à l’égard des accusations de production de métamphétamine, possession de métamphétamine, possession de métamphétamine en vue d’en faire le trafic, production d’ecstasy, possession d’ecstasy en vue d’en faire le trafic et possession de produits de la criminalité.</w:t>
            </w:r>
          </w:p>
          <w:p w:rsidR="00D907B6" w:rsidRPr="003962CD" w:rsidRDefault="00D907B6" w:rsidP="003962CD">
            <w:pPr>
              <w:jc w:val="both"/>
              <w:rPr>
                <w:sz w:val="20"/>
                <w:lang w:val="fr-CA"/>
              </w:rPr>
            </w:pPr>
          </w:p>
        </w:tc>
      </w:tr>
      <w:tr w:rsidR="00D907B6" w:rsidRPr="003962CD" w:rsidTr="001E01CF">
        <w:tc>
          <w:tcPr>
            <w:tcW w:w="2115" w:type="pct"/>
            <w:gridSpan w:val="2"/>
          </w:tcPr>
          <w:p w:rsidR="00D907B6" w:rsidRPr="003962CD" w:rsidRDefault="00D907B6" w:rsidP="003962CD">
            <w:pPr>
              <w:jc w:val="both"/>
              <w:rPr>
                <w:sz w:val="20"/>
                <w:lang w:val="fr-CA"/>
              </w:rPr>
            </w:pPr>
            <w:r w:rsidRPr="003962CD">
              <w:rPr>
                <w:sz w:val="20"/>
                <w:lang w:val="fr-CA"/>
              </w:rPr>
              <w:t>2 octobre 2015</w:t>
            </w:r>
          </w:p>
          <w:p w:rsidR="00D907B6" w:rsidRPr="003962CD" w:rsidRDefault="00D907B6" w:rsidP="003962CD">
            <w:pPr>
              <w:jc w:val="both"/>
              <w:rPr>
                <w:sz w:val="20"/>
                <w:lang w:val="fr-CA"/>
              </w:rPr>
            </w:pPr>
            <w:r w:rsidRPr="003962CD">
              <w:rPr>
                <w:sz w:val="20"/>
                <w:lang w:val="fr-CA"/>
              </w:rPr>
              <w:t>Cour d’appel de l’Ontario</w:t>
            </w:r>
          </w:p>
          <w:p w:rsidR="00D907B6" w:rsidRPr="003962CD" w:rsidRDefault="00D907B6" w:rsidP="003962CD">
            <w:pPr>
              <w:jc w:val="both"/>
              <w:rPr>
                <w:sz w:val="20"/>
                <w:lang w:val="fr-CA"/>
              </w:rPr>
            </w:pPr>
            <w:r w:rsidRPr="003962CD">
              <w:rPr>
                <w:sz w:val="20"/>
                <w:lang w:val="fr-CA"/>
              </w:rPr>
              <w:t xml:space="preserve">(Juges </w:t>
            </w:r>
            <w:proofErr w:type="spellStart"/>
            <w:r w:rsidRPr="003962CD">
              <w:rPr>
                <w:sz w:val="20"/>
                <w:lang w:val="fr-CA"/>
              </w:rPr>
              <w:t>LaForme</w:t>
            </w:r>
            <w:proofErr w:type="spellEnd"/>
            <w:r w:rsidRPr="003962CD">
              <w:rPr>
                <w:sz w:val="20"/>
                <w:lang w:val="fr-CA"/>
              </w:rPr>
              <w:t>, Watt et Epstein)</w:t>
            </w:r>
          </w:p>
          <w:p w:rsidR="00D907B6" w:rsidRPr="003962CD" w:rsidRDefault="00D907B6" w:rsidP="003962CD">
            <w:pPr>
              <w:jc w:val="both"/>
              <w:rPr>
                <w:sz w:val="20"/>
              </w:rPr>
            </w:pPr>
            <w:hyperlink r:id="rId17" w:history="1">
              <w:r w:rsidRPr="003962CD">
                <w:rPr>
                  <w:rStyle w:val="Hyperlink"/>
                  <w:sz w:val="20"/>
                </w:rPr>
                <w:t>2015 ONCA 667</w:t>
              </w:r>
            </w:hyperlink>
          </w:p>
          <w:p w:rsidR="00D907B6" w:rsidRPr="003962CD" w:rsidRDefault="00D907B6" w:rsidP="003962CD">
            <w:pPr>
              <w:jc w:val="both"/>
              <w:rPr>
                <w:sz w:val="20"/>
              </w:rPr>
            </w:pPr>
          </w:p>
        </w:tc>
        <w:tc>
          <w:tcPr>
            <w:tcW w:w="237" w:type="pct"/>
          </w:tcPr>
          <w:p w:rsidR="00D907B6" w:rsidRPr="003962CD" w:rsidRDefault="00D907B6" w:rsidP="003962CD">
            <w:pPr>
              <w:jc w:val="both"/>
              <w:rPr>
                <w:sz w:val="20"/>
              </w:rPr>
            </w:pPr>
          </w:p>
        </w:tc>
        <w:tc>
          <w:tcPr>
            <w:tcW w:w="2647" w:type="pct"/>
          </w:tcPr>
          <w:p w:rsidR="00D907B6" w:rsidRPr="003962CD" w:rsidRDefault="00D907B6" w:rsidP="003962CD">
            <w:pPr>
              <w:jc w:val="both"/>
              <w:rPr>
                <w:sz w:val="20"/>
                <w:lang w:val="fr-CA"/>
              </w:rPr>
            </w:pPr>
            <w:r w:rsidRPr="003962CD">
              <w:rPr>
                <w:sz w:val="20"/>
                <w:lang w:val="fr-CA"/>
              </w:rPr>
              <w:t>Appel interjeté par le ministère public accueilli, annulation des acquittements et nouveau procès ordonné.</w:t>
            </w:r>
          </w:p>
          <w:p w:rsidR="00D907B6" w:rsidRPr="003962CD" w:rsidRDefault="00D907B6" w:rsidP="003962CD">
            <w:pPr>
              <w:jc w:val="both"/>
              <w:rPr>
                <w:sz w:val="20"/>
                <w:lang w:val="fr-CA"/>
              </w:rPr>
            </w:pPr>
          </w:p>
        </w:tc>
      </w:tr>
      <w:tr w:rsidR="00D907B6" w:rsidRPr="003962CD" w:rsidTr="001E01CF">
        <w:tc>
          <w:tcPr>
            <w:tcW w:w="2115" w:type="pct"/>
            <w:gridSpan w:val="2"/>
          </w:tcPr>
          <w:p w:rsidR="00D907B6" w:rsidRPr="003962CD" w:rsidRDefault="00D907B6" w:rsidP="003962CD">
            <w:pPr>
              <w:jc w:val="both"/>
              <w:rPr>
                <w:sz w:val="20"/>
                <w:lang w:val="fr-CA"/>
              </w:rPr>
            </w:pPr>
            <w:r w:rsidRPr="003962CD">
              <w:rPr>
                <w:sz w:val="20"/>
                <w:lang w:val="fr-CA"/>
              </w:rPr>
              <w:t>1</w:t>
            </w:r>
            <w:r w:rsidRPr="003962CD">
              <w:rPr>
                <w:sz w:val="20"/>
                <w:vertAlign w:val="superscript"/>
                <w:lang w:val="fr-CA"/>
              </w:rPr>
              <w:t>er</w:t>
            </w:r>
            <w:r w:rsidRPr="003962CD">
              <w:rPr>
                <w:sz w:val="20"/>
                <w:lang w:val="fr-CA"/>
              </w:rPr>
              <w:t> décembre 2015</w:t>
            </w:r>
          </w:p>
          <w:p w:rsidR="00D907B6" w:rsidRPr="003962CD" w:rsidRDefault="00D907B6" w:rsidP="003962CD">
            <w:pPr>
              <w:jc w:val="both"/>
              <w:rPr>
                <w:sz w:val="20"/>
                <w:lang w:val="fr-CA"/>
              </w:rPr>
            </w:pPr>
            <w:r w:rsidRPr="003962CD">
              <w:rPr>
                <w:sz w:val="20"/>
                <w:lang w:val="fr-CA"/>
              </w:rPr>
              <w:t>Cour suprême du Canada</w:t>
            </w:r>
          </w:p>
          <w:p w:rsidR="00D907B6" w:rsidRPr="003962CD" w:rsidRDefault="00D907B6" w:rsidP="003962CD">
            <w:pPr>
              <w:jc w:val="both"/>
              <w:rPr>
                <w:sz w:val="20"/>
                <w:lang w:val="fr-CA"/>
              </w:rPr>
            </w:pPr>
          </w:p>
        </w:tc>
        <w:tc>
          <w:tcPr>
            <w:tcW w:w="237" w:type="pct"/>
          </w:tcPr>
          <w:p w:rsidR="00D907B6" w:rsidRPr="003962CD" w:rsidRDefault="00D907B6" w:rsidP="003962CD">
            <w:pPr>
              <w:jc w:val="both"/>
              <w:rPr>
                <w:sz w:val="20"/>
                <w:lang w:val="fr-CA"/>
              </w:rPr>
            </w:pPr>
          </w:p>
        </w:tc>
        <w:tc>
          <w:tcPr>
            <w:tcW w:w="2647" w:type="pct"/>
          </w:tcPr>
          <w:p w:rsidR="00D907B6" w:rsidRPr="003962CD" w:rsidRDefault="00D907B6" w:rsidP="003962CD">
            <w:pPr>
              <w:jc w:val="both"/>
              <w:rPr>
                <w:sz w:val="20"/>
                <w:lang w:val="fr-CA"/>
              </w:rPr>
            </w:pPr>
            <w:r w:rsidRPr="003962CD">
              <w:rPr>
                <w:sz w:val="20"/>
                <w:lang w:val="fr-CA"/>
              </w:rPr>
              <w:t>Dépôt de la demande d’autorisation d’appel et d’une requête en vue d’obtenir l’audition de la demande d’autorisation d’appel.</w:t>
            </w:r>
          </w:p>
        </w:tc>
      </w:tr>
    </w:tbl>
    <w:p w:rsidR="00D907B6" w:rsidRPr="003962CD" w:rsidRDefault="00D907B6" w:rsidP="003962C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07B6" w:rsidRPr="003962CD" w:rsidTr="00E95A6A">
        <w:tc>
          <w:tcPr>
            <w:tcW w:w="543" w:type="pct"/>
          </w:tcPr>
          <w:p w:rsidR="00D907B6" w:rsidRPr="003962CD" w:rsidRDefault="00D907B6" w:rsidP="003962CD">
            <w:pPr>
              <w:jc w:val="both"/>
              <w:rPr>
                <w:sz w:val="20"/>
                <w:lang w:val="en-CA"/>
              </w:rPr>
            </w:pPr>
            <w:r w:rsidRPr="003962CD">
              <w:rPr>
                <w:rStyle w:val="SCCFileNumberChar"/>
                <w:sz w:val="20"/>
                <w:szCs w:val="20"/>
              </w:rPr>
              <w:t>36725</w:t>
            </w:r>
          </w:p>
        </w:tc>
        <w:tc>
          <w:tcPr>
            <w:tcW w:w="4457" w:type="pct"/>
            <w:gridSpan w:val="3"/>
          </w:tcPr>
          <w:p w:rsidR="00D907B6" w:rsidRPr="003962CD" w:rsidRDefault="00D907B6" w:rsidP="003962CD">
            <w:pPr>
              <w:pStyle w:val="SCCLsocParty"/>
              <w:jc w:val="both"/>
              <w:rPr>
                <w:b/>
                <w:sz w:val="20"/>
                <w:szCs w:val="20"/>
                <w:lang w:val="en-CA"/>
              </w:rPr>
            </w:pPr>
            <w:r w:rsidRPr="003962CD">
              <w:rPr>
                <w:b/>
                <w:sz w:val="20"/>
                <w:szCs w:val="20"/>
                <w:lang w:val="en-CA"/>
              </w:rPr>
              <w:t>Louis Cartier v. Her Majesty the Queen</w:t>
            </w:r>
          </w:p>
          <w:p w:rsidR="00D907B6" w:rsidRPr="003962CD" w:rsidRDefault="00D907B6" w:rsidP="003962CD">
            <w:pPr>
              <w:jc w:val="both"/>
              <w:rPr>
                <w:sz w:val="20"/>
                <w:lang w:val="en-CA"/>
              </w:rPr>
            </w:pPr>
            <w:r w:rsidRPr="003962CD">
              <w:rPr>
                <w:sz w:val="20"/>
                <w:lang w:val="en-CA"/>
              </w:rPr>
              <w:t>(Que.) (Criminal) (By Leave)</w:t>
            </w:r>
          </w:p>
        </w:tc>
      </w:tr>
      <w:tr w:rsidR="00D907B6" w:rsidRPr="003962CD" w:rsidTr="00E95A6A">
        <w:tc>
          <w:tcPr>
            <w:tcW w:w="5000" w:type="pct"/>
            <w:gridSpan w:val="4"/>
          </w:tcPr>
          <w:p w:rsidR="00D907B6" w:rsidRPr="003962CD" w:rsidRDefault="00D907B6" w:rsidP="003962CD">
            <w:pPr>
              <w:jc w:val="both"/>
              <w:rPr>
                <w:sz w:val="20"/>
                <w:lang w:val="en-CA"/>
              </w:rPr>
            </w:pPr>
            <w:r w:rsidRPr="003962CD">
              <w:rPr>
                <w:sz w:val="20"/>
                <w:lang w:val="en-CA"/>
              </w:rPr>
              <w:t>Criminal law — Trial — Joinder of counts and severance — Evidence — Admissibility — Whether trial judge made unreasonable decision by refusing to order separate trials on two separate counts of murder included in single indictment — Whether trial judge erred in law in declaring results of forensic DNA analysis admissible in evidence in light of limited probative value of findings, since experts had considered only inclusion criteria and had ignored exclusion criteria — Whether trial judge erred in law in permitting table of DNA profiles found in appendix of reports produced by forensic biologists to be filed in evidence — Whether trial judge misled jury by minimizing scope and consequences of crime scene technician’s unacceptable conduct in collecting and preserving things seized.</w:t>
            </w:r>
          </w:p>
        </w:tc>
      </w:tr>
      <w:tr w:rsidR="00D907B6" w:rsidRPr="003962CD" w:rsidTr="00E95A6A">
        <w:tc>
          <w:tcPr>
            <w:tcW w:w="5000" w:type="pct"/>
            <w:gridSpan w:val="4"/>
          </w:tcPr>
          <w:p w:rsidR="00D907B6" w:rsidRPr="003962CD" w:rsidRDefault="00D907B6" w:rsidP="003962CD">
            <w:pPr>
              <w:jc w:val="both"/>
              <w:rPr>
                <w:sz w:val="20"/>
                <w:lang w:val="en-CA"/>
              </w:rPr>
            </w:pPr>
          </w:p>
        </w:tc>
      </w:tr>
      <w:tr w:rsidR="00D907B6" w:rsidRPr="003962CD" w:rsidTr="00E95A6A">
        <w:tc>
          <w:tcPr>
            <w:tcW w:w="5000" w:type="pct"/>
            <w:gridSpan w:val="4"/>
          </w:tcPr>
          <w:p w:rsidR="00D907B6" w:rsidRPr="003962CD" w:rsidRDefault="00D907B6" w:rsidP="003962CD">
            <w:pPr>
              <w:jc w:val="both"/>
              <w:rPr>
                <w:sz w:val="20"/>
                <w:lang w:val="en-CA"/>
              </w:rPr>
            </w:pPr>
            <w:r w:rsidRPr="003962CD">
              <w:rPr>
                <w:sz w:val="20"/>
                <w:lang w:val="en-CA"/>
              </w:rPr>
              <w:t>Mr. Cartier was convicted by a jury of two counts of first degree murder. The first murder victim was Serge </w:t>
            </w:r>
            <w:proofErr w:type="spellStart"/>
            <w:r w:rsidRPr="003962CD">
              <w:rPr>
                <w:sz w:val="20"/>
                <w:lang w:val="en-CA"/>
              </w:rPr>
              <w:t>Hervieux</w:t>
            </w:r>
            <w:proofErr w:type="spellEnd"/>
            <w:r w:rsidRPr="003962CD">
              <w:rPr>
                <w:sz w:val="20"/>
                <w:lang w:val="en-CA"/>
              </w:rPr>
              <w:t xml:space="preserve">, who was killed by shots from a firearm on August 26, 1999 at a Montréal business. The second murder victim was François Gagnon, who was shot in his residence in Montréal on June 6, 2000. According to the prosecution theory, the two murders had been committed by the Hells Angels to settle scores against their rivals as part of the biker war. </w:t>
            </w:r>
          </w:p>
          <w:p w:rsidR="00D907B6" w:rsidRPr="003962CD" w:rsidRDefault="00D907B6" w:rsidP="003962CD">
            <w:pPr>
              <w:jc w:val="both"/>
              <w:rPr>
                <w:sz w:val="20"/>
                <w:lang w:val="en-CA"/>
              </w:rPr>
            </w:pPr>
          </w:p>
          <w:p w:rsidR="00D907B6" w:rsidRPr="003962CD" w:rsidRDefault="00D907B6" w:rsidP="003962CD">
            <w:pPr>
              <w:jc w:val="both"/>
              <w:rPr>
                <w:sz w:val="20"/>
                <w:lang w:val="en-CA"/>
              </w:rPr>
            </w:pPr>
            <w:r w:rsidRPr="003962CD">
              <w:rPr>
                <w:sz w:val="20"/>
                <w:lang w:val="en-CA"/>
              </w:rPr>
              <w:t>At the start of the trial, Mr. Cartier brought a motion to sever the two counts. His motion was dismissed. He then tried unsuccessfully to have some DNA evidence excluded. His motion for a  stay of proceedings on the first count, which was based on the disappearance or destruction of evidence, was then dismissed. Lastly, a motion by the Crown for the admission of similar fact evidence was also dismissed. On appeal, Mr. Cartier relied on several grounds of appeal related to the following: (1) the application to sever the counts and the similar fact evidence; (2) the application for a stay of proceedings; (3) the testimony of the biker gang expert; (4) the DNA evidence; (5) the unreasonable verdict and the application for a directed verdict of acquittal; and (6) various allegations concerning the instructions. His appeal was dismissed.</w:t>
            </w:r>
          </w:p>
          <w:p w:rsidR="00D907B6" w:rsidRPr="003962CD" w:rsidRDefault="00D907B6" w:rsidP="003962CD">
            <w:pPr>
              <w:jc w:val="both"/>
              <w:rPr>
                <w:sz w:val="20"/>
                <w:lang w:val="en-CA"/>
              </w:rPr>
            </w:pPr>
          </w:p>
        </w:tc>
      </w:tr>
      <w:tr w:rsidR="00D907B6" w:rsidRPr="003962CD" w:rsidTr="00E95A6A">
        <w:tc>
          <w:tcPr>
            <w:tcW w:w="2427" w:type="pct"/>
            <w:gridSpan w:val="2"/>
          </w:tcPr>
          <w:p w:rsidR="00D907B6" w:rsidRPr="003962CD" w:rsidRDefault="00D907B6" w:rsidP="003962CD">
            <w:pPr>
              <w:jc w:val="both"/>
              <w:rPr>
                <w:sz w:val="20"/>
                <w:lang w:val="en-CA"/>
              </w:rPr>
            </w:pPr>
            <w:r w:rsidRPr="003962CD">
              <w:rPr>
                <w:sz w:val="20"/>
                <w:lang w:val="en-CA"/>
              </w:rPr>
              <w:t>March 16, 2012</w:t>
            </w:r>
          </w:p>
          <w:p w:rsidR="00D907B6" w:rsidRPr="003962CD" w:rsidRDefault="00D907B6" w:rsidP="003962CD">
            <w:pPr>
              <w:jc w:val="both"/>
              <w:rPr>
                <w:sz w:val="20"/>
                <w:lang w:val="en-CA"/>
              </w:rPr>
            </w:pPr>
            <w:r w:rsidRPr="003962CD">
              <w:rPr>
                <w:sz w:val="20"/>
                <w:lang w:val="en-CA"/>
              </w:rPr>
              <w:t>Quebec Superior Court</w:t>
            </w:r>
          </w:p>
          <w:p w:rsidR="00D907B6" w:rsidRPr="003962CD" w:rsidRDefault="00D907B6" w:rsidP="003962CD">
            <w:pPr>
              <w:jc w:val="both"/>
              <w:rPr>
                <w:sz w:val="20"/>
                <w:lang w:val="en-CA"/>
              </w:rPr>
            </w:pPr>
            <w:r w:rsidRPr="003962CD">
              <w:rPr>
                <w:sz w:val="20"/>
                <w:lang w:val="en-CA"/>
              </w:rPr>
              <w:t>(Buffoni J.)</w:t>
            </w:r>
          </w:p>
          <w:p w:rsidR="00D907B6" w:rsidRPr="003962CD" w:rsidRDefault="00D907B6" w:rsidP="003962CD">
            <w:pPr>
              <w:jc w:val="both"/>
              <w:rPr>
                <w:sz w:val="20"/>
                <w:lang w:val="en-CA"/>
              </w:rPr>
            </w:pPr>
          </w:p>
        </w:tc>
        <w:tc>
          <w:tcPr>
            <w:tcW w:w="243" w:type="pct"/>
          </w:tcPr>
          <w:p w:rsidR="00D907B6" w:rsidRPr="003962CD" w:rsidRDefault="00D907B6" w:rsidP="003962CD">
            <w:pPr>
              <w:jc w:val="both"/>
              <w:rPr>
                <w:sz w:val="20"/>
                <w:lang w:val="en-CA"/>
              </w:rPr>
            </w:pPr>
          </w:p>
        </w:tc>
        <w:tc>
          <w:tcPr>
            <w:tcW w:w="2330" w:type="pct"/>
          </w:tcPr>
          <w:p w:rsidR="00D907B6" w:rsidRPr="003962CD" w:rsidRDefault="00D907B6" w:rsidP="003962CD">
            <w:pPr>
              <w:jc w:val="both"/>
              <w:rPr>
                <w:sz w:val="20"/>
                <w:lang w:val="en-CA"/>
              </w:rPr>
            </w:pPr>
            <w:r w:rsidRPr="003962CD">
              <w:rPr>
                <w:sz w:val="20"/>
                <w:lang w:val="en-CA"/>
              </w:rPr>
              <w:t>Applicant convicted of two counts of first degree murder</w:t>
            </w:r>
          </w:p>
          <w:p w:rsidR="00D907B6" w:rsidRPr="003962CD" w:rsidRDefault="00D907B6" w:rsidP="003962CD">
            <w:pPr>
              <w:jc w:val="both"/>
              <w:rPr>
                <w:sz w:val="20"/>
                <w:lang w:val="en-CA"/>
              </w:rPr>
            </w:pPr>
          </w:p>
        </w:tc>
      </w:tr>
      <w:tr w:rsidR="00D907B6" w:rsidRPr="003962CD" w:rsidTr="00E95A6A">
        <w:tc>
          <w:tcPr>
            <w:tcW w:w="2427" w:type="pct"/>
            <w:gridSpan w:val="2"/>
          </w:tcPr>
          <w:p w:rsidR="00D907B6" w:rsidRPr="003962CD" w:rsidRDefault="00D907B6" w:rsidP="003962CD">
            <w:pPr>
              <w:jc w:val="both"/>
              <w:rPr>
                <w:sz w:val="20"/>
                <w:lang w:val="en-CA"/>
              </w:rPr>
            </w:pPr>
            <w:r w:rsidRPr="003962CD">
              <w:rPr>
                <w:sz w:val="20"/>
                <w:lang w:val="en-CA"/>
              </w:rPr>
              <w:t>February 19, 2015</w:t>
            </w:r>
          </w:p>
          <w:p w:rsidR="00D907B6" w:rsidRPr="003962CD" w:rsidRDefault="00D907B6" w:rsidP="003962CD">
            <w:pPr>
              <w:jc w:val="both"/>
              <w:rPr>
                <w:sz w:val="20"/>
                <w:lang w:val="en-CA"/>
              </w:rPr>
            </w:pPr>
            <w:r w:rsidRPr="003962CD">
              <w:rPr>
                <w:sz w:val="20"/>
                <w:lang w:val="en-CA"/>
              </w:rPr>
              <w:t>Quebec Court of Appeal (Montréal)</w:t>
            </w:r>
          </w:p>
          <w:p w:rsidR="00D907B6" w:rsidRPr="003962CD" w:rsidRDefault="00D907B6" w:rsidP="003962CD">
            <w:pPr>
              <w:jc w:val="both"/>
              <w:rPr>
                <w:sz w:val="20"/>
                <w:lang w:val="en-CA"/>
              </w:rPr>
            </w:pPr>
            <w:r w:rsidRPr="003962CD">
              <w:rPr>
                <w:sz w:val="20"/>
                <w:lang w:val="en-CA"/>
              </w:rPr>
              <w:t>(Chamberland, Doyon and Marcotte JJ.A.)</w:t>
            </w:r>
          </w:p>
          <w:p w:rsidR="00D907B6" w:rsidRPr="003962CD" w:rsidRDefault="00D907B6" w:rsidP="003962CD">
            <w:pPr>
              <w:jc w:val="both"/>
              <w:rPr>
                <w:sz w:val="20"/>
                <w:lang w:val="en-CA"/>
              </w:rPr>
            </w:pPr>
            <w:hyperlink r:id="rId18" w:history="1">
              <w:r w:rsidRPr="003962CD">
                <w:rPr>
                  <w:rStyle w:val="Hyperlink"/>
                  <w:sz w:val="20"/>
                  <w:lang w:val="en-CA"/>
                </w:rPr>
                <w:t>2015 QCCA 329</w:t>
              </w:r>
            </w:hyperlink>
          </w:p>
          <w:p w:rsidR="00D907B6" w:rsidRPr="003962CD" w:rsidRDefault="00D907B6" w:rsidP="003962CD">
            <w:pPr>
              <w:jc w:val="both"/>
              <w:rPr>
                <w:sz w:val="20"/>
                <w:lang w:val="en-CA"/>
              </w:rPr>
            </w:pPr>
          </w:p>
        </w:tc>
        <w:tc>
          <w:tcPr>
            <w:tcW w:w="243" w:type="pct"/>
          </w:tcPr>
          <w:p w:rsidR="00D907B6" w:rsidRPr="003962CD" w:rsidRDefault="00D907B6" w:rsidP="003962CD">
            <w:pPr>
              <w:jc w:val="both"/>
              <w:rPr>
                <w:sz w:val="20"/>
                <w:lang w:val="en-CA"/>
              </w:rPr>
            </w:pPr>
          </w:p>
        </w:tc>
        <w:tc>
          <w:tcPr>
            <w:tcW w:w="2330" w:type="pct"/>
          </w:tcPr>
          <w:p w:rsidR="00D907B6" w:rsidRPr="003962CD" w:rsidRDefault="00D907B6" w:rsidP="003962CD">
            <w:pPr>
              <w:jc w:val="both"/>
              <w:rPr>
                <w:sz w:val="20"/>
                <w:lang w:val="en-CA"/>
              </w:rPr>
            </w:pPr>
            <w:r w:rsidRPr="003962CD">
              <w:rPr>
                <w:sz w:val="20"/>
                <w:lang w:val="en-CA"/>
              </w:rPr>
              <w:t>Appeal dismissed</w:t>
            </w:r>
          </w:p>
        </w:tc>
      </w:tr>
      <w:tr w:rsidR="00D907B6" w:rsidRPr="003962CD" w:rsidTr="00E95A6A">
        <w:tc>
          <w:tcPr>
            <w:tcW w:w="2427" w:type="pct"/>
            <w:gridSpan w:val="2"/>
          </w:tcPr>
          <w:p w:rsidR="00D907B6" w:rsidRPr="003962CD" w:rsidRDefault="00D907B6" w:rsidP="003962CD">
            <w:pPr>
              <w:jc w:val="both"/>
              <w:rPr>
                <w:sz w:val="20"/>
                <w:lang w:val="en-CA"/>
              </w:rPr>
            </w:pPr>
            <w:r w:rsidRPr="003962CD">
              <w:rPr>
                <w:sz w:val="20"/>
                <w:lang w:val="en-CA"/>
              </w:rPr>
              <w:t>November 17, 2015</w:t>
            </w:r>
          </w:p>
          <w:p w:rsidR="00D907B6" w:rsidRPr="003962CD" w:rsidRDefault="00D907B6" w:rsidP="003962CD">
            <w:pPr>
              <w:jc w:val="both"/>
              <w:rPr>
                <w:sz w:val="20"/>
                <w:lang w:val="en-CA"/>
              </w:rPr>
            </w:pPr>
            <w:r w:rsidRPr="003962CD">
              <w:rPr>
                <w:sz w:val="20"/>
                <w:lang w:val="en-CA"/>
              </w:rPr>
              <w:t>Supreme Court of Canada</w:t>
            </w:r>
          </w:p>
        </w:tc>
        <w:tc>
          <w:tcPr>
            <w:tcW w:w="243" w:type="pct"/>
          </w:tcPr>
          <w:p w:rsidR="00D907B6" w:rsidRPr="003962CD" w:rsidRDefault="00D907B6" w:rsidP="003962CD">
            <w:pPr>
              <w:jc w:val="both"/>
              <w:rPr>
                <w:sz w:val="20"/>
                <w:lang w:val="en-CA"/>
              </w:rPr>
            </w:pPr>
          </w:p>
        </w:tc>
        <w:tc>
          <w:tcPr>
            <w:tcW w:w="2330" w:type="pct"/>
          </w:tcPr>
          <w:p w:rsidR="00D907B6" w:rsidRPr="003962CD" w:rsidRDefault="00D907B6" w:rsidP="003962CD">
            <w:pPr>
              <w:jc w:val="both"/>
              <w:rPr>
                <w:sz w:val="20"/>
                <w:lang w:val="en-CA"/>
              </w:rPr>
            </w:pPr>
            <w:r w:rsidRPr="003962CD">
              <w:rPr>
                <w:sz w:val="20"/>
                <w:lang w:val="en-CA"/>
              </w:rPr>
              <w:t>Application to extend time and application for leave to appeal filed</w:t>
            </w:r>
          </w:p>
        </w:tc>
      </w:tr>
    </w:tbl>
    <w:p w:rsidR="00D907B6" w:rsidRPr="003962CD" w:rsidRDefault="00D907B6" w:rsidP="003962CD">
      <w:pPr>
        <w:jc w:val="both"/>
        <w:rPr>
          <w:sz w:val="20"/>
          <w:lang w:val="en-CA"/>
        </w:rPr>
      </w:pPr>
    </w:p>
    <w:p w:rsidR="00D907B6" w:rsidRPr="003962CD" w:rsidRDefault="00D907B6" w:rsidP="003962C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07B6" w:rsidRPr="003962CD" w:rsidTr="00E95A6A">
        <w:tc>
          <w:tcPr>
            <w:tcW w:w="543" w:type="pct"/>
          </w:tcPr>
          <w:p w:rsidR="00D907B6" w:rsidRPr="003962CD" w:rsidRDefault="00D907B6" w:rsidP="003962CD">
            <w:pPr>
              <w:jc w:val="both"/>
              <w:rPr>
                <w:sz w:val="20"/>
              </w:rPr>
            </w:pPr>
            <w:r w:rsidRPr="003962CD">
              <w:rPr>
                <w:rStyle w:val="SCCFileNumberChar"/>
                <w:sz w:val="20"/>
                <w:szCs w:val="20"/>
              </w:rPr>
              <w:t>36725</w:t>
            </w:r>
          </w:p>
        </w:tc>
        <w:tc>
          <w:tcPr>
            <w:tcW w:w="4457" w:type="pct"/>
            <w:gridSpan w:val="3"/>
          </w:tcPr>
          <w:p w:rsidR="00D907B6" w:rsidRPr="003962CD" w:rsidRDefault="00D907B6" w:rsidP="003962CD">
            <w:pPr>
              <w:pStyle w:val="SCCLsocParty"/>
              <w:jc w:val="both"/>
              <w:rPr>
                <w:b/>
                <w:sz w:val="20"/>
                <w:szCs w:val="20"/>
              </w:rPr>
            </w:pPr>
            <w:r w:rsidRPr="003962CD">
              <w:rPr>
                <w:b/>
                <w:sz w:val="20"/>
                <w:szCs w:val="20"/>
              </w:rPr>
              <w:t>Louis Cartier c. Sa Majesté la Reine</w:t>
            </w:r>
          </w:p>
          <w:p w:rsidR="00D907B6" w:rsidRPr="003962CD" w:rsidRDefault="00D907B6" w:rsidP="003962CD">
            <w:pPr>
              <w:jc w:val="both"/>
              <w:rPr>
                <w:sz w:val="20"/>
              </w:rPr>
            </w:pPr>
            <w:r w:rsidRPr="003962CD">
              <w:rPr>
                <w:sz w:val="20"/>
              </w:rPr>
              <w:t>(Qc) (</w:t>
            </w:r>
            <w:proofErr w:type="spellStart"/>
            <w:r w:rsidRPr="003962CD">
              <w:rPr>
                <w:sz w:val="20"/>
              </w:rPr>
              <w:t>Criminelle</w:t>
            </w:r>
            <w:proofErr w:type="spellEnd"/>
            <w:r w:rsidRPr="003962CD">
              <w:rPr>
                <w:sz w:val="20"/>
              </w:rPr>
              <w:t>) (</w:t>
            </w:r>
            <w:proofErr w:type="spellStart"/>
            <w:r w:rsidRPr="003962CD">
              <w:rPr>
                <w:sz w:val="20"/>
              </w:rPr>
              <w:t>Autorisation</w:t>
            </w:r>
            <w:proofErr w:type="spellEnd"/>
            <w:r w:rsidRPr="003962CD">
              <w:rPr>
                <w:sz w:val="20"/>
              </w:rPr>
              <w:t>)</w:t>
            </w:r>
          </w:p>
        </w:tc>
      </w:tr>
      <w:tr w:rsidR="00D907B6" w:rsidRPr="003962CD" w:rsidTr="00E95A6A">
        <w:tc>
          <w:tcPr>
            <w:tcW w:w="5000" w:type="pct"/>
            <w:gridSpan w:val="4"/>
          </w:tcPr>
          <w:p w:rsidR="00D907B6" w:rsidRPr="003962CD" w:rsidRDefault="00D907B6" w:rsidP="003962CD">
            <w:pPr>
              <w:jc w:val="both"/>
              <w:rPr>
                <w:sz w:val="20"/>
                <w:lang w:val="fr-FR"/>
              </w:rPr>
            </w:pPr>
            <w:r w:rsidRPr="003962CD">
              <w:rPr>
                <w:sz w:val="20"/>
                <w:lang w:val="fr-FR"/>
              </w:rPr>
              <w:t xml:space="preserve">Droit criminel – Procès – Réunion des chefs d’accusation et procès distincts – Preuve – Admissibilité – Le juge de première instance </w:t>
            </w:r>
            <w:proofErr w:type="spellStart"/>
            <w:r w:rsidRPr="003962CD">
              <w:rPr>
                <w:sz w:val="20"/>
                <w:lang w:val="fr-FR"/>
              </w:rPr>
              <w:t>a-t-il</w:t>
            </w:r>
            <w:proofErr w:type="spellEnd"/>
            <w:r w:rsidRPr="003962CD">
              <w:rPr>
                <w:sz w:val="20"/>
                <w:lang w:val="fr-FR"/>
              </w:rPr>
              <w:t xml:space="preserve"> rendu une décision déraisonnable en refusant d’ordonner des procès séparés quant à deux chefs d’accusation de meurtre distincts faisant partie d’un seul acte d’accusation? – Le juge de première instance </w:t>
            </w:r>
            <w:proofErr w:type="spellStart"/>
            <w:r w:rsidRPr="003962CD">
              <w:rPr>
                <w:sz w:val="20"/>
                <w:lang w:val="fr-FR"/>
              </w:rPr>
              <w:t>a-t-il</w:t>
            </w:r>
            <w:proofErr w:type="spellEnd"/>
            <w:r w:rsidRPr="003962CD">
              <w:rPr>
                <w:sz w:val="20"/>
                <w:lang w:val="fr-FR"/>
              </w:rPr>
              <w:t xml:space="preserve"> commis une erreur de droit en déclarant les résultats des analyses génétiques admissibles en preuve étant donné la faible valeur probante de ces conclusions, car les experts ont considéré uniquement les critères d’inclusion et ont fait abstraction des critères d’exclusion? – Le juge de première instance </w:t>
            </w:r>
            <w:proofErr w:type="spellStart"/>
            <w:r w:rsidRPr="003962CD">
              <w:rPr>
                <w:sz w:val="20"/>
                <w:lang w:val="fr-FR"/>
              </w:rPr>
              <w:t>a-t-il</w:t>
            </w:r>
            <w:proofErr w:type="spellEnd"/>
            <w:r w:rsidRPr="003962CD">
              <w:rPr>
                <w:sz w:val="20"/>
                <w:lang w:val="fr-FR"/>
              </w:rPr>
              <w:t xml:space="preserve"> commis une erreur de droit en permettant le dépôt en preuve du tableau des profils génétiques se trouvant en annexe des rapports produits par les biologistes judiciaires? – Le premier juge </w:t>
            </w:r>
            <w:proofErr w:type="spellStart"/>
            <w:r w:rsidRPr="003962CD">
              <w:rPr>
                <w:sz w:val="20"/>
                <w:lang w:val="fr-FR"/>
              </w:rPr>
              <w:t>a-t-il</w:t>
            </w:r>
            <w:proofErr w:type="spellEnd"/>
            <w:r w:rsidRPr="003962CD">
              <w:rPr>
                <w:sz w:val="20"/>
                <w:lang w:val="fr-FR"/>
              </w:rPr>
              <w:t xml:space="preserve"> induit en erreur le jury en minimisant la portée et les conséquences de la conduite inacceptable de la technicienne en scène de crime, lors du prélèvement et de la conservation des objets saisis?</w:t>
            </w:r>
          </w:p>
        </w:tc>
      </w:tr>
      <w:tr w:rsidR="00D907B6" w:rsidRPr="003962CD" w:rsidTr="00E95A6A">
        <w:tc>
          <w:tcPr>
            <w:tcW w:w="5000" w:type="pct"/>
            <w:gridSpan w:val="4"/>
          </w:tcPr>
          <w:p w:rsidR="00D907B6" w:rsidRPr="003962CD" w:rsidRDefault="00D907B6" w:rsidP="003962CD">
            <w:pPr>
              <w:jc w:val="both"/>
              <w:rPr>
                <w:sz w:val="20"/>
                <w:lang w:val="fr-FR"/>
              </w:rPr>
            </w:pPr>
          </w:p>
        </w:tc>
      </w:tr>
      <w:tr w:rsidR="00D907B6" w:rsidRPr="003962CD" w:rsidTr="00E95A6A">
        <w:tc>
          <w:tcPr>
            <w:tcW w:w="5000" w:type="pct"/>
            <w:gridSpan w:val="4"/>
          </w:tcPr>
          <w:p w:rsidR="00D907B6" w:rsidRPr="003962CD" w:rsidRDefault="00D907B6" w:rsidP="003962CD">
            <w:pPr>
              <w:jc w:val="both"/>
              <w:rPr>
                <w:sz w:val="20"/>
                <w:lang w:val="fr-FR"/>
              </w:rPr>
            </w:pPr>
            <w:r w:rsidRPr="003962CD">
              <w:rPr>
                <w:sz w:val="20"/>
                <w:lang w:val="fr-FR"/>
              </w:rPr>
              <w:t xml:space="preserve">M. Cartier a été déclaré coupable, par un jury, de deux chefs d’accusation de meurtre au premier degré. Le premier meurtre est celui de Serge </w:t>
            </w:r>
            <w:proofErr w:type="spellStart"/>
            <w:r w:rsidRPr="003962CD">
              <w:rPr>
                <w:sz w:val="20"/>
                <w:lang w:val="fr-FR"/>
              </w:rPr>
              <w:t>Hervieux</w:t>
            </w:r>
            <w:proofErr w:type="spellEnd"/>
            <w:r w:rsidRPr="003962CD">
              <w:rPr>
                <w:sz w:val="20"/>
                <w:lang w:val="fr-FR"/>
              </w:rPr>
              <w:t xml:space="preserve">, tué par des tirs d’arme à feu le 26 août 1999 dans un commerce de Montréal. Le deuxième meurtre est celui de François Gagnon, abattu par balles dans sa résidence de Montréal le 6 juin 2000. Selon la thèse de la poursuite, ces deux meurtres constituent des règlements de compte perpétrés par les </w:t>
            </w:r>
            <w:proofErr w:type="spellStart"/>
            <w:r w:rsidRPr="003962CD">
              <w:rPr>
                <w:sz w:val="20"/>
                <w:lang w:val="fr-FR"/>
              </w:rPr>
              <w:t>Hells</w:t>
            </w:r>
            <w:proofErr w:type="spellEnd"/>
            <w:r w:rsidRPr="003962CD">
              <w:rPr>
                <w:sz w:val="20"/>
                <w:lang w:val="fr-FR"/>
              </w:rPr>
              <w:t xml:space="preserve"> </w:t>
            </w:r>
            <w:proofErr w:type="spellStart"/>
            <w:r w:rsidRPr="003962CD">
              <w:rPr>
                <w:sz w:val="20"/>
                <w:lang w:val="fr-FR"/>
              </w:rPr>
              <w:t>Angels</w:t>
            </w:r>
            <w:proofErr w:type="spellEnd"/>
            <w:r w:rsidRPr="003962CD">
              <w:rPr>
                <w:sz w:val="20"/>
                <w:lang w:val="fr-FR"/>
              </w:rPr>
              <w:t xml:space="preserve"> contre leurs rivaux, dans le contexte de la guerre des motards. </w:t>
            </w:r>
          </w:p>
          <w:p w:rsidR="00D907B6" w:rsidRPr="003962CD" w:rsidRDefault="00D907B6" w:rsidP="003962CD">
            <w:pPr>
              <w:jc w:val="both"/>
              <w:rPr>
                <w:sz w:val="20"/>
                <w:lang w:val="fr-FR"/>
              </w:rPr>
            </w:pPr>
          </w:p>
          <w:p w:rsidR="00D907B6" w:rsidRPr="003962CD" w:rsidRDefault="00D907B6" w:rsidP="003962CD">
            <w:pPr>
              <w:jc w:val="both"/>
              <w:rPr>
                <w:sz w:val="20"/>
              </w:rPr>
            </w:pPr>
            <w:r w:rsidRPr="003962CD">
              <w:rPr>
                <w:sz w:val="20"/>
                <w:lang w:val="fr-FR"/>
              </w:rPr>
              <w:t xml:space="preserve">Au début du procès, M. Cartier présente une requête pour séparation des deux chefs d’accusation. Sa requête est rejetée. Il cherche ensuite l’exclusion de certains éléments de preuve d’ADN, ce qui est refusé. Puis, sa requête en arrêt des procédures sur le premier chef d’accusation, fondé sur la disparition ou destruction de certains éléments de preuve, est rejetée. Finalement, une requête du ministère public, qui cherche à faire admettre une preuve d’actes similaires, est également rejetée. En appel, M. Cartier invoque plusieurs moyens d’appel, sur les sujets suivants : (1) la demande de séparation des chefs d’accusation et la preuve de faits similaires; (2) la demande d’arrêt des procédures; (3) le témoignage de l’expert dans le domaine des motards criminalisés; (4) la preuve d’ADN; (5) le verdict déraisonnable et la demande de verdict imposé d’acquittement; et (6) divers reproches en ce qui a trait aux directives. </w:t>
            </w:r>
            <w:r w:rsidRPr="003962CD">
              <w:rPr>
                <w:sz w:val="20"/>
              </w:rPr>
              <w:t xml:space="preserve">Son </w:t>
            </w:r>
            <w:proofErr w:type="spellStart"/>
            <w:r w:rsidRPr="003962CD">
              <w:rPr>
                <w:sz w:val="20"/>
              </w:rPr>
              <w:t>appel</w:t>
            </w:r>
            <w:proofErr w:type="spellEnd"/>
            <w:r w:rsidRPr="003962CD">
              <w:rPr>
                <w:sz w:val="20"/>
              </w:rPr>
              <w:t xml:space="preserve"> </w:t>
            </w:r>
            <w:proofErr w:type="spellStart"/>
            <w:r w:rsidRPr="003962CD">
              <w:rPr>
                <w:sz w:val="20"/>
              </w:rPr>
              <w:t>est</w:t>
            </w:r>
            <w:proofErr w:type="spellEnd"/>
            <w:r w:rsidRPr="003962CD">
              <w:rPr>
                <w:sz w:val="20"/>
              </w:rPr>
              <w:t xml:space="preserve"> </w:t>
            </w:r>
            <w:proofErr w:type="spellStart"/>
            <w:r w:rsidRPr="003962CD">
              <w:rPr>
                <w:sz w:val="20"/>
              </w:rPr>
              <w:t>rejeté</w:t>
            </w:r>
            <w:proofErr w:type="spellEnd"/>
            <w:r w:rsidRPr="003962CD">
              <w:rPr>
                <w:sz w:val="20"/>
              </w:rPr>
              <w:t>.</w:t>
            </w:r>
          </w:p>
          <w:p w:rsidR="00D907B6" w:rsidRPr="003962CD" w:rsidRDefault="00D907B6" w:rsidP="003962CD">
            <w:pPr>
              <w:jc w:val="both"/>
              <w:rPr>
                <w:sz w:val="20"/>
              </w:rPr>
            </w:pPr>
          </w:p>
        </w:tc>
      </w:tr>
      <w:tr w:rsidR="00D907B6" w:rsidRPr="003962CD" w:rsidTr="00E95A6A">
        <w:tc>
          <w:tcPr>
            <w:tcW w:w="2427" w:type="pct"/>
            <w:gridSpan w:val="2"/>
          </w:tcPr>
          <w:p w:rsidR="00D907B6" w:rsidRPr="003962CD" w:rsidRDefault="00D907B6" w:rsidP="003962CD">
            <w:pPr>
              <w:jc w:val="both"/>
              <w:rPr>
                <w:sz w:val="20"/>
                <w:lang w:val="fr-FR"/>
              </w:rPr>
            </w:pPr>
            <w:r w:rsidRPr="003962CD">
              <w:rPr>
                <w:sz w:val="20"/>
                <w:lang w:val="fr-FR"/>
              </w:rPr>
              <w:t>Le 16 mars 2012</w:t>
            </w:r>
          </w:p>
          <w:p w:rsidR="00D907B6" w:rsidRPr="003962CD" w:rsidRDefault="00D907B6" w:rsidP="003962CD">
            <w:pPr>
              <w:jc w:val="both"/>
              <w:rPr>
                <w:sz w:val="20"/>
                <w:lang w:val="fr-FR"/>
              </w:rPr>
            </w:pPr>
            <w:r w:rsidRPr="003962CD">
              <w:rPr>
                <w:sz w:val="20"/>
                <w:lang w:val="fr-FR"/>
              </w:rPr>
              <w:t>Cour supérieure du Québec</w:t>
            </w:r>
          </w:p>
          <w:p w:rsidR="00D907B6" w:rsidRPr="003962CD" w:rsidRDefault="00D907B6" w:rsidP="003962CD">
            <w:pPr>
              <w:jc w:val="both"/>
              <w:rPr>
                <w:sz w:val="20"/>
              </w:rPr>
            </w:pPr>
            <w:r w:rsidRPr="003962CD">
              <w:rPr>
                <w:sz w:val="20"/>
              </w:rPr>
              <w:t xml:space="preserve">(Le </w:t>
            </w:r>
            <w:proofErr w:type="spellStart"/>
            <w:r w:rsidRPr="003962CD">
              <w:rPr>
                <w:sz w:val="20"/>
              </w:rPr>
              <w:t>juge</w:t>
            </w:r>
            <w:proofErr w:type="spellEnd"/>
            <w:r w:rsidRPr="003962CD">
              <w:rPr>
                <w:sz w:val="20"/>
              </w:rPr>
              <w:t xml:space="preserve"> </w:t>
            </w:r>
            <w:proofErr w:type="spellStart"/>
            <w:r w:rsidRPr="003962CD">
              <w:rPr>
                <w:sz w:val="20"/>
              </w:rPr>
              <w:t>Buffoni</w:t>
            </w:r>
            <w:proofErr w:type="spellEnd"/>
            <w:r w:rsidRPr="003962CD">
              <w:rPr>
                <w:sz w:val="20"/>
              </w:rPr>
              <w:t>)</w:t>
            </w:r>
          </w:p>
          <w:p w:rsidR="00D907B6" w:rsidRPr="003962CD" w:rsidRDefault="00D907B6" w:rsidP="003962CD">
            <w:pPr>
              <w:jc w:val="both"/>
              <w:rPr>
                <w:sz w:val="20"/>
              </w:rPr>
            </w:pPr>
          </w:p>
        </w:tc>
        <w:tc>
          <w:tcPr>
            <w:tcW w:w="243" w:type="pct"/>
          </w:tcPr>
          <w:p w:rsidR="00D907B6" w:rsidRPr="003962CD" w:rsidRDefault="00D907B6" w:rsidP="003962CD">
            <w:pPr>
              <w:jc w:val="both"/>
              <w:rPr>
                <w:sz w:val="20"/>
              </w:rPr>
            </w:pPr>
          </w:p>
        </w:tc>
        <w:tc>
          <w:tcPr>
            <w:tcW w:w="2330" w:type="pct"/>
          </w:tcPr>
          <w:p w:rsidR="00D907B6" w:rsidRPr="003962CD" w:rsidRDefault="00D907B6" w:rsidP="003962CD">
            <w:pPr>
              <w:jc w:val="both"/>
              <w:rPr>
                <w:sz w:val="20"/>
                <w:lang w:val="fr-FR"/>
              </w:rPr>
            </w:pPr>
            <w:r w:rsidRPr="003962CD">
              <w:rPr>
                <w:sz w:val="20"/>
                <w:lang w:val="fr-FR"/>
              </w:rPr>
              <w:t>Demandeur déclaré coupable de deux chefs d’accusation de meurtre au premier degré</w:t>
            </w:r>
          </w:p>
          <w:p w:rsidR="00D907B6" w:rsidRPr="003962CD" w:rsidRDefault="00D907B6" w:rsidP="003962CD">
            <w:pPr>
              <w:jc w:val="both"/>
              <w:rPr>
                <w:sz w:val="20"/>
                <w:lang w:val="fr-FR"/>
              </w:rPr>
            </w:pPr>
          </w:p>
        </w:tc>
      </w:tr>
      <w:tr w:rsidR="00D907B6" w:rsidRPr="003962CD" w:rsidTr="00E95A6A">
        <w:tc>
          <w:tcPr>
            <w:tcW w:w="2427" w:type="pct"/>
            <w:gridSpan w:val="2"/>
          </w:tcPr>
          <w:p w:rsidR="00D907B6" w:rsidRPr="003962CD" w:rsidRDefault="00D907B6" w:rsidP="003962CD">
            <w:pPr>
              <w:jc w:val="both"/>
              <w:rPr>
                <w:sz w:val="20"/>
                <w:lang w:val="fr-FR"/>
              </w:rPr>
            </w:pPr>
            <w:r w:rsidRPr="003962CD">
              <w:rPr>
                <w:sz w:val="20"/>
                <w:lang w:val="fr-FR"/>
              </w:rPr>
              <w:t>Le 19 février 2015</w:t>
            </w:r>
          </w:p>
          <w:p w:rsidR="00D907B6" w:rsidRPr="003962CD" w:rsidRDefault="00D907B6" w:rsidP="003962CD">
            <w:pPr>
              <w:jc w:val="both"/>
              <w:rPr>
                <w:sz w:val="20"/>
                <w:lang w:val="fr-FR"/>
              </w:rPr>
            </w:pPr>
            <w:r w:rsidRPr="003962CD">
              <w:rPr>
                <w:sz w:val="20"/>
                <w:lang w:val="fr-FR"/>
              </w:rPr>
              <w:t>Cour d’appel du Québec (Montréal)</w:t>
            </w:r>
          </w:p>
          <w:p w:rsidR="00D907B6" w:rsidRPr="003962CD" w:rsidRDefault="00D907B6" w:rsidP="003962CD">
            <w:pPr>
              <w:jc w:val="both"/>
              <w:rPr>
                <w:sz w:val="20"/>
                <w:lang w:val="fr-FR"/>
              </w:rPr>
            </w:pPr>
            <w:r w:rsidRPr="003962CD">
              <w:rPr>
                <w:sz w:val="20"/>
                <w:lang w:val="fr-FR"/>
              </w:rPr>
              <w:t>(Les juges Chamberland, Doyon et Marcotte)</w:t>
            </w:r>
          </w:p>
          <w:p w:rsidR="00D907B6" w:rsidRPr="003962CD" w:rsidRDefault="00D907B6" w:rsidP="003962CD">
            <w:pPr>
              <w:jc w:val="both"/>
              <w:rPr>
                <w:sz w:val="20"/>
              </w:rPr>
            </w:pPr>
            <w:hyperlink r:id="rId19" w:history="1">
              <w:r w:rsidRPr="003962CD">
                <w:rPr>
                  <w:rStyle w:val="Hyperlink"/>
                  <w:sz w:val="20"/>
                </w:rPr>
                <w:t>2015 QCCA 329</w:t>
              </w:r>
            </w:hyperlink>
          </w:p>
          <w:p w:rsidR="00D907B6" w:rsidRPr="003962CD" w:rsidRDefault="00D907B6" w:rsidP="003962CD">
            <w:pPr>
              <w:jc w:val="both"/>
              <w:rPr>
                <w:sz w:val="20"/>
              </w:rPr>
            </w:pPr>
          </w:p>
        </w:tc>
        <w:tc>
          <w:tcPr>
            <w:tcW w:w="243" w:type="pct"/>
          </w:tcPr>
          <w:p w:rsidR="00D907B6" w:rsidRPr="003962CD" w:rsidRDefault="00D907B6" w:rsidP="003962CD">
            <w:pPr>
              <w:jc w:val="both"/>
              <w:rPr>
                <w:sz w:val="20"/>
              </w:rPr>
            </w:pPr>
          </w:p>
        </w:tc>
        <w:tc>
          <w:tcPr>
            <w:tcW w:w="2330" w:type="pct"/>
          </w:tcPr>
          <w:p w:rsidR="00D907B6" w:rsidRPr="003962CD" w:rsidRDefault="00D907B6" w:rsidP="003962CD">
            <w:pPr>
              <w:jc w:val="both"/>
              <w:rPr>
                <w:sz w:val="20"/>
              </w:rPr>
            </w:pPr>
            <w:r w:rsidRPr="003962CD">
              <w:rPr>
                <w:sz w:val="20"/>
              </w:rPr>
              <w:t>Appel rejeté</w:t>
            </w:r>
          </w:p>
        </w:tc>
      </w:tr>
      <w:tr w:rsidR="00D907B6" w:rsidRPr="003962CD" w:rsidTr="00E95A6A">
        <w:tc>
          <w:tcPr>
            <w:tcW w:w="2427" w:type="pct"/>
            <w:gridSpan w:val="2"/>
          </w:tcPr>
          <w:p w:rsidR="00D907B6" w:rsidRPr="003962CD" w:rsidRDefault="00D907B6" w:rsidP="003962CD">
            <w:pPr>
              <w:jc w:val="both"/>
              <w:rPr>
                <w:sz w:val="20"/>
                <w:lang w:val="fr-FR"/>
              </w:rPr>
            </w:pPr>
            <w:r w:rsidRPr="003962CD">
              <w:rPr>
                <w:sz w:val="20"/>
                <w:lang w:val="fr-FR"/>
              </w:rPr>
              <w:t>Le 17 novembre 2015</w:t>
            </w:r>
          </w:p>
          <w:p w:rsidR="00D907B6" w:rsidRPr="003962CD" w:rsidRDefault="00D907B6" w:rsidP="003962CD">
            <w:pPr>
              <w:jc w:val="both"/>
              <w:rPr>
                <w:sz w:val="20"/>
                <w:lang w:val="fr-FR"/>
              </w:rPr>
            </w:pPr>
            <w:r w:rsidRPr="003962CD">
              <w:rPr>
                <w:sz w:val="20"/>
                <w:lang w:val="fr-FR"/>
              </w:rPr>
              <w:t>Cour suprême du Canada</w:t>
            </w:r>
          </w:p>
        </w:tc>
        <w:tc>
          <w:tcPr>
            <w:tcW w:w="243" w:type="pct"/>
          </w:tcPr>
          <w:p w:rsidR="00D907B6" w:rsidRPr="003962CD" w:rsidRDefault="00D907B6" w:rsidP="003962CD">
            <w:pPr>
              <w:jc w:val="both"/>
              <w:rPr>
                <w:sz w:val="20"/>
                <w:lang w:val="fr-FR"/>
              </w:rPr>
            </w:pPr>
          </w:p>
        </w:tc>
        <w:tc>
          <w:tcPr>
            <w:tcW w:w="2330" w:type="pct"/>
          </w:tcPr>
          <w:p w:rsidR="00D907B6" w:rsidRPr="003962CD" w:rsidRDefault="00D907B6" w:rsidP="003962CD">
            <w:pPr>
              <w:jc w:val="both"/>
              <w:rPr>
                <w:sz w:val="20"/>
                <w:lang w:val="fr-FR"/>
              </w:rPr>
            </w:pPr>
            <w:r w:rsidRPr="003962CD">
              <w:rPr>
                <w:sz w:val="20"/>
                <w:lang w:val="fr-FR"/>
              </w:rPr>
              <w:t>Demande de prorogation de délai et demande d’autorisation d’appel déposées</w:t>
            </w:r>
          </w:p>
        </w:tc>
      </w:tr>
    </w:tbl>
    <w:p w:rsidR="00D907B6" w:rsidRPr="003962CD" w:rsidRDefault="00D907B6" w:rsidP="003962CD">
      <w:pPr>
        <w:jc w:val="both"/>
        <w:rPr>
          <w:sz w:val="20"/>
          <w:lang w:val="fr-FR"/>
        </w:rPr>
      </w:pPr>
    </w:p>
    <w:p w:rsidR="00D907B6" w:rsidRPr="003962CD" w:rsidRDefault="00D907B6" w:rsidP="003962CD">
      <w:pPr>
        <w:jc w:val="both"/>
        <w:rPr>
          <w:i/>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E95A6A">
        <w:tc>
          <w:tcPr>
            <w:tcW w:w="543" w:type="pct"/>
          </w:tcPr>
          <w:p w:rsidR="003962CD" w:rsidRPr="003962CD" w:rsidRDefault="003962CD" w:rsidP="003962CD">
            <w:pPr>
              <w:jc w:val="both"/>
              <w:rPr>
                <w:sz w:val="20"/>
              </w:rPr>
            </w:pPr>
            <w:r w:rsidRPr="003962CD">
              <w:rPr>
                <w:rStyle w:val="SCCFileNumberChar"/>
                <w:sz w:val="20"/>
                <w:szCs w:val="20"/>
              </w:rPr>
              <w:t>36617</w:t>
            </w:r>
          </w:p>
        </w:tc>
        <w:tc>
          <w:tcPr>
            <w:tcW w:w="4457" w:type="pct"/>
            <w:gridSpan w:val="3"/>
          </w:tcPr>
          <w:p w:rsidR="003962CD" w:rsidRPr="003962CD" w:rsidRDefault="003962CD" w:rsidP="003962CD">
            <w:pPr>
              <w:pStyle w:val="SCCLsocParty"/>
              <w:jc w:val="both"/>
              <w:rPr>
                <w:b/>
                <w:sz w:val="20"/>
                <w:szCs w:val="20"/>
                <w:lang w:val="en-CA"/>
              </w:rPr>
            </w:pPr>
            <w:r w:rsidRPr="003962CD">
              <w:rPr>
                <w:b/>
                <w:sz w:val="20"/>
                <w:szCs w:val="20"/>
                <w:lang w:val="en-CA"/>
              </w:rPr>
              <w:t xml:space="preserve">Fred </w:t>
            </w:r>
            <w:proofErr w:type="spellStart"/>
            <w:r w:rsidRPr="003962CD">
              <w:rPr>
                <w:b/>
                <w:sz w:val="20"/>
                <w:szCs w:val="20"/>
                <w:lang w:val="en-CA"/>
              </w:rPr>
              <w:t>Bellehumeur</w:t>
            </w:r>
            <w:proofErr w:type="spellEnd"/>
            <w:r w:rsidRPr="003962CD">
              <w:rPr>
                <w:b/>
                <w:sz w:val="20"/>
                <w:szCs w:val="20"/>
                <w:lang w:val="en-CA"/>
              </w:rPr>
              <w:t xml:space="preserve"> v. Windsor Factory Supply Ltd.</w:t>
            </w:r>
          </w:p>
          <w:p w:rsidR="003962CD" w:rsidRPr="003962CD" w:rsidRDefault="003962CD" w:rsidP="003962CD">
            <w:pPr>
              <w:jc w:val="both"/>
              <w:rPr>
                <w:sz w:val="20"/>
              </w:rPr>
            </w:pPr>
            <w:r w:rsidRPr="003962CD">
              <w:rPr>
                <w:sz w:val="20"/>
              </w:rPr>
              <w:t>(Ont.) (Civil) (By Leave)</w:t>
            </w:r>
          </w:p>
        </w:tc>
      </w:tr>
      <w:tr w:rsidR="003962CD" w:rsidRPr="003962CD" w:rsidTr="00E95A6A">
        <w:tc>
          <w:tcPr>
            <w:tcW w:w="5000" w:type="pct"/>
            <w:gridSpan w:val="4"/>
          </w:tcPr>
          <w:p w:rsidR="003962CD" w:rsidRPr="003962CD" w:rsidRDefault="003962CD" w:rsidP="003962CD">
            <w:pPr>
              <w:pStyle w:val="SCCBanSummary"/>
              <w:rPr>
                <w:smallCaps w:val="0"/>
                <w:sz w:val="20"/>
                <w:szCs w:val="20"/>
              </w:rPr>
            </w:pPr>
            <w:r w:rsidRPr="003962CD">
              <w:rPr>
                <w:smallCaps w:val="0"/>
                <w:sz w:val="20"/>
                <w:szCs w:val="20"/>
              </w:rPr>
              <w:t>Employment law — Unjust dismissal — Duty to accommodate — Disability — Workplace misconduct — Employee was terminated for cause as a result of violent threats made to fellow employees — After termination, employee indicating to employer he suffered from mental disability — Employee requesting termination be lifted — Employer maintaining termination — Trial judge dismissing action — Court of Appeal dismissing appeal — Whether an employer has an obligation to accommodate an employee’s disability when it learns about disability after terminating employee — Whether duty to accommodate applies where an employee with a disability has engaged in serious workplace misconduct.</w:t>
            </w:r>
          </w:p>
        </w:tc>
      </w:tr>
      <w:tr w:rsidR="003962CD" w:rsidRPr="003962CD" w:rsidTr="00E95A6A">
        <w:tc>
          <w:tcPr>
            <w:tcW w:w="5000" w:type="pct"/>
            <w:gridSpan w:val="4"/>
          </w:tcPr>
          <w:p w:rsidR="003962CD" w:rsidRPr="003962CD" w:rsidRDefault="003962CD" w:rsidP="003962CD">
            <w:pPr>
              <w:jc w:val="both"/>
              <w:rPr>
                <w:sz w:val="20"/>
              </w:rPr>
            </w:pPr>
          </w:p>
        </w:tc>
      </w:tr>
      <w:tr w:rsidR="003962CD" w:rsidRPr="003962CD" w:rsidTr="00E95A6A">
        <w:tc>
          <w:tcPr>
            <w:tcW w:w="5000" w:type="pct"/>
            <w:gridSpan w:val="4"/>
          </w:tcPr>
          <w:p w:rsidR="003962CD" w:rsidRPr="003962CD" w:rsidRDefault="003962CD" w:rsidP="003962CD">
            <w:pPr>
              <w:jc w:val="both"/>
              <w:rPr>
                <w:sz w:val="20"/>
              </w:rPr>
            </w:pPr>
            <w:r w:rsidRPr="003962CD">
              <w:rPr>
                <w:sz w:val="20"/>
              </w:rPr>
              <w:t>The applicant employee was terminated for cause as a result of violent threats he made to fellow employees when he left the place of employment after being disciplined. Shortly after termination, the employee’s lawyer sent a letter to the respondent, employer indicating that the employee suffered from a mental disability. The employee requested the termination be lifted but the employer maintained the termination.</w:t>
            </w:r>
          </w:p>
          <w:p w:rsidR="003962CD" w:rsidRPr="003962CD" w:rsidRDefault="003962CD" w:rsidP="003962CD">
            <w:pPr>
              <w:jc w:val="both"/>
              <w:rPr>
                <w:sz w:val="20"/>
              </w:rPr>
            </w:pPr>
          </w:p>
          <w:p w:rsidR="003962CD" w:rsidRPr="003962CD" w:rsidRDefault="003962CD" w:rsidP="003962CD">
            <w:pPr>
              <w:jc w:val="both"/>
              <w:rPr>
                <w:sz w:val="20"/>
              </w:rPr>
            </w:pPr>
            <w:r w:rsidRPr="003962CD">
              <w:rPr>
                <w:sz w:val="20"/>
              </w:rPr>
              <w:t xml:space="preserve">The employee brought an action for wrongful dismissal, a violation of the </w:t>
            </w:r>
            <w:r w:rsidRPr="003962CD">
              <w:rPr>
                <w:i/>
                <w:sz w:val="20"/>
              </w:rPr>
              <w:t>Human Rights Code</w:t>
            </w:r>
            <w:r w:rsidRPr="003962CD">
              <w:rPr>
                <w:sz w:val="20"/>
              </w:rPr>
              <w:t xml:space="preserve">, R.S.O. 1990, c. H.19 and claims related to his dismissal from employment. The trial judge dismissed the action. The Court of Appeal dismissed the appeal.  </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August 8, 2013</w:t>
            </w:r>
          </w:p>
          <w:p w:rsidR="003962CD" w:rsidRPr="003962CD" w:rsidRDefault="003962CD" w:rsidP="003962CD">
            <w:pPr>
              <w:jc w:val="both"/>
              <w:rPr>
                <w:sz w:val="20"/>
              </w:rPr>
            </w:pPr>
            <w:r w:rsidRPr="003962CD">
              <w:rPr>
                <w:sz w:val="20"/>
              </w:rPr>
              <w:t>Ontario Superior Court of Justice</w:t>
            </w:r>
          </w:p>
          <w:p w:rsidR="003962CD" w:rsidRPr="003962CD" w:rsidRDefault="003962CD" w:rsidP="003962CD">
            <w:pPr>
              <w:jc w:val="both"/>
              <w:rPr>
                <w:sz w:val="20"/>
              </w:rPr>
            </w:pPr>
            <w:r w:rsidRPr="003962CD">
              <w:rPr>
                <w:sz w:val="20"/>
              </w:rPr>
              <w:t>(Patterson J.)</w:t>
            </w:r>
          </w:p>
          <w:p w:rsidR="003962CD" w:rsidRPr="003962CD" w:rsidRDefault="003962CD" w:rsidP="003962CD">
            <w:pPr>
              <w:jc w:val="both"/>
              <w:rPr>
                <w:sz w:val="20"/>
              </w:rPr>
            </w:pPr>
            <w:r w:rsidRPr="003962CD">
              <w:rPr>
                <w:sz w:val="20"/>
              </w:rPr>
              <w:t>2013 ONSC 4373</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Action dismissed.</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June 24, 2015</w:t>
            </w:r>
          </w:p>
          <w:p w:rsidR="003962CD" w:rsidRPr="003962CD" w:rsidRDefault="003962CD" w:rsidP="003962CD">
            <w:pPr>
              <w:jc w:val="both"/>
              <w:rPr>
                <w:sz w:val="20"/>
              </w:rPr>
            </w:pPr>
            <w:r w:rsidRPr="003962CD">
              <w:rPr>
                <w:sz w:val="20"/>
              </w:rPr>
              <w:t>Court of Appeal for Ontario</w:t>
            </w:r>
          </w:p>
          <w:p w:rsidR="003962CD" w:rsidRPr="003962CD" w:rsidRDefault="003962CD" w:rsidP="003962CD">
            <w:pPr>
              <w:jc w:val="both"/>
              <w:rPr>
                <w:sz w:val="20"/>
              </w:rPr>
            </w:pPr>
            <w:r w:rsidRPr="003962CD">
              <w:rPr>
                <w:sz w:val="20"/>
              </w:rPr>
              <w:t>(</w:t>
            </w:r>
            <w:proofErr w:type="spellStart"/>
            <w:r w:rsidRPr="003962CD">
              <w:rPr>
                <w:sz w:val="20"/>
              </w:rPr>
              <w:t>MacFarland</w:t>
            </w:r>
            <w:proofErr w:type="spellEnd"/>
            <w:r w:rsidRPr="003962CD">
              <w:rPr>
                <w:sz w:val="20"/>
              </w:rPr>
              <w:t xml:space="preserve">, Rouleau and </w:t>
            </w:r>
            <w:proofErr w:type="spellStart"/>
            <w:r w:rsidRPr="003962CD">
              <w:rPr>
                <w:sz w:val="20"/>
              </w:rPr>
              <w:t>Lauwers</w:t>
            </w:r>
            <w:proofErr w:type="spellEnd"/>
            <w:r w:rsidRPr="003962CD">
              <w:rPr>
                <w:sz w:val="20"/>
              </w:rPr>
              <w:t xml:space="preserve"> JJ.A.)</w:t>
            </w:r>
          </w:p>
          <w:p w:rsidR="003962CD" w:rsidRPr="003962CD" w:rsidRDefault="003962CD" w:rsidP="003962CD">
            <w:pPr>
              <w:jc w:val="both"/>
              <w:rPr>
                <w:sz w:val="20"/>
              </w:rPr>
            </w:pPr>
            <w:hyperlink r:id="rId20" w:history="1">
              <w:r w:rsidRPr="003962CD">
                <w:rPr>
                  <w:rStyle w:val="Hyperlink"/>
                  <w:sz w:val="20"/>
                </w:rPr>
                <w:t>2015 ONCA 473</w:t>
              </w:r>
            </w:hyperlink>
          </w:p>
          <w:p w:rsidR="003962CD" w:rsidRPr="003962CD" w:rsidRDefault="003962CD" w:rsidP="003962CD">
            <w:pPr>
              <w:jc w:val="both"/>
              <w:rPr>
                <w:sz w:val="20"/>
              </w:rPr>
            </w:pPr>
            <w:r w:rsidRPr="003962CD">
              <w:rPr>
                <w:sz w:val="20"/>
              </w:rPr>
              <w:t>File No.: C57727</w:t>
            </w:r>
          </w:p>
          <w:p w:rsidR="003962CD" w:rsidRPr="003962CD" w:rsidRDefault="003962CD" w:rsidP="003962CD">
            <w:pPr>
              <w:jc w:val="both"/>
              <w:rPr>
                <w:sz w:val="20"/>
                <w:lang w:val="fr-FR"/>
              </w:rPr>
            </w:pPr>
          </w:p>
        </w:tc>
        <w:tc>
          <w:tcPr>
            <w:tcW w:w="243" w:type="pct"/>
          </w:tcPr>
          <w:p w:rsidR="003962CD" w:rsidRPr="003962CD" w:rsidRDefault="003962CD" w:rsidP="003962CD">
            <w:pPr>
              <w:jc w:val="both"/>
              <w:rPr>
                <w:sz w:val="20"/>
                <w:lang w:val="fr-FR"/>
              </w:rPr>
            </w:pPr>
          </w:p>
        </w:tc>
        <w:tc>
          <w:tcPr>
            <w:tcW w:w="2330" w:type="pct"/>
          </w:tcPr>
          <w:p w:rsidR="003962CD" w:rsidRPr="003962CD" w:rsidRDefault="003962CD" w:rsidP="003962CD">
            <w:pPr>
              <w:jc w:val="both"/>
              <w:rPr>
                <w:sz w:val="20"/>
              </w:rPr>
            </w:pPr>
            <w:r w:rsidRPr="003962CD">
              <w:rPr>
                <w:sz w:val="20"/>
              </w:rPr>
              <w:t>Appeal dismissed.</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September 17, 2015</w:t>
            </w:r>
          </w:p>
          <w:p w:rsidR="003962CD" w:rsidRPr="003962CD" w:rsidRDefault="003962CD" w:rsidP="003962CD">
            <w:pPr>
              <w:jc w:val="both"/>
              <w:rPr>
                <w:sz w:val="20"/>
              </w:rPr>
            </w:pPr>
            <w:r w:rsidRPr="003962CD">
              <w:rPr>
                <w:sz w:val="20"/>
              </w:rPr>
              <w:t>Supreme Court of Canada</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Application for leave to appeal filed.</w:t>
            </w:r>
          </w:p>
          <w:p w:rsidR="003962CD" w:rsidRPr="003962CD" w:rsidRDefault="003962CD" w:rsidP="003962CD">
            <w:pPr>
              <w:jc w:val="both"/>
              <w:rPr>
                <w:sz w:val="20"/>
              </w:rPr>
            </w:pPr>
          </w:p>
        </w:tc>
      </w:tr>
    </w:tbl>
    <w:p w:rsidR="003962CD" w:rsidRPr="003962CD" w:rsidRDefault="003962CD" w:rsidP="003962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E95A6A">
        <w:tc>
          <w:tcPr>
            <w:tcW w:w="543" w:type="pct"/>
          </w:tcPr>
          <w:p w:rsidR="003962CD" w:rsidRPr="003962CD" w:rsidRDefault="003962CD" w:rsidP="003962CD">
            <w:pPr>
              <w:jc w:val="both"/>
              <w:rPr>
                <w:sz w:val="20"/>
              </w:rPr>
            </w:pPr>
            <w:r w:rsidRPr="003962CD">
              <w:rPr>
                <w:rStyle w:val="SCCFileNumberChar"/>
                <w:sz w:val="20"/>
                <w:szCs w:val="20"/>
              </w:rPr>
              <w:t>36617</w:t>
            </w:r>
          </w:p>
        </w:tc>
        <w:tc>
          <w:tcPr>
            <w:tcW w:w="4457" w:type="pct"/>
            <w:gridSpan w:val="3"/>
          </w:tcPr>
          <w:p w:rsidR="003962CD" w:rsidRPr="003962CD" w:rsidRDefault="003962CD" w:rsidP="003962CD">
            <w:pPr>
              <w:pStyle w:val="SCCLsocParty"/>
              <w:jc w:val="both"/>
              <w:rPr>
                <w:b/>
                <w:sz w:val="20"/>
                <w:szCs w:val="20"/>
                <w:lang w:val="en-CA"/>
              </w:rPr>
            </w:pPr>
            <w:r w:rsidRPr="003962CD">
              <w:rPr>
                <w:b/>
                <w:sz w:val="20"/>
                <w:szCs w:val="20"/>
                <w:lang w:val="en-CA"/>
              </w:rPr>
              <w:t xml:space="preserve">Fred </w:t>
            </w:r>
            <w:proofErr w:type="spellStart"/>
            <w:r w:rsidRPr="003962CD">
              <w:rPr>
                <w:b/>
                <w:sz w:val="20"/>
                <w:szCs w:val="20"/>
                <w:lang w:val="en-CA"/>
              </w:rPr>
              <w:t>Bellehumeur</w:t>
            </w:r>
            <w:proofErr w:type="spellEnd"/>
            <w:r w:rsidRPr="003962CD">
              <w:rPr>
                <w:b/>
                <w:sz w:val="20"/>
                <w:szCs w:val="20"/>
                <w:lang w:val="en-CA"/>
              </w:rPr>
              <w:t xml:space="preserve"> c. Windsor Factory Supply Ltd.</w:t>
            </w:r>
          </w:p>
          <w:p w:rsidR="003962CD" w:rsidRPr="003962CD" w:rsidRDefault="003962CD" w:rsidP="003962CD">
            <w:pPr>
              <w:jc w:val="both"/>
              <w:rPr>
                <w:sz w:val="20"/>
              </w:rPr>
            </w:pPr>
            <w:r w:rsidRPr="003962CD">
              <w:rPr>
                <w:sz w:val="20"/>
              </w:rPr>
              <w:t>(Ont.) (</w:t>
            </w:r>
            <w:proofErr w:type="spellStart"/>
            <w:r w:rsidRPr="003962CD">
              <w:rPr>
                <w:sz w:val="20"/>
              </w:rPr>
              <w:t>Civile</w:t>
            </w:r>
            <w:proofErr w:type="spellEnd"/>
            <w:r w:rsidRPr="003962CD">
              <w:rPr>
                <w:sz w:val="20"/>
              </w:rPr>
              <w:t xml:space="preserve">) (Sur </w:t>
            </w:r>
            <w:proofErr w:type="spellStart"/>
            <w:r w:rsidRPr="003962CD">
              <w:rPr>
                <w:sz w:val="20"/>
              </w:rPr>
              <w:t>autorisation</w:t>
            </w:r>
            <w:proofErr w:type="spellEnd"/>
            <w:r w:rsidRPr="003962CD">
              <w:rPr>
                <w:sz w:val="20"/>
              </w:rPr>
              <w:t>)</w:t>
            </w:r>
          </w:p>
        </w:tc>
      </w:tr>
      <w:tr w:rsidR="003962CD" w:rsidRPr="003962CD" w:rsidTr="00E95A6A">
        <w:tc>
          <w:tcPr>
            <w:tcW w:w="5000" w:type="pct"/>
            <w:gridSpan w:val="4"/>
          </w:tcPr>
          <w:p w:rsidR="003962CD" w:rsidRPr="003962CD" w:rsidRDefault="003962CD" w:rsidP="003962CD">
            <w:pPr>
              <w:pStyle w:val="SCCBanSummary"/>
              <w:rPr>
                <w:smallCaps w:val="0"/>
                <w:sz w:val="20"/>
                <w:szCs w:val="20"/>
                <w:lang w:val="fr-CA"/>
              </w:rPr>
            </w:pPr>
            <w:r w:rsidRPr="003962CD">
              <w:rPr>
                <w:smallCaps w:val="0"/>
                <w:sz w:val="20"/>
                <w:szCs w:val="20"/>
                <w:lang w:val="fr-CA"/>
              </w:rPr>
              <w:t xml:space="preserve">Droit de l’emploi — Congédiement injustifié — Obligation d’accommodement — Déficience — Mauvaise conduite au travail — Congédiement d’un salarié pour avoir proféré des menaces de violence contre des collègues — Après le congédiement, information de l’employeur par le salarié que ce dernier était atteint de déficience mentale — Demande d’annulation du congédiement par le salarié — Refus de l’employeur — Rejet de l’action en première instance — Rejet de l’appel par la Cour d’appel — L’employeur </w:t>
            </w:r>
            <w:proofErr w:type="spellStart"/>
            <w:r w:rsidRPr="003962CD">
              <w:rPr>
                <w:smallCaps w:val="0"/>
                <w:sz w:val="20"/>
                <w:szCs w:val="20"/>
                <w:lang w:val="fr-CA"/>
              </w:rPr>
              <w:t>a-t-il</w:t>
            </w:r>
            <w:proofErr w:type="spellEnd"/>
            <w:r w:rsidRPr="003962CD">
              <w:rPr>
                <w:smallCaps w:val="0"/>
                <w:sz w:val="20"/>
                <w:szCs w:val="20"/>
                <w:lang w:val="fr-CA"/>
              </w:rPr>
              <w:t xml:space="preserve"> l’obligation de composer avec la déficience d’un salarié lorsqu’il apprend son existence après avoir congédié le salarié? — Y </w:t>
            </w:r>
            <w:proofErr w:type="spellStart"/>
            <w:r w:rsidRPr="003962CD">
              <w:rPr>
                <w:smallCaps w:val="0"/>
                <w:sz w:val="20"/>
                <w:szCs w:val="20"/>
                <w:lang w:val="fr-CA"/>
              </w:rPr>
              <w:t>a-t-il</w:t>
            </w:r>
            <w:proofErr w:type="spellEnd"/>
            <w:r w:rsidRPr="003962CD">
              <w:rPr>
                <w:smallCaps w:val="0"/>
                <w:sz w:val="20"/>
                <w:szCs w:val="20"/>
                <w:lang w:val="fr-CA"/>
              </w:rPr>
              <w:t xml:space="preserve"> obligation d’accommodement envers un salarié atteint d’une déficience en cas de mauvaise conduite grave au travail de sa part?</w:t>
            </w:r>
          </w:p>
        </w:tc>
      </w:tr>
      <w:tr w:rsidR="003962CD" w:rsidRPr="003962CD" w:rsidTr="00E95A6A">
        <w:tc>
          <w:tcPr>
            <w:tcW w:w="5000" w:type="pct"/>
            <w:gridSpan w:val="4"/>
          </w:tcPr>
          <w:p w:rsidR="003962CD" w:rsidRPr="003962CD" w:rsidRDefault="003962CD" w:rsidP="003962CD">
            <w:pPr>
              <w:jc w:val="both"/>
              <w:rPr>
                <w:sz w:val="20"/>
                <w:lang w:val="fr-CA"/>
              </w:rPr>
            </w:pPr>
          </w:p>
        </w:tc>
      </w:tr>
      <w:tr w:rsidR="003962CD" w:rsidRPr="003962CD" w:rsidTr="00E95A6A">
        <w:tc>
          <w:tcPr>
            <w:tcW w:w="5000" w:type="pct"/>
            <w:gridSpan w:val="4"/>
          </w:tcPr>
          <w:p w:rsidR="003962CD" w:rsidRPr="003962CD" w:rsidRDefault="003962CD" w:rsidP="003962CD">
            <w:pPr>
              <w:jc w:val="both"/>
              <w:rPr>
                <w:sz w:val="20"/>
                <w:lang w:val="fr-CA"/>
              </w:rPr>
            </w:pPr>
            <w:r w:rsidRPr="003962CD">
              <w:rPr>
                <w:sz w:val="20"/>
                <w:lang w:val="fr-CA"/>
              </w:rPr>
              <w:t>Le salarié a fait l’objet d’un renvoi motivé par suite de menaces de violence proférées à l’endroit de collègues lorsqu’il avait quitté le lieu de travail après s’être vu infliger une mesure disciplinaire. Peu après le congédiement, son avocat a transmis à l’employeur une lettre l’informant que son client souffrait d’une déficience mentale. Le salarié a demandé l’annulation du congédiement, mais l’employeur a refusé d’acquiescer à sa demande.</w:t>
            </w:r>
          </w:p>
          <w:p w:rsidR="003962CD" w:rsidRPr="003962CD" w:rsidRDefault="003962CD" w:rsidP="003962CD">
            <w:pPr>
              <w:jc w:val="both"/>
              <w:rPr>
                <w:sz w:val="20"/>
                <w:lang w:val="fr-CA"/>
              </w:rPr>
            </w:pPr>
          </w:p>
          <w:p w:rsidR="003962CD" w:rsidRPr="003962CD" w:rsidRDefault="003962CD" w:rsidP="003962CD">
            <w:pPr>
              <w:jc w:val="both"/>
              <w:rPr>
                <w:sz w:val="20"/>
                <w:lang w:val="fr-CA"/>
              </w:rPr>
            </w:pPr>
            <w:r w:rsidRPr="003962CD">
              <w:rPr>
                <w:sz w:val="20"/>
                <w:lang w:val="fr-CA"/>
              </w:rPr>
              <w:t>Le salarié a saisi la justice pour congédiement injustifié et violation du</w:t>
            </w:r>
            <w:r w:rsidRPr="003962CD">
              <w:rPr>
                <w:i/>
                <w:sz w:val="20"/>
                <w:lang w:val="fr-CA"/>
              </w:rPr>
              <w:t xml:space="preserve"> Code des droits de la personne</w:t>
            </w:r>
            <w:r w:rsidRPr="003962CD">
              <w:rPr>
                <w:sz w:val="20"/>
                <w:lang w:val="fr-CA"/>
              </w:rPr>
              <w:t xml:space="preserve">, L.R.O. 1990, c. H.19. Il a également formulé différentes allégations liées à son congédiement. Le juge de première instance a rejeté l’action. La Cour d’appel a rejeté l’appel </w:t>
            </w: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8 août 2013</w:t>
            </w:r>
          </w:p>
          <w:p w:rsidR="003962CD" w:rsidRPr="003962CD" w:rsidRDefault="003962CD" w:rsidP="003962CD">
            <w:pPr>
              <w:jc w:val="both"/>
              <w:rPr>
                <w:sz w:val="20"/>
                <w:lang w:val="fr-CA"/>
              </w:rPr>
            </w:pPr>
            <w:r w:rsidRPr="003962CD">
              <w:rPr>
                <w:sz w:val="20"/>
                <w:lang w:val="fr-CA"/>
              </w:rPr>
              <w:t>Cour supérieure de justice de l’Ontario</w:t>
            </w:r>
          </w:p>
          <w:p w:rsidR="003962CD" w:rsidRPr="003962CD" w:rsidRDefault="003962CD" w:rsidP="003962CD">
            <w:pPr>
              <w:jc w:val="both"/>
              <w:rPr>
                <w:sz w:val="20"/>
                <w:lang w:val="fr-CA"/>
              </w:rPr>
            </w:pPr>
            <w:r w:rsidRPr="003962CD">
              <w:rPr>
                <w:sz w:val="20"/>
                <w:lang w:val="fr-CA"/>
              </w:rPr>
              <w:t>(Juge Patterson)</w:t>
            </w:r>
          </w:p>
          <w:p w:rsidR="003962CD" w:rsidRPr="003962CD" w:rsidRDefault="003962CD" w:rsidP="003962CD">
            <w:pPr>
              <w:jc w:val="both"/>
              <w:rPr>
                <w:sz w:val="20"/>
                <w:lang w:val="fr-CA"/>
              </w:rPr>
            </w:pPr>
            <w:r w:rsidRPr="003962CD">
              <w:rPr>
                <w:sz w:val="20"/>
                <w:lang w:val="fr-CA"/>
              </w:rPr>
              <w:t>2013 ONSC 4373</w:t>
            </w:r>
          </w:p>
          <w:p w:rsidR="003962CD" w:rsidRPr="003962CD" w:rsidRDefault="003962CD" w:rsidP="003962CD">
            <w:pPr>
              <w:jc w:val="both"/>
              <w:rPr>
                <w:sz w:val="20"/>
                <w:lang w:val="fr-CA"/>
              </w:rPr>
            </w:pP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Rejet de l’action.</w:t>
            </w: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24 juin 2015</w:t>
            </w:r>
          </w:p>
          <w:p w:rsidR="003962CD" w:rsidRPr="003962CD" w:rsidRDefault="003962CD" w:rsidP="003962CD">
            <w:pPr>
              <w:jc w:val="both"/>
              <w:rPr>
                <w:sz w:val="20"/>
                <w:lang w:val="fr-CA"/>
              </w:rPr>
            </w:pPr>
            <w:r w:rsidRPr="003962CD">
              <w:rPr>
                <w:sz w:val="20"/>
                <w:lang w:val="fr-CA"/>
              </w:rPr>
              <w:t>Cour d’appel de l’Ontario</w:t>
            </w:r>
          </w:p>
          <w:p w:rsidR="003962CD" w:rsidRPr="003962CD" w:rsidRDefault="003962CD" w:rsidP="003962CD">
            <w:pPr>
              <w:jc w:val="both"/>
              <w:rPr>
                <w:sz w:val="20"/>
                <w:lang w:val="fr-CA"/>
              </w:rPr>
            </w:pPr>
            <w:r w:rsidRPr="003962CD">
              <w:rPr>
                <w:sz w:val="20"/>
                <w:lang w:val="fr-CA"/>
              </w:rPr>
              <w:t xml:space="preserve">(Juges </w:t>
            </w:r>
            <w:proofErr w:type="spellStart"/>
            <w:r w:rsidRPr="003962CD">
              <w:rPr>
                <w:sz w:val="20"/>
                <w:lang w:val="fr-CA"/>
              </w:rPr>
              <w:t>MacFarland</w:t>
            </w:r>
            <w:proofErr w:type="spellEnd"/>
            <w:r w:rsidRPr="003962CD">
              <w:rPr>
                <w:sz w:val="20"/>
                <w:lang w:val="fr-CA"/>
              </w:rPr>
              <w:t xml:space="preserve">, Rouleau et </w:t>
            </w:r>
            <w:proofErr w:type="spellStart"/>
            <w:r w:rsidRPr="003962CD">
              <w:rPr>
                <w:sz w:val="20"/>
                <w:lang w:val="fr-CA"/>
              </w:rPr>
              <w:t>Lauwers</w:t>
            </w:r>
            <w:proofErr w:type="spellEnd"/>
            <w:r w:rsidRPr="003962CD">
              <w:rPr>
                <w:sz w:val="20"/>
                <w:lang w:val="fr-CA"/>
              </w:rPr>
              <w:t>)</w:t>
            </w:r>
          </w:p>
          <w:p w:rsidR="003962CD" w:rsidRPr="003962CD" w:rsidRDefault="003962CD" w:rsidP="003962CD">
            <w:pPr>
              <w:jc w:val="both"/>
              <w:rPr>
                <w:sz w:val="20"/>
                <w:lang w:val="fr-CA"/>
              </w:rPr>
            </w:pPr>
            <w:hyperlink r:id="rId21" w:history="1">
              <w:r w:rsidRPr="003962CD">
                <w:rPr>
                  <w:rStyle w:val="Hyperlink"/>
                  <w:sz w:val="20"/>
                  <w:lang w:val="fr-CA"/>
                </w:rPr>
                <w:t>2015 ONCA 473</w:t>
              </w:r>
            </w:hyperlink>
          </w:p>
          <w:p w:rsidR="003962CD" w:rsidRPr="003962CD" w:rsidRDefault="003962CD" w:rsidP="003962CD">
            <w:pPr>
              <w:jc w:val="both"/>
              <w:rPr>
                <w:sz w:val="20"/>
                <w:lang w:val="fr-CA"/>
              </w:rPr>
            </w:pPr>
            <w:r w:rsidRPr="003962CD">
              <w:rPr>
                <w:sz w:val="20"/>
                <w:lang w:val="fr-CA"/>
              </w:rPr>
              <w:t>N</w:t>
            </w:r>
            <w:r w:rsidRPr="003962CD">
              <w:rPr>
                <w:sz w:val="20"/>
                <w:vertAlign w:val="superscript"/>
                <w:lang w:val="fr-CA"/>
              </w:rPr>
              <w:t>o</w:t>
            </w:r>
            <w:r w:rsidRPr="003962CD">
              <w:rPr>
                <w:sz w:val="20"/>
                <w:lang w:val="fr-CA"/>
              </w:rPr>
              <w:t xml:space="preserve"> du greffe: C57727</w:t>
            </w:r>
          </w:p>
          <w:p w:rsidR="003962CD" w:rsidRPr="003962CD" w:rsidRDefault="003962CD" w:rsidP="003962CD">
            <w:pPr>
              <w:jc w:val="both"/>
              <w:rPr>
                <w:sz w:val="20"/>
                <w:lang w:val="fr-FR"/>
              </w:rPr>
            </w:pPr>
          </w:p>
        </w:tc>
        <w:tc>
          <w:tcPr>
            <w:tcW w:w="243" w:type="pct"/>
          </w:tcPr>
          <w:p w:rsidR="003962CD" w:rsidRPr="003962CD" w:rsidRDefault="003962CD" w:rsidP="003962CD">
            <w:pPr>
              <w:jc w:val="both"/>
              <w:rPr>
                <w:sz w:val="20"/>
                <w:lang w:val="fr-FR"/>
              </w:rPr>
            </w:pPr>
          </w:p>
        </w:tc>
        <w:tc>
          <w:tcPr>
            <w:tcW w:w="2330" w:type="pct"/>
          </w:tcPr>
          <w:p w:rsidR="003962CD" w:rsidRPr="003962CD" w:rsidRDefault="003962CD" w:rsidP="003962CD">
            <w:pPr>
              <w:jc w:val="both"/>
              <w:rPr>
                <w:sz w:val="20"/>
              </w:rPr>
            </w:pPr>
            <w:r w:rsidRPr="003962CD">
              <w:rPr>
                <w:sz w:val="20"/>
                <w:lang w:val="fr-CA"/>
              </w:rPr>
              <w:t>Rejet de l’appel</w:t>
            </w:r>
            <w:r w:rsidRPr="003962CD">
              <w:rPr>
                <w:sz w:val="20"/>
              </w:rPr>
              <w:t>.</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17 septembre 2015</w:t>
            </w:r>
          </w:p>
          <w:p w:rsidR="003962CD" w:rsidRPr="003962CD" w:rsidRDefault="003962CD" w:rsidP="003962CD">
            <w:pPr>
              <w:jc w:val="both"/>
              <w:rPr>
                <w:sz w:val="20"/>
                <w:lang w:val="fr-CA"/>
              </w:rPr>
            </w:pPr>
            <w:r w:rsidRPr="003962CD">
              <w:rPr>
                <w:sz w:val="20"/>
                <w:lang w:val="fr-CA"/>
              </w:rPr>
              <w:t>Cour suprême du Canada</w:t>
            </w:r>
          </w:p>
          <w:p w:rsidR="003962CD" w:rsidRPr="003962CD" w:rsidRDefault="003962CD" w:rsidP="003962CD">
            <w:pPr>
              <w:jc w:val="both"/>
              <w:rPr>
                <w:sz w:val="20"/>
                <w:lang w:val="fr-CA"/>
              </w:rPr>
            </w:pP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Dépôt de la demande d’autorisation d’appel.</w:t>
            </w:r>
          </w:p>
          <w:p w:rsidR="003962CD" w:rsidRPr="003962CD" w:rsidRDefault="003962CD" w:rsidP="003962CD">
            <w:pPr>
              <w:jc w:val="both"/>
              <w:rPr>
                <w:sz w:val="20"/>
                <w:lang w:val="fr-CA"/>
              </w:rPr>
            </w:pPr>
          </w:p>
        </w:tc>
      </w:tr>
    </w:tbl>
    <w:p w:rsidR="003962CD" w:rsidRPr="003962CD" w:rsidRDefault="003962CD" w:rsidP="003962C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1F25B7">
        <w:tc>
          <w:tcPr>
            <w:tcW w:w="543" w:type="pct"/>
          </w:tcPr>
          <w:p w:rsidR="003962CD" w:rsidRPr="003962CD" w:rsidRDefault="003962CD" w:rsidP="003962CD">
            <w:pPr>
              <w:jc w:val="both"/>
              <w:rPr>
                <w:sz w:val="20"/>
              </w:rPr>
            </w:pPr>
            <w:r w:rsidRPr="003962CD">
              <w:rPr>
                <w:rStyle w:val="SCCFileNumberChar"/>
                <w:sz w:val="20"/>
                <w:szCs w:val="20"/>
              </w:rPr>
              <w:t>36611</w:t>
            </w:r>
          </w:p>
        </w:tc>
        <w:tc>
          <w:tcPr>
            <w:tcW w:w="4457" w:type="pct"/>
            <w:gridSpan w:val="3"/>
          </w:tcPr>
          <w:p w:rsidR="003962CD" w:rsidRPr="003962CD" w:rsidRDefault="003962CD" w:rsidP="003962CD">
            <w:pPr>
              <w:pStyle w:val="SCCLsocParty"/>
              <w:jc w:val="both"/>
              <w:rPr>
                <w:b/>
                <w:sz w:val="20"/>
                <w:szCs w:val="20"/>
                <w:lang w:val="en-CA"/>
              </w:rPr>
            </w:pPr>
            <w:r w:rsidRPr="003962CD">
              <w:rPr>
                <w:b/>
                <w:sz w:val="20"/>
                <w:szCs w:val="20"/>
                <w:lang w:val="en-CA"/>
              </w:rPr>
              <w:t>City of Saint John v. Canadian Union of Public Employees, Local 18, M.B.</w:t>
            </w:r>
          </w:p>
          <w:p w:rsidR="003962CD" w:rsidRPr="003962CD" w:rsidRDefault="003962CD" w:rsidP="003962CD">
            <w:pPr>
              <w:jc w:val="both"/>
              <w:rPr>
                <w:sz w:val="20"/>
              </w:rPr>
            </w:pPr>
            <w:r w:rsidRPr="003962CD">
              <w:rPr>
                <w:sz w:val="20"/>
              </w:rPr>
              <w:t>(N.B.) (Civil) (By Leave)</w:t>
            </w:r>
          </w:p>
        </w:tc>
      </w:tr>
      <w:tr w:rsidR="003962CD" w:rsidRPr="003962CD" w:rsidTr="001F25B7">
        <w:tc>
          <w:tcPr>
            <w:tcW w:w="5000" w:type="pct"/>
            <w:gridSpan w:val="4"/>
          </w:tcPr>
          <w:p w:rsidR="003962CD" w:rsidRPr="003962CD" w:rsidRDefault="003962CD" w:rsidP="003962CD">
            <w:pPr>
              <w:pStyle w:val="SCCBanSummary"/>
              <w:rPr>
                <w:sz w:val="20"/>
                <w:szCs w:val="20"/>
              </w:rPr>
            </w:pPr>
            <w:r w:rsidRPr="003962CD">
              <w:rPr>
                <w:sz w:val="20"/>
                <w:szCs w:val="20"/>
              </w:rPr>
              <w:t>(Publication ban on party)</w:t>
            </w:r>
          </w:p>
          <w:p w:rsidR="003962CD" w:rsidRPr="003962CD" w:rsidRDefault="003962CD" w:rsidP="003962CD">
            <w:pPr>
              <w:jc w:val="both"/>
              <w:rPr>
                <w:sz w:val="20"/>
              </w:rPr>
            </w:pPr>
          </w:p>
          <w:p w:rsidR="003962CD" w:rsidRPr="003962CD" w:rsidRDefault="003962CD" w:rsidP="003962CD">
            <w:pPr>
              <w:jc w:val="both"/>
              <w:rPr>
                <w:sz w:val="20"/>
              </w:rPr>
            </w:pPr>
            <w:r w:rsidRPr="003962CD">
              <w:rPr>
                <w:sz w:val="20"/>
              </w:rPr>
              <w:t xml:space="preserve">Administrative law – Judicial review – </w:t>
            </w:r>
            <w:r w:rsidRPr="003962CD">
              <w:rPr>
                <w:i/>
                <w:sz w:val="20"/>
              </w:rPr>
              <w:t>Res judicata</w:t>
            </w:r>
            <w:r w:rsidRPr="003962CD">
              <w:rPr>
                <w:sz w:val="20"/>
              </w:rPr>
              <w:t xml:space="preserve"> – Issue estoppel – Abuse of process – Collateral attack – Where a Board of Arbitration finds </w:t>
            </w:r>
            <w:r w:rsidRPr="003962CD">
              <w:rPr>
                <w:i/>
                <w:sz w:val="20"/>
              </w:rPr>
              <w:t>res judicata</w:t>
            </w:r>
            <w:r w:rsidRPr="003962CD">
              <w:rPr>
                <w:sz w:val="20"/>
              </w:rPr>
              <w:t xml:space="preserve"> or issue estoppel with respect to a grievance, does this open the door to an ‘overlapping of jurisdiction’ and/or ‘relative procedural safeguards’ analysis to support a finding of unreasonableness – Has “fairness” supplanted “finality” in the context of </w:t>
            </w:r>
            <w:r w:rsidRPr="003962CD">
              <w:rPr>
                <w:i/>
                <w:sz w:val="20"/>
              </w:rPr>
              <w:t>res judicata</w:t>
            </w:r>
            <w:r w:rsidRPr="003962CD">
              <w:rPr>
                <w:sz w:val="20"/>
              </w:rPr>
              <w:t xml:space="preserve"> and in light of this Court’s decisions in </w:t>
            </w:r>
            <w:r w:rsidRPr="003962CD">
              <w:rPr>
                <w:i/>
                <w:sz w:val="20"/>
              </w:rPr>
              <w:t xml:space="preserve">British Columbia (Workers’ Compensation Board) v. </w:t>
            </w:r>
            <w:proofErr w:type="spellStart"/>
            <w:r w:rsidRPr="003962CD">
              <w:rPr>
                <w:i/>
                <w:sz w:val="20"/>
              </w:rPr>
              <w:t>Figliola</w:t>
            </w:r>
            <w:proofErr w:type="spellEnd"/>
            <w:r w:rsidRPr="003962CD">
              <w:rPr>
                <w:sz w:val="20"/>
              </w:rPr>
              <w:t xml:space="preserve">, 2011 SCC 52, [2011] 3 S.C.R. 422 and </w:t>
            </w:r>
            <w:proofErr w:type="spellStart"/>
            <w:r w:rsidRPr="003962CD">
              <w:rPr>
                <w:i/>
                <w:sz w:val="20"/>
              </w:rPr>
              <w:t>Penner</w:t>
            </w:r>
            <w:proofErr w:type="spellEnd"/>
            <w:r w:rsidRPr="003962CD">
              <w:rPr>
                <w:i/>
                <w:sz w:val="20"/>
              </w:rPr>
              <w:t xml:space="preserve"> v. </w:t>
            </w:r>
            <w:proofErr w:type="spellStart"/>
            <w:r w:rsidRPr="003962CD">
              <w:rPr>
                <w:i/>
                <w:sz w:val="20"/>
              </w:rPr>
              <w:t>Niagra</w:t>
            </w:r>
            <w:proofErr w:type="spellEnd"/>
            <w:r w:rsidRPr="003962CD">
              <w:rPr>
                <w:i/>
                <w:sz w:val="20"/>
              </w:rPr>
              <w:t xml:space="preserve"> (Regional Police services Board)</w:t>
            </w:r>
            <w:r w:rsidRPr="003962CD">
              <w:rPr>
                <w:sz w:val="20"/>
              </w:rPr>
              <w:t xml:space="preserve">, 2013 SCC 19, [2013] 2 S.C.R. 125 – What effect, if any, do </w:t>
            </w:r>
            <w:proofErr w:type="spellStart"/>
            <w:r w:rsidRPr="003962CD">
              <w:rPr>
                <w:i/>
                <w:sz w:val="20"/>
              </w:rPr>
              <w:t>Figliola</w:t>
            </w:r>
            <w:proofErr w:type="spellEnd"/>
            <w:r w:rsidRPr="003962CD">
              <w:rPr>
                <w:sz w:val="20"/>
              </w:rPr>
              <w:t xml:space="preserve"> and </w:t>
            </w:r>
            <w:proofErr w:type="spellStart"/>
            <w:r w:rsidRPr="003962CD">
              <w:rPr>
                <w:i/>
                <w:sz w:val="20"/>
              </w:rPr>
              <w:t>Penner</w:t>
            </w:r>
            <w:proofErr w:type="spellEnd"/>
            <w:r w:rsidRPr="003962CD">
              <w:rPr>
                <w:sz w:val="20"/>
              </w:rPr>
              <w:t xml:space="preserve"> have on the two-part test governing </w:t>
            </w:r>
            <w:r w:rsidRPr="003962CD">
              <w:rPr>
                <w:i/>
                <w:sz w:val="20"/>
              </w:rPr>
              <w:t>res judicata</w:t>
            </w:r>
            <w:r w:rsidRPr="003962CD">
              <w:rPr>
                <w:sz w:val="20"/>
              </w:rPr>
              <w:t xml:space="preserve"> by application of issue estoppel and does ‘discretion’ displace previous versions of the test – If </w:t>
            </w:r>
            <w:r w:rsidRPr="003962CD">
              <w:rPr>
                <w:i/>
                <w:sz w:val="20"/>
              </w:rPr>
              <w:t>res judicata</w:t>
            </w:r>
            <w:r w:rsidRPr="003962CD">
              <w:rPr>
                <w:sz w:val="20"/>
              </w:rPr>
              <w:t xml:space="preserve"> can block further proceedings, can it also function coherently as a rule of evidence, reviving the underlying evidentiary basis of an otherwise barred proceeding for use elsewhere.</w:t>
            </w:r>
          </w:p>
        </w:tc>
      </w:tr>
      <w:tr w:rsidR="003962CD" w:rsidRPr="003962CD" w:rsidTr="001F25B7">
        <w:tc>
          <w:tcPr>
            <w:tcW w:w="5000" w:type="pct"/>
            <w:gridSpan w:val="4"/>
          </w:tcPr>
          <w:p w:rsidR="003962CD" w:rsidRPr="003962CD" w:rsidRDefault="003962CD" w:rsidP="003962CD">
            <w:pPr>
              <w:jc w:val="both"/>
              <w:rPr>
                <w:sz w:val="20"/>
              </w:rPr>
            </w:pPr>
          </w:p>
        </w:tc>
      </w:tr>
      <w:tr w:rsidR="003962CD" w:rsidRPr="003962CD" w:rsidTr="001F25B7">
        <w:tc>
          <w:tcPr>
            <w:tcW w:w="5000" w:type="pct"/>
            <w:gridSpan w:val="4"/>
          </w:tcPr>
          <w:p w:rsidR="003962CD" w:rsidRPr="003962CD" w:rsidRDefault="003962CD" w:rsidP="003962CD">
            <w:pPr>
              <w:jc w:val="both"/>
              <w:rPr>
                <w:sz w:val="20"/>
              </w:rPr>
            </w:pPr>
            <w:r w:rsidRPr="003962CD">
              <w:rPr>
                <w:sz w:val="20"/>
              </w:rPr>
              <w:t>M.B., who has obsessive compulsive disorder, was suspended with pay by the applicant due to an incident in the workplace. He was terminated after an internal investigation. He filed a complaint with the Human Rights Commission of New Brunswick (the “Commission”) alleging that he had been suspended and then terminated as a result of discrimination based on mental disability. The Commission dismissed his complaint and that decision was not appealed. Although M.B.’s initial application for employment insurance benefits was approved, the applicant successfully appealed that decision. An Employment Insurance Board of Referees unanimously denied his claim on the basis that he was dismissed for his ‘misconduct’ pursuant to the meaning of the legislation, and therefore not eligible. M.B. did not appeal that decision.</w:t>
            </w:r>
          </w:p>
          <w:p w:rsidR="003962CD" w:rsidRPr="003962CD" w:rsidRDefault="003962CD" w:rsidP="003962CD">
            <w:pPr>
              <w:jc w:val="both"/>
              <w:rPr>
                <w:sz w:val="20"/>
              </w:rPr>
            </w:pPr>
          </w:p>
          <w:p w:rsidR="003962CD" w:rsidRPr="003962CD" w:rsidRDefault="003962CD" w:rsidP="003962CD">
            <w:pPr>
              <w:jc w:val="both"/>
              <w:rPr>
                <w:sz w:val="20"/>
              </w:rPr>
            </w:pPr>
            <w:r w:rsidRPr="003962CD">
              <w:rPr>
                <w:sz w:val="20"/>
              </w:rPr>
              <w:t xml:space="preserve">The respondent union submitted a grievance to the applicant claiming it had violated articles 4.01 and 22.05 of the collective agreement and that M.B. had been unjustly dismissed. The applicant filed a preliminary motion raising issues of estoppel, </w:t>
            </w:r>
            <w:r w:rsidRPr="003962CD">
              <w:rPr>
                <w:i/>
                <w:sz w:val="20"/>
              </w:rPr>
              <w:t>res judicata</w:t>
            </w:r>
            <w:r w:rsidRPr="003962CD">
              <w:rPr>
                <w:sz w:val="20"/>
              </w:rPr>
              <w:t>, collateral attack and abuse of process. A majority of the Arbitration Board dismissed the grievance on the basis that its subject matter had already been determined by the Commission and the Board of Referees. The Court of Queen’s Bench of New Brunswick quashed the decision in part, finding that while the human rights issue was estopped, the determination that the Board of Referees had disposed of the issues raised by art. 22.05 was unreasonable. The Court remitted all other issues raised in the grievance to a newly constituted board for a determination on the merits. The Court of Appeal of New Brunswick dismissed the appeal.</w:t>
            </w:r>
          </w:p>
        </w:tc>
      </w:tr>
      <w:tr w:rsidR="003962CD" w:rsidRPr="003962CD" w:rsidTr="001F25B7">
        <w:tc>
          <w:tcPr>
            <w:tcW w:w="5000" w:type="pct"/>
            <w:gridSpan w:val="4"/>
          </w:tcPr>
          <w:p w:rsidR="003962CD" w:rsidRPr="003962CD" w:rsidRDefault="003962CD" w:rsidP="003962CD">
            <w:pPr>
              <w:jc w:val="both"/>
              <w:rPr>
                <w:sz w:val="20"/>
              </w:rPr>
            </w:pPr>
          </w:p>
        </w:tc>
      </w:tr>
      <w:tr w:rsidR="003962CD" w:rsidRPr="003962CD" w:rsidTr="001F25B7">
        <w:tc>
          <w:tcPr>
            <w:tcW w:w="2427" w:type="pct"/>
            <w:gridSpan w:val="2"/>
          </w:tcPr>
          <w:p w:rsidR="003962CD" w:rsidRPr="003962CD" w:rsidRDefault="003962CD" w:rsidP="003962CD">
            <w:pPr>
              <w:jc w:val="both"/>
              <w:rPr>
                <w:sz w:val="20"/>
              </w:rPr>
            </w:pPr>
            <w:r w:rsidRPr="003962CD">
              <w:rPr>
                <w:sz w:val="20"/>
              </w:rPr>
              <w:t>August 27, 2014</w:t>
            </w:r>
          </w:p>
          <w:p w:rsidR="003962CD" w:rsidRPr="003962CD" w:rsidRDefault="003962CD" w:rsidP="003962CD">
            <w:pPr>
              <w:jc w:val="both"/>
              <w:rPr>
                <w:sz w:val="20"/>
              </w:rPr>
            </w:pPr>
            <w:r w:rsidRPr="003962CD">
              <w:rPr>
                <w:sz w:val="20"/>
              </w:rPr>
              <w:t>Court of Queen’s Bench of New Brunswick</w:t>
            </w:r>
          </w:p>
          <w:p w:rsidR="003962CD" w:rsidRPr="003962CD" w:rsidRDefault="003962CD" w:rsidP="003962CD">
            <w:pPr>
              <w:jc w:val="both"/>
              <w:rPr>
                <w:sz w:val="20"/>
              </w:rPr>
            </w:pPr>
            <w:r w:rsidRPr="003962CD">
              <w:rPr>
                <w:sz w:val="20"/>
              </w:rPr>
              <w:t>(Christie J.)</w:t>
            </w:r>
          </w:p>
          <w:p w:rsidR="003962CD" w:rsidRPr="003962CD" w:rsidRDefault="003962CD" w:rsidP="003962CD">
            <w:pPr>
              <w:jc w:val="both"/>
              <w:rPr>
                <w:rStyle w:val="Hyperlink"/>
                <w:sz w:val="20"/>
              </w:rPr>
            </w:pPr>
            <w:hyperlink r:id="rId22" w:history="1">
              <w:r w:rsidRPr="003962CD">
                <w:rPr>
                  <w:rStyle w:val="Hyperlink"/>
                  <w:sz w:val="20"/>
                </w:rPr>
                <w:t>2014 NBQB 201</w:t>
              </w:r>
            </w:hyperlink>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Decision of Arbitration Board quashed in part; Human rights issues were estopped but balance of the grievance remitted to a newly constituted Board for decision on the merits</w:t>
            </w:r>
          </w:p>
          <w:p w:rsidR="003962CD" w:rsidRPr="003962CD" w:rsidRDefault="003962CD" w:rsidP="003962CD">
            <w:pPr>
              <w:jc w:val="both"/>
              <w:rPr>
                <w:sz w:val="20"/>
              </w:rPr>
            </w:pPr>
          </w:p>
        </w:tc>
      </w:tr>
      <w:tr w:rsidR="003962CD" w:rsidRPr="003962CD" w:rsidTr="001F25B7">
        <w:tc>
          <w:tcPr>
            <w:tcW w:w="2427" w:type="pct"/>
            <w:gridSpan w:val="2"/>
          </w:tcPr>
          <w:p w:rsidR="003962CD" w:rsidRPr="003962CD" w:rsidRDefault="003962CD" w:rsidP="003962CD">
            <w:pPr>
              <w:jc w:val="both"/>
              <w:rPr>
                <w:sz w:val="20"/>
              </w:rPr>
            </w:pPr>
            <w:r w:rsidRPr="003962CD">
              <w:rPr>
                <w:sz w:val="20"/>
              </w:rPr>
              <w:t>June 18, 2015</w:t>
            </w:r>
          </w:p>
          <w:p w:rsidR="003962CD" w:rsidRPr="003962CD" w:rsidRDefault="003962CD" w:rsidP="003962CD">
            <w:pPr>
              <w:jc w:val="both"/>
              <w:rPr>
                <w:sz w:val="20"/>
              </w:rPr>
            </w:pPr>
            <w:r w:rsidRPr="003962CD">
              <w:rPr>
                <w:sz w:val="20"/>
              </w:rPr>
              <w:t>Court of Appeal of New Brunswick</w:t>
            </w:r>
          </w:p>
          <w:p w:rsidR="003962CD" w:rsidRPr="003962CD" w:rsidRDefault="003962CD" w:rsidP="003962CD">
            <w:pPr>
              <w:jc w:val="both"/>
              <w:rPr>
                <w:sz w:val="20"/>
              </w:rPr>
            </w:pPr>
            <w:r w:rsidRPr="003962CD">
              <w:rPr>
                <w:sz w:val="20"/>
              </w:rPr>
              <w:t>(</w:t>
            </w:r>
            <w:proofErr w:type="spellStart"/>
            <w:r w:rsidRPr="003962CD">
              <w:rPr>
                <w:sz w:val="20"/>
              </w:rPr>
              <w:t>Deschênes</w:t>
            </w:r>
            <w:proofErr w:type="spellEnd"/>
            <w:r w:rsidRPr="003962CD">
              <w:rPr>
                <w:sz w:val="20"/>
              </w:rPr>
              <w:t>, Green and Baird JJ.A.)</w:t>
            </w:r>
          </w:p>
          <w:p w:rsidR="003962CD" w:rsidRPr="003962CD" w:rsidRDefault="003962CD" w:rsidP="003962CD">
            <w:pPr>
              <w:jc w:val="both"/>
              <w:rPr>
                <w:sz w:val="20"/>
              </w:rPr>
            </w:pPr>
            <w:hyperlink r:id="rId23" w:history="1">
              <w:r w:rsidRPr="003962CD">
                <w:rPr>
                  <w:rStyle w:val="Hyperlink"/>
                  <w:sz w:val="20"/>
                </w:rPr>
                <w:t>2015 NBCA 35</w:t>
              </w:r>
            </w:hyperlink>
            <w:r w:rsidRPr="003962CD">
              <w:rPr>
                <w:sz w:val="20"/>
              </w:rPr>
              <w:t>; 106-14-CA</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 xml:space="preserve">Appeal dismissed </w:t>
            </w:r>
          </w:p>
        </w:tc>
      </w:tr>
      <w:tr w:rsidR="003962CD" w:rsidRPr="003962CD" w:rsidTr="001F25B7">
        <w:tc>
          <w:tcPr>
            <w:tcW w:w="2427" w:type="pct"/>
            <w:gridSpan w:val="2"/>
          </w:tcPr>
          <w:p w:rsidR="003962CD" w:rsidRPr="003962CD" w:rsidRDefault="003962CD" w:rsidP="003962CD">
            <w:pPr>
              <w:jc w:val="both"/>
              <w:rPr>
                <w:sz w:val="20"/>
              </w:rPr>
            </w:pPr>
            <w:r w:rsidRPr="003962CD">
              <w:rPr>
                <w:sz w:val="20"/>
              </w:rPr>
              <w:t>September 15, 2015</w:t>
            </w:r>
          </w:p>
          <w:p w:rsidR="003962CD" w:rsidRPr="003962CD" w:rsidRDefault="003962CD" w:rsidP="003962CD">
            <w:pPr>
              <w:jc w:val="both"/>
              <w:rPr>
                <w:sz w:val="20"/>
              </w:rPr>
            </w:pPr>
            <w:r w:rsidRPr="003962CD">
              <w:rPr>
                <w:sz w:val="20"/>
              </w:rPr>
              <w:t>Supreme Court of Canada</w:t>
            </w: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Application for leave to appeal filed</w:t>
            </w:r>
          </w:p>
        </w:tc>
      </w:tr>
    </w:tbl>
    <w:p w:rsidR="003962CD" w:rsidRDefault="003962CD" w:rsidP="003962CD">
      <w:pPr>
        <w:jc w:val="both"/>
        <w:rPr>
          <w:sz w:val="20"/>
        </w:rPr>
      </w:pPr>
    </w:p>
    <w:p w:rsidR="003962CD" w:rsidRPr="003962CD" w:rsidRDefault="003962CD" w:rsidP="003962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1F25B7">
        <w:tc>
          <w:tcPr>
            <w:tcW w:w="543" w:type="pct"/>
          </w:tcPr>
          <w:p w:rsidR="003962CD" w:rsidRPr="003962CD" w:rsidRDefault="003962CD" w:rsidP="003962CD">
            <w:pPr>
              <w:jc w:val="both"/>
              <w:rPr>
                <w:sz w:val="20"/>
              </w:rPr>
            </w:pPr>
            <w:r w:rsidRPr="003962CD">
              <w:rPr>
                <w:rStyle w:val="SCCFileNumberChar"/>
                <w:sz w:val="20"/>
                <w:szCs w:val="20"/>
              </w:rPr>
              <w:t>36611</w:t>
            </w:r>
          </w:p>
        </w:tc>
        <w:tc>
          <w:tcPr>
            <w:tcW w:w="4457" w:type="pct"/>
            <w:gridSpan w:val="3"/>
          </w:tcPr>
          <w:p w:rsidR="003962CD" w:rsidRPr="003962CD" w:rsidRDefault="003962CD" w:rsidP="003962CD">
            <w:pPr>
              <w:pStyle w:val="SCCLsocParty"/>
              <w:jc w:val="both"/>
              <w:rPr>
                <w:b/>
                <w:sz w:val="20"/>
                <w:szCs w:val="20"/>
              </w:rPr>
            </w:pPr>
            <w:r w:rsidRPr="003962CD">
              <w:rPr>
                <w:b/>
                <w:sz w:val="20"/>
                <w:szCs w:val="20"/>
              </w:rPr>
              <w:t>Ville de Saint John c. Syndicat canadien de la fonction publique (section locale 18), M.B.</w:t>
            </w:r>
          </w:p>
          <w:p w:rsidR="003962CD" w:rsidRPr="003962CD" w:rsidRDefault="003962CD" w:rsidP="003962CD">
            <w:pPr>
              <w:jc w:val="both"/>
              <w:rPr>
                <w:sz w:val="20"/>
                <w:lang w:val="fr-CA"/>
              </w:rPr>
            </w:pPr>
            <w:r w:rsidRPr="003962CD">
              <w:rPr>
                <w:sz w:val="20"/>
                <w:lang w:val="fr-CA"/>
              </w:rPr>
              <w:t>(N.-B.) (Civile) (Sur autorisation)</w:t>
            </w:r>
          </w:p>
        </w:tc>
      </w:tr>
      <w:tr w:rsidR="003962CD" w:rsidRPr="003962CD" w:rsidTr="001F25B7">
        <w:tc>
          <w:tcPr>
            <w:tcW w:w="5000" w:type="pct"/>
            <w:gridSpan w:val="4"/>
          </w:tcPr>
          <w:p w:rsidR="003962CD" w:rsidRPr="003962CD" w:rsidRDefault="003962CD" w:rsidP="003962CD">
            <w:pPr>
              <w:pStyle w:val="SCCBanSummary"/>
              <w:rPr>
                <w:sz w:val="20"/>
                <w:szCs w:val="20"/>
                <w:lang w:val="fr-CA"/>
              </w:rPr>
            </w:pPr>
            <w:r w:rsidRPr="003962CD">
              <w:rPr>
                <w:sz w:val="20"/>
                <w:szCs w:val="20"/>
                <w:lang w:val="fr-CA"/>
              </w:rPr>
              <w:t>(Ordonnance de non-publication visant une partie)</w:t>
            </w:r>
          </w:p>
          <w:p w:rsidR="003962CD" w:rsidRPr="003962CD" w:rsidRDefault="003962CD" w:rsidP="003962CD">
            <w:pPr>
              <w:jc w:val="both"/>
              <w:rPr>
                <w:sz w:val="20"/>
                <w:lang w:val="fr-CA"/>
              </w:rPr>
            </w:pPr>
          </w:p>
          <w:p w:rsidR="003962CD" w:rsidRPr="003962CD" w:rsidRDefault="003962CD" w:rsidP="003962CD">
            <w:pPr>
              <w:jc w:val="both"/>
              <w:rPr>
                <w:sz w:val="20"/>
                <w:lang w:val="fr-CA"/>
              </w:rPr>
            </w:pPr>
            <w:r w:rsidRPr="003962CD">
              <w:rPr>
                <w:sz w:val="20"/>
                <w:lang w:val="fr-CA"/>
              </w:rPr>
              <w:t xml:space="preserve">Droit administratif – Contrôle judiciaire – Chose jugée – </w:t>
            </w:r>
            <w:proofErr w:type="spellStart"/>
            <w:r w:rsidRPr="003962CD">
              <w:rPr>
                <w:sz w:val="20"/>
                <w:lang w:val="fr-CA"/>
              </w:rPr>
              <w:t>Préclusion</w:t>
            </w:r>
            <w:proofErr w:type="spellEnd"/>
            <w:r w:rsidRPr="003962CD">
              <w:rPr>
                <w:sz w:val="20"/>
                <w:lang w:val="fr-CA"/>
              </w:rPr>
              <w:t xml:space="preserve"> – Abus de procédure – Contestation parallèle – Le conseil d’arbitrage qui conclut à la chose jugée ou à la </w:t>
            </w:r>
            <w:proofErr w:type="spellStart"/>
            <w:r w:rsidRPr="003962CD">
              <w:rPr>
                <w:sz w:val="20"/>
                <w:lang w:val="fr-CA"/>
              </w:rPr>
              <w:t>préclusion</w:t>
            </w:r>
            <w:proofErr w:type="spellEnd"/>
            <w:r w:rsidRPr="003962CD">
              <w:rPr>
                <w:sz w:val="20"/>
                <w:lang w:val="fr-CA"/>
              </w:rPr>
              <w:t xml:space="preserve"> relativement à un grief ouvre-t-il la voie à une analyse axée sur le « chevauchement de compétence » ou les « garanties procédurales relatives », ou les deux, en vue de conclure à l’absence de </w:t>
            </w:r>
            <w:proofErr w:type="spellStart"/>
            <w:r w:rsidRPr="003962CD">
              <w:rPr>
                <w:sz w:val="20"/>
                <w:lang w:val="fr-CA"/>
              </w:rPr>
              <w:t>raisonnabilité</w:t>
            </w:r>
            <w:proofErr w:type="spellEnd"/>
            <w:r w:rsidRPr="003962CD">
              <w:rPr>
                <w:sz w:val="20"/>
                <w:lang w:val="fr-CA"/>
              </w:rPr>
              <w:t xml:space="preserve">? L’« équité » a-t-elle supplanté le « caractère définitif » pour l’application de la notion de chose jugée et au vu des arrêts </w:t>
            </w:r>
            <w:r w:rsidRPr="003962CD">
              <w:rPr>
                <w:i/>
                <w:sz w:val="20"/>
                <w:lang w:val="fr-CA"/>
              </w:rPr>
              <w:t>Colombie- Britannique (</w:t>
            </w:r>
            <w:proofErr w:type="spellStart"/>
            <w:r w:rsidRPr="003962CD">
              <w:rPr>
                <w:i/>
                <w:sz w:val="20"/>
                <w:lang w:val="fr-CA"/>
              </w:rPr>
              <w:t>Workers</w:t>
            </w:r>
            <w:proofErr w:type="spellEnd"/>
            <w:r w:rsidRPr="003962CD">
              <w:rPr>
                <w:i/>
                <w:sz w:val="20"/>
                <w:lang w:val="fr-CA"/>
              </w:rPr>
              <w:t xml:space="preserve">’ Compensation </w:t>
            </w:r>
            <w:proofErr w:type="spellStart"/>
            <w:r w:rsidRPr="003962CD">
              <w:rPr>
                <w:i/>
                <w:sz w:val="20"/>
                <w:lang w:val="fr-CA"/>
              </w:rPr>
              <w:t>Board</w:t>
            </w:r>
            <w:proofErr w:type="spellEnd"/>
            <w:r w:rsidRPr="003962CD">
              <w:rPr>
                <w:i/>
                <w:sz w:val="20"/>
                <w:lang w:val="fr-CA"/>
              </w:rPr>
              <w:t xml:space="preserve">) c. </w:t>
            </w:r>
            <w:proofErr w:type="spellStart"/>
            <w:r w:rsidRPr="003962CD">
              <w:rPr>
                <w:i/>
                <w:sz w:val="20"/>
                <w:lang w:val="fr-CA"/>
              </w:rPr>
              <w:t>Figliola</w:t>
            </w:r>
            <w:proofErr w:type="spellEnd"/>
            <w:r w:rsidRPr="003962CD">
              <w:rPr>
                <w:sz w:val="20"/>
                <w:lang w:val="fr-CA"/>
              </w:rPr>
              <w:t xml:space="preserve">, 2011 CSC 52, [2011] 3 R.C.S. 422, et </w:t>
            </w:r>
            <w:r w:rsidRPr="003962CD">
              <w:rPr>
                <w:i/>
                <w:sz w:val="20"/>
                <w:lang w:val="fr-CA"/>
              </w:rPr>
              <w:t>Penner c. Niagara (Commission régionale de services policiers)</w:t>
            </w:r>
            <w:r w:rsidRPr="003962CD">
              <w:rPr>
                <w:sz w:val="20"/>
                <w:lang w:val="fr-CA"/>
              </w:rPr>
              <w:t xml:space="preserve">, 2013 CSC 19, [2013] 2 R.C.S. 125? – Quelle incidence, s’il en est, ces deux arrêts ont-ils sur le critère à deux volets qui régit la </w:t>
            </w:r>
            <w:proofErr w:type="spellStart"/>
            <w:r w:rsidRPr="003962CD">
              <w:rPr>
                <w:sz w:val="20"/>
                <w:lang w:val="fr-CA"/>
              </w:rPr>
              <w:t>préclusion</w:t>
            </w:r>
            <w:proofErr w:type="spellEnd"/>
            <w:r w:rsidRPr="003962CD">
              <w:rPr>
                <w:sz w:val="20"/>
                <w:lang w:val="fr-CA"/>
              </w:rPr>
              <w:t xml:space="preserve"> découlant d’une question déjà tranchée, et le « pouvoir discrétionnaire » </w:t>
            </w:r>
            <w:proofErr w:type="spellStart"/>
            <w:r w:rsidRPr="003962CD">
              <w:rPr>
                <w:sz w:val="20"/>
                <w:lang w:val="fr-CA"/>
              </w:rPr>
              <w:t>a-t-il</w:t>
            </w:r>
            <w:proofErr w:type="spellEnd"/>
            <w:r w:rsidRPr="003962CD">
              <w:rPr>
                <w:sz w:val="20"/>
                <w:lang w:val="fr-CA"/>
              </w:rPr>
              <w:t xml:space="preserve"> écarté les incarnations antérieures du critère? Si la </w:t>
            </w:r>
            <w:proofErr w:type="spellStart"/>
            <w:r w:rsidRPr="003962CD">
              <w:rPr>
                <w:sz w:val="20"/>
                <w:lang w:val="fr-CA"/>
              </w:rPr>
              <w:t>préclusion</w:t>
            </w:r>
            <w:proofErr w:type="spellEnd"/>
            <w:r w:rsidRPr="003962CD">
              <w:rPr>
                <w:sz w:val="20"/>
                <w:lang w:val="fr-CA"/>
              </w:rPr>
              <w:t xml:space="preserve"> peut faire obstacle à une nouvelle instance, peut-elle aussi, en toute cohérence, tenir lieu de règle de preuve et faire renaître le fondement probatoire d’une instance par ailleurs irrecevable en vue de son emploi dans une autre.</w:t>
            </w:r>
          </w:p>
        </w:tc>
      </w:tr>
      <w:tr w:rsidR="003962CD" w:rsidRPr="003962CD" w:rsidTr="001F25B7">
        <w:tc>
          <w:tcPr>
            <w:tcW w:w="5000" w:type="pct"/>
            <w:gridSpan w:val="4"/>
          </w:tcPr>
          <w:p w:rsidR="003962CD" w:rsidRPr="003962CD" w:rsidRDefault="003962CD" w:rsidP="003962CD">
            <w:pPr>
              <w:jc w:val="both"/>
              <w:rPr>
                <w:sz w:val="20"/>
                <w:lang w:val="fr-CA"/>
              </w:rPr>
            </w:pPr>
          </w:p>
        </w:tc>
      </w:tr>
      <w:tr w:rsidR="003962CD" w:rsidRPr="003962CD" w:rsidTr="001F25B7">
        <w:tc>
          <w:tcPr>
            <w:tcW w:w="5000" w:type="pct"/>
            <w:gridSpan w:val="4"/>
          </w:tcPr>
          <w:p w:rsidR="003962CD" w:rsidRPr="003962CD" w:rsidRDefault="003962CD" w:rsidP="003962CD">
            <w:pPr>
              <w:jc w:val="both"/>
              <w:rPr>
                <w:sz w:val="20"/>
                <w:lang w:val="fr-CA"/>
              </w:rPr>
            </w:pPr>
            <w:r w:rsidRPr="003962CD">
              <w:rPr>
                <w:sz w:val="20"/>
                <w:lang w:val="fr-CA"/>
              </w:rPr>
              <w:t xml:space="preserve">Atteint d’un trouble </w:t>
            </w:r>
            <w:proofErr w:type="spellStart"/>
            <w:r w:rsidRPr="003962CD">
              <w:rPr>
                <w:sz w:val="20"/>
                <w:lang w:val="fr-CA"/>
              </w:rPr>
              <w:t>compulsivo</w:t>
            </w:r>
            <w:proofErr w:type="spellEnd"/>
            <w:r w:rsidRPr="003962CD">
              <w:rPr>
                <w:sz w:val="20"/>
                <w:lang w:val="fr-CA"/>
              </w:rPr>
              <w:t>-compulsif, M.B. a été suspendu avec salaire par la demanderesse après un incident au travail. À l’issue d’une enquête interne, il a été congédié. Il a saisi la Commission des droits de la personne du Nouveau-Brunswick (la « Commission ») d’une demande alléguant que sa suspension et son congédiement résultaient de l’exercice d’une discrimination fondée sur la déficience mentale. La Commission l’a débouté et il n’a pas interjeté appel de la décision. M.B. a d’abord obtenu des prestations d’assurance-emploi, mais la demanderesse a ensuite fait infirmer cette décision en appel. Un conseil arbitral de l’assurance-emploi a rejeté à l’unanimité sa demande de prestations au motif qu’il avait été congédié pour « inconduite » au sens de la loi et qu’il était donc inadmissible. M.B. n’a pas fait appel.</w:t>
            </w:r>
          </w:p>
          <w:p w:rsidR="003962CD" w:rsidRPr="003962CD" w:rsidRDefault="003962CD" w:rsidP="003962CD">
            <w:pPr>
              <w:jc w:val="both"/>
              <w:rPr>
                <w:sz w:val="20"/>
                <w:lang w:val="fr-CA"/>
              </w:rPr>
            </w:pPr>
          </w:p>
          <w:p w:rsidR="003962CD" w:rsidRPr="003962CD" w:rsidRDefault="003962CD" w:rsidP="003962CD">
            <w:pPr>
              <w:jc w:val="both"/>
              <w:rPr>
                <w:sz w:val="20"/>
              </w:rPr>
            </w:pPr>
            <w:r w:rsidRPr="003962CD">
              <w:rPr>
                <w:sz w:val="20"/>
                <w:lang w:val="fr-CA"/>
              </w:rPr>
              <w:t xml:space="preserve">Le syndicat intimé a déposé un grief alléguant que la demanderesse avait contrevenu aux articles 4.01 et 22.05 de la convention collective et que M.B. avait été congédié sans motif. La demanderesse a répliqué par une requête préliminaire dans laquelle elle invoquait la </w:t>
            </w:r>
            <w:proofErr w:type="spellStart"/>
            <w:r w:rsidRPr="003962CD">
              <w:rPr>
                <w:sz w:val="20"/>
                <w:lang w:val="fr-CA"/>
              </w:rPr>
              <w:t>préclusion</w:t>
            </w:r>
            <w:proofErr w:type="spellEnd"/>
            <w:r w:rsidRPr="003962CD">
              <w:rPr>
                <w:sz w:val="20"/>
                <w:lang w:val="fr-CA"/>
              </w:rPr>
              <w:t xml:space="preserve">, la chose jugée, la contestation parallèle et l’abus de procédure. Le conseil d’arbitrage a rejeté le grief à la majorité pour le motif que la question avait déjà été tranchée par la Commission et le conseil arbitral. La Cour du Banc de la Reine du Nouveau-Brunswick a annulé la décision en partie et conclu que même s’il y avait </w:t>
            </w:r>
            <w:proofErr w:type="spellStart"/>
            <w:r w:rsidRPr="003962CD">
              <w:rPr>
                <w:sz w:val="20"/>
                <w:lang w:val="fr-CA"/>
              </w:rPr>
              <w:t>préclusion</w:t>
            </w:r>
            <w:proofErr w:type="spellEnd"/>
            <w:r w:rsidRPr="003962CD">
              <w:rPr>
                <w:sz w:val="20"/>
                <w:lang w:val="fr-CA"/>
              </w:rPr>
              <w:t xml:space="preserve"> quant au volet droits de la personne, la conclusion selon laquelle le conseil arbitral avait tranché les questions relatives à l’art. 22.05 était déraisonnable. Elle a donc renvoyé toutes les autres questions soulevées dans le grief à une nouvelle formation du conseil afin que décision soit rendue sur le fond. La Cour d’appel du Nouveau-Brunswick a rejeté l’appel</w:t>
            </w:r>
            <w:r w:rsidRPr="003962CD">
              <w:rPr>
                <w:sz w:val="20"/>
              </w:rPr>
              <w:t>.</w:t>
            </w:r>
          </w:p>
        </w:tc>
      </w:tr>
      <w:tr w:rsidR="003962CD" w:rsidRPr="003962CD" w:rsidTr="001F25B7">
        <w:tc>
          <w:tcPr>
            <w:tcW w:w="5000" w:type="pct"/>
            <w:gridSpan w:val="4"/>
          </w:tcPr>
          <w:p w:rsidR="003962CD" w:rsidRPr="003962CD" w:rsidRDefault="003962CD" w:rsidP="003962CD">
            <w:pPr>
              <w:jc w:val="both"/>
              <w:rPr>
                <w:sz w:val="20"/>
              </w:rPr>
            </w:pPr>
          </w:p>
        </w:tc>
      </w:tr>
      <w:tr w:rsidR="003962CD" w:rsidRPr="003962CD" w:rsidTr="001F25B7">
        <w:tc>
          <w:tcPr>
            <w:tcW w:w="2427" w:type="pct"/>
            <w:gridSpan w:val="2"/>
          </w:tcPr>
          <w:p w:rsidR="003962CD" w:rsidRPr="003962CD" w:rsidRDefault="003962CD" w:rsidP="003962CD">
            <w:pPr>
              <w:jc w:val="both"/>
              <w:rPr>
                <w:sz w:val="20"/>
                <w:lang w:val="fr-CA"/>
              </w:rPr>
            </w:pPr>
            <w:r w:rsidRPr="003962CD">
              <w:rPr>
                <w:sz w:val="20"/>
                <w:lang w:val="fr-CA"/>
              </w:rPr>
              <w:t>27 août 2014</w:t>
            </w:r>
          </w:p>
          <w:p w:rsidR="003962CD" w:rsidRPr="003962CD" w:rsidRDefault="003962CD" w:rsidP="003962CD">
            <w:pPr>
              <w:jc w:val="both"/>
              <w:rPr>
                <w:sz w:val="20"/>
                <w:lang w:val="fr-CA"/>
              </w:rPr>
            </w:pPr>
            <w:r w:rsidRPr="003962CD">
              <w:rPr>
                <w:sz w:val="20"/>
                <w:lang w:val="fr-CA"/>
              </w:rPr>
              <w:t>Cour du Banc de la Reine du Nouveau-Brunswick</w:t>
            </w:r>
          </w:p>
          <w:p w:rsidR="003962CD" w:rsidRPr="003962CD" w:rsidRDefault="003962CD" w:rsidP="003962CD">
            <w:pPr>
              <w:jc w:val="both"/>
              <w:rPr>
                <w:sz w:val="20"/>
              </w:rPr>
            </w:pPr>
            <w:r w:rsidRPr="003962CD">
              <w:rPr>
                <w:sz w:val="20"/>
              </w:rPr>
              <w:t>(</w:t>
            </w:r>
            <w:proofErr w:type="spellStart"/>
            <w:r w:rsidRPr="003962CD">
              <w:rPr>
                <w:sz w:val="20"/>
              </w:rPr>
              <w:t>Juge</w:t>
            </w:r>
            <w:proofErr w:type="spellEnd"/>
            <w:r w:rsidRPr="003962CD">
              <w:rPr>
                <w:sz w:val="20"/>
              </w:rPr>
              <w:t xml:space="preserve"> Christie)</w:t>
            </w:r>
          </w:p>
          <w:p w:rsidR="003962CD" w:rsidRPr="003962CD" w:rsidRDefault="003962CD" w:rsidP="003962CD">
            <w:pPr>
              <w:jc w:val="both"/>
              <w:rPr>
                <w:rStyle w:val="Hyperlink"/>
                <w:sz w:val="20"/>
              </w:rPr>
            </w:pPr>
            <w:hyperlink r:id="rId24" w:history="1">
              <w:r w:rsidRPr="003962CD">
                <w:rPr>
                  <w:rStyle w:val="Hyperlink"/>
                  <w:sz w:val="20"/>
                </w:rPr>
                <w:t>2014 NBQB 201</w:t>
              </w:r>
            </w:hyperlink>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lang w:val="fr-CA"/>
              </w:rPr>
            </w:pPr>
            <w:r w:rsidRPr="003962CD">
              <w:rPr>
                <w:sz w:val="20"/>
                <w:lang w:val="fr-CA"/>
              </w:rPr>
              <w:t>Annulation en partie de la décision du conseil d’arbitrage; chose jugée quant au volet droits de la personne, mais renvoi des autres aspects du grief à une nouvelle formation du conseil pour que décision soit rendue sur le fond</w:t>
            </w:r>
          </w:p>
          <w:p w:rsidR="003962CD" w:rsidRPr="003962CD" w:rsidRDefault="003962CD" w:rsidP="003962CD">
            <w:pPr>
              <w:jc w:val="both"/>
              <w:rPr>
                <w:sz w:val="20"/>
                <w:lang w:val="fr-CA"/>
              </w:rPr>
            </w:pPr>
          </w:p>
        </w:tc>
      </w:tr>
      <w:tr w:rsidR="003962CD" w:rsidRPr="003962CD" w:rsidTr="001F25B7">
        <w:tc>
          <w:tcPr>
            <w:tcW w:w="2427" w:type="pct"/>
            <w:gridSpan w:val="2"/>
          </w:tcPr>
          <w:p w:rsidR="003962CD" w:rsidRPr="003962CD" w:rsidRDefault="003962CD" w:rsidP="003962CD">
            <w:pPr>
              <w:jc w:val="both"/>
              <w:rPr>
                <w:sz w:val="20"/>
                <w:lang w:val="fr-CA"/>
              </w:rPr>
            </w:pPr>
            <w:r w:rsidRPr="003962CD">
              <w:rPr>
                <w:sz w:val="20"/>
                <w:lang w:val="fr-CA"/>
              </w:rPr>
              <w:t>18 juin 2015</w:t>
            </w:r>
          </w:p>
          <w:p w:rsidR="003962CD" w:rsidRPr="003962CD" w:rsidRDefault="003962CD" w:rsidP="003962CD">
            <w:pPr>
              <w:jc w:val="both"/>
              <w:rPr>
                <w:sz w:val="20"/>
                <w:lang w:val="fr-CA"/>
              </w:rPr>
            </w:pPr>
            <w:r w:rsidRPr="003962CD">
              <w:rPr>
                <w:sz w:val="20"/>
                <w:lang w:val="fr-CA"/>
              </w:rPr>
              <w:t>Cour d’appel du Nouveau-Brunswick</w:t>
            </w:r>
          </w:p>
          <w:p w:rsidR="003962CD" w:rsidRPr="003962CD" w:rsidRDefault="003962CD" w:rsidP="003962CD">
            <w:pPr>
              <w:jc w:val="both"/>
              <w:rPr>
                <w:sz w:val="20"/>
                <w:lang w:val="fr-CA"/>
              </w:rPr>
            </w:pPr>
            <w:r w:rsidRPr="003962CD">
              <w:rPr>
                <w:sz w:val="20"/>
                <w:lang w:val="fr-CA"/>
              </w:rPr>
              <w:t xml:space="preserve">(Juges </w:t>
            </w:r>
            <w:proofErr w:type="spellStart"/>
            <w:r w:rsidRPr="003962CD">
              <w:rPr>
                <w:sz w:val="20"/>
                <w:lang w:val="fr-CA"/>
              </w:rPr>
              <w:t>Deschênes</w:t>
            </w:r>
            <w:proofErr w:type="spellEnd"/>
            <w:r w:rsidRPr="003962CD">
              <w:rPr>
                <w:sz w:val="20"/>
                <w:lang w:val="fr-CA"/>
              </w:rPr>
              <w:t>, Green et Baird)</w:t>
            </w:r>
          </w:p>
          <w:p w:rsidR="003962CD" w:rsidRPr="003962CD" w:rsidRDefault="003962CD" w:rsidP="003962CD">
            <w:pPr>
              <w:jc w:val="both"/>
              <w:rPr>
                <w:sz w:val="20"/>
              </w:rPr>
            </w:pPr>
            <w:hyperlink r:id="rId25" w:history="1">
              <w:r w:rsidRPr="003962CD">
                <w:rPr>
                  <w:rStyle w:val="Hyperlink"/>
                  <w:sz w:val="20"/>
                </w:rPr>
                <w:t>2015 NBCA 35</w:t>
              </w:r>
            </w:hyperlink>
            <w:r w:rsidRPr="003962CD">
              <w:rPr>
                <w:sz w:val="20"/>
              </w:rPr>
              <w:t>; 106-14-CA</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proofErr w:type="spellStart"/>
            <w:r w:rsidRPr="003962CD">
              <w:rPr>
                <w:sz w:val="20"/>
              </w:rPr>
              <w:t>Rejet</w:t>
            </w:r>
            <w:proofErr w:type="spellEnd"/>
            <w:r w:rsidRPr="003962CD">
              <w:rPr>
                <w:sz w:val="20"/>
              </w:rPr>
              <w:t xml:space="preserve"> de </w:t>
            </w:r>
            <w:proofErr w:type="spellStart"/>
            <w:r w:rsidRPr="003962CD">
              <w:rPr>
                <w:sz w:val="20"/>
              </w:rPr>
              <w:t>l’appel</w:t>
            </w:r>
            <w:proofErr w:type="spellEnd"/>
          </w:p>
        </w:tc>
      </w:tr>
      <w:tr w:rsidR="003962CD" w:rsidRPr="003962CD" w:rsidTr="001F25B7">
        <w:tc>
          <w:tcPr>
            <w:tcW w:w="2427" w:type="pct"/>
            <w:gridSpan w:val="2"/>
          </w:tcPr>
          <w:p w:rsidR="003962CD" w:rsidRPr="003962CD" w:rsidRDefault="003962CD" w:rsidP="003962CD">
            <w:pPr>
              <w:jc w:val="both"/>
              <w:rPr>
                <w:sz w:val="20"/>
                <w:lang w:val="fr-CA"/>
              </w:rPr>
            </w:pPr>
            <w:r w:rsidRPr="003962CD">
              <w:rPr>
                <w:sz w:val="20"/>
                <w:lang w:val="fr-CA"/>
              </w:rPr>
              <w:t>15 septembre 2015</w:t>
            </w:r>
          </w:p>
          <w:p w:rsidR="003962CD" w:rsidRPr="003962CD" w:rsidRDefault="003962CD" w:rsidP="003962CD">
            <w:pPr>
              <w:jc w:val="both"/>
              <w:rPr>
                <w:sz w:val="20"/>
                <w:lang w:val="fr-CA"/>
              </w:rPr>
            </w:pPr>
            <w:r w:rsidRPr="003962CD">
              <w:rPr>
                <w:sz w:val="20"/>
                <w:lang w:val="fr-CA"/>
              </w:rPr>
              <w:t>Cour suprême du Canada</w:t>
            </w: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Dépôt de la demande d’autorisation d’appel</w:t>
            </w:r>
          </w:p>
        </w:tc>
      </w:tr>
    </w:tbl>
    <w:p w:rsidR="003962CD" w:rsidRDefault="003962CD" w:rsidP="003962CD">
      <w:pPr>
        <w:jc w:val="both"/>
        <w:rPr>
          <w:sz w:val="20"/>
          <w:lang w:val="fr-CA"/>
        </w:rPr>
      </w:pPr>
    </w:p>
    <w:p w:rsidR="003962CD" w:rsidRPr="003962CD" w:rsidRDefault="003962CD" w:rsidP="003962C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E95A6A">
        <w:tc>
          <w:tcPr>
            <w:tcW w:w="543" w:type="pct"/>
          </w:tcPr>
          <w:p w:rsidR="003962CD" w:rsidRPr="003962CD" w:rsidRDefault="003962CD" w:rsidP="003962CD">
            <w:pPr>
              <w:jc w:val="both"/>
              <w:rPr>
                <w:sz w:val="20"/>
              </w:rPr>
            </w:pPr>
            <w:r w:rsidRPr="003962CD">
              <w:rPr>
                <w:rStyle w:val="SCCFileNumberChar"/>
                <w:sz w:val="20"/>
                <w:szCs w:val="20"/>
              </w:rPr>
              <w:t>36578</w:t>
            </w:r>
          </w:p>
        </w:tc>
        <w:tc>
          <w:tcPr>
            <w:tcW w:w="4457" w:type="pct"/>
            <w:gridSpan w:val="3"/>
          </w:tcPr>
          <w:p w:rsidR="003962CD" w:rsidRPr="003962CD" w:rsidRDefault="003962CD" w:rsidP="003962CD">
            <w:pPr>
              <w:pStyle w:val="SCCLsocParty"/>
              <w:jc w:val="both"/>
              <w:rPr>
                <w:b/>
                <w:sz w:val="20"/>
                <w:szCs w:val="20"/>
                <w:lang w:val="en-CA"/>
              </w:rPr>
            </w:pPr>
            <w:proofErr w:type="spellStart"/>
            <w:r w:rsidRPr="003962CD">
              <w:rPr>
                <w:b/>
                <w:sz w:val="20"/>
                <w:szCs w:val="20"/>
                <w:lang w:val="en-CA"/>
              </w:rPr>
              <w:t>Mirsada</w:t>
            </w:r>
            <w:proofErr w:type="spellEnd"/>
            <w:r w:rsidRPr="003962CD">
              <w:rPr>
                <w:b/>
                <w:sz w:val="20"/>
                <w:szCs w:val="20"/>
                <w:lang w:val="en-CA"/>
              </w:rPr>
              <w:t xml:space="preserve"> </w:t>
            </w:r>
            <w:proofErr w:type="spellStart"/>
            <w:r w:rsidRPr="003962CD">
              <w:rPr>
                <w:b/>
                <w:sz w:val="20"/>
                <w:szCs w:val="20"/>
                <w:lang w:val="en-CA"/>
              </w:rPr>
              <w:t>Mujagic</w:t>
            </w:r>
            <w:proofErr w:type="spellEnd"/>
            <w:r w:rsidRPr="003962CD">
              <w:rPr>
                <w:b/>
                <w:sz w:val="20"/>
                <w:szCs w:val="20"/>
                <w:lang w:val="en-CA"/>
              </w:rPr>
              <w:t xml:space="preserve">, </w:t>
            </w:r>
            <w:proofErr w:type="spellStart"/>
            <w:r w:rsidRPr="003962CD">
              <w:rPr>
                <w:b/>
                <w:sz w:val="20"/>
                <w:szCs w:val="20"/>
                <w:lang w:val="en-CA"/>
              </w:rPr>
              <w:t>Belmir</w:t>
            </w:r>
            <w:proofErr w:type="spellEnd"/>
            <w:r w:rsidRPr="003962CD">
              <w:rPr>
                <w:b/>
                <w:sz w:val="20"/>
                <w:szCs w:val="20"/>
                <w:lang w:val="en-CA"/>
              </w:rPr>
              <w:t xml:space="preserve"> </w:t>
            </w:r>
            <w:proofErr w:type="spellStart"/>
            <w:r w:rsidRPr="003962CD">
              <w:rPr>
                <w:b/>
                <w:sz w:val="20"/>
                <w:szCs w:val="20"/>
                <w:lang w:val="en-CA"/>
              </w:rPr>
              <w:t>Mujagic</w:t>
            </w:r>
            <w:proofErr w:type="spellEnd"/>
            <w:r w:rsidRPr="003962CD">
              <w:rPr>
                <w:b/>
                <w:sz w:val="20"/>
                <w:szCs w:val="20"/>
                <w:lang w:val="en-CA"/>
              </w:rPr>
              <w:t xml:space="preserve"> v. Annette </w:t>
            </w:r>
            <w:proofErr w:type="spellStart"/>
            <w:r w:rsidRPr="003962CD">
              <w:rPr>
                <w:b/>
                <w:sz w:val="20"/>
                <w:szCs w:val="20"/>
                <w:lang w:val="en-CA"/>
              </w:rPr>
              <w:t>Kamps</w:t>
            </w:r>
            <w:proofErr w:type="spellEnd"/>
          </w:p>
          <w:p w:rsidR="003962CD" w:rsidRPr="003962CD" w:rsidRDefault="003962CD" w:rsidP="003962CD">
            <w:pPr>
              <w:jc w:val="both"/>
              <w:rPr>
                <w:sz w:val="20"/>
              </w:rPr>
            </w:pPr>
            <w:r w:rsidRPr="003962CD">
              <w:rPr>
                <w:sz w:val="20"/>
              </w:rPr>
              <w:t>(Ont.) (Civil) (By Leave)</w:t>
            </w:r>
          </w:p>
        </w:tc>
      </w:tr>
      <w:tr w:rsidR="003962CD" w:rsidRPr="003962CD" w:rsidTr="00E95A6A">
        <w:tc>
          <w:tcPr>
            <w:tcW w:w="5000" w:type="pct"/>
            <w:gridSpan w:val="4"/>
          </w:tcPr>
          <w:p w:rsidR="003962CD" w:rsidRPr="003962CD" w:rsidRDefault="003962CD" w:rsidP="003962CD">
            <w:pPr>
              <w:jc w:val="both"/>
              <w:rPr>
                <w:sz w:val="20"/>
              </w:rPr>
            </w:pPr>
            <w:r w:rsidRPr="003962CD">
              <w:rPr>
                <w:sz w:val="20"/>
              </w:rPr>
              <w:t>Evidence – Expert evidence – Applicant failing to file experts’ report before trial – Court ruling that experts’ opinion evidence inadmissible – Do the expert report requirements set out in Rule 53.03 apply to the opinion evidence of treating physicians? – Under Rule 53.08, is it mandatory for a court to consider the possibility of relief from non-compliance with expert report requirements before ruling that evidence inadmissible for non-compliance?</w:t>
            </w:r>
          </w:p>
        </w:tc>
      </w:tr>
      <w:tr w:rsidR="003962CD" w:rsidRPr="003962CD" w:rsidTr="00E95A6A">
        <w:tc>
          <w:tcPr>
            <w:tcW w:w="5000" w:type="pct"/>
            <w:gridSpan w:val="4"/>
          </w:tcPr>
          <w:p w:rsidR="003962CD" w:rsidRPr="003962CD" w:rsidRDefault="003962CD" w:rsidP="003962CD">
            <w:pPr>
              <w:jc w:val="both"/>
              <w:rPr>
                <w:sz w:val="20"/>
              </w:rPr>
            </w:pPr>
          </w:p>
        </w:tc>
      </w:tr>
      <w:tr w:rsidR="003962CD" w:rsidRPr="003962CD" w:rsidTr="00E95A6A">
        <w:tc>
          <w:tcPr>
            <w:tcW w:w="5000" w:type="pct"/>
            <w:gridSpan w:val="4"/>
          </w:tcPr>
          <w:p w:rsidR="003962CD" w:rsidRPr="003962CD" w:rsidRDefault="003962CD" w:rsidP="003962CD">
            <w:pPr>
              <w:jc w:val="both"/>
              <w:rPr>
                <w:sz w:val="20"/>
              </w:rPr>
            </w:pPr>
            <w:r w:rsidRPr="003962CD">
              <w:rPr>
                <w:sz w:val="20"/>
              </w:rPr>
              <w:t>The applicant, Ms. </w:t>
            </w:r>
            <w:proofErr w:type="spellStart"/>
            <w:r w:rsidRPr="003962CD">
              <w:rPr>
                <w:sz w:val="20"/>
              </w:rPr>
              <w:t>Mujagic</w:t>
            </w:r>
            <w:proofErr w:type="spellEnd"/>
            <w:r w:rsidRPr="003962CD">
              <w:rPr>
                <w:sz w:val="20"/>
              </w:rPr>
              <w:t>, was involved in a motor vehicle accident in 2001. She commenced an action against the respondent, seeking damages for personal injuries. At the jury trial, Mrs. </w:t>
            </w:r>
            <w:proofErr w:type="spellStart"/>
            <w:r w:rsidRPr="003962CD">
              <w:rPr>
                <w:sz w:val="20"/>
              </w:rPr>
              <w:t>Mujagic</w:t>
            </w:r>
            <w:proofErr w:type="spellEnd"/>
            <w:r w:rsidRPr="003962CD">
              <w:rPr>
                <w:sz w:val="20"/>
              </w:rPr>
              <w:t>, who represented herself and her son, attempted to file medical consultation notes that contained opinions from medical doctors who were not being called as witnesses. The trial judge ruled that the notes could not be made exhibits because Ms. </w:t>
            </w:r>
            <w:proofErr w:type="spellStart"/>
            <w:r w:rsidRPr="003962CD">
              <w:rPr>
                <w:sz w:val="20"/>
              </w:rPr>
              <w:t>Mujagic</w:t>
            </w:r>
            <w:proofErr w:type="spellEnd"/>
            <w:r w:rsidRPr="003962CD">
              <w:rPr>
                <w:sz w:val="20"/>
              </w:rPr>
              <w:t xml:space="preserve"> had failed to comply with the notice requirements in </w:t>
            </w:r>
            <w:hyperlink r:id="rId26" w:anchor="sec53.03_smooth" w:history="1">
              <w:r w:rsidRPr="003962CD">
                <w:rPr>
                  <w:sz w:val="20"/>
                </w:rPr>
                <w:t>Rule 53.03</w:t>
              </w:r>
            </w:hyperlink>
            <w:r w:rsidRPr="003962CD">
              <w:rPr>
                <w:sz w:val="20"/>
              </w:rPr>
              <w:t xml:space="preserve"> </w:t>
            </w:r>
            <w:r w:rsidRPr="003962CD">
              <w:rPr>
                <w:i/>
                <w:sz w:val="20"/>
              </w:rPr>
              <w:t>Rules of Civil Procedure</w:t>
            </w:r>
            <w:r w:rsidRPr="003962CD">
              <w:rPr>
                <w:sz w:val="20"/>
              </w:rPr>
              <w:t>, R.R.O. 1990, Reg. 194. The trial judge also ruled that the doctors could testify for the applicants but due to non-compliance with Rule 53.03, they were not permitted to give an opinions on whether there was a causal link between their diagnoses and the motor vehicle accident. The jury found that Ms. </w:t>
            </w:r>
            <w:proofErr w:type="spellStart"/>
            <w:r w:rsidRPr="003962CD">
              <w:rPr>
                <w:sz w:val="20"/>
              </w:rPr>
              <w:t>Kamps</w:t>
            </w:r>
            <w:proofErr w:type="spellEnd"/>
            <w:r w:rsidRPr="003962CD">
              <w:rPr>
                <w:sz w:val="20"/>
              </w:rPr>
              <w:t xml:space="preserve"> was 30 per cent and Ms. </w:t>
            </w:r>
            <w:proofErr w:type="spellStart"/>
            <w:r w:rsidRPr="003962CD">
              <w:rPr>
                <w:sz w:val="20"/>
              </w:rPr>
              <w:t>Mujagic</w:t>
            </w:r>
            <w:proofErr w:type="spellEnd"/>
            <w:r w:rsidRPr="003962CD">
              <w:rPr>
                <w:sz w:val="20"/>
              </w:rPr>
              <w:t xml:space="preserve"> 70 per cent at fault for the accident. They assessed the damages for the applicants at zero and the action was dismissed. On appeal, Ms. </w:t>
            </w:r>
            <w:proofErr w:type="spellStart"/>
            <w:r w:rsidRPr="003962CD">
              <w:rPr>
                <w:sz w:val="20"/>
              </w:rPr>
              <w:t>Mujagic</w:t>
            </w:r>
            <w:proofErr w:type="spellEnd"/>
            <w:r w:rsidRPr="003962CD">
              <w:rPr>
                <w:sz w:val="20"/>
              </w:rPr>
              <w:t xml:space="preserve"> maintained that the trial had been unfair for her, as an unrepresented litigant, particularly in the manner in which the trial judge had treated her expert evidence. </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November 24, 2011</w:t>
            </w:r>
          </w:p>
          <w:p w:rsidR="003962CD" w:rsidRPr="003962CD" w:rsidRDefault="003962CD" w:rsidP="003962CD">
            <w:pPr>
              <w:jc w:val="both"/>
              <w:rPr>
                <w:sz w:val="20"/>
              </w:rPr>
            </w:pPr>
            <w:r w:rsidRPr="003962CD">
              <w:rPr>
                <w:sz w:val="20"/>
              </w:rPr>
              <w:t>Ontario Superior Court of Justice</w:t>
            </w:r>
          </w:p>
          <w:p w:rsidR="003962CD" w:rsidRPr="003962CD" w:rsidRDefault="003962CD" w:rsidP="003962CD">
            <w:pPr>
              <w:jc w:val="both"/>
              <w:rPr>
                <w:sz w:val="20"/>
              </w:rPr>
            </w:pPr>
            <w:r w:rsidRPr="003962CD">
              <w:rPr>
                <w:sz w:val="20"/>
              </w:rPr>
              <w:t>(</w:t>
            </w:r>
            <w:proofErr w:type="spellStart"/>
            <w:r w:rsidRPr="003962CD">
              <w:rPr>
                <w:sz w:val="20"/>
              </w:rPr>
              <w:t>Parayeski</w:t>
            </w:r>
            <w:proofErr w:type="spellEnd"/>
            <w:r w:rsidRPr="003962CD">
              <w:rPr>
                <w:sz w:val="20"/>
              </w:rPr>
              <w:t xml:space="preserve"> J.)</w:t>
            </w:r>
          </w:p>
          <w:p w:rsidR="003962CD" w:rsidRPr="003962CD" w:rsidRDefault="003962CD" w:rsidP="003962CD">
            <w:pPr>
              <w:jc w:val="both"/>
              <w:rPr>
                <w:sz w:val="20"/>
              </w:rPr>
            </w:pPr>
            <w:r w:rsidRPr="003962CD">
              <w:rPr>
                <w:sz w:val="20"/>
              </w:rPr>
              <w:t>Unreported</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Applicants’ action for damages dismissed</w:t>
            </w:r>
          </w:p>
          <w:p w:rsidR="003962CD" w:rsidRPr="003962CD" w:rsidRDefault="003962CD" w:rsidP="003962CD">
            <w:pPr>
              <w:jc w:val="both"/>
              <w:rPr>
                <w:sz w:val="20"/>
              </w:rPr>
            </w:pP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Ontario Superior Court of Justice</w:t>
            </w:r>
          </w:p>
          <w:p w:rsidR="003962CD" w:rsidRPr="003962CD" w:rsidRDefault="003962CD" w:rsidP="003962CD">
            <w:pPr>
              <w:jc w:val="both"/>
              <w:rPr>
                <w:sz w:val="20"/>
              </w:rPr>
            </w:pPr>
            <w:r w:rsidRPr="003962CD">
              <w:rPr>
                <w:sz w:val="20"/>
              </w:rPr>
              <w:t>(Divisional Court)</w:t>
            </w:r>
          </w:p>
          <w:p w:rsidR="003962CD" w:rsidRPr="003962CD" w:rsidRDefault="003962CD" w:rsidP="003962CD">
            <w:pPr>
              <w:jc w:val="both"/>
              <w:rPr>
                <w:sz w:val="20"/>
              </w:rPr>
            </w:pPr>
            <w:r w:rsidRPr="003962CD">
              <w:rPr>
                <w:sz w:val="20"/>
              </w:rPr>
              <w:t>(</w:t>
            </w:r>
            <w:proofErr w:type="spellStart"/>
            <w:r w:rsidRPr="003962CD">
              <w:rPr>
                <w:sz w:val="20"/>
              </w:rPr>
              <w:t>Matlow</w:t>
            </w:r>
            <w:proofErr w:type="spellEnd"/>
            <w:r w:rsidRPr="003962CD">
              <w:rPr>
                <w:sz w:val="20"/>
              </w:rPr>
              <w:t>, Swinton and Gray JJ.)</w:t>
            </w:r>
          </w:p>
          <w:p w:rsidR="003962CD" w:rsidRPr="003962CD" w:rsidRDefault="003962CD" w:rsidP="003962CD">
            <w:pPr>
              <w:jc w:val="both"/>
              <w:rPr>
                <w:sz w:val="20"/>
              </w:rPr>
            </w:pPr>
            <w:hyperlink r:id="rId27" w:history="1">
              <w:r w:rsidRPr="003962CD">
                <w:rPr>
                  <w:rStyle w:val="Hyperlink"/>
                  <w:sz w:val="20"/>
                </w:rPr>
                <w:t>2014 ONSC 5504</w:t>
              </w:r>
            </w:hyperlink>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Applicants’ appeal dismissed</w:t>
            </w:r>
          </w:p>
        </w:tc>
      </w:tr>
      <w:tr w:rsidR="003962CD" w:rsidRPr="003962CD" w:rsidTr="00E95A6A">
        <w:tc>
          <w:tcPr>
            <w:tcW w:w="2427" w:type="pct"/>
            <w:gridSpan w:val="2"/>
          </w:tcPr>
          <w:p w:rsidR="003962CD" w:rsidRPr="003962CD" w:rsidRDefault="003962CD" w:rsidP="003962CD">
            <w:pPr>
              <w:jc w:val="both"/>
              <w:rPr>
                <w:sz w:val="20"/>
              </w:rPr>
            </w:pPr>
            <w:r w:rsidRPr="003962CD">
              <w:rPr>
                <w:sz w:val="20"/>
              </w:rPr>
              <w:t>February 6, 2015</w:t>
            </w:r>
          </w:p>
          <w:p w:rsidR="003962CD" w:rsidRPr="003962CD" w:rsidRDefault="003962CD" w:rsidP="003962CD">
            <w:pPr>
              <w:jc w:val="both"/>
              <w:rPr>
                <w:sz w:val="20"/>
              </w:rPr>
            </w:pPr>
            <w:r w:rsidRPr="003962CD">
              <w:rPr>
                <w:sz w:val="20"/>
              </w:rPr>
              <w:t>Court of Appeal for Ontario</w:t>
            </w:r>
          </w:p>
          <w:p w:rsidR="003962CD" w:rsidRPr="003962CD" w:rsidRDefault="003962CD" w:rsidP="003962CD">
            <w:pPr>
              <w:jc w:val="both"/>
              <w:rPr>
                <w:sz w:val="20"/>
              </w:rPr>
            </w:pPr>
            <w:r w:rsidRPr="003962CD">
              <w:rPr>
                <w:sz w:val="20"/>
              </w:rPr>
              <w:t xml:space="preserve">(Doherty, </w:t>
            </w:r>
            <w:proofErr w:type="spellStart"/>
            <w:r w:rsidRPr="003962CD">
              <w:rPr>
                <w:sz w:val="20"/>
              </w:rPr>
              <w:t>Gillese</w:t>
            </w:r>
            <w:proofErr w:type="spellEnd"/>
            <w:r w:rsidRPr="003962CD">
              <w:rPr>
                <w:sz w:val="20"/>
              </w:rPr>
              <w:t xml:space="preserve"> and </w:t>
            </w:r>
            <w:proofErr w:type="spellStart"/>
            <w:r w:rsidRPr="003962CD">
              <w:rPr>
                <w:sz w:val="20"/>
              </w:rPr>
              <w:t>Lauwers</w:t>
            </w:r>
            <w:proofErr w:type="spellEnd"/>
            <w:r w:rsidRPr="003962CD">
              <w:rPr>
                <w:sz w:val="20"/>
              </w:rPr>
              <w:t xml:space="preserve"> JJ.A.)</w:t>
            </w:r>
          </w:p>
          <w:p w:rsidR="003962CD" w:rsidRPr="003962CD" w:rsidRDefault="003962CD" w:rsidP="003962CD">
            <w:pPr>
              <w:jc w:val="both"/>
              <w:rPr>
                <w:sz w:val="20"/>
              </w:rPr>
            </w:pPr>
            <w:r w:rsidRPr="003962CD">
              <w:rPr>
                <w:sz w:val="20"/>
              </w:rPr>
              <w:t>Unreported</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Applicants’ motion for leave to appeal dismissed</w:t>
            </w:r>
          </w:p>
          <w:p w:rsidR="003962CD" w:rsidRPr="003962CD" w:rsidRDefault="003962CD" w:rsidP="003962CD">
            <w:pPr>
              <w:jc w:val="both"/>
              <w:rPr>
                <w:sz w:val="20"/>
              </w:rPr>
            </w:pP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May 20, 2015</w:t>
            </w:r>
          </w:p>
          <w:p w:rsidR="003962CD" w:rsidRPr="003962CD" w:rsidRDefault="003962CD" w:rsidP="003962CD">
            <w:pPr>
              <w:jc w:val="both"/>
              <w:rPr>
                <w:sz w:val="20"/>
              </w:rPr>
            </w:pPr>
            <w:r w:rsidRPr="003962CD">
              <w:rPr>
                <w:sz w:val="20"/>
              </w:rPr>
              <w:t>Court of Appeal for Ontario</w:t>
            </w:r>
          </w:p>
          <w:p w:rsidR="003962CD" w:rsidRPr="003962CD" w:rsidRDefault="003962CD" w:rsidP="003962CD">
            <w:pPr>
              <w:jc w:val="both"/>
              <w:rPr>
                <w:sz w:val="20"/>
              </w:rPr>
            </w:pPr>
            <w:r w:rsidRPr="003962CD">
              <w:rPr>
                <w:sz w:val="20"/>
              </w:rPr>
              <w:t xml:space="preserve">(Doherty, </w:t>
            </w:r>
            <w:proofErr w:type="spellStart"/>
            <w:r w:rsidRPr="003962CD">
              <w:rPr>
                <w:sz w:val="20"/>
              </w:rPr>
              <w:t>Gillese</w:t>
            </w:r>
            <w:proofErr w:type="spellEnd"/>
            <w:r w:rsidRPr="003962CD">
              <w:rPr>
                <w:sz w:val="20"/>
              </w:rPr>
              <w:t xml:space="preserve"> and </w:t>
            </w:r>
            <w:proofErr w:type="spellStart"/>
            <w:r w:rsidRPr="003962CD">
              <w:rPr>
                <w:sz w:val="20"/>
              </w:rPr>
              <w:t>Lauwers</w:t>
            </w:r>
            <w:proofErr w:type="spellEnd"/>
            <w:r w:rsidRPr="003962CD">
              <w:rPr>
                <w:sz w:val="20"/>
              </w:rPr>
              <w:t xml:space="preserve"> JJ.A.)</w:t>
            </w:r>
          </w:p>
          <w:p w:rsidR="003962CD" w:rsidRPr="003962CD" w:rsidRDefault="003962CD" w:rsidP="003962CD">
            <w:pPr>
              <w:jc w:val="both"/>
              <w:rPr>
                <w:sz w:val="20"/>
              </w:rPr>
            </w:pPr>
            <w:r w:rsidRPr="003962CD">
              <w:rPr>
                <w:sz w:val="20"/>
              </w:rPr>
              <w:t>2015 ONCA 360</w:t>
            </w:r>
          </w:p>
          <w:p w:rsidR="003962CD" w:rsidRPr="003962CD" w:rsidRDefault="003962CD" w:rsidP="003962CD">
            <w:pPr>
              <w:jc w:val="both"/>
              <w:rPr>
                <w:sz w:val="20"/>
              </w:rPr>
            </w:pPr>
            <w:r w:rsidRPr="003962CD">
              <w:rPr>
                <w:sz w:val="20"/>
              </w:rPr>
              <w:t>Dockets: M44355 and M44948</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Applicants’ motion for reconsideration dismissed</w:t>
            </w:r>
          </w:p>
          <w:p w:rsidR="003962CD" w:rsidRPr="003962CD" w:rsidRDefault="003962CD" w:rsidP="003962CD">
            <w:pPr>
              <w:jc w:val="both"/>
              <w:rPr>
                <w:sz w:val="20"/>
              </w:rPr>
            </w:pPr>
          </w:p>
        </w:tc>
      </w:tr>
      <w:tr w:rsidR="003962CD" w:rsidRPr="003962CD" w:rsidTr="00E95A6A">
        <w:tc>
          <w:tcPr>
            <w:tcW w:w="2427" w:type="pct"/>
            <w:gridSpan w:val="2"/>
          </w:tcPr>
          <w:p w:rsidR="003962CD" w:rsidRPr="003962CD" w:rsidRDefault="003962CD" w:rsidP="003962CD">
            <w:pPr>
              <w:jc w:val="both"/>
              <w:rPr>
                <w:sz w:val="20"/>
              </w:rPr>
            </w:pPr>
            <w:r w:rsidRPr="003962CD">
              <w:rPr>
                <w:sz w:val="20"/>
              </w:rPr>
              <w:t>August 28, 2015</w:t>
            </w:r>
          </w:p>
          <w:p w:rsidR="003962CD" w:rsidRPr="003962CD" w:rsidRDefault="003962CD" w:rsidP="003962CD">
            <w:pPr>
              <w:jc w:val="both"/>
              <w:rPr>
                <w:sz w:val="20"/>
              </w:rPr>
            </w:pPr>
            <w:r w:rsidRPr="003962CD">
              <w:rPr>
                <w:sz w:val="20"/>
              </w:rPr>
              <w:t>Supreme Court of Canada</w:t>
            </w:r>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rPr>
            </w:pPr>
            <w:r w:rsidRPr="003962CD">
              <w:rPr>
                <w:sz w:val="20"/>
              </w:rPr>
              <w:t>Motion for extension of time in which to serve and file application for leave to appeal and application for leave to appeal filed</w:t>
            </w:r>
          </w:p>
        </w:tc>
      </w:tr>
    </w:tbl>
    <w:p w:rsidR="003962CD" w:rsidRDefault="003962CD" w:rsidP="003962CD">
      <w:pPr>
        <w:jc w:val="both"/>
        <w:rPr>
          <w:sz w:val="20"/>
        </w:rPr>
      </w:pPr>
    </w:p>
    <w:p w:rsidR="005107B6" w:rsidRPr="003962CD" w:rsidRDefault="005107B6" w:rsidP="003962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62CD" w:rsidRPr="003962CD" w:rsidTr="00E95A6A">
        <w:tc>
          <w:tcPr>
            <w:tcW w:w="543" w:type="pct"/>
          </w:tcPr>
          <w:p w:rsidR="003962CD" w:rsidRPr="003962CD" w:rsidRDefault="003962CD" w:rsidP="003962CD">
            <w:pPr>
              <w:jc w:val="both"/>
              <w:rPr>
                <w:sz w:val="20"/>
              </w:rPr>
            </w:pPr>
            <w:r w:rsidRPr="003962CD">
              <w:rPr>
                <w:rStyle w:val="SCCFileNumberChar"/>
                <w:sz w:val="20"/>
                <w:szCs w:val="20"/>
              </w:rPr>
              <w:t>36578</w:t>
            </w:r>
          </w:p>
        </w:tc>
        <w:tc>
          <w:tcPr>
            <w:tcW w:w="4457" w:type="pct"/>
            <w:gridSpan w:val="3"/>
          </w:tcPr>
          <w:p w:rsidR="003962CD" w:rsidRPr="003962CD" w:rsidRDefault="003962CD" w:rsidP="003962CD">
            <w:pPr>
              <w:pStyle w:val="SCCLsocParty"/>
              <w:jc w:val="both"/>
              <w:rPr>
                <w:b/>
                <w:sz w:val="20"/>
                <w:szCs w:val="20"/>
              </w:rPr>
            </w:pPr>
            <w:proofErr w:type="spellStart"/>
            <w:r w:rsidRPr="003962CD">
              <w:rPr>
                <w:b/>
                <w:sz w:val="20"/>
                <w:szCs w:val="20"/>
              </w:rPr>
              <w:t>Mirsada</w:t>
            </w:r>
            <w:proofErr w:type="spellEnd"/>
            <w:r w:rsidRPr="003962CD">
              <w:rPr>
                <w:b/>
                <w:sz w:val="20"/>
                <w:szCs w:val="20"/>
              </w:rPr>
              <w:t xml:space="preserve"> </w:t>
            </w:r>
            <w:proofErr w:type="spellStart"/>
            <w:r w:rsidRPr="003962CD">
              <w:rPr>
                <w:b/>
                <w:sz w:val="20"/>
                <w:szCs w:val="20"/>
              </w:rPr>
              <w:t>Mujagic</w:t>
            </w:r>
            <w:proofErr w:type="spellEnd"/>
            <w:r w:rsidRPr="003962CD">
              <w:rPr>
                <w:b/>
                <w:sz w:val="20"/>
                <w:szCs w:val="20"/>
              </w:rPr>
              <w:t xml:space="preserve">, </w:t>
            </w:r>
            <w:proofErr w:type="spellStart"/>
            <w:r w:rsidRPr="003962CD">
              <w:rPr>
                <w:b/>
                <w:sz w:val="20"/>
                <w:szCs w:val="20"/>
              </w:rPr>
              <w:t>Belmir</w:t>
            </w:r>
            <w:proofErr w:type="spellEnd"/>
            <w:r w:rsidRPr="003962CD">
              <w:rPr>
                <w:b/>
                <w:sz w:val="20"/>
                <w:szCs w:val="20"/>
              </w:rPr>
              <w:t xml:space="preserve"> </w:t>
            </w:r>
            <w:proofErr w:type="spellStart"/>
            <w:r w:rsidRPr="003962CD">
              <w:rPr>
                <w:b/>
                <w:sz w:val="20"/>
                <w:szCs w:val="20"/>
              </w:rPr>
              <w:t>Mujagic</w:t>
            </w:r>
            <w:proofErr w:type="spellEnd"/>
            <w:r w:rsidRPr="003962CD">
              <w:rPr>
                <w:b/>
                <w:sz w:val="20"/>
                <w:szCs w:val="20"/>
              </w:rPr>
              <w:t xml:space="preserve"> c. Annette </w:t>
            </w:r>
            <w:proofErr w:type="spellStart"/>
            <w:r w:rsidRPr="003962CD">
              <w:rPr>
                <w:b/>
                <w:sz w:val="20"/>
                <w:szCs w:val="20"/>
              </w:rPr>
              <w:t>Kamps</w:t>
            </w:r>
            <w:proofErr w:type="spellEnd"/>
          </w:p>
          <w:p w:rsidR="003962CD" w:rsidRPr="003962CD" w:rsidRDefault="003962CD" w:rsidP="003962CD">
            <w:pPr>
              <w:jc w:val="both"/>
              <w:rPr>
                <w:sz w:val="20"/>
                <w:lang w:val="fr-CA"/>
              </w:rPr>
            </w:pPr>
            <w:r w:rsidRPr="003962CD">
              <w:rPr>
                <w:sz w:val="20"/>
                <w:lang w:val="fr-CA"/>
              </w:rPr>
              <w:t>(Ont.) (Civile) (Sur autorisation)</w:t>
            </w:r>
          </w:p>
        </w:tc>
      </w:tr>
      <w:tr w:rsidR="003962CD" w:rsidRPr="003962CD" w:rsidTr="00E95A6A">
        <w:tc>
          <w:tcPr>
            <w:tcW w:w="5000" w:type="pct"/>
            <w:gridSpan w:val="4"/>
          </w:tcPr>
          <w:p w:rsidR="003962CD" w:rsidRPr="003962CD" w:rsidRDefault="003962CD" w:rsidP="003962CD">
            <w:pPr>
              <w:jc w:val="both"/>
              <w:rPr>
                <w:sz w:val="20"/>
                <w:lang w:val="fr-CA"/>
              </w:rPr>
            </w:pPr>
            <w:r w:rsidRPr="003962CD">
              <w:rPr>
                <w:sz w:val="20"/>
                <w:lang w:val="fr-CA"/>
              </w:rPr>
              <w:t xml:space="preserve">Preuve – Preuve d’expert – Défaut de la demanderesse de déposer le rapport de l’expert avant le procès – Preuve de l’expert jugée inadmissible par le tribunal – Les prescriptions relatives au rapport d’expert énoncées à l'article 53.03 des Règles s’appliquent à la preuve d’opinion de médecins traitants? – En application de l’article 53.08 des Règles, le tribunal doit-il envisager les recours possibles en cas de non-conformité aux prescriptions en matière de dépôt du rapport de l’expert avant de conclure à l’inadmissibilité de cette preuve? </w:t>
            </w:r>
          </w:p>
        </w:tc>
      </w:tr>
      <w:tr w:rsidR="003962CD" w:rsidRPr="003962CD" w:rsidTr="00E95A6A">
        <w:tc>
          <w:tcPr>
            <w:tcW w:w="5000" w:type="pct"/>
            <w:gridSpan w:val="4"/>
          </w:tcPr>
          <w:p w:rsidR="003962CD" w:rsidRPr="003962CD" w:rsidRDefault="003962CD" w:rsidP="003962CD">
            <w:pPr>
              <w:jc w:val="both"/>
              <w:rPr>
                <w:sz w:val="20"/>
                <w:lang w:val="fr-CA"/>
              </w:rPr>
            </w:pPr>
          </w:p>
        </w:tc>
      </w:tr>
      <w:tr w:rsidR="003962CD" w:rsidRPr="003962CD" w:rsidTr="00E95A6A">
        <w:tc>
          <w:tcPr>
            <w:tcW w:w="5000" w:type="pct"/>
            <w:gridSpan w:val="4"/>
          </w:tcPr>
          <w:p w:rsidR="003962CD" w:rsidRPr="003962CD" w:rsidRDefault="003962CD" w:rsidP="003962CD">
            <w:pPr>
              <w:jc w:val="both"/>
              <w:rPr>
                <w:sz w:val="20"/>
                <w:lang w:val="fr-CA"/>
              </w:rPr>
            </w:pPr>
            <w:r w:rsidRPr="003962CD">
              <w:rPr>
                <w:sz w:val="20"/>
                <w:lang w:val="fr-CA"/>
              </w:rPr>
              <w:t>La demanderesse, Mme </w:t>
            </w:r>
            <w:proofErr w:type="spellStart"/>
            <w:r w:rsidRPr="003962CD">
              <w:rPr>
                <w:sz w:val="20"/>
                <w:lang w:val="fr-CA"/>
              </w:rPr>
              <w:t>Mujagic</w:t>
            </w:r>
            <w:proofErr w:type="spellEnd"/>
            <w:r w:rsidRPr="003962CD">
              <w:rPr>
                <w:sz w:val="20"/>
                <w:lang w:val="fr-CA"/>
              </w:rPr>
              <w:t>, a été impliquée dans un accident de la route en 2001. Elle a intenté une action en dommages-intérêts pour lésions personnelles contre l’intimée. Lors du procès devant jury, Mme </w:t>
            </w:r>
            <w:proofErr w:type="spellStart"/>
            <w:r w:rsidRPr="003962CD">
              <w:rPr>
                <w:sz w:val="20"/>
                <w:lang w:val="fr-CA"/>
              </w:rPr>
              <w:t>Mujagic</w:t>
            </w:r>
            <w:proofErr w:type="spellEnd"/>
            <w:r w:rsidRPr="003962CD">
              <w:rPr>
                <w:sz w:val="20"/>
                <w:lang w:val="fr-CA"/>
              </w:rPr>
              <w:t xml:space="preserve">, qui représentait également son fils, a voulu déposer les notes d’une consultation médicale présentant l’opinion de médecins n’étant pas cités à comparaître. Le juge du procès a conclu que les notes ne pouvaient être déposées en preuve parce que Mme </w:t>
            </w:r>
            <w:proofErr w:type="spellStart"/>
            <w:r w:rsidRPr="003962CD">
              <w:rPr>
                <w:sz w:val="20"/>
                <w:lang w:val="fr-CA"/>
              </w:rPr>
              <w:t>Mujagic</w:t>
            </w:r>
            <w:proofErr w:type="spellEnd"/>
            <w:r w:rsidRPr="003962CD">
              <w:rPr>
                <w:sz w:val="20"/>
                <w:lang w:val="fr-CA"/>
              </w:rPr>
              <w:t xml:space="preserve"> n’avait pas respecté les règles en matière de signification de l’art. 53.03 des </w:t>
            </w:r>
            <w:r w:rsidRPr="003962CD">
              <w:rPr>
                <w:i/>
                <w:sz w:val="20"/>
                <w:lang w:val="fr-CA"/>
              </w:rPr>
              <w:t>Règles de procédure civile</w:t>
            </w:r>
            <w:r w:rsidRPr="003962CD">
              <w:rPr>
                <w:sz w:val="20"/>
                <w:lang w:val="fr-CA"/>
              </w:rPr>
              <w:t xml:space="preserve">, R.R.O. 1990, Reg. 194. Selon le juge, les médecins pouvaient témoigner en faveur des demandeurs, mais ne pouvaient se prononcer sur l’existence d’un lien de causalité entre leur diagnostic et l’accident de la route en raison du manquement à l’art. 53.03. Le jury a déterminé que Mme </w:t>
            </w:r>
            <w:proofErr w:type="spellStart"/>
            <w:r w:rsidRPr="003962CD">
              <w:rPr>
                <w:sz w:val="20"/>
                <w:lang w:val="fr-CA"/>
              </w:rPr>
              <w:t>Kamps</w:t>
            </w:r>
            <w:proofErr w:type="spellEnd"/>
            <w:r w:rsidRPr="003962CD">
              <w:rPr>
                <w:sz w:val="20"/>
                <w:lang w:val="fr-CA"/>
              </w:rPr>
              <w:t xml:space="preserve"> était responsable à 30 p. 100 de l’accident, et Mme </w:t>
            </w:r>
            <w:proofErr w:type="spellStart"/>
            <w:r w:rsidRPr="003962CD">
              <w:rPr>
                <w:sz w:val="20"/>
                <w:lang w:val="fr-CA"/>
              </w:rPr>
              <w:t>Mujagic</w:t>
            </w:r>
            <w:proofErr w:type="spellEnd"/>
            <w:r w:rsidRPr="003962CD">
              <w:rPr>
                <w:sz w:val="20"/>
                <w:lang w:val="fr-CA"/>
              </w:rPr>
              <w:t>, à 70 p. 100. Ils n’ont pas accordé de dommages-intérêts aux demandeurs, et l’action a été rejetée. Mme </w:t>
            </w:r>
            <w:proofErr w:type="spellStart"/>
            <w:r w:rsidRPr="003962CD">
              <w:rPr>
                <w:sz w:val="20"/>
                <w:lang w:val="fr-CA"/>
              </w:rPr>
              <w:t>Mujagic</w:t>
            </w:r>
            <w:proofErr w:type="spellEnd"/>
            <w:r w:rsidRPr="003962CD">
              <w:rPr>
                <w:sz w:val="20"/>
                <w:lang w:val="fr-CA"/>
              </w:rPr>
              <w:t xml:space="preserve"> a interjeté appel, faisant valoir l’iniquité du procès à son égard, à titre de plaideur non représenté, tout particulièrement dans le traitement par le juge de sa preuve d’expert. </w:t>
            </w: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24 novembre 2011</w:t>
            </w:r>
          </w:p>
          <w:p w:rsidR="003962CD" w:rsidRPr="003962CD" w:rsidRDefault="003962CD" w:rsidP="003962CD">
            <w:pPr>
              <w:jc w:val="both"/>
              <w:rPr>
                <w:sz w:val="20"/>
                <w:lang w:val="fr-CA"/>
              </w:rPr>
            </w:pPr>
            <w:r w:rsidRPr="003962CD">
              <w:rPr>
                <w:sz w:val="20"/>
                <w:lang w:val="fr-CA"/>
              </w:rPr>
              <w:t xml:space="preserve">Cour supérieure de justice de l’Ontario </w:t>
            </w:r>
          </w:p>
          <w:p w:rsidR="003962CD" w:rsidRPr="003962CD" w:rsidRDefault="003962CD" w:rsidP="003962CD">
            <w:pPr>
              <w:jc w:val="both"/>
              <w:rPr>
                <w:sz w:val="20"/>
              </w:rPr>
            </w:pPr>
            <w:r w:rsidRPr="003962CD">
              <w:rPr>
                <w:sz w:val="20"/>
              </w:rPr>
              <w:t>(</w:t>
            </w:r>
            <w:proofErr w:type="spellStart"/>
            <w:r w:rsidRPr="003962CD">
              <w:rPr>
                <w:sz w:val="20"/>
              </w:rPr>
              <w:t>Juge</w:t>
            </w:r>
            <w:proofErr w:type="spellEnd"/>
            <w:r w:rsidRPr="003962CD">
              <w:rPr>
                <w:sz w:val="20"/>
              </w:rPr>
              <w:t xml:space="preserve"> </w:t>
            </w:r>
            <w:proofErr w:type="spellStart"/>
            <w:r w:rsidRPr="003962CD">
              <w:rPr>
                <w:sz w:val="20"/>
              </w:rPr>
              <w:t>Parayeski</w:t>
            </w:r>
            <w:proofErr w:type="spellEnd"/>
            <w:r w:rsidRPr="003962CD">
              <w:rPr>
                <w:sz w:val="20"/>
              </w:rPr>
              <w:t>)</w:t>
            </w:r>
          </w:p>
          <w:p w:rsidR="003962CD" w:rsidRPr="003962CD" w:rsidRDefault="003962CD" w:rsidP="003962CD">
            <w:pPr>
              <w:jc w:val="both"/>
              <w:rPr>
                <w:sz w:val="20"/>
              </w:rPr>
            </w:pPr>
            <w:proofErr w:type="spellStart"/>
            <w:r w:rsidRPr="003962CD">
              <w:rPr>
                <w:sz w:val="20"/>
              </w:rPr>
              <w:t>Inédit</w:t>
            </w:r>
            <w:proofErr w:type="spellEnd"/>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lang w:val="fr-CA"/>
              </w:rPr>
            </w:pPr>
            <w:r w:rsidRPr="003962CD">
              <w:rPr>
                <w:sz w:val="20"/>
                <w:lang w:val="fr-CA"/>
              </w:rPr>
              <w:t>Rejet de l’action en dommages-intérêts intentée par les demandeurs</w:t>
            </w:r>
          </w:p>
          <w:p w:rsidR="003962CD" w:rsidRPr="003962CD" w:rsidRDefault="003962CD" w:rsidP="003962CD">
            <w:pPr>
              <w:jc w:val="both"/>
              <w:rPr>
                <w:sz w:val="20"/>
                <w:lang w:val="fr-CA"/>
              </w:rPr>
            </w:pP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Cour supérieure de justice de l’Ontario</w:t>
            </w:r>
          </w:p>
          <w:p w:rsidR="003962CD" w:rsidRPr="003962CD" w:rsidRDefault="003962CD" w:rsidP="003962CD">
            <w:pPr>
              <w:jc w:val="both"/>
              <w:rPr>
                <w:sz w:val="20"/>
                <w:lang w:val="fr-CA"/>
              </w:rPr>
            </w:pPr>
            <w:r w:rsidRPr="003962CD">
              <w:rPr>
                <w:sz w:val="20"/>
                <w:lang w:val="fr-CA"/>
              </w:rPr>
              <w:t>(Cour divisionnaire)</w:t>
            </w:r>
          </w:p>
          <w:p w:rsidR="003962CD" w:rsidRPr="003962CD" w:rsidRDefault="003962CD" w:rsidP="003962CD">
            <w:pPr>
              <w:jc w:val="both"/>
              <w:rPr>
                <w:sz w:val="20"/>
                <w:lang w:val="fr-CA"/>
              </w:rPr>
            </w:pPr>
            <w:r w:rsidRPr="003962CD">
              <w:rPr>
                <w:sz w:val="20"/>
                <w:lang w:val="fr-CA"/>
              </w:rPr>
              <w:t xml:space="preserve">(Juges </w:t>
            </w:r>
            <w:proofErr w:type="spellStart"/>
            <w:r w:rsidRPr="003962CD">
              <w:rPr>
                <w:sz w:val="20"/>
                <w:lang w:val="fr-CA"/>
              </w:rPr>
              <w:t>Matlow</w:t>
            </w:r>
            <w:proofErr w:type="spellEnd"/>
            <w:r w:rsidRPr="003962CD">
              <w:rPr>
                <w:sz w:val="20"/>
                <w:lang w:val="fr-CA"/>
              </w:rPr>
              <w:t xml:space="preserve">, </w:t>
            </w:r>
            <w:proofErr w:type="spellStart"/>
            <w:r w:rsidRPr="003962CD">
              <w:rPr>
                <w:sz w:val="20"/>
                <w:lang w:val="fr-CA"/>
              </w:rPr>
              <w:t>Swinton</w:t>
            </w:r>
            <w:proofErr w:type="spellEnd"/>
            <w:r w:rsidRPr="003962CD">
              <w:rPr>
                <w:sz w:val="20"/>
                <w:lang w:val="fr-CA"/>
              </w:rPr>
              <w:t xml:space="preserve"> et Gray)</w:t>
            </w:r>
          </w:p>
          <w:p w:rsidR="003962CD" w:rsidRPr="003962CD" w:rsidRDefault="003962CD" w:rsidP="003962CD">
            <w:pPr>
              <w:jc w:val="both"/>
              <w:rPr>
                <w:sz w:val="20"/>
              </w:rPr>
            </w:pPr>
            <w:hyperlink r:id="rId28" w:history="1">
              <w:r w:rsidRPr="003962CD">
                <w:rPr>
                  <w:rStyle w:val="Hyperlink"/>
                  <w:sz w:val="20"/>
                </w:rPr>
                <w:t>2014 ONSC 5504</w:t>
              </w:r>
            </w:hyperlink>
          </w:p>
          <w:p w:rsidR="003962CD" w:rsidRPr="003962CD" w:rsidRDefault="003962CD" w:rsidP="003962CD">
            <w:pPr>
              <w:jc w:val="both"/>
              <w:rPr>
                <w:sz w:val="20"/>
              </w:rPr>
            </w:pPr>
          </w:p>
        </w:tc>
        <w:tc>
          <w:tcPr>
            <w:tcW w:w="243" w:type="pct"/>
          </w:tcPr>
          <w:p w:rsidR="003962CD" w:rsidRPr="003962CD" w:rsidRDefault="003962CD" w:rsidP="003962CD">
            <w:pPr>
              <w:jc w:val="both"/>
              <w:rPr>
                <w:sz w:val="20"/>
              </w:rPr>
            </w:pPr>
          </w:p>
        </w:tc>
        <w:tc>
          <w:tcPr>
            <w:tcW w:w="2330" w:type="pct"/>
          </w:tcPr>
          <w:p w:rsidR="003962CD" w:rsidRPr="003962CD" w:rsidRDefault="003962CD" w:rsidP="003962CD">
            <w:pPr>
              <w:jc w:val="both"/>
              <w:rPr>
                <w:sz w:val="20"/>
                <w:lang w:val="fr-CA"/>
              </w:rPr>
            </w:pPr>
            <w:r w:rsidRPr="003962CD">
              <w:rPr>
                <w:sz w:val="20"/>
                <w:lang w:val="fr-CA"/>
              </w:rPr>
              <w:t>Rejet de l’appel interjeté par les demandeurs</w:t>
            </w: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6 février 2015</w:t>
            </w:r>
          </w:p>
          <w:p w:rsidR="003962CD" w:rsidRPr="003962CD" w:rsidRDefault="003962CD" w:rsidP="003962CD">
            <w:pPr>
              <w:jc w:val="both"/>
              <w:rPr>
                <w:sz w:val="20"/>
                <w:lang w:val="fr-CA"/>
              </w:rPr>
            </w:pPr>
            <w:r w:rsidRPr="003962CD">
              <w:rPr>
                <w:sz w:val="20"/>
                <w:lang w:val="fr-CA"/>
              </w:rPr>
              <w:t>Cour d’appel de l’Ontario</w:t>
            </w:r>
          </w:p>
          <w:p w:rsidR="003962CD" w:rsidRPr="003962CD" w:rsidRDefault="003962CD" w:rsidP="003962CD">
            <w:pPr>
              <w:jc w:val="both"/>
              <w:rPr>
                <w:sz w:val="20"/>
                <w:lang w:val="fr-CA"/>
              </w:rPr>
            </w:pPr>
            <w:r w:rsidRPr="003962CD">
              <w:rPr>
                <w:sz w:val="20"/>
                <w:lang w:val="fr-CA"/>
              </w:rPr>
              <w:t xml:space="preserve">(Juges Doherty, </w:t>
            </w:r>
            <w:proofErr w:type="spellStart"/>
            <w:r w:rsidRPr="003962CD">
              <w:rPr>
                <w:sz w:val="20"/>
                <w:lang w:val="fr-CA"/>
              </w:rPr>
              <w:t>Gillese</w:t>
            </w:r>
            <w:proofErr w:type="spellEnd"/>
            <w:r w:rsidRPr="003962CD">
              <w:rPr>
                <w:sz w:val="20"/>
                <w:lang w:val="fr-CA"/>
              </w:rPr>
              <w:t xml:space="preserve"> et </w:t>
            </w:r>
            <w:proofErr w:type="spellStart"/>
            <w:r w:rsidRPr="003962CD">
              <w:rPr>
                <w:sz w:val="20"/>
                <w:lang w:val="fr-CA"/>
              </w:rPr>
              <w:t>Lauwers</w:t>
            </w:r>
            <w:proofErr w:type="spellEnd"/>
            <w:r w:rsidRPr="003962CD">
              <w:rPr>
                <w:sz w:val="20"/>
                <w:lang w:val="fr-CA"/>
              </w:rPr>
              <w:t>)</w:t>
            </w:r>
          </w:p>
          <w:p w:rsidR="003962CD" w:rsidRPr="003962CD" w:rsidRDefault="003962CD" w:rsidP="003962CD">
            <w:pPr>
              <w:jc w:val="both"/>
              <w:rPr>
                <w:sz w:val="20"/>
                <w:lang w:val="fr-CA"/>
              </w:rPr>
            </w:pPr>
            <w:r w:rsidRPr="003962CD">
              <w:rPr>
                <w:sz w:val="20"/>
                <w:lang w:val="fr-CA"/>
              </w:rPr>
              <w:t>Inédit</w:t>
            </w:r>
          </w:p>
          <w:p w:rsidR="003962CD" w:rsidRPr="003962CD" w:rsidRDefault="003962CD" w:rsidP="003962CD">
            <w:pPr>
              <w:jc w:val="both"/>
              <w:rPr>
                <w:sz w:val="20"/>
                <w:lang w:val="fr-CA"/>
              </w:rPr>
            </w:pP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Rejet de la motion pour obtenir l’autorisation d’appel présentée par les demandeurs</w:t>
            </w:r>
          </w:p>
          <w:p w:rsidR="003962CD" w:rsidRPr="003962CD" w:rsidRDefault="003962CD" w:rsidP="003962CD">
            <w:pPr>
              <w:jc w:val="both"/>
              <w:rPr>
                <w:sz w:val="20"/>
                <w:lang w:val="fr-CA"/>
              </w:rPr>
            </w:pP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20 mai 2015</w:t>
            </w:r>
          </w:p>
          <w:p w:rsidR="003962CD" w:rsidRPr="003962CD" w:rsidRDefault="003962CD" w:rsidP="003962CD">
            <w:pPr>
              <w:jc w:val="both"/>
              <w:rPr>
                <w:sz w:val="20"/>
                <w:lang w:val="fr-CA"/>
              </w:rPr>
            </w:pPr>
            <w:r w:rsidRPr="003962CD">
              <w:rPr>
                <w:sz w:val="20"/>
                <w:lang w:val="fr-CA"/>
              </w:rPr>
              <w:t>Cour d’appel de l’Ontario</w:t>
            </w:r>
          </w:p>
          <w:p w:rsidR="003962CD" w:rsidRPr="003962CD" w:rsidRDefault="003962CD" w:rsidP="003962CD">
            <w:pPr>
              <w:jc w:val="both"/>
              <w:rPr>
                <w:sz w:val="20"/>
                <w:lang w:val="fr-CA"/>
              </w:rPr>
            </w:pPr>
            <w:r w:rsidRPr="003962CD">
              <w:rPr>
                <w:sz w:val="20"/>
                <w:lang w:val="fr-CA"/>
              </w:rPr>
              <w:t xml:space="preserve">(Juges Doherty, </w:t>
            </w:r>
            <w:proofErr w:type="spellStart"/>
            <w:r w:rsidRPr="003962CD">
              <w:rPr>
                <w:sz w:val="20"/>
                <w:lang w:val="fr-CA"/>
              </w:rPr>
              <w:t>Gillese</w:t>
            </w:r>
            <w:proofErr w:type="spellEnd"/>
            <w:r w:rsidRPr="003962CD">
              <w:rPr>
                <w:sz w:val="20"/>
                <w:lang w:val="fr-CA"/>
              </w:rPr>
              <w:t xml:space="preserve"> et </w:t>
            </w:r>
            <w:proofErr w:type="spellStart"/>
            <w:r w:rsidRPr="003962CD">
              <w:rPr>
                <w:sz w:val="20"/>
                <w:lang w:val="fr-CA"/>
              </w:rPr>
              <w:t>Lauwers</w:t>
            </w:r>
            <w:proofErr w:type="spellEnd"/>
            <w:r w:rsidRPr="003962CD">
              <w:rPr>
                <w:sz w:val="20"/>
                <w:lang w:val="fr-CA"/>
              </w:rPr>
              <w:t>)</w:t>
            </w:r>
          </w:p>
          <w:p w:rsidR="003962CD" w:rsidRPr="003962CD" w:rsidRDefault="003962CD" w:rsidP="003962CD">
            <w:pPr>
              <w:jc w:val="both"/>
              <w:rPr>
                <w:sz w:val="20"/>
                <w:lang w:val="fr-CA"/>
              </w:rPr>
            </w:pPr>
            <w:r w:rsidRPr="003962CD">
              <w:rPr>
                <w:sz w:val="20"/>
                <w:lang w:val="fr-CA"/>
              </w:rPr>
              <w:t>2015 ONCA 360</w:t>
            </w:r>
          </w:p>
          <w:p w:rsidR="003962CD" w:rsidRPr="003962CD" w:rsidRDefault="003962CD" w:rsidP="003962CD">
            <w:pPr>
              <w:jc w:val="both"/>
              <w:rPr>
                <w:sz w:val="20"/>
                <w:lang w:val="fr-CA"/>
              </w:rPr>
            </w:pPr>
            <w:r w:rsidRPr="003962CD">
              <w:rPr>
                <w:sz w:val="20"/>
                <w:lang w:val="fr-CA"/>
              </w:rPr>
              <w:t>N</w:t>
            </w:r>
            <w:r w:rsidRPr="003962CD">
              <w:rPr>
                <w:sz w:val="20"/>
                <w:vertAlign w:val="superscript"/>
                <w:lang w:val="fr-CA"/>
              </w:rPr>
              <w:t>os</w:t>
            </w:r>
            <w:r w:rsidRPr="003962CD">
              <w:rPr>
                <w:sz w:val="20"/>
                <w:lang w:val="fr-CA"/>
              </w:rPr>
              <w:t xml:space="preserve"> de greffe : M44355 et M44948</w:t>
            </w:r>
          </w:p>
          <w:p w:rsidR="003962CD" w:rsidRPr="003962CD" w:rsidRDefault="003962CD" w:rsidP="003962CD">
            <w:pPr>
              <w:jc w:val="both"/>
              <w:rPr>
                <w:sz w:val="20"/>
                <w:lang w:val="fr-CA"/>
              </w:rPr>
            </w:pP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Rejet de la motion en réexamen présentée par les demandeurs</w:t>
            </w:r>
          </w:p>
          <w:p w:rsidR="003962CD" w:rsidRPr="003962CD" w:rsidRDefault="003962CD" w:rsidP="003962CD">
            <w:pPr>
              <w:jc w:val="both"/>
              <w:rPr>
                <w:sz w:val="20"/>
                <w:lang w:val="fr-CA"/>
              </w:rPr>
            </w:pPr>
          </w:p>
        </w:tc>
      </w:tr>
      <w:tr w:rsidR="003962CD" w:rsidRPr="003962CD" w:rsidTr="00E95A6A">
        <w:tc>
          <w:tcPr>
            <w:tcW w:w="2427" w:type="pct"/>
            <w:gridSpan w:val="2"/>
          </w:tcPr>
          <w:p w:rsidR="003962CD" w:rsidRPr="003962CD" w:rsidRDefault="003962CD" w:rsidP="003962CD">
            <w:pPr>
              <w:jc w:val="both"/>
              <w:rPr>
                <w:sz w:val="20"/>
                <w:lang w:val="fr-CA"/>
              </w:rPr>
            </w:pPr>
            <w:r w:rsidRPr="003962CD">
              <w:rPr>
                <w:sz w:val="20"/>
                <w:lang w:val="fr-CA"/>
              </w:rPr>
              <w:t>28 août 2015</w:t>
            </w:r>
          </w:p>
          <w:p w:rsidR="003962CD" w:rsidRPr="003962CD" w:rsidRDefault="003962CD" w:rsidP="003962CD">
            <w:pPr>
              <w:jc w:val="both"/>
              <w:rPr>
                <w:sz w:val="20"/>
                <w:lang w:val="fr-CA"/>
              </w:rPr>
            </w:pPr>
            <w:r w:rsidRPr="003962CD">
              <w:rPr>
                <w:sz w:val="20"/>
                <w:lang w:val="fr-CA"/>
              </w:rPr>
              <w:t>Cour suprême du Canada</w:t>
            </w:r>
          </w:p>
          <w:p w:rsidR="003962CD" w:rsidRPr="003962CD" w:rsidRDefault="003962CD" w:rsidP="003962CD">
            <w:pPr>
              <w:jc w:val="both"/>
              <w:rPr>
                <w:sz w:val="20"/>
                <w:lang w:val="fr-CA"/>
              </w:rPr>
            </w:pPr>
          </w:p>
        </w:tc>
        <w:tc>
          <w:tcPr>
            <w:tcW w:w="243" w:type="pct"/>
          </w:tcPr>
          <w:p w:rsidR="003962CD" w:rsidRPr="003962CD" w:rsidRDefault="003962CD" w:rsidP="003962CD">
            <w:pPr>
              <w:jc w:val="both"/>
              <w:rPr>
                <w:sz w:val="20"/>
                <w:lang w:val="fr-CA"/>
              </w:rPr>
            </w:pPr>
          </w:p>
        </w:tc>
        <w:tc>
          <w:tcPr>
            <w:tcW w:w="2330" w:type="pct"/>
          </w:tcPr>
          <w:p w:rsidR="003962CD" w:rsidRPr="003962CD" w:rsidRDefault="003962CD" w:rsidP="003962CD">
            <w:pPr>
              <w:jc w:val="both"/>
              <w:rPr>
                <w:sz w:val="20"/>
                <w:lang w:val="fr-CA"/>
              </w:rPr>
            </w:pPr>
            <w:r w:rsidRPr="003962CD">
              <w:rPr>
                <w:sz w:val="20"/>
                <w:lang w:val="fr-CA"/>
              </w:rPr>
              <w:t>Requête en prorogation du délai pour signifier et déposer la demande d’autorisation d’appel et dépôt de la demande d’autorisation d’appel</w:t>
            </w:r>
          </w:p>
        </w:tc>
      </w:tr>
    </w:tbl>
    <w:p w:rsidR="003962CD" w:rsidRPr="003962CD" w:rsidRDefault="003962CD" w:rsidP="003962CD">
      <w:pPr>
        <w:jc w:val="both"/>
        <w:rPr>
          <w:sz w:val="20"/>
          <w:lang w:val="fr-CA"/>
        </w:rPr>
      </w:pPr>
    </w:p>
    <w:p w:rsidR="00D907B6" w:rsidRPr="00D907B6" w:rsidRDefault="00D907B6" w:rsidP="00124EFD">
      <w:pPr>
        <w:jc w:val="both"/>
        <w:rPr>
          <w:i/>
          <w:sz w:val="20"/>
          <w:lang w:val="fr-FR" w:eastAsia="en-CA"/>
        </w:rPr>
      </w:pPr>
    </w:p>
    <w:p w:rsidR="009F77F0" w:rsidRPr="00D907B6" w:rsidRDefault="009F77F0" w:rsidP="00124EFD">
      <w:pPr>
        <w:jc w:val="both"/>
        <w:rPr>
          <w:i/>
          <w:sz w:val="20"/>
          <w:lang w:val="fr-FR" w:eastAsia="en-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Canada : </w:t>
      </w:r>
    </w:p>
    <w:p w:rsidR="00D3344A" w:rsidRPr="004B4D42" w:rsidRDefault="00B936A8" w:rsidP="00D3344A">
      <w:pPr>
        <w:widowControl w:val="0"/>
        <w:outlineLvl w:val="0"/>
        <w:rPr>
          <w:u w:val="single"/>
        </w:rPr>
      </w:pPr>
      <w:hyperlink r:id="rId29"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footerReference w:type="default" r:id="rId3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01CF"/>
    <w:rsid w:val="001E3BCD"/>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62CD"/>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34AC5"/>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7B6"/>
    <w:rsid w:val="00510BE0"/>
    <w:rsid w:val="00510C5C"/>
    <w:rsid w:val="00511E62"/>
    <w:rsid w:val="005208AC"/>
    <w:rsid w:val="00520B14"/>
    <w:rsid w:val="00521DC2"/>
    <w:rsid w:val="00521EFA"/>
    <w:rsid w:val="00523237"/>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06D4"/>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EF3"/>
    <w:rsid w:val="007356BB"/>
    <w:rsid w:val="00735BED"/>
    <w:rsid w:val="0073666D"/>
    <w:rsid w:val="0073669E"/>
    <w:rsid w:val="0073707B"/>
    <w:rsid w:val="00737870"/>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36A8"/>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7B6"/>
    <w:rsid w:val="00D90F27"/>
    <w:rsid w:val="00D90F8B"/>
    <w:rsid w:val="00D91524"/>
    <w:rsid w:val="00D928A3"/>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709" TargetMode="External"/><Relationship Id="rId13" Type="http://schemas.openxmlformats.org/officeDocument/2006/relationships/hyperlink" Target="http://www.scc-csc.ca/case-dossier/info/sum-som-eng.aspx?cas=36578" TargetMode="External"/><Relationship Id="rId18" Type="http://schemas.openxmlformats.org/officeDocument/2006/relationships/hyperlink" Target="http://www.canlii.org/fr/qc/qcca/doc/2015/2015qcca329/2015qcca329.html" TargetMode="External"/><Relationship Id="rId26" Type="http://schemas.openxmlformats.org/officeDocument/2006/relationships/hyperlink" Target="http://www.canlii.org/en/on/laws/stat/rso-1990-c-e23/latest/rso-1990-c-e23.html" TargetMode="External"/><Relationship Id="rId3" Type="http://schemas.openxmlformats.org/officeDocument/2006/relationships/styles" Target="styles.xml"/><Relationship Id="rId21" Type="http://schemas.openxmlformats.org/officeDocument/2006/relationships/hyperlink" Target="http://www.canlii.org/en/on/onca/doc/2015/2015onca473/2015onca473.html?autocompleteStr=2015%20ONCA%20473&amp;autocompletePos=1" TargetMode="External"/><Relationship Id="rId7" Type="http://schemas.openxmlformats.org/officeDocument/2006/relationships/endnotes" Target="endnotes.xml"/><Relationship Id="rId12" Type="http://schemas.openxmlformats.org/officeDocument/2006/relationships/hyperlink" Target="http://www.scc-csc.ca/case-dossier/info/sum-som-eng.aspx?cas=36611" TargetMode="External"/><Relationship Id="rId17" Type="http://schemas.openxmlformats.org/officeDocument/2006/relationships/hyperlink" Target="http://www.canlii.org/en/on/onca/doc/2015/2015onca667/2015onca667.html?resultIndex=1" TargetMode="External"/><Relationship Id="rId25" Type="http://schemas.openxmlformats.org/officeDocument/2006/relationships/hyperlink" Target="https://www.canlii.org/en/nb/nbca/doc/2015/2015nbca35/2015nbca35.html?autocompleteStr=2015%20NBCA%2035&amp;autocompletePos=1" TargetMode="External"/><Relationship Id="rId2" Type="http://schemas.openxmlformats.org/officeDocument/2006/relationships/numbering" Target="numbering.xml"/><Relationship Id="rId16" Type="http://schemas.openxmlformats.org/officeDocument/2006/relationships/hyperlink" Target="http://www.canlii.org/en/on/onca/doc/2015/2015onca667/2015onca667.html?resultIndex=1" TargetMode="External"/><Relationship Id="rId20" Type="http://schemas.openxmlformats.org/officeDocument/2006/relationships/hyperlink" Target="http://www.canlii.org/en/on/onca/doc/2015/2015onca473/2015onca473.html?autocompleteStr=2015%20ONCA%20473&amp;autocompletePos=1"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17" TargetMode="External"/><Relationship Id="rId24" Type="http://schemas.openxmlformats.org/officeDocument/2006/relationships/hyperlink" Target="https://www.canlii.org/en/nb/nbqb/doc/2014/2014nbqb201/2014nbqb20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15/2015qcca1416/2015qcca1416.html?autocompleteStr=Droit%20de%20la%20famille%20%E2%80%94%20152227&amp;autocompletePos=1" TargetMode="External"/><Relationship Id="rId23" Type="http://schemas.openxmlformats.org/officeDocument/2006/relationships/hyperlink" Target="https://www.canlii.org/en/nb/nbca/doc/2015/2015nbca35/2015nbca35.html?autocompleteStr=2015%20NBCA%2035&amp;autocompletePos=1" TargetMode="External"/><Relationship Id="rId28" Type="http://schemas.openxmlformats.org/officeDocument/2006/relationships/hyperlink" Target="http://canlii.ca/t/gdvtb" TargetMode="External"/><Relationship Id="rId10" Type="http://schemas.openxmlformats.org/officeDocument/2006/relationships/hyperlink" Target="http://www.scc-csc.ca/case-dossier/info/sum-som-fra.aspx?cas=36725" TargetMode="External"/><Relationship Id="rId19" Type="http://schemas.openxmlformats.org/officeDocument/2006/relationships/hyperlink" Target="http://www.canlii.org/fr/qc/qcca/doc/2015/2015qcca329/2015qcca32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744" TargetMode="External"/><Relationship Id="rId14" Type="http://schemas.openxmlformats.org/officeDocument/2006/relationships/hyperlink" Target="https://www.canlii.org/fr/qc/qcca/doc/2015/2015qcca1416/2015qcca1416.html?autocompleteStr=Droit%20de%20la%20famille%20%E2%80%94%20152227&amp;autocompletePos=1" TargetMode="External"/><Relationship Id="rId22" Type="http://schemas.openxmlformats.org/officeDocument/2006/relationships/hyperlink" Target="https://www.canlii.org/en/nb/nbqb/doc/2014/2014nbqb201/2014nbqb201.html" TargetMode="External"/><Relationship Id="rId27" Type="http://schemas.openxmlformats.org/officeDocument/2006/relationships/hyperlink" Target="http://canlii.ca/t/gdvtb"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D1F76-6CC0-4E4E-B6B9-9E8CDE1D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35584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2016-02-22T18:21:00Z</dcterms:created>
  <dcterms:modified xsi:type="dcterms:W3CDTF">2016-02-22T20:03:00Z</dcterms:modified>
</cp:coreProperties>
</file>