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9214B3" w:rsidRDefault="001C4415" w:rsidP="001C4415">
      <w:pPr>
        <w:pStyle w:val="Header"/>
        <w:jc w:val="center"/>
        <w:rPr>
          <w:b/>
          <w:sz w:val="32"/>
        </w:rPr>
      </w:pPr>
      <w:r w:rsidRPr="009214B3">
        <w:rPr>
          <w:b/>
          <w:sz w:val="32"/>
        </w:rPr>
        <w:t xml:space="preserve">Supreme Court of Canada / </w:t>
      </w:r>
      <w:proofErr w:type="spellStart"/>
      <w:r w:rsidRPr="009214B3">
        <w:rPr>
          <w:b/>
          <w:sz w:val="32"/>
        </w:rPr>
        <w:t>Cour</w:t>
      </w:r>
      <w:proofErr w:type="spellEnd"/>
      <w:r w:rsidRPr="009214B3">
        <w:rPr>
          <w:b/>
          <w:sz w:val="32"/>
        </w:rPr>
        <w:t xml:space="preserve"> </w:t>
      </w:r>
      <w:proofErr w:type="spellStart"/>
      <w:r w:rsidRPr="009214B3">
        <w:rPr>
          <w:b/>
          <w:sz w:val="32"/>
        </w:rPr>
        <w:t>suprême</w:t>
      </w:r>
      <w:proofErr w:type="spellEnd"/>
      <w:r w:rsidRPr="009214B3">
        <w:rPr>
          <w:b/>
          <w:sz w:val="32"/>
        </w:rPr>
        <w:t xml:space="preserve"> du Canada</w:t>
      </w:r>
    </w:p>
    <w:p w:rsidR="001C4415" w:rsidRPr="009214B3" w:rsidRDefault="001C4415" w:rsidP="001C4415">
      <w:pPr>
        <w:widowControl w:val="0"/>
        <w:rPr>
          <w:i/>
        </w:rPr>
      </w:pPr>
    </w:p>
    <w:p w:rsidR="001C4415" w:rsidRPr="009214B3" w:rsidRDefault="001C4415" w:rsidP="001C4415">
      <w:pPr>
        <w:widowControl w:val="0"/>
        <w:rPr>
          <w:i/>
        </w:rPr>
      </w:pPr>
    </w:p>
    <w:p w:rsidR="001C4415" w:rsidRPr="009214B3" w:rsidRDefault="001C4415" w:rsidP="001C4415">
      <w:pPr>
        <w:widowControl w:val="0"/>
        <w:rPr>
          <w:i/>
        </w:rPr>
      </w:pPr>
      <w:r w:rsidRPr="009214B3">
        <w:rPr>
          <w:i/>
        </w:rPr>
        <w:t>(</w:t>
      </w:r>
      <w:proofErr w:type="gramStart"/>
      <w:r w:rsidRPr="009214B3">
        <w:rPr>
          <w:i/>
        </w:rPr>
        <w:t>le</w:t>
      </w:r>
      <w:proofErr w:type="gramEnd"/>
      <w:r w:rsidRPr="009214B3">
        <w:rPr>
          <w:i/>
        </w:rPr>
        <w:t xml:space="preserve"> </w:t>
      </w:r>
      <w:proofErr w:type="spellStart"/>
      <w:r w:rsidRPr="009214B3">
        <w:rPr>
          <w:i/>
        </w:rPr>
        <w:t>français</w:t>
      </w:r>
      <w:proofErr w:type="spellEnd"/>
      <w:r w:rsidRPr="009214B3">
        <w:rPr>
          <w:i/>
        </w:rPr>
        <w:t xml:space="preserve"> suit)</w:t>
      </w:r>
    </w:p>
    <w:p w:rsidR="001C4415" w:rsidRPr="009214B3" w:rsidRDefault="001C4415" w:rsidP="001C4415">
      <w:pPr>
        <w:widowControl w:val="0"/>
      </w:pPr>
    </w:p>
    <w:p w:rsidR="001C4415" w:rsidRPr="009214B3" w:rsidRDefault="000347C1" w:rsidP="00214729">
      <w:pPr>
        <w:widowControl w:val="0"/>
        <w:jc w:val="center"/>
        <w:rPr>
          <w:b/>
        </w:rPr>
      </w:pPr>
      <w:r w:rsidRPr="009214B3">
        <w:fldChar w:fldCharType="begin"/>
      </w:r>
      <w:r w:rsidR="00FA7412" w:rsidRPr="009214B3">
        <w:instrText xml:space="preserve"> SEQ CHAPTER \h \r 1</w:instrText>
      </w:r>
      <w:r w:rsidRPr="009214B3">
        <w:fldChar w:fldCharType="end"/>
      </w:r>
      <w:r w:rsidR="00455BB9" w:rsidRPr="009214B3">
        <w:rPr>
          <w:b/>
        </w:rPr>
        <w:t>JUDGMENT</w:t>
      </w:r>
      <w:r w:rsidR="0016193B">
        <w:rPr>
          <w:b/>
        </w:rPr>
        <w:t>S</w:t>
      </w:r>
      <w:r w:rsidR="00FA7412" w:rsidRPr="009214B3">
        <w:rPr>
          <w:b/>
        </w:rPr>
        <w:t xml:space="preserve"> TO BE RENDERED IN APPEAL</w:t>
      </w:r>
      <w:r w:rsidR="008A4D20">
        <w:rPr>
          <w:b/>
        </w:rPr>
        <w:t>S</w:t>
      </w:r>
    </w:p>
    <w:p w:rsidR="005A7C1B" w:rsidRPr="009214B3" w:rsidRDefault="005A7C1B" w:rsidP="005A7C1B">
      <w:pPr>
        <w:widowControl w:val="0"/>
        <w:rPr>
          <w:b/>
        </w:rPr>
      </w:pPr>
    </w:p>
    <w:p w:rsidR="00EC79B0" w:rsidRPr="009214B3" w:rsidRDefault="004A4570" w:rsidP="00EC79B0">
      <w:pPr>
        <w:widowControl w:val="0"/>
        <w:rPr>
          <w:b/>
        </w:rPr>
      </w:pPr>
      <w:r w:rsidRPr="009214B3">
        <w:rPr>
          <w:b/>
        </w:rPr>
        <w:t>April</w:t>
      </w:r>
      <w:r w:rsidR="004E605A" w:rsidRPr="009214B3">
        <w:rPr>
          <w:b/>
        </w:rPr>
        <w:t xml:space="preserve"> </w:t>
      </w:r>
      <w:r w:rsidRPr="009214B3">
        <w:rPr>
          <w:b/>
        </w:rPr>
        <w:t>8</w:t>
      </w:r>
      <w:r w:rsidR="00EC79B0" w:rsidRPr="009214B3">
        <w:rPr>
          <w:b/>
        </w:rPr>
        <w:t>, 201</w:t>
      </w:r>
      <w:r w:rsidR="006E5414" w:rsidRPr="009214B3">
        <w:rPr>
          <w:b/>
        </w:rPr>
        <w:t>6</w:t>
      </w:r>
    </w:p>
    <w:p w:rsidR="00EC79B0" w:rsidRPr="009214B3" w:rsidRDefault="00EC79B0" w:rsidP="00EC79B0">
      <w:pPr>
        <w:widowControl w:val="0"/>
        <w:rPr>
          <w:b/>
        </w:rPr>
      </w:pPr>
      <w:r w:rsidRPr="009214B3">
        <w:rPr>
          <w:b/>
        </w:rPr>
        <w:t>For immediate release</w:t>
      </w:r>
    </w:p>
    <w:p w:rsidR="00EC79B0" w:rsidRPr="009214B3" w:rsidRDefault="00EC79B0" w:rsidP="00EC79B0">
      <w:pPr>
        <w:widowControl w:val="0"/>
      </w:pPr>
    </w:p>
    <w:p w:rsidR="00EC79B0" w:rsidRPr="009214B3" w:rsidRDefault="00EC79B0" w:rsidP="00EC79B0">
      <w:pPr>
        <w:widowControl w:val="0"/>
      </w:pPr>
      <w:r w:rsidRPr="009214B3">
        <w:rPr>
          <w:b/>
        </w:rPr>
        <w:t>OTTAWA</w:t>
      </w:r>
      <w:r w:rsidRPr="009214B3">
        <w:t xml:space="preserve"> – The Supreme Court of Canad</w:t>
      </w:r>
      <w:r w:rsidR="00455BB9" w:rsidRPr="009214B3">
        <w:t>a announced today that judgment</w:t>
      </w:r>
      <w:r w:rsidR="00840854">
        <w:t>s</w:t>
      </w:r>
      <w:r w:rsidRPr="009214B3">
        <w:t xml:space="preserve"> in the following appeal</w:t>
      </w:r>
      <w:r w:rsidR="008A4D20">
        <w:t>s</w:t>
      </w:r>
      <w:r w:rsidRPr="009214B3">
        <w:t xml:space="preserve"> will be delivered at 9:45 a.m. E</w:t>
      </w:r>
      <w:r w:rsidR="004E605A" w:rsidRPr="009214B3">
        <w:t>D</w:t>
      </w:r>
      <w:r w:rsidR="00DC6C1E" w:rsidRPr="009214B3">
        <w:t>T</w:t>
      </w:r>
      <w:r w:rsidR="00D74667" w:rsidRPr="009214B3">
        <w:t xml:space="preserve"> on</w:t>
      </w:r>
      <w:r w:rsidR="00DC6C1E" w:rsidRPr="009214B3">
        <w:t xml:space="preserve"> </w:t>
      </w:r>
      <w:r w:rsidR="008A4D20">
        <w:t>Friday</w:t>
      </w:r>
      <w:r w:rsidR="000A7900" w:rsidRPr="009214B3">
        <w:t xml:space="preserve">, </w:t>
      </w:r>
      <w:r w:rsidR="004A4570" w:rsidRPr="009214B3">
        <w:t>April</w:t>
      </w:r>
      <w:r w:rsidR="004E605A" w:rsidRPr="009214B3">
        <w:t xml:space="preserve"> </w:t>
      </w:r>
      <w:r w:rsidR="004A4570" w:rsidRPr="009214B3">
        <w:t>1</w:t>
      </w:r>
      <w:r w:rsidR="008A4D20">
        <w:t>5</w:t>
      </w:r>
      <w:r w:rsidR="00E63199" w:rsidRPr="009214B3">
        <w:t>, 2</w:t>
      </w:r>
      <w:r w:rsidR="0086609D" w:rsidRPr="009214B3">
        <w:t>01</w:t>
      </w:r>
      <w:r w:rsidR="006E5414" w:rsidRPr="009214B3">
        <w:t>6</w:t>
      </w:r>
      <w:r w:rsidR="00455BB9" w:rsidRPr="009214B3">
        <w:t>.  This</w:t>
      </w:r>
      <w:r w:rsidRPr="009214B3">
        <w:t xml:space="preserve"> list is subject to change.</w:t>
      </w:r>
    </w:p>
    <w:p w:rsidR="001C4415" w:rsidRPr="009214B3" w:rsidRDefault="001C4415" w:rsidP="001C4415">
      <w:pPr>
        <w:widowControl w:val="0"/>
      </w:pPr>
    </w:p>
    <w:p w:rsidR="001C4415" w:rsidRPr="009214B3" w:rsidRDefault="001C4415" w:rsidP="001C4415">
      <w:pPr>
        <w:widowControl w:val="0"/>
      </w:pPr>
    </w:p>
    <w:p w:rsidR="001335A1" w:rsidRPr="009214B3" w:rsidRDefault="001335A1" w:rsidP="001335A1">
      <w:pPr>
        <w:widowControl w:val="0"/>
        <w:jc w:val="center"/>
        <w:rPr>
          <w:b/>
          <w:lang w:val="fr-CA"/>
        </w:rPr>
      </w:pPr>
      <w:r w:rsidRPr="009214B3">
        <w:rPr>
          <w:b/>
          <w:lang w:val="fr-CA"/>
        </w:rPr>
        <w:t>PROCHAIN</w:t>
      </w:r>
      <w:r w:rsidR="008A4D20">
        <w:rPr>
          <w:b/>
          <w:lang w:val="fr-CA"/>
        </w:rPr>
        <w:t>S</w:t>
      </w:r>
      <w:r w:rsidRPr="009214B3">
        <w:rPr>
          <w:b/>
          <w:lang w:val="fr-CA"/>
        </w:rPr>
        <w:t xml:space="preserve"> JUGEMENT</w:t>
      </w:r>
      <w:r w:rsidR="008A4D20">
        <w:rPr>
          <w:b/>
          <w:lang w:val="fr-CA"/>
        </w:rPr>
        <w:t>S</w:t>
      </w:r>
      <w:r w:rsidR="00455BB9" w:rsidRPr="009214B3">
        <w:rPr>
          <w:b/>
          <w:lang w:val="fr-CA"/>
        </w:rPr>
        <w:t xml:space="preserve"> SUR APPEL</w:t>
      </w:r>
      <w:r w:rsidR="008A4D20">
        <w:rPr>
          <w:b/>
          <w:lang w:val="fr-CA"/>
        </w:rPr>
        <w:t>S</w:t>
      </w:r>
    </w:p>
    <w:p w:rsidR="001335A1" w:rsidRPr="009214B3" w:rsidRDefault="001335A1" w:rsidP="001335A1">
      <w:pPr>
        <w:widowControl w:val="0"/>
        <w:rPr>
          <w:lang w:val="fr-CA"/>
        </w:rPr>
      </w:pPr>
    </w:p>
    <w:p w:rsidR="00EC79B0" w:rsidRPr="009214B3" w:rsidRDefault="00EC79B0" w:rsidP="00EC79B0">
      <w:pPr>
        <w:widowControl w:val="0"/>
        <w:rPr>
          <w:b/>
          <w:lang w:val="fr-CA"/>
        </w:rPr>
      </w:pPr>
      <w:r w:rsidRPr="009214B3">
        <w:rPr>
          <w:b/>
          <w:lang w:val="fr-CA"/>
        </w:rPr>
        <w:t xml:space="preserve">Le </w:t>
      </w:r>
      <w:r w:rsidR="004A4570" w:rsidRPr="009214B3">
        <w:rPr>
          <w:b/>
          <w:lang w:val="fr-CA"/>
        </w:rPr>
        <w:t>8</w:t>
      </w:r>
      <w:r w:rsidR="004E605A" w:rsidRPr="009214B3">
        <w:rPr>
          <w:b/>
          <w:lang w:val="fr-CA"/>
        </w:rPr>
        <w:t xml:space="preserve"> a</w:t>
      </w:r>
      <w:r w:rsidR="004A4570" w:rsidRPr="009214B3">
        <w:rPr>
          <w:b/>
          <w:lang w:val="fr-CA"/>
        </w:rPr>
        <w:t>v</w:t>
      </w:r>
      <w:r w:rsidR="004E605A" w:rsidRPr="009214B3">
        <w:rPr>
          <w:b/>
          <w:lang w:val="fr-CA"/>
        </w:rPr>
        <w:t>r</w:t>
      </w:r>
      <w:r w:rsidR="004A4570" w:rsidRPr="009214B3">
        <w:rPr>
          <w:b/>
          <w:lang w:val="fr-CA"/>
        </w:rPr>
        <w:t>il</w:t>
      </w:r>
      <w:r w:rsidR="004E605A" w:rsidRPr="009214B3">
        <w:rPr>
          <w:b/>
          <w:lang w:val="fr-CA"/>
        </w:rPr>
        <w:t xml:space="preserve"> </w:t>
      </w:r>
      <w:r w:rsidR="0086609D" w:rsidRPr="009214B3">
        <w:rPr>
          <w:b/>
          <w:lang w:val="fr-CA"/>
        </w:rPr>
        <w:t>201</w:t>
      </w:r>
      <w:r w:rsidR="006E5414" w:rsidRPr="009214B3">
        <w:rPr>
          <w:b/>
          <w:lang w:val="fr-CA"/>
        </w:rPr>
        <w:t>6</w:t>
      </w:r>
    </w:p>
    <w:p w:rsidR="00EC79B0" w:rsidRPr="009214B3" w:rsidRDefault="00EC79B0" w:rsidP="00EC79B0">
      <w:pPr>
        <w:widowControl w:val="0"/>
        <w:rPr>
          <w:b/>
          <w:lang w:val="fr-CA"/>
        </w:rPr>
      </w:pPr>
      <w:r w:rsidRPr="009214B3">
        <w:rPr>
          <w:b/>
          <w:lang w:val="fr-CA"/>
        </w:rPr>
        <w:t>Pour diffusion immédiate</w:t>
      </w:r>
    </w:p>
    <w:p w:rsidR="00EC79B0" w:rsidRPr="009214B3" w:rsidRDefault="00EC79B0" w:rsidP="00EC79B0">
      <w:pPr>
        <w:widowControl w:val="0"/>
        <w:rPr>
          <w:b/>
          <w:lang w:val="fr-CA"/>
        </w:rPr>
      </w:pPr>
    </w:p>
    <w:p w:rsidR="00EC79B0" w:rsidRPr="009214B3" w:rsidRDefault="00EC79B0" w:rsidP="00EC79B0">
      <w:pPr>
        <w:widowControl w:val="0"/>
        <w:rPr>
          <w:lang w:val="fr-CA"/>
        </w:rPr>
      </w:pPr>
      <w:r w:rsidRPr="009214B3">
        <w:rPr>
          <w:b/>
          <w:lang w:val="fr-CA"/>
        </w:rPr>
        <w:t>OTTAWA</w:t>
      </w:r>
      <w:r w:rsidRPr="009214B3">
        <w:rPr>
          <w:lang w:val="fr-CA"/>
        </w:rPr>
        <w:t xml:space="preserve"> – La Cour suprême du Canada annonce que jugement</w:t>
      </w:r>
      <w:r w:rsidR="00840854">
        <w:rPr>
          <w:lang w:val="fr-CA"/>
        </w:rPr>
        <w:t>s</w:t>
      </w:r>
      <w:r w:rsidRPr="009214B3">
        <w:rPr>
          <w:lang w:val="fr-CA"/>
        </w:rPr>
        <w:t xml:space="preserve"> ser</w:t>
      </w:r>
      <w:r w:rsidR="00840854">
        <w:rPr>
          <w:lang w:val="fr-CA"/>
        </w:rPr>
        <w:t>ont</w:t>
      </w:r>
      <w:r w:rsidRPr="009214B3">
        <w:rPr>
          <w:lang w:val="fr-CA"/>
        </w:rPr>
        <w:t xml:space="preserve"> rendu</w:t>
      </w:r>
      <w:r w:rsidR="00840854">
        <w:rPr>
          <w:lang w:val="fr-CA"/>
        </w:rPr>
        <w:t>s</w:t>
      </w:r>
      <w:r w:rsidRPr="009214B3">
        <w:rPr>
          <w:lang w:val="fr-CA"/>
        </w:rPr>
        <w:t xml:space="preserve"> dans l</w:t>
      </w:r>
      <w:r w:rsidR="008A4D20">
        <w:rPr>
          <w:lang w:val="fr-CA"/>
        </w:rPr>
        <w:t xml:space="preserve">es </w:t>
      </w:r>
      <w:r w:rsidRPr="009214B3">
        <w:rPr>
          <w:lang w:val="fr-CA"/>
        </w:rPr>
        <w:t>appel</w:t>
      </w:r>
      <w:r w:rsidR="008A4D20">
        <w:rPr>
          <w:lang w:val="fr-CA"/>
        </w:rPr>
        <w:t>s</w:t>
      </w:r>
      <w:r w:rsidRPr="009214B3">
        <w:rPr>
          <w:lang w:val="fr-CA"/>
        </w:rPr>
        <w:t xml:space="preserve"> suivant</w:t>
      </w:r>
      <w:r w:rsidR="008A4D20">
        <w:rPr>
          <w:lang w:val="fr-CA"/>
        </w:rPr>
        <w:t>s</w:t>
      </w:r>
      <w:r w:rsidRPr="009214B3">
        <w:rPr>
          <w:lang w:val="fr-CA"/>
        </w:rPr>
        <w:t xml:space="preserve"> le </w:t>
      </w:r>
      <w:r w:rsidR="008A4D20">
        <w:rPr>
          <w:lang w:val="fr-CA"/>
        </w:rPr>
        <w:t>vendredi</w:t>
      </w:r>
      <w:r w:rsidR="00970EDF" w:rsidRPr="009214B3">
        <w:rPr>
          <w:lang w:val="fr-CA"/>
        </w:rPr>
        <w:t xml:space="preserve"> </w:t>
      </w:r>
      <w:r w:rsidR="004A4570" w:rsidRPr="009214B3">
        <w:rPr>
          <w:lang w:val="fr-CA"/>
        </w:rPr>
        <w:t>1</w:t>
      </w:r>
      <w:r w:rsidR="008A4D20">
        <w:rPr>
          <w:lang w:val="fr-CA"/>
        </w:rPr>
        <w:t>5</w:t>
      </w:r>
      <w:r w:rsidR="004E605A" w:rsidRPr="009214B3">
        <w:rPr>
          <w:lang w:val="fr-CA"/>
        </w:rPr>
        <w:t xml:space="preserve"> a</w:t>
      </w:r>
      <w:r w:rsidR="004A4570" w:rsidRPr="009214B3">
        <w:rPr>
          <w:lang w:val="fr-CA"/>
        </w:rPr>
        <w:t>v</w:t>
      </w:r>
      <w:r w:rsidR="004E605A" w:rsidRPr="009214B3">
        <w:rPr>
          <w:lang w:val="fr-CA"/>
        </w:rPr>
        <w:t>r</w:t>
      </w:r>
      <w:r w:rsidR="004A4570" w:rsidRPr="009214B3">
        <w:rPr>
          <w:lang w:val="fr-CA"/>
        </w:rPr>
        <w:t>il</w:t>
      </w:r>
      <w:r w:rsidR="00282563" w:rsidRPr="009214B3">
        <w:rPr>
          <w:lang w:val="fr-CA"/>
        </w:rPr>
        <w:t xml:space="preserve"> </w:t>
      </w:r>
      <w:r w:rsidRPr="009214B3">
        <w:rPr>
          <w:lang w:val="fr-CA"/>
        </w:rPr>
        <w:t>201</w:t>
      </w:r>
      <w:r w:rsidR="006E5414" w:rsidRPr="009214B3">
        <w:rPr>
          <w:lang w:val="fr-CA"/>
        </w:rPr>
        <w:t>6</w:t>
      </w:r>
      <w:r w:rsidRPr="009214B3">
        <w:rPr>
          <w:lang w:val="fr-CA"/>
        </w:rPr>
        <w:t>, à 9 h 45 H</w:t>
      </w:r>
      <w:r w:rsidR="004E605A" w:rsidRPr="009214B3">
        <w:rPr>
          <w:lang w:val="fr-CA"/>
        </w:rPr>
        <w:t>A</w:t>
      </w:r>
      <w:r w:rsidRPr="009214B3">
        <w:rPr>
          <w:lang w:val="fr-CA"/>
        </w:rPr>
        <w:t>E.  Cette liste est sujette à modifications.</w:t>
      </w:r>
    </w:p>
    <w:p w:rsidR="001335A1" w:rsidRPr="009214B3" w:rsidRDefault="001335A1" w:rsidP="001335A1">
      <w:pPr>
        <w:widowControl w:val="0"/>
        <w:rPr>
          <w:sz w:val="20"/>
          <w:lang w:val="fr-CA"/>
        </w:rPr>
      </w:pPr>
    </w:p>
    <w:p w:rsidR="001335A1" w:rsidRPr="009214B3" w:rsidRDefault="005C7A4F" w:rsidP="001335A1">
      <w:pPr>
        <w:widowControl w:val="0"/>
        <w:rPr>
          <w:sz w:val="20"/>
          <w:lang w:val="fr-CA"/>
        </w:rPr>
      </w:pPr>
      <w:r w:rsidRPr="009214B3">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9214B3" w:rsidRDefault="00340C6D" w:rsidP="00340C6D">
      <w:pPr>
        <w:jc w:val="both"/>
        <w:rPr>
          <w:bCs/>
          <w:lang w:val="fr-CA"/>
        </w:rPr>
      </w:pPr>
    </w:p>
    <w:p w:rsidR="00970EDF" w:rsidRPr="008A4D20" w:rsidRDefault="008A4D20" w:rsidP="00340C6D">
      <w:pPr>
        <w:jc w:val="both"/>
      </w:pPr>
      <w:r w:rsidRPr="00B77E43">
        <w:rPr>
          <w:i/>
        </w:rPr>
        <w:t xml:space="preserve">Her Majesty the Queen v. </w:t>
      </w:r>
      <w:proofErr w:type="spellStart"/>
      <w:r w:rsidRPr="00B77E43">
        <w:rPr>
          <w:i/>
        </w:rPr>
        <w:t>Hamidreza</w:t>
      </w:r>
      <w:proofErr w:type="spellEnd"/>
      <w:r w:rsidRPr="00B77E43">
        <w:rPr>
          <w:i/>
        </w:rPr>
        <w:t xml:space="preserve"> </w:t>
      </w:r>
      <w:proofErr w:type="spellStart"/>
      <w:r w:rsidRPr="00B77E43">
        <w:rPr>
          <w:i/>
        </w:rPr>
        <w:t>Safarzadeh-Markhali</w:t>
      </w:r>
      <w:proofErr w:type="spellEnd"/>
      <w:r>
        <w:t xml:space="preserve"> (Ont.)</w:t>
      </w:r>
      <w:r w:rsidRPr="008A4D20">
        <w:t xml:space="preserve"> </w:t>
      </w:r>
      <w:r w:rsidR="00486701" w:rsidRPr="008A4D20">
        <w:t>(</w:t>
      </w:r>
      <w:hyperlink r:id="rId7" w:history="1">
        <w:r w:rsidRPr="008A4D20">
          <w:rPr>
            <w:rStyle w:val="Hyperlink"/>
          </w:rPr>
          <w:t>36162</w:t>
        </w:r>
      </w:hyperlink>
      <w:r w:rsidR="00486701" w:rsidRPr="008A4D20">
        <w:t>)</w:t>
      </w:r>
    </w:p>
    <w:p w:rsidR="00486701" w:rsidRPr="008A4D20" w:rsidRDefault="00486701" w:rsidP="00340C6D">
      <w:pPr>
        <w:jc w:val="both"/>
      </w:pPr>
    </w:p>
    <w:p w:rsidR="008A4D20" w:rsidRPr="008A4D20" w:rsidRDefault="008A4D20" w:rsidP="008A4D20">
      <w:pPr>
        <w:jc w:val="both"/>
      </w:pPr>
      <w:r w:rsidRPr="000F4704">
        <w:rPr>
          <w:i/>
        </w:rPr>
        <w:t>Joseph Ryan Lloyd v. Her Majesty the Queen</w:t>
      </w:r>
      <w:r>
        <w:t xml:space="preserve"> (B.C.) </w:t>
      </w:r>
      <w:r w:rsidRPr="008A4D20">
        <w:t>(</w:t>
      </w:r>
      <w:hyperlink r:id="rId8" w:history="1">
        <w:r>
          <w:rPr>
            <w:rStyle w:val="Hyperlink"/>
          </w:rPr>
          <w:t>35982</w:t>
        </w:r>
      </w:hyperlink>
      <w:r w:rsidRPr="008A4D20">
        <w:t>)</w:t>
      </w:r>
    </w:p>
    <w:p w:rsidR="008A4D20" w:rsidRDefault="008A4D20" w:rsidP="00340C6D">
      <w:pPr>
        <w:jc w:val="both"/>
        <w:rPr>
          <w:szCs w:val="24"/>
        </w:rPr>
      </w:pPr>
    </w:p>
    <w:p w:rsidR="0016193B" w:rsidRDefault="0016193B" w:rsidP="00340C6D">
      <w:pPr>
        <w:jc w:val="both"/>
        <w:rPr>
          <w:szCs w:val="24"/>
        </w:rPr>
      </w:pPr>
    </w:p>
    <w:p w:rsidR="0016193B" w:rsidRPr="008A4D20" w:rsidRDefault="0016193B" w:rsidP="00340C6D">
      <w:pPr>
        <w:jc w:val="both"/>
        <w:rPr>
          <w:szCs w:val="24"/>
        </w:rPr>
      </w:pPr>
    </w:p>
    <w:bookmarkStart w:id="0" w:name="1"/>
    <w:bookmarkEnd w:id="0"/>
    <w:p w:rsidR="001F0F0E" w:rsidRPr="00951ECD" w:rsidRDefault="001F0F0E" w:rsidP="007B4CC7">
      <w:pPr>
        <w:widowControl w:val="0"/>
        <w:ind w:left="709" w:hanging="709"/>
        <w:jc w:val="both"/>
        <w:rPr>
          <w:b/>
          <w:i/>
          <w:sz w:val="20"/>
        </w:rPr>
      </w:pPr>
      <w:r w:rsidRPr="00951ECD">
        <w:rPr>
          <w:b/>
          <w:sz w:val="20"/>
          <w:lang w:val="en-CA"/>
        </w:rPr>
        <w:fldChar w:fldCharType="begin"/>
      </w:r>
      <w:r w:rsidRPr="00951ECD">
        <w:rPr>
          <w:b/>
          <w:sz w:val="20"/>
        </w:rPr>
        <w:instrText xml:space="preserve"> SEQ CHAPTER \h \r 1</w:instrText>
      </w:r>
      <w:r w:rsidRPr="00951ECD">
        <w:rPr>
          <w:b/>
          <w:sz w:val="20"/>
        </w:rPr>
        <w:fldChar w:fldCharType="end"/>
      </w:r>
      <w:r w:rsidRPr="00951ECD">
        <w:rPr>
          <w:b/>
          <w:sz w:val="20"/>
          <w:lang w:val="en-CA"/>
        </w:rPr>
        <w:t>36162</w:t>
      </w:r>
      <w:r w:rsidRPr="00951ECD">
        <w:rPr>
          <w:sz w:val="20"/>
          <w:lang w:val="en-CA"/>
        </w:rPr>
        <w:tab/>
      </w:r>
      <w:bookmarkStart w:id="1" w:name="3"/>
      <w:bookmarkEnd w:id="1"/>
      <w:r w:rsidRPr="00951ECD">
        <w:rPr>
          <w:b/>
          <w:i/>
          <w:sz w:val="20"/>
        </w:rPr>
        <w:t xml:space="preserve">Her Majesty the Queen v. </w:t>
      </w:r>
      <w:proofErr w:type="spellStart"/>
      <w:r w:rsidRPr="00951ECD">
        <w:rPr>
          <w:b/>
          <w:i/>
          <w:sz w:val="20"/>
        </w:rPr>
        <w:t>Hamidreza</w:t>
      </w:r>
      <w:proofErr w:type="spellEnd"/>
      <w:r w:rsidRPr="00951ECD">
        <w:rPr>
          <w:b/>
          <w:i/>
          <w:sz w:val="20"/>
        </w:rPr>
        <w:t xml:space="preserve"> </w:t>
      </w:r>
      <w:proofErr w:type="spellStart"/>
      <w:r w:rsidRPr="00951ECD">
        <w:rPr>
          <w:b/>
          <w:i/>
          <w:sz w:val="20"/>
        </w:rPr>
        <w:t>Safarzadeh-Markhali</w:t>
      </w:r>
      <w:proofErr w:type="spellEnd"/>
    </w:p>
    <w:p w:rsidR="001F0F0E" w:rsidRPr="00951ECD" w:rsidRDefault="001F0F0E" w:rsidP="007B4CC7">
      <w:pPr>
        <w:widowControl w:val="0"/>
        <w:jc w:val="both"/>
        <w:rPr>
          <w:sz w:val="20"/>
        </w:rPr>
      </w:pPr>
    </w:p>
    <w:p w:rsidR="001F0F0E" w:rsidRDefault="001F0F0E" w:rsidP="0024519F">
      <w:pPr>
        <w:jc w:val="both"/>
        <w:rPr>
          <w:sz w:val="20"/>
        </w:rPr>
      </w:pPr>
      <w:bookmarkStart w:id="2" w:name="QuickMark_1"/>
      <w:bookmarkEnd w:id="2"/>
      <w:r w:rsidRPr="00951ECD">
        <w:rPr>
          <w:i/>
          <w:sz w:val="20"/>
        </w:rPr>
        <w:t>Charter of Rights and Freedoms</w:t>
      </w:r>
      <w:r w:rsidRPr="00951ECD">
        <w:rPr>
          <w:sz w:val="20"/>
        </w:rPr>
        <w:t xml:space="preserve"> - Liberty - Criminal law - Sentencing - Credit for pre-trial custody - In determining length of a sentence, a court may credit the convicted offender one day for each day spent in custody as a result of the offence - If circumstances justify it, enhanced credit of one and one-half days for each day spent in custody may be available - Enhanced credit not available if accused was denied bail and justice presiding over bail hearing stated in the record that the reason was the accused’s prior criminal record - Whether limitation on the availability of enhanced credit for time spent in custody infringes s. 7 of the </w:t>
      </w:r>
      <w:r w:rsidRPr="00951ECD">
        <w:rPr>
          <w:i/>
          <w:sz w:val="20"/>
        </w:rPr>
        <w:t>Charter</w:t>
      </w:r>
      <w:r w:rsidRPr="00951ECD">
        <w:rPr>
          <w:sz w:val="20"/>
        </w:rPr>
        <w:t xml:space="preserve"> - If so, whether limitation is saved by s. 1 of the</w:t>
      </w:r>
      <w:r w:rsidRPr="00951ECD">
        <w:rPr>
          <w:i/>
          <w:sz w:val="20"/>
        </w:rPr>
        <w:t xml:space="preserve"> Charter</w:t>
      </w:r>
      <w:r w:rsidRPr="00951ECD">
        <w:rPr>
          <w:sz w:val="20"/>
        </w:rPr>
        <w:t xml:space="preserve"> - </w:t>
      </w:r>
      <w:r w:rsidRPr="00951ECD">
        <w:rPr>
          <w:i/>
          <w:sz w:val="20"/>
        </w:rPr>
        <w:t>Truth in Sentencing Act</w:t>
      </w:r>
      <w:hyperlink r:id="rId9" w:anchor="sec719subsec3.1_smooth" w:history="1">
        <w:r w:rsidRPr="00951ECD">
          <w:rPr>
            <w:sz w:val="20"/>
          </w:rPr>
          <w:t xml:space="preserve">, S.C. 2009, c. 29 - </w:t>
        </w:r>
        <w:r w:rsidRPr="00951ECD">
          <w:rPr>
            <w:i/>
            <w:sz w:val="20"/>
          </w:rPr>
          <w:t>Criminal Code</w:t>
        </w:r>
        <w:r w:rsidRPr="00951ECD">
          <w:rPr>
            <w:sz w:val="20"/>
          </w:rPr>
          <w:t>, R.S.C. 1985, c. C-46, ss. 719(3)</w:t>
        </w:r>
      </w:hyperlink>
      <w:r w:rsidRPr="00951ECD">
        <w:rPr>
          <w:sz w:val="20"/>
        </w:rPr>
        <w:t>, 719(3.1).</w:t>
      </w:r>
    </w:p>
    <w:p w:rsidR="0024519F" w:rsidRPr="00951ECD" w:rsidRDefault="0024519F" w:rsidP="0024519F">
      <w:pPr>
        <w:jc w:val="both"/>
        <w:rPr>
          <w:sz w:val="20"/>
        </w:rPr>
      </w:pPr>
    </w:p>
    <w:p w:rsidR="001F0F0E" w:rsidRDefault="001F0F0E" w:rsidP="0024519F">
      <w:pPr>
        <w:jc w:val="both"/>
        <w:rPr>
          <w:sz w:val="20"/>
        </w:rPr>
      </w:pPr>
      <w:r w:rsidRPr="00951ECD">
        <w:rPr>
          <w:color w:val="000000"/>
          <w:sz w:val="20"/>
        </w:rPr>
        <w:t xml:space="preserve">Mr. </w:t>
      </w:r>
      <w:proofErr w:type="spellStart"/>
      <w:r w:rsidRPr="00951ECD">
        <w:rPr>
          <w:color w:val="000000"/>
          <w:sz w:val="20"/>
        </w:rPr>
        <w:t>Safarzadeh-Markhali</w:t>
      </w:r>
      <w:proofErr w:type="spellEnd"/>
      <w:r w:rsidRPr="00951ECD">
        <w:rPr>
          <w:color w:val="000000"/>
          <w:sz w:val="20"/>
        </w:rPr>
        <w:t xml:space="preserve"> was charged with possession of marijuana and eight firearms offences. On November 15, 2010, he appeared before a justice of the peace for a bail hearing. He consented to detention and did not wish to show cause as to why he should be released. The justice of the peace denied bail and endorsed the Information, stating that bail was denied because of Mr. </w:t>
      </w:r>
      <w:proofErr w:type="spellStart"/>
      <w:r w:rsidRPr="00951ECD">
        <w:rPr>
          <w:color w:val="000000"/>
          <w:sz w:val="20"/>
        </w:rPr>
        <w:t>Safarzadeh-Markhali’s</w:t>
      </w:r>
      <w:proofErr w:type="spellEnd"/>
      <w:r w:rsidRPr="00951ECD">
        <w:rPr>
          <w:color w:val="000000"/>
          <w:sz w:val="20"/>
        </w:rPr>
        <w:t xml:space="preserve"> prior criminal record. </w:t>
      </w:r>
      <w:r w:rsidRPr="00951ECD">
        <w:rPr>
          <w:sz w:val="20"/>
        </w:rPr>
        <w:t xml:space="preserve">Mr. </w:t>
      </w:r>
      <w:proofErr w:type="spellStart"/>
      <w:r w:rsidRPr="00951ECD">
        <w:rPr>
          <w:sz w:val="20"/>
        </w:rPr>
        <w:t>Safarzadeh-Markhali</w:t>
      </w:r>
      <w:proofErr w:type="spellEnd"/>
      <w:r w:rsidRPr="00951ECD">
        <w:rPr>
          <w:sz w:val="20"/>
        </w:rPr>
        <w:t xml:space="preserve"> was convicted of all counts but an acquittal was entered, on consent, on one firearms offence. </w:t>
      </w:r>
      <w:r w:rsidRPr="00951ECD">
        <w:rPr>
          <w:color w:val="000000" w:themeColor="text1"/>
          <w:sz w:val="20"/>
        </w:rPr>
        <w:t>Section 719(3) of the</w:t>
      </w:r>
      <w:r w:rsidRPr="00951ECD">
        <w:rPr>
          <w:i/>
          <w:color w:val="000000" w:themeColor="text1"/>
          <w:sz w:val="20"/>
        </w:rPr>
        <w:t xml:space="preserve"> Criminal Code</w:t>
      </w:r>
      <w:r w:rsidRPr="00951ECD">
        <w:rPr>
          <w:color w:val="000000" w:themeColor="text1"/>
          <w:sz w:val="20"/>
        </w:rPr>
        <w:t>, R.S.C. 1985, c. C-46, limits c</w:t>
      </w:r>
      <w:r w:rsidRPr="00951ECD">
        <w:rPr>
          <w:sz w:val="20"/>
        </w:rPr>
        <w:t xml:space="preserve">redit in sentencing for time spent in pre-trial custody to one day for each day spent in custody. Section 719(3.1) sets out in part that, if circumstances justify it, enhanced credit of one and one-half days may be available but not if bail was denied and the justice presiding over the bail hearing stated in the record that the reason for denying bail was the accused’s prior criminal record. Section 719(3.1) also sets out other limitations on the availability of enhanced credit. Before sentencing, </w:t>
      </w:r>
      <w:r w:rsidRPr="00951ECD">
        <w:rPr>
          <w:color w:val="000000"/>
          <w:sz w:val="20"/>
        </w:rPr>
        <w:t>Mr. </w:t>
      </w:r>
      <w:proofErr w:type="spellStart"/>
      <w:r w:rsidRPr="00951ECD">
        <w:rPr>
          <w:color w:val="000000"/>
          <w:sz w:val="20"/>
        </w:rPr>
        <w:t>Safarzadeh-Markhali</w:t>
      </w:r>
      <w:proofErr w:type="spellEnd"/>
      <w:r w:rsidRPr="00951ECD">
        <w:rPr>
          <w:sz w:val="20"/>
        </w:rPr>
        <w:t xml:space="preserve"> applied for a declaration that ss. 719(3) and 719(3.1), as applied in this case, breach the right to liberty protected by s. 7 of the </w:t>
      </w:r>
      <w:r w:rsidRPr="00951ECD">
        <w:rPr>
          <w:i/>
          <w:sz w:val="20"/>
        </w:rPr>
        <w:t>Canadian Charter if Rights and Freedoms</w:t>
      </w:r>
      <w:r w:rsidRPr="00951ECD">
        <w:rPr>
          <w:sz w:val="20"/>
        </w:rPr>
        <w:t xml:space="preserve">. The sentencing judge held that a portion of s. 719(3.1) of the </w:t>
      </w:r>
      <w:r w:rsidRPr="00951ECD">
        <w:rPr>
          <w:i/>
          <w:sz w:val="20"/>
        </w:rPr>
        <w:t>Criminal Code</w:t>
      </w:r>
      <w:r w:rsidRPr="00951ECD">
        <w:rPr>
          <w:sz w:val="20"/>
        </w:rPr>
        <w:t xml:space="preserve"> violates s. 7 of the </w:t>
      </w:r>
      <w:r w:rsidRPr="00951ECD">
        <w:rPr>
          <w:i/>
          <w:sz w:val="20"/>
        </w:rPr>
        <w:t>Charter</w:t>
      </w:r>
      <w:r w:rsidRPr="00951ECD">
        <w:rPr>
          <w:sz w:val="20"/>
        </w:rPr>
        <w:t xml:space="preserve"> </w:t>
      </w:r>
      <w:r w:rsidRPr="00951ECD">
        <w:rPr>
          <w:sz w:val="20"/>
        </w:rPr>
        <w:lastRenderedPageBreak/>
        <w:t xml:space="preserve">and is of no force and effect. He granted enhanced credit to Mr. </w:t>
      </w:r>
      <w:proofErr w:type="spellStart"/>
      <w:r w:rsidRPr="00951ECD">
        <w:rPr>
          <w:sz w:val="20"/>
        </w:rPr>
        <w:t>Safarzadeh-Markhali</w:t>
      </w:r>
      <w:proofErr w:type="spellEnd"/>
      <w:r w:rsidRPr="00951ECD">
        <w:rPr>
          <w:sz w:val="20"/>
        </w:rPr>
        <w:t>. The Court of Appeal dismissed an appeal.</w:t>
      </w:r>
    </w:p>
    <w:p w:rsidR="0024519F" w:rsidRDefault="0024519F" w:rsidP="0024519F">
      <w:pPr>
        <w:jc w:val="both"/>
        <w:rPr>
          <w:sz w:val="20"/>
          <w:lang w:val="en-CA"/>
        </w:rPr>
      </w:pPr>
    </w:p>
    <w:p w:rsidR="0024519F" w:rsidRPr="00951ECD" w:rsidRDefault="0024519F" w:rsidP="0024519F">
      <w:pPr>
        <w:jc w:val="both"/>
        <w:rPr>
          <w:sz w:val="20"/>
          <w:lang w:val="en-CA"/>
        </w:rPr>
      </w:pPr>
    </w:p>
    <w:p w:rsidR="001F0F0E" w:rsidRPr="00951ECD" w:rsidRDefault="001F0F0E" w:rsidP="002750B4">
      <w:pPr>
        <w:widowControl w:val="0"/>
        <w:ind w:left="709" w:hanging="709"/>
        <w:jc w:val="both"/>
        <w:rPr>
          <w:b/>
          <w:i/>
          <w:sz w:val="20"/>
          <w:lang w:val="fr-CA"/>
        </w:rPr>
      </w:pPr>
      <w:r w:rsidRPr="00951ECD">
        <w:rPr>
          <w:b/>
          <w:sz w:val="20"/>
          <w:lang w:val="fr-CA"/>
        </w:rPr>
        <w:fldChar w:fldCharType="begin"/>
      </w:r>
      <w:r w:rsidRPr="00951ECD">
        <w:rPr>
          <w:b/>
          <w:sz w:val="20"/>
          <w:lang w:val="fr-CA"/>
        </w:rPr>
        <w:instrText xml:space="preserve"> SEQ CHAPTER \h \r 1</w:instrText>
      </w:r>
      <w:r w:rsidRPr="00951ECD">
        <w:rPr>
          <w:b/>
          <w:sz w:val="20"/>
          <w:lang w:val="fr-CA"/>
        </w:rPr>
        <w:fldChar w:fldCharType="end"/>
      </w:r>
      <w:r w:rsidRPr="00951ECD">
        <w:rPr>
          <w:b/>
          <w:sz w:val="20"/>
          <w:lang w:val="fr-CA"/>
        </w:rPr>
        <w:t>36162</w:t>
      </w:r>
      <w:r w:rsidRPr="00951ECD">
        <w:rPr>
          <w:sz w:val="20"/>
          <w:lang w:val="fr-CA"/>
        </w:rPr>
        <w:tab/>
      </w:r>
      <w:r w:rsidRPr="00951ECD">
        <w:rPr>
          <w:b/>
          <w:i/>
          <w:sz w:val="20"/>
          <w:lang w:val="fr-CA"/>
        </w:rPr>
        <w:t>Sa Majesté la Reine c. Hamidreza Safarzadeh-Markhali</w:t>
      </w:r>
    </w:p>
    <w:p w:rsidR="001F0F0E" w:rsidRPr="00951ECD" w:rsidRDefault="001F0F0E" w:rsidP="002750B4">
      <w:pPr>
        <w:widowControl w:val="0"/>
        <w:jc w:val="both"/>
        <w:rPr>
          <w:sz w:val="20"/>
          <w:lang w:val="fr-CA"/>
        </w:rPr>
      </w:pPr>
    </w:p>
    <w:p w:rsidR="001F0F0E" w:rsidRDefault="001F0F0E" w:rsidP="0024519F">
      <w:pPr>
        <w:jc w:val="both"/>
        <w:rPr>
          <w:sz w:val="20"/>
          <w:lang w:val="fr-CA"/>
        </w:rPr>
      </w:pPr>
      <w:r w:rsidRPr="00951ECD">
        <w:rPr>
          <w:i/>
          <w:sz w:val="20"/>
          <w:lang w:val="fr-CA"/>
        </w:rPr>
        <w:t>Charte des droits et libertés</w:t>
      </w:r>
      <w:r w:rsidRPr="00951ECD">
        <w:rPr>
          <w:sz w:val="20"/>
          <w:lang w:val="fr-CA"/>
        </w:rPr>
        <w:t xml:space="preserve"> - Droit à la liberté - Droit criminel - Détermination de la peine - Temps alloué pour détention sous garde avant le procès - Pour fixer la durée d’une peine, le tribunal peut allouer au contrevenant déclaré coupable d’une infraction un jour pour chaque jour passé sous garde par suite de l’infraction - Si les circonstances le justifient, le tribunal peut octroyer un crédit majoré d’un jour et demi pour chaque jour passé sous garde - Toutefois, ce crédit majoré ne peut être octroyé si l’accusé s’est vu refuser une mise en liberté sous caution et si le juge qui présidait l’enquête sur la mise en liberté a inscrit au dossier que la mise en liberté a été refusée en raison du casier judiciaire de l’accusé - La limite apportée à la possibilité d’octroyer un crédit majoré pour le temps passé sous garde contrevient-elle à l’art. 7 de la </w:t>
      </w:r>
      <w:r w:rsidRPr="00951ECD">
        <w:rPr>
          <w:i/>
          <w:sz w:val="20"/>
          <w:lang w:val="fr-CA"/>
        </w:rPr>
        <w:t>Charte</w:t>
      </w:r>
      <w:r w:rsidRPr="00951ECD">
        <w:rPr>
          <w:sz w:val="20"/>
          <w:lang w:val="fr-CA"/>
        </w:rPr>
        <w:t xml:space="preserve">? - Dans l’affirmative, est-elle justifiée au regard de l’article premier de la </w:t>
      </w:r>
      <w:r w:rsidRPr="00951ECD">
        <w:rPr>
          <w:i/>
          <w:sz w:val="20"/>
          <w:lang w:val="fr-CA"/>
        </w:rPr>
        <w:t>Charte</w:t>
      </w:r>
      <w:r w:rsidRPr="00951ECD">
        <w:rPr>
          <w:sz w:val="20"/>
          <w:lang w:val="fr-CA"/>
        </w:rPr>
        <w:t xml:space="preserve">? - </w:t>
      </w:r>
      <w:r w:rsidRPr="00951ECD">
        <w:rPr>
          <w:i/>
          <w:sz w:val="20"/>
          <w:lang w:val="fr-CA"/>
        </w:rPr>
        <w:t>Loi sur l’adéquation de la peine et du crime</w:t>
      </w:r>
      <w:hyperlink r:id="rId10" w:anchor="sec719subsec3.1_smooth" w:history="1">
        <w:r w:rsidRPr="00951ECD">
          <w:rPr>
            <w:sz w:val="20"/>
            <w:lang w:val="fr-CA"/>
          </w:rPr>
          <w:t xml:space="preserve">, L.C. 2009, ch. 29 - </w:t>
        </w:r>
        <w:r w:rsidRPr="00951ECD">
          <w:rPr>
            <w:i/>
            <w:sz w:val="20"/>
            <w:lang w:val="fr-CA"/>
          </w:rPr>
          <w:t>Code criminel</w:t>
        </w:r>
        <w:r w:rsidRPr="00951ECD">
          <w:rPr>
            <w:sz w:val="20"/>
            <w:lang w:val="fr-CA"/>
          </w:rPr>
          <w:t>, L.R.C. 1985, ch. C-46, par. 719(3)</w:t>
        </w:r>
      </w:hyperlink>
      <w:r w:rsidRPr="00951ECD">
        <w:rPr>
          <w:sz w:val="20"/>
          <w:lang w:val="fr-CA"/>
        </w:rPr>
        <w:t xml:space="preserve"> et 719(3.1).</w:t>
      </w:r>
    </w:p>
    <w:p w:rsidR="0024519F" w:rsidRPr="00951ECD" w:rsidRDefault="0024519F" w:rsidP="0024519F">
      <w:pPr>
        <w:jc w:val="both"/>
        <w:rPr>
          <w:sz w:val="20"/>
          <w:lang w:val="fr-CA"/>
        </w:rPr>
      </w:pPr>
    </w:p>
    <w:p w:rsidR="001F0F0E" w:rsidRPr="00951ECD" w:rsidRDefault="001F0F0E" w:rsidP="0024519F">
      <w:pPr>
        <w:jc w:val="both"/>
        <w:rPr>
          <w:sz w:val="20"/>
          <w:lang w:val="fr-CA"/>
        </w:rPr>
      </w:pPr>
      <w:r w:rsidRPr="00951ECD">
        <w:rPr>
          <w:sz w:val="20"/>
          <w:lang w:val="fr-CA"/>
        </w:rPr>
        <w:t>Monsieur Safarzadeh-Markhali a été accusé de possession de marihuana et de huit infractions liées aux armes à feu. Le 15 novembre 2010, il a comparu devant un juge de paix relativement à sa remise en liberté sous caution</w:t>
      </w:r>
      <w:r w:rsidRPr="00951ECD">
        <w:rPr>
          <w:color w:val="000000"/>
          <w:sz w:val="20"/>
          <w:lang w:val="fr-CA"/>
        </w:rPr>
        <w:t>. Il a consenti à la détention sous garde et n’a pas souhaité faire valoir de motifs justifiant sa remise en liberté</w:t>
      </w:r>
      <w:r w:rsidRPr="00951ECD">
        <w:rPr>
          <w:color w:val="000000" w:themeColor="text1"/>
          <w:sz w:val="20"/>
          <w:lang w:val="fr-CA"/>
        </w:rPr>
        <w:t>. L</w:t>
      </w:r>
      <w:r w:rsidRPr="00951ECD">
        <w:rPr>
          <w:iCs/>
          <w:color w:val="000000" w:themeColor="text1"/>
          <w:sz w:val="20"/>
          <w:lang w:val="fr-CA"/>
        </w:rPr>
        <w:t>e juge de paix a refusé sa mise en liberté sous caution et inscrit sur la dénonciation une mention comme quoi la mise en liberté sous caution avait été refusée parce que M. </w:t>
      </w:r>
      <w:proofErr w:type="spellStart"/>
      <w:r w:rsidRPr="00951ECD">
        <w:rPr>
          <w:iCs/>
          <w:color w:val="000000" w:themeColor="text1"/>
          <w:sz w:val="20"/>
          <w:lang w:val="fr-CA"/>
        </w:rPr>
        <w:t>Safarzadeh-Markhali</w:t>
      </w:r>
      <w:proofErr w:type="spellEnd"/>
      <w:r w:rsidRPr="00951ECD">
        <w:rPr>
          <w:iCs/>
          <w:color w:val="000000" w:themeColor="text1"/>
          <w:sz w:val="20"/>
          <w:lang w:val="fr-CA"/>
        </w:rPr>
        <w:t xml:space="preserve"> avait un casier judiciaire</w:t>
      </w:r>
      <w:r w:rsidRPr="00951ECD">
        <w:rPr>
          <w:sz w:val="20"/>
          <w:lang w:val="fr-CA"/>
        </w:rPr>
        <w:t xml:space="preserve">. Monsieur </w:t>
      </w:r>
      <w:proofErr w:type="spellStart"/>
      <w:r w:rsidRPr="00951ECD">
        <w:rPr>
          <w:sz w:val="20"/>
          <w:lang w:val="fr-CA"/>
        </w:rPr>
        <w:t>Safarzadeh-Markhali</w:t>
      </w:r>
      <w:proofErr w:type="spellEnd"/>
      <w:r w:rsidRPr="00951ECD">
        <w:rPr>
          <w:sz w:val="20"/>
          <w:lang w:val="fr-CA"/>
        </w:rPr>
        <w:t xml:space="preserve"> a été déclaré coupable de tous les chefs, mais acquitté, sur consentement, d’une infraction liée aux armes à feu. Le par. 719(3) du </w:t>
      </w:r>
      <w:r w:rsidRPr="00951ECD">
        <w:rPr>
          <w:i/>
          <w:sz w:val="20"/>
          <w:lang w:val="fr-CA"/>
        </w:rPr>
        <w:t>Code criminel</w:t>
      </w:r>
      <w:r w:rsidRPr="00951ECD">
        <w:rPr>
          <w:sz w:val="20"/>
          <w:lang w:val="fr-CA"/>
        </w:rPr>
        <w:t xml:space="preserve"> limite le temps alloué dans la détermination de la peine au titre du temps passé sous garde avant le procès à un jour pour chaque jour passé sous garde. Le par. 719(3.1) prévoit notamment que si les circonstances le justifient, le tribunal peut octroyer un crédit majoré d’un jour et demi pour chaque jour passé sous garde, mais non si l’accusé s’est vu refuser une mise en liberté sous caution et si le juge qui présidait l’enquête sur la mise en liberté a inscrit au dossier que la mise en liberté a été refusée en raison du casier judiciaire de l’accusé. Le par. 719(3.1) énonce en outre d’autres limites apportées à la possibilité d’octroyer un crédit majoré. </w:t>
      </w:r>
      <w:r w:rsidRPr="00951ECD">
        <w:rPr>
          <w:color w:val="000000" w:themeColor="text1"/>
          <w:sz w:val="20"/>
          <w:lang w:val="fr-CA"/>
        </w:rPr>
        <w:t xml:space="preserve">Avant le prononcé de sa peine, </w:t>
      </w:r>
      <w:r w:rsidRPr="00951ECD">
        <w:rPr>
          <w:iCs/>
          <w:color w:val="000000" w:themeColor="text1"/>
          <w:sz w:val="20"/>
          <w:lang w:val="fr-CA"/>
        </w:rPr>
        <w:t>M. </w:t>
      </w:r>
      <w:proofErr w:type="spellStart"/>
      <w:r w:rsidRPr="00951ECD">
        <w:rPr>
          <w:iCs/>
          <w:color w:val="000000" w:themeColor="text1"/>
          <w:sz w:val="20"/>
          <w:lang w:val="fr-CA"/>
        </w:rPr>
        <w:t>Safarzadeh-Markhali</w:t>
      </w:r>
      <w:proofErr w:type="spellEnd"/>
      <w:r w:rsidRPr="00951ECD">
        <w:rPr>
          <w:color w:val="000000" w:themeColor="text1"/>
          <w:sz w:val="20"/>
          <w:lang w:val="fr-CA"/>
        </w:rPr>
        <w:t xml:space="preserve"> a sollicité un jugement déclaratoire portant que les par.</w:t>
      </w:r>
      <w:r w:rsidRPr="00951ECD">
        <w:rPr>
          <w:sz w:val="20"/>
          <w:lang w:val="fr-CA"/>
        </w:rPr>
        <w:t xml:space="preserve"> 719(3) et 719(3.1), tels qu’ils ont été appliqués en l’espèce, portent atteinte au droit à la liberté protégé par l’art. 7 de la </w:t>
      </w:r>
      <w:r w:rsidRPr="00951ECD">
        <w:rPr>
          <w:i/>
          <w:sz w:val="20"/>
          <w:lang w:val="fr-CA"/>
        </w:rPr>
        <w:t>Charte</w:t>
      </w:r>
      <w:r w:rsidRPr="00951ECD">
        <w:rPr>
          <w:sz w:val="20"/>
          <w:lang w:val="fr-CA"/>
        </w:rPr>
        <w:t>.</w:t>
      </w:r>
    </w:p>
    <w:p w:rsidR="001F0F0E" w:rsidRPr="00951ECD" w:rsidRDefault="001F0F0E" w:rsidP="00EC79B0">
      <w:pPr>
        <w:jc w:val="both"/>
        <w:rPr>
          <w:sz w:val="20"/>
          <w:lang w:val="fr-CA"/>
        </w:rPr>
      </w:pPr>
    </w:p>
    <w:p w:rsidR="001F0F0E" w:rsidRPr="00951ECD" w:rsidRDefault="001F0F0E" w:rsidP="00EC79B0">
      <w:pPr>
        <w:jc w:val="both"/>
        <w:rPr>
          <w:sz w:val="20"/>
          <w:lang w:val="fr-CA"/>
        </w:rPr>
      </w:pPr>
    </w:p>
    <w:p w:rsidR="001F0F0E" w:rsidRPr="00951ECD" w:rsidRDefault="001F0F0E" w:rsidP="00E96E8E">
      <w:pPr>
        <w:widowControl w:val="0"/>
        <w:ind w:left="720" w:hanging="720"/>
        <w:jc w:val="both"/>
        <w:rPr>
          <w:b/>
          <w:i/>
          <w:sz w:val="20"/>
          <w:lang w:val="en-CA"/>
        </w:rPr>
      </w:pPr>
      <w:r w:rsidRPr="00951ECD">
        <w:rPr>
          <w:b/>
          <w:sz w:val="20"/>
          <w:lang w:val="en-CA"/>
        </w:rPr>
        <w:fldChar w:fldCharType="begin"/>
      </w:r>
      <w:r w:rsidRPr="00951ECD">
        <w:rPr>
          <w:b/>
          <w:sz w:val="20"/>
        </w:rPr>
        <w:instrText xml:space="preserve"> SEQ CHAPTER \h \r 1</w:instrText>
      </w:r>
      <w:r w:rsidRPr="00951ECD">
        <w:rPr>
          <w:b/>
          <w:sz w:val="20"/>
        </w:rPr>
        <w:fldChar w:fldCharType="end"/>
      </w:r>
      <w:r w:rsidRPr="00951ECD">
        <w:rPr>
          <w:b/>
          <w:sz w:val="20"/>
          <w:lang w:val="en-CA"/>
        </w:rPr>
        <w:t>35982</w:t>
      </w:r>
      <w:r w:rsidRPr="00951ECD">
        <w:rPr>
          <w:sz w:val="20"/>
          <w:lang w:val="en-CA"/>
        </w:rPr>
        <w:tab/>
      </w:r>
      <w:r w:rsidRPr="00951ECD">
        <w:rPr>
          <w:b/>
          <w:i/>
          <w:sz w:val="20"/>
          <w:lang w:val="en-CA"/>
        </w:rPr>
        <w:t>Joseph</w:t>
      </w:r>
      <w:r w:rsidRPr="00951ECD">
        <w:rPr>
          <w:b/>
          <w:i/>
          <w:sz w:val="20"/>
        </w:rPr>
        <w:t xml:space="preserve"> Ryan Lloyd v. Her Majesty the Queen</w:t>
      </w:r>
    </w:p>
    <w:p w:rsidR="001F0F0E" w:rsidRPr="00951ECD" w:rsidRDefault="001F0F0E">
      <w:pPr>
        <w:widowControl w:val="0"/>
        <w:ind w:left="1440" w:hanging="1440"/>
        <w:jc w:val="both"/>
        <w:rPr>
          <w:sz w:val="20"/>
        </w:rPr>
      </w:pPr>
    </w:p>
    <w:p w:rsidR="003B486D" w:rsidRDefault="001F0F0E" w:rsidP="0024519F">
      <w:pPr>
        <w:jc w:val="both"/>
        <w:rPr>
          <w:sz w:val="20"/>
        </w:rPr>
      </w:pPr>
      <w:r w:rsidRPr="00951ECD">
        <w:rPr>
          <w:i/>
          <w:sz w:val="20"/>
        </w:rPr>
        <w:t>Canadian Charter of Rights and Freedoms</w:t>
      </w:r>
      <w:r w:rsidRPr="00951ECD">
        <w:rPr>
          <w:sz w:val="20"/>
        </w:rPr>
        <w:t xml:space="preserve"> - Criminal law - Cruel and unusual treatment or punishment - Mandatory minimum sentence - Section 5(3)(a)(</w:t>
      </w:r>
      <w:proofErr w:type="spellStart"/>
      <w:r w:rsidRPr="00951ECD">
        <w:rPr>
          <w:sz w:val="20"/>
        </w:rPr>
        <w:t>i</w:t>
      </w:r>
      <w:proofErr w:type="spellEnd"/>
      <w:r w:rsidRPr="00951ECD">
        <w:rPr>
          <w:sz w:val="20"/>
        </w:rPr>
        <w:t xml:space="preserve">)(D) of the </w:t>
      </w:r>
      <w:r w:rsidRPr="00951ECD">
        <w:rPr>
          <w:i/>
          <w:sz w:val="20"/>
        </w:rPr>
        <w:t>Controlled Drugs and Substances Act</w:t>
      </w:r>
      <w:r w:rsidRPr="00951ECD">
        <w:rPr>
          <w:sz w:val="20"/>
        </w:rPr>
        <w:t xml:space="preserve"> S.C. 1996, c. 19 - Must a court find an inflationary effect on the sentence of the person bringing a s. 12 </w:t>
      </w:r>
      <w:r w:rsidRPr="00951ECD">
        <w:rPr>
          <w:i/>
          <w:sz w:val="20"/>
        </w:rPr>
        <w:t>Charter</w:t>
      </w:r>
      <w:r w:rsidRPr="00951ECD">
        <w:rPr>
          <w:sz w:val="20"/>
        </w:rPr>
        <w:t xml:space="preserve"> claim in order to consider the constitutionality of the mandatory minimum in issue - Does s. 5(3)(a)(</w:t>
      </w:r>
      <w:proofErr w:type="spellStart"/>
      <w:r w:rsidRPr="00951ECD">
        <w:rPr>
          <w:sz w:val="20"/>
        </w:rPr>
        <w:t>i</w:t>
      </w:r>
      <w:proofErr w:type="spellEnd"/>
      <w:r w:rsidRPr="00951ECD">
        <w:rPr>
          <w:sz w:val="20"/>
        </w:rPr>
        <w:t xml:space="preserve">)(D) of the </w:t>
      </w:r>
      <w:r w:rsidRPr="00951ECD">
        <w:rPr>
          <w:i/>
          <w:sz w:val="20"/>
        </w:rPr>
        <w:t>CDSA</w:t>
      </w:r>
      <w:r w:rsidRPr="00951ECD">
        <w:rPr>
          <w:sz w:val="20"/>
        </w:rPr>
        <w:t xml:space="preserve"> violate ss. 7, 9 and 12 of the </w:t>
      </w:r>
      <w:r w:rsidRPr="00951ECD">
        <w:rPr>
          <w:i/>
          <w:sz w:val="20"/>
        </w:rPr>
        <w:t>Charter</w:t>
      </w:r>
      <w:r w:rsidRPr="00951ECD">
        <w:rPr>
          <w:sz w:val="20"/>
        </w:rPr>
        <w:t xml:space="preserve"> - Does the provincial court of British Columbia have jurisdiction to declare legislation to be of no force and effect if legislation is found to infringe a </w:t>
      </w:r>
      <w:r w:rsidRPr="00951ECD">
        <w:rPr>
          <w:i/>
          <w:sz w:val="20"/>
        </w:rPr>
        <w:t>Charter</w:t>
      </w:r>
      <w:r w:rsidRPr="00951ECD">
        <w:rPr>
          <w:sz w:val="20"/>
        </w:rPr>
        <w:t xml:space="preserve"> right - Should an appellate court disturb a sentence that is not demonstrably unfit as it is within the range of accepted sentence but at the low end of the range.</w:t>
      </w:r>
    </w:p>
    <w:p w:rsidR="0024519F" w:rsidRPr="0024519F" w:rsidRDefault="0024519F" w:rsidP="0024519F">
      <w:pPr>
        <w:jc w:val="both"/>
        <w:rPr>
          <w:sz w:val="20"/>
        </w:rPr>
      </w:pPr>
    </w:p>
    <w:p w:rsidR="0024519F" w:rsidRPr="0024519F" w:rsidRDefault="0024519F" w:rsidP="0024519F">
      <w:pPr>
        <w:jc w:val="both"/>
        <w:rPr>
          <w:sz w:val="20"/>
        </w:rPr>
      </w:pPr>
      <w:bookmarkStart w:id="3" w:name="_GoBack"/>
      <w:bookmarkEnd w:id="3"/>
    </w:p>
    <w:p w:rsidR="001F0F0E" w:rsidRPr="00951ECD" w:rsidRDefault="001F0F0E" w:rsidP="00E96E8E">
      <w:pPr>
        <w:widowControl w:val="0"/>
        <w:ind w:left="720" w:hanging="720"/>
        <w:jc w:val="both"/>
        <w:rPr>
          <w:b/>
          <w:i/>
          <w:sz w:val="20"/>
          <w:lang w:val="fr-CA"/>
        </w:rPr>
      </w:pPr>
      <w:r w:rsidRPr="00951ECD">
        <w:rPr>
          <w:b/>
          <w:sz w:val="20"/>
          <w:lang w:val="fr-CA"/>
        </w:rPr>
        <w:fldChar w:fldCharType="begin"/>
      </w:r>
      <w:r w:rsidRPr="00951ECD">
        <w:rPr>
          <w:b/>
          <w:sz w:val="20"/>
          <w:lang w:val="fr-CA"/>
        </w:rPr>
        <w:instrText xml:space="preserve"> SEQ CHAPTER \h \r 1</w:instrText>
      </w:r>
      <w:r w:rsidRPr="00951ECD">
        <w:rPr>
          <w:b/>
          <w:sz w:val="20"/>
          <w:lang w:val="fr-CA"/>
        </w:rPr>
        <w:fldChar w:fldCharType="end"/>
      </w:r>
      <w:r w:rsidRPr="00951ECD">
        <w:rPr>
          <w:b/>
          <w:sz w:val="20"/>
          <w:lang w:val="fr-CA"/>
        </w:rPr>
        <w:t>35982</w:t>
      </w:r>
      <w:r w:rsidRPr="00951ECD">
        <w:rPr>
          <w:sz w:val="20"/>
          <w:lang w:val="fr-CA"/>
        </w:rPr>
        <w:tab/>
      </w:r>
      <w:r w:rsidRPr="00951ECD">
        <w:rPr>
          <w:b/>
          <w:i/>
          <w:sz w:val="20"/>
          <w:lang w:val="fr-CA"/>
        </w:rPr>
        <w:t>Joseph Ryan Lloyd c. Sa Majesté la Reine</w:t>
      </w:r>
    </w:p>
    <w:p w:rsidR="001F0F0E" w:rsidRPr="00951ECD" w:rsidRDefault="001F0F0E">
      <w:pPr>
        <w:widowControl w:val="0"/>
        <w:ind w:left="1440" w:hanging="1440"/>
        <w:jc w:val="both"/>
        <w:rPr>
          <w:sz w:val="20"/>
          <w:lang w:val="fr-CA"/>
        </w:rPr>
      </w:pPr>
    </w:p>
    <w:p w:rsidR="001F0F0E" w:rsidRDefault="001F0F0E" w:rsidP="00F27160">
      <w:pPr>
        <w:jc w:val="both"/>
        <w:rPr>
          <w:sz w:val="20"/>
          <w:lang w:val="fr-CA"/>
        </w:rPr>
      </w:pPr>
      <w:r w:rsidRPr="00951ECD">
        <w:rPr>
          <w:i/>
          <w:sz w:val="20"/>
          <w:lang w:val="fr-CA"/>
        </w:rPr>
        <w:t xml:space="preserve">Charte canadienne des droits et libertés </w:t>
      </w:r>
      <w:r w:rsidRPr="00951ECD">
        <w:rPr>
          <w:sz w:val="20"/>
          <w:lang w:val="fr-CA"/>
        </w:rPr>
        <w:t>- Droit criminel - Traitements et peines cruels et inusités - Peine minimale obligatoire - Division 5(3)</w:t>
      </w:r>
      <w:r w:rsidRPr="00951ECD">
        <w:rPr>
          <w:i/>
          <w:sz w:val="20"/>
          <w:lang w:val="fr-CA"/>
        </w:rPr>
        <w:t>a</w:t>
      </w:r>
      <w:r w:rsidRPr="00951ECD">
        <w:rPr>
          <w:sz w:val="20"/>
          <w:lang w:val="fr-CA"/>
        </w:rPr>
        <w:t>)(i</w:t>
      </w:r>
      <w:proofErr w:type="gramStart"/>
      <w:r w:rsidRPr="00951ECD">
        <w:rPr>
          <w:sz w:val="20"/>
          <w:lang w:val="fr-CA"/>
        </w:rPr>
        <w:t>)(</w:t>
      </w:r>
      <w:proofErr w:type="gramEnd"/>
      <w:r w:rsidRPr="00951ECD">
        <w:rPr>
          <w:sz w:val="20"/>
          <w:lang w:val="fr-CA"/>
        </w:rPr>
        <w:t xml:space="preserve">D) de la </w:t>
      </w:r>
      <w:r w:rsidRPr="00951ECD">
        <w:rPr>
          <w:i/>
          <w:sz w:val="20"/>
          <w:lang w:val="fr-CA"/>
        </w:rPr>
        <w:t>Loi réglementant certaines drogues et autres substances</w:t>
      </w:r>
      <w:r w:rsidRPr="00951ECD">
        <w:rPr>
          <w:sz w:val="20"/>
          <w:lang w:val="fr-CA"/>
        </w:rPr>
        <w:t xml:space="preserve">, L.C. 1996, ch. 19 - Est-ce qu’une cour doit trouver un effet à la hausse relatif à la peine de la personne qui poursuit sur le fondement de la </w:t>
      </w:r>
      <w:r w:rsidRPr="00951ECD">
        <w:rPr>
          <w:i/>
          <w:sz w:val="20"/>
          <w:lang w:val="fr-CA"/>
        </w:rPr>
        <w:t>Charte</w:t>
      </w:r>
      <w:r w:rsidRPr="00951ECD">
        <w:rPr>
          <w:sz w:val="20"/>
          <w:lang w:val="fr-CA"/>
        </w:rPr>
        <w:t xml:space="preserve"> afin d’examiner la constitutionnalité de la peine minimale obligatoire en cause? - Est-ce que la division 5(3)</w:t>
      </w:r>
      <w:r w:rsidRPr="00951ECD">
        <w:rPr>
          <w:i/>
          <w:sz w:val="20"/>
          <w:lang w:val="fr-CA"/>
        </w:rPr>
        <w:t>a</w:t>
      </w:r>
      <w:r w:rsidRPr="00951ECD">
        <w:rPr>
          <w:sz w:val="20"/>
          <w:lang w:val="fr-CA"/>
        </w:rPr>
        <w:t>)(i</w:t>
      </w:r>
      <w:proofErr w:type="gramStart"/>
      <w:r w:rsidRPr="00951ECD">
        <w:rPr>
          <w:sz w:val="20"/>
          <w:lang w:val="fr-CA"/>
        </w:rPr>
        <w:t>)(</w:t>
      </w:r>
      <w:proofErr w:type="gramEnd"/>
      <w:r w:rsidRPr="00951ECD">
        <w:rPr>
          <w:sz w:val="20"/>
          <w:lang w:val="fr-CA"/>
        </w:rPr>
        <w:t xml:space="preserve">D) de la </w:t>
      </w:r>
      <w:r w:rsidRPr="00951ECD">
        <w:rPr>
          <w:i/>
          <w:sz w:val="20"/>
          <w:lang w:val="fr-CA"/>
        </w:rPr>
        <w:t xml:space="preserve">LRCDAS </w:t>
      </w:r>
      <w:r w:rsidRPr="00951ECD">
        <w:rPr>
          <w:sz w:val="20"/>
          <w:lang w:val="fr-CA"/>
        </w:rPr>
        <w:t xml:space="preserve">viole les articles 7, 9 et 12 de la </w:t>
      </w:r>
      <w:r w:rsidRPr="00951ECD">
        <w:rPr>
          <w:i/>
          <w:sz w:val="20"/>
          <w:lang w:val="fr-CA"/>
        </w:rPr>
        <w:t>Charte</w:t>
      </w:r>
      <w:r w:rsidRPr="00951ECD">
        <w:rPr>
          <w:sz w:val="20"/>
          <w:lang w:val="fr-CA"/>
        </w:rPr>
        <w:t xml:space="preserve">? - Est-ce que la Cour provinciale de la Colombie-Britannique a compétence pour déclarer inopérante la législation qui enfreint un droit garanti par la </w:t>
      </w:r>
      <w:r w:rsidRPr="00951ECD">
        <w:rPr>
          <w:i/>
          <w:sz w:val="20"/>
          <w:lang w:val="fr-CA"/>
        </w:rPr>
        <w:t>Charte</w:t>
      </w:r>
      <w:r w:rsidRPr="00951ECD">
        <w:rPr>
          <w:sz w:val="20"/>
          <w:lang w:val="fr-CA"/>
        </w:rPr>
        <w:t>? - Est-ce qu’une cour d’appel devrait modifier une peine qui n’est pas manifestement inappropriée, puisqu’elle se situe dans la fourchette des peines qui peuvent être prononcées, même si elle est plutôt clémente?</w:t>
      </w:r>
    </w:p>
    <w:p w:rsidR="00F27160" w:rsidRDefault="00F27160" w:rsidP="00F27160">
      <w:pPr>
        <w:jc w:val="both"/>
        <w:rPr>
          <w:sz w:val="20"/>
          <w:lang w:val="fr-CA"/>
        </w:rPr>
      </w:pPr>
    </w:p>
    <w:p w:rsidR="00F27160" w:rsidRPr="00951ECD" w:rsidRDefault="00F27160" w:rsidP="00F27160">
      <w:pPr>
        <w:jc w:val="both"/>
        <w:rPr>
          <w:sz w:val="20"/>
          <w:lang w:val="fr-CA"/>
        </w:rPr>
      </w:pPr>
    </w:p>
    <w:p w:rsidR="001F0F0E" w:rsidRPr="00F27160" w:rsidRDefault="001F0F0E" w:rsidP="00F27160">
      <w:pPr>
        <w:jc w:val="both"/>
        <w:rPr>
          <w:sz w:val="20"/>
          <w:lang w:val="fr-CA"/>
        </w:rPr>
      </w:pPr>
    </w:p>
    <w:p w:rsidR="001C4415" w:rsidRPr="009214B3" w:rsidRDefault="001C4415" w:rsidP="001C4415">
      <w:pPr>
        <w:widowControl w:val="0"/>
        <w:outlineLvl w:val="0"/>
      </w:pPr>
      <w:r w:rsidRPr="009214B3">
        <w:t xml:space="preserve">Supreme Court of Canada / </w:t>
      </w:r>
      <w:proofErr w:type="spellStart"/>
      <w:r w:rsidRPr="009214B3">
        <w:t>Cour</w:t>
      </w:r>
      <w:proofErr w:type="spellEnd"/>
      <w:r w:rsidRPr="009214B3">
        <w:t xml:space="preserve"> </w:t>
      </w:r>
      <w:proofErr w:type="spellStart"/>
      <w:r w:rsidRPr="009214B3">
        <w:t>suprême</w:t>
      </w:r>
      <w:proofErr w:type="spellEnd"/>
      <w:r w:rsidRPr="009214B3">
        <w:t xml:space="preserve"> du </w:t>
      </w:r>
      <w:proofErr w:type="gramStart"/>
      <w:r w:rsidRPr="009214B3">
        <w:t>Canada :</w:t>
      </w:r>
      <w:proofErr w:type="gramEnd"/>
      <w:r w:rsidRPr="009214B3">
        <w:t xml:space="preserve"> </w:t>
      </w:r>
    </w:p>
    <w:p w:rsidR="001C4415" w:rsidRPr="009214B3" w:rsidRDefault="0024519F" w:rsidP="001C4415">
      <w:pPr>
        <w:widowControl w:val="0"/>
        <w:outlineLvl w:val="0"/>
        <w:rPr>
          <w:color w:val="0000FF"/>
          <w:u w:val="single"/>
        </w:rPr>
      </w:pPr>
      <w:hyperlink r:id="rId11" w:history="1">
        <w:r w:rsidR="001C4415" w:rsidRPr="009214B3">
          <w:rPr>
            <w:rStyle w:val="Hyperlink"/>
          </w:rPr>
          <w:t>comments-commentaires@scc-csc.ca</w:t>
        </w:r>
      </w:hyperlink>
    </w:p>
    <w:p w:rsidR="001C4415" w:rsidRPr="009214B3" w:rsidRDefault="001C4415" w:rsidP="001C4415">
      <w:pPr>
        <w:widowControl w:val="0"/>
        <w:outlineLvl w:val="0"/>
      </w:pPr>
      <w:r w:rsidRPr="009214B3">
        <w:t>(613) 995-4330</w:t>
      </w:r>
    </w:p>
    <w:p w:rsidR="001C4415" w:rsidRPr="009214B3" w:rsidRDefault="001C4415" w:rsidP="001C4415">
      <w:pPr>
        <w:widowControl w:val="0"/>
        <w:rPr>
          <w:sz w:val="20"/>
        </w:rPr>
      </w:pPr>
    </w:p>
    <w:p w:rsidR="0036476C" w:rsidRPr="009214B3" w:rsidRDefault="001C4415" w:rsidP="0036476C">
      <w:pPr>
        <w:pStyle w:val="Footer"/>
        <w:jc w:val="center"/>
      </w:pPr>
      <w:r w:rsidRPr="009214B3">
        <w:t xml:space="preserve">- 30 </w:t>
      </w:r>
      <w:r w:rsidR="0036476C" w:rsidRPr="009214B3">
        <w:t xml:space="preserve">– </w:t>
      </w:r>
    </w:p>
    <w:p w:rsidR="0036476C" w:rsidRPr="009214B3"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193B"/>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0B1E"/>
    <w:rsid w:val="001C3E08"/>
    <w:rsid w:val="001C4415"/>
    <w:rsid w:val="001C6FEC"/>
    <w:rsid w:val="001E4A60"/>
    <w:rsid w:val="001E5E23"/>
    <w:rsid w:val="001E70CD"/>
    <w:rsid w:val="001F0F0E"/>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19F"/>
    <w:rsid w:val="00245FBD"/>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49"/>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86D"/>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3B1"/>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A6C0C"/>
    <w:rsid w:val="006B4B4E"/>
    <w:rsid w:val="006B5529"/>
    <w:rsid w:val="006C4A8F"/>
    <w:rsid w:val="006C7633"/>
    <w:rsid w:val="006D2DF8"/>
    <w:rsid w:val="006E1781"/>
    <w:rsid w:val="006E3A6A"/>
    <w:rsid w:val="006E5414"/>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353D1"/>
    <w:rsid w:val="00840854"/>
    <w:rsid w:val="00843914"/>
    <w:rsid w:val="00844A0C"/>
    <w:rsid w:val="00845B97"/>
    <w:rsid w:val="00851B24"/>
    <w:rsid w:val="00857775"/>
    <w:rsid w:val="00861E1D"/>
    <w:rsid w:val="0086609D"/>
    <w:rsid w:val="00870608"/>
    <w:rsid w:val="008709FF"/>
    <w:rsid w:val="008716D8"/>
    <w:rsid w:val="00875923"/>
    <w:rsid w:val="008766B1"/>
    <w:rsid w:val="00893647"/>
    <w:rsid w:val="008A4D20"/>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14B3"/>
    <w:rsid w:val="009246D2"/>
    <w:rsid w:val="00931A3C"/>
    <w:rsid w:val="009408A3"/>
    <w:rsid w:val="009421D0"/>
    <w:rsid w:val="00945199"/>
    <w:rsid w:val="00946EC7"/>
    <w:rsid w:val="00951ECD"/>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A26E9"/>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8B4"/>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27160"/>
    <w:rsid w:val="00F317F9"/>
    <w:rsid w:val="00F33A4A"/>
    <w:rsid w:val="00F353AE"/>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161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98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c-csc.ca/case-dossier/info/sum-som-eng.aspx?cas=3616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nlii.org/en/ca/laws/stat/rsc-1985-c-c-46/latest/rsc-1985-c-c-4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nlii.org/en/ca/laws/stat/rsc-1985-c-c-46/latest/rsc-1985-c-c-4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2016-04-08T20:55:00Z</dcterms:created>
  <dcterms:modified xsi:type="dcterms:W3CDTF">2016-05-10T13:52:00Z</dcterms:modified>
</cp:coreProperties>
</file>