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D6C1E" w:rsidRDefault="003F43E6" w:rsidP="00122CE1">
      <w:pPr>
        <w:pStyle w:val="Header"/>
        <w:tabs>
          <w:tab w:val="left" w:pos="1620"/>
          <w:tab w:val="left" w:pos="1710"/>
        </w:tabs>
        <w:jc w:val="center"/>
        <w:rPr>
          <w:b/>
          <w:sz w:val="32"/>
        </w:rPr>
      </w:pPr>
      <w:r w:rsidRPr="008D6C1E">
        <w:rPr>
          <w:b/>
          <w:sz w:val="32"/>
        </w:rPr>
        <w:t xml:space="preserve">Supreme Court of Canada / </w:t>
      </w:r>
      <w:proofErr w:type="spellStart"/>
      <w:r w:rsidRPr="008D6C1E">
        <w:rPr>
          <w:b/>
          <w:sz w:val="32"/>
        </w:rPr>
        <w:t>Cour</w:t>
      </w:r>
      <w:proofErr w:type="spellEnd"/>
      <w:r w:rsidRPr="008D6C1E">
        <w:rPr>
          <w:b/>
          <w:sz w:val="32"/>
        </w:rPr>
        <w:t xml:space="preserve"> </w:t>
      </w:r>
      <w:proofErr w:type="spellStart"/>
      <w:r w:rsidRPr="008D6C1E">
        <w:rPr>
          <w:b/>
          <w:sz w:val="32"/>
        </w:rPr>
        <w:t>suprême</w:t>
      </w:r>
      <w:proofErr w:type="spellEnd"/>
      <w:r w:rsidRPr="008D6C1E">
        <w:rPr>
          <w:b/>
          <w:sz w:val="32"/>
        </w:rPr>
        <w:t xml:space="preserve"> du Canada</w:t>
      </w:r>
    </w:p>
    <w:p w:rsidR="003F43E6" w:rsidRPr="008D6C1E" w:rsidRDefault="003F43E6" w:rsidP="006F2579">
      <w:pPr>
        <w:widowControl w:val="0"/>
        <w:rPr>
          <w:i/>
        </w:rPr>
      </w:pPr>
    </w:p>
    <w:p w:rsidR="006F2579" w:rsidRPr="008D6C1E" w:rsidRDefault="006F2579" w:rsidP="006F2579">
      <w:pPr>
        <w:widowControl w:val="0"/>
        <w:rPr>
          <w:i/>
        </w:rPr>
      </w:pPr>
      <w:r w:rsidRPr="008D6C1E">
        <w:rPr>
          <w:i/>
        </w:rPr>
        <w:t>(</w:t>
      </w:r>
      <w:proofErr w:type="gramStart"/>
      <w:r w:rsidRPr="008D6C1E">
        <w:rPr>
          <w:i/>
        </w:rPr>
        <w:t>le</w:t>
      </w:r>
      <w:proofErr w:type="gramEnd"/>
      <w:r w:rsidRPr="008D6C1E">
        <w:rPr>
          <w:i/>
        </w:rPr>
        <w:t xml:space="preserve"> </w:t>
      </w:r>
      <w:proofErr w:type="spellStart"/>
      <w:r w:rsidRPr="008D6C1E">
        <w:rPr>
          <w:i/>
        </w:rPr>
        <w:t>français</w:t>
      </w:r>
      <w:proofErr w:type="spellEnd"/>
      <w:r w:rsidRPr="008D6C1E">
        <w:rPr>
          <w:i/>
        </w:rPr>
        <w:t xml:space="preserve"> suit)</w:t>
      </w:r>
    </w:p>
    <w:p w:rsidR="006F2579" w:rsidRPr="008D6C1E" w:rsidRDefault="006F2579" w:rsidP="006F2579">
      <w:pPr>
        <w:widowControl w:val="0"/>
      </w:pPr>
    </w:p>
    <w:p w:rsidR="006F2579" w:rsidRPr="008D6C1E" w:rsidRDefault="00B07908" w:rsidP="006F2579">
      <w:pPr>
        <w:widowControl w:val="0"/>
        <w:jc w:val="center"/>
        <w:rPr>
          <w:b/>
        </w:rPr>
      </w:pPr>
      <w:r w:rsidRPr="008D6C1E">
        <w:fldChar w:fldCharType="begin"/>
      </w:r>
      <w:r w:rsidR="006F2579" w:rsidRPr="008D6C1E">
        <w:instrText xml:space="preserve"> SEQ CHAPTER \h \r 1</w:instrText>
      </w:r>
      <w:r w:rsidRPr="008D6C1E">
        <w:fldChar w:fldCharType="end"/>
      </w:r>
      <w:r w:rsidR="006F2579" w:rsidRPr="008D6C1E">
        <w:rPr>
          <w:b/>
        </w:rPr>
        <w:t>JUDGMENT</w:t>
      </w:r>
      <w:r w:rsidR="00B17AAC" w:rsidRPr="008D6C1E">
        <w:rPr>
          <w:b/>
        </w:rPr>
        <w:t>S</w:t>
      </w:r>
      <w:r w:rsidR="006F2579" w:rsidRPr="008D6C1E">
        <w:rPr>
          <w:b/>
        </w:rPr>
        <w:t xml:space="preserve"> TO B</w:t>
      </w:r>
      <w:r w:rsidR="00001846" w:rsidRPr="008D6C1E">
        <w:rPr>
          <w:b/>
        </w:rPr>
        <w:t>E RENDERED IN LEAVE APPLICATION</w:t>
      </w:r>
      <w:r w:rsidR="00B17AAC" w:rsidRPr="008D6C1E">
        <w:rPr>
          <w:b/>
        </w:rPr>
        <w:t>S</w:t>
      </w:r>
    </w:p>
    <w:p w:rsidR="006F2579" w:rsidRPr="008D6C1E" w:rsidRDefault="006F2579" w:rsidP="006F2579">
      <w:pPr>
        <w:widowControl w:val="0"/>
        <w:rPr>
          <w:b/>
        </w:rPr>
      </w:pPr>
    </w:p>
    <w:p w:rsidR="006F2579" w:rsidRPr="008D6C1E" w:rsidRDefault="001878EB" w:rsidP="006F2579">
      <w:pPr>
        <w:widowControl w:val="0"/>
        <w:rPr>
          <w:b/>
        </w:rPr>
      </w:pPr>
      <w:r w:rsidRPr="008D6C1E">
        <w:rPr>
          <w:b/>
        </w:rPr>
        <w:t>April</w:t>
      </w:r>
      <w:r w:rsidR="003817A9" w:rsidRPr="008D6C1E">
        <w:rPr>
          <w:b/>
        </w:rPr>
        <w:t xml:space="preserve"> </w:t>
      </w:r>
      <w:r w:rsidR="00A242AE" w:rsidRPr="008D6C1E">
        <w:rPr>
          <w:b/>
        </w:rPr>
        <w:t>1</w:t>
      </w:r>
      <w:r w:rsidR="00E52A08" w:rsidRPr="008D6C1E">
        <w:rPr>
          <w:b/>
        </w:rPr>
        <w:t>8</w:t>
      </w:r>
      <w:r w:rsidR="00AB5538" w:rsidRPr="008D6C1E">
        <w:rPr>
          <w:b/>
        </w:rPr>
        <w:t>,</w:t>
      </w:r>
      <w:r w:rsidR="006F2579" w:rsidRPr="008D6C1E">
        <w:rPr>
          <w:b/>
        </w:rPr>
        <w:t xml:space="preserve"> </w:t>
      </w:r>
      <w:r w:rsidR="0054689F" w:rsidRPr="008D6C1E">
        <w:rPr>
          <w:b/>
        </w:rPr>
        <w:t>201</w:t>
      </w:r>
      <w:r w:rsidR="00674329" w:rsidRPr="008D6C1E">
        <w:rPr>
          <w:b/>
        </w:rPr>
        <w:t>6</w:t>
      </w:r>
    </w:p>
    <w:p w:rsidR="006F2579" w:rsidRPr="008D6C1E" w:rsidRDefault="006F2579" w:rsidP="006F2579">
      <w:pPr>
        <w:widowControl w:val="0"/>
        <w:rPr>
          <w:b/>
        </w:rPr>
      </w:pPr>
      <w:r w:rsidRPr="008D6C1E">
        <w:rPr>
          <w:b/>
        </w:rPr>
        <w:t>For immediate release</w:t>
      </w:r>
    </w:p>
    <w:p w:rsidR="006F2579" w:rsidRPr="008D6C1E" w:rsidRDefault="006F2579" w:rsidP="006F2579">
      <w:pPr>
        <w:widowControl w:val="0"/>
      </w:pPr>
    </w:p>
    <w:p w:rsidR="006F2579" w:rsidRPr="002C1A32" w:rsidRDefault="006F2579" w:rsidP="006F2579">
      <w:pPr>
        <w:widowControl w:val="0"/>
        <w:rPr>
          <w:lang w:val="fr-CA"/>
        </w:rPr>
      </w:pPr>
      <w:r w:rsidRPr="008D6C1E">
        <w:rPr>
          <w:b/>
        </w:rPr>
        <w:t>OTTAWA</w:t>
      </w:r>
      <w:r w:rsidRPr="008D6C1E">
        <w:t xml:space="preserve"> – The Supreme Court of Canada announced today that judgment in the following application</w:t>
      </w:r>
      <w:r w:rsidR="008600ED" w:rsidRPr="008D6C1E">
        <w:t>s</w:t>
      </w:r>
      <w:r w:rsidRPr="008D6C1E">
        <w:t xml:space="preserve"> for leave to appeal will be delivered at 9:45 a.m. E</w:t>
      </w:r>
      <w:r w:rsidR="003817A9" w:rsidRPr="008D6C1E">
        <w:t>D</w:t>
      </w:r>
      <w:r w:rsidRPr="008D6C1E">
        <w:t xml:space="preserve">T on Thursday, </w:t>
      </w:r>
      <w:r w:rsidR="001878EB" w:rsidRPr="008D6C1E">
        <w:t>April</w:t>
      </w:r>
      <w:r w:rsidR="007E112F" w:rsidRPr="008D6C1E">
        <w:t xml:space="preserve"> </w:t>
      </w:r>
      <w:r w:rsidR="00E52A08" w:rsidRPr="008D6C1E">
        <w:t>2</w:t>
      </w:r>
      <w:r w:rsidR="00A242AE" w:rsidRPr="008D6C1E">
        <w:t>1</w:t>
      </w:r>
      <w:r w:rsidR="007E112F" w:rsidRPr="008D6C1E">
        <w:t>,</w:t>
      </w:r>
      <w:r w:rsidR="002F38D7" w:rsidRPr="008D6C1E">
        <w:t xml:space="preserve"> </w:t>
      </w:r>
      <w:r w:rsidR="006648D1" w:rsidRPr="008D6C1E">
        <w:t>201</w:t>
      </w:r>
      <w:r w:rsidR="00674329" w:rsidRPr="008D6C1E">
        <w:t>6</w:t>
      </w:r>
      <w:r w:rsidRPr="008D6C1E">
        <w:t xml:space="preserve">.  </w:t>
      </w:r>
      <w:r w:rsidRPr="002C1A32">
        <w:rPr>
          <w:lang w:val="fr-CA"/>
        </w:rPr>
        <w:t xml:space="preserve">This </w:t>
      </w:r>
      <w:proofErr w:type="spellStart"/>
      <w:r w:rsidRPr="002C1A32">
        <w:rPr>
          <w:lang w:val="fr-CA"/>
        </w:rPr>
        <w:t>list</w:t>
      </w:r>
      <w:proofErr w:type="spellEnd"/>
      <w:r w:rsidRPr="002C1A32">
        <w:rPr>
          <w:lang w:val="fr-CA"/>
        </w:rPr>
        <w:t xml:space="preserve"> </w:t>
      </w:r>
      <w:proofErr w:type="spellStart"/>
      <w:r w:rsidRPr="002C1A32">
        <w:rPr>
          <w:lang w:val="fr-CA"/>
        </w:rPr>
        <w:t>is</w:t>
      </w:r>
      <w:proofErr w:type="spellEnd"/>
      <w:r w:rsidRPr="002C1A32">
        <w:rPr>
          <w:lang w:val="fr-CA"/>
        </w:rPr>
        <w:t xml:space="preserve"> </w:t>
      </w:r>
      <w:proofErr w:type="spellStart"/>
      <w:r w:rsidRPr="002C1A32">
        <w:rPr>
          <w:lang w:val="fr-CA"/>
        </w:rPr>
        <w:t>subject</w:t>
      </w:r>
      <w:proofErr w:type="spellEnd"/>
      <w:r w:rsidRPr="002C1A32">
        <w:rPr>
          <w:lang w:val="fr-CA"/>
        </w:rPr>
        <w:t xml:space="preserve"> to change.</w:t>
      </w:r>
    </w:p>
    <w:p w:rsidR="00B43418" w:rsidRPr="002C1A32" w:rsidRDefault="00B43418" w:rsidP="006F2579">
      <w:pPr>
        <w:widowControl w:val="0"/>
        <w:rPr>
          <w:lang w:val="fr-CA"/>
        </w:rPr>
      </w:pPr>
    </w:p>
    <w:p w:rsidR="006F2579" w:rsidRPr="008D6C1E" w:rsidRDefault="006F2579" w:rsidP="006F2579">
      <w:pPr>
        <w:widowControl w:val="0"/>
        <w:jc w:val="center"/>
        <w:rPr>
          <w:lang w:val="fr-CA"/>
        </w:rPr>
      </w:pPr>
      <w:r w:rsidRPr="008D6C1E">
        <w:rPr>
          <w:b/>
          <w:lang w:val="fr-CA"/>
        </w:rPr>
        <w:t>PROCHAIN</w:t>
      </w:r>
      <w:r w:rsidR="00B17AAC" w:rsidRPr="008D6C1E">
        <w:rPr>
          <w:b/>
          <w:lang w:val="fr-CA"/>
        </w:rPr>
        <w:t>S</w:t>
      </w:r>
      <w:r w:rsidRPr="008D6C1E">
        <w:rPr>
          <w:b/>
          <w:lang w:val="fr-CA"/>
        </w:rPr>
        <w:t xml:space="preserve"> JUGEMENT</w:t>
      </w:r>
      <w:r w:rsidR="00B17AAC" w:rsidRPr="008D6C1E">
        <w:rPr>
          <w:b/>
          <w:lang w:val="fr-CA"/>
        </w:rPr>
        <w:t>S</w:t>
      </w:r>
      <w:r w:rsidR="00001846" w:rsidRPr="008D6C1E">
        <w:rPr>
          <w:b/>
          <w:lang w:val="fr-CA"/>
        </w:rPr>
        <w:t xml:space="preserve"> SUR DEMANDE</w:t>
      </w:r>
      <w:r w:rsidR="00B17AAC" w:rsidRPr="008D6C1E">
        <w:rPr>
          <w:b/>
          <w:lang w:val="fr-CA"/>
        </w:rPr>
        <w:t>S</w:t>
      </w:r>
      <w:r w:rsidRPr="008D6C1E">
        <w:rPr>
          <w:b/>
          <w:lang w:val="fr-CA"/>
        </w:rPr>
        <w:t xml:space="preserve"> D’AUTORISATION</w:t>
      </w:r>
    </w:p>
    <w:p w:rsidR="006F2579" w:rsidRPr="008D6C1E" w:rsidRDefault="006F2579" w:rsidP="006F2579">
      <w:pPr>
        <w:widowControl w:val="0"/>
        <w:rPr>
          <w:lang w:val="fr-CA"/>
        </w:rPr>
      </w:pPr>
    </w:p>
    <w:p w:rsidR="006F2579" w:rsidRPr="008D6C1E" w:rsidRDefault="006F2579" w:rsidP="006F2579">
      <w:pPr>
        <w:widowControl w:val="0"/>
        <w:rPr>
          <w:b/>
          <w:lang w:val="fr-CA"/>
        </w:rPr>
      </w:pPr>
      <w:r w:rsidRPr="008D6C1E">
        <w:rPr>
          <w:b/>
          <w:lang w:val="fr-CA"/>
        </w:rPr>
        <w:t>Le</w:t>
      </w:r>
      <w:r w:rsidR="00957A76" w:rsidRPr="008D6C1E">
        <w:rPr>
          <w:b/>
          <w:lang w:val="fr-CA"/>
        </w:rPr>
        <w:t xml:space="preserve"> </w:t>
      </w:r>
      <w:r w:rsidR="00A242AE" w:rsidRPr="008D6C1E">
        <w:rPr>
          <w:b/>
          <w:lang w:val="fr-CA"/>
        </w:rPr>
        <w:t>1</w:t>
      </w:r>
      <w:r w:rsidR="00E52A08" w:rsidRPr="008D6C1E">
        <w:rPr>
          <w:b/>
          <w:lang w:val="fr-CA"/>
        </w:rPr>
        <w:t>8</w:t>
      </w:r>
      <w:r w:rsidR="007E112F" w:rsidRPr="008D6C1E">
        <w:rPr>
          <w:b/>
          <w:lang w:val="fr-CA"/>
        </w:rPr>
        <w:t xml:space="preserve"> a</w:t>
      </w:r>
      <w:r w:rsidR="001878EB" w:rsidRPr="008D6C1E">
        <w:rPr>
          <w:b/>
          <w:lang w:val="fr-CA"/>
        </w:rPr>
        <w:t>v</w:t>
      </w:r>
      <w:r w:rsidR="007E112F" w:rsidRPr="008D6C1E">
        <w:rPr>
          <w:b/>
          <w:lang w:val="fr-CA"/>
        </w:rPr>
        <w:t>r</w:t>
      </w:r>
      <w:r w:rsidR="001878EB" w:rsidRPr="008D6C1E">
        <w:rPr>
          <w:b/>
          <w:lang w:val="fr-CA"/>
        </w:rPr>
        <w:t>il</w:t>
      </w:r>
      <w:r w:rsidR="00674329" w:rsidRPr="008D6C1E">
        <w:rPr>
          <w:b/>
          <w:lang w:val="fr-CA"/>
        </w:rPr>
        <w:t xml:space="preserve"> 2016</w:t>
      </w:r>
    </w:p>
    <w:p w:rsidR="006F2579" w:rsidRPr="008D6C1E" w:rsidRDefault="006F2579" w:rsidP="006F2579">
      <w:pPr>
        <w:widowControl w:val="0"/>
        <w:rPr>
          <w:b/>
          <w:lang w:val="fr-CA"/>
        </w:rPr>
      </w:pPr>
      <w:r w:rsidRPr="008D6C1E">
        <w:rPr>
          <w:b/>
          <w:lang w:val="fr-CA"/>
        </w:rPr>
        <w:t>Pour diffusion immédiate</w:t>
      </w:r>
    </w:p>
    <w:p w:rsidR="006F2579" w:rsidRPr="008D6C1E" w:rsidRDefault="006F2579" w:rsidP="006F2579">
      <w:pPr>
        <w:widowControl w:val="0"/>
        <w:rPr>
          <w:b/>
          <w:lang w:val="fr-CA"/>
        </w:rPr>
      </w:pPr>
    </w:p>
    <w:p w:rsidR="006F2579" w:rsidRPr="008D6C1E" w:rsidRDefault="006F2579" w:rsidP="006F2579">
      <w:pPr>
        <w:widowControl w:val="0"/>
        <w:rPr>
          <w:lang w:val="fr-CA"/>
        </w:rPr>
      </w:pPr>
      <w:r w:rsidRPr="008D6C1E">
        <w:rPr>
          <w:b/>
          <w:lang w:val="fr-CA"/>
        </w:rPr>
        <w:t>OTTAWA</w:t>
      </w:r>
      <w:r w:rsidRPr="008D6C1E">
        <w:rPr>
          <w:lang w:val="fr-CA"/>
        </w:rPr>
        <w:t xml:space="preserve"> – La Cour suprême du Canada annonce que jugement ser</w:t>
      </w:r>
      <w:r w:rsidR="008600ED" w:rsidRPr="008D6C1E">
        <w:rPr>
          <w:lang w:val="fr-CA"/>
        </w:rPr>
        <w:t>a</w:t>
      </w:r>
      <w:r w:rsidRPr="008D6C1E">
        <w:rPr>
          <w:lang w:val="fr-CA"/>
        </w:rPr>
        <w:t xml:space="preserve"> rendu dans l</w:t>
      </w:r>
      <w:r w:rsidR="008600ED" w:rsidRPr="008D6C1E">
        <w:rPr>
          <w:lang w:val="fr-CA"/>
        </w:rPr>
        <w:t>es</w:t>
      </w:r>
      <w:r w:rsidRPr="008D6C1E">
        <w:rPr>
          <w:lang w:val="fr-CA"/>
        </w:rPr>
        <w:t xml:space="preserve"> demande</w:t>
      </w:r>
      <w:r w:rsidR="008600ED" w:rsidRPr="008D6C1E">
        <w:rPr>
          <w:lang w:val="fr-CA"/>
        </w:rPr>
        <w:t>s</w:t>
      </w:r>
      <w:r w:rsidRPr="008D6C1E">
        <w:rPr>
          <w:lang w:val="fr-CA"/>
        </w:rPr>
        <w:t xml:space="preserve"> d</w:t>
      </w:r>
      <w:r w:rsidR="00001846" w:rsidRPr="008D6C1E">
        <w:rPr>
          <w:lang w:val="fr-CA"/>
        </w:rPr>
        <w:t>’autorisation d’appel suivante</w:t>
      </w:r>
      <w:r w:rsidR="008600ED" w:rsidRPr="008D6C1E">
        <w:rPr>
          <w:lang w:val="fr-CA"/>
        </w:rPr>
        <w:t>s</w:t>
      </w:r>
      <w:r w:rsidRPr="008D6C1E">
        <w:rPr>
          <w:lang w:val="fr-CA"/>
        </w:rPr>
        <w:t xml:space="preserve"> le jeudi </w:t>
      </w:r>
      <w:r w:rsidR="00E52A08" w:rsidRPr="008D6C1E">
        <w:rPr>
          <w:lang w:val="fr-CA"/>
        </w:rPr>
        <w:t>2</w:t>
      </w:r>
      <w:r w:rsidR="00A242AE" w:rsidRPr="008D6C1E">
        <w:rPr>
          <w:lang w:val="fr-CA"/>
        </w:rPr>
        <w:t>1</w:t>
      </w:r>
      <w:r w:rsidR="007E112F" w:rsidRPr="008D6C1E">
        <w:rPr>
          <w:lang w:val="fr-CA"/>
        </w:rPr>
        <w:t xml:space="preserve"> </w:t>
      </w:r>
      <w:r w:rsidR="001878EB" w:rsidRPr="008D6C1E">
        <w:rPr>
          <w:lang w:val="fr-CA"/>
        </w:rPr>
        <w:t>av</w:t>
      </w:r>
      <w:r w:rsidR="007E112F" w:rsidRPr="008D6C1E">
        <w:rPr>
          <w:lang w:val="fr-CA"/>
        </w:rPr>
        <w:t>r</w:t>
      </w:r>
      <w:r w:rsidR="001878EB" w:rsidRPr="008D6C1E">
        <w:rPr>
          <w:lang w:val="fr-CA"/>
        </w:rPr>
        <w:t>il</w:t>
      </w:r>
      <w:r w:rsidR="00674329" w:rsidRPr="008D6C1E">
        <w:rPr>
          <w:lang w:val="fr-CA"/>
        </w:rPr>
        <w:t xml:space="preserve"> </w:t>
      </w:r>
      <w:r w:rsidR="006648D1" w:rsidRPr="008D6C1E">
        <w:rPr>
          <w:lang w:val="fr-CA"/>
        </w:rPr>
        <w:t>201</w:t>
      </w:r>
      <w:r w:rsidR="00674329" w:rsidRPr="008D6C1E">
        <w:rPr>
          <w:lang w:val="fr-CA"/>
        </w:rPr>
        <w:t>6</w:t>
      </w:r>
      <w:r w:rsidRPr="008D6C1E">
        <w:rPr>
          <w:lang w:val="fr-CA"/>
        </w:rPr>
        <w:t xml:space="preserve">, à 9 h 45 </w:t>
      </w:r>
      <w:r w:rsidR="000627A2" w:rsidRPr="008D6C1E">
        <w:rPr>
          <w:lang w:val="fr-CA"/>
        </w:rPr>
        <w:t>H</w:t>
      </w:r>
      <w:r w:rsidR="003817A9" w:rsidRPr="008D6C1E">
        <w:rPr>
          <w:lang w:val="fr-CA"/>
        </w:rPr>
        <w:t>A</w:t>
      </w:r>
      <w:r w:rsidRPr="008D6C1E">
        <w:rPr>
          <w:lang w:val="fr-CA"/>
        </w:rPr>
        <w:t>E.  Cette liste est sujette à modifications.</w:t>
      </w:r>
    </w:p>
    <w:p w:rsidR="0080556B" w:rsidRPr="008D6C1E" w:rsidRDefault="0080556B" w:rsidP="009B14F4">
      <w:pPr>
        <w:widowControl w:val="0"/>
        <w:jc w:val="both"/>
        <w:rPr>
          <w:sz w:val="20"/>
          <w:lang w:val="fr-CA"/>
        </w:rPr>
      </w:pPr>
    </w:p>
    <w:p w:rsidR="001838E0" w:rsidRPr="008D6C1E" w:rsidRDefault="003D353C" w:rsidP="009B14F4">
      <w:pPr>
        <w:widowControl w:val="0"/>
        <w:jc w:val="both"/>
        <w:rPr>
          <w:sz w:val="20"/>
          <w:lang w:val="fr-CA"/>
        </w:rPr>
      </w:pPr>
      <w:r w:rsidRPr="008D6C1E">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E112F" w:rsidRPr="008D6C1E" w:rsidRDefault="007E112F" w:rsidP="00A14921">
      <w:pPr>
        <w:widowControl w:val="0"/>
        <w:ind w:left="360" w:hanging="360"/>
        <w:rPr>
          <w:sz w:val="20"/>
          <w:lang w:val="fr-CA" w:eastAsia="en-CA"/>
        </w:rPr>
      </w:pPr>
    </w:p>
    <w:p w:rsidR="00372E91" w:rsidRPr="008D6C1E" w:rsidRDefault="00F32E9D" w:rsidP="00FE5051">
      <w:pPr>
        <w:pStyle w:val="ListParagraph"/>
        <w:numPr>
          <w:ilvl w:val="0"/>
          <w:numId w:val="23"/>
        </w:numPr>
        <w:ind w:left="360"/>
        <w:rPr>
          <w:sz w:val="20"/>
          <w:lang w:val="en-CA" w:eastAsia="en-CA"/>
        </w:rPr>
      </w:pPr>
      <w:proofErr w:type="spellStart"/>
      <w:r>
        <w:rPr>
          <w:i/>
          <w:sz w:val="20"/>
          <w:lang w:val="en-CA" w:eastAsia="en-CA"/>
        </w:rPr>
        <w:t>Altalink</w:t>
      </w:r>
      <w:proofErr w:type="spellEnd"/>
      <w:r>
        <w:rPr>
          <w:i/>
          <w:sz w:val="20"/>
          <w:lang w:val="en-CA" w:eastAsia="en-CA"/>
        </w:rPr>
        <w:t xml:space="preserve"> Management Ltd., in its capacity as general partner of </w:t>
      </w:r>
      <w:proofErr w:type="spellStart"/>
      <w:r>
        <w:rPr>
          <w:i/>
          <w:sz w:val="20"/>
          <w:lang w:val="en-CA" w:eastAsia="en-CA"/>
        </w:rPr>
        <w:t>Altalink</w:t>
      </w:r>
      <w:proofErr w:type="spellEnd"/>
      <w:r>
        <w:rPr>
          <w:i/>
          <w:sz w:val="20"/>
          <w:lang w:val="en-CA" w:eastAsia="en-CA"/>
        </w:rPr>
        <w:t>, L.P. et al.</w:t>
      </w:r>
      <w:r w:rsidR="00372E91" w:rsidRPr="008D6C1E">
        <w:rPr>
          <w:i/>
          <w:sz w:val="20"/>
          <w:lang w:val="en-CA" w:eastAsia="en-CA"/>
        </w:rPr>
        <w:t xml:space="preserve"> v. Alberta Utilities Commission et al.</w:t>
      </w:r>
      <w:r w:rsidR="00372E91" w:rsidRPr="008D6C1E">
        <w:rPr>
          <w:sz w:val="20"/>
          <w:lang w:val="en-CA" w:eastAsia="en-CA"/>
        </w:rPr>
        <w:t xml:space="preserve"> (Alta.) (Civil) (By Leave)</w:t>
      </w:r>
      <w:r w:rsidR="005C4651" w:rsidRPr="008D6C1E">
        <w:rPr>
          <w:sz w:val="20"/>
          <w:lang w:val="en-CA" w:eastAsia="en-CA"/>
        </w:rPr>
        <w:t xml:space="preserve"> </w:t>
      </w:r>
      <w:r w:rsidR="005C4651" w:rsidRPr="008D6C1E">
        <w:rPr>
          <w:sz w:val="20"/>
          <w:lang w:val="en-CA"/>
        </w:rPr>
        <w:t>(</w:t>
      </w:r>
      <w:hyperlink r:id="rId8" w:history="1">
        <w:r w:rsidR="005C4651" w:rsidRPr="008D6C1E">
          <w:rPr>
            <w:rStyle w:val="Hyperlink"/>
            <w:sz w:val="20"/>
            <w:lang w:val="en-CA"/>
          </w:rPr>
          <w:t>36728</w:t>
        </w:r>
      </w:hyperlink>
      <w:r w:rsidR="005C4651" w:rsidRPr="008D6C1E">
        <w:rPr>
          <w:sz w:val="20"/>
          <w:lang w:val="en-CA"/>
        </w:rPr>
        <w:t>)</w:t>
      </w:r>
    </w:p>
    <w:p w:rsidR="00372E91" w:rsidRPr="008D6C1E" w:rsidRDefault="00372E91" w:rsidP="00FE5051">
      <w:pPr>
        <w:ind w:left="360" w:hanging="360"/>
        <w:rPr>
          <w:sz w:val="20"/>
          <w:lang w:val="en-CA" w:eastAsia="en-CA"/>
        </w:rPr>
      </w:pPr>
    </w:p>
    <w:p w:rsidR="00372E91" w:rsidRPr="008D6C1E" w:rsidRDefault="00372E91" w:rsidP="00FE5051">
      <w:pPr>
        <w:pStyle w:val="ListParagraph"/>
        <w:numPr>
          <w:ilvl w:val="0"/>
          <w:numId w:val="23"/>
        </w:numPr>
        <w:ind w:left="360"/>
        <w:rPr>
          <w:sz w:val="20"/>
          <w:lang w:val="en-CA" w:eastAsia="en-CA"/>
        </w:rPr>
      </w:pPr>
      <w:r w:rsidRPr="008D6C1E">
        <w:rPr>
          <w:i/>
          <w:sz w:val="20"/>
          <w:lang w:val="en-CA" w:eastAsia="en-CA"/>
        </w:rPr>
        <w:t>Anne Brigitte Leclerc v. Allan Kent Weber</w:t>
      </w:r>
      <w:r w:rsidRPr="008D6C1E">
        <w:rPr>
          <w:sz w:val="20"/>
          <w:lang w:val="en-CA" w:eastAsia="en-CA"/>
        </w:rPr>
        <w:t xml:space="preserve"> (B.C.) (Civil) (By Leave)</w:t>
      </w:r>
      <w:r w:rsidR="005C4651" w:rsidRPr="008D6C1E">
        <w:rPr>
          <w:sz w:val="20"/>
          <w:lang w:val="en-CA" w:eastAsia="en-CA"/>
        </w:rPr>
        <w:t xml:space="preserve"> </w:t>
      </w:r>
      <w:r w:rsidR="005C4651" w:rsidRPr="008D6C1E">
        <w:rPr>
          <w:sz w:val="20"/>
          <w:lang w:val="en-CA"/>
        </w:rPr>
        <w:t>(</w:t>
      </w:r>
      <w:hyperlink r:id="rId9" w:history="1">
        <w:r w:rsidR="005C4651" w:rsidRPr="008D6C1E">
          <w:rPr>
            <w:rStyle w:val="Hyperlink"/>
            <w:sz w:val="20"/>
            <w:lang w:val="en-CA"/>
          </w:rPr>
          <w:t>36812</w:t>
        </w:r>
      </w:hyperlink>
      <w:r w:rsidR="005C4651" w:rsidRPr="008D6C1E">
        <w:rPr>
          <w:sz w:val="20"/>
          <w:lang w:val="en-CA"/>
        </w:rPr>
        <w:t>)</w:t>
      </w:r>
    </w:p>
    <w:p w:rsidR="00372E91" w:rsidRPr="008D6C1E" w:rsidRDefault="00372E91" w:rsidP="00FE5051">
      <w:pPr>
        <w:ind w:left="360" w:hanging="360"/>
        <w:rPr>
          <w:sz w:val="20"/>
          <w:lang w:val="en-CA" w:eastAsia="en-CA"/>
        </w:rPr>
      </w:pPr>
    </w:p>
    <w:p w:rsidR="00372E91" w:rsidRPr="008D6C1E" w:rsidRDefault="00372E91" w:rsidP="00FE5051">
      <w:pPr>
        <w:pStyle w:val="ListParagraph"/>
        <w:numPr>
          <w:ilvl w:val="0"/>
          <w:numId w:val="23"/>
        </w:numPr>
        <w:ind w:left="360"/>
        <w:rPr>
          <w:sz w:val="20"/>
          <w:lang w:val="en-CA" w:eastAsia="en-CA"/>
        </w:rPr>
      </w:pPr>
      <w:r w:rsidRPr="008D6C1E">
        <w:rPr>
          <w:i/>
          <w:sz w:val="20"/>
          <w:lang w:val="en-CA" w:eastAsia="en-CA"/>
        </w:rPr>
        <w:t>Alan Clark v. Superintendent of Motor Vehicles et al.</w:t>
      </w:r>
      <w:r w:rsidRPr="008D6C1E">
        <w:rPr>
          <w:sz w:val="20"/>
          <w:lang w:val="en-CA" w:eastAsia="en-CA"/>
        </w:rPr>
        <w:t xml:space="preserve"> (B.C.) (Civil) (By Leave)</w:t>
      </w:r>
      <w:r w:rsidR="005C4651" w:rsidRPr="008D6C1E">
        <w:rPr>
          <w:sz w:val="20"/>
          <w:lang w:val="en-CA" w:eastAsia="en-CA"/>
        </w:rPr>
        <w:t xml:space="preserve"> </w:t>
      </w:r>
      <w:r w:rsidR="005C4651" w:rsidRPr="008D6C1E">
        <w:rPr>
          <w:sz w:val="20"/>
          <w:lang w:val="en-CA"/>
        </w:rPr>
        <w:t>(</w:t>
      </w:r>
      <w:hyperlink r:id="rId10" w:history="1">
        <w:r w:rsidR="005C4651" w:rsidRPr="008D6C1E">
          <w:rPr>
            <w:rStyle w:val="Hyperlink"/>
            <w:sz w:val="20"/>
            <w:lang w:val="en-CA"/>
          </w:rPr>
          <w:t>36805</w:t>
        </w:r>
      </w:hyperlink>
      <w:r w:rsidR="005C4651" w:rsidRPr="008D6C1E">
        <w:rPr>
          <w:sz w:val="20"/>
          <w:lang w:val="en-CA"/>
        </w:rPr>
        <w:t>)</w:t>
      </w:r>
    </w:p>
    <w:p w:rsidR="00372E91" w:rsidRPr="008D6C1E" w:rsidRDefault="00372E91" w:rsidP="00FE5051">
      <w:pPr>
        <w:tabs>
          <w:tab w:val="center" w:pos="720"/>
        </w:tabs>
        <w:ind w:left="360" w:hanging="360"/>
        <w:rPr>
          <w:sz w:val="20"/>
          <w:lang w:val="en-CA"/>
        </w:rPr>
      </w:pPr>
    </w:p>
    <w:p w:rsidR="00372E91" w:rsidRPr="008D6C1E" w:rsidRDefault="00372E91" w:rsidP="00FE5051">
      <w:pPr>
        <w:pStyle w:val="ListParagraph"/>
        <w:numPr>
          <w:ilvl w:val="0"/>
          <w:numId w:val="23"/>
        </w:numPr>
        <w:ind w:left="360"/>
        <w:rPr>
          <w:sz w:val="20"/>
          <w:lang w:val="en-CA" w:eastAsia="en-CA"/>
        </w:rPr>
      </w:pPr>
      <w:r w:rsidRPr="008D6C1E">
        <w:rPr>
          <w:i/>
          <w:sz w:val="20"/>
          <w:lang w:val="en-CA" w:eastAsia="en-CA"/>
        </w:rPr>
        <w:t>Barry David Brown v. Her Majesty the Queen</w:t>
      </w:r>
      <w:r w:rsidRPr="008D6C1E">
        <w:rPr>
          <w:sz w:val="20"/>
          <w:lang w:val="en-CA" w:eastAsia="en-CA"/>
        </w:rPr>
        <w:t xml:space="preserve"> (Alta.) (Criminal) (By Leave)</w:t>
      </w:r>
      <w:r w:rsidR="005C4651" w:rsidRPr="008D6C1E">
        <w:rPr>
          <w:sz w:val="20"/>
          <w:lang w:val="en-CA" w:eastAsia="en-CA"/>
        </w:rPr>
        <w:t xml:space="preserve"> </w:t>
      </w:r>
      <w:r w:rsidR="005C4651" w:rsidRPr="008D6C1E">
        <w:rPr>
          <w:sz w:val="20"/>
          <w:lang w:val="en-CA"/>
        </w:rPr>
        <w:t>(</w:t>
      </w:r>
      <w:hyperlink r:id="rId11" w:history="1">
        <w:r w:rsidR="005C4651" w:rsidRPr="008D6C1E">
          <w:rPr>
            <w:rStyle w:val="Hyperlink"/>
            <w:sz w:val="20"/>
            <w:lang w:val="en-CA"/>
          </w:rPr>
          <w:t>36780</w:t>
        </w:r>
      </w:hyperlink>
      <w:r w:rsidR="005C4651" w:rsidRPr="008D6C1E">
        <w:rPr>
          <w:sz w:val="20"/>
          <w:lang w:val="en-CA"/>
        </w:rPr>
        <w:t>)</w:t>
      </w:r>
    </w:p>
    <w:p w:rsidR="00372E91" w:rsidRPr="008D6C1E" w:rsidRDefault="00372E91" w:rsidP="00FE5051">
      <w:pPr>
        <w:ind w:left="360" w:hanging="360"/>
        <w:rPr>
          <w:sz w:val="20"/>
          <w:lang w:val="en-CA" w:eastAsia="en-CA"/>
        </w:rPr>
      </w:pPr>
    </w:p>
    <w:p w:rsidR="00372E91" w:rsidRPr="008D6C1E" w:rsidRDefault="00372E91" w:rsidP="00FE5051">
      <w:pPr>
        <w:pStyle w:val="ListParagraph"/>
        <w:numPr>
          <w:ilvl w:val="0"/>
          <w:numId w:val="23"/>
        </w:numPr>
        <w:ind w:left="360"/>
        <w:rPr>
          <w:sz w:val="20"/>
          <w:lang w:val="en-CA" w:eastAsia="en-CA"/>
        </w:rPr>
      </w:pPr>
      <w:r w:rsidRPr="008D6C1E">
        <w:rPr>
          <w:i/>
          <w:sz w:val="20"/>
          <w:lang w:val="en-CA" w:eastAsia="en-CA"/>
        </w:rPr>
        <w:t>Ad Hoc Group of Bondholders v. Ernst &amp; Young Inc. in its capacity as Monitor et al.</w:t>
      </w:r>
      <w:r w:rsidRPr="008D6C1E">
        <w:rPr>
          <w:sz w:val="20"/>
          <w:lang w:val="en-CA" w:eastAsia="en-CA"/>
        </w:rPr>
        <w:t xml:space="preserve"> (Ont.) (Civil) (By Leave)</w:t>
      </w:r>
      <w:r w:rsidR="00203D33" w:rsidRPr="008D6C1E">
        <w:rPr>
          <w:sz w:val="20"/>
          <w:lang w:val="en-CA" w:eastAsia="en-CA"/>
        </w:rPr>
        <w:t xml:space="preserve"> </w:t>
      </w:r>
      <w:r w:rsidR="00203D33" w:rsidRPr="008D6C1E">
        <w:rPr>
          <w:sz w:val="20"/>
          <w:lang w:val="en-CA"/>
        </w:rPr>
        <w:t>(</w:t>
      </w:r>
      <w:hyperlink r:id="rId12" w:history="1">
        <w:r w:rsidR="00203D33" w:rsidRPr="008D6C1E">
          <w:rPr>
            <w:rStyle w:val="Hyperlink"/>
            <w:sz w:val="20"/>
            <w:lang w:val="en-CA"/>
          </w:rPr>
          <w:t>36778</w:t>
        </w:r>
      </w:hyperlink>
      <w:r w:rsidR="00203D33" w:rsidRPr="008D6C1E">
        <w:rPr>
          <w:sz w:val="20"/>
          <w:lang w:val="en-CA"/>
        </w:rPr>
        <w:t>)</w:t>
      </w:r>
    </w:p>
    <w:p w:rsidR="00372E91" w:rsidRPr="008D6C1E" w:rsidRDefault="00372E91" w:rsidP="00FE5051">
      <w:pPr>
        <w:ind w:left="360" w:hanging="360"/>
        <w:rPr>
          <w:sz w:val="20"/>
          <w:lang w:val="en-CA" w:eastAsia="en-CA"/>
        </w:rPr>
      </w:pPr>
    </w:p>
    <w:p w:rsidR="00372E91" w:rsidRPr="008D6C1E" w:rsidRDefault="00372E91" w:rsidP="00FE5051">
      <w:pPr>
        <w:pStyle w:val="ListParagraph"/>
        <w:numPr>
          <w:ilvl w:val="0"/>
          <w:numId w:val="23"/>
        </w:numPr>
        <w:ind w:left="360"/>
        <w:rPr>
          <w:sz w:val="20"/>
          <w:lang w:val="en-CA" w:eastAsia="en-CA"/>
        </w:rPr>
      </w:pPr>
      <w:r w:rsidRPr="008D6C1E">
        <w:rPr>
          <w:i/>
          <w:sz w:val="20"/>
          <w:lang w:val="en-CA" w:eastAsia="en-CA"/>
        </w:rPr>
        <w:t>Hawkeye Power Corporation v. Sigma Engineering Ltd. et al</w:t>
      </w:r>
      <w:r w:rsidRPr="008D6C1E">
        <w:rPr>
          <w:sz w:val="20"/>
          <w:lang w:val="en-CA" w:eastAsia="en-CA"/>
        </w:rPr>
        <w:t>. (B.C.) (Civil) (By Leave)</w:t>
      </w:r>
      <w:r w:rsidR="00203D33" w:rsidRPr="008D6C1E">
        <w:rPr>
          <w:sz w:val="20"/>
          <w:lang w:val="en-CA" w:eastAsia="en-CA"/>
        </w:rPr>
        <w:t xml:space="preserve"> </w:t>
      </w:r>
      <w:r w:rsidR="00203D33" w:rsidRPr="008D6C1E">
        <w:rPr>
          <w:sz w:val="20"/>
          <w:lang w:val="en-CA"/>
        </w:rPr>
        <w:t>(</w:t>
      </w:r>
      <w:hyperlink r:id="rId13" w:history="1">
        <w:r w:rsidR="00203D33" w:rsidRPr="008D6C1E">
          <w:rPr>
            <w:rStyle w:val="Hyperlink"/>
            <w:sz w:val="20"/>
            <w:lang w:val="en-CA"/>
          </w:rPr>
          <w:t>36797</w:t>
        </w:r>
      </w:hyperlink>
      <w:r w:rsidR="00203D33" w:rsidRPr="008D6C1E">
        <w:rPr>
          <w:sz w:val="20"/>
          <w:lang w:val="en-CA"/>
        </w:rPr>
        <w:t>)</w:t>
      </w:r>
    </w:p>
    <w:p w:rsidR="00372E91" w:rsidRPr="008D6C1E" w:rsidRDefault="00372E91" w:rsidP="00FE5051">
      <w:pPr>
        <w:ind w:left="360" w:hanging="360"/>
        <w:rPr>
          <w:sz w:val="20"/>
          <w:lang w:val="en-CA" w:eastAsia="en-CA"/>
        </w:rPr>
      </w:pPr>
    </w:p>
    <w:p w:rsidR="00372E91" w:rsidRPr="008D6C1E" w:rsidRDefault="00372E91" w:rsidP="00FE5051">
      <w:pPr>
        <w:pStyle w:val="ListParagraph"/>
        <w:numPr>
          <w:ilvl w:val="0"/>
          <w:numId w:val="23"/>
        </w:numPr>
        <w:ind w:left="360"/>
        <w:rPr>
          <w:sz w:val="20"/>
          <w:lang w:val="en-CA" w:eastAsia="en-CA"/>
        </w:rPr>
      </w:pPr>
      <w:r w:rsidRPr="008D6C1E">
        <w:rPr>
          <w:i/>
          <w:sz w:val="20"/>
          <w:lang w:val="en-CA" w:eastAsia="en-CA"/>
        </w:rPr>
        <w:t>Martin Green v. University of Winnipeg</w:t>
      </w:r>
      <w:r w:rsidRPr="008D6C1E">
        <w:rPr>
          <w:sz w:val="20"/>
          <w:lang w:val="en-CA" w:eastAsia="en-CA"/>
        </w:rPr>
        <w:t xml:space="preserve"> (Man.) (Civil) (By Leave)</w:t>
      </w:r>
      <w:r w:rsidR="00203D33" w:rsidRPr="008D6C1E">
        <w:rPr>
          <w:sz w:val="20"/>
          <w:lang w:val="en-CA" w:eastAsia="en-CA"/>
        </w:rPr>
        <w:t xml:space="preserve"> </w:t>
      </w:r>
      <w:r w:rsidR="00203D33" w:rsidRPr="008D6C1E">
        <w:rPr>
          <w:sz w:val="20"/>
          <w:lang w:val="en-CA"/>
        </w:rPr>
        <w:t>(</w:t>
      </w:r>
      <w:hyperlink r:id="rId14" w:history="1">
        <w:r w:rsidR="00203D33" w:rsidRPr="008D6C1E">
          <w:rPr>
            <w:rStyle w:val="Hyperlink"/>
            <w:sz w:val="20"/>
            <w:lang w:val="en-CA"/>
          </w:rPr>
          <w:t>36819</w:t>
        </w:r>
      </w:hyperlink>
      <w:r w:rsidR="00203D33" w:rsidRPr="008D6C1E">
        <w:rPr>
          <w:sz w:val="20"/>
          <w:lang w:val="en-CA"/>
        </w:rPr>
        <w:t>)</w:t>
      </w:r>
    </w:p>
    <w:p w:rsidR="00372E91" w:rsidRPr="008D6C1E" w:rsidRDefault="00372E91" w:rsidP="00FE5051">
      <w:pPr>
        <w:ind w:left="360" w:hanging="360"/>
        <w:rPr>
          <w:sz w:val="20"/>
          <w:lang w:val="en-CA" w:eastAsia="en-CA"/>
        </w:rPr>
      </w:pPr>
    </w:p>
    <w:p w:rsidR="00372E91" w:rsidRPr="008D6C1E" w:rsidRDefault="00372E91" w:rsidP="00FE5051">
      <w:pPr>
        <w:pStyle w:val="ListParagraph"/>
        <w:numPr>
          <w:ilvl w:val="0"/>
          <w:numId w:val="23"/>
        </w:numPr>
        <w:ind w:left="360"/>
        <w:rPr>
          <w:sz w:val="20"/>
          <w:lang w:val="en-CA" w:eastAsia="en-CA"/>
        </w:rPr>
      </w:pPr>
      <w:r w:rsidRPr="008D6C1E">
        <w:rPr>
          <w:i/>
          <w:sz w:val="20"/>
          <w:lang w:val="en-CA" w:eastAsia="en-CA"/>
        </w:rPr>
        <w:t>Virginia Forsythe v. Her Majesty the Queen</w:t>
      </w:r>
      <w:r w:rsidRPr="008D6C1E">
        <w:rPr>
          <w:sz w:val="20"/>
          <w:lang w:val="en-CA" w:eastAsia="en-CA"/>
        </w:rPr>
        <w:t xml:space="preserve"> (F</w:t>
      </w:r>
      <w:r w:rsidR="00DB06D2" w:rsidRPr="008D6C1E">
        <w:rPr>
          <w:sz w:val="20"/>
          <w:lang w:val="en-CA" w:eastAsia="en-CA"/>
        </w:rPr>
        <w:t>.</w:t>
      </w:r>
      <w:r w:rsidRPr="008D6C1E">
        <w:rPr>
          <w:sz w:val="20"/>
          <w:lang w:val="en-CA" w:eastAsia="en-CA"/>
        </w:rPr>
        <w:t>C</w:t>
      </w:r>
      <w:r w:rsidR="00DB06D2" w:rsidRPr="008D6C1E">
        <w:rPr>
          <w:sz w:val="20"/>
          <w:lang w:val="en-CA" w:eastAsia="en-CA"/>
        </w:rPr>
        <w:t>.</w:t>
      </w:r>
      <w:r w:rsidRPr="008D6C1E">
        <w:rPr>
          <w:sz w:val="20"/>
          <w:lang w:val="en-CA" w:eastAsia="en-CA"/>
        </w:rPr>
        <w:t>) (Civil) (By Leave)</w:t>
      </w:r>
      <w:r w:rsidR="00203D33" w:rsidRPr="008D6C1E">
        <w:rPr>
          <w:sz w:val="20"/>
          <w:lang w:val="en-CA" w:eastAsia="en-CA"/>
        </w:rPr>
        <w:t xml:space="preserve"> </w:t>
      </w:r>
      <w:r w:rsidR="00203D33" w:rsidRPr="008D6C1E">
        <w:rPr>
          <w:sz w:val="20"/>
          <w:lang w:val="en-CA"/>
        </w:rPr>
        <w:t>(</w:t>
      </w:r>
      <w:hyperlink r:id="rId15" w:history="1">
        <w:r w:rsidR="00203D33" w:rsidRPr="008D6C1E">
          <w:rPr>
            <w:rStyle w:val="Hyperlink"/>
            <w:sz w:val="20"/>
            <w:lang w:val="en-CA"/>
          </w:rPr>
          <w:t>36806</w:t>
        </w:r>
      </w:hyperlink>
      <w:r w:rsidR="00203D33" w:rsidRPr="008D6C1E">
        <w:rPr>
          <w:sz w:val="20"/>
          <w:lang w:val="en-CA"/>
        </w:rPr>
        <w:t>)</w:t>
      </w:r>
    </w:p>
    <w:p w:rsidR="00372E91" w:rsidRPr="008D6C1E" w:rsidRDefault="00372E91" w:rsidP="00FE5051">
      <w:pPr>
        <w:pStyle w:val="ListParagraph"/>
        <w:ind w:left="360" w:hanging="360"/>
        <w:rPr>
          <w:sz w:val="20"/>
          <w:szCs w:val="20"/>
          <w:lang w:val="en-CA" w:eastAsia="en-CA"/>
        </w:rPr>
      </w:pPr>
    </w:p>
    <w:p w:rsidR="00372E91" w:rsidRPr="008D6C1E" w:rsidRDefault="00372E91" w:rsidP="00FE5051">
      <w:pPr>
        <w:pStyle w:val="ListParagraph"/>
        <w:numPr>
          <w:ilvl w:val="0"/>
          <w:numId w:val="23"/>
        </w:numPr>
        <w:ind w:left="360"/>
        <w:rPr>
          <w:sz w:val="20"/>
          <w:lang w:val="en-CA" w:eastAsia="en-CA"/>
        </w:rPr>
      </w:pPr>
      <w:r w:rsidRPr="008D6C1E">
        <w:rPr>
          <w:i/>
          <w:sz w:val="20"/>
          <w:lang w:val="en-CA" w:eastAsia="en-CA"/>
        </w:rPr>
        <w:t xml:space="preserve">Luciano </w:t>
      </w:r>
      <w:proofErr w:type="spellStart"/>
      <w:r w:rsidRPr="008D6C1E">
        <w:rPr>
          <w:i/>
          <w:sz w:val="20"/>
          <w:lang w:val="en-CA" w:eastAsia="en-CA"/>
        </w:rPr>
        <w:t>Branco</w:t>
      </w:r>
      <w:proofErr w:type="spellEnd"/>
      <w:r w:rsidRPr="008D6C1E">
        <w:rPr>
          <w:i/>
          <w:sz w:val="20"/>
          <w:lang w:val="en-CA" w:eastAsia="en-CA"/>
        </w:rPr>
        <w:t xml:space="preserve"> v. Zurich Life Insurance Company Limited et al.</w:t>
      </w:r>
      <w:r w:rsidRPr="008D6C1E">
        <w:rPr>
          <w:sz w:val="20"/>
          <w:lang w:val="en-CA" w:eastAsia="en-CA"/>
        </w:rPr>
        <w:t xml:space="preserve"> (Sask.) (Civil) (By Leave)</w:t>
      </w:r>
      <w:r w:rsidR="00203D33" w:rsidRPr="008D6C1E">
        <w:rPr>
          <w:sz w:val="20"/>
          <w:lang w:val="en-CA" w:eastAsia="en-CA"/>
        </w:rPr>
        <w:t xml:space="preserve"> </w:t>
      </w:r>
      <w:r w:rsidR="00203D33" w:rsidRPr="008D6C1E">
        <w:rPr>
          <w:sz w:val="20"/>
          <w:lang w:val="en-CA"/>
        </w:rPr>
        <w:t>(</w:t>
      </w:r>
      <w:hyperlink r:id="rId16" w:history="1">
        <w:r w:rsidR="00203D33" w:rsidRPr="008D6C1E">
          <w:rPr>
            <w:rStyle w:val="Hyperlink"/>
            <w:sz w:val="20"/>
            <w:lang w:val="en-CA"/>
          </w:rPr>
          <w:t>36696</w:t>
        </w:r>
      </w:hyperlink>
      <w:r w:rsidR="00203D33" w:rsidRPr="008D6C1E">
        <w:rPr>
          <w:sz w:val="20"/>
          <w:lang w:val="en-CA"/>
        </w:rPr>
        <w:t>)</w:t>
      </w:r>
    </w:p>
    <w:p w:rsidR="00372E91" w:rsidRPr="008D6C1E" w:rsidRDefault="00372E91" w:rsidP="00FE5051">
      <w:pPr>
        <w:ind w:left="360" w:hanging="360"/>
        <w:rPr>
          <w:sz w:val="20"/>
          <w:lang w:val="en-CA" w:eastAsia="en-CA"/>
        </w:rPr>
      </w:pPr>
    </w:p>
    <w:p w:rsidR="000E5E17" w:rsidRPr="008D6C1E" w:rsidRDefault="00372E91" w:rsidP="00FE5051">
      <w:pPr>
        <w:pStyle w:val="ListParagraph"/>
        <w:numPr>
          <w:ilvl w:val="0"/>
          <w:numId w:val="23"/>
        </w:numPr>
        <w:ind w:left="360"/>
        <w:rPr>
          <w:sz w:val="20"/>
          <w:lang w:val="en-CA" w:eastAsia="en-CA"/>
        </w:rPr>
      </w:pPr>
      <w:r w:rsidRPr="008D6C1E">
        <w:rPr>
          <w:i/>
          <w:sz w:val="20"/>
          <w:lang w:val="en-CA" w:eastAsia="en-CA"/>
        </w:rPr>
        <w:t>Scott Diamond v. Her Majesty the Queen in Right of Newfoundland and Labrador et al.</w:t>
      </w:r>
      <w:r w:rsidRPr="008D6C1E">
        <w:rPr>
          <w:sz w:val="20"/>
          <w:lang w:val="en-CA" w:eastAsia="en-CA"/>
        </w:rPr>
        <w:t xml:space="preserve"> (N.L.) (Criminal)</w:t>
      </w:r>
    </w:p>
    <w:p w:rsidR="00372E91" w:rsidRPr="008D6C1E" w:rsidRDefault="00372E91" w:rsidP="000E5E17">
      <w:pPr>
        <w:pStyle w:val="ListParagraph"/>
        <w:ind w:left="360"/>
        <w:rPr>
          <w:sz w:val="20"/>
          <w:lang w:val="en-CA" w:eastAsia="en-CA"/>
        </w:rPr>
      </w:pPr>
      <w:r w:rsidRPr="008D6C1E">
        <w:rPr>
          <w:sz w:val="20"/>
          <w:lang w:val="en-CA" w:eastAsia="en-CA"/>
        </w:rPr>
        <w:t>(As of Right</w:t>
      </w:r>
      <w:r w:rsidR="000E5E17" w:rsidRPr="008D6C1E">
        <w:rPr>
          <w:sz w:val="20"/>
          <w:lang w:val="en-CA" w:eastAsia="en-CA"/>
        </w:rPr>
        <w:t xml:space="preserve"> / By Leave</w:t>
      </w:r>
      <w:r w:rsidRPr="008D6C1E">
        <w:rPr>
          <w:sz w:val="20"/>
          <w:lang w:val="en-CA" w:eastAsia="en-CA"/>
        </w:rPr>
        <w:t>)</w:t>
      </w:r>
      <w:r w:rsidR="00203D33" w:rsidRPr="008D6C1E">
        <w:rPr>
          <w:sz w:val="20"/>
          <w:lang w:val="en-CA" w:eastAsia="en-CA"/>
        </w:rPr>
        <w:t xml:space="preserve"> </w:t>
      </w:r>
      <w:r w:rsidR="00203D33" w:rsidRPr="008D6C1E">
        <w:rPr>
          <w:sz w:val="20"/>
          <w:lang w:val="en-CA"/>
        </w:rPr>
        <w:t>(</w:t>
      </w:r>
      <w:hyperlink r:id="rId17" w:history="1">
        <w:r w:rsidR="00203D33" w:rsidRPr="008D6C1E">
          <w:rPr>
            <w:rStyle w:val="Hyperlink"/>
            <w:sz w:val="20"/>
            <w:lang w:val="en-CA"/>
          </w:rPr>
          <w:t>36816</w:t>
        </w:r>
      </w:hyperlink>
      <w:r w:rsidR="00203D33" w:rsidRPr="008D6C1E">
        <w:rPr>
          <w:sz w:val="20"/>
          <w:lang w:val="en-CA"/>
        </w:rPr>
        <w:t>)</w:t>
      </w:r>
    </w:p>
    <w:p w:rsidR="00E52A08" w:rsidRPr="002C1A32" w:rsidRDefault="00E52A08" w:rsidP="00FE5051">
      <w:pPr>
        <w:widowControl w:val="0"/>
        <w:ind w:left="360" w:hanging="360"/>
        <w:rPr>
          <w:sz w:val="20"/>
          <w:lang w:eastAsia="en-CA"/>
        </w:rPr>
      </w:pPr>
    </w:p>
    <w:p w:rsidR="00372E91" w:rsidRPr="008D6C1E" w:rsidRDefault="00372E91" w:rsidP="00FE5051">
      <w:pPr>
        <w:pStyle w:val="ListParagraph"/>
        <w:numPr>
          <w:ilvl w:val="0"/>
          <w:numId w:val="23"/>
        </w:numPr>
        <w:ind w:left="360"/>
        <w:rPr>
          <w:rFonts w:eastAsiaTheme="minorHAnsi" w:cstheme="minorBidi"/>
          <w:sz w:val="20"/>
          <w:lang w:val="en-CA"/>
        </w:rPr>
      </w:pPr>
      <w:r w:rsidRPr="008D6C1E">
        <w:rPr>
          <w:rFonts w:eastAsiaTheme="minorHAnsi" w:cstheme="minorBidi"/>
          <w:bCs/>
          <w:i/>
          <w:iCs/>
          <w:sz w:val="20"/>
          <w:lang w:val="en-CA"/>
        </w:rPr>
        <w:t>Campbell Ernest Crichton v. Her Majesty the Queen</w:t>
      </w:r>
      <w:r w:rsidRPr="008D6C1E">
        <w:rPr>
          <w:rFonts w:eastAsiaTheme="minorHAnsi" w:cstheme="minorBidi"/>
          <w:sz w:val="20"/>
          <w:lang w:val="en-CA"/>
        </w:rPr>
        <w:t xml:space="preserve"> (B.C.) (Criminal) (By Leave)</w:t>
      </w:r>
      <w:r w:rsidR="008F75F1" w:rsidRPr="008D6C1E">
        <w:rPr>
          <w:rFonts w:eastAsiaTheme="minorHAnsi" w:cstheme="minorBidi"/>
          <w:sz w:val="20"/>
          <w:lang w:val="en-CA"/>
        </w:rPr>
        <w:t xml:space="preserve"> </w:t>
      </w:r>
      <w:r w:rsidR="008F75F1" w:rsidRPr="008D6C1E">
        <w:rPr>
          <w:sz w:val="20"/>
          <w:lang w:val="en-CA"/>
        </w:rPr>
        <w:t>(</w:t>
      </w:r>
      <w:hyperlink r:id="rId18" w:history="1">
        <w:r w:rsidR="008F75F1" w:rsidRPr="008D6C1E">
          <w:rPr>
            <w:rStyle w:val="Hyperlink"/>
            <w:sz w:val="20"/>
            <w:lang w:val="en-CA"/>
          </w:rPr>
          <w:t>36690</w:t>
        </w:r>
      </w:hyperlink>
      <w:r w:rsidR="008F75F1" w:rsidRPr="008D6C1E">
        <w:rPr>
          <w:sz w:val="20"/>
          <w:lang w:val="en-CA"/>
        </w:rPr>
        <w:t>)</w:t>
      </w:r>
    </w:p>
    <w:p w:rsidR="00372E91" w:rsidRPr="008D6C1E" w:rsidRDefault="00372E91" w:rsidP="00FE5051">
      <w:pPr>
        <w:ind w:left="360" w:hanging="360"/>
        <w:rPr>
          <w:sz w:val="20"/>
          <w:u w:val="single"/>
          <w:lang w:val="en-CA"/>
        </w:rPr>
      </w:pPr>
    </w:p>
    <w:p w:rsidR="00372E91" w:rsidRPr="008D6C1E" w:rsidRDefault="00372E91" w:rsidP="00FE5051">
      <w:pPr>
        <w:pStyle w:val="SCCAppellantInfoAppellantInfo"/>
        <w:numPr>
          <w:ilvl w:val="0"/>
          <w:numId w:val="23"/>
        </w:numPr>
        <w:ind w:left="360"/>
        <w:rPr>
          <w:sz w:val="20"/>
          <w:szCs w:val="20"/>
          <w:lang w:val="fr-FR"/>
        </w:rPr>
      </w:pPr>
      <w:r w:rsidRPr="008D6C1E">
        <w:rPr>
          <w:bCs/>
          <w:i/>
          <w:iCs/>
          <w:sz w:val="20"/>
          <w:szCs w:val="20"/>
          <w:lang w:val="fr-CA"/>
        </w:rPr>
        <w:t>S.P.M. c. Procureure générale du Québec et a</w:t>
      </w:r>
      <w:r w:rsidR="00495CE9" w:rsidRPr="008D6C1E">
        <w:rPr>
          <w:bCs/>
          <w:i/>
          <w:iCs/>
          <w:sz w:val="20"/>
          <w:szCs w:val="20"/>
          <w:lang w:val="fr-CA"/>
        </w:rPr>
        <w:t>utre</w:t>
      </w:r>
      <w:r w:rsidRPr="008D6C1E">
        <w:rPr>
          <w:sz w:val="20"/>
          <w:szCs w:val="20"/>
          <w:lang w:val="fr-CA"/>
        </w:rPr>
        <w:t xml:space="preserve"> </w:t>
      </w:r>
      <w:r w:rsidRPr="008D6C1E">
        <w:rPr>
          <w:sz w:val="20"/>
          <w:szCs w:val="20"/>
          <w:lang w:val="fr-FR"/>
        </w:rPr>
        <w:t>(</w:t>
      </w:r>
      <w:proofErr w:type="spellStart"/>
      <w:r w:rsidRPr="008D6C1E">
        <w:rPr>
          <w:sz w:val="20"/>
          <w:szCs w:val="20"/>
          <w:lang w:val="fr-FR"/>
        </w:rPr>
        <w:t>Qc</w:t>
      </w:r>
      <w:proofErr w:type="spellEnd"/>
      <w:r w:rsidRPr="008D6C1E">
        <w:rPr>
          <w:sz w:val="20"/>
          <w:szCs w:val="20"/>
          <w:lang w:val="fr-FR"/>
        </w:rPr>
        <w:t>) (Civile) (Autorisation)</w:t>
      </w:r>
      <w:r w:rsidR="005D370F" w:rsidRPr="008D6C1E">
        <w:rPr>
          <w:sz w:val="20"/>
          <w:szCs w:val="20"/>
          <w:lang w:val="fr-FR"/>
        </w:rPr>
        <w:t xml:space="preserve"> </w:t>
      </w:r>
      <w:r w:rsidR="005D370F" w:rsidRPr="008D6C1E">
        <w:rPr>
          <w:sz w:val="20"/>
          <w:lang w:val="fr-FR" w:eastAsia="en-CA"/>
        </w:rPr>
        <w:t>(</w:t>
      </w:r>
      <w:hyperlink r:id="rId19" w:history="1">
        <w:r w:rsidR="005D370F" w:rsidRPr="008D6C1E">
          <w:rPr>
            <w:rStyle w:val="Hyperlink"/>
            <w:sz w:val="20"/>
            <w:lang w:val="fr-FR" w:eastAsia="en-CA"/>
          </w:rPr>
          <w:t>36794</w:t>
        </w:r>
      </w:hyperlink>
      <w:r w:rsidR="005D370F" w:rsidRPr="008D6C1E">
        <w:rPr>
          <w:sz w:val="20"/>
          <w:lang w:val="fr-FR" w:eastAsia="en-CA"/>
        </w:rPr>
        <w:t>)</w:t>
      </w:r>
    </w:p>
    <w:p w:rsidR="00372E91" w:rsidRPr="008D6C1E" w:rsidRDefault="00372E91" w:rsidP="00FE5051">
      <w:pPr>
        <w:ind w:left="360" w:hanging="360"/>
        <w:rPr>
          <w:sz w:val="20"/>
          <w:u w:val="single"/>
          <w:lang w:val="fr-FR"/>
        </w:rPr>
      </w:pPr>
    </w:p>
    <w:p w:rsidR="00372E91" w:rsidRPr="002C1A32" w:rsidRDefault="00372E91" w:rsidP="00FE5051">
      <w:pPr>
        <w:pStyle w:val="SCCAppellantInfoAppellantInfo"/>
        <w:numPr>
          <w:ilvl w:val="0"/>
          <w:numId w:val="23"/>
        </w:numPr>
        <w:ind w:left="360"/>
        <w:rPr>
          <w:sz w:val="20"/>
          <w:szCs w:val="20"/>
          <w:lang w:val="fr-CA"/>
        </w:rPr>
      </w:pPr>
      <w:r w:rsidRPr="008D6C1E">
        <w:rPr>
          <w:bCs/>
          <w:i/>
          <w:iCs/>
          <w:sz w:val="20"/>
          <w:szCs w:val="20"/>
          <w:lang w:val="fr-CA"/>
        </w:rPr>
        <w:lastRenderedPageBreak/>
        <w:t>Procureur général du Canada et a</w:t>
      </w:r>
      <w:r w:rsidR="00495CE9" w:rsidRPr="008D6C1E">
        <w:rPr>
          <w:bCs/>
          <w:i/>
          <w:iCs/>
          <w:sz w:val="20"/>
          <w:szCs w:val="20"/>
          <w:lang w:val="fr-CA"/>
        </w:rPr>
        <w:t>utre</w:t>
      </w:r>
      <w:r w:rsidRPr="008D6C1E">
        <w:rPr>
          <w:bCs/>
          <w:i/>
          <w:iCs/>
          <w:sz w:val="20"/>
          <w:szCs w:val="20"/>
          <w:lang w:val="fr-CA"/>
        </w:rPr>
        <w:t xml:space="preserve"> c. Benoît </w:t>
      </w:r>
      <w:proofErr w:type="spellStart"/>
      <w:r w:rsidRPr="008D6C1E">
        <w:rPr>
          <w:bCs/>
          <w:i/>
          <w:iCs/>
          <w:sz w:val="20"/>
          <w:szCs w:val="20"/>
          <w:lang w:val="fr-CA"/>
        </w:rPr>
        <w:t>Way</w:t>
      </w:r>
      <w:proofErr w:type="spellEnd"/>
      <w:r w:rsidRPr="008D6C1E">
        <w:rPr>
          <w:bCs/>
          <w:i/>
          <w:iCs/>
          <w:sz w:val="20"/>
          <w:szCs w:val="20"/>
          <w:lang w:val="fr-CA"/>
        </w:rPr>
        <w:t xml:space="preserve"> et a</w:t>
      </w:r>
      <w:r w:rsidR="00495CE9" w:rsidRPr="008D6C1E">
        <w:rPr>
          <w:bCs/>
          <w:i/>
          <w:iCs/>
          <w:sz w:val="20"/>
          <w:szCs w:val="20"/>
          <w:lang w:val="fr-CA"/>
        </w:rPr>
        <w:t>utre</w:t>
      </w:r>
      <w:r w:rsidRPr="008D6C1E">
        <w:rPr>
          <w:sz w:val="20"/>
          <w:szCs w:val="20"/>
          <w:lang w:val="fr-CA"/>
        </w:rPr>
        <w:t xml:space="preserve"> </w:t>
      </w:r>
      <w:r w:rsidRPr="002C1A32">
        <w:rPr>
          <w:sz w:val="20"/>
          <w:szCs w:val="20"/>
          <w:lang w:val="fr-CA"/>
        </w:rPr>
        <w:t>(</w:t>
      </w:r>
      <w:proofErr w:type="spellStart"/>
      <w:r w:rsidRPr="002C1A32">
        <w:rPr>
          <w:sz w:val="20"/>
          <w:szCs w:val="20"/>
          <w:lang w:val="fr-CA"/>
        </w:rPr>
        <w:t>Qc</w:t>
      </w:r>
      <w:proofErr w:type="spellEnd"/>
      <w:r w:rsidRPr="002C1A32">
        <w:rPr>
          <w:sz w:val="20"/>
          <w:szCs w:val="20"/>
          <w:lang w:val="fr-CA"/>
        </w:rPr>
        <w:t>)</w:t>
      </w:r>
      <w:r w:rsidR="00DB06D2" w:rsidRPr="002C1A32">
        <w:rPr>
          <w:sz w:val="20"/>
          <w:szCs w:val="20"/>
          <w:lang w:val="fr-CA"/>
        </w:rPr>
        <w:t xml:space="preserve"> </w:t>
      </w:r>
      <w:r w:rsidRPr="002C1A32">
        <w:rPr>
          <w:sz w:val="20"/>
          <w:szCs w:val="20"/>
          <w:lang w:val="fr-CA"/>
        </w:rPr>
        <w:t>(Civile) (Autorisation)</w:t>
      </w:r>
      <w:r w:rsidR="00D77016" w:rsidRPr="002C1A32">
        <w:rPr>
          <w:sz w:val="20"/>
          <w:szCs w:val="20"/>
          <w:lang w:val="fr-CA"/>
        </w:rPr>
        <w:t xml:space="preserve"> </w:t>
      </w:r>
      <w:r w:rsidR="00D77016" w:rsidRPr="008D6C1E">
        <w:rPr>
          <w:sz w:val="20"/>
          <w:lang w:val="fr-FR" w:eastAsia="en-CA"/>
        </w:rPr>
        <w:t>(</w:t>
      </w:r>
      <w:hyperlink r:id="rId20" w:history="1">
        <w:r w:rsidR="00D77016" w:rsidRPr="008D6C1E">
          <w:rPr>
            <w:rStyle w:val="Hyperlink"/>
            <w:sz w:val="20"/>
            <w:lang w:val="fr-FR" w:eastAsia="en-CA"/>
          </w:rPr>
          <w:t>36746</w:t>
        </w:r>
      </w:hyperlink>
      <w:r w:rsidR="00D77016" w:rsidRPr="008D6C1E">
        <w:rPr>
          <w:sz w:val="20"/>
          <w:lang w:val="fr-FR" w:eastAsia="en-CA"/>
        </w:rPr>
        <w:t>)</w:t>
      </w:r>
    </w:p>
    <w:p w:rsidR="00372E91" w:rsidRPr="002C1A32" w:rsidRDefault="00372E91" w:rsidP="00FE5051">
      <w:pPr>
        <w:widowControl w:val="0"/>
        <w:autoSpaceDE w:val="0"/>
        <w:autoSpaceDN w:val="0"/>
        <w:adjustRightInd w:val="0"/>
        <w:ind w:left="360" w:hanging="360"/>
        <w:rPr>
          <w:rFonts w:eastAsiaTheme="minorEastAsia"/>
          <w:sz w:val="20"/>
          <w:lang w:val="fr-CA"/>
        </w:rPr>
      </w:pPr>
    </w:p>
    <w:p w:rsidR="00372E91" w:rsidRPr="008D6C1E" w:rsidRDefault="00372E91" w:rsidP="00FE5051">
      <w:pPr>
        <w:pStyle w:val="ListParagraph"/>
        <w:numPr>
          <w:ilvl w:val="0"/>
          <w:numId w:val="23"/>
        </w:numPr>
        <w:ind w:left="360"/>
        <w:rPr>
          <w:rFonts w:eastAsia="Calibri"/>
          <w:sz w:val="20"/>
          <w:lang w:val="fr-FR"/>
        </w:rPr>
      </w:pPr>
      <w:r w:rsidRPr="008D6C1E">
        <w:rPr>
          <w:rFonts w:eastAsia="Calibri"/>
          <w:i/>
          <w:sz w:val="20"/>
          <w:lang w:val="en-CA"/>
        </w:rPr>
        <w:t xml:space="preserve">Prakash </w:t>
      </w:r>
      <w:proofErr w:type="spellStart"/>
      <w:r w:rsidRPr="008D6C1E">
        <w:rPr>
          <w:rFonts w:eastAsia="Calibri"/>
          <w:i/>
          <w:sz w:val="20"/>
          <w:lang w:val="en-CA"/>
        </w:rPr>
        <w:t>Sapra</w:t>
      </w:r>
      <w:proofErr w:type="spellEnd"/>
      <w:r w:rsidRPr="008D6C1E">
        <w:rPr>
          <w:rFonts w:eastAsia="Calibri"/>
          <w:i/>
          <w:sz w:val="20"/>
          <w:lang w:val="en-CA"/>
        </w:rPr>
        <w:t xml:space="preserve"> v. Her Majesty the Queen</w:t>
      </w:r>
      <w:r w:rsidRPr="008D6C1E">
        <w:rPr>
          <w:rFonts w:eastAsia="Calibri"/>
          <w:sz w:val="20"/>
          <w:lang w:val="en-CA"/>
        </w:rPr>
        <w:t xml:space="preserve"> (Ont.) </w:t>
      </w:r>
      <w:r w:rsidRPr="008D6C1E">
        <w:rPr>
          <w:rFonts w:eastAsia="Calibri"/>
          <w:sz w:val="20"/>
          <w:lang w:val="fr-FR"/>
        </w:rPr>
        <w:t>(</w:t>
      </w:r>
      <w:proofErr w:type="spellStart"/>
      <w:r w:rsidRPr="008D6C1E">
        <w:rPr>
          <w:rFonts w:eastAsia="Calibri"/>
          <w:sz w:val="20"/>
          <w:lang w:val="fr-FR"/>
        </w:rPr>
        <w:t>Criminal</w:t>
      </w:r>
      <w:proofErr w:type="spellEnd"/>
      <w:r w:rsidRPr="008D6C1E">
        <w:rPr>
          <w:rFonts w:eastAsia="Calibri"/>
          <w:sz w:val="20"/>
          <w:lang w:val="fr-FR"/>
        </w:rPr>
        <w:t xml:space="preserve">) (By </w:t>
      </w:r>
      <w:proofErr w:type="spellStart"/>
      <w:r w:rsidRPr="008D6C1E">
        <w:rPr>
          <w:rFonts w:eastAsia="Calibri"/>
          <w:sz w:val="20"/>
          <w:lang w:val="fr-FR"/>
        </w:rPr>
        <w:t>Leave</w:t>
      </w:r>
      <w:proofErr w:type="spellEnd"/>
      <w:r w:rsidRPr="008D6C1E">
        <w:rPr>
          <w:rFonts w:eastAsia="Calibri"/>
          <w:sz w:val="20"/>
          <w:lang w:val="fr-FR"/>
        </w:rPr>
        <w:t>)</w:t>
      </w:r>
      <w:r w:rsidR="005E0B86" w:rsidRPr="008D6C1E">
        <w:rPr>
          <w:rFonts w:eastAsia="Calibri"/>
          <w:sz w:val="20"/>
          <w:lang w:val="fr-FR"/>
        </w:rPr>
        <w:t xml:space="preserve"> </w:t>
      </w:r>
      <w:r w:rsidR="005E0B86" w:rsidRPr="008D6C1E">
        <w:rPr>
          <w:sz w:val="20"/>
          <w:lang w:val="en-CA"/>
        </w:rPr>
        <w:t>(</w:t>
      </w:r>
      <w:hyperlink r:id="rId21" w:history="1">
        <w:r w:rsidR="005E0B86" w:rsidRPr="008D6C1E">
          <w:rPr>
            <w:rStyle w:val="Hyperlink"/>
            <w:sz w:val="20"/>
            <w:lang w:val="en-CA"/>
          </w:rPr>
          <w:t>36599</w:t>
        </w:r>
      </w:hyperlink>
      <w:r w:rsidR="005E0B86" w:rsidRPr="008D6C1E">
        <w:rPr>
          <w:sz w:val="20"/>
          <w:lang w:val="en-CA"/>
        </w:rPr>
        <w:t>)</w:t>
      </w:r>
    </w:p>
    <w:p w:rsidR="00372E91" w:rsidRPr="008D6C1E" w:rsidRDefault="00372E91" w:rsidP="00FE5051">
      <w:pPr>
        <w:widowControl w:val="0"/>
        <w:autoSpaceDE w:val="0"/>
        <w:autoSpaceDN w:val="0"/>
        <w:adjustRightInd w:val="0"/>
        <w:ind w:left="360" w:hanging="360"/>
        <w:rPr>
          <w:sz w:val="20"/>
          <w:lang w:val="fr-FR"/>
        </w:rPr>
      </w:pPr>
    </w:p>
    <w:p w:rsidR="00372E91" w:rsidRPr="008D6C1E" w:rsidRDefault="00372E91" w:rsidP="00FE5051">
      <w:pPr>
        <w:pStyle w:val="ListParagraph"/>
        <w:numPr>
          <w:ilvl w:val="0"/>
          <w:numId w:val="23"/>
        </w:numPr>
        <w:ind w:left="360"/>
        <w:rPr>
          <w:rFonts w:eastAsia="Calibri"/>
          <w:sz w:val="20"/>
          <w:lang w:val="fr-CA"/>
        </w:rPr>
      </w:pPr>
      <w:r w:rsidRPr="008D6C1E">
        <w:rPr>
          <w:rFonts w:eastAsia="Calibri"/>
          <w:i/>
          <w:sz w:val="20"/>
          <w:lang w:val="fr-FR"/>
        </w:rPr>
        <w:t>Sébastien Paradis c. Procureur général du Canada</w:t>
      </w:r>
      <w:r w:rsidRPr="008D6C1E">
        <w:rPr>
          <w:rFonts w:eastAsia="Calibri"/>
          <w:sz w:val="20"/>
          <w:lang w:val="fr-CA"/>
        </w:rPr>
        <w:t xml:space="preserve"> (C</w:t>
      </w:r>
      <w:r w:rsidR="00DB06D2" w:rsidRPr="008D6C1E">
        <w:rPr>
          <w:rFonts w:eastAsia="Calibri"/>
          <w:sz w:val="20"/>
          <w:lang w:val="fr-CA"/>
        </w:rPr>
        <w:t>.</w:t>
      </w:r>
      <w:r w:rsidRPr="008D6C1E">
        <w:rPr>
          <w:rFonts w:eastAsia="Calibri"/>
          <w:sz w:val="20"/>
          <w:lang w:val="fr-CA"/>
        </w:rPr>
        <w:t>F</w:t>
      </w:r>
      <w:r w:rsidR="00DB06D2" w:rsidRPr="008D6C1E">
        <w:rPr>
          <w:rFonts w:eastAsia="Calibri"/>
          <w:sz w:val="20"/>
          <w:lang w:val="fr-CA"/>
        </w:rPr>
        <w:t>.</w:t>
      </w:r>
      <w:r w:rsidRPr="008D6C1E">
        <w:rPr>
          <w:rFonts w:eastAsia="Calibri"/>
          <w:sz w:val="20"/>
          <w:lang w:val="fr-CA"/>
        </w:rPr>
        <w:t>) (Civile) (Autorisation)</w:t>
      </w:r>
      <w:r w:rsidR="005D370F" w:rsidRPr="008D6C1E">
        <w:rPr>
          <w:rFonts w:eastAsia="Calibri"/>
          <w:sz w:val="20"/>
          <w:lang w:val="fr-CA"/>
        </w:rPr>
        <w:t xml:space="preserve"> </w:t>
      </w:r>
      <w:r w:rsidR="005D370F" w:rsidRPr="008D6C1E">
        <w:rPr>
          <w:sz w:val="20"/>
          <w:lang w:val="fr-FR" w:eastAsia="en-CA"/>
        </w:rPr>
        <w:t>(</w:t>
      </w:r>
      <w:hyperlink r:id="rId22" w:history="1">
        <w:r w:rsidR="005D370F" w:rsidRPr="008D6C1E">
          <w:rPr>
            <w:rStyle w:val="Hyperlink"/>
            <w:sz w:val="20"/>
            <w:lang w:val="fr-FR" w:eastAsia="en-CA"/>
          </w:rPr>
          <w:t>36789</w:t>
        </w:r>
      </w:hyperlink>
      <w:r w:rsidR="005D370F" w:rsidRPr="008D6C1E">
        <w:rPr>
          <w:sz w:val="20"/>
          <w:lang w:val="fr-FR" w:eastAsia="en-CA"/>
        </w:rPr>
        <w:t>)</w:t>
      </w:r>
    </w:p>
    <w:p w:rsidR="00372E91" w:rsidRPr="008D6C1E" w:rsidRDefault="00372E91" w:rsidP="00FE5051">
      <w:pPr>
        <w:widowControl w:val="0"/>
        <w:autoSpaceDE w:val="0"/>
        <w:autoSpaceDN w:val="0"/>
        <w:adjustRightInd w:val="0"/>
        <w:ind w:left="360" w:hanging="360"/>
        <w:rPr>
          <w:sz w:val="20"/>
          <w:lang w:val="fr-CA"/>
        </w:rPr>
      </w:pPr>
    </w:p>
    <w:p w:rsidR="00372E91" w:rsidRPr="008D6C1E" w:rsidRDefault="00372E91" w:rsidP="00FE5051">
      <w:pPr>
        <w:pStyle w:val="ListParagraph"/>
        <w:numPr>
          <w:ilvl w:val="0"/>
          <w:numId w:val="23"/>
        </w:numPr>
        <w:ind w:left="360"/>
        <w:rPr>
          <w:rFonts w:eastAsia="Calibri"/>
          <w:sz w:val="20"/>
          <w:lang w:val="en-CA"/>
        </w:rPr>
      </w:pPr>
      <w:r w:rsidRPr="008D6C1E">
        <w:rPr>
          <w:rFonts w:eastAsia="Calibri"/>
          <w:i/>
          <w:sz w:val="20"/>
          <w:lang w:val="en-CA"/>
        </w:rPr>
        <w:t xml:space="preserve">Robert </w:t>
      </w:r>
      <w:proofErr w:type="spellStart"/>
      <w:r w:rsidRPr="008D6C1E">
        <w:rPr>
          <w:rFonts w:eastAsia="Calibri"/>
          <w:i/>
          <w:sz w:val="20"/>
          <w:lang w:val="en-CA"/>
        </w:rPr>
        <w:t>Lavigne</w:t>
      </w:r>
      <w:proofErr w:type="spellEnd"/>
      <w:r w:rsidRPr="008D6C1E">
        <w:rPr>
          <w:rFonts w:eastAsia="Calibri"/>
          <w:i/>
          <w:sz w:val="20"/>
          <w:lang w:val="en-CA"/>
        </w:rPr>
        <w:t xml:space="preserve"> v. Canadian Human Rights Commission</w:t>
      </w:r>
      <w:r w:rsidRPr="008D6C1E">
        <w:rPr>
          <w:rFonts w:eastAsia="Calibri"/>
          <w:sz w:val="20"/>
          <w:lang w:val="en-CA"/>
        </w:rPr>
        <w:t xml:space="preserve"> (F</w:t>
      </w:r>
      <w:r w:rsidR="00DB06D2" w:rsidRPr="008D6C1E">
        <w:rPr>
          <w:rFonts w:eastAsia="Calibri"/>
          <w:sz w:val="20"/>
          <w:lang w:val="en-CA"/>
        </w:rPr>
        <w:t>.</w:t>
      </w:r>
      <w:r w:rsidRPr="008D6C1E">
        <w:rPr>
          <w:rFonts w:eastAsia="Calibri"/>
          <w:sz w:val="20"/>
          <w:lang w:val="en-CA"/>
        </w:rPr>
        <w:t>C</w:t>
      </w:r>
      <w:r w:rsidR="00DB06D2" w:rsidRPr="008D6C1E">
        <w:rPr>
          <w:rFonts w:eastAsia="Calibri"/>
          <w:sz w:val="20"/>
          <w:lang w:val="en-CA"/>
        </w:rPr>
        <w:t>.</w:t>
      </w:r>
      <w:r w:rsidRPr="008D6C1E">
        <w:rPr>
          <w:rFonts w:eastAsia="Calibri"/>
          <w:sz w:val="20"/>
          <w:lang w:val="en-CA"/>
        </w:rPr>
        <w:t>) (Civil) (By Leave)</w:t>
      </w:r>
      <w:r w:rsidR="005E0B86" w:rsidRPr="008D6C1E">
        <w:rPr>
          <w:rFonts w:eastAsia="Calibri"/>
          <w:sz w:val="20"/>
          <w:lang w:val="en-CA"/>
        </w:rPr>
        <w:t xml:space="preserve"> </w:t>
      </w:r>
      <w:r w:rsidR="005E0B86" w:rsidRPr="008D6C1E">
        <w:rPr>
          <w:sz w:val="20"/>
          <w:lang w:val="en-CA"/>
        </w:rPr>
        <w:t>(</w:t>
      </w:r>
      <w:hyperlink r:id="rId23" w:history="1">
        <w:r w:rsidR="005E0B86" w:rsidRPr="008D6C1E">
          <w:rPr>
            <w:rStyle w:val="Hyperlink"/>
            <w:sz w:val="20"/>
            <w:lang w:val="en-CA"/>
          </w:rPr>
          <w:t>36811</w:t>
        </w:r>
      </w:hyperlink>
      <w:r w:rsidR="005E0B86" w:rsidRPr="008D6C1E">
        <w:rPr>
          <w:sz w:val="20"/>
          <w:lang w:val="en-CA"/>
        </w:rPr>
        <w:t>)</w:t>
      </w:r>
    </w:p>
    <w:p w:rsidR="00372E91" w:rsidRPr="008D6C1E" w:rsidRDefault="00372E91" w:rsidP="00FE5051">
      <w:pPr>
        <w:widowControl w:val="0"/>
        <w:autoSpaceDE w:val="0"/>
        <w:autoSpaceDN w:val="0"/>
        <w:adjustRightInd w:val="0"/>
        <w:ind w:left="360" w:hanging="360"/>
        <w:rPr>
          <w:sz w:val="20"/>
          <w:lang w:val="en-CA"/>
        </w:rPr>
      </w:pPr>
    </w:p>
    <w:p w:rsidR="00372E91" w:rsidRPr="008D6C1E" w:rsidRDefault="00372E91" w:rsidP="00FE5051">
      <w:pPr>
        <w:pStyle w:val="ListParagraph"/>
        <w:numPr>
          <w:ilvl w:val="0"/>
          <w:numId w:val="23"/>
        </w:numPr>
        <w:ind w:left="360"/>
        <w:rPr>
          <w:rFonts w:eastAsia="Calibri"/>
          <w:sz w:val="20"/>
          <w:lang w:val="fr-CA"/>
        </w:rPr>
      </w:pPr>
      <w:r w:rsidRPr="008D6C1E">
        <w:rPr>
          <w:rFonts w:eastAsia="Calibri"/>
          <w:i/>
          <w:sz w:val="20"/>
          <w:lang w:val="fr-CA"/>
        </w:rPr>
        <w:t>Louis-Fred Martin c. Sa Majesté la Reine</w:t>
      </w:r>
      <w:r w:rsidRPr="008D6C1E">
        <w:rPr>
          <w:rFonts w:eastAsia="Calibri"/>
          <w:sz w:val="20"/>
          <w:lang w:val="fr-CA"/>
        </w:rPr>
        <w:t xml:space="preserve"> (C</w:t>
      </w:r>
      <w:r w:rsidR="00DB06D2" w:rsidRPr="008D6C1E">
        <w:rPr>
          <w:rFonts w:eastAsia="Calibri"/>
          <w:sz w:val="20"/>
          <w:lang w:val="fr-CA"/>
        </w:rPr>
        <w:t>.</w:t>
      </w:r>
      <w:r w:rsidRPr="008D6C1E">
        <w:rPr>
          <w:rFonts w:eastAsia="Calibri"/>
          <w:sz w:val="20"/>
          <w:lang w:val="fr-CA"/>
        </w:rPr>
        <w:t>F</w:t>
      </w:r>
      <w:r w:rsidR="00DB06D2" w:rsidRPr="008D6C1E">
        <w:rPr>
          <w:rFonts w:eastAsia="Calibri"/>
          <w:sz w:val="20"/>
          <w:lang w:val="fr-CA"/>
        </w:rPr>
        <w:t>.</w:t>
      </w:r>
      <w:r w:rsidRPr="008D6C1E">
        <w:rPr>
          <w:rFonts w:eastAsia="Calibri"/>
          <w:sz w:val="20"/>
          <w:lang w:val="fr-CA"/>
        </w:rPr>
        <w:t>) (Civile) (Autorisation)</w:t>
      </w:r>
      <w:r w:rsidR="006417BC" w:rsidRPr="008D6C1E">
        <w:rPr>
          <w:rFonts w:eastAsia="Calibri"/>
          <w:sz w:val="20"/>
          <w:lang w:val="fr-CA"/>
        </w:rPr>
        <w:t xml:space="preserve"> </w:t>
      </w:r>
      <w:r w:rsidR="006417BC" w:rsidRPr="008D6C1E">
        <w:rPr>
          <w:sz w:val="20"/>
          <w:lang w:val="fr-FR" w:eastAsia="en-CA"/>
        </w:rPr>
        <w:t>(</w:t>
      </w:r>
      <w:hyperlink r:id="rId24" w:history="1">
        <w:r w:rsidR="006417BC" w:rsidRPr="008D6C1E">
          <w:rPr>
            <w:rStyle w:val="Hyperlink"/>
            <w:sz w:val="20"/>
            <w:lang w:val="fr-FR" w:eastAsia="en-CA"/>
          </w:rPr>
          <w:t>36817</w:t>
        </w:r>
      </w:hyperlink>
      <w:r w:rsidR="006417BC" w:rsidRPr="008D6C1E">
        <w:rPr>
          <w:sz w:val="20"/>
          <w:lang w:val="fr-FR" w:eastAsia="en-CA"/>
        </w:rPr>
        <w:t>)</w:t>
      </w:r>
    </w:p>
    <w:p w:rsidR="00E52A08" w:rsidRPr="008D6C1E" w:rsidRDefault="00E52A08" w:rsidP="00FE5051">
      <w:pPr>
        <w:widowControl w:val="0"/>
        <w:ind w:left="360" w:hanging="360"/>
        <w:rPr>
          <w:sz w:val="20"/>
          <w:lang w:val="fr-FR" w:eastAsia="en-CA"/>
        </w:rPr>
      </w:pPr>
    </w:p>
    <w:p w:rsidR="007E450C" w:rsidRPr="008D6C1E" w:rsidRDefault="007E450C" w:rsidP="00FE5051">
      <w:pPr>
        <w:pStyle w:val="SCCAppellantInfoAppellantInfo"/>
        <w:numPr>
          <w:ilvl w:val="0"/>
          <w:numId w:val="23"/>
        </w:numPr>
        <w:ind w:left="360"/>
        <w:rPr>
          <w:sz w:val="20"/>
          <w:szCs w:val="20"/>
          <w:lang w:val="fr-CA"/>
        </w:rPr>
      </w:pPr>
      <w:r w:rsidRPr="008D6C1E">
        <w:rPr>
          <w:i/>
          <w:sz w:val="20"/>
          <w:szCs w:val="20"/>
          <w:lang w:val="fr-CA"/>
        </w:rPr>
        <w:t>Premier Tech Ltée et a</w:t>
      </w:r>
      <w:r w:rsidR="00495CE9" w:rsidRPr="008D6C1E">
        <w:rPr>
          <w:i/>
          <w:sz w:val="20"/>
          <w:szCs w:val="20"/>
          <w:lang w:val="fr-CA"/>
        </w:rPr>
        <w:t>utre</w:t>
      </w:r>
      <w:r w:rsidRPr="008D6C1E">
        <w:rPr>
          <w:i/>
          <w:sz w:val="20"/>
          <w:szCs w:val="20"/>
          <w:lang w:val="fr-CA"/>
        </w:rPr>
        <w:t xml:space="preserve"> c. Christian </w:t>
      </w:r>
      <w:proofErr w:type="spellStart"/>
      <w:r w:rsidRPr="008D6C1E">
        <w:rPr>
          <w:i/>
          <w:sz w:val="20"/>
          <w:szCs w:val="20"/>
          <w:lang w:val="fr-CA"/>
        </w:rPr>
        <w:t>Dollo</w:t>
      </w:r>
      <w:proofErr w:type="spellEnd"/>
      <w:r w:rsidRPr="008D6C1E">
        <w:rPr>
          <w:sz w:val="20"/>
          <w:szCs w:val="20"/>
          <w:lang w:val="fr-CA"/>
        </w:rPr>
        <w:t xml:space="preserve"> (</w:t>
      </w:r>
      <w:proofErr w:type="spellStart"/>
      <w:r w:rsidRPr="008D6C1E">
        <w:rPr>
          <w:sz w:val="20"/>
          <w:szCs w:val="20"/>
          <w:lang w:val="fr-CA"/>
        </w:rPr>
        <w:t>Qc</w:t>
      </w:r>
      <w:proofErr w:type="spellEnd"/>
      <w:r w:rsidRPr="008D6C1E">
        <w:rPr>
          <w:sz w:val="20"/>
          <w:szCs w:val="20"/>
          <w:lang w:val="fr-CA"/>
        </w:rPr>
        <w:t>) (Civile) (Autorisation)</w:t>
      </w:r>
      <w:r w:rsidR="006417BC" w:rsidRPr="008D6C1E">
        <w:rPr>
          <w:sz w:val="20"/>
          <w:szCs w:val="20"/>
          <w:lang w:val="fr-CA"/>
        </w:rPr>
        <w:t xml:space="preserve"> </w:t>
      </w:r>
      <w:r w:rsidR="006417BC" w:rsidRPr="008D6C1E">
        <w:rPr>
          <w:sz w:val="20"/>
          <w:lang w:val="fr-FR" w:eastAsia="en-CA"/>
        </w:rPr>
        <w:t>(</w:t>
      </w:r>
      <w:hyperlink r:id="rId25" w:history="1">
        <w:r w:rsidR="006417BC" w:rsidRPr="008D6C1E">
          <w:rPr>
            <w:rStyle w:val="Hyperlink"/>
            <w:sz w:val="20"/>
            <w:lang w:val="fr-FR" w:eastAsia="en-CA"/>
          </w:rPr>
          <w:t>36643</w:t>
        </w:r>
      </w:hyperlink>
      <w:r w:rsidR="006417BC" w:rsidRPr="008D6C1E">
        <w:rPr>
          <w:sz w:val="20"/>
          <w:lang w:val="fr-FR" w:eastAsia="en-CA"/>
        </w:rPr>
        <w:t>)</w:t>
      </w:r>
    </w:p>
    <w:p w:rsidR="007E450C" w:rsidRPr="008D6C1E" w:rsidRDefault="007E450C" w:rsidP="00FE5051">
      <w:pPr>
        <w:widowControl w:val="0"/>
        <w:ind w:left="360" w:hanging="360"/>
        <w:rPr>
          <w:sz w:val="20"/>
          <w:u w:val="single"/>
          <w:lang w:val="fr-CA"/>
        </w:rPr>
      </w:pPr>
    </w:p>
    <w:p w:rsidR="007E450C" w:rsidRPr="008D6C1E" w:rsidRDefault="007E450C" w:rsidP="00FE5051">
      <w:pPr>
        <w:pStyle w:val="ListParagraph"/>
        <w:numPr>
          <w:ilvl w:val="0"/>
          <w:numId w:val="23"/>
        </w:numPr>
        <w:ind w:left="360"/>
        <w:rPr>
          <w:sz w:val="20"/>
        </w:rPr>
      </w:pPr>
      <w:r w:rsidRPr="008D6C1E">
        <w:rPr>
          <w:i/>
          <w:sz w:val="20"/>
        </w:rPr>
        <w:t>Allstate Insurance C</w:t>
      </w:r>
      <w:r w:rsidR="00495CE9" w:rsidRPr="008D6C1E">
        <w:rPr>
          <w:i/>
          <w:sz w:val="20"/>
        </w:rPr>
        <w:t xml:space="preserve">ompany of Canada v. Edna </w:t>
      </w:r>
      <w:proofErr w:type="spellStart"/>
      <w:r w:rsidR="00495CE9" w:rsidRPr="008D6C1E">
        <w:rPr>
          <w:i/>
          <w:sz w:val="20"/>
        </w:rPr>
        <w:t>Klimit</w:t>
      </w:r>
      <w:r w:rsidR="00474AAA" w:rsidRPr="008D6C1E">
        <w:rPr>
          <w:i/>
          <w:sz w:val="20"/>
        </w:rPr>
        <w:t>z</w:t>
      </w:r>
      <w:proofErr w:type="spellEnd"/>
      <w:r w:rsidR="00495CE9" w:rsidRPr="008D6C1E">
        <w:rPr>
          <w:i/>
          <w:sz w:val="20"/>
        </w:rPr>
        <w:t xml:space="preserve"> </w:t>
      </w:r>
      <w:r w:rsidRPr="008D6C1E">
        <w:rPr>
          <w:i/>
          <w:sz w:val="20"/>
        </w:rPr>
        <w:t>et al.</w:t>
      </w:r>
      <w:r w:rsidRPr="008D6C1E">
        <w:rPr>
          <w:sz w:val="20"/>
        </w:rPr>
        <w:t xml:space="preserve"> (Ont.) (Civil) (By Leave)</w:t>
      </w:r>
      <w:r w:rsidR="005E0B86" w:rsidRPr="008D6C1E">
        <w:rPr>
          <w:sz w:val="20"/>
        </w:rPr>
        <w:t xml:space="preserve"> </w:t>
      </w:r>
      <w:r w:rsidR="005E0B86" w:rsidRPr="008D6C1E">
        <w:rPr>
          <w:sz w:val="20"/>
          <w:lang w:val="en-CA"/>
        </w:rPr>
        <w:t>(</w:t>
      </w:r>
      <w:hyperlink r:id="rId26" w:history="1">
        <w:r w:rsidR="005E0B86" w:rsidRPr="008D6C1E">
          <w:rPr>
            <w:rStyle w:val="Hyperlink"/>
            <w:sz w:val="20"/>
            <w:lang w:val="en-CA"/>
          </w:rPr>
          <w:t>36760</w:t>
        </w:r>
      </w:hyperlink>
      <w:r w:rsidR="005E0B86" w:rsidRPr="008D6C1E">
        <w:rPr>
          <w:sz w:val="20"/>
          <w:lang w:val="en-CA"/>
        </w:rPr>
        <w:t>)</w:t>
      </w:r>
    </w:p>
    <w:p w:rsidR="007E450C" w:rsidRPr="008D6C1E" w:rsidRDefault="007E450C" w:rsidP="00FE5051">
      <w:pPr>
        <w:widowControl w:val="0"/>
        <w:ind w:left="360" w:hanging="360"/>
        <w:rPr>
          <w:sz w:val="20"/>
          <w:lang w:val="fr-CA"/>
        </w:rPr>
      </w:pPr>
    </w:p>
    <w:p w:rsidR="007E450C" w:rsidRPr="008D6C1E" w:rsidRDefault="00F32E9D" w:rsidP="00FE5051">
      <w:pPr>
        <w:pStyle w:val="ListParagraph"/>
        <w:numPr>
          <w:ilvl w:val="0"/>
          <w:numId w:val="23"/>
        </w:numPr>
        <w:ind w:left="360"/>
        <w:rPr>
          <w:sz w:val="20"/>
          <w:lang w:val="fr-CA"/>
        </w:rPr>
      </w:pPr>
      <w:r>
        <w:rPr>
          <w:i/>
          <w:sz w:val="20"/>
          <w:lang w:val="fr-CA"/>
        </w:rPr>
        <w:t>Sa</w:t>
      </w:r>
      <w:r w:rsidR="007E450C" w:rsidRPr="002C1A32">
        <w:rPr>
          <w:i/>
          <w:sz w:val="20"/>
          <w:lang w:val="fr-CA"/>
        </w:rPr>
        <w:t xml:space="preserve"> Majes</w:t>
      </w:r>
      <w:r>
        <w:rPr>
          <w:i/>
          <w:sz w:val="20"/>
          <w:lang w:val="fr-CA"/>
        </w:rPr>
        <w:t>té</w:t>
      </w:r>
      <w:r w:rsidR="007E450C" w:rsidRPr="002C1A32">
        <w:rPr>
          <w:i/>
          <w:sz w:val="20"/>
          <w:lang w:val="fr-CA"/>
        </w:rPr>
        <w:t xml:space="preserve"> </w:t>
      </w:r>
      <w:r>
        <w:rPr>
          <w:i/>
          <w:sz w:val="20"/>
          <w:lang w:val="fr-CA"/>
        </w:rPr>
        <w:t>la</w:t>
      </w:r>
      <w:r w:rsidR="007E450C" w:rsidRPr="002C1A32">
        <w:rPr>
          <w:i/>
          <w:sz w:val="20"/>
          <w:lang w:val="fr-CA"/>
        </w:rPr>
        <w:t xml:space="preserve"> </w:t>
      </w:r>
      <w:r>
        <w:rPr>
          <w:i/>
          <w:sz w:val="20"/>
          <w:lang w:val="fr-CA"/>
        </w:rPr>
        <w:t>Reine</w:t>
      </w:r>
      <w:bookmarkStart w:id="0" w:name="_GoBack"/>
      <w:bookmarkEnd w:id="0"/>
      <w:r w:rsidR="007E450C" w:rsidRPr="002C1A32">
        <w:rPr>
          <w:i/>
          <w:sz w:val="20"/>
          <w:lang w:val="fr-CA"/>
        </w:rPr>
        <w:t xml:space="preserve"> </w:t>
      </w:r>
      <w:r w:rsidR="001E7B18" w:rsidRPr="002C1A32">
        <w:rPr>
          <w:i/>
          <w:sz w:val="20"/>
          <w:lang w:val="fr-CA"/>
        </w:rPr>
        <w:t>c</w:t>
      </w:r>
      <w:r w:rsidR="007E450C" w:rsidRPr="002C1A32">
        <w:rPr>
          <w:i/>
          <w:sz w:val="20"/>
          <w:lang w:val="fr-CA"/>
        </w:rPr>
        <w:t xml:space="preserve">. Michel Laflamme </w:t>
      </w:r>
      <w:r w:rsidR="007E450C" w:rsidRPr="002C1A32">
        <w:rPr>
          <w:sz w:val="20"/>
          <w:lang w:val="fr-CA"/>
        </w:rPr>
        <w:t>(</w:t>
      </w:r>
      <w:proofErr w:type="spellStart"/>
      <w:r w:rsidR="007E450C" w:rsidRPr="002C1A32">
        <w:rPr>
          <w:sz w:val="20"/>
          <w:lang w:val="fr-CA"/>
        </w:rPr>
        <w:t>Q</w:t>
      </w:r>
      <w:r w:rsidR="001E7B18" w:rsidRPr="002C1A32">
        <w:rPr>
          <w:sz w:val="20"/>
          <w:lang w:val="fr-CA"/>
        </w:rPr>
        <w:t>c</w:t>
      </w:r>
      <w:proofErr w:type="spellEnd"/>
      <w:r w:rsidR="007E450C" w:rsidRPr="002C1A32">
        <w:rPr>
          <w:sz w:val="20"/>
          <w:lang w:val="fr-CA"/>
        </w:rPr>
        <w:t xml:space="preserve">) </w:t>
      </w:r>
      <w:r w:rsidR="007E450C" w:rsidRPr="008D6C1E">
        <w:rPr>
          <w:sz w:val="20"/>
          <w:lang w:val="fr-CA"/>
        </w:rPr>
        <w:t>(Crimin</w:t>
      </w:r>
      <w:r w:rsidR="001E7B18" w:rsidRPr="008D6C1E">
        <w:rPr>
          <w:sz w:val="20"/>
          <w:lang w:val="fr-CA"/>
        </w:rPr>
        <w:t>e</w:t>
      </w:r>
      <w:r w:rsidR="007E450C" w:rsidRPr="008D6C1E">
        <w:rPr>
          <w:sz w:val="20"/>
          <w:lang w:val="fr-CA"/>
        </w:rPr>
        <w:t>l</w:t>
      </w:r>
      <w:r w:rsidR="001E7B18" w:rsidRPr="008D6C1E">
        <w:rPr>
          <w:sz w:val="20"/>
          <w:lang w:val="fr-CA"/>
        </w:rPr>
        <w:t>le</w:t>
      </w:r>
      <w:r w:rsidR="007E450C" w:rsidRPr="008D6C1E">
        <w:rPr>
          <w:sz w:val="20"/>
          <w:lang w:val="fr-CA"/>
        </w:rPr>
        <w:t>) (</w:t>
      </w:r>
      <w:r w:rsidR="001E7B18" w:rsidRPr="008D6C1E">
        <w:rPr>
          <w:sz w:val="20"/>
          <w:lang w:val="fr-CA"/>
        </w:rPr>
        <w:t>Autorisation</w:t>
      </w:r>
      <w:r w:rsidR="00565B20" w:rsidRPr="008D6C1E">
        <w:rPr>
          <w:sz w:val="20"/>
          <w:lang w:val="fr-CA"/>
        </w:rPr>
        <w:t xml:space="preserve">) </w:t>
      </w:r>
      <w:r w:rsidR="00565B20" w:rsidRPr="008D6C1E">
        <w:rPr>
          <w:sz w:val="20"/>
          <w:lang w:val="fr-FR" w:eastAsia="en-CA"/>
        </w:rPr>
        <w:t>(</w:t>
      </w:r>
      <w:hyperlink r:id="rId27" w:history="1">
        <w:r w:rsidR="00565B20" w:rsidRPr="008D6C1E">
          <w:rPr>
            <w:rStyle w:val="Hyperlink"/>
            <w:sz w:val="20"/>
            <w:lang w:val="fr-FR" w:eastAsia="en-CA"/>
          </w:rPr>
          <w:t>36731</w:t>
        </w:r>
      </w:hyperlink>
      <w:r w:rsidR="00565B20" w:rsidRPr="008D6C1E">
        <w:rPr>
          <w:sz w:val="20"/>
          <w:lang w:val="fr-FR" w:eastAsia="en-CA"/>
        </w:rPr>
        <w:t>)</w:t>
      </w:r>
    </w:p>
    <w:p w:rsidR="007E450C" w:rsidRPr="008D6C1E" w:rsidRDefault="007E450C" w:rsidP="00FE5051">
      <w:pPr>
        <w:widowControl w:val="0"/>
        <w:ind w:left="360" w:hanging="360"/>
        <w:rPr>
          <w:sz w:val="20"/>
          <w:lang w:val="fr-CA"/>
        </w:rPr>
      </w:pPr>
    </w:p>
    <w:p w:rsidR="007E450C" w:rsidRPr="008D6C1E" w:rsidRDefault="007E450C" w:rsidP="00FE5051">
      <w:pPr>
        <w:pStyle w:val="ListParagraph"/>
        <w:numPr>
          <w:ilvl w:val="0"/>
          <w:numId w:val="23"/>
        </w:numPr>
        <w:ind w:left="360"/>
        <w:rPr>
          <w:sz w:val="20"/>
          <w:lang w:val="fr-CA"/>
        </w:rPr>
      </w:pPr>
      <w:r w:rsidRPr="008D6C1E">
        <w:rPr>
          <w:i/>
          <w:sz w:val="20"/>
          <w:lang w:val="fr-CA"/>
        </w:rPr>
        <w:t xml:space="preserve">9187-0725 Québec </w:t>
      </w:r>
      <w:proofErr w:type="spellStart"/>
      <w:r w:rsidRPr="008D6C1E">
        <w:rPr>
          <w:i/>
          <w:sz w:val="20"/>
          <w:lang w:val="fr-CA"/>
        </w:rPr>
        <w:t>inc.</w:t>
      </w:r>
      <w:proofErr w:type="spellEnd"/>
      <w:r w:rsidRPr="008D6C1E">
        <w:rPr>
          <w:i/>
          <w:sz w:val="20"/>
          <w:lang w:val="fr-CA"/>
        </w:rPr>
        <w:t xml:space="preserve"> </w:t>
      </w:r>
      <w:r w:rsidR="003127F4" w:rsidRPr="008D6C1E">
        <w:rPr>
          <w:i/>
          <w:sz w:val="20"/>
          <w:lang w:val="fr-CA"/>
        </w:rPr>
        <w:t>c</w:t>
      </w:r>
      <w:r w:rsidRPr="008D6C1E">
        <w:rPr>
          <w:i/>
          <w:sz w:val="20"/>
          <w:lang w:val="fr-CA"/>
        </w:rPr>
        <w:t xml:space="preserve">. Matériaux </w:t>
      </w:r>
      <w:proofErr w:type="spellStart"/>
      <w:r w:rsidRPr="008D6C1E">
        <w:rPr>
          <w:i/>
          <w:sz w:val="20"/>
          <w:lang w:val="fr-CA"/>
        </w:rPr>
        <w:t>Kott</w:t>
      </w:r>
      <w:proofErr w:type="spellEnd"/>
      <w:r w:rsidRPr="008D6C1E">
        <w:rPr>
          <w:i/>
          <w:sz w:val="20"/>
          <w:lang w:val="fr-CA"/>
        </w:rPr>
        <w:t xml:space="preserve"> </w:t>
      </w:r>
      <w:proofErr w:type="spellStart"/>
      <w:r w:rsidRPr="008D6C1E">
        <w:rPr>
          <w:i/>
          <w:sz w:val="20"/>
          <w:lang w:val="fr-CA"/>
        </w:rPr>
        <w:t>s.e.n.c</w:t>
      </w:r>
      <w:proofErr w:type="spellEnd"/>
      <w:r w:rsidRPr="008D6C1E">
        <w:rPr>
          <w:i/>
          <w:sz w:val="20"/>
          <w:lang w:val="fr-CA"/>
        </w:rPr>
        <w:t>.</w:t>
      </w:r>
      <w:r w:rsidRPr="008D6C1E">
        <w:rPr>
          <w:sz w:val="20"/>
          <w:lang w:val="fr-CA"/>
        </w:rPr>
        <w:t xml:space="preserve"> (</w:t>
      </w:r>
      <w:proofErr w:type="spellStart"/>
      <w:r w:rsidRPr="008D6C1E">
        <w:rPr>
          <w:sz w:val="20"/>
          <w:lang w:val="fr-CA"/>
        </w:rPr>
        <w:t>Q</w:t>
      </w:r>
      <w:r w:rsidR="003127F4" w:rsidRPr="008D6C1E">
        <w:rPr>
          <w:sz w:val="20"/>
          <w:lang w:val="fr-CA"/>
        </w:rPr>
        <w:t>c</w:t>
      </w:r>
      <w:proofErr w:type="spellEnd"/>
      <w:r w:rsidRPr="008D6C1E">
        <w:rPr>
          <w:sz w:val="20"/>
          <w:lang w:val="fr-CA"/>
        </w:rPr>
        <w:t>) (Civil</w:t>
      </w:r>
      <w:r w:rsidR="003127F4" w:rsidRPr="008D6C1E">
        <w:rPr>
          <w:sz w:val="20"/>
          <w:lang w:val="fr-CA"/>
        </w:rPr>
        <w:t>e</w:t>
      </w:r>
      <w:r w:rsidRPr="008D6C1E">
        <w:rPr>
          <w:sz w:val="20"/>
          <w:lang w:val="fr-CA"/>
        </w:rPr>
        <w:t>) (</w:t>
      </w:r>
      <w:r w:rsidR="003127F4" w:rsidRPr="008D6C1E">
        <w:rPr>
          <w:sz w:val="20"/>
          <w:lang w:val="fr-CA"/>
        </w:rPr>
        <w:t>Autorisation</w:t>
      </w:r>
      <w:r w:rsidRPr="008D6C1E">
        <w:rPr>
          <w:sz w:val="20"/>
          <w:lang w:val="fr-CA"/>
        </w:rPr>
        <w:t>)</w:t>
      </w:r>
      <w:r w:rsidR="00565B20" w:rsidRPr="008D6C1E">
        <w:rPr>
          <w:sz w:val="20"/>
          <w:lang w:val="fr-CA"/>
        </w:rPr>
        <w:t xml:space="preserve"> </w:t>
      </w:r>
      <w:r w:rsidR="00565B20" w:rsidRPr="008D6C1E">
        <w:rPr>
          <w:sz w:val="20"/>
          <w:lang w:val="fr-FR" w:eastAsia="en-CA"/>
        </w:rPr>
        <w:t>(</w:t>
      </w:r>
      <w:hyperlink r:id="rId28" w:history="1">
        <w:r w:rsidR="00565B20" w:rsidRPr="008D6C1E">
          <w:rPr>
            <w:rStyle w:val="Hyperlink"/>
            <w:sz w:val="20"/>
            <w:lang w:val="fr-FR" w:eastAsia="en-CA"/>
          </w:rPr>
          <w:t>36790</w:t>
        </w:r>
      </w:hyperlink>
      <w:r w:rsidR="00565B20" w:rsidRPr="008D6C1E">
        <w:rPr>
          <w:sz w:val="20"/>
          <w:lang w:val="fr-FR" w:eastAsia="en-CA"/>
        </w:rPr>
        <w:t>)</w:t>
      </w:r>
    </w:p>
    <w:p w:rsidR="007E450C" w:rsidRPr="008D6C1E" w:rsidRDefault="007E450C" w:rsidP="00FE5051">
      <w:pPr>
        <w:widowControl w:val="0"/>
        <w:ind w:left="360" w:hanging="360"/>
        <w:rPr>
          <w:sz w:val="20"/>
          <w:lang w:val="fr-CA"/>
        </w:rPr>
      </w:pPr>
    </w:p>
    <w:p w:rsidR="007E450C" w:rsidRPr="002C1A32" w:rsidRDefault="007E450C" w:rsidP="00FE5051">
      <w:pPr>
        <w:pStyle w:val="ListParagraph"/>
        <w:numPr>
          <w:ilvl w:val="0"/>
          <w:numId w:val="23"/>
        </w:numPr>
        <w:ind w:left="360"/>
        <w:rPr>
          <w:sz w:val="20"/>
          <w:lang w:val="fr-CA"/>
        </w:rPr>
      </w:pPr>
      <w:r w:rsidRPr="008D6C1E">
        <w:rPr>
          <w:i/>
          <w:sz w:val="20"/>
          <w:lang w:val="fr-CA"/>
        </w:rPr>
        <w:t xml:space="preserve">Guy </w:t>
      </w:r>
      <w:proofErr w:type="spellStart"/>
      <w:r w:rsidRPr="008D6C1E">
        <w:rPr>
          <w:i/>
          <w:sz w:val="20"/>
          <w:lang w:val="fr-CA"/>
        </w:rPr>
        <w:t>Béïque</w:t>
      </w:r>
      <w:proofErr w:type="spellEnd"/>
      <w:r w:rsidRPr="008D6C1E">
        <w:rPr>
          <w:i/>
          <w:sz w:val="20"/>
          <w:lang w:val="fr-CA"/>
        </w:rPr>
        <w:t xml:space="preserve"> et a</w:t>
      </w:r>
      <w:r w:rsidR="00236B10" w:rsidRPr="008D6C1E">
        <w:rPr>
          <w:i/>
          <w:sz w:val="20"/>
          <w:lang w:val="fr-CA"/>
        </w:rPr>
        <w:t>utres</w:t>
      </w:r>
      <w:r w:rsidRPr="008D6C1E">
        <w:rPr>
          <w:i/>
          <w:sz w:val="20"/>
          <w:lang w:val="fr-CA"/>
        </w:rPr>
        <w:t xml:space="preserve"> </w:t>
      </w:r>
      <w:r w:rsidR="00F85C44" w:rsidRPr="008D6C1E">
        <w:rPr>
          <w:i/>
          <w:sz w:val="20"/>
          <w:lang w:val="fr-CA"/>
        </w:rPr>
        <w:t>c</w:t>
      </w:r>
      <w:r w:rsidRPr="008D6C1E">
        <w:rPr>
          <w:i/>
          <w:sz w:val="20"/>
          <w:lang w:val="fr-CA"/>
        </w:rPr>
        <w:t xml:space="preserve">. Simon </w:t>
      </w:r>
      <w:proofErr w:type="spellStart"/>
      <w:r w:rsidRPr="008D6C1E">
        <w:rPr>
          <w:i/>
          <w:sz w:val="20"/>
          <w:lang w:val="fr-CA"/>
        </w:rPr>
        <w:t>Béïque</w:t>
      </w:r>
      <w:proofErr w:type="spellEnd"/>
      <w:r w:rsidRPr="008D6C1E">
        <w:rPr>
          <w:sz w:val="20"/>
          <w:lang w:val="fr-CA"/>
        </w:rPr>
        <w:t xml:space="preserve"> (</w:t>
      </w:r>
      <w:proofErr w:type="spellStart"/>
      <w:r w:rsidRPr="008D6C1E">
        <w:rPr>
          <w:sz w:val="20"/>
          <w:lang w:val="fr-CA"/>
        </w:rPr>
        <w:t>Q</w:t>
      </w:r>
      <w:r w:rsidR="00F85C44" w:rsidRPr="008D6C1E">
        <w:rPr>
          <w:sz w:val="20"/>
          <w:lang w:val="fr-CA"/>
        </w:rPr>
        <w:t>c</w:t>
      </w:r>
      <w:proofErr w:type="spellEnd"/>
      <w:r w:rsidRPr="008D6C1E">
        <w:rPr>
          <w:sz w:val="20"/>
          <w:lang w:val="fr-CA"/>
        </w:rPr>
        <w:t xml:space="preserve">) </w:t>
      </w:r>
      <w:r w:rsidRPr="002C1A32">
        <w:rPr>
          <w:sz w:val="20"/>
          <w:lang w:val="fr-CA"/>
        </w:rPr>
        <w:t>(Civil</w:t>
      </w:r>
      <w:r w:rsidR="00F85C44" w:rsidRPr="002C1A32">
        <w:rPr>
          <w:sz w:val="20"/>
          <w:lang w:val="fr-CA"/>
        </w:rPr>
        <w:t>e</w:t>
      </w:r>
      <w:r w:rsidRPr="002C1A32">
        <w:rPr>
          <w:sz w:val="20"/>
          <w:lang w:val="fr-CA"/>
        </w:rPr>
        <w:t>) (</w:t>
      </w:r>
      <w:r w:rsidR="00F85C44" w:rsidRPr="002C1A32">
        <w:rPr>
          <w:sz w:val="20"/>
          <w:lang w:val="fr-CA"/>
        </w:rPr>
        <w:t>Autorisation</w:t>
      </w:r>
      <w:r w:rsidRPr="002C1A32">
        <w:rPr>
          <w:sz w:val="20"/>
          <w:lang w:val="fr-CA"/>
        </w:rPr>
        <w:t>)</w:t>
      </w:r>
      <w:r w:rsidR="00565B20" w:rsidRPr="002C1A32">
        <w:rPr>
          <w:sz w:val="20"/>
          <w:lang w:val="fr-CA"/>
        </w:rPr>
        <w:t xml:space="preserve"> </w:t>
      </w:r>
      <w:r w:rsidR="00565B20" w:rsidRPr="008D6C1E">
        <w:rPr>
          <w:sz w:val="20"/>
          <w:lang w:val="fr-FR" w:eastAsia="en-CA"/>
        </w:rPr>
        <w:t>(</w:t>
      </w:r>
      <w:hyperlink r:id="rId29" w:history="1">
        <w:r w:rsidR="00565B20" w:rsidRPr="008D6C1E">
          <w:rPr>
            <w:rStyle w:val="Hyperlink"/>
            <w:sz w:val="20"/>
            <w:lang w:val="fr-FR" w:eastAsia="en-CA"/>
          </w:rPr>
          <w:t>36594</w:t>
        </w:r>
      </w:hyperlink>
      <w:r w:rsidR="00565B20" w:rsidRPr="008D6C1E">
        <w:rPr>
          <w:sz w:val="20"/>
          <w:lang w:val="fr-FR" w:eastAsia="en-CA"/>
        </w:rPr>
        <w:t>)</w:t>
      </w:r>
    </w:p>
    <w:p w:rsidR="007E450C" w:rsidRPr="002C1A32" w:rsidRDefault="007E450C" w:rsidP="00FE5051">
      <w:pPr>
        <w:widowControl w:val="0"/>
        <w:ind w:left="360" w:hanging="360"/>
        <w:rPr>
          <w:sz w:val="20"/>
          <w:lang w:val="fr-CA"/>
        </w:rPr>
      </w:pPr>
    </w:p>
    <w:p w:rsidR="007E450C" w:rsidRPr="008D6C1E" w:rsidRDefault="007E450C" w:rsidP="00FE5051">
      <w:pPr>
        <w:pStyle w:val="SCCAppellantInfoAppellantInfo"/>
        <w:numPr>
          <w:ilvl w:val="0"/>
          <w:numId w:val="23"/>
        </w:numPr>
        <w:ind w:left="360"/>
        <w:rPr>
          <w:sz w:val="20"/>
          <w:szCs w:val="20"/>
          <w:lang w:val="fr-CA"/>
        </w:rPr>
      </w:pPr>
      <w:r w:rsidRPr="008D6C1E">
        <w:rPr>
          <w:i/>
          <w:sz w:val="20"/>
          <w:szCs w:val="20"/>
        </w:rPr>
        <w:t xml:space="preserve">Giuliano </w:t>
      </w:r>
      <w:proofErr w:type="spellStart"/>
      <w:r w:rsidRPr="008D6C1E">
        <w:rPr>
          <w:i/>
          <w:sz w:val="20"/>
          <w:szCs w:val="20"/>
        </w:rPr>
        <w:t>Scaduto</w:t>
      </w:r>
      <w:proofErr w:type="spellEnd"/>
      <w:r w:rsidRPr="008D6C1E">
        <w:rPr>
          <w:i/>
          <w:sz w:val="20"/>
          <w:szCs w:val="20"/>
        </w:rPr>
        <w:t xml:space="preserve"> v. Law Society of Upper Canada et al.</w:t>
      </w:r>
      <w:r w:rsidRPr="008D6C1E">
        <w:rPr>
          <w:sz w:val="20"/>
          <w:szCs w:val="20"/>
        </w:rPr>
        <w:t xml:space="preserve"> </w:t>
      </w:r>
      <w:r w:rsidRPr="008D6C1E">
        <w:rPr>
          <w:sz w:val="20"/>
          <w:szCs w:val="20"/>
          <w:lang w:val="fr-CA"/>
        </w:rPr>
        <w:t xml:space="preserve">(Ont.) (Civil) (By </w:t>
      </w:r>
      <w:proofErr w:type="spellStart"/>
      <w:r w:rsidRPr="008D6C1E">
        <w:rPr>
          <w:sz w:val="20"/>
          <w:szCs w:val="20"/>
          <w:lang w:val="fr-CA"/>
        </w:rPr>
        <w:t>Leave</w:t>
      </w:r>
      <w:proofErr w:type="spellEnd"/>
      <w:r w:rsidRPr="008D6C1E">
        <w:rPr>
          <w:sz w:val="20"/>
          <w:szCs w:val="20"/>
          <w:lang w:val="fr-CA"/>
        </w:rPr>
        <w:t>)</w:t>
      </w:r>
      <w:r w:rsidR="005E0B86" w:rsidRPr="008D6C1E">
        <w:rPr>
          <w:sz w:val="20"/>
          <w:szCs w:val="20"/>
          <w:lang w:val="fr-CA"/>
        </w:rPr>
        <w:t xml:space="preserve"> </w:t>
      </w:r>
      <w:r w:rsidR="005E0B86" w:rsidRPr="008D6C1E">
        <w:rPr>
          <w:sz w:val="20"/>
        </w:rPr>
        <w:t>(</w:t>
      </w:r>
      <w:hyperlink r:id="rId30" w:history="1">
        <w:r w:rsidR="005E0B86" w:rsidRPr="008D6C1E">
          <w:rPr>
            <w:rStyle w:val="Hyperlink"/>
            <w:sz w:val="20"/>
          </w:rPr>
          <w:t>36753</w:t>
        </w:r>
      </w:hyperlink>
      <w:r w:rsidR="005E0B86" w:rsidRPr="008D6C1E">
        <w:rPr>
          <w:sz w:val="20"/>
        </w:rPr>
        <w:t>)</w:t>
      </w:r>
    </w:p>
    <w:p w:rsidR="007E450C" w:rsidRPr="008D6C1E" w:rsidRDefault="007E450C" w:rsidP="00FE5051">
      <w:pPr>
        <w:widowControl w:val="0"/>
        <w:ind w:left="360" w:hanging="360"/>
        <w:rPr>
          <w:sz w:val="20"/>
          <w:lang w:val="fr-CA"/>
        </w:rPr>
      </w:pPr>
    </w:p>
    <w:p w:rsidR="007E450C" w:rsidRPr="008D6C1E" w:rsidRDefault="007E450C" w:rsidP="00377E21">
      <w:pPr>
        <w:pStyle w:val="ListParagraph"/>
        <w:numPr>
          <w:ilvl w:val="0"/>
          <w:numId w:val="23"/>
        </w:numPr>
        <w:ind w:left="360"/>
        <w:jc w:val="both"/>
        <w:rPr>
          <w:sz w:val="20"/>
          <w:szCs w:val="20"/>
          <w:lang w:val="en-CA"/>
        </w:rPr>
      </w:pPr>
      <w:r w:rsidRPr="008D6C1E">
        <w:rPr>
          <w:i/>
          <w:sz w:val="20"/>
          <w:szCs w:val="20"/>
          <w:lang w:val="fr-CA"/>
        </w:rPr>
        <w:t xml:space="preserve">Michael </w:t>
      </w:r>
      <w:proofErr w:type="spellStart"/>
      <w:r w:rsidRPr="008D6C1E">
        <w:rPr>
          <w:i/>
          <w:sz w:val="20"/>
          <w:szCs w:val="20"/>
          <w:lang w:val="fr-CA"/>
        </w:rPr>
        <w:t>Ardabili</w:t>
      </w:r>
      <w:proofErr w:type="spellEnd"/>
      <w:r w:rsidRPr="008D6C1E">
        <w:rPr>
          <w:i/>
          <w:sz w:val="20"/>
          <w:szCs w:val="20"/>
          <w:lang w:val="fr-CA"/>
        </w:rPr>
        <w:t xml:space="preserve"> et al. v. Maria Mercedes Ortega </w:t>
      </w:r>
      <w:proofErr w:type="spellStart"/>
      <w:r w:rsidRPr="008D6C1E">
        <w:rPr>
          <w:i/>
          <w:sz w:val="20"/>
          <w:szCs w:val="20"/>
          <w:lang w:val="fr-CA"/>
        </w:rPr>
        <w:t>Figueroa</w:t>
      </w:r>
      <w:proofErr w:type="spellEnd"/>
      <w:r w:rsidRPr="008D6C1E">
        <w:rPr>
          <w:sz w:val="20"/>
          <w:szCs w:val="20"/>
          <w:lang w:val="fr-CA"/>
        </w:rPr>
        <w:t xml:space="preserve"> (Que.) </w:t>
      </w:r>
      <w:r w:rsidRPr="008D6C1E">
        <w:rPr>
          <w:sz w:val="20"/>
          <w:szCs w:val="20"/>
          <w:lang w:val="en-CA"/>
        </w:rPr>
        <w:t>(Civil) (By Leave)</w:t>
      </w:r>
      <w:r w:rsidR="004774B6" w:rsidRPr="008D6C1E">
        <w:rPr>
          <w:sz w:val="20"/>
          <w:szCs w:val="20"/>
          <w:lang w:val="en-CA"/>
        </w:rPr>
        <w:t xml:space="preserve"> (</w:t>
      </w:r>
      <w:hyperlink r:id="rId31" w:history="1">
        <w:r w:rsidR="004774B6" w:rsidRPr="008D6C1E">
          <w:rPr>
            <w:rStyle w:val="Hyperlink"/>
            <w:sz w:val="20"/>
            <w:szCs w:val="20"/>
            <w:lang w:val="en-CA"/>
          </w:rPr>
          <w:t>36705</w:t>
        </w:r>
      </w:hyperlink>
      <w:r w:rsidR="004774B6" w:rsidRPr="008D6C1E">
        <w:rPr>
          <w:sz w:val="20"/>
          <w:szCs w:val="20"/>
          <w:lang w:val="en-CA"/>
        </w:rPr>
        <w:t>)</w:t>
      </w:r>
    </w:p>
    <w:p w:rsidR="00E52A08" w:rsidRPr="008D6C1E" w:rsidRDefault="00E52A08" w:rsidP="00377E21">
      <w:pPr>
        <w:widowControl w:val="0"/>
        <w:ind w:left="360" w:hanging="360"/>
        <w:jc w:val="both"/>
        <w:rPr>
          <w:sz w:val="20"/>
          <w:lang w:val="fr-FR" w:eastAsia="en-CA"/>
        </w:rPr>
      </w:pPr>
    </w:p>
    <w:p w:rsidR="00372E91" w:rsidRPr="008D6C1E" w:rsidRDefault="00372E91" w:rsidP="00377E21">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7E21" w:rsidRPr="008D6C1E" w:rsidTr="002B5CF4">
        <w:tc>
          <w:tcPr>
            <w:tcW w:w="543" w:type="pct"/>
          </w:tcPr>
          <w:p w:rsidR="00377E21" w:rsidRPr="008D6C1E" w:rsidRDefault="00377E21" w:rsidP="00377E21">
            <w:pPr>
              <w:jc w:val="both"/>
              <w:rPr>
                <w:sz w:val="20"/>
              </w:rPr>
            </w:pPr>
            <w:r w:rsidRPr="008D6C1E">
              <w:rPr>
                <w:rStyle w:val="SCCFileNumberChar"/>
                <w:sz w:val="20"/>
                <w:szCs w:val="20"/>
              </w:rPr>
              <w:t>36728</w:t>
            </w:r>
          </w:p>
        </w:tc>
        <w:tc>
          <w:tcPr>
            <w:tcW w:w="4457" w:type="pct"/>
            <w:gridSpan w:val="3"/>
          </w:tcPr>
          <w:p w:rsidR="00377E21" w:rsidRPr="002C1A32" w:rsidRDefault="00377E21" w:rsidP="00377E21">
            <w:pPr>
              <w:pStyle w:val="SCCLsocParty"/>
              <w:jc w:val="both"/>
              <w:rPr>
                <w:b/>
                <w:sz w:val="20"/>
                <w:szCs w:val="20"/>
                <w:lang w:val="en-US"/>
              </w:rPr>
            </w:pPr>
            <w:proofErr w:type="spellStart"/>
            <w:r w:rsidRPr="002C1A32">
              <w:rPr>
                <w:b/>
                <w:sz w:val="20"/>
                <w:szCs w:val="20"/>
                <w:lang w:val="en-US"/>
              </w:rPr>
              <w:t>Enmax</w:t>
            </w:r>
            <w:proofErr w:type="spellEnd"/>
            <w:r w:rsidRPr="002C1A32">
              <w:rPr>
                <w:b/>
                <w:sz w:val="20"/>
                <w:szCs w:val="20"/>
                <w:lang w:val="en-US"/>
              </w:rPr>
              <w:t xml:space="preserve"> Power Corporation, </w:t>
            </w:r>
            <w:proofErr w:type="spellStart"/>
            <w:r w:rsidRPr="002C1A32">
              <w:rPr>
                <w:b/>
                <w:sz w:val="20"/>
                <w:szCs w:val="20"/>
                <w:lang w:val="en-US"/>
              </w:rPr>
              <w:t>Altalink</w:t>
            </w:r>
            <w:proofErr w:type="spellEnd"/>
            <w:r w:rsidRPr="002C1A32">
              <w:rPr>
                <w:b/>
                <w:sz w:val="20"/>
                <w:szCs w:val="20"/>
                <w:lang w:val="en-US"/>
              </w:rPr>
              <w:t xml:space="preserve"> Management Ltd., in its capacity as general partner of </w:t>
            </w:r>
            <w:proofErr w:type="spellStart"/>
            <w:r w:rsidRPr="002C1A32">
              <w:rPr>
                <w:b/>
                <w:sz w:val="20"/>
                <w:szCs w:val="20"/>
                <w:lang w:val="en-US"/>
              </w:rPr>
              <w:t>Altalink</w:t>
            </w:r>
            <w:proofErr w:type="spellEnd"/>
            <w:r w:rsidRPr="002C1A32">
              <w:rPr>
                <w:b/>
                <w:sz w:val="20"/>
                <w:szCs w:val="20"/>
                <w:lang w:val="en-US"/>
              </w:rPr>
              <w:t>, L.P., EPCOR Distribution &amp; Transmission Inc. v. Alberta Utilities Commission, Office of the Utilities Consumer Advocate of Alberta</w:t>
            </w:r>
          </w:p>
          <w:p w:rsidR="00377E21" w:rsidRPr="008D6C1E" w:rsidRDefault="00377E21" w:rsidP="00377E21">
            <w:pPr>
              <w:pStyle w:val="SCCLsocSubfileSeparator"/>
              <w:rPr>
                <w:sz w:val="20"/>
                <w:szCs w:val="20"/>
              </w:rPr>
            </w:pPr>
            <w:r w:rsidRPr="008D6C1E">
              <w:rPr>
                <w:sz w:val="20"/>
                <w:szCs w:val="20"/>
              </w:rPr>
              <w:t>- and between -</w:t>
            </w:r>
          </w:p>
          <w:p w:rsidR="00377E21" w:rsidRPr="008D6C1E" w:rsidRDefault="00377E21" w:rsidP="00377E21">
            <w:pPr>
              <w:jc w:val="both"/>
              <w:rPr>
                <w:sz w:val="20"/>
              </w:rPr>
            </w:pPr>
            <w:r w:rsidRPr="008D6C1E">
              <w:rPr>
                <w:b/>
                <w:sz w:val="20"/>
              </w:rPr>
              <w:t>FortisAlberta Inc., Altagas Utilities Inc., ATCO Gas and Pipelines Ltd., ATCO Electric Ltd. v. Alberta Utilities Commission, Office of the Utilities Consumer Advocate of Alberta</w:t>
            </w:r>
            <w:r w:rsidRPr="008D6C1E">
              <w:rPr>
                <w:sz w:val="20"/>
              </w:rPr>
              <w:t xml:space="preserve"> </w:t>
            </w:r>
          </w:p>
          <w:p w:rsidR="00377E21" w:rsidRPr="008D6C1E" w:rsidRDefault="00377E21" w:rsidP="00377E21">
            <w:pPr>
              <w:jc w:val="both"/>
              <w:rPr>
                <w:sz w:val="20"/>
              </w:rPr>
            </w:pPr>
            <w:r w:rsidRPr="008D6C1E">
              <w:rPr>
                <w:sz w:val="20"/>
              </w:rPr>
              <w:t>(Alta.) (Civil) (By Leave)</w:t>
            </w:r>
          </w:p>
        </w:tc>
      </w:tr>
      <w:tr w:rsidR="00377E21" w:rsidRPr="008D6C1E" w:rsidTr="002B5CF4">
        <w:tc>
          <w:tcPr>
            <w:tcW w:w="5000" w:type="pct"/>
            <w:gridSpan w:val="4"/>
          </w:tcPr>
          <w:p w:rsidR="00377E21" w:rsidRPr="008D6C1E" w:rsidRDefault="00377E21" w:rsidP="00377E21">
            <w:pPr>
              <w:jc w:val="both"/>
              <w:rPr>
                <w:sz w:val="20"/>
              </w:rPr>
            </w:pPr>
            <w:r w:rsidRPr="008D6C1E">
              <w:rPr>
                <w:sz w:val="20"/>
              </w:rPr>
              <w:t>Administrative Law — Statutory Interpretation — Whether undepreciated capital costs of utility’s capital investment in utility asset must be removed from utility’s rate base if asset becomes stranded as result of an extraordinary retirement — Whether Alberta Utilities Commission should adopt a rate treatment for stranded capital asset costs directly contrary to the relevant statutory scheme —  Whether a utility may recover undepreciated costs of stranded assets from rates or whether the risk lies solely with shareholders — Implications of resolving uncertainty associated with how and whether stranded prudent costs are recoverable through rates for the cost and reliability of utility service — Whether a reasonableness standard of review applied — Extent to which issues of policy can override express statutory provisions.</w:t>
            </w:r>
          </w:p>
        </w:tc>
      </w:tr>
      <w:tr w:rsidR="00377E21" w:rsidRPr="008D6C1E" w:rsidTr="002B5CF4">
        <w:tc>
          <w:tcPr>
            <w:tcW w:w="5000" w:type="pct"/>
            <w:gridSpan w:val="4"/>
          </w:tcPr>
          <w:p w:rsidR="00377E21" w:rsidRPr="008D6C1E" w:rsidRDefault="00377E21" w:rsidP="00377E21">
            <w:pPr>
              <w:jc w:val="both"/>
              <w:rPr>
                <w:sz w:val="20"/>
              </w:rPr>
            </w:pPr>
          </w:p>
        </w:tc>
      </w:tr>
      <w:tr w:rsidR="00377E21" w:rsidRPr="008D6C1E" w:rsidTr="002B5CF4">
        <w:tc>
          <w:tcPr>
            <w:tcW w:w="5000" w:type="pct"/>
            <w:gridSpan w:val="4"/>
          </w:tcPr>
          <w:p w:rsidR="00377E21" w:rsidRPr="008D6C1E" w:rsidRDefault="00377E21" w:rsidP="00377E21">
            <w:pPr>
              <w:jc w:val="both"/>
              <w:rPr>
                <w:sz w:val="20"/>
              </w:rPr>
            </w:pPr>
            <w:r w:rsidRPr="008D6C1E">
              <w:rPr>
                <w:sz w:val="20"/>
              </w:rPr>
              <w:t xml:space="preserve">The Alberta Utilities Commission held a Utilities Asset Disposition proceeding and addressed risk for stranded assets; assets no longer used to provide utility service as a result of extraordinary circumstances. It determined that when a gas or electric utility’s asset becomes stranded as the result of an “extraordinary retirement” (a retirement resulting from a cause which cannot be reasonably assumed to have been contemplated in prior approved depreciation provisions used in the calculation of rates), then the utility, as the owner of the asset, absorbs the remaining undepreciated capital costs. It held that those costs must be removed from the utility’s rate base. </w:t>
            </w:r>
          </w:p>
          <w:p w:rsidR="00377E21" w:rsidRPr="008D6C1E" w:rsidRDefault="00377E21" w:rsidP="00377E21">
            <w:pPr>
              <w:jc w:val="both"/>
              <w:rPr>
                <w:sz w:val="20"/>
              </w:rPr>
            </w:pPr>
          </w:p>
        </w:tc>
      </w:tr>
      <w:tr w:rsidR="00377E21" w:rsidRPr="008D6C1E" w:rsidTr="002B5CF4">
        <w:tc>
          <w:tcPr>
            <w:tcW w:w="2427" w:type="pct"/>
            <w:gridSpan w:val="2"/>
          </w:tcPr>
          <w:p w:rsidR="00377E21" w:rsidRPr="008D6C1E" w:rsidRDefault="00377E21" w:rsidP="00377E21">
            <w:pPr>
              <w:jc w:val="both"/>
              <w:rPr>
                <w:sz w:val="20"/>
              </w:rPr>
            </w:pPr>
            <w:r w:rsidRPr="008D6C1E">
              <w:rPr>
                <w:sz w:val="20"/>
              </w:rPr>
              <w:t>November 26, 2013</w:t>
            </w:r>
          </w:p>
          <w:p w:rsidR="00377E21" w:rsidRPr="008D6C1E" w:rsidRDefault="00377E21" w:rsidP="00377E21">
            <w:pPr>
              <w:jc w:val="both"/>
              <w:rPr>
                <w:sz w:val="20"/>
              </w:rPr>
            </w:pPr>
            <w:r w:rsidRPr="008D6C1E">
              <w:rPr>
                <w:sz w:val="20"/>
              </w:rPr>
              <w:t>Alberta Utilities Commission</w:t>
            </w:r>
          </w:p>
          <w:p w:rsidR="00377E21" w:rsidRPr="008D6C1E" w:rsidRDefault="00377E21" w:rsidP="00377E21">
            <w:pPr>
              <w:jc w:val="both"/>
              <w:rPr>
                <w:sz w:val="20"/>
              </w:rPr>
            </w:pPr>
            <w:r w:rsidRPr="008D6C1E">
              <w:rPr>
                <w:sz w:val="20"/>
              </w:rPr>
              <w:t xml:space="preserve">www.auc.ab.ca: </w:t>
            </w:r>
            <w:hyperlink r:id="rId32" w:history="1">
              <w:r w:rsidRPr="008D6C1E">
                <w:rPr>
                  <w:rStyle w:val="Hyperlink"/>
                  <w:sz w:val="20"/>
                </w:rPr>
                <w:t>Decision 2013-417</w:t>
              </w:r>
            </w:hyperlink>
          </w:p>
          <w:p w:rsidR="00377E21" w:rsidRPr="008D6C1E" w:rsidRDefault="00377E21" w:rsidP="00377E21">
            <w:pPr>
              <w:jc w:val="both"/>
              <w:rPr>
                <w:sz w:val="20"/>
              </w:rPr>
            </w:pPr>
          </w:p>
        </w:tc>
        <w:tc>
          <w:tcPr>
            <w:tcW w:w="243" w:type="pct"/>
          </w:tcPr>
          <w:p w:rsidR="00377E21" w:rsidRPr="008D6C1E" w:rsidRDefault="00377E21" w:rsidP="00377E21">
            <w:pPr>
              <w:jc w:val="both"/>
              <w:rPr>
                <w:sz w:val="20"/>
              </w:rPr>
            </w:pPr>
          </w:p>
        </w:tc>
        <w:tc>
          <w:tcPr>
            <w:tcW w:w="2330" w:type="pct"/>
          </w:tcPr>
          <w:p w:rsidR="00377E21" w:rsidRPr="008D6C1E" w:rsidRDefault="00377E21" w:rsidP="00377E21">
            <w:pPr>
              <w:jc w:val="both"/>
              <w:rPr>
                <w:sz w:val="20"/>
              </w:rPr>
            </w:pPr>
            <w:r w:rsidRPr="008D6C1E">
              <w:rPr>
                <w:sz w:val="20"/>
              </w:rPr>
              <w:t xml:space="preserve">Utility asset disposition </w:t>
            </w:r>
          </w:p>
          <w:p w:rsidR="00377E21" w:rsidRPr="008D6C1E" w:rsidRDefault="00377E21" w:rsidP="00377E21">
            <w:pPr>
              <w:jc w:val="both"/>
              <w:rPr>
                <w:sz w:val="20"/>
              </w:rPr>
            </w:pPr>
          </w:p>
        </w:tc>
      </w:tr>
      <w:tr w:rsidR="00377E21" w:rsidRPr="008D6C1E" w:rsidTr="002B5CF4">
        <w:tc>
          <w:tcPr>
            <w:tcW w:w="2427" w:type="pct"/>
            <w:gridSpan w:val="2"/>
          </w:tcPr>
          <w:p w:rsidR="00377E21" w:rsidRPr="008D6C1E" w:rsidRDefault="00377E21" w:rsidP="00377E21">
            <w:pPr>
              <w:jc w:val="both"/>
              <w:rPr>
                <w:sz w:val="20"/>
              </w:rPr>
            </w:pPr>
            <w:r w:rsidRPr="008D6C1E">
              <w:rPr>
                <w:sz w:val="20"/>
              </w:rPr>
              <w:t>September 18, 2015</w:t>
            </w:r>
          </w:p>
          <w:p w:rsidR="00377E21" w:rsidRPr="008D6C1E" w:rsidRDefault="00377E21" w:rsidP="00377E21">
            <w:pPr>
              <w:jc w:val="both"/>
              <w:rPr>
                <w:sz w:val="20"/>
              </w:rPr>
            </w:pPr>
            <w:r w:rsidRPr="008D6C1E">
              <w:rPr>
                <w:sz w:val="20"/>
              </w:rPr>
              <w:lastRenderedPageBreak/>
              <w:t>Court of Appeal of Alberta (Calgary)</w:t>
            </w:r>
          </w:p>
          <w:p w:rsidR="00377E21" w:rsidRPr="008D6C1E" w:rsidRDefault="00377E21" w:rsidP="00377E21">
            <w:pPr>
              <w:jc w:val="both"/>
              <w:rPr>
                <w:sz w:val="20"/>
              </w:rPr>
            </w:pPr>
            <w:r w:rsidRPr="008D6C1E">
              <w:rPr>
                <w:sz w:val="20"/>
              </w:rPr>
              <w:t>(</w:t>
            </w:r>
            <w:proofErr w:type="spellStart"/>
            <w:r w:rsidRPr="008D6C1E">
              <w:rPr>
                <w:sz w:val="20"/>
              </w:rPr>
              <w:t>Paperny</w:t>
            </w:r>
            <w:proofErr w:type="spellEnd"/>
            <w:r w:rsidRPr="008D6C1E">
              <w:rPr>
                <w:sz w:val="20"/>
              </w:rPr>
              <w:t xml:space="preserve">, Watson, </w:t>
            </w:r>
            <w:proofErr w:type="spellStart"/>
            <w:r w:rsidRPr="008D6C1E">
              <w:rPr>
                <w:sz w:val="20"/>
              </w:rPr>
              <w:t>Rowbotham</w:t>
            </w:r>
            <w:proofErr w:type="spellEnd"/>
            <w:r w:rsidRPr="008D6C1E">
              <w:rPr>
                <w:sz w:val="20"/>
              </w:rPr>
              <w:t> JJ.A.)</w:t>
            </w:r>
          </w:p>
          <w:p w:rsidR="00377E21" w:rsidRPr="008D6C1E" w:rsidRDefault="00377E21" w:rsidP="00377E21">
            <w:pPr>
              <w:jc w:val="both"/>
              <w:rPr>
                <w:sz w:val="20"/>
              </w:rPr>
            </w:pPr>
            <w:r w:rsidRPr="008D6C1E">
              <w:rPr>
                <w:sz w:val="20"/>
              </w:rPr>
              <w:t xml:space="preserve">1301-0361-AC, 1301-0363-AC, 1301-0365- AC, 1301-0366-AC, 1301-0367-AC, 1301-0369-AC, 1301-0370-AC; </w:t>
            </w:r>
            <w:hyperlink r:id="rId33" w:history="1">
              <w:r w:rsidRPr="008D6C1E">
                <w:rPr>
                  <w:rStyle w:val="Hyperlink"/>
                  <w:sz w:val="20"/>
                </w:rPr>
                <w:t>2015 ABCA 295</w:t>
              </w:r>
            </w:hyperlink>
          </w:p>
          <w:p w:rsidR="00377E21" w:rsidRPr="008D6C1E" w:rsidRDefault="00377E21" w:rsidP="00377E21">
            <w:pPr>
              <w:jc w:val="both"/>
              <w:rPr>
                <w:sz w:val="20"/>
              </w:rPr>
            </w:pPr>
          </w:p>
        </w:tc>
        <w:tc>
          <w:tcPr>
            <w:tcW w:w="243" w:type="pct"/>
          </w:tcPr>
          <w:p w:rsidR="00377E21" w:rsidRPr="008D6C1E" w:rsidRDefault="00377E21" w:rsidP="00377E21">
            <w:pPr>
              <w:jc w:val="both"/>
              <w:rPr>
                <w:sz w:val="20"/>
              </w:rPr>
            </w:pPr>
          </w:p>
        </w:tc>
        <w:tc>
          <w:tcPr>
            <w:tcW w:w="2330" w:type="pct"/>
          </w:tcPr>
          <w:p w:rsidR="00377E21" w:rsidRPr="008D6C1E" w:rsidRDefault="00377E21" w:rsidP="00377E21">
            <w:pPr>
              <w:jc w:val="both"/>
              <w:rPr>
                <w:sz w:val="20"/>
              </w:rPr>
            </w:pPr>
            <w:r w:rsidRPr="008D6C1E">
              <w:rPr>
                <w:sz w:val="20"/>
              </w:rPr>
              <w:t>Appeals dismissed</w:t>
            </w:r>
          </w:p>
        </w:tc>
      </w:tr>
      <w:tr w:rsidR="00377E21" w:rsidRPr="008D6C1E" w:rsidTr="002B5CF4">
        <w:tc>
          <w:tcPr>
            <w:tcW w:w="2427" w:type="pct"/>
            <w:gridSpan w:val="2"/>
          </w:tcPr>
          <w:p w:rsidR="00377E21" w:rsidRPr="008D6C1E" w:rsidRDefault="00377E21" w:rsidP="00377E21">
            <w:pPr>
              <w:jc w:val="both"/>
              <w:rPr>
                <w:sz w:val="20"/>
              </w:rPr>
            </w:pPr>
            <w:r w:rsidRPr="008D6C1E">
              <w:rPr>
                <w:sz w:val="20"/>
              </w:rPr>
              <w:t>November 17, 2015</w:t>
            </w:r>
          </w:p>
          <w:p w:rsidR="00377E21" w:rsidRPr="008D6C1E" w:rsidRDefault="00377E21" w:rsidP="00377E21">
            <w:pPr>
              <w:jc w:val="both"/>
              <w:rPr>
                <w:sz w:val="20"/>
              </w:rPr>
            </w:pPr>
            <w:r w:rsidRPr="008D6C1E">
              <w:rPr>
                <w:sz w:val="20"/>
              </w:rPr>
              <w:t>Supreme Court of Canada</w:t>
            </w:r>
          </w:p>
          <w:p w:rsidR="00377E21" w:rsidRPr="008D6C1E" w:rsidRDefault="00377E21" w:rsidP="00377E21">
            <w:pPr>
              <w:jc w:val="both"/>
              <w:rPr>
                <w:sz w:val="20"/>
              </w:rPr>
            </w:pPr>
          </w:p>
        </w:tc>
        <w:tc>
          <w:tcPr>
            <w:tcW w:w="243" w:type="pct"/>
          </w:tcPr>
          <w:p w:rsidR="00377E21" w:rsidRPr="008D6C1E" w:rsidRDefault="00377E21" w:rsidP="00377E21">
            <w:pPr>
              <w:jc w:val="both"/>
              <w:rPr>
                <w:sz w:val="20"/>
              </w:rPr>
            </w:pPr>
          </w:p>
        </w:tc>
        <w:tc>
          <w:tcPr>
            <w:tcW w:w="2330" w:type="pct"/>
          </w:tcPr>
          <w:p w:rsidR="00377E21" w:rsidRPr="008D6C1E" w:rsidRDefault="00377E21" w:rsidP="00377E21">
            <w:pPr>
              <w:jc w:val="both"/>
              <w:rPr>
                <w:sz w:val="20"/>
              </w:rPr>
            </w:pPr>
            <w:r w:rsidRPr="008D6C1E">
              <w:rPr>
                <w:sz w:val="20"/>
              </w:rPr>
              <w:t xml:space="preserve">Application for leave to appeal filed </w:t>
            </w:r>
          </w:p>
        </w:tc>
      </w:tr>
      <w:tr w:rsidR="00377E21" w:rsidRPr="008D6C1E" w:rsidTr="002B5CF4">
        <w:tc>
          <w:tcPr>
            <w:tcW w:w="2427" w:type="pct"/>
            <w:gridSpan w:val="2"/>
          </w:tcPr>
          <w:p w:rsidR="00377E21" w:rsidRPr="008D6C1E" w:rsidRDefault="00377E21" w:rsidP="00377E21">
            <w:pPr>
              <w:jc w:val="both"/>
              <w:rPr>
                <w:sz w:val="20"/>
              </w:rPr>
            </w:pPr>
            <w:r w:rsidRPr="008D6C1E">
              <w:rPr>
                <w:sz w:val="20"/>
              </w:rPr>
              <w:t>November 17, 2015</w:t>
            </w:r>
          </w:p>
          <w:p w:rsidR="00377E21" w:rsidRPr="008D6C1E" w:rsidRDefault="00377E21" w:rsidP="00377E21">
            <w:pPr>
              <w:jc w:val="both"/>
              <w:rPr>
                <w:sz w:val="20"/>
              </w:rPr>
            </w:pPr>
            <w:r w:rsidRPr="008D6C1E">
              <w:rPr>
                <w:sz w:val="20"/>
              </w:rPr>
              <w:t>Supreme Court of Canada</w:t>
            </w:r>
          </w:p>
        </w:tc>
        <w:tc>
          <w:tcPr>
            <w:tcW w:w="243" w:type="pct"/>
          </w:tcPr>
          <w:p w:rsidR="00377E21" w:rsidRPr="008D6C1E" w:rsidRDefault="00377E21" w:rsidP="00377E21">
            <w:pPr>
              <w:jc w:val="both"/>
              <w:rPr>
                <w:sz w:val="20"/>
              </w:rPr>
            </w:pPr>
          </w:p>
        </w:tc>
        <w:tc>
          <w:tcPr>
            <w:tcW w:w="2330" w:type="pct"/>
          </w:tcPr>
          <w:p w:rsidR="00377E21" w:rsidRPr="008D6C1E" w:rsidRDefault="00377E21" w:rsidP="00377E21">
            <w:pPr>
              <w:jc w:val="both"/>
              <w:rPr>
                <w:sz w:val="20"/>
              </w:rPr>
            </w:pPr>
            <w:r w:rsidRPr="008D6C1E">
              <w:rPr>
                <w:sz w:val="20"/>
              </w:rPr>
              <w:t xml:space="preserve">Application for extension of time to serve application for leave to appeal and Application for leave to appeal filed </w:t>
            </w:r>
          </w:p>
        </w:tc>
      </w:tr>
    </w:tbl>
    <w:p w:rsidR="00377E21" w:rsidRPr="008D6C1E" w:rsidRDefault="00377E21" w:rsidP="00377E21">
      <w:pPr>
        <w:jc w:val="both"/>
        <w:rPr>
          <w:sz w:val="20"/>
        </w:rPr>
      </w:pPr>
    </w:p>
    <w:p w:rsidR="00377E21" w:rsidRPr="008D6C1E" w:rsidRDefault="00377E21" w:rsidP="00377E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7E21" w:rsidRPr="008D6C1E" w:rsidTr="002B5CF4">
        <w:tc>
          <w:tcPr>
            <w:tcW w:w="543" w:type="pct"/>
          </w:tcPr>
          <w:p w:rsidR="00377E21" w:rsidRPr="008D6C1E" w:rsidRDefault="00377E21" w:rsidP="00377E21">
            <w:pPr>
              <w:jc w:val="both"/>
              <w:rPr>
                <w:sz w:val="20"/>
                <w:lang w:val="fr-CA"/>
              </w:rPr>
            </w:pPr>
            <w:r w:rsidRPr="008D6C1E">
              <w:rPr>
                <w:rStyle w:val="SCCFileNumberChar"/>
                <w:sz w:val="20"/>
                <w:szCs w:val="20"/>
                <w:lang w:val="fr-CA"/>
              </w:rPr>
              <w:t>36728</w:t>
            </w:r>
          </w:p>
        </w:tc>
        <w:tc>
          <w:tcPr>
            <w:tcW w:w="4457" w:type="pct"/>
            <w:gridSpan w:val="3"/>
          </w:tcPr>
          <w:p w:rsidR="00377E21" w:rsidRPr="008D6C1E" w:rsidRDefault="00377E21" w:rsidP="00377E21">
            <w:pPr>
              <w:pStyle w:val="SCCLsocParty"/>
              <w:jc w:val="both"/>
              <w:rPr>
                <w:b/>
                <w:sz w:val="20"/>
                <w:szCs w:val="20"/>
              </w:rPr>
            </w:pPr>
            <w:proofErr w:type="spellStart"/>
            <w:r w:rsidRPr="008D6C1E">
              <w:rPr>
                <w:b/>
                <w:sz w:val="20"/>
                <w:szCs w:val="20"/>
              </w:rPr>
              <w:t>Enmax</w:t>
            </w:r>
            <w:proofErr w:type="spellEnd"/>
            <w:r w:rsidRPr="008D6C1E">
              <w:rPr>
                <w:b/>
                <w:sz w:val="20"/>
                <w:szCs w:val="20"/>
              </w:rPr>
              <w:t xml:space="preserve"> Power Corporation, </w:t>
            </w:r>
            <w:proofErr w:type="spellStart"/>
            <w:r w:rsidRPr="008D6C1E">
              <w:rPr>
                <w:b/>
                <w:sz w:val="20"/>
                <w:szCs w:val="20"/>
              </w:rPr>
              <w:t>Altalink</w:t>
            </w:r>
            <w:proofErr w:type="spellEnd"/>
            <w:r w:rsidRPr="008D6C1E">
              <w:rPr>
                <w:b/>
                <w:sz w:val="20"/>
                <w:szCs w:val="20"/>
              </w:rPr>
              <w:t xml:space="preserve"> Management Ltd., en sa qualité de commanditée d’</w:t>
            </w:r>
            <w:proofErr w:type="spellStart"/>
            <w:r w:rsidRPr="008D6C1E">
              <w:rPr>
                <w:b/>
                <w:sz w:val="20"/>
                <w:szCs w:val="20"/>
              </w:rPr>
              <w:t>Altalink</w:t>
            </w:r>
            <w:proofErr w:type="spellEnd"/>
            <w:r w:rsidRPr="008D6C1E">
              <w:rPr>
                <w:b/>
                <w:sz w:val="20"/>
                <w:szCs w:val="20"/>
              </w:rPr>
              <w:t xml:space="preserve">, L.P., EPCOR Distribution &amp; Transmission Inc. c. Alberta Utilities Commission, Office of the Utilities Consumer </w:t>
            </w:r>
            <w:proofErr w:type="spellStart"/>
            <w:r w:rsidRPr="008D6C1E">
              <w:rPr>
                <w:b/>
                <w:sz w:val="20"/>
                <w:szCs w:val="20"/>
              </w:rPr>
              <w:t>Advocate</w:t>
            </w:r>
            <w:proofErr w:type="spellEnd"/>
            <w:r w:rsidRPr="008D6C1E">
              <w:rPr>
                <w:b/>
                <w:sz w:val="20"/>
                <w:szCs w:val="20"/>
              </w:rPr>
              <w:t xml:space="preserve"> of Alberta</w:t>
            </w:r>
          </w:p>
          <w:p w:rsidR="00377E21" w:rsidRPr="002C1A32" w:rsidRDefault="00377E21" w:rsidP="00377E21">
            <w:pPr>
              <w:pStyle w:val="SCCLsocSubfileSeparator"/>
              <w:rPr>
                <w:sz w:val="20"/>
                <w:szCs w:val="20"/>
                <w:lang w:val="en-US"/>
              </w:rPr>
            </w:pPr>
            <w:r w:rsidRPr="002C1A32">
              <w:rPr>
                <w:sz w:val="20"/>
                <w:szCs w:val="20"/>
                <w:lang w:val="en-US"/>
              </w:rPr>
              <w:t>- et entre-</w:t>
            </w:r>
          </w:p>
          <w:p w:rsidR="00377E21" w:rsidRPr="002C1A32" w:rsidRDefault="00377E21" w:rsidP="00377E21">
            <w:pPr>
              <w:jc w:val="both"/>
              <w:rPr>
                <w:sz w:val="20"/>
              </w:rPr>
            </w:pPr>
            <w:proofErr w:type="spellStart"/>
            <w:r w:rsidRPr="002C1A32">
              <w:rPr>
                <w:b/>
                <w:sz w:val="20"/>
              </w:rPr>
              <w:t>FortisAlberta</w:t>
            </w:r>
            <w:proofErr w:type="spellEnd"/>
            <w:r w:rsidRPr="002C1A32">
              <w:rPr>
                <w:b/>
                <w:sz w:val="20"/>
              </w:rPr>
              <w:t xml:space="preserve"> Inc., </w:t>
            </w:r>
            <w:proofErr w:type="spellStart"/>
            <w:r w:rsidRPr="002C1A32">
              <w:rPr>
                <w:b/>
                <w:sz w:val="20"/>
              </w:rPr>
              <w:t>Altagas</w:t>
            </w:r>
            <w:proofErr w:type="spellEnd"/>
            <w:r w:rsidRPr="002C1A32">
              <w:rPr>
                <w:b/>
                <w:sz w:val="20"/>
              </w:rPr>
              <w:t xml:space="preserve"> Utilities Inc., ATCO Gas and Pipelines Ltd., ATCO Electric Ltd. c. Alberta Utilities Commission, Office of the Utilities Consumer Advocate of Alberta</w:t>
            </w:r>
            <w:r w:rsidRPr="002C1A32">
              <w:rPr>
                <w:sz w:val="20"/>
              </w:rPr>
              <w:t xml:space="preserve"> </w:t>
            </w:r>
          </w:p>
          <w:p w:rsidR="00377E21" w:rsidRPr="008D6C1E" w:rsidRDefault="00377E21" w:rsidP="00377E21">
            <w:pPr>
              <w:jc w:val="both"/>
              <w:rPr>
                <w:sz w:val="20"/>
                <w:lang w:val="fr-CA"/>
              </w:rPr>
            </w:pPr>
            <w:r w:rsidRPr="008D6C1E">
              <w:rPr>
                <w:sz w:val="20"/>
                <w:lang w:val="fr-CA"/>
              </w:rPr>
              <w:t>(</w:t>
            </w:r>
            <w:proofErr w:type="spellStart"/>
            <w:r w:rsidRPr="008D6C1E">
              <w:rPr>
                <w:sz w:val="20"/>
                <w:lang w:val="fr-CA"/>
              </w:rPr>
              <w:t>Alb</w:t>
            </w:r>
            <w:proofErr w:type="spellEnd"/>
            <w:r w:rsidRPr="008D6C1E">
              <w:rPr>
                <w:sz w:val="20"/>
                <w:lang w:val="fr-CA"/>
              </w:rPr>
              <w:t>.) (Civile) (Sur autorisation)</w:t>
            </w:r>
          </w:p>
        </w:tc>
      </w:tr>
      <w:tr w:rsidR="00377E21" w:rsidRPr="002C1A32" w:rsidTr="002B5CF4">
        <w:tc>
          <w:tcPr>
            <w:tcW w:w="5000" w:type="pct"/>
            <w:gridSpan w:val="4"/>
          </w:tcPr>
          <w:p w:rsidR="00377E21" w:rsidRPr="008D6C1E" w:rsidRDefault="00377E21" w:rsidP="00377E21">
            <w:pPr>
              <w:jc w:val="both"/>
              <w:rPr>
                <w:sz w:val="20"/>
                <w:lang w:val="fr-CA"/>
              </w:rPr>
            </w:pPr>
            <w:r w:rsidRPr="008D6C1E">
              <w:rPr>
                <w:sz w:val="20"/>
                <w:lang w:val="fr-CA"/>
              </w:rPr>
              <w:t>Droit administratif — Interprétation des lois — Faut-il retrancher de l’assiette tarifaire d’un service public la fraction non amortie du coût en capital d’une dépense en immobilisations engagée par le service public si l’actif en question est délaissé à la suite d’une mise hors service extraordinaire? — L’Alberta Utilities Commission peut-elle adopter un traitement tarifaire relatif aux coûts des immobilisations délaissées qui soit directement contraire au régime législatif? —  Un service public peut-il récupérer les coûts non amortis d’actifs délaissés dans le calcul des tarifs ou appartient-il plutôt aux actionnaires d’assumer entièrement le risque? — Incidences sur le coût et la fiabilité d’un service public de la levée de l’incertitude liée à la manière et à l’opportunité de récupérer les dépenses prudentes en immobilisations délaissées par le truchement de tarifs — La norme de contrôle de la décision raisonnable s’appliquait-elle? — Mesure dans laquelle des questions de politique peuvent l’emporter sur les dispositions expresses d’une loi.</w:t>
            </w:r>
          </w:p>
        </w:tc>
      </w:tr>
      <w:tr w:rsidR="00377E21" w:rsidRPr="002C1A32" w:rsidTr="002B5CF4">
        <w:tc>
          <w:tcPr>
            <w:tcW w:w="5000" w:type="pct"/>
            <w:gridSpan w:val="4"/>
          </w:tcPr>
          <w:p w:rsidR="00377E21" w:rsidRPr="008D6C1E" w:rsidRDefault="00377E21" w:rsidP="00377E21">
            <w:pPr>
              <w:jc w:val="both"/>
              <w:rPr>
                <w:sz w:val="20"/>
                <w:lang w:val="fr-CA"/>
              </w:rPr>
            </w:pPr>
          </w:p>
        </w:tc>
      </w:tr>
      <w:tr w:rsidR="00377E21" w:rsidRPr="002C1A32" w:rsidTr="002B5CF4">
        <w:tc>
          <w:tcPr>
            <w:tcW w:w="5000" w:type="pct"/>
            <w:gridSpan w:val="4"/>
          </w:tcPr>
          <w:p w:rsidR="00377E21" w:rsidRPr="008D6C1E" w:rsidRDefault="00377E21" w:rsidP="00377E21">
            <w:pPr>
              <w:jc w:val="both"/>
              <w:rPr>
                <w:sz w:val="20"/>
                <w:lang w:val="fr-CA"/>
              </w:rPr>
            </w:pPr>
            <w:r w:rsidRPr="008D6C1E">
              <w:rPr>
                <w:sz w:val="20"/>
                <w:lang w:val="fr-CA"/>
              </w:rPr>
              <w:t>L’Alberta Utilities Commission a tenu une audience portant sur [</w:t>
            </w:r>
            <w:r w:rsidRPr="008D6C1E">
              <w:rPr>
                <w:smallCaps/>
                <w:sz w:val="20"/>
                <w:lang w:val="fr-CA"/>
              </w:rPr>
              <w:t>traduction</w:t>
            </w:r>
            <w:r w:rsidRPr="008D6C1E">
              <w:rPr>
                <w:sz w:val="20"/>
                <w:lang w:val="fr-CA"/>
              </w:rPr>
              <w:t>] l’aliénation des actifs d’un service public (</w:t>
            </w:r>
            <w:r w:rsidRPr="008D6C1E">
              <w:rPr>
                <w:i/>
                <w:sz w:val="20"/>
                <w:lang w:val="fr-CA"/>
              </w:rPr>
              <w:t xml:space="preserve">Utilities </w:t>
            </w:r>
            <w:proofErr w:type="spellStart"/>
            <w:r w:rsidRPr="008D6C1E">
              <w:rPr>
                <w:i/>
                <w:sz w:val="20"/>
                <w:lang w:val="fr-CA"/>
              </w:rPr>
              <w:t>Asset</w:t>
            </w:r>
            <w:proofErr w:type="spellEnd"/>
            <w:r w:rsidRPr="008D6C1E">
              <w:rPr>
                <w:i/>
                <w:sz w:val="20"/>
                <w:lang w:val="fr-CA"/>
              </w:rPr>
              <w:t xml:space="preserve"> Disposition</w:t>
            </w:r>
            <w:r w:rsidRPr="008D6C1E">
              <w:rPr>
                <w:sz w:val="20"/>
                <w:lang w:val="fr-CA"/>
              </w:rPr>
              <w:t>) dans laquelle elle a abordé la question du risque lié aux actifs délaissés, c’est-à-dire les actifs qui ne sont plus utilisés dans la prestation du service public en raison de circonstances extraordinaires. La Commission a conclu que lorsqu’un actif d’un service public de gaz ou d’électricité était délaissé à la suite d’une [</w:t>
            </w:r>
            <w:r w:rsidRPr="008D6C1E">
              <w:rPr>
                <w:smallCaps/>
                <w:sz w:val="20"/>
                <w:lang w:val="fr-CA"/>
              </w:rPr>
              <w:t>traduction</w:t>
            </w:r>
            <w:r w:rsidRPr="008D6C1E">
              <w:rPr>
                <w:sz w:val="20"/>
                <w:lang w:val="fr-CA"/>
              </w:rPr>
              <w:t>] « mise hors service extraordinaire » (</w:t>
            </w:r>
            <w:proofErr w:type="spellStart"/>
            <w:r w:rsidRPr="008D6C1E">
              <w:rPr>
                <w:i/>
                <w:sz w:val="20"/>
                <w:lang w:val="fr-CA"/>
              </w:rPr>
              <w:t>extraordinary</w:t>
            </w:r>
            <w:proofErr w:type="spellEnd"/>
            <w:r w:rsidRPr="008D6C1E">
              <w:rPr>
                <w:i/>
                <w:sz w:val="20"/>
                <w:lang w:val="fr-CA"/>
              </w:rPr>
              <w:t xml:space="preserve"> retirement</w:t>
            </w:r>
            <w:r w:rsidRPr="008D6C1E">
              <w:rPr>
                <w:sz w:val="20"/>
                <w:lang w:val="fr-CA"/>
              </w:rPr>
              <w:t xml:space="preserve">) (c’est-à-dire une mise hors service qui résulte d’une cause qui n’avait vraisemblablement pas été envisagée dans l’amortissement antérieurement approuvé pris en compte dans le calcul des tarifs), le service public, en tant que propriétaire de l’actif, absorbe la fraction non amortie du coût en capital. La Commission a statué que cette fraction devait être retranchée de l’assiette tarifaire du service public. </w:t>
            </w:r>
          </w:p>
          <w:p w:rsidR="00377E21" w:rsidRPr="008D6C1E" w:rsidRDefault="00377E21" w:rsidP="00377E21">
            <w:pPr>
              <w:jc w:val="both"/>
              <w:rPr>
                <w:sz w:val="20"/>
                <w:lang w:val="fr-CA"/>
              </w:rPr>
            </w:pPr>
          </w:p>
        </w:tc>
      </w:tr>
      <w:tr w:rsidR="00377E21" w:rsidRPr="002C1A32" w:rsidTr="002B5CF4">
        <w:tc>
          <w:tcPr>
            <w:tcW w:w="2427" w:type="pct"/>
            <w:gridSpan w:val="2"/>
          </w:tcPr>
          <w:p w:rsidR="00377E21" w:rsidRPr="008D6C1E" w:rsidRDefault="00377E21" w:rsidP="00377E21">
            <w:pPr>
              <w:jc w:val="both"/>
              <w:rPr>
                <w:sz w:val="20"/>
                <w:lang w:val="fr-CA"/>
              </w:rPr>
            </w:pPr>
            <w:r w:rsidRPr="008D6C1E">
              <w:rPr>
                <w:sz w:val="20"/>
                <w:lang w:val="fr-CA"/>
              </w:rPr>
              <w:t>26 novembre 2013</w:t>
            </w:r>
          </w:p>
          <w:p w:rsidR="00377E21" w:rsidRPr="008D6C1E" w:rsidRDefault="00377E21" w:rsidP="00377E21">
            <w:pPr>
              <w:jc w:val="both"/>
              <w:rPr>
                <w:sz w:val="20"/>
                <w:lang w:val="fr-CA"/>
              </w:rPr>
            </w:pPr>
            <w:r w:rsidRPr="008D6C1E">
              <w:rPr>
                <w:sz w:val="20"/>
                <w:lang w:val="fr-CA"/>
              </w:rPr>
              <w:t>Alberta Utilities Commission</w:t>
            </w:r>
          </w:p>
          <w:p w:rsidR="00377E21" w:rsidRPr="008D6C1E" w:rsidRDefault="00377E21" w:rsidP="00377E21">
            <w:pPr>
              <w:jc w:val="both"/>
              <w:rPr>
                <w:sz w:val="20"/>
                <w:lang w:val="fr-CA"/>
              </w:rPr>
            </w:pPr>
            <w:r w:rsidRPr="008D6C1E">
              <w:rPr>
                <w:sz w:val="20"/>
                <w:lang w:val="fr-CA"/>
              </w:rPr>
              <w:t xml:space="preserve">www.auc.ab.ca: </w:t>
            </w:r>
            <w:hyperlink r:id="rId34" w:history="1">
              <w:proofErr w:type="spellStart"/>
              <w:r w:rsidRPr="008D6C1E">
                <w:rPr>
                  <w:rStyle w:val="Hyperlink"/>
                  <w:sz w:val="20"/>
                  <w:lang w:val="fr-CA"/>
                </w:rPr>
                <w:t>Decision</w:t>
              </w:r>
              <w:proofErr w:type="spellEnd"/>
              <w:r w:rsidRPr="008D6C1E">
                <w:rPr>
                  <w:rStyle w:val="Hyperlink"/>
                  <w:sz w:val="20"/>
                  <w:lang w:val="fr-CA"/>
                </w:rPr>
                <w:t xml:space="preserve"> 2013-417</w:t>
              </w:r>
            </w:hyperlink>
          </w:p>
          <w:p w:rsidR="00377E21" w:rsidRPr="008D6C1E" w:rsidRDefault="00377E21" w:rsidP="00377E21">
            <w:pPr>
              <w:jc w:val="both"/>
              <w:rPr>
                <w:sz w:val="20"/>
                <w:lang w:val="fr-CA"/>
              </w:rPr>
            </w:pPr>
          </w:p>
        </w:tc>
        <w:tc>
          <w:tcPr>
            <w:tcW w:w="243" w:type="pct"/>
          </w:tcPr>
          <w:p w:rsidR="00377E21" w:rsidRPr="008D6C1E" w:rsidRDefault="00377E21" w:rsidP="00377E21">
            <w:pPr>
              <w:jc w:val="both"/>
              <w:rPr>
                <w:sz w:val="20"/>
                <w:lang w:val="fr-CA"/>
              </w:rPr>
            </w:pPr>
          </w:p>
        </w:tc>
        <w:tc>
          <w:tcPr>
            <w:tcW w:w="2330" w:type="pct"/>
          </w:tcPr>
          <w:p w:rsidR="00377E21" w:rsidRPr="008D6C1E" w:rsidRDefault="00377E21" w:rsidP="00377E21">
            <w:pPr>
              <w:jc w:val="both"/>
              <w:rPr>
                <w:sz w:val="20"/>
                <w:lang w:val="fr-CA"/>
              </w:rPr>
            </w:pPr>
            <w:r w:rsidRPr="008D6C1E">
              <w:rPr>
                <w:sz w:val="20"/>
                <w:lang w:val="fr-CA"/>
              </w:rPr>
              <w:t>Décision portant sur l’aliénation des actifs d’un service public</w:t>
            </w:r>
          </w:p>
          <w:p w:rsidR="00377E21" w:rsidRPr="008D6C1E" w:rsidRDefault="00377E21" w:rsidP="00377E21">
            <w:pPr>
              <w:jc w:val="both"/>
              <w:rPr>
                <w:sz w:val="20"/>
                <w:lang w:val="fr-CA"/>
              </w:rPr>
            </w:pPr>
          </w:p>
        </w:tc>
      </w:tr>
      <w:tr w:rsidR="00377E21" w:rsidRPr="008D6C1E" w:rsidTr="002B5CF4">
        <w:tc>
          <w:tcPr>
            <w:tcW w:w="2427" w:type="pct"/>
            <w:gridSpan w:val="2"/>
          </w:tcPr>
          <w:p w:rsidR="00377E21" w:rsidRPr="008D6C1E" w:rsidRDefault="00377E21" w:rsidP="00377E21">
            <w:pPr>
              <w:jc w:val="both"/>
              <w:rPr>
                <w:sz w:val="20"/>
                <w:lang w:val="fr-CA"/>
              </w:rPr>
            </w:pPr>
            <w:r w:rsidRPr="008D6C1E">
              <w:rPr>
                <w:sz w:val="20"/>
                <w:lang w:val="fr-CA"/>
              </w:rPr>
              <w:t>18 septembre 2015</w:t>
            </w:r>
          </w:p>
          <w:p w:rsidR="00377E21" w:rsidRPr="008D6C1E" w:rsidRDefault="00377E21" w:rsidP="00377E21">
            <w:pPr>
              <w:jc w:val="both"/>
              <w:rPr>
                <w:sz w:val="20"/>
                <w:lang w:val="fr-CA"/>
              </w:rPr>
            </w:pPr>
            <w:r w:rsidRPr="008D6C1E">
              <w:rPr>
                <w:sz w:val="20"/>
                <w:lang w:val="fr-CA"/>
              </w:rPr>
              <w:t>Cour d’appel de l’Alberta (Calgary)</w:t>
            </w:r>
          </w:p>
          <w:p w:rsidR="00377E21" w:rsidRPr="008D6C1E" w:rsidRDefault="00377E21" w:rsidP="00377E21">
            <w:pPr>
              <w:jc w:val="both"/>
              <w:rPr>
                <w:sz w:val="20"/>
                <w:lang w:val="fr-CA"/>
              </w:rPr>
            </w:pPr>
            <w:r w:rsidRPr="008D6C1E">
              <w:rPr>
                <w:sz w:val="20"/>
                <w:lang w:val="fr-CA"/>
              </w:rPr>
              <w:t xml:space="preserve">(Juges </w:t>
            </w:r>
            <w:proofErr w:type="spellStart"/>
            <w:r w:rsidRPr="008D6C1E">
              <w:rPr>
                <w:sz w:val="20"/>
                <w:lang w:val="fr-CA"/>
              </w:rPr>
              <w:t>Paperny</w:t>
            </w:r>
            <w:proofErr w:type="spellEnd"/>
            <w:r w:rsidRPr="008D6C1E">
              <w:rPr>
                <w:sz w:val="20"/>
                <w:lang w:val="fr-CA"/>
              </w:rPr>
              <w:t xml:space="preserve">, Watson et </w:t>
            </w:r>
            <w:proofErr w:type="spellStart"/>
            <w:r w:rsidRPr="008D6C1E">
              <w:rPr>
                <w:sz w:val="20"/>
                <w:lang w:val="fr-CA"/>
              </w:rPr>
              <w:t>Rowbotham</w:t>
            </w:r>
            <w:proofErr w:type="spellEnd"/>
            <w:r w:rsidRPr="008D6C1E">
              <w:rPr>
                <w:sz w:val="20"/>
                <w:lang w:val="fr-CA"/>
              </w:rPr>
              <w:t>)</w:t>
            </w:r>
          </w:p>
          <w:p w:rsidR="00377E21" w:rsidRPr="002C1A32" w:rsidRDefault="00377E21" w:rsidP="00377E21">
            <w:pPr>
              <w:jc w:val="both"/>
              <w:rPr>
                <w:sz w:val="20"/>
              </w:rPr>
            </w:pPr>
            <w:r w:rsidRPr="002C1A32">
              <w:rPr>
                <w:sz w:val="20"/>
              </w:rPr>
              <w:t xml:space="preserve">1301-0361-AC, 1301-0363-AC 1301-0365- AC, 1301-0366-AC 1301-0367-AC, 1301-0369-AC, 1301-0370-AC;  </w:t>
            </w:r>
            <w:hyperlink r:id="rId35" w:history="1">
              <w:r w:rsidRPr="002C1A32">
                <w:rPr>
                  <w:rStyle w:val="Hyperlink"/>
                  <w:sz w:val="20"/>
                </w:rPr>
                <w:t>2015 ABCA 295</w:t>
              </w:r>
            </w:hyperlink>
          </w:p>
          <w:p w:rsidR="00377E21" w:rsidRPr="002C1A32" w:rsidRDefault="00377E21" w:rsidP="00377E21">
            <w:pPr>
              <w:jc w:val="both"/>
              <w:rPr>
                <w:sz w:val="20"/>
              </w:rPr>
            </w:pPr>
          </w:p>
        </w:tc>
        <w:tc>
          <w:tcPr>
            <w:tcW w:w="243" w:type="pct"/>
          </w:tcPr>
          <w:p w:rsidR="00377E21" w:rsidRPr="002C1A32" w:rsidRDefault="00377E21" w:rsidP="00377E21">
            <w:pPr>
              <w:jc w:val="both"/>
              <w:rPr>
                <w:sz w:val="20"/>
              </w:rPr>
            </w:pPr>
          </w:p>
        </w:tc>
        <w:tc>
          <w:tcPr>
            <w:tcW w:w="2330" w:type="pct"/>
          </w:tcPr>
          <w:p w:rsidR="00377E21" w:rsidRPr="008D6C1E" w:rsidRDefault="00377E21" w:rsidP="00377E21">
            <w:pPr>
              <w:jc w:val="both"/>
              <w:rPr>
                <w:sz w:val="20"/>
                <w:lang w:val="fr-CA"/>
              </w:rPr>
            </w:pPr>
            <w:r w:rsidRPr="008D6C1E">
              <w:rPr>
                <w:sz w:val="20"/>
                <w:lang w:val="fr-CA"/>
              </w:rPr>
              <w:t>Rejet des appels</w:t>
            </w:r>
          </w:p>
        </w:tc>
      </w:tr>
      <w:tr w:rsidR="00377E21" w:rsidRPr="002C1A32" w:rsidTr="002B5CF4">
        <w:tc>
          <w:tcPr>
            <w:tcW w:w="2427" w:type="pct"/>
            <w:gridSpan w:val="2"/>
          </w:tcPr>
          <w:p w:rsidR="00377E21" w:rsidRPr="008D6C1E" w:rsidRDefault="00377E21" w:rsidP="00377E21">
            <w:pPr>
              <w:jc w:val="both"/>
              <w:rPr>
                <w:sz w:val="20"/>
                <w:lang w:val="fr-CA"/>
              </w:rPr>
            </w:pPr>
            <w:r w:rsidRPr="008D6C1E">
              <w:rPr>
                <w:sz w:val="20"/>
                <w:lang w:val="fr-CA"/>
              </w:rPr>
              <w:t>17 novembre 2015</w:t>
            </w:r>
          </w:p>
          <w:p w:rsidR="00377E21" w:rsidRPr="008D6C1E" w:rsidRDefault="00377E21" w:rsidP="00377E21">
            <w:pPr>
              <w:jc w:val="both"/>
              <w:rPr>
                <w:sz w:val="20"/>
                <w:lang w:val="fr-CA"/>
              </w:rPr>
            </w:pPr>
            <w:r w:rsidRPr="008D6C1E">
              <w:rPr>
                <w:sz w:val="20"/>
                <w:lang w:val="fr-CA"/>
              </w:rPr>
              <w:t>Cour suprême du Canada</w:t>
            </w:r>
          </w:p>
          <w:p w:rsidR="00377E21" w:rsidRPr="008D6C1E" w:rsidRDefault="00377E21" w:rsidP="00377E21">
            <w:pPr>
              <w:jc w:val="both"/>
              <w:rPr>
                <w:sz w:val="20"/>
                <w:lang w:val="fr-CA"/>
              </w:rPr>
            </w:pPr>
          </w:p>
        </w:tc>
        <w:tc>
          <w:tcPr>
            <w:tcW w:w="243" w:type="pct"/>
          </w:tcPr>
          <w:p w:rsidR="00377E21" w:rsidRPr="008D6C1E" w:rsidRDefault="00377E21" w:rsidP="00377E21">
            <w:pPr>
              <w:jc w:val="both"/>
              <w:rPr>
                <w:sz w:val="20"/>
                <w:lang w:val="fr-CA"/>
              </w:rPr>
            </w:pPr>
          </w:p>
        </w:tc>
        <w:tc>
          <w:tcPr>
            <w:tcW w:w="2330" w:type="pct"/>
          </w:tcPr>
          <w:p w:rsidR="00377E21" w:rsidRPr="008D6C1E" w:rsidRDefault="00377E21" w:rsidP="00377E21">
            <w:pPr>
              <w:jc w:val="both"/>
              <w:rPr>
                <w:sz w:val="20"/>
                <w:lang w:val="fr-CA"/>
              </w:rPr>
            </w:pPr>
            <w:r w:rsidRPr="008D6C1E">
              <w:rPr>
                <w:sz w:val="20"/>
                <w:lang w:val="fr-CA"/>
              </w:rPr>
              <w:t>Dépôt de la demande d’autorisation d’appel</w:t>
            </w:r>
          </w:p>
        </w:tc>
      </w:tr>
      <w:tr w:rsidR="00377E21" w:rsidRPr="002C1A32" w:rsidTr="002B5CF4">
        <w:tc>
          <w:tcPr>
            <w:tcW w:w="2427" w:type="pct"/>
            <w:gridSpan w:val="2"/>
          </w:tcPr>
          <w:p w:rsidR="00377E21" w:rsidRPr="008D6C1E" w:rsidRDefault="00377E21" w:rsidP="00377E21">
            <w:pPr>
              <w:jc w:val="both"/>
              <w:rPr>
                <w:sz w:val="20"/>
                <w:lang w:val="fr-CA"/>
              </w:rPr>
            </w:pPr>
            <w:r w:rsidRPr="008D6C1E">
              <w:rPr>
                <w:sz w:val="20"/>
                <w:lang w:val="fr-CA"/>
              </w:rPr>
              <w:t>17 novembre 2015</w:t>
            </w:r>
          </w:p>
          <w:p w:rsidR="00377E21" w:rsidRPr="008D6C1E" w:rsidRDefault="00377E21" w:rsidP="00377E21">
            <w:pPr>
              <w:jc w:val="both"/>
              <w:rPr>
                <w:sz w:val="20"/>
                <w:lang w:val="fr-CA"/>
              </w:rPr>
            </w:pPr>
            <w:r w:rsidRPr="008D6C1E">
              <w:rPr>
                <w:sz w:val="20"/>
                <w:lang w:val="fr-CA"/>
              </w:rPr>
              <w:t>Cour suprême du Canada</w:t>
            </w:r>
          </w:p>
        </w:tc>
        <w:tc>
          <w:tcPr>
            <w:tcW w:w="243" w:type="pct"/>
          </w:tcPr>
          <w:p w:rsidR="00377E21" w:rsidRPr="008D6C1E" w:rsidRDefault="00377E21" w:rsidP="00377E21">
            <w:pPr>
              <w:jc w:val="both"/>
              <w:rPr>
                <w:sz w:val="20"/>
                <w:lang w:val="fr-CA"/>
              </w:rPr>
            </w:pPr>
          </w:p>
        </w:tc>
        <w:tc>
          <w:tcPr>
            <w:tcW w:w="2330" w:type="pct"/>
          </w:tcPr>
          <w:p w:rsidR="00377E21" w:rsidRPr="008D6C1E" w:rsidRDefault="00377E21" w:rsidP="00377E21">
            <w:pPr>
              <w:jc w:val="both"/>
              <w:rPr>
                <w:sz w:val="20"/>
                <w:lang w:val="fr-CA"/>
              </w:rPr>
            </w:pPr>
            <w:r w:rsidRPr="008D6C1E">
              <w:rPr>
                <w:sz w:val="20"/>
                <w:lang w:val="fr-CA"/>
              </w:rPr>
              <w:t>Dépôt de la demande de prorogation du délai de signification de la demande d’autorisation d’appel et de la demande d’autorisation d’appel</w:t>
            </w:r>
          </w:p>
        </w:tc>
      </w:tr>
    </w:tbl>
    <w:p w:rsidR="00377E21" w:rsidRPr="008D6C1E" w:rsidRDefault="00377E21" w:rsidP="00BD796B">
      <w:pPr>
        <w:jc w:val="both"/>
        <w:rPr>
          <w:sz w:val="20"/>
          <w:lang w:val="fr-CA"/>
        </w:rPr>
      </w:pPr>
    </w:p>
    <w:p w:rsidR="00377E21" w:rsidRPr="008D6C1E" w:rsidRDefault="00377E21" w:rsidP="00BD796B">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D796B" w:rsidRPr="008D6C1E" w:rsidTr="002B5CF4">
        <w:tc>
          <w:tcPr>
            <w:tcW w:w="543" w:type="pct"/>
          </w:tcPr>
          <w:p w:rsidR="00BD796B" w:rsidRPr="008D6C1E" w:rsidRDefault="00BD796B" w:rsidP="00BD796B">
            <w:pPr>
              <w:jc w:val="both"/>
              <w:rPr>
                <w:sz w:val="20"/>
              </w:rPr>
            </w:pPr>
            <w:r w:rsidRPr="008D6C1E">
              <w:rPr>
                <w:rStyle w:val="SCCFileNumberChar"/>
                <w:sz w:val="20"/>
                <w:szCs w:val="20"/>
              </w:rPr>
              <w:t>36812</w:t>
            </w:r>
          </w:p>
        </w:tc>
        <w:tc>
          <w:tcPr>
            <w:tcW w:w="4457" w:type="pct"/>
            <w:gridSpan w:val="3"/>
          </w:tcPr>
          <w:p w:rsidR="00BD796B" w:rsidRPr="002C1A32" w:rsidRDefault="00BD796B" w:rsidP="00BD796B">
            <w:pPr>
              <w:pStyle w:val="SCCLsocParty"/>
              <w:jc w:val="both"/>
              <w:rPr>
                <w:b/>
                <w:sz w:val="20"/>
                <w:szCs w:val="20"/>
                <w:lang w:val="en-US"/>
              </w:rPr>
            </w:pPr>
            <w:r w:rsidRPr="002C1A32">
              <w:rPr>
                <w:b/>
                <w:sz w:val="20"/>
                <w:szCs w:val="20"/>
                <w:lang w:val="en-US"/>
              </w:rPr>
              <w:t>Anne Brigitte Leclerc v. Allan Kent Weber</w:t>
            </w:r>
          </w:p>
          <w:p w:rsidR="00BD796B" w:rsidRPr="008D6C1E" w:rsidRDefault="00BD796B" w:rsidP="00BD796B">
            <w:pPr>
              <w:jc w:val="both"/>
              <w:rPr>
                <w:sz w:val="20"/>
              </w:rPr>
            </w:pPr>
            <w:r w:rsidRPr="008D6C1E">
              <w:rPr>
                <w:sz w:val="20"/>
              </w:rPr>
              <w:t>(B.C.) (Civil) (By Leave)</w:t>
            </w:r>
          </w:p>
        </w:tc>
      </w:tr>
      <w:tr w:rsidR="00BD796B" w:rsidRPr="008D6C1E" w:rsidTr="002B5CF4">
        <w:tc>
          <w:tcPr>
            <w:tcW w:w="5000" w:type="pct"/>
            <w:gridSpan w:val="4"/>
          </w:tcPr>
          <w:p w:rsidR="00BD796B" w:rsidRPr="008D6C1E" w:rsidRDefault="00BD796B" w:rsidP="00BD796B">
            <w:pPr>
              <w:jc w:val="both"/>
              <w:rPr>
                <w:sz w:val="20"/>
              </w:rPr>
            </w:pPr>
            <w:r w:rsidRPr="008D6C1E">
              <w:rPr>
                <w:sz w:val="20"/>
              </w:rPr>
              <w:t xml:space="preserve">Family law — Whether the summary trial judge erred in law in defining a marriage-like relationship under the </w:t>
            </w:r>
            <w:r w:rsidRPr="008D6C1E">
              <w:rPr>
                <w:i/>
                <w:sz w:val="20"/>
              </w:rPr>
              <w:t>Family Law Act</w:t>
            </w:r>
            <w:r w:rsidRPr="008D6C1E">
              <w:rPr>
                <w:sz w:val="20"/>
              </w:rPr>
              <w:t xml:space="preserve">, SBC 2011, c. 25 — Whether this was an extricable error of law — Whether the summary trial judge erred in finding, as a question of mixed fact and law, that the parties were spouses — Whether the Court of Appeal erred in law in defining a marriage-like relationship under the </w:t>
            </w:r>
            <w:r w:rsidRPr="008D6C1E">
              <w:rPr>
                <w:i/>
                <w:sz w:val="20"/>
              </w:rPr>
              <w:t>Family Law Act</w:t>
            </w:r>
            <w:r w:rsidRPr="008D6C1E">
              <w:rPr>
                <w:sz w:val="20"/>
              </w:rPr>
              <w:t>, SBC 2011, c. 25.</w:t>
            </w:r>
          </w:p>
        </w:tc>
      </w:tr>
      <w:tr w:rsidR="00BD796B" w:rsidRPr="008D6C1E" w:rsidTr="002B5CF4">
        <w:tc>
          <w:tcPr>
            <w:tcW w:w="5000" w:type="pct"/>
            <w:gridSpan w:val="4"/>
          </w:tcPr>
          <w:p w:rsidR="00BD796B" w:rsidRPr="008D6C1E" w:rsidRDefault="00BD796B" w:rsidP="00BD796B">
            <w:pPr>
              <w:jc w:val="both"/>
              <w:rPr>
                <w:sz w:val="20"/>
              </w:rPr>
            </w:pPr>
          </w:p>
        </w:tc>
      </w:tr>
      <w:tr w:rsidR="00BD796B" w:rsidRPr="008D6C1E" w:rsidTr="002B5CF4">
        <w:tc>
          <w:tcPr>
            <w:tcW w:w="5000" w:type="pct"/>
            <w:gridSpan w:val="4"/>
          </w:tcPr>
          <w:p w:rsidR="00BD796B" w:rsidRPr="008D6C1E" w:rsidRDefault="00BD796B" w:rsidP="00BD796B">
            <w:pPr>
              <w:jc w:val="both"/>
              <w:rPr>
                <w:iCs/>
                <w:sz w:val="20"/>
              </w:rPr>
            </w:pPr>
            <w:r w:rsidRPr="008D6C1E">
              <w:rPr>
                <w:sz w:val="20"/>
              </w:rPr>
              <w:t xml:space="preserve">The parties began cohabiting in 2002, and continued to live together until 2011 or later. While they agree in their descriptions of many aspects of the relationship, they do not agree on whether their relationship made them “spouses” for the purposes of the </w:t>
            </w:r>
            <w:r w:rsidRPr="008D6C1E">
              <w:rPr>
                <w:i/>
                <w:sz w:val="20"/>
              </w:rPr>
              <w:t>Family Law Act</w:t>
            </w:r>
            <w:r w:rsidRPr="008D6C1E">
              <w:rPr>
                <w:sz w:val="20"/>
              </w:rPr>
              <w:t xml:space="preserve">, SBC 2011, c. 25, </w:t>
            </w:r>
            <w:proofErr w:type="gramStart"/>
            <w:r w:rsidRPr="008D6C1E">
              <w:rPr>
                <w:sz w:val="20"/>
              </w:rPr>
              <w:t>s</w:t>
            </w:r>
            <w:proofErr w:type="gramEnd"/>
            <w:r w:rsidRPr="008D6C1E">
              <w:rPr>
                <w:sz w:val="20"/>
              </w:rPr>
              <w:t>. 3. The applicant sought a declaration, by way of summary trial, that the parties were not spouses under s. 3(1</w:t>
            </w:r>
            <w:proofErr w:type="gramStart"/>
            <w:r w:rsidRPr="008D6C1E">
              <w:rPr>
                <w:sz w:val="20"/>
              </w:rPr>
              <w:t>)(</w:t>
            </w:r>
            <w:proofErr w:type="gramEnd"/>
            <w:r w:rsidRPr="008D6C1E">
              <w:rPr>
                <w:sz w:val="20"/>
              </w:rPr>
              <w:t>b)(</w:t>
            </w:r>
            <w:proofErr w:type="spellStart"/>
            <w:r w:rsidRPr="008D6C1E">
              <w:rPr>
                <w:sz w:val="20"/>
              </w:rPr>
              <w:t>i</w:t>
            </w:r>
            <w:proofErr w:type="spellEnd"/>
            <w:r w:rsidRPr="008D6C1E">
              <w:rPr>
                <w:sz w:val="20"/>
              </w:rPr>
              <w:t xml:space="preserve">) of the </w:t>
            </w:r>
            <w:r w:rsidRPr="008D6C1E">
              <w:rPr>
                <w:i/>
                <w:iCs/>
                <w:sz w:val="20"/>
              </w:rPr>
              <w:t>Act</w:t>
            </w:r>
            <w:r w:rsidRPr="008D6C1E">
              <w:rPr>
                <w:iCs/>
                <w:sz w:val="20"/>
              </w:rPr>
              <w:t xml:space="preserve"> on the basis that they had not lived in a “marriage-like relationship”.</w:t>
            </w:r>
            <w:r w:rsidRPr="008D6C1E">
              <w:rPr>
                <w:sz w:val="20"/>
              </w:rPr>
              <w:t xml:space="preserve"> The summary trial judge found that the relationship of the parties was “marriage-like”, and declared them to have been spouses under the </w:t>
            </w:r>
            <w:r w:rsidRPr="008D6C1E">
              <w:rPr>
                <w:i/>
                <w:sz w:val="20"/>
              </w:rPr>
              <w:t>Act</w:t>
            </w:r>
            <w:r w:rsidRPr="008D6C1E">
              <w:rPr>
                <w:sz w:val="20"/>
              </w:rPr>
              <w:t xml:space="preserve">. </w:t>
            </w:r>
            <w:r w:rsidRPr="008D6C1E">
              <w:rPr>
                <w:iCs/>
                <w:sz w:val="20"/>
              </w:rPr>
              <w:t>The Court of Appeal dismissed the appeal.</w:t>
            </w:r>
          </w:p>
          <w:p w:rsidR="00BD796B" w:rsidRPr="008D6C1E" w:rsidRDefault="00BD796B" w:rsidP="00BD796B">
            <w:pPr>
              <w:jc w:val="both"/>
              <w:rPr>
                <w:sz w:val="20"/>
              </w:rPr>
            </w:pPr>
          </w:p>
        </w:tc>
      </w:tr>
      <w:tr w:rsidR="00BD796B" w:rsidRPr="008D6C1E" w:rsidTr="002B5CF4">
        <w:tc>
          <w:tcPr>
            <w:tcW w:w="2427" w:type="pct"/>
            <w:gridSpan w:val="2"/>
          </w:tcPr>
          <w:p w:rsidR="00BD796B" w:rsidRPr="008D6C1E" w:rsidRDefault="00BD796B" w:rsidP="00BD796B">
            <w:pPr>
              <w:jc w:val="both"/>
              <w:rPr>
                <w:sz w:val="20"/>
              </w:rPr>
            </w:pPr>
            <w:r w:rsidRPr="008D6C1E">
              <w:rPr>
                <w:sz w:val="20"/>
              </w:rPr>
              <w:t>April 24, 2015</w:t>
            </w:r>
          </w:p>
          <w:p w:rsidR="00BD796B" w:rsidRPr="008D6C1E" w:rsidRDefault="00BD796B" w:rsidP="00BD796B">
            <w:pPr>
              <w:jc w:val="both"/>
              <w:rPr>
                <w:sz w:val="20"/>
              </w:rPr>
            </w:pPr>
            <w:r w:rsidRPr="008D6C1E">
              <w:rPr>
                <w:sz w:val="20"/>
              </w:rPr>
              <w:t>Supreme Court of British Columbia</w:t>
            </w:r>
          </w:p>
          <w:p w:rsidR="00BD796B" w:rsidRPr="008D6C1E" w:rsidRDefault="00BD796B" w:rsidP="00BD796B">
            <w:pPr>
              <w:jc w:val="both"/>
              <w:rPr>
                <w:sz w:val="20"/>
              </w:rPr>
            </w:pPr>
            <w:r w:rsidRPr="008D6C1E">
              <w:rPr>
                <w:sz w:val="20"/>
              </w:rPr>
              <w:t>(Gropper J.)</w:t>
            </w:r>
          </w:p>
          <w:p w:rsidR="00BD796B" w:rsidRPr="008D6C1E" w:rsidRDefault="00BD796B" w:rsidP="00BD796B">
            <w:pPr>
              <w:jc w:val="both"/>
              <w:rPr>
                <w:sz w:val="20"/>
              </w:rPr>
            </w:pPr>
            <w:r w:rsidRPr="008D6C1E">
              <w:rPr>
                <w:sz w:val="20"/>
              </w:rPr>
              <w:t>2015 BCSC 650</w:t>
            </w:r>
          </w:p>
          <w:p w:rsidR="00BD796B" w:rsidRPr="008D6C1E" w:rsidRDefault="005E6DC4" w:rsidP="00BD796B">
            <w:pPr>
              <w:jc w:val="both"/>
              <w:rPr>
                <w:sz w:val="20"/>
              </w:rPr>
            </w:pPr>
            <w:hyperlink r:id="rId36" w:history="1">
              <w:r w:rsidR="00BD796B" w:rsidRPr="008D6C1E">
                <w:rPr>
                  <w:rStyle w:val="Hyperlink"/>
                  <w:rFonts w:eastAsiaTheme="majorEastAsia"/>
                  <w:sz w:val="20"/>
                </w:rPr>
                <w:t>http://canlii.ca/t/ghbrz</w:t>
              </w:r>
            </w:hyperlink>
          </w:p>
          <w:p w:rsidR="00BD796B" w:rsidRPr="008D6C1E" w:rsidRDefault="00BD796B" w:rsidP="00BD796B">
            <w:pPr>
              <w:jc w:val="both"/>
              <w:rPr>
                <w:sz w:val="20"/>
              </w:rPr>
            </w:pPr>
          </w:p>
        </w:tc>
        <w:tc>
          <w:tcPr>
            <w:tcW w:w="243" w:type="pct"/>
          </w:tcPr>
          <w:p w:rsidR="00BD796B" w:rsidRPr="008D6C1E" w:rsidRDefault="00BD796B" w:rsidP="00BD796B">
            <w:pPr>
              <w:jc w:val="both"/>
              <w:rPr>
                <w:sz w:val="20"/>
              </w:rPr>
            </w:pPr>
          </w:p>
        </w:tc>
        <w:tc>
          <w:tcPr>
            <w:tcW w:w="2330" w:type="pct"/>
          </w:tcPr>
          <w:p w:rsidR="00BD796B" w:rsidRPr="008D6C1E" w:rsidRDefault="00BD796B" w:rsidP="00BD796B">
            <w:pPr>
              <w:jc w:val="both"/>
              <w:rPr>
                <w:sz w:val="20"/>
              </w:rPr>
            </w:pPr>
            <w:r w:rsidRPr="008D6C1E">
              <w:rPr>
                <w:sz w:val="20"/>
              </w:rPr>
              <w:t xml:space="preserve">Ruling: the summary trial judge found that the relationship of the parties was “marriage-like”, and declared them to have been spouses under the </w:t>
            </w:r>
            <w:r w:rsidRPr="008D6C1E">
              <w:rPr>
                <w:i/>
                <w:sz w:val="20"/>
              </w:rPr>
              <w:t>Family Law Act</w:t>
            </w:r>
          </w:p>
          <w:p w:rsidR="00BD796B" w:rsidRPr="008D6C1E" w:rsidRDefault="00BD796B" w:rsidP="00BD796B">
            <w:pPr>
              <w:jc w:val="both"/>
              <w:rPr>
                <w:sz w:val="20"/>
              </w:rPr>
            </w:pPr>
          </w:p>
        </w:tc>
      </w:tr>
      <w:tr w:rsidR="00BD796B" w:rsidRPr="008D6C1E" w:rsidTr="002B5CF4">
        <w:tc>
          <w:tcPr>
            <w:tcW w:w="2427" w:type="pct"/>
            <w:gridSpan w:val="2"/>
          </w:tcPr>
          <w:p w:rsidR="00BD796B" w:rsidRPr="008D6C1E" w:rsidRDefault="00BD796B" w:rsidP="00BD796B">
            <w:pPr>
              <w:jc w:val="both"/>
              <w:rPr>
                <w:sz w:val="20"/>
              </w:rPr>
            </w:pPr>
            <w:r w:rsidRPr="008D6C1E">
              <w:rPr>
                <w:sz w:val="20"/>
              </w:rPr>
              <w:t>November 30, 2015</w:t>
            </w:r>
          </w:p>
          <w:p w:rsidR="00BD796B" w:rsidRPr="008D6C1E" w:rsidRDefault="00BD796B" w:rsidP="00BD796B">
            <w:pPr>
              <w:jc w:val="both"/>
              <w:rPr>
                <w:sz w:val="20"/>
              </w:rPr>
            </w:pPr>
            <w:r w:rsidRPr="008D6C1E">
              <w:rPr>
                <w:sz w:val="20"/>
              </w:rPr>
              <w:t xml:space="preserve">Court of Appeal for British Columbia </w:t>
            </w:r>
          </w:p>
          <w:p w:rsidR="00BD796B" w:rsidRPr="008D6C1E" w:rsidRDefault="00BD796B" w:rsidP="00BD796B">
            <w:pPr>
              <w:jc w:val="both"/>
              <w:rPr>
                <w:sz w:val="20"/>
                <w:lang w:val="fr-FR"/>
              </w:rPr>
            </w:pPr>
            <w:r w:rsidRPr="008D6C1E">
              <w:rPr>
                <w:sz w:val="20"/>
                <w:lang w:val="fr-FR"/>
              </w:rPr>
              <w:t>(Vancouver)</w:t>
            </w:r>
          </w:p>
          <w:p w:rsidR="00BD796B" w:rsidRPr="008D6C1E" w:rsidRDefault="00BD796B" w:rsidP="00BD796B">
            <w:pPr>
              <w:jc w:val="both"/>
              <w:rPr>
                <w:sz w:val="20"/>
                <w:lang w:val="fr-FR"/>
              </w:rPr>
            </w:pPr>
            <w:r w:rsidRPr="008D6C1E">
              <w:rPr>
                <w:sz w:val="20"/>
                <w:lang w:val="fr-FR"/>
              </w:rPr>
              <w:t>(</w:t>
            </w:r>
            <w:proofErr w:type="spellStart"/>
            <w:r w:rsidRPr="008D6C1E">
              <w:rPr>
                <w:sz w:val="20"/>
                <w:lang w:val="fr-FR"/>
              </w:rPr>
              <w:t>Groberman</w:t>
            </w:r>
            <w:proofErr w:type="spellEnd"/>
            <w:r w:rsidRPr="008D6C1E">
              <w:rPr>
                <w:sz w:val="20"/>
                <w:lang w:val="fr-FR"/>
              </w:rPr>
              <w:t xml:space="preserve">, </w:t>
            </w:r>
            <w:proofErr w:type="spellStart"/>
            <w:r w:rsidRPr="008D6C1E">
              <w:rPr>
                <w:sz w:val="20"/>
                <w:lang w:val="fr-FR"/>
              </w:rPr>
              <w:t>MacKenzie</w:t>
            </w:r>
            <w:proofErr w:type="spellEnd"/>
            <w:r w:rsidRPr="008D6C1E">
              <w:rPr>
                <w:sz w:val="20"/>
                <w:lang w:val="fr-FR"/>
              </w:rPr>
              <w:t xml:space="preserve">, </w:t>
            </w:r>
            <w:proofErr w:type="spellStart"/>
            <w:r w:rsidRPr="008D6C1E">
              <w:rPr>
                <w:sz w:val="20"/>
                <w:lang w:val="fr-FR"/>
              </w:rPr>
              <w:t>Goepel</w:t>
            </w:r>
            <w:proofErr w:type="spellEnd"/>
            <w:r w:rsidRPr="008D6C1E">
              <w:rPr>
                <w:sz w:val="20"/>
                <w:lang w:val="fr-FR"/>
              </w:rPr>
              <w:t> JJ.A.)</w:t>
            </w:r>
          </w:p>
          <w:p w:rsidR="00BD796B" w:rsidRPr="008D6C1E" w:rsidRDefault="00BD796B" w:rsidP="00BD796B">
            <w:pPr>
              <w:jc w:val="both"/>
              <w:rPr>
                <w:sz w:val="20"/>
              </w:rPr>
            </w:pPr>
            <w:r w:rsidRPr="008D6C1E">
              <w:rPr>
                <w:sz w:val="20"/>
              </w:rPr>
              <w:t>2015 BCCA 492; CA42783</w:t>
            </w:r>
          </w:p>
          <w:p w:rsidR="00BD796B" w:rsidRPr="008D6C1E" w:rsidRDefault="005E6DC4" w:rsidP="00BD796B">
            <w:pPr>
              <w:jc w:val="both"/>
              <w:rPr>
                <w:sz w:val="20"/>
              </w:rPr>
            </w:pPr>
            <w:hyperlink r:id="rId37" w:history="1">
              <w:r w:rsidR="00BD796B" w:rsidRPr="008D6C1E">
                <w:rPr>
                  <w:rStyle w:val="Hyperlink"/>
                  <w:rFonts w:eastAsiaTheme="majorEastAsia"/>
                  <w:sz w:val="20"/>
                </w:rPr>
                <w:t>http://canlii.ca/t/gm9nx</w:t>
              </w:r>
            </w:hyperlink>
          </w:p>
          <w:p w:rsidR="00BD796B" w:rsidRPr="008D6C1E" w:rsidRDefault="00BD796B" w:rsidP="00BD796B">
            <w:pPr>
              <w:jc w:val="both"/>
              <w:rPr>
                <w:sz w:val="20"/>
              </w:rPr>
            </w:pPr>
          </w:p>
        </w:tc>
        <w:tc>
          <w:tcPr>
            <w:tcW w:w="243" w:type="pct"/>
          </w:tcPr>
          <w:p w:rsidR="00BD796B" w:rsidRPr="008D6C1E" w:rsidRDefault="00BD796B" w:rsidP="00BD796B">
            <w:pPr>
              <w:jc w:val="both"/>
              <w:rPr>
                <w:sz w:val="20"/>
              </w:rPr>
            </w:pPr>
          </w:p>
        </w:tc>
        <w:tc>
          <w:tcPr>
            <w:tcW w:w="2330" w:type="pct"/>
          </w:tcPr>
          <w:p w:rsidR="00BD796B" w:rsidRPr="008D6C1E" w:rsidRDefault="00BD796B" w:rsidP="00BD796B">
            <w:pPr>
              <w:jc w:val="both"/>
              <w:rPr>
                <w:sz w:val="20"/>
              </w:rPr>
            </w:pPr>
            <w:r w:rsidRPr="008D6C1E">
              <w:rPr>
                <w:sz w:val="20"/>
              </w:rPr>
              <w:t>Appeal dismissed with costs</w:t>
            </w:r>
          </w:p>
          <w:p w:rsidR="00BD796B" w:rsidRPr="008D6C1E" w:rsidRDefault="00BD796B" w:rsidP="00BD796B">
            <w:pPr>
              <w:jc w:val="both"/>
              <w:rPr>
                <w:sz w:val="20"/>
              </w:rPr>
            </w:pPr>
          </w:p>
        </w:tc>
      </w:tr>
      <w:tr w:rsidR="00BD796B" w:rsidRPr="008D6C1E" w:rsidTr="002B5CF4">
        <w:tc>
          <w:tcPr>
            <w:tcW w:w="2427" w:type="pct"/>
            <w:gridSpan w:val="2"/>
          </w:tcPr>
          <w:p w:rsidR="00BD796B" w:rsidRPr="008D6C1E" w:rsidRDefault="00BD796B" w:rsidP="00BD796B">
            <w:pPr>
              <w:jc w:val="both"/>
              <w:rPr>
                <w:sz w:val="20"/>
              </w:rPr>
            </w:pPr>
            <w:r w:rsidRPr="008D6C1E">
              <w:rPr>
                <w:sz w:val="20"/>
              </w:rPr>
              <w:t>January 15, 2016</w:t>
            </w:r>
          </w:p>
          <w:p w:rsidR="00BD796B" w:rsidRPr="008D6C1E" w:rsidRDefault="00BD796B" w:rsidP="00BD796B">
            <w:pPr>
              <w:jc w:val="both"/>
              <w:rPr>
                <w:sz w:val="20"/>
              </w:rPr>
            </w:pPr>
            <w:r w:rsidRPr="008D6C1E">
              <w:rPr>
                <w:sz w:val="20"/>
              </w:rPr>
              <w:t>Supreme Court of Canada</w:t>
            </w:r>
          </w:p>
        </w:tc>
        <w:tc>
          <w:tcPr>
            <w:tcW w:w="243" w:type="pct"/>
          </w:tcPr>
          <w:p w:rsidR="00BD796B" w:rsidRPr="008D6C1E" w:rsidRDefault="00BD796B" w:rsidP="00BD796B">
            <w:pPr>
              <w:jc w:val="both"/>
              <w:rPr>
                <w:sz w:val="20"/>
              </w:rPr>
            </w:pPr>
          </w:p>
        </w:tc>
        <w:tc>
          <w:tcPr>
            <w:tcW w:w="2330" w:type="pct"/>
          </w:tcPr>
          <w:p w:rsidR="00BD796B" w:rsidRPr="008D6C1E" w:rsidRDefault="00BD796B" w:rsidP="00BD796B">
            <w:pPr>
              <w:jc w:val="both"/>
              <w:rPr>
                <w:sz w:val="20"/>
              </w:rPr>
            </w:pPr>
            <w:r w:rsidRPr="008D6C1E">
              <w:rPr>
                <w:sz w:val="20"/>
              </w:rPr>
              <w:t>Application for leave to appeal filed</w:t>
            </w:r>
          </w:p>
          <w:p w:rsidR="00BD796B" w:rsidRPr="008D6C1E" w:rsidRDefault="00BD796B" w:rsidP="00BD796B">
            <w:pPr>
              <w:jc w:val="both"/>
              <w:rPr>
                <w:sz w:val="20"/>
              </w:rPr>
            </w:pPr>
          </w:p>
        </w:tc>
      </w:tr>
    </w:tbl>
    <w:p w:rsidR="00BD796B" w:rsidRPr="008D6C1E" w:rsidRDefault="00BD796B" w:rsidP="00BD796B">
      <w:pPr>
        <w:jc w:val="both"/>
        <w:rPr>
          <w:sz w:val="20"/>
        </w:rPr>
      </w:pPr>
    </w:p>
    <w:p w:rsidR="00BD796B" w:rsidRPr="008D6C1E" w:rsidRDefault="00BD796B" w:rsidP="00BD796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D796B" w:rsidRPr="002C1A32" w:rsidTr="002B5CF4">
        <w:tc>
          <w:tcPr>
            <w:tcW w:w="543" w:type="pct"/>
          </w:tcPr>
          <w:p w:rsidR="00BD796B" w:rsidRPr="008D6C1E" w:rsidRDefault="00BD796B" w:rsidP="00BD796B">
            <w:pPr>
              <w:jc w:val="both"/>
              <w:rPr>
                <w:sz w:val="20"/>
                <w:lang w:val="fr-CA"/>
              </w:rPr>
            </w:pPr>
            <w:r w:rsidRPr="008D6C1E">
              <w:rPr>
                <w:rStyle w:val="SCCFileNumberChar"/>
                <w:sz w:val="20"/>
                <w:szCs w:val="20"/>
                <w:lang w:val="fr-CA"/>
              </w:rPr>
              <w:t>36812</w:t>
            </w:r>
          </w:p>
        </w:tc>
        <w:tc>
          <w:tcPr>
            <w:tcW w:w="4457" w:type="pct"/>
            <w:gridSpan w:val="3"/>
          </w:tcPr>
          <w:p w:rsidR="00BD796B" w:rsidRPr="008D6C1E" w:rsidRDefault="00BD796B" w:rsidP="00BD796B">
            <w:pPr>
              <w:pStyle w:val="SCCLsocParty"/>
              <w:jc w:val="both"/>
              <w:rPr>
                <w:b/>
                <w:sz w:val="20"/>
                <w:szCs w:val="20"/>
              </w:rPr>
            </w:pPr>
            <w:r w:rsidRPr="008D6C1E">
              <w:rPr>
                <w:b/>
                <w:sz w:val="20"/>
                <w:szCs w:val="20"/>
              </w:rPr>
              <w:t>Anne Brigitte Leclerc c. Allan Kent Weber</w:t>
            </w:r>
          </w:p>
          <w:p w:rsidR="00BD796B" w:rsidRPr="008D6C1E" w:rsidRDefault="00BD796B" w:rsidP="00BD796B">
            <w:pPr>
              <w:jc w:val="both"/>
              <w:rPr>
                <w:sz w:val="20"/>
                <w:lang w:val="fr-CA"/>
              </w:rPr>
            </w:pPr>
            <w:r w:rsidRPr="008D6C1E">
              <w:rPr>
                <w:sz w:val="20"/>
                <w:lang w:val="fr-CA"/>
              </w:rPr>
              <w:t>(C.-B.) (Civile) (Sur autorisation)</w:t>
            </w:r>
          </w:p>
        </w:tc>
      </w:tr>
      <w:tr w:rsidR="00BD796B" w:rsidRPr="002C1A32" w:rsidTr="002B5CF4">
        <w:tc>
          <w:tcPr>
            <w:tcW w:w="5000" w:type="pct"/>
            <w:gridSpan w:val="4"/>
          </w:tcPr>
          <w:p w:rsidR="00BD796B" w:rsidRPr="008D6C1E" w:rsidRDefault="00BD796B" w:rsidP="00BD796B">
            <w:pPr>
              <w:jc w:val="both"/>
              <w:rPr>
                <w:sz w:val="20"/>
                <w:lang w:val="fr-CA"/>
              </w:rPr>
            </w:pPr>
            <w:r w:rsidRPr="008D6C1E">
              <w:rPr>
                <w:sz w:val="20"/>
                <w:lang w:val="fr-CA"/>
              </w:rPr>
              <w:t xml:space="preserve">Droit de la famille — La juge qui a présidé l’instruction sommaire a-t-elle commis une erreur de droit en définissant une relation de nature conjugale en application de la </w:t>
            </w:r>
            <w:proofErr w:type="spellStart"/>
            <w:r w:rsidRPr="008D6C1E">
              <w:rPr>
                <w:i/>
                <w:sz w:val="20"/>
                <w:lang w:val="fr-CA"/>
              </w:rPr>
              <w:t>Family</w:t>
            </w:r>
            <w:proofErr w:type="spellEnd"/>
            <w:r w:rsidRPr="008D6C1E">
              <w:rPr>
                <w:i/>
                <w:sz w:val="20"/>
                <w:lang w:val="fr-CA"/>
              </w:rPr>
              <w:t xml:space="preserve"> Law </w:t>
            </w:r>
            <w:proofErr w:type="spellStart"/>
            <w:r w:rsidRPr="008D6C1E">
              <w:rPr>
                <w:i/>
                <w:sz w:val="20"/>
                <w:lang w:val="fr-CA"/>
              </w:rPr>
              <w:t>Act</w:t>
            </w:r>
            <w:proofErr w:type="spellEnd"/>
            <w:r w:rsidRPr="008D6C1E">
              <w:rPr>
                <w:sz w:val="20"/>
                <w:lang w:val="fr-CA"/>
              </w:rPr>
              <w:t xml:space="preserve">, SBC 2011, ch. 25? — S’agissait-il d’une erreur de droit dissociable? — La juge qui a présidé l’instruction sommaire a-t-elle eu tort de conclure, en tant que question mixte de fait et de droit, que les parties étaient des époux? — La Cour d’appel a-t-elle commis une erreur de droit en définissant une relation de nature conjugale en application de la </w:t>
            </w:r>
            <w:proofErr w:type="spellStart"/>
            <w:r w:rsidRPr="008D6C1E">
              <w:rPr>
                <w:i/>
                <w:sz w:val="20"/>
                <w:lang w:val="fr-CA"/>
              </w:rPr>
              <w:t>Family</w:t>
            </w:r>
            <w:proofErr w:type="spellEnd"/>
            <w:r w:rsidRPr="008D6C1E">
              <w:rPr>
                <w:i/>
                <w:sz w:val="20"/>
                <w:lang w:val="fr-CA"/>
              </w:rPr>
              <w:t xml:space="preserve"> Law </w:t>
            </w:r>
            <w:proofErr w:type="spellStart"/>
            <w:r w:rsidRPr="008D6C1E">
              <w:rPr>
                <w:i/>
                <w:sz w:val="20"/>
                <w:lang w:val="fr-CA"/>
              </w:rPr>
              <w:t>Act</w:t>
            </w:r>
            <w:proofErr w:type="spellEnd"/>
            <w:r w:rsidRPr="008D6C1E">
              <w:rPr>
                <w:sz w:val="20"/>
                <w:lang w:val="fr-CA"/>
              </w:rPr>
              <w:t>, SBC 2011, ch. 25?</w:t>
            </w:r>
          </w:p>
        </w:tc>
      </w:tr>
      <w:tr w:rsidR="00BD796B" w:rsidRPr="002C1A32" w:rsidTr="002B5CF4">
        <w:tc>
          <w:tcPr>
            <w:tcW w:w="5000" w:type="pct"/>
            <w:gridSpan w:val="4"/>
          </w:tcPr>
          <w:p w:rsidR="00BD796B" w:rsidRPr="008D6C1E" w:rsidRDefault="00BD796B" w:rsidP="00BD796B">
            <w:pPr>
              <w:jc w:val="both"/>
              <w:rPr>
                <w:sz w:val="20"/>
                <w:lang w:val="fr-CA"/>
              </w:rPr>
            </w:pPr>
          </w:p>
        </w:tc>
      </w:tr>
      <w:tr w:rsidR="00BD796B" w:rsidRPr="008D6C1E" w:rsidTr="002B5CF4">
        <w:tc>
          <w:tcPr>
            <w:tcW w:w="5000" w:type="pct"/>
            <w:gridSpan w:val="4"/>
          </w:tcPr>
          <w:p w:rsidR="00BD796B" w:rsidRPr="008D6C1E" w:rsidRDefault="00BD796B" w:rsidP="00BD796B">
            <w:pPr>
              <w:jc w:val="both"/>
              <w:rPr>
                <w:iCs/>
                <w:sz w:val="20"/>
                <w:lang w:val="fr-CA"/>
              </w:rPr>
            </w:pPr>
            <w:r w:rsidRPr="008D6C1E">
              <w:rPr>
                <w:sz w:val="20"/>
                <w:lang w:val="fr-CA"/>
              </w:rPr>
              <w:t xml:space="preserve">Les parties ont commencé à cohabiter 2002 et elles ont continué à vivre ensemble jusqu’en 2011 ou plus tard. Bien que les parties s’entendent dans leurs descriptions de plusieurs aspects de leur relation, elles ne s’entendent pas sur </w:t>
            </w:r>
            <w:r w:rsidRPr="008D6C1E">
              <w:rPr>
                <w:sz w:val="20"/>
                <w:lang w:val="fr-CA"/>
              </w:rPr>
              <w:lastRenderedPageBreak/>
              <w:t>la question de savoir si leur relation faisait d’elles des [</w:t>
            </w:r>
            <w:r w:rsidRPr="008D6C1E">
              <w:rPr>
                <w:smallCaps/>
                <w:sz w:val="20"/>
                <w:lang w:val="fr-CA"/>
              </w:rPr>
              <w:t>traduction</w:t>
            </w:r>
            <w:r w:rsidRPr="008D6C1E">
              <w:rPr>
                <w:sz w:val="20"/>
                <w:lang w:val="fr-CA"/>
              </w:rPr>
              <w:t>] « époux » (</w:t>
            </w:r>
            <w:proofErr w:type="spellStart"/>
            <w:r w:rsidRPr="008D6C1E">
              <w:rPr>
                <w:i/>
                <w:sz w:val="20"/>
                <w:lang w:val="fr-CA"/>
              </w:rPr>
              <w:t>spouses</w:t>
            </w:r>
            <w:proofErr w:type="spellEnd"/>
            <w:r w:rsidRPr="008D6C1E">
              <w:rPr>
                <w:sz w:val="20"/>
                <w:lang w:val="fr-CA"/>
              </w:rPr>
              <w:t xml:space="preserve">) pour l’application de la </w:t>
            </w:r>
            <w:proofErr w:type="spellStart"/>
            <w:r w:rsidRPr="008D6C1E">
              <w:rPr>
                <w:i/>
                <w:sz w:val="20"/>
                <w:lang w:val="fr-CA"/>
              </w:rPr>
              <w:t>Family</w:t>
            </w:r>
            <w:proofErr w:type="spellEnd"/>
            <w:r w:rsidRPr="008D6C1E">
              <w:rPr>
                <w:i/>
                <w:sz w:val="20"/>
                <w:lang w:val="fr-CA"/>
              </w:rPr>
              <w:t xml:space="preserve"> Law </w:t>
            </w:r>
            <w:proofErr w:type="spellStart"/>
            <w:r w:rsidRPr="008D6C1E">
              <w:rPr>
                <w:i/>
                <w:sz w:val="20"/>
                <w:lang w:val="fr-CA"/>
              </w:rPr>
              <w:t>Act</w:t>
            </w:r>
            <w:proofErr w:type="spellEnd"/>
            <w:r w:rsidRPr="008D6C1E">
              <w:rPr>
                <w:sz w:val="20"/>
                <w:lang w:val="fr-CA"/>
              </w:rPr>
              <w:t>, SBC 2011, ch. 25, art. 3. La demanderesse a sollicité un jugement, par voie d’instruction sommaire, déclarant que les parties n’étaient pas des époux pour l’application de l’al. 3(1)b</w:t>
            </w:r>
            <w:proofErr w:type="gramStart"/>
            <w:r w:rsidRPr="008D6C1E">
              <w:rPr>
                <w:sz w:val="20"/>
                <w:lang w:val="fr-CA"/>
              </w:rPr>
              <w:t>)(</w:t>
            </w:r>
            <w:proofErr w:type="gramEnd"/>
            <w:r w:rsidRPr="008D6C1E">
              <w:rPr>
                <w:sz w:val="20"/>
                <w:lang w:val="fr-CA"/>
              </w:rPr>
              <w:t>i) de la loi, puisqu’elles n’avaient pas vécu une [</w:t>
            </w:r>
            <w:r w:rsidRPr="008D6C1E">
              <w:rPr>
                <w:smallCaps/>
                <w:sz w:val="20"/>
                <w:lang w:val="fr-CA"/>
              </w:rPr>
              <w:t>traduction</w:t>
            </w:r>
            <w:r w:rsidRPr="008D6C1E">
              <w:rPr>
                <w:sz w:val="20"/>
                <w:lang w:val="fr-CA"/>
              </w:rPr>
              <w:t>] « relation de nature conjugale » (</w:t>
            </w:r>
            <w:proofErr w:type="spellStart"/>
            <w:r w:rsidRPr="008D6C1E">
              <w:rPr>
                <w:i/>
                <w:sz w:val="20"/>
                <w:lang w:val="fr-CA"/>
              </w:rPr>
              <w:t>marriage-like</w:t>
            </w:r>
            <w:proofErr w:type="spellEnd"/>
            <w:r w:rsidRPr="008D6C1E">
              <w:rPr>
                <w:i/>
                <w:sz w:val="20"/>
                <w:lang w:val="fr-CA"/>
              </w:rPr>
              <w:t xml:space="preserve"> </w:t>
            </w:r>
            <w:proofErr w:type="spellStart"/>
            <w:r w:rsidRPr="008D6C1E">
              <w:rPr>
                <w:i/>
                <w:sz w:val="20"/>
                <w:lang w:val="fr-CA"/>
              </w:rPr>
              <w:t>relationship</w:t>
            </w:r>
            <w:proofErr w:type="spellEnd"/>
            <w:r w:rsidRPr="008D6C1E">
              <w:rPr>
                <w:sz w:val="20"/>
                <w:lang w:val="fr-CA"/>
              </w:rPr>
              <w:t>). La juge qui a présidé l’instruction sommaire a conclu que la relation des parties était de nature conjugale et a déclaré qu’elles avaient été époux pour l’application de la loi. La Cour d’appel a rejeté l’appel</w:t>
            </w:r>
            <w:r w:rsidRPr="008D6C1E">
              <w:rPr>
                <w:iCs/>
                <w:sz w:val="20"/>
                <w:lang w:val="fr-CA"/>
              </w:rPr>
              <w:t>.</w:t>
            </w:r>
          </w:p>
          <w:p w:rsidR="00BD796B" w:rsidRPr="008D6C1E" w:rsidRDefault="00BD796B" w:rsidP="00BD796B">
            <w:pPr>
              <w:jc w:val="both"/>
              <w:rPr>
                <w:sz w:val="20"/>
                <w:lang w:val="fr-CA"/>
              </w:rPr>
            </w:pPr>
          </w:p>
        </w:tc>
      </w:tr>
      <w:tr w:rsidR="00BD796B" w:rsidRPr="002C1A32" w:rsidTr="002B5CF4">
        <w:tc>
          <w:tcPr>
            <w:tcW w:w="2427" w:type="pct"/>
            <w:gridSpan w:val="2"/>
          </w:tcPr>
          <w:p w:rsidR="00BD796B" w:rsidRPr="008D6C1E" w:rsidRDefault="00BD796B" w:rsidP="00BD796B">
            <w:pPr>
              <w:jc w:val="both"/>
              <w:rPr>
                <w:sz w:val="20"/>
                <w:lang w:val="fr-CA"/>
              </w:rPr>
            </w:pPr>
            <w:r w:rsidRPr="008D6C1E">
              <w:rPr>
                <w:sz w:val="20"/>
                <w:lang w:val="fr-CA"/>
              </w:rPr>
              <w:lastRenderedPageBreak/>
              <w:t>24 avril 2015</w:t>
            </w:r>
          </w:p>
          <w:p w:rsidR="00BD796B" w:rsidRPr="008D6C1E" w:rsidRDefault="00BD796B" w:rsidP="00BD796B">
            <w:pPr>
              <w:jc w:val="both"/>
              <w:rPr>
                <w:sz w:val="20"/>
                <w:lang w:val="fr-CA"/>
              </w:rPr>
            </w:pPr>
            <w:r w:rsidRPr="008D6C1E">
              <w:rPr>
                <w:sz w:val="20"/>
                <w:lang w:val="fr-CA"/>
              </w:rPr>
              <w:t xml:space="preserve">Cour suprême de la Colombie-Britannique </w:t>
            </w:r>
          </w:p>
          <w:p w:rsidR="00BD796B" w:rsidRPr="008D6C1E" w:rsidRDefault="00BD796B" w:rsidP="00BD796B">
            <w:pPr>
              <w:jc w:val="both"/>
              <w:rPr>
                <w:sz w:val="20"/>
                <w:lang w:val="fr-CA"/>
              </w:rPr>
            </w:pPr>
            <w:r w:rsidRPr="008D6C1E">
              <w:rPr>
                <w:sz w:val="20"/>
                <w:lang w:val="fr-CA"/>
              </w:rPr>
              <w:t xml:space="preserve">(Juge </w:t>
            </w:r>
            <w:proofErr w:type="spellStart"/>
            <w:r w:rsidRPr="008D6C1E">
              <w:rPr>
                <w:sz w:val="20"/>
                <w:lang w:val="fr-CA"/>
              </w:rPr>
              <w:t>Gropper</w:t>
            </w:r>
            <w:proofErr w:type="spellEnd"/>
            <w:r w:rsidRPr="008D6C1E">
              <w:rPr>
                <w:sz w:val="20"/>
                <w:lang w:val="fr-CA"/>
              </w:rPr>
              <w:t>)</w:t>
            </w:r>
          </w:p>
          <w:p w:rsidR="00BD796B" w:rsidRPr="008D6C1E" w:rsidRDefault="00BD796B" w:rsidP="00BD796B">
            <w:pPr>
              <w:jc w:val="both"/>
              <w:rPr>
                <w:sz w:val="20"/>
                <w:lang w:val="fr-CA"/>
              </w:rPr>
            </w:pPr>
            <w:r w:rsidRPr="008D6C1E">
              <w:rPr>
                <w:sz w:val="20"/>
                <w:lang w:val="fr-CA"/>
              </w:rPr>
              <w:t>2015 BCSC 650</w:t>
            </w:r>
          </w:p>
          <w:p w:rsidR="00BD796B" w:rsidRPr="008D6C1E" w:rsidRDefault="005E6DC4" w:rsidP="00BD796B">
            <w:pPr>
              <w:jc w:val="both"/>
              <w:rPr>
                <w:sz w:val="20"/>
                <w:lang w:val="fr-CA"/>
              </w:rPr>
            </w:pPr>
            <w:hyperlink r:id="rId38" w:history="1">
              <w:r w:rsidR="00BD796B" w:rsidRPr="008D6C1E">
                <w:rPr>
                  <w:rStyle w:val="Hyperlink"/>
                  <w:rFonts w:eastAsiaTheme="majorEastAsia"/>
                  <w:sz w:val="20"/>
                  <w:lang w:val="fr-CA"/>
                </w:rPr>
                <w:t>http://canlii.ca/t/ghbrz</w:t>
              </w:r>
            </w:hyperlink>
          </w:p>
          <w:p w:rsidR="00BD796B" w:rsidRPr="008D6C1E" w:rsidRDefault="00BD796B" w:rsidP="00BD796B">
            <w:pPr>
              <w:jc w:val="both"/>
              <w:rPr>
                <w:sz w:val="20"/>
                <w:lang w:val="fr-CA"/>
              </w:rPr>
            </w:pPr>
          </w:p>
        </w:tc>
        <w:tc>
          <w:tcPr>
            <w:tcW w:w="243" w:type="pct"/>
          </w:tcPr>
          <w:p w:rsidR="00BD796B" w:rsidRPr="008D6C1E" w:rsidRDefault="00BD796B" w:rsidP="00BD796B">
            <w:pPr>
              <w:jc w:val="both"/>
              <w:rPr>
                <w:sz w:val="20"/>
                <w:lang w:val="fr-CA"/>
              </w:rPr>
            </w:pPr>
          </w:p>
        </w:tc>
        <w:tc>
          <w:tcPr>
            <w:tcW w:w="2330" w:type="pct"/>
          </w:tcPr>
          <w:p w:rsidR="00BD796B" w:rsidRPr="008D6C1E" w:rsidRDefault="00BD796B" w:rsidP="00BD796B">
            <w:pPr>
              <w:jc w:val="both"/>
              <w:rPr>
                <w:sz w:val="20"/>
                <w:lang w:val="fr-CA"/>
              </w:rPr>
            </w:pPr>
            <w:r w:rsidRPr="008D6C1E">
              <w:rPr>
                <w:sz w:val="20"/>
                <w:lang w:val="fr-CA"/>
              </w:rPr>
              <w:t xml:space="preserve">Jugement sommaire concluant que la relation des parties était de nature conjugale et déclarant que les parties étaient des époux pour l’application de la </w:t>
            </w:r>
            <w:proofErr w:type="spellStart"/>
            <w:r w:rsidRPr="008D6C1E">
              <w:rPr>
                <w:i/>
                <w:sz w:val="20"/>
                <w:lang w:val="fr-CA"/>
              </w:rPr>
              <w:t>Family</w:t>
            </w:r>
            <w:proofErr w:type="spellEnd"/>
            <w:r w:rsidRPr="008D6C1E">
              <w:rPr>
                <w:i/>
                <w:sz w:val="20"/>
                <w:lang w:val="fr-CA"/>
              </w:rPr>
              <w:t xml:space="preserve"> Law </w:t>
            </w:r>
            <w:proofErr w:type="spellStart"/>
            <w:r w:rsidRPr="008D6C1E">
              <w:rPr>
                <w:i/>
                <w:sz w:val="20"/>
                <w:lang w:val="fr-CA"/>
              </w:rPr>
              <w:t>Act</w:t>
            </w:r>
            <w:proofErr w:type="spellEnd"/>
          </w:p>
          <w:p w:rsidR="00BD796B" w:rsidRPr="008D6C1E" w:rsidRDefault="00BD796B" w:rsidP="00BD796B">
            <w:pPr>
              <w:jc w:val="both"/>
              <w:rPr>
                <w:sz w:val="20"/>
                <w:lang w:val="fr-CA"/>
              </w:rPr>
            </w:pPr>
          </w:p>
        </w:tc>
      </w:tr>
      <w:tr w:rsidR="00BD796B" w:rsidRPr="008D6C1E" w:rsidTr="002B5CF4">
        <w:tc>
          <w:tcPr>
            <w:tcW w:w="2427" w:type="pct"/>
            <w:gridSpan w:val="2"/>
          </w:tcPr>
          <w:p w:rsidR="00BD796B" w:rsidRPr="008D6C1E" w:rsidRDefault="00BD796B" w:rsidP="00BD796B">
            <w:pPr>
              <w:jc w:val="both"/>
              <w:rPr>
                <w:sz w:val="20"/>
                <w:lang w:val="fr-CA"/>
              </w:rPr>
            </w:pPr>
            <w:r w:rsidRPr="008D6C1E">
              <w:rPr>
                <w:sz w:val="20"/>
                <w:lang w:val="fr-CA"/>
              </w:rPr>
              <w:t>30 novembre 2015</w:t>
            </w:r>
          </w:p>
          <w:p w:rsidR="00BD796B" w:rsidRPr="008D6C1E" w:rsidRDefault="00BD796B" w:rsidP="00BD796B">
            <w:pPr>
              <w:jc w:val="both"/>
              <w:rPr>
                <w:sz w:val="20"/>
                <w:lang w:val="fr-CA"/>
              </w:rPr>
            </w:pPr>
            <w:r w:rsidRPr="008D6C1E">
              <w:rPr>
                <w:sz w:val="20"/>
                <w:lang w:val="fr-CA"/>
              </w:rPr>
              <w:t xml:space="preserve">Cour d’appel de la Colombie-Britannique </w:t>
            </w:r>
          </w:p>
          <w:p w:rsidR="00BD796B" w:rsidRPr="008D6C1E" w:rsidRDefault="00BD796B" w:rsidP="00BD796B">
            <w:pPr>
              <w:jc w:val="both"/>
              <w:rPr>
                <w:sz w:val="20"/>
                <w:lang w:val="fr-CA"/>
              </w:rPr>
            </w:pPr>
            <w:r w:rsidRPr="008D6C1E">
              <w:rPr>
                <w:sz w:val="20"/>
                <w:lang w:val="fr-CA"/>
              </w:rPr>
              <w:t>(Vancouver)</w:t>
            </w:r>
          </w:p>
          <w:p w:rsidR="00BD796B" w:rsidRPr="008D6C1E" w:rsidRDefault="00BD796B" w:rsidP="00BD796B">
            <w:pPr>
              <w:jc w:val="both"/>
              <w:rPr>
                <w:sz w:val="20"/>
                <w:lang w:val="fr-CA"/>
              </w:rPr>
            </w:pPr>
            <w:r w:rsidRPr="008D6C1E">
              <w:rPr>
                <w:sz w:val="20"/>
                <w:lang w:val="fr-CA"/>
              </w:rPr>
              <w:t xml:space="preserve">(Juges </w:t>
            </w:r>
            <w:proofErr w:type="spellStart"/>
            <w:r w:rsidRPr="008D6C1E">
              <w:rPr>
                <w:sz w:val="20"/>
                <w:lang w:val="fr-CA"/>
              </w:rPr>
              <w:t>Groberman</w:t>
            </w:r>
            <w:proofErr w:type="spellEnd"/>
            <w:r w:rsidRPr="008D6C1E">
              <w:rPr>
                <w:sz w:val="20"/>
                <w:lang w:val="fr-CA"/>
              </w:rPr>
              <w:t xml:space="preserve">, </w:t>
            </w:r>
            <w:proofErr w:type="spellStart"/>
            <w:r w:rsidRPr="008D6C1E">
              <w:rPr>
                <w:sz w:val="20"/>
                <w:lang w:val="fr-CA"/>
              </w:rPr>
              <w:t>MacKenzie</w:t>
            </w:r>
            <w:proofErr w:type="spellEnd"/>
            <w:r w:rsidRPr="008D6C1E">
              <w:rPr>
                <w:sz w:val="20"/>
                <w:lang w:val="fr-CA"/>
              </w:rPr>
              <w:t xml:space="preserve"> et </w:t>
            </w:r>
            <w:proofErr w:type="spellStart"/>
            <w:r w:rsidRPr="008D6C1E">
              <w:rPr>
                <w:sz w:val="20"/>
                <w:lang w:val="fr-CA"/>
              </w:rPr>
              <w:t>Goepel</w:t>
            </w:r>
            <w:proofErr w:type="spellEnd"/>
            <w:r w:rsidRPr="008D6C1E">
              <w:rPr>
                <w:sz w:val="20"/>
                <w:lang w:val="fr-CA"/>
              </w:rPr>
              <w:t>)</w:t>
            </w:r>
          </w:p>
          <w:p w:rsidR="00BD796B" w:rsidRPr="008D6C1E" w:rsidRDefault="00BD796B" w:rsidP="00BD796B">
            <w:pPr>
              <w:jc w:val="both"/>
              <w:rPr>
                <w:sz w:val="20"/>
              </w:rPr>
            </w:pPr>
            <w:r w:rsidRPr="008D6C1E">
              <w:rPr>
                <w:sz w:val="20"/>
              </w:rPr>
              <w:t>2015 BCCA 492; CA42783</w:t>
            </w:r>
          </w:p>
          <w:p w:rsidR="00BD796B" w:rsidRPr="008D6C1E" w:rsidRDefault="005E6DC4" w:rsidP="00BD796B">
            <w:pPr>
              <w:jc w:val="both"/>
              <w:rPr>
                <w:sz w:val="20"/>
              </w:rPr>
            </w:pPr>
            <w:hyperlink r:id="rId39" w:history="1">
              <w:r w:rsidR="00BD796B" w:rsidRPr="008D6C1E">
                <w:rPr>
                  <w:rStyle w:val="Hyperlink"/>
                  <w:rFonts w:eastAsiaTheme="majorEastAsia"/>
                  <w:sz w:val="20"/>
                </w:rPr>
                <w:t>http://canlii.ca/t/gm9nx</w:t>
              </w:r>
            </w:hyperlink>
          </w:p>
          <w:p w:rsidR="00BD796B" w:rsidRPr="008D6C1E" w:rsidRDefault="00BD796B" w:rsidP="00BD796B">
            <w:pPr>
              <w:jc w:val="both"/>
              <w:rPr>
                <w:sz w:val="20"/>
              </w:rPr>
            </w:pPr>
          </w:p>
        </w:tc>
        <w:tc>
          <w:tcPr>
            <w:tcW w:w="243" w:type="pct"/>
          </w:tcPr>
          <w:p w:rsidR="00BD796B" w:rsidRPr="008D6C1E" w:rsidRDefault="00BD796B" w:rsidP="00BD796B">
            <w:pPr>
              <w:jc w:val="both"/>
              <w:rPr>
                <w:sz w:val="20"/>
              </w:rPr>
            </w:pPr>
          </w:p>
        </w:tc>
        <w:tc>
          <w:tcPr>
            <w:tcW w:w="2330" w:type="pct"/>
          </w:tcPr>
          <w:p w:rsidR="00BD796B" w:rsidRPr="008D6C1E" w:rsidRDefault="00BD796B" w:rsidP="00BD796B">
            <w:pPr>
              <w:jc w:val="both"/>
              <w:rPr>
                <w:sz w:val="20"/>
                <w:lang w:val="fr-CA"/>
              </w:rPr>
            </w:pPr>
            <w:r w:rsidRPr="008D6C1E">
              <w:rPr>
                <w:sz w:val="20"/>
                <w:lang w:val="fr-CA"/>
              </w:rPr>
              <w:t>Rejet de l’appel avec dépens</w:t>
            </w:r>
          </w:p>
          <w:p w:rsidR="00BD796B" w:rsidRPr="008D6C1E" w:rsidRDefault="00BD796B" w:rsidP="00BD796B">
            <w:pPr>
              <w:jc w:val="both"/>
              <w:rPr>
                <w:sz w:val="20"/>
                <w:lang w:val="fr-CA"/>
              </w:rPr>
            </w:pPr>
          </w:p>
        </w:tc>
      </w:tr>
      <w:tr w:rsidR="00BD796B" w:rsidRPr="002C1A32" w:rsidTr="002B5CF4">
        <w:tc>
          <w:tcPr>
            <w:tcW w:w="2427" w:type="pct"/>
            <w:gridSpan w:val="2"/>
          </w:tcPr>
          <w:p w:rsidR="00BD796B" w:rsidRPr="008D6C1E" w:rsidRDefault="00BD796B" w:rsidP="00BD796B">
            <w:pPr>
              <w:jc w:val="both"/>
              <w:rPr>
                <w:sz w:val="20"/>
                <w:lang w:val="fr-CA"/>
              </w:rPr>
            </w:pPr>
            <w:r w:rsidRPr="008D6C1E">
              <w:rPr>
                <w:sz w:val="20"/>
                <w:lang w:val="fr-CA"/>
              </w:rPr>
              <w:t>15 janvier 2016</w:t>
            </w:r>
          </w:p>
          <w:p w:rsidR="00BD796B" w:rsidRPr="008D6C1E" w:rsidRDefault="00BD796B" w:rsidP="00474C83">
            <w:pPr>
              <w:jc w:val="both"/>
              <w:rPr>
                <w:sz w:val="20"/>
                <w:lang w:val="fr-CA"/>
              </w:rPr>
            </w:pPr>
            <w:r w:rsidRPr="008D6C1E">
              <w:rPr>
                <w:sz w:val="20"/>
                <w:lang w:val="fr-CA"/>
              </w:rPr>
              <w:t>Cour suprême du Canada</w:t>
            </w:r>
          </w:p>
        </w:tc>
        <w:tc>
          <w:tcPr>
            <w:tcW w:w="243" w:type="pct"/>
          </w:tcPr>
          <w:p w:rsidR="00BD796B" w:rsidRPr="008D6C1E" w:rsidRDefault="00BD796B" w:rsidP="00BD796B">
            <w:pPr>
              <w:jc w:val="both"/>
              <w:rPr>
                <w:sz w:val="20"/>
                <w:lang w:val="fr-CA"/>
              </w:rPr>
            </w:pPr>
          </w:p>
        </w:tc>
        <w:tc>
          <w:tcPr>
            <w:tcW w:w="2330" w:type="pct"/>
          </w:tcPr>
          <w:p w:rsidR="00BD796B" w:rsidRPr="008D6C1E" w:rsidRDefault="00BD796B" w:rsidP="00BD796B">
            <w:pPr>
              <w:jc w:val="both"/>
              <w:rPr>
                <w:sz w:val="20"/>
                <w:lang w:val="fr-CA"/>
              </w:rPr>
            </w:pPr>
            <w:r w:rsidRPr="008D6C1E">
              <w:rPr>
                <w:sz w:val="20"/>
                <w:lang w:val="fr-CA"/>
              </w:rPr>
              <w:t>Dépôt de la demande d’autorisation d’appel</w:t>
            </w:r>
          </w:p>
          <w:p w:rsidR="00BD796B" w:rsidRPr="008D6C1E" w:rsidRDefault="00BD796B" w:rsidP="00BD796B">
            <w:pPr>
              <w:jc w:val="both"/>
              <w:rPr>
                <w:sz w:val="20"/>
                <w:lang w:val="fr-CA"/>
              </w:rPr>
            </w:pPr>
          </w:p>
        </w:tc>
      </w:tr>
    </w:tbl>
    <w:p w:rsidR="00BD796B" w:rsidRPr="008D6C1E" w:rsidRDefault="00BD796B" w:rsidP="00D4693C">
      <w:pPr>
        <w:jc w:val="both"/>
        <w:rPr>
          <w:sz w:val="20"/>
          <w:lang w:val="fr-CA"/>
        </w:rPr>
      </w:pPr>
    </w:p>
    <w:p w:rsidR="00377E21" w:rsidRPr="008D6C1E" w:rsidRDefault="00377E21" w:rsidP="00D4693C">
      <w:pPr>
        <w:widowControl w:val="0"/>
        <w:ind w:left="360" w:hanging="360"/>
        <w:jc w:val="both"/>
        <w:rPr>
          <w:sz w:val="20"/>
          <w:lang w:val="fr-FR"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4693C" w:rsidRPr="008D6C1E" w:rsidTr="002B5CF4">
        <w:trPr>
          <w:gridAfter w:val="1"/>
          <w:wAfter w:w="48" w:type="pct"/>
        </w:trPr>
        <w:tc>
          <w:tcPr>
            <w:tcW w:w="538" w:type="pct"/>
          </w:tcPr>
          <w:p w:rsidR="00D4693C" w:rsidRPr="008D6C1E" w:rsidRDefault="00D4693C" w:rsidP="00D4693C">
            <w:pPr>
              <w:jc w:val="both"/>
              <w:rPr>
                <w:sz w:val="20"/>
              </w:rPr>
            </w:pPr>
            <w:r w:rsidRPr="008D6C1E">
              <w:rPr>
                <w:rStyle w:val="SCCFileNumberChar"/>
                <w:sz w:val="20"/>
                <w:szCs w:val="20"/>
              </w:rPr>
              <w:t>36805</w:t>
            </w:r>
          </w:p>
        </w:tc>
        <w:tc>
          <w:tcPr>
            <w:tcW w:w="4414" w:type="pct"/>
            <w:gridSpan w:val="3"/>
          </w:tcPr>
          <w:p w:rsidR="00D4693C" w:rsidRPr="002C1A32" w:rsidRDefault="00D4693C" w:rsidP="00D4693C">
            <w:pPr>
              <w:pStyle w:val="SCCLsocParty"/>
              <w:jc w:val="both"/>
              <w:rPr>
                <w:b/>
                <w:sz w:val="20"/>
                <w:szCs w:val="20"/>
                <w:lang w:val="en-US"/>
              </w:rPr>
            </w:pPr>
            <w:r w:rsidRPr="002C1A32">
              <w:rPr>
                <w:b/>
                <w:sz w:val="20"/>
                <w:szCs w:val="20"/>
                <w:lang w:val="en-US"/>
              </w:rPr>
              <w:t>Alan Clark v. Superintendent of Motor Vehicles, Attorney General of British Columbia</w:t>
            </w:r>
          </w:p>
          <w:p w:rsidR="00D4693C" w:rsidRPr="008D6C1E" w:rsidRDefault="00D4693C" w:rsidP="00D4693C">
            <w:pPr>
              <w:jc w:val="both"/>
              <w:rPr>
                <w:sz w:val="20"/>
              </w:rPr>
            </w:pPr>
            <w:r w:rsidRPr="008D6C1E">
              <w:rPr>
                <w:sz w:val="20"/>
              </w:rPr>
              <w:t>(B.C.) (Civil) (By Leave)</w:t>
            </w:r>
          </w:p>
        </w:tc>
      </w:tr>
      <w:tr w:rsidR="00D4693C" w:rsidRPr="008D6C1E" w:rsidTr="002B5CF4">
        <w:trPr>
          <w:gridAfter w:val="1"/>
          <w:wAfter w:w="48" w:type="pct"/>
        </w:trPr>
        <w:tc>
          <w:tcPr>
            <w:tcW w:w="4952" w:type="pct"/>
            <w:gridSpan w:val="4"/>
          </w:tcPr>
          <w:p w:rsidR="00D4693C" w:rsidRPr="008D6C1E" w:rsidRDefault="00D4693C" w:rsidP="00D4693C">
            <w:pPr>
              <w:jc w:val="both"/>
              <w:rPr>
                <w:sz w:val="20"/>
              </w:rPr>
            </w:pPr>
            <w:r w:rsidRPr="008D6C1E">
              <w:rPr>
                <w:sz w:val="20"/>
              </w:rPr>
              <w:t xml:space="preserve">Administrative Law — Standard of Review — Transportation law — Automatic roadside prohibition — </w:t>
            </w:r>
            <w:r w:rsidRPr="008D6C1E">
              <w:rPr>
                <w:iCs/>
                <w:sz w:val="20"/>
                <w:lang w:val="en"/>
              </w:rPr>
              <w:t xml:space="preserve">Provincial legislation providing right to second breath sample by different </w:t>
            </w:r>
            <w:r w:rsidRPr="008D6C1E">
              <w:rPr>
                <w:sz w:val="20"/>
              </w:rPr>
              <w:t>approved screening device</w:t>
            </w:r>
            <w:r w:rsidRPr="008D6C1E">
              <w:rPr>
                <w:iCs/>
                <w:sz w:val="20"/>
                <w:lang w:val="en"/>
              </w:rPr>
              <w:t xml:space="preserve"> </w:t>
            </w:r>
            <w:r w:rsidRPr="008D6C1E">
              <w:rPr>
                <w:sz w:val="20"/>
              </w:rPr>
              <w:t xml:space="preserve">if first device registers warn or fail from first breath sample — Adjudicator concluding that second approved screening device was used — If reasonableness is a single standard that takes its colour from context, then what is the proper process for an adjudicator in an administrative context to draw an inference? — Does it differ from the criminal or civil context, and if so, how? — Should the evidentiary standard on which those inferences are drawn be higher or lower where, in an administrative context, there are procedural limitations? — What are the hallmarks of a reasonable inference drawn in an administrative proceeding? — </w:t>
            </w:r>
            <w:r w:rsidRPr="008D6C1E">
              <w:rPr>
                <w:i/>
                <w:iCs/>
                <w:sz w:val="20"/>
              </w:rPr>
              <w:t>Motor Vehicle Act</w:t>
            </w:r>
            <w:r w:rsidRPr="008D6C1E">
              <w:rPr>
                <w:sz w:val="20"/>
              </w:rPr>
              <w:t>, R.S.B.C. 1996, c. 318, ss. 215.41, 215.42, 215.43, 215.44, 215.46, 215.47, 215.48, 215.49, 215.5.</w:t>
            </w:r>
          </w:p>
          <w:p w:rsidR="00D4693C" w:rsidRPr="008D6C1E" w:rsidRDefault="00D4693C" w:rsidP="00D4693C">
            <w:pPr>
              <w:jc w:val="both"/>
              <w:rPr>
                <w:sz w:val="20"/>
              </w:rPr>
            </w:pPr>
          </w:p>
          <w:p w:rsidR="00D4693C" w:rsidRPr="008D6C1E" w:rsidRDefault="00D4693C" w:rsidP="00D4693C">
            <w:pPr>
              <w:jc w:val="both"/>
              <w:rPr>
                <w:sz w:val="20"/>
              </w:rPr>
            </w:pPr>
            <w:r w:rsidRPr="008D6C1E">
              <w:rPr>
                <w:sz w:val="20"/>
              </w:rPr>
              <w:t xml:space="preserve">The applicant, Mr. Clark, was stopped by a police officer while driving his vehicle. He provided two breath samples at the officer’s request and failed. A “fail” under s. 215.41 of the </w:t>
            </w:r>
            <w:r w:rsidRPr="008D6C1E">
              <w:rPr>
                <w:i/>
                <w:iCs/>
                <w:sz w:val="20"/>
              </w:rPr>
              <w:t>Motor Vehicle Act</w:t>
            </w:r>
            <w:r w:rsidRPr="008D6C1E">
              <w:rPr>
                <w:sz w:val="20"/>
              </w:rPr>
              <w:t xml:space="preserve">, R.S.B.C. 1996, c. 318 means the concentration of alcohol is not less than 80 mg of alcohol in 100 ml of blood. If an approved screening device registers a fail, the officer must advise the driver of the right to provide a second breath sample. If the driver wishes to provide a second breath sample, a different device must be used. Mr. Clark received a roadside prohibition for 90 days, monetary penalty and vehicle impoundment.  </w:t>
            </w:r>
          </w:p>
          <w:p w:rsidR="00D4693C" w:rsidRPr="008D6C1E" w:rsidRDefault="00D4693C" w:rsidP="00D4693C">
            <w:pPr>
              <w:jc w:val="both"/>
              <w:rPr>
                <w:sz w:val="20"/>
              </w:rPr>
            </w:pPr>
          </w:p>
          <w:p w:rsidR="00D4693C" w:rsidRPr="008D6C1E" w:rsidRDefault="00D4693C" w:rsidP="00D4693C">
            <w:pPr>
              <w:jc w:val="both"/>
              <w:rPr>
                <w:sz w:val="20"/>
              </w:rPr>
            </w:pPr>
            <w:r w:rsidRPr="008D6C1E">
              <w:rPr>
                <w:sz w:val="20"/>
              </w:rPr>
              <w:t>Mr. Clark sought a review of the prohibition before the Superintendent of Motor Vehicles (“Superintendent”). The main issue at the hearing before a delegate of the Superintendent (“the adjudicator”) was whether the officer used a different approved screening device for the second breath sample. Mr. Clark and the passenger in his vehicle each deposed that the police officer only used one device. The officer’s evidence was that he used two different devices. The adjudicator determined that the officer used two different devices and upheld the roadside prohibition.</w:t>
            </w:r>
          </w:p>
          <w:p w:rsidR="00D4693C" w:rsidRPr="008D6C1E" w:rsidRDefault="00D4693C" w:rsidP="00D4693C">
            <w:pPr>
              <w:jc w:val="both"/>
              <w:rPr>
                <w:sz w:val="20"/>
              </w:rPr>
            </w:pPr>
          </w:p>
        </w:tc>
      </w:tr>
      <w:tr w:rsidR="00D4693C" w:rsidRPr="008D6C1E" w:rsidTr="002B5CF4">
        <w:tblPrEx>
          <w:tblCellMar>
            <w:bottom w:w="0" w:type="dxa"/>
          </w:tblCellMar>
        </w:tblPrEx>
        <w:tc>
          <w:tcPr>
            <w:tcW w:w="2367" w:type="pct"/>
            <w:gridSpan w:val="2"/>
          </w:tcPr>
          <w:p w:rsidR="00D4693C" w:rsidRPr="008D6C1E" w:rsidRDefault="00D4693C" w:rsidP="00D4693C">
            <w:pPr>
              <w:jc w:val="both"/>
              <w:rPr>
                <w:sz w:val="20"/>
              </w:rPr>
            </w:pPr>
            <w:r w:rsidRPr="008D6C1E">
              <w:rPr>
                <w:sz w:val="20"/>
              </w:rPr>
              <w:t>April 2, 2014</w:t>
            </w:r>
          </w:p>
          <w:p w:rsidR="00D4693C" w:rsidRPr="008D6C1E" w:rsidRDefault="00D4693C" w:rsidP="00D4693C">
            <w:pPr>
              <w:jc w:val="both"/>
              <w:rPr>
                <w:sz w:val="20"/>
              </w:rPr>
            </w:pPr>
            <w:r w:rsidRPr="008D6C1E">
              <w:rPr>
                <w:sz w:val="20"/>
              </w:rPr>
              <w:t>Supreme Court of British Columbia</w:t>
            </w:r>
          </w:p>
          <w:p w:rsidR="00D4693C" w:rsidRPr="008D6C1E" w:rsidRDefault="00D4693C" w:rsidP="00D4693C">
            <w:pPr>
              <w:jc w:val="both"/>
              <w:rPr>
                <w:sz w:val="20"/>
                <w:lang w:val="fr-CA"/>
              </w:rPr>
            </w:pPr>
            <w:r w:rsidRPr="008D6C1E">
              <w:rPr>
                <w:sz w:val="20"/>
                <w:lang w:val="fr-CA"/>
              </w:rPr>
              <w:t>(</w:t>
            </w:r>
            <w:proofErr w:type="spellStart"/>
            <w:r w:rsidRPr="008D6C1E">
              <w:rPr>
                <w:sz w:val="20"/>
                <w:lang w:val="fr-CA"/>
              </w:rPr>
              <w:t>Tindale</w:t>
            </w:r>
            <w:proofErr w:type="spellEnd"/>
            <w:r w:rsidRPr="008D6C1E">
              <w:rPr>
                <w:sz w:val="20"/>
                <w:lang w:val="fr-CA"/>
              </w:rPr>
              <w:t> J.)</w:t>
            </w:r>
          </w:p>
          <w:p w:rsidR="00D4693C" w:rsidRPr="008D6C1E" w:rsidRDefault="005E6DC4" w:rsidP="00D4693C">
            <w:pPr>
              <w:jc w:val="both"/>
              <w:rPr>
                <w:sz w:val="20"/>
                <w:lang w:val="fr-CA"/>
              </w:rPr>
            </w:pPr>
            <w:hyperlink r:id="rId40" w:history="1">
              <w:r w:rsidR="00D4693C" w:rsidRPr="008D6C1E">
                <w:rPr>
                  <w:rStyle w:val="Hyperlink"/>
                  <w:sz w:val="20"/>
                  <w:lang w:val="fr-CA"/>
                </w:rPr>
                <w:t>2014 BCSC 562</w:t>
              </w:r>
            </w:hyperlink>
          </w:p>
          <w:p w:rsidR="00D4693C" w:rsidRPr="008D6C1E" w:rsidRDefault="00D4693C" w:rsidP="00D4693C">
            <w:pPr>
              <w:jc w:val="both"/>
              <w:rPr>
                <w:sz w:val="20"/>
                <w:lang w:val="fr-CA"/>
              </w:rPr>
            </w:pPr>
          </w:p>
        </w:tc>
        <w:tc>
          <w:tcPr>
            <w:tcW w:w="267" w:type="pct"/>
          </w:tcPr>
          <w:p w:rsidR="00D4693C" w:rsidRPr="008D6C1E" w:rsidRDefault="00D4693C" w:rsidP="00D4693C">
            <w:pPr>
              <w:jc w:val="both"/>
              <w:rPr>
                <w:sz w:val="20"/>
                <w:lang w:val="fr-CA"/>
              </w:rPr>
            </w:pPr>
          </w:p>
        </w:tc>
        <w:tc>
          <w:tcPr>
            <w:tcW w:w="2366" w:type="pct"/>
            <w:gridSpan w:val="2"/>
          </w:tcPr>
          <w:p w:rsidR="00D4693C" w:rsidRPr="008D6C1E" w:rsidRDefault="00D4693C" w:rsidP="00D4693C">
            <w:pPr>
              <w:jc w:val="both"/>
              <w:rPr>
                <w:sz w:val="20"/>
              </w:rPr>
            </w:pPr>
            <w:r w:rsidRPr="008D6C1E">
              <w:rPr>
                <w:sz w:val="20"/>
              </w:rPr>
              <w:t xml:space="preserve">Petition for judicial review granted  </w:t>
            </w:r>
          </w:p>
        </w:tc>
      </w:tr>
      <w:tr w:rsidR="00D4693C" w:rsidRPr="008D6C1E" w:rsidTr="002B5CF4">
        <w:tblPrEx>
          <w:tblCellMar>
            <w:bottom w:w="0" w:type="dxa"/>
          </w:tblCellMar>
        </w:tblPrEx>
        <w:tc>
          <w:tcPr>
            <w:tcW w:w="2367" w:type="pct"/>
            <w:gridSpan w:val="2"/>
          </w:tcPr>
          <w:p w:rsidR="00D4693C" w:rsidRPr="008D6C1E" w:rsidRDefault="00D4693C" w:rsidP="00D4693C">
            <w:pPr>
              <w:jc w:val="both"/>
              <w:rPr>
                <w:sz w:val="20"/>
              </w:rPr>
            </w:pPr>
            <w:r w:rsidRPr="008D6C1E">
              <w:rPr>
                <w:sz w:val="20"/>
              </w:rPr>
              <w:t>November 26, 2015</w:t>
            </w:r>
          </w:p>
          <w:p w:rsidR="00D4693C" w:rsidRPr="008D6C1E" w:rsidRDefault="00D4693C" w:rsidP="00D4693C">
            <w:pPr>
              <w:jc w:val="both"/>
              <w:rPr>
                <w:sz w:val="20"/>
              </w:rPr>
            </w:pPr>
            <w:r w:rsidRPr="008D6C1E">
              <w:rPr>
                <w:sz w:val="20"/>
              </w:rPr>
              <w:t xml:space="preserve">Court of Appeal for British Columbia </w:t>
            </w:r>
          </w:p>
          <w:p w:rsidR="00D4693C" w:rsidRPr="008D6C1E" w:rsidRDefault="00D4693C" w:rsidP="00D4693C">
            <w:pPr>
              <w:jc w:val="both"/>
              <w:rPr>
                <w:sz w:val="20"/>
              </w:rPr>
            </w:pPr>
            <w:r w:rsidRPr="008D6C1E">
              <w:rPr>
                <w:sz w:val="20"/>
              </w:rPr>
              <w:t>(Vancouver)</w:t>
            </w:r>
          </w:p>
          <w:p w:rsidR="00D4693C" w:rsidRPr="008D6C1E" w:rsidRDefault="00D4693C" w:rsidP="00D4693C">
            <w:pPr>
              <w:jc w:val="both"/>
              <w:rPr>
                <w:sz w:val="20"/>
              </w:rPr>
            </w:pPr>
            <w:r w:rsidRPr="008D6C1E">
              <w:rPr>
                <w:sz w:val="20"/>
              </w:rPr>
              <w:t>(</w:t>
            </w:r>
            <w:proofErr w:type="spellStart"/>
            <w:r w:rsidRPr="008D6C1E">
              <w:rPr>
                <w:sz w:val="20"/>
              </w:rPr>
              <w:t>Tysoe</w:t>
            </w:r>
            <w:proofErr w:type="spellEnd"/>
            <w:r w:rsidRPr="008D6C1E">
              <w:rPr>
                <w:sz w:val="20"/>
              </w:rPr>
              <w:t xml:space="preserve">, </w:t>
            </w:r>
            <w:proofErr w:type="spellStart"/>
            <w:r w:rsidRPr="008D6C1E">
              <w:rPr>
                <w:sz w:val="20"/>
              </w:rPr>
              <w:t>Groberman</w:t>
            </w:r>
            <w:proofErr w:type="spellEnd"/>
            <w:r w:rsidRPr="008D6C1E">
              <w:rPr>
                <w:sz w:val="20"/>
              </w:rPr>
              <w:t xml:space="preserve"> and Dickson JJ.A.)</w:t>
            </w:r>
          </w:p>
          <w:p w:rsidR="00D4693C" w:rsidRPr="008D6C1E" w:rsidRDefault="005E6DC4" w:rsidP="00D4693C">
            <w:pPr>
              <w:jc w:val="both"/>
              <w:rPr>
                <w:sz w:val="20"/>
              </w:rPr>
            </w:pPr>
            <w:hyperlink r:id="rId41" w:history="1">
              <w:r w:rsidR="00D4693C" w:rsidRPr="008D6C1E">
                <w:rPr>
                  <w:rStyle w:val="Hyperlink"/>
                  <w:sz w:val="20"/>
                </w:rPr>
                <w:t>2015 BCCA 487</w:t>
              </w:r>
            </w:hyperlink>
          </w:p>
          <w:p w:rsidR="00D4693C" w:rsidRPr="008D6C1E" w:rsidRDefault="00D4693C" w:rsidP="00D4693C">
            <w:pPr>
              <w:jc w:val="both"/>
              <w:rPr>
                <w:sz w:val="20"/>
              </w:rPr>
            </w:pPr>
          </w:p>
        </w:tc>
        <w:tc>
          <w:tcPr>
            <w:tcW w:w="267" w:type="pct"/>
          </w:tcPr>
          <w:p w:rsidR="00D4693C" w:rsidRPr="008D6C1E" w:rsidRDefault="00D4693C" w:rsidP="00D4693C">
            <w:pPr>
              <w:jc w:val="both"/>
              <w:rPr>
                <w:sz w:val="20"/>
              </w:rPr>
            </w:pPr>
          </w:p>
        </w:tc>
        <w:tc>
          <w:tcPr>
            <w:tcW w:w="2366" w:type="pct"/>
            <w:gridSpan w:val="2"/>
          </w:tcPr>
          <w:p w:rsidR="00D4693C" w:rsidRPr="008D6C1E" w:rsidRDefault="00D4693C" w:rsidP="00D4693C">
            <w:pPr>
              <w:jc w:val="both"/>
              <w:rPr>
                <w:sz w:val="20"/>
              </w:rPr>
            </w:pPr>
            <w:r w:rsidRPr="008D6C1E">
              <w:rPr>
                <w:sz w:val="20"/>
              </w:rPr>
              <w:t xml:space="preserve">Appeal allowed </w:t>
            </w:r>
          </w:p>
          <w:p w:rsidR="00D4693C" w:rsidRPr="008D6C1E" w:rsidRDefault="00D4693C" w:rsidP="00D4693C">
            <w:pPr>
              <w:jc w:val="both"/>
              <w:rPr>
                <w:sz w:val="20"/>
              </w:rPr>
            </w:pPr>
          </w:p>
        </w:tc>
      </w:tr>
      <w:tr w:rsidR="00D4693C" w:rsidRPr="008D6C1E" w:rsidTr="002B5CF4">
        <w:tblPrEx>
          <w:tblCellMar>
            <w:bottom w:w="0" w:type="dxa"/>
          </w:tblCellMar>
        </w:tblPrEx>
        <w:tc>
          <w:tcPr>
            <w:tcW w:w="2367" w:type="pct"/>
            <w:gridSpan w:val="2"/>
          </w:tcPr>
          <w:p w:rsidR="00D4693C" w:rsidRPr="008D6C1E" w:rsidRDefault="00D4693C" w:rsidP="00D4693C">
            <w:pPr>
              <w:jc w:val="both"/>
              <w:rPr>
                <w:sz w:val="20"/>
              </w:rPr>
            </w:pPr>
            <w:r w:rsidRPr="008D6C1E">
              <w:rPr>
                <w:sz w:val="20"/>
              </w:rPr>
              <w:t>January 11, 2016</w:t>
            </w:r>
          </w:p>
          <w:p w:rsidR="00D4693C" w:rsidRPr="008D6C1E" w:rsidRDefault="00D4693C" w:rsidP="00D4693C">
            <w:pPr>
              <w:jc w:val="both"/>
              <w:rPr>
                <w:sz w:val="20"/>
              </w:rPr>
            </w:pPr>
            <w:r w:rsidRPr="008D6C1E">
              <w:rPr>
                <w:sz w:val="20"/>
              </w:rPr>
              <w:t>Supreme Court of Canada</w:t>
            </w:r>
          </w:p>
        </w:tc>
        <w:tc>
          <w:tcPr>
            <w:tcW w:w="267" w:type="pct"/>
          </w:tcPr>
          <w:p w:rsidR="00D4693C" w:rsidRPr="008D6C1E" w:rsidRDefault="00D4693C" w:rsidP="00D4693C">
            <w:pPr>
              <w:jc w:val="both"/>
              <w:rPr>
                <w:sz w:val="20"/>
              </w:rPr>
            </w:pPr>
          </w:p>
        </w:tc>
        <w:tc>
          <w:tcPr>
            <w:tcW w:w="2366" w:type="pct"/>
            <w:gridSpan w:val="2"/>
          </w:tcPr>
          <w:p w:rsidR="00D4693C" w:rsidRPr="008D6C1E" w:rsidRDefault="00D4693C" w:rsidP="00D4693C">
            <w:pPr>
              <w:jc w:val="both"/>
              <w:rPr>
                <w:sz w:val="20"/>
              </w:rPr>
            </w:pPr>
            <w:r w:rsidRPr="008D6C1E">
              <w:rPr>
                <w:sz w:val="20"/>
              </w:rPr>
              <w:t>Application for leave to appeal filed</w:t>
            </w:r>
          </w:p>
          <w:p w:rsidR="00D4693C" w:rsidRPr="008D6C1E" w:rsidRDefault="00D4693C" w:rsidP="00D4693C">
            <w:pPr>
              <w:jc w:val="both"/>
              <w:rPr>
                <w:sz w:val="20"/>
              </w:rPr>
            </w:pPr>
          </w:p>
        </w:tc>
      </w:tr>
    </w:tbl>
    <w:p w:rsidR="00D4693C" w:rsidRPr="008D6C1E" w:rsidRDefault="00D4693C" w:rsidP="00D4693C">
      <w:pPr>
        <w:jc w:val="both"/>
        <w:rPr>
          <w:sz w:val="20"/>
        </w:rPr>
      </w:pPr>
    </w:p>
    <w:p w:rsidR="00D4693C" w:rsidRPr="008D6C1E" w:rsidRDefault="00D4693C" w:rsidP="00D4693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4693C" w:rsidRPr="002C1A32" w:rsidTr="002B5CF4">
        <w:trPr>
          <w:gridAfter w:val="1"/>
          <w:wAfter w:w="48" w:type="pct"/>
        </w:trPr>
        <w:tc>
          <w:tcPr>
            <w:tcW w:w="538" w:type="pct"/>
          </w:tcPr>
          <w:p w:rsidR="00D4693C" w:rsidRPr="008D6C1E" w:rsidRDefault="00D4693C" w:rsidP="00D4693C">
            <w:pPr>
              <w:jc w:val="both"/>
              <w:rPr>
                <w:sz w:val="20"/>
                <w:lang w:val="fr-CA"/>
              </w:rPr>
            </w:pPr>
            <w:r w:rsidRPr="008D6C1E">
              <w:rPr>
                <w:rStyle w:val="SCCFileNumberChar"/>
                <w:sz w:val="20"/>
                <w:szCs w:val="20"/>
                <w:lang w:val="fr-CA"/>
              </w:rPr>
              <w:t>36805</w:t>
            </w:r>
          </w:p>
        </w:tc>
        <w:tc>
          <w:tcPr>
            <w:tcW w:w="4414" w:type="pct"/>
            <w:gridSpan w:val="3"/>
          </w:tcPr>
          <w:p w:rsidR="00D4693C" w:rsidRPr="008D6C1E" w:rsidRDefault="00D4693C" w:rsidP="00D4693C">
            <w:pPr>
              <w:pStyle w:val="SCCLsocParty"/>
              <w:jc w:val="both"/>
              <w:rPr>
                <w:b/>
                <w:sz w:val="20"/>
                <w:szCs w:val="20"/>
              </w:rPr>
            </w:pPr>
            <w:r w:rsidRPr="008D6C1E">
              <w:rPr>
                <w:b/>
                <w:sz w:val="20"/>
                <w:szCs w:val="20"/>
              </w:rPr>
              <w:t>Alan Clark c. Superintendent of Motor Vehicles, procureur général de la Colombie-Britannique</w:t>
            </w:r>
          </w:p>
          <w:p w:rsidR="00D4693C" w:rsidRPr="008D6C1E" w:rsidRDefault="00D4693C" w:rsidP="00D4693C">
            <w:pPr>
              <w:jc w:val="both"/>
              <w:rPr>
                <w:sz w:val="20"/>
                <w:lang w:val="fr-CA"/>
              </w:rPr>
            </w:pPr>
            <w:r w:rsidRPr="008D6C1E">
              <w:rPr>
                <w:sz w:val="20"/>
                <w:lang w:val="fr-CA"/>
              </w:rPr>
              <w:t>(C.-B.) (Civile) (Sur autorisation)</w:t>
            </w:r>
          </w:p>
        </w:tc>
      </w:tr>
      <w:tr w:rsidR="00D4693C" w:rsidRPr="002C1A32" w:rsidTr="002B5CF4">
        <w:trPr>
          <w:gridAfter w:val="1"/>
          <w:wAfter w:w="48" w:type="pct"/>
        </w:trPr>
        <w:tc>
          <w:tcPr>
            <w:tcW w:w="4952" w:type="pct"/>
            <w:gridSpan w:val="4"/>
          </w:tcPr>
          <w:p w:rsidR="00D4693C" w:rsidRPr="008D6C1E" w:rsidRDefault="00D4693C" w:rsidP="00D4693C">
            <w:pPr>
              <w:jc w:val="both"/>
              <w:rPr>
                <w:sz w:val="20"/>
                <w:lang w:val="fr-CA"/>
              </w:rPr>
            </w:pPr>
            <w:r w:rsidRPr="008D6C1E">
              <w:rPr>
                <w:sz w:val="20"/>
                <w:lang w:val="fr-CA"/>
              </w:rPr>
              <w:t xml:space="preserve">Droit administratif — Norme de contrôle — Droit des transports — Interdiction automatique de conduire — La loi provinciale confère le droit de fournir un deuxième échantillon d’haleine sur un appareil de détection approuvé différent si le premier appareil affiche un « avertissement » ou un « échec » à partir du premier échantillon d’haleine — L’arbitre a conclu qu’un deuxième appareil de détection approuvé avait été utilisé — Si la raisonnabilité constitue une norme unique qui s’adapte au contexte, quel processus un arbitre doit-il suivre pour tirer une inférence dans un contexte administratif? — Ce processus diffère-t-il du processus applicable dans le contexte criminel ou civil et, dans l’affirmative, comment diffère-t-il? — La norme de preuve sur laquelle ces inférences sont tirées est-elle plus élevée ou moins élevée lorsque, dans un contexte administratif, il y a des limites procédurales? — Quelles sont les caractéristiques d’une inférence raisonnable tirée dans une instance administrative? — </w:t>
            </w:r>
            <w:r w:rsidRPr="008D6C1E">
              <w:rPr>
                <w:i/>
                <w:iCs/>
                <w:sz w:val="20"/>
                <w:lang w:val="fr-CA"/>
              </w:rPr>
              <w:t>Motor Vehicle Act</w:t>
            </w:r>
            <w:r w:rsidRPr="008D6C1E">
              <w:rPr>
                <w:sz w:val="20"/>
                <w:lang w:val="fr-CA"/>
              </w:rPr>
              <w:t>, R.S.B.C. 1996, ch. 318, art. 215.41, 215.42, 215.43, 215.44, 215.46, 215.47, 215.48, 215.49, 215.5.</w:t>
            </w:r>
          </w:p>
          <w:p w:rsidR="00D4693C" w:rsidRPr="008D6C1E" w:rsidRDefault="00D4693C" w:rsidP="00D4693C">
            <w:pPr>
              <w:jc w:val="both"/>
              <w:rPr>
                <w:sz w:val="20"/>
                <w:lang w:val="fr-CA"/>
              </w:rPr>
            </w:pPr>
          </w:p>
          <w:p w:rsidR="00D4693C" w:rsidRPr="008D6C1E" w:rsidRDefault="00D4693C" w:rsidP="00D4693C">
            <w:pPr>
              <w:jc w:val="both"/>
              <w:rPr>
                <w:sz w:val="20"/>
                <w:lang w:val="fr-CA"/>
              </w:rPr>
            </w:pPr>
            <w:r w:rsidRPr="008D6C1E">
              <w:rPr>
                <w:sz w:val="20"/>
                <w:lang w:val="fr-CA"/>
              </w:rPr>
              <w:t xml:space="preserve">Le demandeur, M. Clark, a été intercepté par un policier alors qu’il conduisait son véhicule. Il a fourni deux échantillons d’haleine à la demande du policier et il a échoué. Un « échec », en application de l’art. 215.41 de la </w:t>
            </w:r>
            <w:r w:rsidRPr="008D6C1E">
              <w:rPr>
                <w:i/>
                <w:iCs/>
                <w:sz w:val="20"/>
                <w:lang w:val="fr-CA"/>
              </w:rPr>
              <w:t>Motor Vehicle Act</w:t>
            </w:r>
            <w:r w:rsidRPr="008D6C1E">
              <w:rPr>
                <w:sz w:val="20"/>
                <w:lang w:val="fr-CA"/>
              </w:rPr>
              <w:t xml:space="preserve">, R.S.B.C. 1996, ch. 318, signifie que l’alcoolémie est d’au moins 80 mg d’alcool par 100 ml de sang. Si un appareil de détection approuvé affiche un échec, le policier doit informer le conducteur de son droit de fournir un deuxième échantillon d’haleine. Si le conducteur souhaite fournir un deuxième échantillon d’haleine, un appareil différent doit être utilisé. Monsieur Clark s’est vu imposer une interdiction de conduire de 90 jours, une pénalité monétaire et la saisie de son véhicule.  </w:t>
            </w:r>
          </w:p>
          <w:p w:rsidR="00D4693C" w:rsidRPr="008D6C1E" w:rsidRDefault="00D4693C" w:rsidP="00D4693C">
            <w:pPr>
              <w:jc w:val="both"/>
              <w:rPr>
                <w:sz w:val="20"/>
                <w:lang w:val="fr-CA"/>
              </w:rPr>
            </w:pPr>
          </w:p>
          <w:p w:rsidR="00D4693C" w:rsidRPr="008D6C1E" w:rsidRDefault="00D4693C" w:rsidP="00D4693C">
            <w:pPr>
              <w:jc w:val="both"/>
              <w:rPr>
                <w:sz w:val="20"/>
                <w:lang w:val="fr-CA"/>
              </w:rPr>
            </w:pPr>
            <w:r w:rsidRPr="008D6C1E">
              <w:rPr>
                <w:sz w:val="20"/>
                <w:lang w:val="fr-CA"/>
              </w:rPr>
              <w:t>Monsieur Clark a demandé au Superintendent of Motor Vehicles (le « Surintendant ») de réviser l’interdiction. La principale question que devait trancher un délégué du Surintendant (l’« arbitre ») à l’audience tenue devant lui était de savoir si le policier avait utilisé un appareil de détection approuvé différent pour le deuxième échantillon d’haleine. Monsieur Clark et le passager qui se trouvait dans son véhicule ont chacun affirmé dans leurs témoignages que le policier n’avait utilisé qu’un seul appareil. Le policier a affirmé dans son témoignage qu’il avait utilisé deux appareils différents. L’arbitre a conclu que le policier avait utilisé des appareils différents et a confirmé l’interdiction automatique.</w:t>
            </w:r>
          </w:p>
          <w:p w:rsidR="00D4693C" w:rsidRPr="008D6C1E" w:rsidRDefault="00D4693C" w:rsidP="00D4693C">
            <w:pPr>
              <w:jc w:val="both"/>
              <w:rPr>
                <w:sz w:val="20"/>
                <w:lang w:val="fr-CA"/>
              </w:rPr>
            </w:pPr>
          </w:p>
        </w:tc>
      </w:tr>
      <w:tr w:rsidR="00D4693C" w:rsidRPr="002C1A32" w:rsidTr="002B5CF4">
        <w:tblPrEx>
          <w:tblCellMar>
            <w:bottom w:w="0" w:type="dxa"/>
          </w:tblCellMar>
        </w:tblPrEx>
        <w:tc>
          <w:tcPr>
            <w:tcW w:w="2367" w:type="pct"/>
            <w:gridSpan w:val="2"/>
          </w:tcPr>
          <w:p w:rsidR="00D4693C" w:rsidRPr="008D6C1E" w:rsidRDefault="00D4693C" w:rsidP="00D4693C">
            <w:pPr>
              <w:jc w:val="both"/>
              <w:rPr>
                <w:sz w:val="20"/>
                <w:lang w:val="fr-CA"/>
              </w:rPr>
            </w:pPr>
            <w:r w:rsidRPr="008D6C1E">
              <w:rPr>
                <w:sz w:val="20"/>
                <w:lang w:val="fr-CA"/>
              </w:rPr>
              <w:t>2 avril 2014</w:t>
            </w:r>
          </w:p>
          <w:p w:rsidR="00D4693C" w:rsidRPr="008D6C1E" w:rsidRDefault="00D4693C" w:rsidP="00D4693C">
            <w:pPr>
              <w:jc w:val="both"/>
              <w:rPr>
                <w:sz w:val="20"/>
                <w:lang w:val="fr-CA"/>
              </w:rPr>
            </w:pPr>
            <w:r w:rsidRPr="008D6C1E">
              <w:rPr>
                <w:sz w:val="20"/>
                <w:lang w:val="fr-CA"/>
              </w:rPr>
              <w:t xml:space="preserve">Cour suprême de la Colombie-Britannique </w:t>
            </w:r>
          </w:p>
          <w:p w:rsidR="00D4693C" w:rsidRPr="008D6C1E" w:rsidRDefault="00D4693C" w:rsidP="00D4693C">
            <w:pPr>
              <w:jc w:val="both"/>
              <w:rPr>
                <w:sz w:val="20"/>
                <w:lang w:val="fr-CA"/>
              </w:rPr>
            </w:pPr>
            <w:r w:rsidRPr="008D6C1E">
              <w:rPr>
                <w:sz w:val="20"/>
                <w:lang w:val="fr-CA"/>
              </w:rPr>
              <w:t>(Juge Tindale)</w:t>
            </w:r>
          </w:p>
          <w:p w:rsidR="00D4693C" w:rsidRPr="008D6C1E" w:rsidRDefault="005E6DC4" w:rsidP="00D4693C">
            <w:pPr>
              <w:jc w:val="both"/>
              <w:rPr>
                <w:sz w:val="20"/>
                <w:lang w:val="fr-CA"/>
              </w:rPr>
            </w:pPr>
            <w:hyperlink r:id="rId42" w:history="1">
              <w:r w:rsidR="00D4693C" w:rsidRPr="008D6C1E">
                <w:rPr>
                  <w:rStyle w:val="Hyperlink"/>
                  <w:sz w:val="20"/>
                  <w:lang w:val="fr-CA"/>
                </w:rPr>
                <w:t>2014 BCSC 562</w:t>
              </w:r>
            </w:hyperlink>
          </w:p>
          <w:p w:rsidR="00D4693C" w:rsidRPr="008D6C1E" w:rsidRDefault="00D4693C" w:rsidP="00D4693C">
            <w:pPr>
              <w:jc w:val="both"/>
              <w:rPr>
                <w:sz w:val="20"/>
                <w:lang w:val="fr-CA"/>
              </w:rPr>
            </w:pPr>
          </w:p>
        </w:tc>
        <w:tc>
          <w:tcPr>
            <w:tcW w:w="267" w:type="pct"/>
          </w:tcPr>
          <w:p w:rsidR="00D4693C" w:rsidRPr="008D6C1E" w:rsidRDefault="00D4693C" w:rsidP="00D4693C">
            <w:pPr>
              <w:jc w:val="both"/>
              <w:rPr>
                <w:sz w:val="20"/>
                <w:lang w:val="fr-CA"/>
              </w:rPr>
            </w:pPr>
          </w:p>
        </w:tc>
        <w:tc>
          <w:tcPr>
            <w:tcW w:w="2366" w:type="pct"/>
            <w:gridSpan w:val="2"/>
          </w:tcPr>
          <w:p w:rsidR="00D4693C" w:rsidRPr="008D6C1E" w:rsidRDefault="00D4693C" w:rsidP="00D4693C">
            <w:pPr>
              <w:jc w:val="both"/>
              <w:rPr>
                <w:sz w:val="20"/>
                <w:lang w:val="fr-CA"/>
              </w:rPr>
            </w:pPr>
            <w:r w:rsidRPr="008D6C1E">
              <w:rPr>
                <w:sz w:val="20"/>
                <w:lang w:val="fr-CA"/>
              </w:rPr>
              <w:t>Jugement accueillant la requête en contrôle judiciaire</w:t>
            </w:r>
          </w:p>
        </w:tc>
      </w:tr>
      <w:tr w:rsidR="00D4693C" w:rsidRPr="008D6C1E" w:rsidTr="002B5CF4">
        <w:tblPrEx>
          <w:tblCellMar>
            <w:bottom w:w="0" w:type="dxa"/>
          </w:tblCellMar>
        </w:tblPrEx>
        <w:tc>
          <w:tcPr>
            <w:tcW w:w="2367" w:type="pct"/>
            <w:gridSpan w:val="2"/>
          </w:tcPr>
          <w:p w:rsidR="00D4693C" w:rsidRPr="008D6C1E" w:rsidRDefault="00D4693C" w:rsidP="00D4693C">
            <w:pPr>
              <w:jc w:val="both"/>
              <w:rPr>
                <w:sz w:val="20"/>
                <w:lang w:val="fr-CA"/>
              </w:rPr>
            </w:pPr>
            <w:r w:rsidRPr="008D6C1E">
              <w:rPr>
                <w:sz w:val="20"/>
                <w:lang w:val="fr-CA"/>
              </w:rPr>
              <w:t>26 novembre 2015</w:t>
            </w:r>
          </w:p>
          <w:p w:rsidR="00D4693C" w:rsidRPr="008D6C1E" w:rsidRDefault="00D4693C" w:rsidP="00D4693C">
            <w:pPr>
              <w:jc w:val="both"/>
              <w:rPr>
                <w:sz w:val="20"/>
                <w:lang w:val="fr-CA"/>
              </w:rPr>
            </w:pPr>
            <w:r w:rsidRPr="008D6C1E">
              <w:rPr>
                <w:sz w:val="20"/>
                <w:lang w:val="fr-CA"/>
              </w:rPr>
              <w:t xml:space="preserve">Cour d’appel de la Colombie-Britannique </w:t>
            </w:r>
          </w:p>
          <w:p w:rsidR="00D4693C" w:rsidRPr="008D6C1E" w:rsidRDefault="00D4693C" w:rsidP="00D4693C">
            <w:pPr>
              <w:jc w:val="both"/>
              <w:rPr>
                <w:sz w:val="20"/>
                <w:lang w:val="fr-CA"/>
              </w:rPr>
            </w:pPr>
            <w:r w:rsidRPr="008D6C1E">
              <w:rPr>
                <w:sz w:val="20"/>
                <w:lang w:val="fr-CA"/>
              </w:rPr>
              <w:t>(Vancouver)</w:t>
            </w:r>
          </w:p>
          <w:p w:rsidR="00D4693C" w:rsidRPr="008D6C1E" w:rsidRDefault="00D4693C" w:rsidP="00D4693C">
            <w:pPr>
              <w:jc w:val="both"/>
              <w:rPr>
                <w:sz w:val="20"/>
                <w:lang w:val="fr-CA"/>
              </w:rPr>
            </w:pPr>
            <w:r w:rsidRPr="008D6C1E">
              <w:rPr>
                <w:sz w:val="20"/>
                <w:lang w:val="fr-CA"/>
              </w:rPr>
              <w:t>(Juges Tysoe, Groberman et Dickson)</w:t>
            </w:r>
          </w:p>
          <w:p w:rsidR="00D4693C" w:rsidRPr="008D6C1E" w:rsidRDefault="005E6DC4" w:rsidP="00D4693C">
            <w:pPr>
              <w:jc w:val="both"/>
              <w:rPr>
                <w:sz w:val="20"/>
                <w:lang w:val="fr-CA"/>
              </w:rPr>
            </w:pPr>
            <w:hyperlink r:id="rId43" w:history="1">
              <w:r w:rsidR="00D4693C" w:rsidRPr="008D6C1E">
                <w:rPr>
                  <w:rStyle w:val="Hyperlink"/>
                  <w:sz w:val="20"/>
                  <w:lang w:val="fr-CA"/>
                </w:rPr>
                <w:t>2015 BCCA 487</w:t>
              </w:r>
            </w:hyperlink>
          </w:p>
          <w:p w:rsidR="00D4693C" w:rsidRPr="008D6C1E" w:rsidRDefault="00D4693C" w:rsidP="00D4693C">
            <w:pPr>
              <w:jc w:val="both"/>
              <w:rPr>
                <w:sz w:val="20"/>
                <w:lang w:val="fr-CA"/>
              </w:rPr>
            </w:pPr>
          </w:p>
        </w:tc>
        <w:tc>
          <w:tcPr>
            <w:tcW w:w="267" w:type="pct"/>
          </w:tcPr>
          <w:p w:rsidR="00D4693C" w:rsidRPr="008D6C1E" w:rsidRDefault="00D4693C" w:rsidP="00D4693C">
            <w:pPr>
              <w:jc w:val="both"/>
              <w:rPr>
                <w:sz w:val="20"/>
                <w:lang w:val="fr-CA"/>
              </w:rPr>
            </w:pPr>
          </w:p>
        </w:tc>
        <w:tc>
          <w:tcPr>
            <w:tcW w:w="2366" w:type="pct"/>
            <w:gridSpan w:val="2"/>
          </w:tcPr>
          <w:p w:rsidR="00D4693C" w:rsidRPr="008D6C1E" w:rsidRDefault="00D4693C" w:rsidP="00D4693C">
            <w:pPr>
              <w:jc w:val="both"/>
              <w:rPr>
                <w:sz w:val="20"/>
                <w:lang w:val="fr-CA"/>
              </w:rPr>
            </w:pPr>
            <w:r w:rsidRPr="008D6C1E">
              <w:rPr>
                <w:sz w:val="20"/>
                <w:lang w:val="fr-CA"/>
              </w:rPr>
              <w:t>Arrêt accueillant l’appel</w:t>
            </w:r>
          </w:p>
          <w:p w:rsidR="00D4693C" w:rsidRPr="008D6C1E" w:rsidRDefault="00D4693C" w:rsidP="00D4693C">
            <w:pPr>
              <w:jc w:val="both"/>
              <w:rPr>
                <w:sz w:val="20"/>
                <w:lang w:val="fr-CA"/>
              </w:rPr>
            </w:pPr>
          </w:p>
        </w:tc>
      </w:tr>
      <w:tr w:rsidR="00D4693C" w:rsidRPr="002C1A32" w:rsidTr="002B5CF4">
        <w:tblPrEx>
          <w:tblCellMar>
            <w:bottom w:w="0" w:type="dxa"/>
          </w:tblCellMar>
        </w:tblPrEx>
        <w:tc>
          <w:tcPr>
            <w:tcW w:w="2367" w:type="pct"/>
            <w:gridSpan w:val="2"/>
          </w:tcPr>
          <w:p w:rsidR="00D4693C" w:rsidRPr="008D6C1E" w:rsidRDefault="00D4693C" w:rsidP="00D4693C">
            <w:pPr>
              <w:jc w:val="both"/>
              <w:rPr>
                <w:sz w:val="20"/>
                <w:lang w:val="fr-CA"/>
              </w:rPr>
            </w:pPr>
            <w:r w:rsidRPr="008D6C1E">
              <w:rPr>
                <w:sz w:val="20"/>
                <w:lang w:val="fr-CA"/>
              </w:rPr>
              <w:t>11 janvier 2016</w:t>
            </w:r>
          </w:p>
          <w:p w:rsidR="00D4693C" w:rsidRPr="008D6C1E" w:rsidRDefault="00D4693C" w:rsidP="00D4693C">
            <w:pPr>
              <w:jc w:val="both"/>
              <w:rPr>
                <w:sz w:val="20"/>
                <w:lang w:val="fr-CA"/>
              </w:rPr>
            </w:pPr>
            <w:r w:rsidRPr="008D6C1E">
              <w:rPr>
                <w:sz w:val="20"/>
                <w:lang w:val="fr-CA"/>
              </w:rPr>
              <w:t>Cour suprême du Canada</w:t>
            </w:r>
          </w:p>
        </w:tc>
        <w:tc>
          <w:tcPr>
            <w:tcW w:w="267" w:type="pct"/>
          </w:tcPr>
          <w:p w:rsidR="00D4693C" w:rsidRPr="008D6C1E" w:rsidRDefault="00D4693C" w:rsidP="00D4693C">
            <w:pPr>
              <w:jc w:val="both"/>
              <w:rPr>
                <w:sz w:val="20"/>
                <w:lang w:val="fr-CA"/>
              </w:rPr>
            </w:pPr>
          </w:p>
        </w:tc>
        <w:tc>
          <w:tcPr>
            <w:tcW w:w="2366" w:type="pct"/>
            <w:gridSpan w:val="2"/>
          </w:tcPr>
          <w:p w:rsidR="00D4693C" w:rsidRPr="008D6C1E" w:rsidRDefault="00D4693C" w:rsidP="00D4693C">
            <w:pPr>
              <w:jc w:val="both"/>
              <w:rPr>
                <w:sz w:val="20"/>
                <w:lang w:val="fr-CA"/>
              </w:rPr>
            </w:pPr>
            <w:r w:rsidRPr="008D6C1E">
              <w:rPr>
                <w:sz w:val="20"/>
                <w:lang w:val="fr-CA"/>
              </w:rPr>
              <w:t>Dépôt de la demande d’autorisation d’appel</w:t>
            </w:r>
          </w:p>
          <w:p w:rsidR="00D4693C" w:rsidRPr="008D6C1E" w:rsidRDefault="00D4693C" w:rsidP="00D4693C">
            <w:pPr>
              <w:jc w:val="both"/>
              <w:rPr>
                <w:sz w:val="20"/>
                <w:lang w:val="fr-CA"/>
              </w:rPr>
            </w:pPr>
          </w:p>
        </w:tc>
      </w:tr>
    </w:tbl>
    <w:p w:rsidR="00D4693C" w:rsidRPr="008D6C1E" w:rsidRDefault="00D4693C" w:rsidP="00D4693C">
      <w:pPr>
        <w:jc w:val="both"/>
        <w:rPr>
          <w:sz w:val="20"/>
          <w:lang w:val="fr-CA"/>
        </w:rPr>
      </w:pPr>
    </w:p>
    <w:p w:rsidR="00377E21" w:rsidRPr="008D6C1E" w:rsidRDefault="00377E21" w:rsidP="00811ACD">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1ACD" w:rsidRPr="008D6C1E" w:rsidTr="002B5CF4">
        <w:tc>
          <w:tcPr>
            <w:tcW w:w="543" w:type="pct"/>
          </w:tcPr>
          <w:p w:rsidR="00811ACD" w:rsidRPr="008D6C1E" w:rsidRDefault="00811ACD" w:rsidP="00811ACD">
            <w:pPr>
              <w:jc w:val="both"/>
              <w:rPr>
                <w:sz w:val="20"/>
              </w:rPr>
            </w:pPr>
            <w:r w:rsidRPr="008D6C1E">
              <w:rPr>
                <w:rStyle w:val="SCCFileNumberChar"/>
                <w:sz w:val="20"/>
                <w:szCs w:val="20"/>
              </w:rPr>
              <w:lastRenderedPageBreak/>
              <w:t>36780</w:t>
            </w:r>
          </w:p>
        </w:tc>
        <w:tc>
          <w:tcPr>
            <w:tcW w:w="4457" w:type="pct"/>
            <w:gridSpan w:val="3"/>
          </w:tcPr>
          <w:p w:rsidR="00811ACD" w:rsidRPr="002C1A32" w:rsidRDefault="00811ACD" w:rsidP="00811ACD">
            <w:pPr>
              <w:pStyle w:val="SCCLsocParty"/>
              <w:jc w:val="both"/>
              <w:rPr>
                <w:b/>
                <w:sz w:val="20"/>
                <w:szCs w:val="20"/>
                <w:lang w:val="en-US"/>
              </w:rPr>
            </w:pPr>
            <w:r w:rsidRPr="002C1A32">
              <w:rPr>
                <w:b/>
                <w:sz w:val="20"/>
                <w:szCs w:val="20"/>
                <w:lang w:val="en-US"/>
              </w:rPr>
              <w:t>Barry David Brown v. Her Majesty the Queen</w:t>
            </w:r>
          </w:p>
          <w:p w:rsidR="00811ACD" w:rsidRPr="008D6C1E" w:rsidRDefault="00811ACD" w:rsidP="00811ACD">
            <w:pPr>
              <w:jc w:val="both"/>
              <w:rPr>
                <w:sz w:val="20"/>
              </w:rPr>
            </w:pPr>
            <w:r w:rsidRPr="008D6C1E">
              <w:rPr>
                <w:sz w:val="20"/>
              </w:rPr>
              <w:t>(Alta.) (Criminal) (By Leave)</w:t>
            </w:r>
          </w:p>
        </w:tc>
      </w:tr>
      <w:tr w:rsidR="00811ACD" w:rsidRPr="008D6C1E" w:rsidTr="002B5CF4">
        <w:tc>
          <w:tcPr>
            <w:tcW w:w="5000" w:type="pct"/>
            <w:gridSpan w:val="4"/>
          </w:tcPr>
          <w:p w:rsidR="00811ACD" w:rsidRPr="008D6C1E" w:rsidRDefault="00811ACD" w:rsidP="00811ACD">
            <w:pPr>
              <w:jc w:val="both"/>
              <w:rPr>
                <w:sz w:val="20"/>
              </w:rPr>
            </w:pPr>
            <w:r w:rsidRPr="008D6C1E">
              <w:rPr>
                <w:sz w:val="20"/>
              </w:rPr>
              <w:t>Criminal Law – Evidence – Admissibility – Hearsay – Exculpatory evidence – Mr. Big evidence – Under what circumstances may evidence of a third party's animus toward the deceased be admissible evidence as to the motive of an accused person – What legal principles ought to be applied to determine the admissibility of exculpatory evidence from a Mr. Big operation – Whether it is an error of law to restrict the defence from tendering character evidence of the deceased in the circumstance where the Crown was permitted to lead good character evidence of the deceased.</w:t>
            </w:r>
          </w:p>
          <w:p w:rsidR="00811ACD" w:rsidRPr="008D6C1E" w:rsidRDefault="00811ACD" w:rsidP="00811ACD">
            <w:pPr>
              <w:jc w:val="both"/>
              <w:rPr>
                <w:sz w:val="20"/>
              </w:rPr>
            </w:pPr>
          </w:p>
        </w:tc>
      </w:tr>
      <w:tr w:rsidR="00811ACD" w:rsidRPr="008D6C1E" w:rsidTr="002B5CF4">
        <w:tc>
          <w:tcPr>
            <w:tcW w:w="5000" w:type="pct"/>
            <w:gridSpan w:val="4"/>
          </w:tcPr>
          <w:p w:rsidR="00811ACD" w:rsidRPr="008D6C1E" w:rsidRDefault="00811ACD" w:rsidP="00811ACD">
            <w:pPr>
              <w:jc w:val="both"/>
              <w:rPr>
                <w:sz w:val="20"/>
                <w:lang w:eastAsia="en-CA"/>
              </w:rPr>
            </w:pPr>
            <w:r w:rsidRPr="008D6C1E">
              <w:rPr>
                <w:sz w:val="20"/>
                <w:lang w:eastAsia="en-CA"/>
              </w:rPr>
              <w:t xml:space="preserve">Corrine Belanger was the common law spouse of Fred </w:t>
            </w:r>
            <w:proofErr w:type="spellStart"/>
            <w:r w:rsidRPr="008D6C1E">
              <w:rPr>
                <w:sz w:val="20"/>
                <w:lang w:eastAsia="en-CA"/>
              </w:rPr>
              <w:t>Vollmin</w:t>
            </w:r>
            <w:proofErr w:type="spellEnd"/>
            <w:r w:rsidRPr="008D6C1E">
              <w:rPr>
                <w:sz w:val="20"/>
                <w:lang w:eastAsia="en-CA"/>
              </w:rPr>
              <w:t xml:space="preserve">. Their relationship was coming to an end and disputes arose as to their two year old son. Belanger advised </w:t>
            </w:r>
            <w:proofErr w:type="spellStart"/>
            <w:r w:rsidRPr="008D6C1E">
              <w:rPr>
                <w:sz w:val="20"/>
                <w:lang w:eastAsia="en-CA"/>
              </w:rPr>
              <w:t>Vollmin</w:t>
            </w:r>
            <w:proofErr w:type="spellEnd"/>
            <w:r w:rsidRPr="008D6C1E">
              <w:rPr>
                <w:sz w:val="20"/>
                <w:lang w:eastAsia="en-CA"/>
              </w:rPr>
              <w:t xml:space="preserve"> that she would be going to court to apply for custody. Corrine Belanger was killed while waiting the return of her son. She had been shot three times at close range. </w:t>
            </w:r>
          </w:p>
          <w:p w:rsidR="00811ACD" w:rsidRPr="008D6C1E" w:rsidRDefault="00811ACD" w:rsidP="00811ACD">
            <w:pPr>
              <w:jc w:val="both"/>
              <w:rPr>
                <w:sz w:val="20"/>
                <w:lang w:eastAsia="en-CA"/>
              </w:rPr>
            </w:pPr>
          </w:p>
          <w:p w:rsidR="00811ACD" w:rsidRPr="008D6C1E" w:rsidRDefault="00811ACD" w:rsidP="00811ACD">
            <w:pPr>
              <w:jc w:val="both"/>
              <w:rPr>
                <w:sz w:val="20"/>
              </w:rPr>
            </w:pPr>
            <w:r w:rsidRPr="008D6C1E">
              <w:rPr>
                <w:sz w:val="20"/>
                <w:lang w:eastAsia="en-CA"/>
              </w:rPr>
              <w:t xml:space="preserve">The applicant is a friend of </w:t>
            </w:r>
            <w:proofErr w:type="spellStart"/>
            <w:r w:rsidRPr="008D6C1E">
              <w:rPr>
                <w:sz w:val="20"/>
                <w:lang w:eastAsia="en-CA"/>
              </w:rPr>
              <w:t>Vollmin</w:t>
            </w:r>
            <w:proofErr w:type="spellEnd"/>
            <w:r w:rsidRPr="008D6C1E">
              <w:rPr>
                <w:sz w:val="20"/>
                <w:lang w:eastAsia="en-CA"/>
              </w:rPr>
              <w:t xml:space="preserve">. </w:t>
            </w:r>
            <w:proofErr w:type="spellStart"/>
            <w:r w:rsidRPr="008D6C1E">
              <w:rPr>
                <w:sz w:val="20"/>
                <w:lang w:eastAsia="en-CA"/>
              </w:rPr>
              <w:t>Vollmin</w:t>
            </w:r>
            <w:proofErr w:type="spellEnd"/>
            <w:r w:rsidRPr="008D6C1E">
              <w:rPr>
                <w:sz w:val="20"/>
                <w:lang w:eastAsia="en-CA"/>
              </w:rPr>
              <w:t xml:space="preserve"> did not tell police that he had spoken to the applicant on the day Belanger was killed. Subsequent investigation disclosed that </w:t>
            </w:r>
            <w:proofErr w:type="spellStart"/>
            <w:r w:rsidRPr="008D6C1E">
              <w:rPr>
                <w:sz w:val="20"/>
                <w:lang w:eastAsia="en-CA"/>
              </w:rPr>
              <w:t>Vollmin</w:t>
            </w:r>
            <w:proofErr w:type="spellEnd"/>
            <w:r w:rsidRPr="008D6C1E">
              <w:rPr>
                <w:sz w:val="20"/>
                <w:lang w:eastAsia="en-CA"/>
              </w:rPr>
              <w:t xml:space="preserve"> spoke to the applicant several times that day. The applicant was interviewed several times and in the second interview, the applicant offered a variation of his original story. The applicant had called Belanger’s home on the day of the murder. In addition, the roll of duct tape found on the floor beside Belanger’s body and the flashlight on her bed both had DNA matching the applicant. The applicant was convicted of first degree murder. The appeal was dismissed.</w:t>
            </w:r>
          </w:p>
        </w:tc>
      </w:tr>
      <w:tr w:rsidR="00811ACD" w:rsidRPr="008D6C1E" w:rsidTr="002B5CF4">
        <w:tc>
          <w:tcPr>
            <w:tcW w:w="5000" w:type="pct"/>
            <w:gridSpan w:val="4"/>
          </w:tcPr>
          <w:p w:rsidR="00811ACD" w:rsidRPr="008D6C1E" w:rsidRDefault="00811ACD" w:rsidP="00811ACD">
            <w:pPr>
              <w:jc w:val="both"/>
              <w:rPr>
                <w:sz w:val="20"/>
              </w:rPr>
            </w:pPr>
          </w:p>
        </w:tc>
      </w:tr>
      <w:tr w:rsidR="00811ACD" w:rsidRPr="008D6C1E" w:rsidTr="002B5CF4">
        <w:tc>
          <w:tcPr>
            <w:tcW w:w="2427" w:type="pct"/>
            <w:gridSpan w:val="2"/>
          </w:tcPr>
          <w:p w:rsidR="00811ACD" w:rsidRPr="008D6C1E" w:rsidRDefault="00811ACD" w:rsidP="00811ACD">
            <w:pPr>
              <w:jc w:val="both"/>
              <w:rPr>
                <w:sz w:val="20"/>
              </w:rPr>
            </w:pPr>
            <w:r w:rsidRPr="008D6C1E">
              <w:rPr>
                <w:sz w:val="20"/>
              </w:rPr>
              <w:t>March 8, 2013</w:t>
            </w:r>
          </w:p>
          <w:p w:rsidR="00811ACD" w:rsidRPr="008D6C1E" w:rsidRDefault="00811ACD" w:rsidP="00811ACD">
            <w:pPr>
              <w:jc w:val="both"/>
              <w:rPr>
                <w:sz w:val="20"/>
              </w:rPr>
            </w:pPr>
            <w:r w:rsidRPr="008D6C1E">
              <w:rPr>
                <w:sz w:val="20"/>
              </w:rPr>
              <w:t>Court of Queen’s Bench of Alberta</w:t>
            </w:r>
          </w:p>
          <w:p w:rsidR="00811ACD" w:rsidRPr="008D6C1E" w:rsidRDefault="00811ACD" w:rsidP="00811ACD">
            <w:pPr>
              <w:jc w:val="both"/>
              <w:rPr>
                <w:sz w:val="20"/>
              </w:rPr>
            </w:pPr>
            <w:r w:rsidRPr="008D6C1E">
              <w:rPr>
                <w:sz w:val="20"/>
              </w:rPr>
              <w:t>(</w:t>
            </w:r>
            <w:proofErr w:type="spellStart"/>
            <w:r w:rsidRPr="008D6C1E">
              <w:rPr>
                <w:sz w:val="20"/>
              </w:rPr>
              <w:t>Poelman</w:t>
            </w:r>
            <w:proofErr w:type="spellEnd"/>
            <w:r w:rsidRPr="008D6C1E">
              <w:rPr>
                <w:sz w:val="20"/>
              </w:rPr>
              <w:t xml:space="preserve"> J.)</w:t>
            </w:r>
          </w:p>
          <w:p w:rsidR="00811ACD" w:rsidRPr="008D6C1E" w:rsidRDefault="00811ACD" w:rsidP="00811ACD">
            <w:pPr>
              <w:jc w:val="both"/>
              <w:rPr>
                <w:sz w:val="20"/>
              </w:rPr>
            </w:pPr>
          </w:p>
        </w:tc>
        <w:tc>
          <w:tcPr>
            <w:tcW w:w="243" w:type="pct"/>
          </w:tcPr>
          <w:p w:rsidR="00811ACD" w:rsidRPr="008D6C1E" w:rsidRDefault="00811ACD" w:rsidP="00811ACD">
            <w:pPr>
              <w:jc w:val="both"/>
              <w:rPr>
                <w:sz w:val="20"/>
              </w:rPr>
            </w:pPr>
          </w:p>
        </w:tc>
        <w:tc>
          <w:tcPr>
            <w:tcW w:w="2330" w:type="pct"/>
          </w:tcPr>
          <w:p w:rsidR="00811ACD" w:rsidRPr="008D6C1E" w:rsidRDefault="00811ACD" w:rsidP="00811ACD">
            <w:pPr>
              <w:jc w:val="both"/>
              <w:rPr>
                <w:sz w:val="20"/>
              </w:rPr>
            </w:pPr>
            <w:r w:rsidRPr="008D6C1E">
              <w:rPr>
                <w:sz w:val="20"/>
              </w:rPr>
              <w:t xml:space="preserve">Applicant found guilty of first degree murder  contrary to s. 235(1) of the </w:t>
            </w:r>
            <w:r w:rsidRPr="008D6C1E">
              <w:rPr>
                <w:i/>
                <w:sz w:val="20"/>
              </w:rPr>
              <w:t>Criminal Code</w:t>
            </w:r>
          </w:p>
          <w:p w:rsidR="00811ACD" w:rsidRPr="008D6C1E" w:rsidRDefault="00811ACD" w:rsidP="00811ACD">
            <w:pPr>
              <w:jc w:val="both"/>
              <w:rPr>
                <w:sz w:val="20"/>
              </w:rPr>
            </w:pPr>
          </w:p>
        </w:tc>
      </w:tr>
      <w:tr w:rsidR="00811ACD" w:rsidRPr="008D6C1E" w:rsidTr="002B5CF4">
        <w:tc>
          <w:tcPr>
            <w:tcW w:w="2427" w:type="pct"/>
            <w:gridSpan w:val="2"/>
          </w:tcPr>
          <w:p w:rsidR="00811ACD" w:rsidRPr="008D6C1E" w:rsidRDefault="00811ACD" w:rsidP="00811ACD">
            <w:pPr>
              <w:jc w:val="both"/>
              <w:rPr>
                <w:sz w:val="20"/>
              </w:rPr>
            </w:pPr>
            <w:r w:rsidRPr="008D6C1E">
              <w:rPr>
                <w:sz w:val="20"/>
              </w:rPr>
              <w:t>July 15, 2015</w:t>
            </w:r>
          </w:p>
          <w:p w:rsidR="00811ACD" w:rsidRPr="008D6C1E" w:rsidRDefault="00811ACD" w:rsidP="00811ACD">
            <w:pPr>
              <w:jc w:val="both"/>
              <w:rPr>
                <w:sz w:val="20"/>
              </w:rPr>
            </w:pPr>
            <w:r w:rsidRPr="008D6C1E">
              <w:rPr>
                <w:sz w:val="20"/>
              </w:rPr>
              <w:t>Court of Appeal of Alberta (Calgary)</w:t>
            </w:r>
          </w:p>
          <w:p w:rsidR="00811ACD" w:rsidRPr="008D6C1E" w:rsidRDefault="00811ACD" w:rsidP="00811ACD">
            <w:pPr>
              <w:jc w:val="both"/>
              <w:rPr>
                <w:sz w:val="20"/>
              </w:rPr>
            </w:pPr>
            <w:r w:rsidRPr="008D6C1E">
              <w:rPr>
                <w:sz w:val="20"/>
              </w:rPr>
              <w:t>(</w:t>
            </w:r>
            <w:proofErr w:type="spellStart"/>
            <w:r w:rsidRPr="008D6C1E">
              <w:rPr>
                <w:sz w:val="20"/>
              </w:rPr>
              <w:t>Paperny</w:t>
            </w:r>
            <w:proofErr w:type="spellEnd"/>
            <w:r w:rsidRPr="008D6C1E">
              <w:rPr>
                <w:sz w:val="20"/>
              </w:rPr>
              <w:t>, Martin and McDonald JJ.A.)</w:t>
            </w:r>
          </w:p>
          <w:p w:rsidR="00811ACD" w:rsidRPr="008D6C1E" w:rsidRDefault="00811ACD" w:rsidP="00811ACD">
            <w:pPr>
              <w:jc w:val="both"/>
              <w:rPr>
                <w:sz w:val="20"/>
              </w:rPr>
            </w:pPr>
            <w:r w:rsidRPr="008D6C1E">
              <w:rPr>
                <w:sz w:val="20"/>
              </w:rPr>
              <w:t xml:space="preserve">Neutral citation: </w:t>
            </w:r>
            <w:hyperlink r:id="rId44" w:history="1">
              <w:r w:rsidRPr="008D6C1E">
                <w:rPr>
                  <w:rStyle w:val="Hyperlink"/>
                  <w:sz w:val="20"/>
                </w:rPr>
                <w:t>2015 ABCA 228</w:t>
              </w:r>
            </w:hyperlink>
          </w:p>
          <w:p w:rsidR="00811ACD" w:rsidRPr="008D6C1E" w:rsidRDefault="00811ACD" w:rsidP="00811ACD">
            <w:pPr>
              <w:jc w:val="both"/>
              <w:rPr>
                <w:sz w:val="20"/>
              </w:rPr>
            </w:pPr>
          </w:p>
        </w:tc>
        <w:tc>
          <w:tcPr>
            <w:tcW w:w="243" w:type="pct"/>
          </w:tcPr>
          <w:p w:rsidR="00811ACD" w:rsidRPr="008D6C1E" w:rsidRDefault="00811ACD" w:rsidP="00811ACD">
            <w:pPr>
              <w:jc w:val="both"/>
              <w:rPr>
                <w:sz w:val="20"/>
              </w:rPr>
            </w:pPr>
          </w:p>
        </w:tc>
        <w:tc>
          <w:tcPr>
            <w:tcW w:w="2330" w:type="pct"/>
          </w:tcPr>
          <w:p w:rsidR="00811ACD" w:rsidRPr="008D6C1E" w:rsidRDefault="00811ACD" w:rsidP="00811ACD">
            <w:pPr>
              <w:jc w:val="both"/>
              <w:rPr>
                <w:sz w:val="20"/>
              </w:rPr>
            </w:pPr>
            <w:r w:rsidRPr="008D6C1E">
              <w:rPr>
                <w:sz w:val="20"/>
              </w:rPr>
              <w:t>Appeal dismissed</w:t>
            </w:r>
          </w:p>
          <w:p w:rsidR="00811ACD" w:rsidRPr="008D6C1E" w:rsidRDefault="00811ACD" w:rsidP="00811ACD">
            <w:pPr>
              <w:jc w:val="both"/>
              <w:rPr>
                <w:sz w:val="20"/>
              </w:rPr>
            </w:pPr>
          </w:p>
        </w:tc>
      </w:tr>
      <w:tr w:rsidR="00811ACD" w:rsidRPr="008D6C1E" w:rsidTr="002B5CF4">
        <w:tc>
          <w:tcPr>
            <w:tcW w:w="2427" w:type="pct"/>
            <w:gridSpan w:val="2"/>
          </w:tcPr>
          <w:p w:rsidR="00811ACD" w:rsidRPr="008D6C1E" w:rsidRDefault="00811ACD" w:rsidP="00811ACD">
            <w:pPr>
              <w:jc w:val="both"/>
              <w:rPr>
                <w:sz w:val="20"/>
              </w:rPr>
            </w:pPr>
            <w:r w:rsidRPr="008D6C1E">
              <w:rPr>
                <w:sz w:val="20"/>
              </w:rPr>
              <w:t>December 22, 2015</w:t>
            </w:r>
          </w:p>
          <w:p w:rsidR="00811ACD" w:rsidRPr="008D6C1E" w:rsidRDefault="00811ACD" w:rsidP="00811ACD">
            <w:pPr>
              <w:jc w:val="both"/>
              <w:rPr>
                <w:sz w:val="20"/>
              </w:rPr>
            </w:pPr>
            <w:r w:rsidRPr="008D6C1E">
              <w:rPr>
                <w:sz w:val="20"/>
              </w:rPr>
              <w:t>Supreme Court of Canada</w:t>
            </w:r>
          </w:p>
        </w:tc>
        <w:tc>
          <w:tcPr>
            <w:tcW w:w="243" w:type="pct"/>
          </w:tcPr>
          <w:p w:rsidR="00811ACD" w:rsidRPr="008D6C1E" w:rsidRDefault="00811ACD" w:rsidP="00811ACD">
            <w:pPr>
              <w:jc w:val="both"/>
              <w:rPr>
                <w:sz w:val="20"/>
              </w:rPr>
            </w:pPr>
          </w:p>
        </w:tc>
        <w:tc>
          <w:tcPr>
            <w:tcW w:w="2330" w:type="pct"/>
          </w:tcPr>
          <w:p w:rsidR="00811ACD" w:rsidRPr="008D6C1E" w:rsidRDefault="00811ACD" w:rsidP="00811ACD">
            <w:pPr>
              <w:jc w:val="both"/>
              <w:rPr>
                <w:sz w:val="20"/>
              </w:rPr>
            </w:pPr>
            <w:r w:rsidRPr="008D6C1E">
              <w:rPr>
                <w:sz w:val="20"/>
              </w:rPr>
              <w:t>Motion for an extension of time and application for leave to appeal filed</w:t>
            </w:r>
          </w:p>
        </w:tc>
      </w:tr>
    </w:tbl>
    <w:p w:rsidR="00811ACD" w:rsidRPr="008D6C1E" w:rsidRDefault="00811ACD" w:rsidP="00811ACD">
      <w:pPr>
        <w:jc w:val="both"/>
        <w:rPr>
          <w:sz w:val="20"/>
        </w:rPr>
      </w:pPr>
    </w:p>
    <w:p w:rsidR="00811ACD" w:rsidRPr="008D6C1E" w:rsidRDefault="00811ACD" w:rsidP="00811AC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1ACD" w:rsidRPr="008D6C1E" w:rsidTr="002B5CF4">
        <w:tc>
          <w:tcPr>
            <w:tcW w:w="543" w:type="pct"/>
          </w:tcPr>
          <w:p w:rsidR="00811ACD" w:rsidRPr="008D6C1E" w:rsidRDefault="00811ACD" w:rsidP="00811ACD">
            <w:pPr>
              <w:jc w:val="both"/>
              <w:rPr>
                <w:sz w:val="20"/>
                <w:lang w:val="fr-CA"/>
              </w:rPr>
            </w:pPr>
            <w:r w:rsidRPr="008D6C1E">
              <w:rPr>
                <w:rStyle w:val="SCCFileNumberChar"/>
                <w:sz w:val="20"/>
                <w:szCs w:val="20"/>
                <w:lang w:val="fr-CA"/>
              </w:rPr>
              <w:t>36780</w:t>
            </w:r>
          </w:p>
        </w:tc>
        <w:tc>
          <w:tcPr>
            <w:tcW w:w="4457" w:type="pct"/>
            <w:gridSpan w:val="3"/>
          </w:tcPr>
          <w:p w:rsidR="00811ACD" w:rsidRPr="008D6C1E" w:rsidRDefault="00811ACD" w:rsidP="00811ACD">
            <w:pPr>
              <w:pStyle w:val="SCCLsocParty"/>
              <w:jc w:val="both"/>
              <w:rPr>
                <w:b/>
                <w:sz w:val="20"/>
                <w:szCs w:val="20"/>
              </w:rPr>
            </w:pPr>
            <w:r w:rsidRPr="008D6C1E">
              <w:rPr>
                <w:b/>
                <w:sz w:val="20"/>
                <w:szCs w:val="20"/>
              </w:rPr>
              <w:t>Barry David Brown c. Sa Majesté la Reine</w:t>
            </w:r>
          </w:p>
          <w:p w:rsidR="00811ACD" w:rsidRPr="008D6C1E" w:rsidRDefault="00811ACD" w:rsidP="00811ACD">
            <w:pPr>
              <w:jc w:val="both"/>
              <w:rPr>
                <w:sz w:val="20"/>
                <w:lang w:val="fr-CA"/>
              </w:rPr>
            </w:pPr>
            <w:r w:rsidRPr="008D6C1E">
              <w:rPr>
                <w:sz w:val="20"/>
                <w:lang w:val="fr-CA"/>
              </w:rPr>
              <w:t>(Alb.) (Criminelle) (Sur autorisation)</w:t>
            </w:r>
          </w:p>
        </w:tc>
      </w:tr>
      <w:tr w:rsidR="00811ACD" w:rsidRPr="002C1A32" w:rsidTr="002B5CF4">
        <w:tc>
          <w:tcPr>
            <w:tcW w:w="5000" w:type="pct"/>
            <w:gridSpan w:val="4"/>
          </w:tcPr>
          <w:p w:rsidR="00811ACD" w:rsidRPr="008D6C1E" w:rsidRDefault="00811ACD" w:rsidP="00811ACD">
            <w:pPr>
              <w:jc w:val="both"/>
              <w:rPr>
                <w:sz w:val="20"/>
                <w:lang w:val="fr-CA"/>
              </w:rPr>
            </w:pPr>
            <w:r w:rsidRPr="008D6C1E">
              <w:rPr>
                <w:sz w:val="20"/>
                <w:lang w:val="fr-CA"/>
              </w:rPr>
              <w:t xml:space="preserve">Droit criminel – Preuve – Admissibilité – Ouï-dire – Preuve </w:t>
            </w:r>
            <w:proofErr w:type="spellStart"/>
            <w:r w:rsidRPr="008D6C1E">
              <w:rPr>
                <w:sz w:val="20"/>
                <w:lang w:val="fr-CA"/>
              </w:rPr>
              <w:t>disculpatoire</w:t>
            </w:r>
            <w:proofErr w:type="spellEnd"/>
            <w:r w:rsidRPr="008D6C1E">
              <w:rPr>
                <w:sz w:val="20"/>
                <w:lang w:val="fr-CA"/>
              </w:rPr>
              <w:t xml:space="preserve"> – Preuve obtenue dans le cadre d’une opération « Monsieur </w:t>
            </w:r>
            <w:proofErr w:type="spellStart"/>
            <w:r w:rsidRPr="008D6C1E">
              <w:rPr>
                <w:sz w:val="20"/>
                <w:lang w:val="fr-CA"/>
              </w:rPr>
              <w:t>Big</w:t>
            </w:r>
            <w:proofErr w:type="spellEnd"/>
            <w:r w:rsidRPr="008D6C1E">
              <w:rPr>
                <w:sz w:val="20"/>
                <w:lang w:val="fr-CA"/>
              </w:rPr>
              <w:t xml:space="preserve"> » – Dans quelles situations la preuve de l’animosité d’un tiers à l’égard du défunt peut-elle être une preuve admissible quant au mobile de l’accusé? – Quels principes juridiques convient-il d’appliquer pour déterminer l’admissibilité d’une preuve </w:t>
            </w:r>
            <w:proofErr w:type="spellStart"/>
            <w:r w:rsidRPr="008D6C1E">
              <w:rPr>
                <w:sz w:val="20"/>
                <w:lang w:val="fr-CA"/>
              </w:rPr>
              <w:t>disculpatoire</w:t>
            </w:r>
            <w:proofErr w:type="spellEnd"/>
            <w:r w:rsidRPr="008D6C1E">
              <w:rPr>
                <w:sz w:val="20"/>
                <w:lang w:val="fr-CA"/>
              </w:rPr>
              <w:t xml:space="preserve"> obtenue dans le cadre d’une opération Monsieur </w:t>
            </w:r>
            <w:proofErr w:type="spellStart"/>
            <w:r w:rsidRPr="008D6C1E">
              <w:rPr>
                <w:sz w:val="20"/>
                <w:lang w:val="fr-CA"/>
              </w:rPr>
              <w:t>Big</w:t>
            </w:r>
            <w:proofErr w:type="spellEnd"/>
            <w:r w:rsidRPr="008D6C1E">
              <w:rPr>
                <w:sz w:val="20"/>
                <w:lang w:val="fr-CA"/>
              </w:rPr>
              <w:t>? – Est-ce une erreur de droit d’empêcher la défense de présenter une preuve de moralité du défunt dans une situation où le ministère public a été autorisé à présenter une preuve de bonne moralité du défunt?</w:t>
            </w:r>
          </w:p>
          <w:p w:rsidR="00811ACD" w:rsidRPr="008D6C1E" w:rsidRDefault="00811ACD" w:rsidP="00811ACD">
            <w:pPr>
              <w:jc w:val="both"/>
              <w:rPr>
                <w:sz w:val="20"/>
                <w:lang w:val="fr-CA"/>
              </w:rPr>
            </w:pPr>
          </w:p>
        </w:tc>
      </w:tr>
      <w:tr w:rsidR="00811ACD" w:rsidRPr="008D6C1E" w:rsidTr="002B5CF4">
        <w:tc>
          <w:tcPr>
            <w:tcW w:w="5000" w:type="pct"/>
            <w:gridSpan w:val="4"/>
          </w:tcPr>
          <w:p w:rsidR="00811ACD" w:rsidRPr="008D6C1E" w:rsidRDefault="00811ACD" w:rsidP="00811ACD">
            <w:pPr>
              <w:jc w:val="both"/>
              <w:rPr>
                <w:sz w:val="20"/>
                <w:lang w:val="fr-CA" w:eastAsia="en-CA"/>
              </w:rPr>
            </w:pPr>
            <w:proofErr w:type="spellStart"/>
            <w:r w:rsidRPr="008D6C1E">
              <w:rPr>
                <w:sz w:val="20"/>
                <w:lang w:val="fr-CA" w:eastAsia="en-CA"/>
              </w:rPr>
              <w:t>Corrine</w:t>
            </w:r>
            <w:proofErr w:type="spellEnd"/>
            <w:r w:rsidRPr="008D6C1E">
              <w:rPr>
                <w:sz w:val="20"/>
                <w:lang w:val="fr-CA" w:eastAsia="en-CA"/>
              </w:rPr>
              <w:t xml:space="preserve"> Belanger était la conjointe de fait de Fred Vollmin. Leur relation tirait à sa fin et des différends sont survenus relativement à leur fils de deux ans. Madame Belanger a informé M. </w:t>
            </w:r>
            <w:proofErr w:type="spellStart"/>
            <w:r w:rsidRPr="008D6C1E">
              <w:rPr>
                <w:sz w:val="20"/>
                <w:lang w:val="fr-CA" w:eastAsia="en-CA"/>
              </w:rPr>
              <w:t>Vollmin</w:t>
            </w:r>
            <w:proofErr w:type="spellEnd"/>
            <w:r w:rsidRPr="008D6C1E">
              <w:rPr>
                <w:sz w:val="20"/>
                <w:lang w:val="fr-CA" w:eastAsia="en-CA"/>
              </w:rPr>
              <w:t xml:space="preserve"> qu’elle allait s’adresser au tribunal pour demander la garde de l’enfant. Corrine Belanger a été tuée pendant qu’elle attendait le retour de son fils. Elle a été atteinte de trois coups de feu tirés à bout portant. </w:t>
            </w:r>
          </w:p>
          <w:p w:rsidR="00811ACD" w:rsidRPr="008D6C1E" w:rsidRDefault="00811ACD" w:rsidP="00811ACD">
            <w:pPr>
              <w:jc w:val="both"/>
              <w:rPr>
                <w:sz w:val="20"/>
                <w:lang w:val="fr-CA" w:eastAsia="en-CA"/>
              </w:rPr>
            </w:pPr>
          </w:p>
          <w:p w:rsidR="00811ACD" w:rsidRPr="008D6C1E" w:rsidRDefault="00811ACD" w:rsidP="00811ACD">
            <w:pPr>
              <w:jc w:val="both"/>
              <w:rPr>
                <w:sz w:val="20"/>
                <w:lang w:val="fr-CA"/>
              </w:rPr>
            </w:pPr>
            <w:r w:rsidRPr="008D6C1E">
              <w:rPr>
                <w:sz w:val="20"/>
                <w:lang w:val="fr-CA" w:eastAsia="en-CA"/>
              </w:rPr>
              <w:t>Le demandeur est un ami de M. </w:t>
            </w:r>
            <w:proofErr w:type="spellStart"/>
            <w:r w:rsidRPr="008D6C1E">
              <w:rPr>
                <w:sz w:val="20"/>
                <w:lang w:val="fr-CA" w:eastAsia="en-CA"/>
              </w:rPr>
              <w:t>Vollmin</w:t>
            </w:r>
            <w:proofErr w:type="spellEnd"/>
            <w:r w:rsidRPr="008D6C1E">
              <w:rPr>
                <w:sz w:val="20"/>
                <w:lang w:val="fr-CA" w:eastAsia="en-CA"/>
              </w:rPr>
              <w:t xml:space="preserve">. Monsieur Vollmin n’a pas dit aux policiers qu’il avait </w:t>
            </w:r>
            <w:proofErr w:type="gramStart"/>
            <w:r w:rsidRPr="008D6C1E">
              <w:rPr>
                <w:sz w:val="20"/>
                <w:lang w:val="fr-CA" w:eastAsia="en-CA"/>
              </w:rPr>
              <w:t>parlé</w:t>
            </w:r>
            <w:proofErr w:type="gramEnd"/>
            <w:r w:rsidRPr="008D6C1E">
              <w:rPr>
                <w:sz w:val="20"/>
                <w:lang w:val="fr-CA" w:eastAsia="en-CA"/>
              </w:rPr>
              <w:t xml:space="preserve"> au demandeur le jour où Mme Belanger a été tuée. Une enquête subséquente a révélé que M. </w:t>
            </w:r>
            <w:proofErr w:type="spellStart"/>
            <w:r w:rsidRPr="008D6C1E">
              <w:rPr>
                <w:sz w:val="20"/>
                <w:lang w:val="fr-CA" w:eastAsia="en-CA"/>
              </w:rPr>
              <w:t>Vollmin</w:t>
            </w:r>
            <w:proofErr w:type="spellEnd"/>
            <w:r w:rsidRPr="008D6C1E">
              <w:rPr>
                <w:sz w:val="20"/>
                <w:lang w:val="fr-CA" w:eastAsia="en-CA"/>
              </w:rPr>
              <w:t xml:space="preserve"> avait parlé au demandeur plusieurs fois cette journée-là. Le demandeur a été interrogé à plusieurs reprises et, lors du deuxième entretien, le demandeur a présenté une autre version de son récit initial. Le demandeur avait appelé chez Mme Belanger le jour du meurtre. De plus, le rouleau de ruban adhésif retrouvé sur le plancher à côté du corps de Mme Belanger et la </w:t>
            </w:r>
            <w:r w:rsidRPr="008D6C1E">
              <w:rPr>
                <w:sz w:val="20"/>
                <w:lang w:val="fr-CA" w:eastAsia="en-CA"/>
              </w:rPr>
              <w:lastRenderedPageBreak/>
              <w:t>lampe de poche qui se trouvait sur son lit étaient tous les deux imprégnés d’ADN qui correspondait à celle du demandeur. Le demandeur a été déclaré coupable de meurtre au premier degré. L’appel a été rejeté.</w:t>
            </w:r>
          </w:p>
        </w:tc>
      </w:tr>
      <w:tr w:rsidR="00811ACD" w:rsidRPr="008D6C1E" w:rsidTr="002B5CF4">
        <w:tc>
          <w:tcPr>
            <w:tcW w:w="5000" w:type="pct"/>
            <w:gridSpan w:val="4"/>
          </w:tcPr>
          <w:p w:rsidR="00811ACD" w:rsidRPr="008D6C1E" w:rsidRDefault="00811ACD" w:rsidP="00811ACD">
            <w:pPr>
              <w:jc w:val="both"/>
              <w:rPr>
                <w:sz w:val="20"/>
                <w:lang w:val="fr-CA"/>
              </w:rPr>
            </w:pPr>
          </w:p>
        </w:tc>
      </w:tr>
      <w:tr w:rsidR="00811ACD" w:rsidRPr="002C1A32" w:rsidTr="002B5CF4">
        <w:tc>
          <w:tcPr>
            <w:tcW w:w="2427" w:type="pct"/>
            <w:gridSpan w:val="2"/>
          </w:tcPr>
          <w:p w:rsidR="00811ACD" w:rsidRPr="008D6C1E" w:rsidRDefault="00811ACD" w:rsidP="00811ACD">
            <w:pPr>
              <w:jc w:val="both"/>
              <w:rPr>
                <w:sz w:val="20"/>
                <w:lang w:val="fr-CA"/>
              </w:rPr>
            </w:pPr>
            <w:r w:rsidRPr="008D6C1E">
              <w:rPr>
                <w:sz w:val="20"/>
                <w:lang w:val="fr-CA"/>
              </w:rPr>
              <w:t>8 mars 2013</w:t>
            </w:r>
          </w:p>
          <w:p w:rsidR="00811ACD" w:rsidRPr="008D6C1E" w:rsidRDefault="00811ACD" w:rsidP="00811ACD">
            <w:pPr>
              <w:jc w:val="both"/>
              <w:rPr>
                <w:sz w:val="20"/>
                <w:lang w:val="fr-CA"/>
              </w:rPr>
            </w:pPr>
            <w:r w:rsidRPr="008D6C1E">
              <w:rPr>
                <w:sz w:val="20"/>
                <w:lang w:val="fr-CA"/>
              </w:rPr>
              <w:t xml:space="preserve">Cour du Banc de la Reine de l’Alberta </w:t>
            </w:r>
          </w:p>
          <w:p w:rsidR="00811ACD" w:rsidRPr="008D6C1E" w:rsidRDefault="00811ACD" w:rsidP="00811ACD">
            <w:pPr>
              <w:jc w:val="both"/>
              <w:rPr>
                <w:sz w:val="20"/>
                <w:lang w:val="fr-CA"/>
              </w:rPr>
            </w:pPr>
            <w:r w:rsidRPr="008D6C1E">
              <w:rPr>
                <w:sz w:val="20"/>
                <w:lang w:val="fr-CA"/>
              </w:rPr>
              <w:t>(Juge Poelman)</w:t>
            </w:r>
          </w:p>
          <w:p w:rsidR="00811ACD" w:rsidRPr="008D6C1E" w:rsidRDefault="00811ACD" w:rsidP="00811ACD">
            <w:pPr>
              <w:jc w:val="both"/>
              <w:rPr>
                <w:sz w:val="20"/>
                <w:lang w:val="fr-CA"/>
              </w:rPr>
            </w:pPr>
          </w:p>
        </w:tc>
        <w:tc>
          <w:tcPr>
            <w:tcW w:w="243" w:type="pct"/>
          </w:tcPr>
          <w:p w:rsidR="00811ACD" w:rsidRPr="008D6C1E" w:rsidRDefault="00811ACD" w:rsidP="00811ACD">
            <w:pPr>
              <w:jc w:val="both"/>
              <w:rPr>
                <w:sz w:val="20"/>
                <w:lang w:val="fr-CA"/>
              </w:rPr>
            </w:pPr>
          </w:p>
        </w:tc>
        <w:tc>
          <w:tcPr>
            <w:tcW w:w="2330" w:type="pct"/>
          </w:tcPr>
          <w:p w:rsidR="00811ACD" w:rsidRPr="008D6C1E" w:rsidRDefault="00811ACD" w:rsidP="00811ACD">
            <w:pPr>
              <w:jc w:val="both"/>
              <w:rPr>
                <w:sz w:val="20"/>
                <w:lang w:val="fr-CA"/>
              </w:rPr>
            </w:pPr>
            <w:r w:rsidRPr="008D6C1E">
              <w:rPr>
                <w:sz w:val="20"/>
                <w:lang w:val="fr-CA"/>
              </w:rPr>
              <w:t xml:space="preserve">Déclaration de culpabilité de meurtre au premier degré, infraction prévue au par. 235(1) du </w:t>
            </w:r>
            <w:r w:rsidRPr="008D6C1E">
              <w:rPr>
                <w:i/>
                <w:sz w:val="20"/>
                <w:lang w:val="fr-CA"/>
              </w:rPr>
              <w:t>Code criminel</w:t>
            </w:r>
          </w:p>
          <w:p w:rsidR="00811ACD" w:rsidRPr="008D6C1E" w:rsidRDefault="00811ACD" w:rsidP="00811ACD">
            <w:pPr>
              <w:jc w:val="both"/>
              <w:rPr>
                <w:sz w:val="20"/>
                <w:lang w:val="fr-CA"/>
              </w:rPr>
            </w:pPr>
          </w:p>
        </w:tc>
      </w:tr>
      <w:tr w:rsidR="00811ACD" w:rsidRPr="008D6C1E" w:rsidTr="002B5CF4">
        <w:tc>
          <w:tcPr>
            <w:tcW w:w="2427" w:type="pct"/>
            <w:gridSpan w:val="2"/>
          </w:tcPr>
          <w:p w:rsidR="00811ACD" w:rsidRPr="008D6C1E" w:rsidRDefault="00811ACD" w:rsidP="00811ACD">
            <w:pPr>
              <w:jc w:val="both"/>
              <w:rPr>
                <w:sz w:val="20"/>
                <w:lang w:val="fr-CA"/>
              </w:rPr>
            </w:pPr>
            <w:r w:rsidRPr="008D6C1E">
              <w:rPr>
                <w:sz w:val="20"/>
                <w:lang w:val="fr-CA"/>
              </w:rPr>
              <w:t>15 juillet 2015</w:t>
            </w:r>
          </w:p>
          <w:p w:rsidR="00811ACD" w:rsidRPr="008D6C1E" w:rsidRDefault="00811ACD" w:rsidP="00811ACD">
            <w:pPr>
              <w:jc w:val="both"/>
              <w:rPr>
                <w:sz w:val="20"/>
                <w:lang w:val="fr-CA"/>
              </w:rPr>
            </w:pPr>
            <w:r w:rsidRPr="008D6C1E">
              <w:rPr>
                <w:sz w:val="20"/>
                <w:lang w:val="fr-CA"/>
              </w:rPr>
              <w:t>Cour d’appel de l’Alberta (Calgary)</w:t>
            </w:r>
          </w:p>
          <w:p w:rsidR="00811ACD" w:rsidRPr="008D6C1E" w:rsidRDefault="00811ACD" w:rsidP="00811ACD">
            <w:pPr>
              <w:jc w:val="both"/>
              <w:rPr>
                <w:sz w:val="20"/>
                <w:lang w:val="fr-CA"/>
              </w:rPr>
            </w:pPr>
            <w:r w:rsidRPr="008D6C1E">
              <w:rPr>
                <w:sz w:val="20"/>
                <w:lang w:val="fr-CA"/>
              </w:rPr>
              <w:t>(Juges Paperny, Martin et McDonald)</w:t>
            </w:r>
          </w:p>
          <w:p w:rsidR="00811ACD" w:rsidRPr="008D6C1E" w:rsidRDefault="00811ACD" w:rsidP="00811ACD">
            <w:pPr>
              <w:jc w:val="both"/>
              <w:rPr>
                <w:sz w:val="20"/>
                <w:lang w:val="fr-CA"/>
              </w:rPr>
            </w:pPr>
            <w:r w:rsidRPr="008D6C1E">
              <w:rPr>
                <w:sz w:val="20"/>
                <w:lang w:val="fr-CA"/>
              </w:rPr>
              <w:t xml:space="preserve">Référence neutre : </w:t>
            </w:r>
            <w:hyperlink r:id="rId45" w:history="1">
              <w:r w:rsidRPr="008D6C1E">
                <w:rPr>
                  <w:rStyle w:val="Hyperlink"/>
                  <w:sz w:val="20"/>
                  <w:lang w:val="fr-CA"/>
                </w:rPr>
                <w:t>2015 ABCA 228</w:t>
              </w:r>
            </w:hyperlink>
          </w:p>
          <w:p w:rsidR="00811ACD" w:rsidRPr="008D6C1E" w:rsidRDefault="00811ACD" w:rsidP="00811ACD">
            <w:pPr>
              <w:jc w:val="both"/>
              <w:rPr>
                <w:sz w:val="20"/>
                <w:lang w:val="fr-CA"/>
              </w:rPr>
            </w:pPr>
          </w:p>
        </w:tc>
        <w:tc>
          <w:tcPr>
            <w:tcW w:w="243" w:type="pct"/>
          </w:tcPr>
          <w:p w:rsidR="00811ACD" w:rsidRPr="008D6C1E" w:rsidRDefault="00811ACD" w:rsidP="00811ACD">
            <w:pPr>
              <w:jc w:val="both"/>
              <w:rPr>
                <w:sz w:val="20"/>
                <w:lang w:val="fr-CA"/>
              </w:rPr>
            </w:pPr>
          </w:p>
        </w:tc>
        <w:tc>
          <w:tcPr>
            <w:tcW w:w="2330" w:type="pct"/>
          </w:tcPr>
          <w:p w:rsidR="00811ACD" w:rsidRPr="008D6C1E" w:rsidRDefault="00811ACD" w:rsidP="00811ACD">
            <w:pPr>
              <w:jc w:val="both"/>
              <w:rPr>
                <w:sz w:val="20"/>
                <w:lang w:val="fr-CA"/>
              </w:rPr>
            </w:pPr>
            <w:r w:rsidRPr="008D6C1E">
              <w:rPr>
                <w:sz w:val="20"/>
                <w:lang w:val="fr-CA"/>
              </w:rPr>
              <w:t>Rejet de l’appel</w:t>
            </w:r>
          </w:p>
          <w:p w:rsidR="00811ACD" w:rsidRPr="008D6C1E" w:rsidRDefault="00811ACD" w:rsidP="00811ACD">
            <w:pPr>
              <w:jc w:val="both"/>
              <w:rPr>
                <w:sz w:val="20"/>
                <w:lang w:val="fr-CA"/>
              </w:rPr>
            </w:pPr>
          </w:p>
        </w:tc>
      </w:tr>
      <w:tr w:rsidR="00811ACD" w:rsidRPr="002C1A32" w:rsidTr="002B5CF4">
        <w:tc>
          <w:tcPr>
            <w:tcW w:w="2427" w:type="pct"/>
            <w:gridSpan w:val="2"/>
          </w:tcPr>
          <w:p w:rsidR="00811ACD" w:rsidRPr="008D6C1E" w:rsidRDefault="00811ACD" w:rsidP="00811ACD">
            <w:pPr>
              <w:jc w:val="both"/>
              <w:rPr>
                <w:sz w:val="20"/>
                <w:lang w:val="fr-CA"/>
              </w:rPr>
            </w:pPr>
            <w:r w:rsidRPr="008D6C1E">
              <w:rPr>
                <w:sz w:val="20"/>
                <w:lang w:val="fr-CA"/>
              </w:rPr>
              <w:t>22 décembre 2015</w:t>
            </w:r>
          </w:p>
          <w:p w:rsidR="00811ACD" w:rsidRPr="008D6C1E" w:rsidRDefault="00811ACD" w:rsidP="00811ACD">
            <w:pPr>
              <w:jc w:val="both"/>
              <w:rPr>
                <w:sz w:val="20"/>
                <w:lang w:val="fr-CA"/>
              </w:rPr>
            </w:pPr>
            <w:r w:rsidRPr="008D6C1E">
              <w:rPr>
                <w:sz w:val="20"/>
                <w:lang w:val="fr-CA"/>
              </w:rPr>
              <w:t>Cour suprême du Canada</w:t>
            </w:r>
          </w:p>
        </w:tc>
        <w:tc>
          <w:tcPr>
            <w:tcW w:w="243" w:type="pct"/>
          </w:tcPr>
          <w:p w:rsidR="00811ACD" w:rsidRPr="008D6C1E" w:rsidRDefault="00811ACD" w:rsidP="00811ACD">
            <w:pPr>
              <w:jc w:val="both"/>
              <w:rPr>
                <w:sz w:val="20"/>
                <w:lang w:val="fr-CA"/>
              </w:rPr>
            </w:pPr>
          </w:p>
        </w:tc>
        <w:tc>
          <w:tcPr>
            <w:tcW w:w="2330" w:type="pct"/>
          </w:tcPr>
          <w:p w:rsidR="00811ACD" w:rsidRPr="008D6C1E" w:rsidRDefault="00811ACD" w:rsidP="00811ACD">
            <w:pPr>
              <w:jc w:val="both"/>
              <w:rPr>
                <w:sz w:val="20"/>
                <w:lang w:val="fr-CA"/>
              </w:rPr>
            </w:pPr>
            <w:r w:rsidRPr="008D6C1E">
              <w:rPr>
                <w:sz w:val="20"/>
                <w:lang w:val="fr-CA"/>
              </w:rPr>
              <w:t>Dépôt de la requête en prorogation de délai et de la demande d’autorisation d’appel</w:t>
            </w:r>
          </w:p>
        </w:tc>
      </w:tr>
    </w:tbl>
    <w:p w:rsidR="00811ACD" w:rsidRPr="008D6C1E" w:rsidRDefault="00811ACD" w:rsidP="00CC1218">
      <w:pPr>
        <w:jc w:val="both"/>
        <w:rPr>
          <w:sz w:val="20"/>
          <w:lang w:val="fr-CA"/>
        </w:rPr>
      </w:pPr>
    </w:p>
    <w:p w:rsidR="00377E21" w:rsidRPr="008D6C1E" w:rsidRDefault="00377E21" w:rsidP="00CC1218">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218" w:rsidRPr="008D6C1E" w:rsidTr="002B5CF4">
        <w:tc>
          <w:tcPr>
            <w:tcW w:w="543" w:type="pct"/>
          </w:tcPr>
          <w:p w:rsidR="00CC1218" w:rsidRPr="008D6C1E" w:rsidRDefault="00CC1218" w:rsidP="00CC1218">
            <w:pPr>
              <w:jc w:val="both"/>
              <w:rPr>
                <w:sz w:val="20"/>
              </w:rPr>
            </w:pPr>
            <w:r w:rsidRPr="008D6C1E">
              <w:rPr>
                <w:rStyle w:val="SCCFileNumberChar"/>
                <w:sz w:val="20"/>
                <w:szCs w:val="20"/>
              </w:rPr>
              <w:t>36778</w:t>
            </w:r>
          </w:p>
        </w:tc>
        <w:tc>
          <w:tcPr>
            <w:tcW w:w="4457" w:type="pct"/>
            <w:gridSpan w:val="3"/>
          </w:tcPr>
          <w:p w:rsidR="00CC1218" w:rsidRPr="002C1A32" w:rsidRDefault="00CC1218" w:rsidP="00CC1218">
            <w:pPr>
              <w:pStyle w:val="SCCLsocParty"/>
              <w:jc w:val="both"/>
              <w:rPr>
                <w:b/>
                <w:sz w:val="20"/>
                <w:szCs w:val="20"/>
                <w:lang w:val="en-US"/>
              </w:rPr>
            </w:pPr>
            <w:r w:rsidRPr="002C1A32">
              <w:rPr>
                <w:b/>
                <w:sz w:val="20"/>
                <w:szCs w:val="20"/>
                <w:lang w:val="en-US"/>
              </w:rPr>
              <w:t>Ad Hoc Group of Bondholders v. Ernst &amp; Young Inc. in its capacity as Monitor, Nortel Networks Corporation, Nortel Networks Limited, Nortel Networks Global Corporation, Nortel Networks International Corporation, Nortel Networks Technology Corporation, Superintendent of Financial Services as Administrator of the Pension Guarantee Fund, Wilmington Trust, National Association, Law Debenture Trust Company of New York, Bank of New York Mellon, Nortel Networks Inc., Canadian Creditors Committee, Joint Administrators of Nortel Networks UK Limited</w:t>
            </w:r>
          </w:p>
          <w:p w:rsidR="00CC1218" w:rsidRPr="008D6C1E" w:rsidRDefault="00CC1218" w:rsidP="00CC1218">
            <w:pPr>
              <w:jc w:val="both"/>
              <w:rPr>
                <w:sz w:val="20"/>
              </w:rPr>
            </w:pPr>
            <w:r w:rsidRPr="008D6C1E">
              <w:rPr>
                <w:sz w:val="20"/>
              </w:rPr>
              <w:t>(Ont.) (Civil) (By Leave)</w:t>
            </w:r>
          </w:p>
        </w:tc>
      </w:tr>
      <w:tr w:rsidR="00CC1218" w:rsidRPr="008D6C1E" w:rsidTr="002B5CF4">
        <w:tc>
          <w:tcPr>
            <w:tcW w:w="5000" w:type="pct"/>
            <w:gridSpan w:val="4"/>
          </w:tcPr>
          <w:p w:rsidR="00CC1218" w:rsidRPr="008D6C1E" w:rsidRDefault="00CC1218" w:rsidP="00CC1218">
            <w:pPr>
              <w:jc w:val="both"/>
              <w:rPr>
                <w:sz w:val="20"/>
              </w:rPr>
            </w:pPr>
            <w:r w:rsidRPr="008D6C1E">
              <w:rPr>
                <w:sz w:val="20"/>
              </w:rPr>
              <w:t xml:space="preserve">Commercial law – Bankruptcy and insolvency – Interest – Whether creditors can claim interest, including specified contractual interest, from the debtor in respect of the period after a proceeding under the </w:t>
            </w:r>
            <w:r w:rsidRPr="008D6C1E">
              <w:rPr>
                <w:i/>
                <w:iCs/>
                <w:sz w:val="20"/>
              </w:rPr>
              <w:t>Companies’ Creditors Arrangement Act</w:t>
            </w:r>
            <w:r w:rsidRPr="008D6C1E">
              <w:rPr>
                <w:iCs/>
                <w:sz w:val="20"/>
              </w:rPr>
              <w:t>,</w:t>
            </w:r>
            <w:r w:rsidRPr="008D6C1E">
              <w:rPr>
                <w:i/>
                <w:iCs/>
                <w:sz w:val="20"/>
              </w:rPr>
              <w:t xml:space="preserve"> </w:t>
            </w:r>
            <w:r w:rsidRPr="008D6C1E">
              <w:rPr>
                <w:sz w:val="20"/>
              </w:rPr>
              <w:t>R.S.C. 1985, c. C-36</w:t>
            </w:r>
            <w:r w:rsidRPr="008D6C1E">
              <w:rPr>
                <w:i/>
                <w:iCs/>
                <w:sz w:val="20"/>
              </w:rPr>
              <w:t xml:space="preserve"> </w:t>
            </w:r>
            <w:r w:rsidRPr="008D6C1E">
              <w:rPr>
                <w:sz w:val="20"/>
              </w:rPr>
              <w:t xml:space="preserve">(the </w:t>
            </w:r>
            <w:r w:rsidRPr="008D6C1E">
              <w:rPr>
                <w:bCs/>
                <w:sz w:val="20"/>
              </w:rPr>
              <w:t>“</w:t>
            </w:r>
            <w:r w:rsidRPr="008D6C1E">
              <w:rPr>
                <w:bCs/>
                <w:i/>
                <w:sz w:val="20"/>
              </w:rPr>
              <w:t>CCAA</w:t>
            </w:r>
            <w:r w:rsidRPr="008D6C1E">
              <w:rPr>
                <w:bCs/>
                <w:sz w:val="20"/>
              </w:rPr>
              <w:t>”)</w:t>
            </w:r>
            <w:r w:rsidRPr="008D6C1E">
              <w:rPr>
                <w:b/>
                <w:bCs/>
                <w:sz w:val="20"/>
              </w:rPr>
              <w:t xml:space="preserve"> </w:t>
            </w:r>
            <w:r w:rsidRPr="008D6C1E">
              <w:rPr>
                <w:sz w:val="20"/>
              </w:rPr>
              <w:t xml:space="preserve">is initiated – Whether the Ontario Court of Appeal erred in holding that a common law “interest stops” rule applies to immediately stop the accrual of post-filing interest in </w:t>
            </w:r>
            <w:r w:rsidRPr="008D6C1E">
              <w:rPr>
                <w:i/>
                <w:sz w:val="20"/>
              </w:rPr>
              <w:t>CCAA</w:t>
            </w:r>
            <w:r w:rsidRPr="008D6C1E">
              <w:rPr>
                <w:sz w:val="20"/>
              </w:rPr>
              <w:t xml:space="preserve"> proceedings – Whether the Ontario Court of Appeal erred in failing to follow the decisions in </w:t>
            </w:r>
            <w:r w:rsidRPr="008D6C1E">
              <w:rPr>
                <w:i/>
                <w:sz w:val="20"/>
              </w:rPr>
              <w:t>Canada 3000 Inc., Re; Inter</w:t>
            </w:r>
            <w:r w:rsidRPr="008D6C1E">
              <w:rPr>
                <w:i/>
                <w:sz w:val="20"/>
              </w:rPr>
              <w:noBreakHyphen/>
              <w:t>Canadian (1991) Inc. (Trustee of)</w:t>
            </w:r>
            <w:r w:rsidRPr="008D6C1E">
              <w:rPr>
                <w:sz w:val="20"/>
              </w:rPr>
              <w:t xml:space="preserve">, </w:t>
            </w:r>
            <w:r w:rsidRPr="008D6C1E">
              <w:rPr>
                <w:sz w:val="20"/>
                <w:lang w:val="en-GB"/>
              </w:rPr>
              <w:t xml:space="preserve">[2006] 1 S.C.R. 865, 2006 SCC 24 </w:t>
            </w:r>
            <w:r w:rsidRPr="008D6C1E">
              <w:rPr>
                <w:sz w:val="20"/>
              </w:rPr>
              <w:t xml:space="preserve">and </w:t>
            </w:r>
            <w:proofErr w:type="spellStart"/>
            <w:r w:rsidRPr="008D6C1E">
              <w:rPr>
                <w:i/>
                <w:sz w:val="20"/>
              </w:rPr>
              <w:t>Stelco</w:t>
            </w:r>
            <w:proofErr w:type="spellEnd"/>
            <w:r w:rsidRPr="008D6C1E">
              <w:rPr>
                <w:i/>
                <w:sz w:val="20"/>
              </w:rPr>
              <w:t xml:space="preserve"> (Re)</w:t>
            </w:r>
            <w:r w:rsidRPr="008D6C1E">
              <w:rPr>
                <w:sz w:val="20"/>
              </w:rPr>
              <w:t>, 2007 ONCA 483, 35 C.B.R. (5</w:t>
            </w:r>
            <w:r w:rsidRPr="008D6C1E">
              <w:rPr>
                <w:sz w:val="20"/>
                <w:vertAlign w:val="superscript"/>
              </w:rPr>
              <w:t>th</w:t>
            </w:r>
            <w:r w:rsidRPr="008D6C1E">
              <w:rPr>
                <w:sz w:val="20"/>
              </w:rPr>
              <w:t>) 174.</w:t>
            </w:r>
          </w:p>
          <w:p w:rsidR="00CC1218" w:rsidRPr="008D6C1E" w:rsidRDefault="00CC1218" w:rsidP="00CC1218">
            <w:pPr>
              <w:jc w:val="both"/>
              <w:rPr>
                <w:sz w:val="20"/>
              </w:rPr>
            </w:pPr>
          </w:p>
        </w:tc>
      </w:tr>
      <w:tr w:rsidR="00CC1218" w:rsidRPr="008D6C1E" w:rsidTr="002B5CF4">
        <w:tc>
          <w:tcPr>
            <w:tcW w:w="5000" w:type="pct"/>
            <w:gridSpan w:val="4"/>
          </w:tcPr>
          <w:p w:rsidR="00CC1218" w:rsidRPr="008D6C1E" w:rsidRDefault="00CC1218" w:rsidP="00CC1218">
            <w:pPr>
              <w:jc w:val="both"/>
              <w:rPr>
                <w:sz w:val="20"/>
              </w:rPr>
            </w:pPr>
            <w:r w:rsidRPr="008D6C1E">
              <w:rPr>
                <w:sz w:val="20"/>
              </w:rPr>
              <w:t xml:space="preserve">In the context of ongoing Nortel </w:t>
            </w:r>
            <w:r w:rsidRPr="008D6C1E">
              <w:rPr>
                <w:i/>
                <w:sz w:val="20"/>
              </w:rPr>
              <w:t>CCAA</w:t>
            </w:r>
            <w:r w:rsidRPr="008D6C1E">
              <w:rPr>
                <w:sz w:val="20"/>
              </w:rPr>
              <w:t xml:space="preserve"> proceedings and parallel proceedings under Chapter 11 of the United States </w:t>
            </w:r>
            <w:r w:rsidRPr="008D6C1E">
              <w:rPr>
                <w:i/>
                <w:sz w:val="20"/>
              </w:rPr>
              <w:t>Bankruptcy Code,</w:t>
            </w:r>
            <w:r w:rsidRPr="008D6C1E">
              <w:rPr>
                <w:sz w:val="20"/>
              </w:rPr>
              <w:t xml:space="preserve"> the applicant represents substantial holders of unsecured crossover bonds either issued or guaranteed by certain Canadian Nortel entities. The related indentures provided for the continuing accrual of interest until payment, at contractually specified rates, and for other post-filing payment obligations in the form of make-whole provisions and trustee fees. Therefore, in addition to claiming principal and pre-filing interest in the amount of US$4.092 billion against each of the Canadian and U.S. Nortel estates (whose total proceeds of liquidation are approximately $7.3 billion), the applicant claimed post-filing interest under the crossover bonds equalling an amount of US$1.6 billion. The claims of other claimants, such as pensioners and former employees, do not provide for interest on amounts owed. The Ontario Superior Court of Justice held that the “interest stops rule” developed in the context of insolvency law applies to </w:t>
            </w:r>
            <w:r w:rsidRPr="008D6C1E">
              <w:rPr>
                <w:i/>
                <w:sz w:val="20"/>
              </w:rPr>
              <w:t>CCAA</w:t>
            </w:r>
            <w:r w:rsidRPr="008D6C1E">
              <w:rPr>
                <w:sz w:val="20"/>
              </w:rPr>
              <w:t xml:space="preserve"> proceedings and that the applicant was not legally entitled to amounts claimed above and beyond the outstanding principle debt and pre-petition interest. The Ontario Court of Appeal dismissed the appeal. </w:t>
            </w:r>
          </w:p>
        </w:tc>
      </w:tr>
      <w:tr w:rsidR="00CC1218" w:rsidRPr="008D6C1E" w:rsidTr="002B5CF4">
        <w:tc>
          <w:tcPr>
            <w:tcW w:w="5000" w:type="pct"/>
            <w:gridSpan w:val="4"/>
          </w:tcPr>
          <w:p w:rsidR="00CC1218" w:rsidRPr="008D6C1E" w:rsidRDefault="00CC1218" w:rsidP="00CC1218">
            <w:pPr>
              <w:jc w:val="both"/>
              <w:rPr>
                <w:sz w:val="20"/>
              </w:rPr>
            </w:pPr>
          </w:p>
        </w:tc>
      </w:tr>
      <w:tr w:rsidR="00CC1218" w:rsidRPr="008D6C1E" w:rsidTr="002B5CF4">
        <w:tc>
          <w:tcPr>
            <w:tcW w:w="2427" w:type="pct"/>
            <w:gridSpan w:val="2"/>
          </w:tcPr>
          <w:p w:rsidR="00CC1218" w:rsidRPr="008D6C1E" w:rsidRDefault="00CC1218" w:rsidP="00CC1218">
            <w:pPr>
              <w:jc w:val="both"/>
              <w:rPr>
                <w:sz w:val="20"/>
              </w:rPr>
            </w:pPr>
            <w:r w:rsidRPr="008D6C1E">
              <w:rPr>
                <w:sz w:val="20"/>
              </w:rPr>
              <w:t>September 11, 2014</w:t>
            </w:r>
          </w:p>
          <w:p w:rsidR="00CC1218" w:rsidRPr="008D6C1E" w:rsidRDefault="00CC1218" w:rsidP="00CC1218">
            <w:pPr>
              <w:jc w:val="both"/>
              <w:rPr>
                <w:sz w:val="20"/>
              </w:rPr>
            </w:pPr>
            <w:r w:rsidRPr="008D6C1E">
              <w:rPr>
                <w:sz w:val="20"/>
              </w:rPr>
              <w:t>Ontario Superior Court of Justice</w:t>
            </w:r>
          </w:p>
          <w:p w:rsidR="00CC1218" w:rsidRPr="008D6C1E" w:rsidRDefault="00CC1218" w:rsidP="00CC1218">
            <w:pPr>
              <w:jc w:val="both"/>
              <w:rPr>
                <w:sz w:val="20"/>
              </w:rPr>
            </w:pPr>
            <w:r w:rsidRPr="008D6C1E">
              <w:rPr>
                <w:sz w:val="20"/>
              </w:rPr>
              <w:t>(</w:t>
            </w:r>
            <w:proofErr w:type="spellStart"/>
            <w:r w:rsidRPr="008D6C1E">
              <w:rPr>
                <w:sz w:val="20"/>
              </w:rPr>
              <w:t>Newbould</w:t>
            </w:r>
            <w:proofErr w:type="spellEnd"/>
            <w:r w:rsidRPr="008D6C1E">
              <w:rPr>
                <w:sz w:val="20"/>
              </w:rPr>
              <w:t xml:space="preserve"> J.)</w:t>
            </w:r>
          </w:p>
          <w:p w:rsidR="00CC1218" w:rsidRPr="008D6C1E" w:rsidRDefault="005E6DC4" w:rsidP="00CC1218">
            <w:pPr>
              <w:jc w:val="both"/>
              <w:rPr>
                <w:rStyle w:val="Hyperlink"/>
                <w:sz w:val="20"/>
              </w:rPr>
            </w:pPr>
            <w:hyperlink r:id="rId46" w:history="1">
              <w:r w:rsidR="00CC1218" w:rsidRPr="008D6C1E">
                <w:rPr>
                  <w:rStyle w:val="Hyperlink"/>
                  <w:sz w:val="20"/>
                </w:rPr>
                <w:t>2014 ONSC 4777</w:t>
              </w:r>
            </w:hyperlink>
            <w:r w:rsidR="00CC1218" w:rsidRPr="008D6C1E">
              <w:rPr>
                <w:rStyle w:val="Hyperlink"/>
                <w:sz w:val="20"/>
              </w:rPr>
              <w:t xml:space="preserve">; </w:t>
            </w:r>
            <w:hyperlink r:id="rId47" w:history="1">
              <w:r w:rsidR="00CC1218" w:rsidRPr="008D6C1E">
                <w:rPr>
                  <w:rStyle w:val="Hyperlink"/>
                  <w:sz w:val="20"/>
                </w:rPr>
                <w:t>2014 ONSC 5274</w:t>
              </w:r>
            </w:hyperlink>
          </w:p>
          <w:p w:rsidR="00CC1218" w:rsidRPr="008D6C1E" w:rsidRDefault="00CC1218" w:rsidP="00CC1218">
            <w:pPr>
              <w:jc w:val="both"/>
              <w:rPr>
                <w:sz w:val="20"/>
              </w:rPr>
            </w:pPr>
          </w:p>
        </w:tc>
        <w:tc>
          <w:tcPr>
            <w:tcW w:w="243" w:type="pct"/>
          </w:tcPr>
          <w:p w:rsidR="00CC1218" w:rsidRPr="008D6C1E" w:rsidRDefault="00CC1218" w:rsidP="00CC1218">
            <w:pPr>
              <w:jc w:val="both"/>
              <w:rPr>
                <w:sz w:val="20"/>
              </w:rPr>
            </w:pPr>
          </w:p>
        </w:tc>
        <w:tc>
          <w:tcPr>
            <w:tcW w:w="2330" w:type="pct"/>
          </w:tcPr>
          <w:p w:rsidR="00CC1218" w:rsidRPr="008D6C1E" w:rsidRDefault="00CC1218" w:rsidP="00CC1218">
            <w:pPr>
              <w:jc w:val="both"/>
              <w:rPr>
                <w:sz w:val="20"/>
              </w:rPr>
            </w:pPr>
            <w:r w:rsidRPr="008D6C1E">
              <w:rPr>
                <w:sz w:val="20"/>
              </w:rPr>
              <w:t>Applicants held not to be legally entitled to amounts under indentures beyond outstanding principle and pre-petition interest</w:t>
            </w:r>
          </w:p>
          <w:p w:rsidR="00CC1218" w:rsidRPr="008D6C1E" w:rsidRDefault="00CC1218" w:rsidP="00CC1218">
            <w:pPr>
              <w:jc w:val="both"/>
              <w:rPr>
                <w:sz w:val="20"/>
              </w:rPr>
            </w:pPr>
          </w:p>
        </w:tc>
      </w:tr>
      <w:tr w:rsidR="00CC1218" w:rsidRPr="008D6C1E" w:rsidTr="002B5CF4">
        <w:tc>
          <w:tcPr>
            <w:tcW w:w="2427" w:type="pct"/>
            <w:gridSpan w:val="2"/>
          </w:tcPr>
          <w:p w:rsidR="00CC1218" w:rsidRPr="008D6C1E" w:rsidRDefault="00CC1218" w:rsidP="00CC1218">
            <w:pPr>
              <w:jc w:val="both"/>
              <w:rPr>
                <w:sz w:val="20"/>
              </w:rPr>
            </w:pPr>
            <w:r w:rsidRPr="008D6C1E">
              <w:rPr>
                <w:sz w:val="20"/>
              </w:rPr>
              <w:t>October 13, 2015</w:t>
            </w:r>
          </w:p>
          <w:p w:rsidR="00CC1218" w:rsidRPr="008D6C1E" w:rsidRDefault="00CC1218" w:rsidP="00CC1218">
            <w:pPr>
              <w:jc w:val="both"/>
              <w:rPr>
                <w:sz w:val="20"/>
              </w:rPr>
            </w:pPr>
            <w:r w:rsidRPr="008D6C1E">
              <w:rPr>
                <w:sz w:val="20"/>
              </w:rPr>
              <w:lastRenderedPageBreak/>
              <w:t>Court of Appeal for Ontario</w:t>
            </w:r>
          </w:p>
          <w:p w:rsidR="00CC1218" w:rsidRPr="008D6C1E" w:rsidRDefault="00CC1218" w:rsidP="00CC1218">
            <w:pPr>
              <w:jc w:val="both"/>
              <w:rPr>
                <w:sz w:val="20"/>
              </w:rPr>
            </w:pPr>
            <w:r w:rsidRPr="008D6C1E">
              <w:rPr>
                <w:sz w:val="20"/>
              </w:rPr>
              <w:t xml:space="preserve">(Simmons, </w:t>
            </w:r>
            <w:proofErr w:type="spellStart"/>
            <w:r w:rsidRPr="008D6C1E">
              <w:rPr>
                <w:sz w:val="20"/>
              </w:rPr>
              <w:t>Gillese</w:t>
            </w:r>
            <w:proofErr w:type="spellEnd"/>
            <w:r w:rsidRPr="008D6C1E">
              <w:rPr>
                <w:sz w:val="20"/>
              </w:rPr>
              <w:t xml:space="preserve"> and Rouleau JJ.A.)</w:t>
            </w:r>
          </w:p>
          <w:p w:rsidR="00CC1218" w:rsidRPr="008D6C1E" w:rsidRDefault="005E6DC4" w:rsidP="00CC1218">
            <w:pPr>
              <w:jc w:val="both"/>
              <w:rPr>
                <w:rStyle w:val="Hyperlink"/>
                <w:sz w:val="20"/>
              </w:rPr>
            </w:pPr>
            <w:hyperlink r:id="rId48" w:history="1">
              <w:r w:rsidR="00CC1218" w:rsidRPr="008D6C1E">
                <w:rPr>
                  <w:rStyle w:val="Hyperlink"/>
                  <w:sz w:val="20"/>
                </w:rPr>
                <w:t>2015 ONCA 681</w:t>
              </w:r>
            </w:hyperlink>
            <w:r w:rsidR="00CC1218" w:rsidRPr="008D6C1E">
              <w:rPr>
                <w:rStyle w:val="Hyperlink"/>
                <w:sz w:val="20"/>
              </w:rPr>
              <w:t>; C59703</w:t>
            </w:r>
          </w:p>
          <w:p w:rsidR="00CC1218" w:rsidRPr="008D6C1E" w:rsidRDefault="00CC1218" w:rsidP="00CC1218">
            <w:pPr>
              <w:jc w:val="both"/>
              <w:rPr>
                <w:sz w:val="20"/>
              </w:rPr>
            </w:pPr>
          </w:p>
        </w:tc>
        <w:tc>
          <w:tcPr>
            <w:tcW w:w="243" w:type="pct"/>
          </w:tcPr>
          <w:p w:rsidR="00CC1218" w:rsidRPr="008D6C1E" w:rsidRDefault="00CC1218" w:rsidP="00CC1218">
            <w:pPr>
              <w:jc w:val="both"/>
              <w:rPr>
                <w:sz w:val="20"/>
              </w:rPr>
            </w:pPr>
          </w:p>
        </w:tc>
        <w:tc>
          <w:tcPr>
            <w:tcW w:w="2330" w:type="pct"/>
          </w:tcPr>
          <w:p w:rsidR="00CC1218" w:rsidRPr="008D6C1E" w:rsidRDefault="00CC1218" w:rsidP="00CC1218">
            <w:pPr>
              <w:jc w:val="both"/>
              <w:rPr>
                <w:sz w:val="20"/>
              </w:rPr>
            </w:pPr>
            <w:r w:rsidRPr="008D6C1E">
              <w:rPr>
                <w:sz w:val="20"/>
              </w:rPr>
              <w:t>Appeal dismissed</w:t>
            </w:r>
          </w:p>
          <w:p w:rsidR="00CC1218" w:rsidRPr="008D6C1E" w:rsidRDefault="00CC1218" w:rsidP="00CC1218">
            <w:pPr>
              <w:jc w:val="both"/>
              <w:rPr>
                <w:sz w:val="20"/>
              </w:rPr>
            </w:pPr>
          </w:p>
        </w:tc>
      </w:tr>
      <w:tr w:rsidR="00CC1218" w:rsidRPr="008D6C1E" w:rsidTr="002B5CF4">
        <w:tc>
          <w:tcPr>
            <w:tcW w:w="2427" w:type="pct"/>
            <w:gridSpan w:val="2"/>
          </w:tcPr>
          <w:p w:rsidR="00CC1218" w:rsidRPr="008D6C1E" w:rsidRDefault="00CC1218" w:rsidP="00CC1218">
            <w:pPr>
              <w:jc w:val="both"/>
              <w:rPr>
                <w:sz w:val="20"/>
              </w:rPr>
            </w:pPr>
            <w:r w:rsidRPr="008D6C1E">
              <w:rPr>
                <w:sz w:val="20"/>
              </w:rPr>
              <w:lastRenderedPageBreak/>
              <w:t>December 14, 2015</w:t>
            </w:r>
          </w:p>
          <w:p w:rsidR="00CC1218" w:rsidRPr="008D6C1E" w:rsidRDefault="00CC1218" w:rsidP="00CC1218">
            <w:pPr>
              <w:jc w:val="both"/>
              <w:rPr>
                <w:sz w:val="20"/>
              </w:rPr>
            </w:pPr>
            <w:r w:rsidRPr="008D6C1E">
              <w:rPr>
                <w:sz w:val="20"/>
              </w:rPr>
              <w:t>Supreme Court of Canada</w:t>
            </w:r>
          </w:p>
        </w:tc>
        <w:tc>
          <w:tcPr>
            <w:tcW w:w="243" w:type="pct"/>
          </w:tcPr>
          <w:p w:rsidR="00CC1218" w:rsidRPr="008D6C1E" w:rsidRDefault="00CC1218" w:rsidP="00CC1218">
            <w:pPr>
              <w:jc w:val="both"/>
              <w:rPr>
                <w:sz w:val="20"/>
              </w:rPr>
            </w:pPr>
          </w:p>
        </w:tc>
        <w:tc>
          <w:tcPr>
            <w:tcW w:w="2330" w:type="pct"/>
          </w:tcPr>
          <w:p w:rsidR="00CC1218" w:rsidRPr="008D6C1E" w:rsidRDefault="00CC1218" w:rsidP="00CC1218">
            <w:pPr>
              <w:jc w:val="both"/>
              <w:rPr>
                <w:sz w:val="20"/>
              </w:rPr>
            </w:pPr>
            <w:r w:rsidRPr="008D6C1E">
              <w:rPr>
                <w:sz w:val="20"/>
              </w:rPr>
              <w:t>Application for leave to appeal filed</w:t>
            </w:r>
          </w:p>
        </w:tc>
      </w:tr>
    </w:tbl>
    <w:p w:rsidR="00CC1218" w:rsidRPr="008D6C1E" w:rsidRDefault="00CC1218" w:rsidP="00CC1218">
      <w:pPr>
        <w:jc w:val="both"/>
        <w:rPr>
          <w:sz w:val="20"/>
        </w:rPr>
      </w:pPr>
    </w:p>
    <w:p w:rsidR="00CC1218" w:rsidRPr="008D6C1E" w:rsidRDefault="00CC1218" w:rsidP="00CC121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218" w:rsidRPr="008D6C1E" w:rsidTr="002B5CF4">
        <w:tc>
          <w:tcPr>
            <w:tcW w:w="543" w:type="pct"/>
          </w:tcPr>
          <w:p w:rsidR="00CC1218" w:rsidRPr="008D6C1E" w:rsidRDefault="00CC1218" w:rsidP="00CC1218">
            <w:pPr>
              <w:jc w:val="both"/>
              <w:rPr>
                <w:sz w:val="20"/>
                <w:lang w:val="fr-CA"/>
              </w:rPr>
            </w:pPr>
            <w:r w:rsidRPr="008D6C1E">
              <w:rPr>
                <w:rStyle w:val="SCCFileNumberChar"/>
                <w:sz w:val="20"/>
                <w:szCs w:val="20"/>
                <w:lang w:val="fr-CA"/>
              </w:rPr>
              <w:t>36778</w:t>
            </w:r>
          </w:p>
        </w:tc>
        <w:tc>
          <w:tcPr>
            <w:tcW w:w="4457" w:type="pct"/>
            <w:gridSpan w:val="3"/>
          </w:tcPr>
          <w:p w:rsidR="00CC1218" w:rsidRPr="008D6C1E" w:rsidRDefault="00CC1218" w:rsidP="00CC1218">
            <w:pPr>
              <w:pStyle w:val="SCCLsocParty"/>
              <w:jc w:val="both"/>
              <w:rPr>
                <w:b/>
                <w:sz w:val="20"/>
                <w:szCs w:val="20"/>
              </w:rPr>
            </w:pPr>
            <w:r w:rsidRPr="008D6C1E">
              <w:rPr>
                <w:b/>
                <w:sz w:val="20"/>
                <w:szCs w:val="20"/>
              </w:rPr>
              <w:t>Ad Hoc Group of Bondholders c. Ernst &amp; Young Inc. en sa qualité de contrôleur, Corporation Nortel Networks, Nortel Networks Limitée, Nortel Networks Global Corporation, Nortel Networks International Corporation, Nortel Networks Technology Corporation, surintendant des services financiers, en sa qualité d’administrateur du Fonds de garantie des prestations de retraite, Wilmington Trust, National Association, Law Debenture Trust Company of New York, Bank of New York Mellon, Nortel Networks Inc., Canadian Creditors Committee, Joint Administrators of Nortel Networks UK Limited</w:t>
            </w:r>
          </w:p>
          <w:p w:rsidR="00CC1218" w:rsidRPr="008D6C1E" w:rsidRDefault="00CC1218" w:rsidP="00CC1218">
            <w:pPr>
              <w:jc w:val="both"/>
              <w:rPr>
                <w:sz w:val="20"/>
                <w:lang w:val="fr-CA"/>
              </w:rPr>
            </w:pPr>
            <w:r w:rsidRPr="008D6C1E">
              <w:rPr>
                <w:sz w:val="20"/>
                <w:lang w:val="fr-CA"/>
              </w:rPr>
              <w:t>(Ont.) (Civile) (Sur autorisation)</w:t>
            </w:r>
          </w:p>
        </w:tc>
      </w:tr>
      <w:tr w:rsidR="00CC1218" w:rsidRPr="002C1A32" w:rsidTr="002B5CF4">
        <w:tc>
          <w:tcPr>
            <w:tcW w:w="5000" w:type="pct"/>
            <w:gridSpan w:val="4"/>
          </w:tcPr>
          <w:p w:rsidR="00CC1218" w:rsidRPr="008D6C1E" w:rsidRDefault="00CC1218" w:rsidP="00CC1218">
            <w:pPr>
              <w:jc w:val="both"/>
              <w:rPr>
                <w:sz w:val="20"/>
                <w:lang w:val="fr-CA"/>
              </w:rPr>
            </w:pPr>
            <w:r w:rsidRPr="008D6C1E">
              <w:rPr>
                <w:sz w:val="20"/>
                <w:lang w:val="fr-CA"/>
              </w:rPr>
              <w:t xml:space="preserve">Droit commercial – Faillite et insolvabilité – Intérêts – Les créanciers peuvent-ils réclamer du débiteur des intérêts, y compris des intérêts contractuels déterminés, à l’égard de la période qui suit l’introduction d’une instance sous le régime de la </w:t>
            </w:r>
            <w:r w:rsidRPr="008D6C1E">
              <w:rPr>
                <w:i/>
                <w:iCs/>
                <w:sz w:val="20"/>
                <w:lang w:val="fr-CA"/>
              </w:rPr>
              <w:t>Loi sur des arrangements avec les créanciers des compagnies</w:t>
            </w:r>
            <w:r w:rsidRPr="008D6C1E">
              <w:rPr>
                <w:iCs/>
                <w:sz w:val="20"/>
                <w:lang w:val="fr-CA"/>
              </w:rPr>
              <w:t>,</w:t>
            </w:r>
            <w:r w:rsidRPr="008D6C1E">
              <w:rPr>
                <w:i/>
                <w:iCs/>
                <w:sz w:val="20"/>
                <w:lang w:val="fr-CA"/>
              </w:rPr>
              <w:t xml:space="preserve"> </w:t>
            </w:r>
            <w:r w:rsidRPr="008D6C1E">
              <w:rPr>
                <w:sz w:val="20"/>
                <w:lang w:val="fr-CA"/>
              </w:rPr>
              <w:t>L.R.C. 1985, ch. C-36</w:t>
            </w:r>
            <w:r w:rsidRPr="008D6C1E">
              <w:rPr>
                <w:i/>
                <w:iCs/>
                <w:sz w:val="20"/>
                <w:lang w:val="fr-CA"/>
              </w:rPr>
              <w:t xml:space="preserve"> </w:t>
            </w:r>
            <w:r w:rsidRPr="008D6C1E">
              <w:rPr>
                <w:sz w:val="20"/>
                <w:lang w:val="fr-CA"/>
              </w:rPr>
              <w:t xml:space="preserve">(la </w:t>
            </w:r>
            <w:r w:rsidRPr="008D6C1E">
              <w:rPr>
                <w:bCs/>
                <w:sz w:val="20"/>
                <w:lang w:val="fr-CA"/>
              </w:rPr>
              <w:t>« </w:t>
            </w:r>
            <w:r w:rsidRPr="008D6C1E">
              <w:rPr>
                <w:bCs/>
                <w:i/>
                <w:sz w:val="20"/>
                <w:lang w:val="fr-CA"/>
              </w:rPr>
              <w:t>LACC</w:t>
            </w:r>
            <w:r w:rsidRPr="008D6C1E">
              <w:rPr>
                <w:bCs/>
                <w:sz w:val="20"/>
                <w:lang w:val="fr-CA"/>
              </w:rPr>
              <w:t xml:space="preserve"> »)? </w:t>
            </w:r>
            <w:r w:rsidRPr="008D6C1E">
              <w:rPr>
                <w:sz w:val="20"/>
                <w:lang w:val="fr-CA"/>
              </w:rPr>
              <w:t xml:space="preserve">– La Cour d’appel de l’Ontario a-t-elle eu tort de statuer qu’une règle de common law s’appliquait de façon à mettre immédiatement fin à l’accumulation des intérêts postérieurs au dépôt d’une instance sous le régime de la </w:t>
            </w:r>
            <w:r w:rsidRPr="008D6C1E">
              <w:rPr>
                <w:i/>
                <w:sz w:val="20"/>
                <w:lang w:val="fr-CA"/>
              </w:rPr>
              <w:t>LACC</w:t>
            </w:r>
            <w:r w:rsidRPr="008D6C1E">
              <w:rPr>
                <w:sz w:val="20"/>
                <w:lang w:val="fr-CA"/>
              </w:rPr>
              <w:t xml:space="preserve">? – La Cour d’appel de l’Ontario a-t-elle eu tort de ne pas suivre les arrêts </w:t>
            </w:r>
            <w:r w:rsidRPr="008D6C1E">
              <w:rPr>
                <w:i/>
                <w:sz w:val="20"/>
                <w:lang w:val="fr-CA"/>
              </w:rPr>
              <w:t>Canada 3000 Inc., Re; Inter</w:t>
            </w:r>
            <w:r w:rsidRPr="008D6C1E">
              <w:rPr>
                <w:i/>
                <w:sz w:val="20"/>
                <w:lang w:val="fr-CA"/>
              </w:rPr>
              <w:noBreakHyphen/>
              <w:t>Canadien (1991) Inc. (Syndic de)</w:t>
            </w:r>
            <w:r w:rsidRPr="008D6C1E">
              <w:rPr>
                <w:sz w:val="20"/>
                <w:lang w:val="fr-CA"/>
              </w:rPr>
              <w:t xml:space="preserve">, [2006] 1 R.C.S. 865, 2006 CSC 24 et </w:t>
            </w:r>
            <w:r w:rsidRPr="008D6C1E">
              <w:rPr>
                <w:i/>
                <w:sz w:val="20"/>
                <w:lang w:val="fr-CA"/>
              </w:rPr>
              <w:t>Stelco (Re)</w:t>
            </w:r>
            <w:r w:rsidRPr="008D6C1E">
              <w:rPr>
                <w:sz w:val="20"/>
                <w:lang w:val="fr-CA"/>
              </w:rPr>
              <w:t>, 2007 ONCA 483, 35 C.B.R. (5</w:t>
            </w:r>
            <w:r w:rsidRPr="008D6C1E">
              <w:rPr>
                <w:sz w:val="20"/>
                <w:vertAlign w:val="superscript"/>
                <w:lang w:val="fr-CA"/>
              </w:rPr>
              <w:t>th</w:t>
            </w:r>
            <w:r w:rsidRPr="008D6C1E">
              <w:rPr>
                <w:sz w:val="20"/>
                <w:lang w:val="fr-CA"/>
              </w:rPr>
              <w:t>) 174?</w:t>
            </w:r>
          </w:p>
          <w:p w:rsidR="00CC1218" w:rsidRPr="008D6C1E" w:rsidRDefault="00CC1218" w:rsidP="00CC1218">
            <w:pPr>
              <w:jc w:val="both"/>
              <w:rPr>
                <w:sz w:val="20"/>
                <w:lang w:val="fr-CA"/>
              </w:rPr>
            </w:pPr>
          </w:p>
        </w:tc>
      </w:tr>
      <w:tr w:rsidR="00CC1218" w:rsidRPr="008D6C1E" w:rsidTr="002B5CF4">
        <w:tc>
          <w:tcPr>
            <w:tcW w:w="5000" w:type="pct"/>
            <w:gridSpan w:val="4"/>
          </w:tcPr>
          <w:p w:rsidR="00CC1218" w:rsidRPr="008D6C1E" w:rsidRDefault="00CC1218" w:rsidP="00CC1218">
            <w:pPr>
              <w:jc w:val="both"/>
              <w:rPr>
                <w:sz w:val="20"/>
                <w:lang w:val="fr-CA"/>
              </w:rPr>
            </w:pPr>
            <w:r w:rsidRPr="008D6C1E">
              <w:rPr>
                <w:sz w:val="20"/>
                <w:lang w:val="fr-CA"/>
              </w:rPr>
              <w:t xml:space="preserve">Dans le contexte d’instances en cours sous le régime de la </w:t>
            </w:r>
            <w:r w:rsidRPr="008D6C1E">
              <w:rPr>
                <w:i/>
                <w:sz w:val="20"/>
                <w:lang w:val="fr-CA"/>
              </w:rPr>
              <w:t>LACC</w:t>
            </w:r>
            <w:r w:rsidRPr="008D6C1E">
              <w:rPr>
                <w:sz w:val="20"/>
                <w:lang w:val="fr-CA"/>
              </w:rPr>
              <w:t xml:space="preserve"> et d’instances parallèles sous le régime du chapitre 11 du </w:t>
            </w:r>
            <w:r w:rsidRPr="008D6C1E">
              <w:rPr>
                <w:i/>
                <w:sz w:val="20"/>
                <w:lang w:val="fr-CA"/>
              </w:rPr>
              <w:t xml:space="preserve">Bankruptcy Code </w:t>
            </w:r>
            <w:r w:rsidRPr="008D6C1E">
              <w:rPr>
                <w:sz w:val="20"/>
                <w:lang w:val="fr-CA"/>
              </w:rPr>
              <w:t xml:space="preserve">des États-Unis dans l’affaire Nortel, la demanderesse représente d’importants titulaires d’obligations non garanties de qualité intermédiaire émises ou garanties par certaines entités canadiennes de Nortel. Les actes formalistes bilatéraux connexes prévoyaient l’accumulation continue des intérêts jusqu’au paiement, à des taux déterminés contractuellement, et d’autres obligations de paiement postérieures au dépôt, sous forme de dispositions d’indemnisation intégrale et d’honoraires de fiduciaire. Par conséquent, en plus de réclamer le capital et les intérêts antérieurs au dépôt au montant de 4,092 milliards de dollars US contre chacun des patrimoines canadiens et américains de Nortel (dont le produit de liquidation totale représente environ 7,3 milliards de dollars), la demanderesse a réclamé des intérêts postérieurs au dépôt en exécution des obligations de qualité intermédiaire, d’un montant de 1,6 milliard de dollars US. Les créances des autres demandeurs, par exemple les retraités et les anciens employés, ne prévoyaient pas d’intérêt sur les montants dus. La Cour supérieure de justice de l’Ontario a statué que la règle prévoyant  la cessation immédiate de l’accumulation des intérêts élaborée dans le contexte du droit de l’insolvabilité s’appliquait à l’instance sous le régime de la </w:t>
            </w:r>
            <w:r w:rsidRPr="008D6C1E">
              <w:rPr>
                <w:i/>
                <w:sz w:val="20"/>
                <w:lang w:val="fr-CA"/>
              </w:rPr>
              <w:t>LACC</w:t>
            </w:r>
            <w:r w:rsidRPr="008D6C1E">
              <w:rPr>
                <w:sz w:val="20"/>
                <w:lang w:val="fr-CA"/>
              </w:rPr>
              <w:t xml:space="preserve"> et que la demanderesse n’avait pas légalement droit au montant réclamé en sus de la dette en capital impayé et des intérêts accumulés avant le dépôt de la requête. La Cour d’appel de l’Ontario a rejeté l’appel. </w:t>
            </w:r>
          </w:p>
        </w:tc>
      </w:tr>
      <w:tr w:rsidR="00CC1218" w:rsidRPr="008D6C1E" w:rsidTr="002B5CF4">
        <w:tc>
          <w:tcPr>
            <w:tcW w:w="5000" w:type="pct"/>
            <w:gridSpan w:val="4"/>
          </w:tcPr>
          <w:p w:rsidR="00CC1218" w:rsidRPr="008D6C1E" w:rsidRDefault="00CC1218" w:rsidP="00CC1218">
            <w:pPr>
              <w:jc w:val="both"/>
              <w:rPr>
                <w:sz w:val="20"/>
                <w:lang w:val="fr-CA"/>
              </w:rPr>
            </w:pPr>
          </w:p>
        </w:tc>
      </w:tr>
      <w:tr w:rsidR="00CC1218" w:rsidRPr="002C1A32" w:rsidTr="002B5CF4">
        <w:tc>
          <w:tcPr>
            <w:tcW w:w="2427" w:type="pct"/>
            <w:gridSpan w:val="2"/>
          </w:tcPr>
          <w:p w:rsidR="00CC1218" w:rsidRPr="008D6C1E" w:rsidRDefault="00CC1218" w:rsidP="00CC1218">
            <w:pPr>
              <w:jc w:val="both"/>
              <w:rPr>
                <w:sz w:val="20"/>
                <w:lang w:val="fr-CA"/>
              </w:rPr>
            </w:pPr>
            <w:r w:rsidRPr="008D6C1E">
              <w:rPr>
                <w:sz w:val="20"/>
                <w:lang w:val="fr-CA"/>
              </w:rPr>
              <w:t>11 septembre 2014</w:t>
            </w:r>
          </w:p>
          <w:p w:rsidR="00CC1218" w:rsidRPr="008D6C1E" w:rsidRDefault="00CC1218" w:rsidP="00CC1218">
            <w:pPr>
              <w:jc w:val="both"/>
              <w:rPr>
                <w:sz w:val="20"/>
                <w:lang w:val="fr-CA"/>
              </w:rPr>
            </w:pPr>
            <w:r w:rsidRPr="008D6C1E">
              <w:rPr>
                <w:sz w:val="20"/>
                <w:lang w:val="fr-CA"/>
              </w:rPr>
              <w:t xml:space="preserve">Cour supérieure de justice de l’Ontario </w:t>
            </w:r>
          </w:p>
          <w:p w:rsidR="00CC1218" w:rsidRPr="008D6C1E" w:rsidRDefault="00CC1218" w:rsidP="00CC1218">
            <w:pPr>
              <w:jc w:val="both"/>
              <w:rPr>
                <w:sz w:val="20"/>
                <w:lang w:val="fr-CA"/>
              </w:rPr>
            </w:pPr>
            <w:r w:rsidRPr="008D6C1E">
              <w:rPr>
                <w:sz w:val="20"/>
                <w:lang w:val="fr-CA"/>
              </w:rPr>
              <w:t>(Juge Newbould)</w:t>
            </w:r>
          </w:p>
          <w:p w:rsidR="00CC1218" w:rsidRPr="008D6C1E" w:rsidRDefault="005E6DC4" w:rsidP="00CC1218">
            <w:pPr>
              <w:jc w:val="both"/>
              <w:rPr>
                <w:rStyle w:val="Hyperlink"/>
                <w:sz w:val="20"/>
                <w:lang w:val="fr-CA"/>
              </w:rPr>
            </w:pPr>
            <w:hyperlink r:id="rId49" w:history="1">
              <w:r w:rsidR="00CC1218" w:rsidRPr="008D6C1E">
                <w:rPr>
                  <w:rStyle w:val="Hyperlink"/>
                  <w:sz w:val="20"/>
                  <w:lang w:val="fr-CA"/>
                </w:rPr>
                <w:t>2014 ONSC 4777</w:t>
              </w:r>
            </w:hyperlink>
            <w:r w:rsidR="00CC1218" w:rsidRPr="008D6C1E">
              <w:rPr>
                <w:rStyle w:val="Hyperlink"/>
                <w:sz w:val="20"/>
                <w:lang w:val="fr-CA"/>
              </w:rPr>
              <w:t xml:space="preserve">; </w:t>
            </w:r>
            <w:hyperlink r:id="rId50" w:history="1">
              <w:r w:rsidR="00CC1218" w:rsidRPr="008D6C1E">
                <w:rPr>
                  <w:rStyle w:val="Hyperlink"/>
                  <w:sz w:val="20"/>
                  <w:lang w:val="fr-CA"/>
                </w:rPr>
                <w:t>2014 ONSC 5274</w:t>
              </w:r>
            </w:hyperlink>
          </w:p>
          <w:p w:rsidR="00CC1218" w:rsidRPr="008D6C1E" w:rsidRDefault="00CC1218" w:rsidP="00CC1218">
            <w:pPr>
              <w:jc w:val="both"/>
              <w:rPr>
                <w:sz w:val="20"/>
                <w:lang w:val="fr-CA"/>
              </w:rPr>
            </w:pPr>
          </w:p>
        </w:tc>
        <w:tc>
          <w:tcPr>
            <w:tcW w:w="243" w:type="pct"/>
          </w:tcPr>
          <w:p w:rsidR="00CC1218" w:rsidRPr="008D6C1E" w:rsidRDefault="00CC1218" w:rsidP="00CC1218">
            <w:pPr>
              <w:jc w:val="both"/>
              <w:rPr>
                <w:sz w:val="20"/>
                <w:lang w:val="fr-CA"/>
              </w:rPr>
            </w:pPr>
          </w:p>
        </w:tc>
        <w:tc>
          <w:tcPr>
            <w:tcW w:w="2330" w:type="pct"/>
          </w:tcPr>
          <w:p w:rsidR="00CC1218" w:rsidRPr="008D6C1E" w:rsidRDefault="00CC1218" w:rsidP="00CC1218">
            <w:pPr>
              <w:jc w:val="both"/>
              <w:rPr>
                <w:sz w:val="20"/>
                <w:lang w:val="fr-CA"/>
              </w:rPr>
            </w:pPr>
            <w:r w:rsidRPr="008D6C1E">
              <w:rPr>
                <w:sz w:val="20"/>
                <w:lang w:val="fr-CA"/>
              </w:rPr>
              <w:t>Jugement statuant que les demanderesses n’ont pas légalement droit au montant en exécution des actes formalistes bilatéraux en plus du capital impayé et des intérêts accumulés avant la requête</w:t>
            </w:r>
          </w:p>
          <w:p w:rsidR="00CC1218" w:rsidRPr="008D6C1E" w:rsidRDefault="00CC1218" w:rsidP="00CC1218">
            <w:pPr>
              <w:jc w:val="both"/>
              <w:rPr>
                <w:sz w:val="20"/>
                <w:lang w:val="fr-CA"/>
              </w:rPr>
            </w:pPr>
          </w:p>
        </w:tc>
      </w:tr>
      <w:tr w:rsidR="00CC1218" w:rsidRPr="008D6C1E" w:rsidTr="002B5CF4">
        <w:tc>
          <w:tcPr>
            <w:tcW w:w="2427" w:type="pct"/>
            <w:gridSpan w:val="2"/>
          </w:tcPr>
          <w:p w:rsidR="00CC1218" w:rsidRPr="008D6C1E" w:rsidRDefault="00CC1218" w:rsidP="00CC1218">
            <w:pPr>
              <w:jc w:val="both"/>
              <w:rPr>
                <w:sz w:val="20"/>
                <w:lang w:val="fr-CA"/>
              </w:rPr>
            </w:pPr>
            <w:r w:rsidRPr="008D6C1E">
              <w:rPr>
                <w:sz w:val="20"/>
                <w:lang w:val="fr-CA"/>
              </w:rPr>
              <w:t>13 octobre 2015</w:t>
            </w:r>
          </w:p>
          <w:p w:rsidR="00CC1218" w:rsidRPr="008D6C1E" w:rsidRDefault="00CC1218" w:rsidP="00CC1218">
            <w:pPr>
              <w:jc w:val="both"/>
              <w:rPr>
                <w:sz w:val="20"/>
                <w:lang w:val="fr-CA"/>
              </w:rPr>
            </w:pPr>
            <w:r w:rsidRPr="008D6C1E">
              <w:rPr>
                <w:sz w:val="20"/>
                <w:lang w:val="fr-CA"/>
              </w:rPr>
              <w:t>Cour d’appel de l’Ontario</w:t>
            </w:r>
          </w:p>
          <w:p w:rsidR="00CC1218" w:rsidRPr="008D6C1E" w:rsidRDefault="00CC1218" w:rsidP="00CC1218">
            <w:pPr>
              <w:jc w:val="both"/>
              <w:rPr>
                <w:sz w:val="20"/>
                <w:lang w:val="fr-CA"/>
              </w:rPr>
            </w:pPr>
            <w:r w:rsidRPr="008D6C1E">
              <w:rPr>
                <w:sz w:val="20"/>
                <w:lang w:val="fr-CA"/>
              </w:rPr>
              <w:t>(Juges Simmons, Gillese et Rouleau)</w:t>
            </w:r>
          </w:p>
          <w:p w:rsidR="00CC1218" w:rsidRPr="008D6C1E" w:rsidRDefault="005E6DC4" w:rsidP="00CC1218">
            <w:pPr>
              <w:jc w:val="both"/>
              <w:rPr>
                <w:rStyle w:val="Hyperlink"/>
                <w:sz w:val="20"/>
                <w:lang w:val="fr-CA"/>
              </w:rPr>
            </w:pPr>
            <w:hyperlink r:id="rId51" w:history="1">
              <w:r w:rsidR="00CC1218" w:rsidRPr="008D6C1E">
                <w:rPr>
                  <w:rStyle w:val="Hyperlink"/>
                  <w:sz w:val="20"/>
                  <w:lang w:val="fr-CA"/>
                </w:rPr>
                <w:t>2015 ONCA 681</w:t>
              </w:r>
            </w:hyperlink>
            <w:r w:rsidR="00CC1218" w:rsidRPr="008D6C1E">
              <w:rPr>
                <w:rStyle w:val="Hyperlink"/>
                <w:sz w:val="20"/>
                <w:lang w:val="fr-CA"/>
              </w:rPr>
              <w:t>; C59703</w:t>
            </w:r>
          </w:p>
          <w:p w:rsidR="00CC1218" w:rsidRPr="008D6C1E" w:rsidRDefault="00CC1218" w:rsidP="00CC1218">
            <w:pPr>
              <w:jc w:val="both"/>
              <w:rPr>
                <w:sz w:val="20"/>
                <w:lang w:val="fr-CA"/>
              </w:rPr>
            </w:pPr>
          </w:p>
        </w:tc>
        <w:tc>
          <w:tcPr>
            <w:tcW w:w="243" w:type="pct"/>
          </w:tcPr>
          <w:p w:rsidR="00CC1218" w:rsidRPr="008D6C1E" w:rsidRDefault="00CC1218" w:rsidP="00CC1218">
            <w:pPr>
              <w:jc w:val="both"/>
              <w:rPr>
                <w:sz w:val="20"/>
                <w:lang w:val="fr-CA"/>
              </w:rPr>
            </w:pPr>
          </w:p>
        </w:tc>
        <w:tc>
          <w:tcPr>
            <w:tcW w:w="2330" w:type="pct"/>
          </w:tcPr>
          <w:p w:rsidR="00CC1218" w:rsidRPr="008D6C1E" w:rsidRDefault="00CC1218" w:rsidP="00CC1218">
            <w:pPr>
              <w:jc w:val="both"/>
              <w:rPr>
                <w:sz w:val="20"/>
                <w:lang w:val="fr-CA"/>
              </w:rPr>
            </w:pPr>
            <w:r w:rsidRPr="008D6C1E">
              <w:rPr>
                <w:sz w:val="20"/>
                <w:lang w:val="fr-CA"/>
              </w:rPr>
              <w:t>Rejet de l’appel</w:t>
            </w:r>
          </w:p>
          <w:p w:rsidR="00CC1218" w:rsidRPr="008D6C1E" w:rsidRDefault="00CC1218" w:rsidP="00CC1218">
            <w:pPr>
              <w:jc w:val="both"/>
              <w:rPr>
                <w:sz w:val="20"/>
                <w:lang w:val="fr-CA"/>
              </w:rPr>
            </w:pPr>
          </w:p>
        </w:tc>
      </w:tr>
      <w:tr w:rsidR="00CC1218" w:rsidRPr="002C1A32" w:rsidTr="002B5CF4">
        <w:tc>
          <w:tcPr>
            <w:tcW w:w="2427" w:type="pct"/>
            <w:gridSpan w:val="2"/>
          </w:tcPr>
          <w:p w:rsidR="00CC1218" w:rsidRPr="008D6C1E" w:rsidRDefault="00CC1218" w:rsidP="00CC1218">
            <w:pPr>
              <w:jc w:val="both"/>
              <w:rPr>
                <w:sz w:val="20"/>
                <w:lang w:val="fr-CA"/>
              </w:rPr>
            </w:pPr>
            <w:r w:rsidRPr="008D6C1E">
              <w:rPr>
                <w:sz w:val="20"/>
                <w:lang w:val="fr-CA"/>
              </w:rPr>
              <w:t>14 décembre 2015</w:t>
            </w:r>
          </w:p>
          <w:p w:rsidR="00CC1218" w:rsidRPr="008D6C1E" w:rsidRDefault="00CC1218" w:rsidP="00CC1218">
            <w:pPr>
              <w:jc w:val="both"/>
              <w:rPr>
                <w:sz w:val="20"/>
                <w:lang w:val="fr-CA"/>
              </w:rPr>
            </w:pPr>
            <w:r w:rsidRPr="008D6C1E">
              <w:rPr>
                <w:sz w:val="20"/>
                <w:lang w:val="fr-CA"/>
              </w:rPr>
              <w:t>Cour suprême du Canada</w:t>
            </w:r>
          </w:p>
        </w:tc>
        <w:tc>
          <w:tcPr>
            <w:tcW w:w="243" w:type="pct"/>
          </w:tcPr>
          <w:p w:rsidR="00CC1218" w:rsidRPr="008D6C1E" w:rsidRDefault="00CC1218" w:rsidP="00CC1218">
            <w:pPr>
              <w:jc w:val="both"/>
              <w:rPr>
                <w:sz w:val="20"/>
                <w:lang w:val="fr-CA"/>
              </w:rPr>
            </w:pPr>
          </w:p>
        </w:tc>
        <w:tc>
          <w:tcPr>
            <w:tcW w:w="2330" w:type="pct"/>
          </w:tcPr>
          <w:p w:rsidR="00CC1218" w:rsidRPr="008D6C1E" w:rsidRDefault="00CC1218" w:rsidP="00CC1218">
            <w:pPr>
              <w:jc w:val="both"/>
              <w:rPr>
                <w:sz w:val="20"/>
                <w:lang w:val="fr-CA"/>
              </w:rPr>
            </w:pPr>
            <w:r w:rsidRPr="008D6C1E">
              <w:rPr>
                <w:sz w:val="20"/>
                <w:lang w:val="fr-CA"/>
              </w:rPr>
              <w:t>Dépôt de la demande d’autorisation d’appel</w:t>
            </w:r>
          </w:p>
        </w:tc>
      </w:tr>
    </w:tbl>
    <w:p w:rsidR="00CC1218" w:rsidRPr="008D6C1E" w:rsidRDefault="00CC1218" w:rsidP="00542FB4">
      <w:pPr>
        <w:jc w:val="both"/>
        <w:rPr>
          <w:sz w:val="20"/>
          <w:lang w:val="fr-CA"/>
        </w:rPr>
      </w:pPr>
    </w:p>
    <w:p w:rsidR="00542FB4" w:rsidRPr="008D6C1E" w:rsidRDefault="00542FB4" w:rsidP="00542FB4">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42FB4" w:rsidRPr="008D6C1E" w:rsidTr="002B5CF4">
        <w:trPr>
          <w:gridAfter w:val="1"/>
          <w:wAfter w:w="48" w:type="pct"/>
        </w:trPr>
        <w:tc>
          <w:tcPr>
            <w:tcW w:w="538" w:type="pct"/>
          </w:tcPr>
          <w:p w:rsidR="00542FB4" w:rsidRPr="008D6C1E" w:rsidRDefault="00542FB4" w:rsidP="00542FB4">
            <w:pPr>
              <w:jc w:val="both"/>
              <w:rPr>
                <w:sz w:val="20"/>
              </w:rPr>
            </w:pPr>
            <w:r w:rsidRPr="008D6C1E">
              <w:rPr>
                <w:rStyle w:val="SCCFileNumberChar"/>
                <w:sz w:val="20"/>
                <w:szCs w:val="20"/>
              </w:rPr>
              <w:t>36797</w:t>
            </w:r>
          </w:p>
        </w:tc>
        <w:tc>
          <w:tcPr>
            <w:tcW w:w="4414" w:type="pct"/>
            <w:gridSpan w:val="3"/>
          </w:tcPr>
          <w:p w:rsidR="00542FB4" w:rsidRPr="002C1A32" w:rsidRDefault="00542FB4" w:rsidP="00542FB4">
            <w:pPr>
              <w:pStyle w:val="SCCLsocParty"/>
              <w:jc w:val="both"/>
              <w:rPr>
                <w:b/>
                <w:sz w:val="20"/>
                <w:szCs w:val="20"/>
                <w:lang w:val="en-US"/>
              </w:rPr>
            </w:pPr>
            <w:r w:rsidRPr="002C1A32">
              <w:rPr>
                <w:b/>
                <w:sz w:val="20"/>
                <w:szCs w:val="20"/>
                <w:lang w:val="en-US"/>
              </w:rPr>
              <w:t>Hawkeye Power Corporation v. Sigma Engineering Ltd., Hawkeye Energy Corporation</w:t>
            </w:r>
          </w:p>
          <w:p w:rsidR="00542FB4" w:rsidRPr="008D6C1E" w:rsidRDefault="00542FB4" w:rsidP="00542FB4">
            <w:pPr>
              <w:jc w:val="both"/>
              <w:rPr>
                <w:sz w:val="20"/>
              </w:rPr>
            </w:pPr>
            <w:r w:rsidRPr="008D6C1E">
              <w:rPr>
                <w:sz w:val="20"/>
              </w:rPr>
              <w:t>(B.C.) (Civil) (By Leave)</w:t>
            </w:r>
          </w:p>
        </w:tc>
      </w:tr>
      <w:tr w:rsidR="00542FB4" w:rsidRPr="008D6C1E" w:rsidTr="002B5CF4">
        <w:trPr>
          <w:gridAfter w:val="1"/>
          <w:wAfter w:w="48" w:type="pct"/>
        </w:trPr>
        <w:tc>
          <w:tcPr>
            <w:tcW w:w="4952" w:type="pct"/>
            <w:gridSpan w:val="4"/>
          </w:tcPr>
          <w:p w:rsidR="00542FB4" w:rsidRPr="008D6C1E" w:rsidRDefault="00542FB4" w:rsidP="00542FB4">
            <w:pPr>
              <w:jc w:val="both"/>
              <w:rPr>
                <w:sz w:val="20"/>
              </w:rPr>
            </w:pPr>
            <w:r w:rsidRPr="008D6C1E">
              <w:rPr>
                <w:sz w:val="20"/>
              </w:rPr>
              <w:t>Commercial law – Contracts – Applicant asserting legal and beneficial ownership in assets held by non-arms’ length company or, alternatively, that assets were held in trust for applicant – Non-arms’ length company going into receivership and its assets being sold by receiver to respondent Sigma – Respondent Sigma claiming clear title to assets by way of court-approved sale by receiver – Applicant’s claims dismissed at trial – Whether there was collusion between respondent Sigma and receiver – Whether an unprofessional and flawed receivership prejudiced all creditors of the process – Whether respondent Sigma withheld material information from judge who approved receivership – Whether respondent Sigma breached receivership order.</w:t>
            </w:r>
          </w:p>
          <w:p w:rsidR="00542FB4" w:rsidRPr="008D6C1E" w:rsidRDefault="00542FB4" w:rsidP="00542FB4">
            <w:pPr>
              <w:jc w:val="both"/>
              <w:rPr>
                <w:sz w:val="20"/>
              </w:rPr>
            </w:pPr>
          </w:p>
          <w:p w:rsidR="00542FB4" w:rsidRPr="008D6C1E" w:rsidRDefault="00542FB4" w:rsidP="00542FB4">
            <w:pPr>
              <w:jc w:val="both"/>
              <w:rPr>
                <w:sz w:val="20"/>
              </w:rPr>
            </w:pPr>
            <w:r w:rsidRPr="008D6C1E">
              <w:rPr>
                <w:sz w:val="20"/>
              </w:rPr>
              <w:t>Hawkeye Power Corporation (“Power”) and Energy Power Corporation (“Energy”) are related non-arms’ length companies created to exploit and generate hydroelectric energy. As part of this venture, Power and Energy retained the respondent Sigma Engineering Ltd. (“Sigma”) to conduct various investigations in relation to the prospective business sites. Energy and Power testified that to solidify their business plan, in 2006, they began drafting an asset-purchase agreement (“the Agreement”) and executed the Agreement in July 2008. The Agreement contained a termination and expiry clauses, according to which assets held by Energy would be surrendered to Power upon specified events.</w:t>
            </w:r>
          </w:p>
          <w:p w:rsidR="00542FB4" w:rsidRPr="008D6C1E" w:rsidRDefault="00542FB4" w:rsidP="00542FB4">
            <w:pPr>
              <w:jc w:val="both"/>
              <w:rPr>
                <w:sz w:val="20"/>
              </w:rPr>
            </w:pPr>
          </w:p>
          <w:p w:rsidR="00542FB4" w:rsidRPr="008D6C1E" w:rsidRDefault="00542FB4" w:rsidP="00542FB4">
            <w:pPr>
              <w:jc w:val="both"/>
              <w:rPr>
                <w:sz w:val="20"/>
              </w:rPr>
            </w:pPr>
            <w:r w:rsidRPr="008D6C1E">
              <w:rPr>
                <w:sz w:val="20"/>
              </w:rPr>
              <w:t>When Energy became indebted to Sigma, Sigma commenced legal proceedings to recover for unpaid invoices. Sigma obtained default judgment against Energy and then a court order for the appointment of a receiver over Energy’s assets. When the receiver applied for court approval to sell Energy’s assets to Sigma, Power disputed ownership. Power asserted that it was the legal and beneficial owner of the assets pursuant to the 2008 Agreement, or, in the alternative, that Energy held the assets in trust for Power.  Sigma counterclaimed that the Agreement was formed in furtherance of a fraudulent conveyance or fraudulent preference, and was therefore null and void.  </w:t>
            </w:r>
          </w:p>
        </w:tc>
      </w:tr>
      <w:tr w:rsidR="00542FB4" w:rsidRPr="008D6C1E" w:rsidTr="002B5CF4">
        <w:trPr>
          <w:gridAfter w:val="1"/>
          <w:wAfter w:w="48" w:type="pct"/>
        </w:trPr>
        <w:tc>
          <w:tcPr>
            <w:tcW w:w="4952" w:type="pct"/>
            <w:gridSpan w:val="4"/>
          </w:tcPr>
          <w:p w:rsidR="00542FB4" w:rsidRPr="008D6C1E" w:rsidRDefault="00542FB4" w:rsidP="00542FB4">
            <w:pPr>
              <w:jc w:val="both"/>
              <w:rPr>
                <w:sz w:val="20"/>
              </w:rPr>
            </w:pPr>
          </w:p>
        </w:tc>
      </w:tr>
      <w:tr w:rsidR="00542FB4" w:rsidRPr="008D6C1E" w:rsidTr="002B5CF4">
        <w:tblPrEx>
          <w:tblCellMar>
            <w:bottom w:w="0" w:type="dxa"/>
          </w:tblCellMar>
        </w:tblPrEx>
        <w:tc>
          <w:tcPr>
            <w:tcW w:w="2367" w:type="pct"/>
            <w:gridSpan w:val="2"/>
          </w:tcPr>
          <w:p w:rsidR="00542FB4" w:rsidRPr="008D6C1E" w:rsidRDefault="00542FB4" w:rsidP="00542FB4">
            <w:pPr>
              <w:jc w:val="both"/>
              <w:rPr>
                <w:sz w:val="20"/>
              </w:rPr>
            </w:pPr>
            <w:r w:rsidRPr="008D6C1E">
              <w:rPr>
                <w:sz w:val="20"/>
              </w:rPr>
              <w:t>July 29, 2015</w:t>
            </w:r>
          </w:p>
          <w:p w:rsidR="00542FB4" w:rsidRPr="008D6C1E" w:rsidRDefault="00542FB4" w:rsidP="00542FB4">
            <w:pPr>
              <w:jc w:val="both"/>
              <w:rPr>
                <w:sz w:val="20"/>
              </w:rPr>
            </w:pPr>
            <w:r w:rsidRPr="008D6C1E">
              <w:rPr>
                <w:sz w:val="20"/>
              </w:rPr>
              <w:t>Supreme Court of British Columbia</w:t>
            </w:r>
          </w:p>
          <w:p w:rsidR="00542FB4" w:rsidRPr="008D6C1E" w:rsidRDefault="00542FB4" w:rsidP="00542FB4">
            <w:pPr>
              <w:jc w:val="both"/>
              <w:rPr>
                <w:sz w:val="20"/>
              </w:rPr>
            </w:pPr>
            <w:r w:rsidRPr="008D6C1E">
              <w:rPr>
                <w:sz w:val="20"/>
              </w:rPr>
              <w:t>(</w:t>
            </w:r>
            <w:proofErr w:type="spellStart"/>
            <w:r w:rsidRPr="008D6C1E">
              <w:rPr>
                <w:sz w:val="20"/>
              </w:rPr>
              <w:t>Weatherill</w:t>
            </w:r>
            <w:proofErr w:type="spellEnd"/>
            <w:r w:rsidRPr="008D6C1E">
              <w:rPr>
                <w:sz w:val="20"/>
              </w:rPr>
              <w:t xml:space="preserve"> J.)</w:t>
            </w:r>
          </w:p>
          <w:p w:rsidR="00542FB4" w:rsidRPr="008D6C1E" w:rsidRDefault="005E6DC4" w:rsidP="00542FB4">
            <w:pPr>
              <w:jc w:val="both"/>
              <w:rPr>
                <w:sz w:val="20"/>
              </w:rPr>
            </w:pPr>
            <w:hyperlink r:id="rId52" w:history="1">
              <w:r w:rsidR="00542FB4" w:rsidRPr="008D6C1E">
                <w:rPr>
                  <w:rStyle w:val="Hyperlink"/>
                  <w:sz w:val="20"/>
                </w:rPr>
                <w:t>2014 BCSC 1444</w:t>
              </w:r>
            </w:hyperlink>
          </w:p>
          <w:p w:rsidR="00542FB4" w:rsidRPr="008D6C1E" w:rsidRDefault="00542FB4" w:rsidP="00542FB4">
            <w:pPr>
              <w:jc w:val="both"/>
              <w:rPr>
                <w:sz w:val="20"/>
              </w:rPr>
            </w:pPr>
          </w:p>
        </w:tc>
        <w:tc>
          <w:tcPr>
            <w:tcW w:w="267" w:type="pct"/>
          </w:tcPr>
          <w:p w:rsidR="00542FB4" w:rsidRPr="008D6C1E" w:rsidRDefault="00542FB4" w:rsidP="00542FB4">
            <w:pPr>
              <w:jc w:val="both"/>
              <w:rPr>
                <w:sz w:val="20"/>
              </w:rPr>
            </w:pPr>
          </w:p>
        </w:tc>
        <w:tc>
          <w:tcPr>
            <w:tcW w:w="2366" w:type="pct"/>
            <w:gridSpan w:val="2"/>
          </w:tcPr>
          <w:p w:rsidR="00542FB4" w:rsidRPr="008D6C1E" w:rsidRDefault="00542FB4" w:rsidP="00542FB4">
            <w:pPr>
              <w:jc w:val="both"/>
              <w:rPr>
                <w:sz w:val="20"/>
              </w:rPr>
            </w:pPr>
            <w:r w:rsidRPr="008D6C1E">
              <w:rPr>
                <w:sz w:val="20"/>
              </w:rPr>
              <w:t xml:space="preserve">Action dismissed, counterclaim allowed  </w:t>
            </w:r>
          </w:p>
          <w:p w:rsidR="00542FB4" w:rsidRPr="008D6C1E" w:rsidRDefault="00542FB4" w:rsidP="00542FB4">
            <w:pPr>
              <w:jc w:val="both"/>
              <w:rPr>
                <w:sz w:val="20"/>
              </w:rPr>
            </w:pPr>
          </w:p>
        </w:tc>
      </w:tr>
      <w:tr w:rsidR="00542FB4" w:rsidRPr="008D6C1E" w:rsidTr="002B5CF4">
        <w:tblPrEx>
          <w:tblCellMar>
            <w:bottom w:w="0" w:type="dxa"/>
          </w:tblCellMar>
        </w:tblPrEx>
        <w:tc>
          <w:tcPr>
            <w:tcW w:w="2367" w:type="pct"/>
            <w:gridSpan w:val="2"/>
          </w:tcPr>
          <w:p w:rsidR="00542FB4" w:rsidRPr="008D6C1E" w:rsidRDefault="00542FB4" w:rsidP="00542FB4">
            <w:pPr>
              <w:jc w:val="both"/>
              <w:rPr>
                <w:sz w:val="20"/>
              </w:rPr>
            </w:pPr>
            <w:r w:rsidRPr="008D6C1E">
              <w:rPr>
                <w:sz w:val="20"/>
              </w:rPr>
              <w:t>November 4, 2015</w:t>
            </w:r>
          </w:p>
          <w:p w:rsidR="00542FB4" w:rsidRPr="008D6C1E" w:rsidRDefault="00542FB4" w:rsidP="00542FB4">
            <w:pPr>
              <w:jc w:val="both"/>
              <w:rPr>
                <w:sz w:val="20"/>
              </w:rPr>
            </w:pPr>
            <w:r w:rsidRPr="008D6C1E">
              <w:rPr>
                <w:sz w:val="20"/>
              </w:rPr>
              <w:t xml:space="preserve">Court of Appeal for British Columbia </w:t>
            </w:r>
          </w:p>
          <w:p w:rsidR="00542FB4" w:rsidRPr="008D6C1E" w:rsidRDefault="00542FB4" w:rsidP="00542FB4">
            <w:pPr>
              <w:jc w:val="both"/>
              <w:rPr>
                <w:sz w:val="20"/>
              </w:rPr>
            </w:pPr>
            <w:r w:rsidRPr="008D6C1E">
              <w:rPr>
                <w:sz w:val="20"/>
              </w:rPr>
              <w:t>(Vancouver)</w:t>
            </w:r>
          </w:p>
          <w:p w:rsidR="00542FB4" w:rsidRPr="008D6C1E" w:rsidRDefault="00542FB4" w:rsidP="00542FB4">
            <w:pPr>
              <w:jc w:val="both"/>
              <w:rPr>
                <w:sz w:val="20"/>
              </w:rPr>
            </w:pPr>
            <w:r w:rsidRPr="008D6C1E">
              <w:rPr>
                <w:sz w:val="20"/>
              </w:rPr>
              <w:t>(</w:t>
            </w:r>
            <w:proofErr w:type="spellStart"/>
            <w:r w:rsidRPr="008D6C1E">
              <w:rPr>
                <w:sz w:val="20"/>
              </w:rPr>
              <w:t>MacKenzie</w:t>
            </w:r>
            <w:proofErr w:type="spellEnd"/>
            <w:r w:rsidRPr="008D6C1E">
              <w:rPr>
                <w:sz w:val="20"/>
              </w:rPr>
              <w:t xml:space="preserve">, </w:t>
            </w:r>
            <w:proofErr w:type="spellStart"/>
            <w:r w:rsidRPr="008D6C1E">
              <w:rPr>
                <w:sz w:val="20"/>
              </w:rPr>
              <w:t>Willcock</w:t>
            </w:r>
            <w:proofErr w:type="spellEnd"/>
            <w:r w:rsidRPr="008D6C1E">
              <w:rPr>
                <w:sz w:val="20"/>
              </w:rPr>
              <w:t xml:space="preserve"> and </w:t>
            </w:r>
            <w:proofErr w:type="spellStart"/>
            <w:r w:rsidRPr="008D6C1E">
              <w:rPr>
                <w:sz w:val="20"/>
              </w:rPr>
              <w:t>Goepel</w:t>
            </w:r>
            <w:proofErr w:type="spellEnd"/>
            <w:r w:rsidRPr="008D6C1E">
              <w:rPr>
                <w:sz w:val="20"/>
              </w:rPr>
              <w:t xml:space="preserve"> JJ.A.)</w:t>
            </w:r>
          </w:p>
          <w:p w:rsidR="00542FB4" w:rsidRPr="008D6C1E" w:rsidRDefault="005E6DC4" w:rsidP="00542FB4">
            <w:pPr>
              <w:jc w:val="both"/>
              <w:rPr>
                <w:sz w:val="20"/>
              </w:rPr>
            </w:pPr>
            <w:hyperlink r:id="rId53" w:history="1">
              <w:r w:rsidR="00542FB4" w:rsidRPr="008D6C1E">
                <w:rPr>
                  <w:rStyle w:val="Hyperlink"/>
                  <w:sz w:val="20"/>
                </w:rPr>
                <w:t>2015 BCCA 451</w:t>
              </w:r>
            </w:hyperlink>
          </w:p>
          <w:p w:rsidR="00542FB4" w:rsidRPr="008D6C1E" w:rsidRDefault="00542FB4" w:rsidP="00542FB4">
            <w:pPr>
              <w:jc w:val="both"/>
              <w:rPr>
                <w:sz w:val="20"/>
              </w:rPr>
            </w:pPr>
          </w:p>
        </w:tc>
        <w:tc>
          <w:tcPr>
            <w:tcW w:w="267" w:type="pct"/>
          </w:tcPr>
          <w:p w:rsidR="00542FB4" w:rsidRPr="008D6C1E" w:rsidRDefault="00542FB4" w:rsidP="00542FB4">
            <w:pPr>
              <w:jc w:val="both"/>
              <w:rPr>
                <w:sz w:val="20"/>
              </w:rPr>
            </w:pPr>
          </w:p>
        </w:tc>
        <w:tc>
          <w:tcPr>
            <w:tcW w:w="2366" w:type="pct"/>
            <w:gridSpan w:val="2"/>
          </w:tcPr>
          <w:p w:rsidR="00542FB4" w:rsidRPr="008D6C1E" w:rsidRDefault="00542FB4" w:rsidP="00542FB4">
            <w:pPr>
              <w:jc w:val="both"/>
              <w:rPr>
                <w:sz w:val="20"/>
              </w:rPr>
            </w:pPr>
            <w:r w:rsidRPr="008D6C1E">
              <w:rPr>
                <w:sz w:val="20"/>
              </w:rPr>
              <w:t xml:space="preserve">Appeal dismissed </w:t>
            </w:r>
          </w:p>
          <w:p w:rsidR="00542FB4" w:rsidRPr="008D6C1E" w:rsidRDefault="00542FB4" w:rsidP="00542FB4">
            <w:pPr>
              <w:jc w:val="both"/>
              <w:rPr>
                <w:sz w:val="20"/>
              </w:rPr>
            </w:pPr>
          </w:p>
        </w:tc>
      </w:tr>
      <w:tr w:rsidR="00542FB4" w:rsidRPr="008D6C1E" w:rsidTr="002B5CF4">
        <w:tblPrEx>
          <w:tblCellMar>
            <w:bottom w:w="0" w:type="dxa"/>
          </w:tblCellMar>
        </w:tblPrEx>
        <w:tc>
          <w:tcPr>
            <w:tcW w:w="2367" w:type="pct"/>
            <w:gridSpan w:val="2"/>
          </w:tcPr>
          <w:p w:rsidR="00542FB4" w:rsidRPr="008D6C1E" w:rsidRDefault="00542FB4" w:rsidP="00542FB4">
            <w:pPr>
              <w:jc w:val="both"/>
              <w:rPr>
                <w:sz w:val="20"/>
              </w:rPr>
            </w:pPr>
            <w:r w:rsidRPr="008D6C1E">
              <w:rPr>
                <w:sz w:val="20"/>
              </w:rPr>
              <w:t>January 4, 2016</w:t>
            </w:r>
          </w:p>
          <w:p w:rsidR="00542FB4" w:rsidRPr="008D6C1E" w:rsidRDefault="00542FB4" w:rsidP="00542FB4">
            <w:pPr>
              <w:jc w:val="both"/>
              <w:rPr>
                <w:sz w:val="20"/>
              </w:rPr>
            </w:pPr>
            <w:r w:rsidRPr="008D6C1E">
              <w:rPr>
                <w:sz w:val="20"/>
              </w:rPr>
              <w:t>Supreme Court of Canada</w:t>
            </w:r>
          </w:p>
        </w:tc>
        <w:tc>
          <w:tcPr>
            <w:tcW w:w="267" w:type="pct"/>
          </w:tcPr>
          <w:p w:rsidR="00542FB4" w:rsidRPr="008D6C1E" w:rsidRDefault="00542FB4" w:rsidP="00542FB4">
            <w:pPr>
              <w:jc w:val="both"/>
              <w:rPr>
                <w:sz w:val="20"/>
              </w:rPr>
            </w:pPr>
          </w:p>
        </w:tc>
        <w:tc>
          <w:tcPr>
            <w:tcW w:w="2366" w:type="pct"/>
            <w:gridSpan w:val="2"/>
          </w:tcPr>
          <w:p w:rsidR="00542FB4" w:rsidRPr="008D6C1E" w:rsidRDefault="00542FB4" w:rsidP="00542FB4">
            <w:pPr>
              <w:jc w:val="both"/>
              <w:rPr>
                <w:sz w:val="20"/>
              </w:rPr>
            </w:pPr>
            <w:r w:rsidRPr="008D6C1E">
              <w:rPr>
                <w:sz w:val="20"/>
              </w:rPr>
              <w:t>Application for leave to appeal filed</w:t>
            </w:r>
          </w:p>
          <w:p w:rsidR="00542FB4" w:rsidRPr="008D6C1E" w:rsidRDefault="00542FB4" w:rsidP="00542FB4">
            <w:pPr>
              <w:jc w:val="both"/>
              <w:rPr>
                <w:sz w:val="20"/>
              </w:rPr>
            </w:pPr>
          </w:p>
        </w:tc>
      </w:tr>
    </w:tbl>
    <w:p w:rsidR="00542FB4" w:rsidRPr="008D6C1E" w:rsidRDefault="00542FB4" w:rsidP="00542FB4">
      <w:pPr>
        <w:jc w:val="both"/>
        <w:rPr>
          <w:sz w:val="20"/>
        </w:rPr>
      </w:pPr>
    </w:p>
    <w:p w:rsidR="00542FB4" w:rsidRPr="008D6C1E" w:rsidRDefault="00542FB4" w:rsidP="00542FB4">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42FB4" w:rsidRPr="002C1A32" w:rsidTr="002B5CF4">
        <w:trPr>
          <w:gridAfter w:val="1"/>
          <w:wAfter w:w="48" w:type="pct"/>
        </w:trPr>
        <w:tc>
          <w:tcPr>
            <w:tcW w:w="538" w:type="pct"/>
          </w:tcPr>
          <w:p w:rsidR="00542FB4" w:rsidRPr="008D6C1E" w:rsidRDefault="00542FB4" w:rsidP="00542FB4">
            <w:pPr>
              <w:jc w:val="both"/>
              <w:rPr>
                <w:sz w:val="20"/>
                <w:lang w:val="fr-CA"/>
              </w:rPr>
            </w:pPr>
            <w:r w:rsidRPr="008D6C1E">
              <w:rPr>
                <w:rStyle w:val="SCCFileNumberChar"/>
                <w:sz w:val="20"/>
                <w:szCs w:val="20"/>
                <w:lang w:val="fr-CA"/>
              </w:rPr>
              <w:t>36797</w:t>
            </w:r>
          </w:p>
        </w:tc>
        <w:tc>
          <w:tcPr>
            <w:tcW w:w="4414" w:type="pct"/>
            <w:gridSpan w:val="3"/>
          </w:tcPr>
          <w:p w:rsidR="00542FB4" w:rsidRPr="008D6C1E" w:rsidRDefault="00542FB4" w:rsidP="00542FB4">
            <w:pPr>
              <w:pStyle w:val="SCCLsocParty"/>
              <w:jc w:val="both"/>
              <w:rPr>
                <w:b/>
                <w:sz w:val="20"/>
                <w:szCs w:val="20"/>
                <w:lang w:val="en-US"/>
              </w:rPr>
            </w:pPr>
            <w:r w:rsidRPr="008D6C1E">
              <w:rPr>
                <w:b/>
                <w:sz w:val="20"/>
                <w:szCs w:val="20"/>
                <w:lang w:val="en-US"/>
              </w:rPr>
              <w:t>Hawkeye Power Corporation c. Sigma Engineering Ltd., Hawkeye Energy Corporation</w:t>
            </w:r>
          </w:p>
          <w:p w:rsidR="00542FB4" w:rsidRPr="008D6C1E" w:rsidRDefault="00542FB4" w:rsidP="00542FB4">
            <w:pPr>
              <w:jc w:val="both"/>
              <w:rPr>
                <w:sz w:val="20"/>
                <w:lang w:val="fr-CA"/>
              </w:rPr>
            </w:pPr>
            <w:r w:rsidRPr="008D6C1E">
              <w:rPr>
                <w:sz w:val="20"/>
                <w:lang w:val="fr-CA"/>
              </w:rPr>
              <w:t>(C.-B.) (Civile) (Sur autorisation)</w:t>
            </w:r>
          </w:p>
        </w:tc>
      </w:tr>
      <w:tr w:rsidR="00542FB4" w:rsidRPr="002C1A32" w:rsidTr="002B5CF4">
        <w:trPr>
          <w:gridAfter w:val="1"/>
          <w:wAfter w:w="48" w:type="pct"/>
        </w:trPr>
        <w:tc>
          <w:tcPr>
            <w:tcW w:w="4952" w:type="pct"/>
            <w:gridSpan w:val="4"/>
          </w:tcPr>
          <w:p w:rsidR="00542FB4" w:rsidRPr="008D6C1E" w:rsidRDefault="00542FB4" w:rsidP="00542FB4">
            <w:pPr>
              <w:jc w:val="both"/>
              <w:rPr>
                <w:sz w:val="20"/>
                <w:lang w:val="fr-CA"/>
              </w:rPr>
            </w:pPr>
            <w:r w:rsidRPr="008D6C1E">
              <w:rPr>
                <w:sz w:val="20"/>
                <w:lang w:val="fr-CA"/>
              </w:rPr>
              <w:t>Droit commercial – Contrats – La demanderesse revendique la propriété en common law et la propriété bénéficiaire d’actifs détenus par une compagnie liée ou, subsidiairement, elle allègue que les actifs étaient détenus en fiducie pour la demanderesse – La compagnie liée a été mise sous séquestre et ses actifs ont été vendus par le séquestre à l’intimée Sigma – L’intimée Sigma revendique un titre libre aux actifs par voie de vente par le séquestre, approuvée par le tribunal – Les revendications de la demanderesse ont été rejetées au procès – Y a-t-il eu collusion entre l’intimée Sigma et le séquestre? – Une mise sous séquestre non professionnelle et viciée a-t-elle causé un préjudice à tous les créanciers du processus? – L’intimée Sigma a-t-elle retenu des renseignements importants du juge qui a approuvé la mise sous séquestre? – L’intimée Sigma a-t-elle violé l’ordonnance de mise sous séquestre?</w:t>
            </w:r>
          </w:p>
          <w:p w:rsidR="00542FB4" w:rsidRPr="008D6C1E" w:rsidRDefault="00542FB4" w:rsidP="00542FB4">
            <w:pPr>
              <w:jc w:val="both"/>
              <w:rPr>
                <w:sz w:val="20"/>
                <w:lang w:val="fr-CA"/>
              </w:rPr>
            </w:pPr>
          </w:p>
          <w:p w:rsidR="00542FB4" w:rsidRPr="008D6C1E" w:rsidRDefault="00542FB4" w:rsidP="00542FB4">
            <w:pPr>
              <w:jc w:val="both"/>
              <w:rPr>
                <w:sz w:val="20"/>
                <w:lang w:val="fr-CA"/>
              </w:rPr>
            </w:pPr>
            <w:r w:rsidRPr="008D6C1E">
              <w:rPr>
                <w:sz w:val="20"/>
                <w:lang w:val="fr-CA"/>
              </w:rPr>
              <w:lastRenderedPageBreak/>
              <w:t>Hawkeye Power Corporation (« Power ») et Energy Power Corporation (« Energy ») sont des compagnies liées, créées pour exploiter et produire de l’énergie hydroélectrique. Dans le cadre de cette entreprise, Power et Energy ont confié à l’intimée Sigma Engineering Ltd. (« Sigma ») le mandat d’effectuer diverses enquêtes relativement à d’éventuels emplacements commerciaux. Dans leurs témoignages, Energy et Power ont affirmé que pour solidifier leur plan d’affaires, en 2006, elles ont commencé à rédiger un contrat d’achat d’actifs (« le contrat »), contrat qu’elles ont signé en juillet 2008. Le contrat renfermait des clauses de résiliation et d’expiration en vertu desquelles les actifs détenus par Energy seraient délaissés en faveur de Power dans certaines éventualités déterminées.</w:t>
            </w:r>
          </w:p>
          <w:p w:rsidR="00542FB4" w:rsidRPr="008D6C1E" w:rsidRDefault="00542FB4" w:rsidP="00542FB4">
            <w:pPr>
              <w:jc w:val="both"/>
              <w:rPr>
                <w:sz w:val="20"/>
                <w:lang w:val="fr-CA"/>
              </w:rPr>
            </w:pPr>
          </w:p>
          <w:p w:rsidR="00542FB4" w:rsidRPr="008D6C1E" w:rsidRDefault="00542FB4" w:rsidP="00542FB4">
            <w:pPr>
              <w:jc w:val="both"/>
              <w:rPr>
                <w:sz w:val="20"/>
                <w:lang w:val="fr-CA"/>
              </w:rPr>
            </w:pPr>
            <w:r w:rsidRPr="008D6C1E">
              <w:rPr>
                <w:sz w:val="20"/>
                <w:lang w:val="fr-CA"/>
              </w:rPr>
              <w:t>Lorsqu’Energy est devenue endettée envers Sigma, Sigma a intenté une action en justice en recouvrement des factures impayées. Sigma a obtenu un jugement par défaut contre Energy, puis une ordonnance judiciaire pour la nomination d’un séquestre à l’égard des actifs d’Energy. Lorsque le séquestre a demandé au tribunal l’autorisation de vendre les actifs d’Energy à Sigma, Power a contesté la propriété. Power a allégué qu’elle était la propriétaire en common law et la propriétaire bénéficiaire des actifs en vertu du contrat de 2008 ou, subsidiairement, qu’Energy détenait les actifs en fiducie pour Power.  Dans une demande reconventionnelle, Sigma a allégué que le contrat avait été conclu pour donner effet à un transport frauduleux ou à une préférence frauduleuse et qu’il était donc nul.  </w:t>
            </w:r>
          </w:p>
        </w:tc>
      </w:tr>
      <w:tr w:rsidR="00542FB4" w:rsidRPr="002C1A32" w:rsidTr="002B5CF4">
        <w:trPr>
          <w:gridAfter w:val="1"/>
          <w:wAfter w:w="48" w:type="pct"/>
        </w:trPr>
        <w:tc>
          <w:tcPr>
            <w:tcW w:w="4952" w:type="pct"/>
            <w:gridSpan w:val="4"/>
          </w:tcPr>
          <w:p w:rsidR="00542FB4" w:rsidRPr="008D6C1E" w:rsidRDefault="00542FB4" w:rsidP="00542FB4">
            <w:pPr>
              <w:jc w:val="both"/>
              <w:rPr>
                <w:sz w:val="20"/>
                <w:lang w:val="fr-CA"/>
              </w:rPr>
            </w:pPr>
          </w:p>
        </w:tc>
      </w:tr>
      <w:tr w:rsidR="00542FB4" w:rsidRPr="002C1A32" w:rsidTr="002B5CF4">
        <w:tblPrEx>
          <w:tblCellMar>
            <w:bottom w:w="0" w:type="dxa"/>
          </w:tblCellMar>
        </w:tblPrEx>
        <w:tc>
          <w:tcPr>
            <w:tcW w:w="2367" w:type="pct"/>
            <w:gridSpan w:val="2"/>
          </w:tcPr>
          <w:p w:rsidR="00542FB4" w:rsidRPr="008D6C1E" w:rsidRDefault="00542FB4" w:rsidP="00542FB4">
            <w:pPr>
              <w:jc w:val="both"/>
              <w:rPr>
                <w:sz w:val="20"/>
                <w:lang w:val="fr-CA"/>
              </w:rPr>
            </w:pPr>
            <w:r w:rsidRPr="008D6C1E">
              <w:rPr>
                <w:sz w:val="20"/>
                <w:lang w:val="fr-CA"/>
              </w:rPr>
              <w:t>29 juillet 2015</w:t>
            </w:r>
          </w:p>
          <w:p w:rsidR="00542FB4" w:rsidRPr="008D6C1E" w:rsidRDefault="00542FB4" w:rsidP="00542FB4">
            <w:pPr>
              <w:jc w:val="both"/>
              <w:rPr>
                <w:sz w:val="20"/>
                <w:lang w:val="fr-CA"/>
              </w:rPr>
            </w:pPr>
            <w:r w:rsidRPr="008D6C1E">
              <w:rPr>
                <w:sz w:val="20"/>
                <w:lang w:val="fr-CA"/>
              </w:rPr>
              <w:t xml:space="preserve">Cour suprême de la Colombie-Britannique </w:t>
            </w:r>
          </w:p>
          <w:p w:rsidR="00542FB4" w:rsidRPr="008D6C1E" w:rsidRDefault="00542FB4" w:rsidP="00542FB4">
            <w:pPr>
              <w:jc w:val="both"/>
              <w:rPr>
                <w:sz w:val="20"/>
                <w:lang w:val="fr-CA"/>
              </w:rPr>
            </w:pPr>
            <w:r w:rsidRPr="008D6C1E">
              <w:rPr>
                <w:sz w:val="20"/>
                <w:lang w:val="fr-CA"/>
              </w:rPr>
              <w:t>(Juge Weatherill)</w:t>
            </w:r>
          </w:p>
          <w:p w:rsidR="00542FB4" w:rsidRPr="008D6C1E" w:rsidRDefault="005E6DC4" w:rsidP="00542FB4">
            <w:pPr>
              <w:jc w:val="both"/>
              <w:rPr>
                <w:sz w:val="20"/>
                <w:lang w:val="fr-CA"/>
              </w:rPr>
            </w:pPr>
            <w:hyperlink r:id="rId54" w:history="1">
              <w:r w:rsidR="00542FB4" w:rsidRPr="008D6C1E">
                <w:rPr>
                  <w:rStyle w:val="Hyperlink"/>
                  <w:sz w:val="20"/>
                  <w:lang w:val="fr-CA"/>
                </w:rPr>
                <w:t>2014 BCSC 1444</w:t>
              </w:r>
            </w:hyperlink>
          </w:p>
          <w:p w:rsidR="00542FB4" w:rsidRPr="008D6C1E" w:rsidRDefault="00542FB4" w:rsidP="00542FB4">
            <w:pPr>
              <w:jc w:val="both"/>
              <w:rPr>
                <w:sz w:val="20"/>
                <w:lang w:val="fr-CA"/>
              </w:rPr>
            </w:pPr>
          </w:p>
        </w:tc>
        <w:tc>
          <w:tcPr>
            <w:tcW w:w="267" w:type="pct"/>
          </w:tcPr>
          <w:p w:rsidR="00542FB4" w:rsidRPr="008D6C1E" w:rsidRDefault="00542FB4" w:rsidP="00542FB4">
            <w:pPr>
              <w:jc w:val="both"/>
              <w:rPr>
                <w:sz w:val="20"/>
                <w:lang w:val="fr-CA"/>
              </w:rPr>
            </w:pPr>
          </w:p>
        </w:tc>
        <w:tc>
          <w:tcPr>
            <w:tcW w:w="2366" w:type="pct"/>
            <w:gridSpan w:val="2"/>
          </w:tcPr>
          <w:p w:rsidR="00542FB4" w:rsidRPr="008D6C1E" w:rsidRDefault="00542FB4" w:rsidP="00542FB4">
            <w:pPr>
              <w:jc w:val="both"/>
              <w:rPr>
                <w:sz w:val="20"/>
                <w:lang w:val="fr-CA"/>
              </w:rPr>
            </w:pPr>
            <w:r w:rsidRPr="008D6C1E">
              <w:rPr>
                <w:sz w:val="20"/>
                <w:lang w:val="fr-CA"/>
              </w:rPr>
              <w:t>Jugement rejetant l’action et accueillant la demande reconventionnelle</w:t>
            </w:r>
          </w:p>
          <w:p w:rsidR="00542FB4" w:rsidRPr="008D6C1E" w:rsidRDefault="00542FB4" w:rsidP="00542FB4">
            <w:pPr>
              <w:jc w:val="both"/>
              <w:rPr>
                <w:sz w:val="20"/>
                <w:lang w:val="fr-CA"/>
              </w:rPr>
            </w:pPr>
          </w:p>
        </w:tc>
      </w:tr>
      <w:tr w:rsidR="00542FB4" w:rsidRPr="008D6C1E" w:rsidTr="002B5CF4">
        <w:tblPrEx>
          <w:tblCellMar>
            <w:bottom w:w="0" w:type="dxa"/>
          </w:tblCellMar>
        </w:tblPrEx>
        <w:tc>
          <w:tcPr>
            <w:tcW w:w="2367" w:type="pct"/>
            <w:gridSpan w:val="2"/>
          </w:tcPr>
          <w:p w:rsidR="00542FB4" w:rsidRPr="008D6C1E" w:rsidRDefault="00542FB4" w:rsidP="00542FB4">
            <w:pPr>
              <w:jc w:val="both"/>
              <w:rPr>
                <w:sz w:val="20"/>
                <w:lang w:val="fr-CA"/>
              </w:rPr>
            </w:pPr>
            <w:r w:rsidRPr="008D6C1E">
              <w:rPr>
                <w:sz w:val="20"/>
                <w:lang w:val="fr-CA"/>
              </w:rPr>
              <w:t>4 novembre 2015</w:t>
            </w:r>
          </w:p>
          <w:p w:rsidR="00542FB4" w:rsidRPr="008D6C1E" w:rsidRDefault="00542FB4" w:rsidP="00542FB4">
            <w:pPr>
              <w:jc w:val="both"/>
              <w:rPr>
                <w:sz w:val="20"/>
                <w:lang w:val="fr-CA"/>
              </w:rPr>
            </w:pPr>
            <w:r w:rsidRPr="008D6C1E">
              <w:rPr>
                <w:sz w:val="20"/>
                <w:lang w:val="fr-CA"/>
              </w:rPr>
              <w:t xml:space="preserve">Cour d’appel de la Colombie-Britannique </w:t>
            </w:r>
          </w:p>
          <w:p w:rsidR="00542FB4" w:rsidRPr="008D6C1E" w:rsidRDefault="00542FB4" w:rsidP="00542FB4">
            <w:pPr>
              <w:jc w:val="both"/>
              <w:rPr>
                <w:sz w:val="20"/>
                <w:lang w:val="fr-CA"/>
              </w:rPr>
            </w:pPr>
            <w:r w:rsidRPr="008D6C1E">
              <w:rPr>
                <w:sz w:val="20"/>
                <w:lang w:val="fr-CA"/>
              </w:rPr>
              <w:t>(Vancouver)</w:t>
            </w:r>
          </w:p>
          <w:p w:rsidR="00542FB4" w:rsidRPr="008D6C1E" w:rsidRDefault="00542FB4" w:rsidP="00542FB4">
            <w:pPr>
              <w:jc w:val="both"/>
              <w:rPr>
                <w:sz w:val="20"/>
                <w:lang w:val="fr-CA"/>
              </w:rPr>
            </w:pPr>
            <w:r w:rsidRPr="008D6C1E">
              <w:rPr>
                <w:sz w:val="20"/>
                <w:lang w:val="fr-CA"/>
              </w:rPr>
              <w:t>(Juges MacKenzie, Willcock et Goepel)</w:t>
            </w:r>
          </w:p>
          <w:p w:rsidR="00542FB4" w:rsidRPr="008D6C1E" w:rsidRDefault="005E6DC4" w:rsidP="00542FB4">
            <w:pPr>
              <w:jc w:val="both"/>
              <w:rPr>
                <w:sz w:val="20"/>
                <w:lang w:val="fr-CA"/>
              </w:rPr>
            </w:pPr>
            <w:hyperlink r:id="rId55" w:history="1">
              <w:r w:rsidR="00542FB4" w:rsidRPr="008D6C1E">
                <w:rPr>
                  <w:rStyle w:val="Hyperlink"/>
                  <w:sz w:val="20"/>
                  <w:lang w:val="fr-CA"/>
                </w:rPr>
                <w:t>2015 BCCA 451</w:t>
              </w:r>
            </w:hyperlink>
          </w:p>
          <w:p w:rsidR="00542FB4" w:rsidRPr="008D6C1E" w:rsidRDefault="00542FB4" w:rsidP="00542FB4">
            <w:pPr>
              <w:jc w:val="both"/>
              <w:rPr>
                <w:sz w:val="20"/>
                <w:lang w:val="fr-CA"/>
              </w:rPr>
            </w:pPr>
          </w:p>
        </w:tc>
        <w:tc>
          <w:tcPr>
            <w:tcW w:w="267" w:type="pct"/>
          </w:tcPr>
          <w:p w:rsidR="00542FB4" w:rsidRPr="008D6C1E" w:rsidRDefault="00542FB4" w:rsidP="00542FB4">
            <w:pPr>
              <w:jc w:val="both"/>
              <w:rPr>
                <w:sz w:val="20"/>
                <w:lang w:val="fr-CA"/>
              </w:rPr>
            </w:pPr>
          </w:p>
        </w:tc>
        <w:tc>
          <w:tcPr>
            <w:tcW w:w="2366" w:type="pct"/>
            <w:gridSpan w:val="2"/>
          </w:tcPr>
          <w:p w:rsidR="00542FB4" w:rsidRPr="008D6C1E" w:rsidRDefault="00542FB4" w:rsidP="00542FB4">
            <w:pPr>
              <w:jc w:val="both"/>
              <w:rPr>
                <w:sz w:val="20"/>
                <w:lang w:val="fr-CA"/>
              </w:rPr>
            </w:pPr>
            <w:r w:rsidRPr="008D6C1E">
              <w:rPr>
                <w:sz w:val="20"/>
                <w:lang w:val="fr-CA"/>
              </w:rPr>
              <w:t>Rejet de l’appel</w:t>
            </w:r>
          </w:p>
          <w:p w:rsidR="00542FB4" w:rsidRPr="008D6C1E" w:rsidRDefault="00542FB4" w:rsidP="00542FB4">
            <w:pPr>
              <w:jc w:val="both"/>
              <w:rPr>
                <w:sz w:val="20"/>
                <w:lang w:val="fr-CA"/>
              </w:rPr>
            </w:pPr>
          </w:p>
        </w:tc>
      </w:tr>
      <w:tr w:rsidR="00542FB4" w:rsidRPr="002C1A32" w:rsidTr="002B5CF4">
        <w:tblPrEx>
          <w:tblCellMar>
            <w:bottom w:w="0" w:type="dxa"/>
          </w:tblCellMar>
        </w:tblPrEx>
        <w:tc>
          <w:tcPr>
            <w:tcW w:w="2367" w:type="pct"/>
            <w:gridSpan w:val="2"/>
          </w:tcPr>
          <w:p w:rsidR="00542FB4" w:rsidRPr="008D6C1E" w:rsidRDefault="00542FB4" w:rsidP="00542FB4">
            <w:pPr>
              <w:jc w:val="both"/>
              <w:rPr>
                <w:sz w:val="20"/>
                <w:lang w:val="fr-CA"/>
              </w:rPr>
            </w:pPr>
            <w:r w:rsidRPr="008D6C1E">
              <w:rPr>
                <w:sz w:val="20"/>
                <w:lang w:val="fr-CA"/>
              </w:rPr>
              <w:t>4 janvier 2016</w:t>
            </w:r>
          </w:p>
          <w:p w:rsidR="00542FB4" w:rsidRPr="008D6C1E" w:rsidRDefault="00542FB4" w:rsidP="00542FB4">
            <w:pPr>
              <w:jc w:val="both"/>
              <w:rPr>
                <w:sz w:val="20"/>
                <w:lang w:val="fr-CA"/>
              </w:rPr>
            </w:pPr>
            <w:r w:rsidRPr="008D6C1E">
              <w:rPr>
                <w:sz w:val="20"/>
                <w:lang w:val="fr-CA"/>
              </w:rPr>
              <w:t>Cour suprême du Canada</w:t>
            </w:r>
          </w:p>
        </w:tc>
        <w:tc>
          <w:tcPr>
            <w:tcW w:w="267" w:type="pct"/>
          </w:tcPr>
          <w:p w:rsidR="00542FB4" w:rsidRPr="008D6C1E" w:rsidRDefault="00542FB4" w:rsidP="00542FB4">
            <w:pPr>
              <w:jc w:val="both"/>
              <w:rPr>
                <w:sz w:val="20"/>
                <w:lang w:val="fr-CA"/>
              </w:rPr>
            </w:pPr>
          </w:p>
        </w:tc>
        <w:tc>
          <w:tcPr>
            <w:tcW w:w="2366" w:type="pct"/>
            <w:gridSpan w:val="2"/>
          </w:tcPr>
          <w:p w:rsidR="00542FB4" w:rsidRPr="008D6C1E" w:rsidRDefault="00542FB4" w:rsidP="00542FB4">
            <w:pPr>
              <w:jc w:val="both"/>
              <w:rPr>
                <w:sz w:val="20"/>
                <w:lang w:val="fr-CA"/>
              </w:rPr>
            </w:pPr>
            <w:r w:rsidRPr="008D6C1E">
              <w:rPr>
                <w:sz w:val="20"/>
                <w:lang w:val="fr-CA"/>
              </w:rPr>
              <w:t>Dépôt de la demande d’autorisation d’appel</w:t>
            </w:r>
          </w:p>
          <w:p w:rsidR="00542FB4" w:rsidRPr="008D6C1E" w:rsidRDefault="00542FB4" w:rsidP="00542FB4">
            <w:pPr>
              <w:jc w:val="both"/>
              <w:rPr>
                <w:sz w:val="20"/>
                <w:lang w:val="fr-CA"/>
              </w:rPr>
            </w:pPr>
          </w:p>
        </w:tc>
      </w:tr>
    </w:tbl>
    <w:p w:rsidR="00542FB4" w:rsidRPr="008D6C1E" w:rsidRDefault="00542FB4" w:rsidP="00542FB4">
      <w:pPr>
        <w:jc w:val="both"/>
        <w:rPr>
          <w:sz w:val="20"/>
          <w:lang w:val="fr-CA"/>
        </w:rPr>
      </w:pPr>
    </w:p>
    <w:p w:rsidR="00CC1218" w:rsidRPr="008D6C1E" w:rsidRDefault="00CC1218" w:rsidP="006C44E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44EF" w:rsidRPr="008D6C1E" w:rsidTr="002B5CF4">
        <w:tc>
          <w:tcPr>
            <w:tcW w:w="543" w:type="pct"/>
          </w:tcPr>
          <w:p w:rsidR="006C44EF" w:rsidRPr="008D6C1E" w:rsidRDefault="006C44EF" w:rsidP="006C44EF">
            <w:pPr>
              <w:jc w:val="both"/>
              <w:rPr>
                <w:sz w:val="20"/>
              </w:rPr>
            </w:pPr>
            <w:r w:rsidRPr="008D6C1E">
              <w:rPr>
                <w:rStyle w:val="SCCFileNumberChar"/>
                <w:sz w:val="20"/>
                <w:szCs w:val="20"/>
              </w:rPr>
              <w:t>36819</w:t>
            </w:r>
          </w:p>
        </w:tc>
        <w:tc>
          <w:tcPr>
            <w:tcW w:w="4457" w:type="pct"/>
            <w:gridSpan w:val="3"/>
          </w:tcPr>
          <w:p w:rsidR="006C44EF" w:rsidRPr="002C1A32" w:rsidRDefault="006C44EF" w:rsidP="006C44EF">
            <w:pPr>
              <w:pStyle w:val="SCCLsocParty"/>
              <w:jc w:val="both"/>
              <w:rPr>
                <w:b/>
                <w:sz w:val="20"/>
                <w:szCs w:val="20"/>
                <w:lang w:val="en-US"/>
              </w:rPr>
            </w:pPr>
            <w:r w:rsidRPr="002C1A32">
              <w:rPr>
                <w:b/>
                <w:sz w:val="20"/>
                <w:szCs w:val="20"/>
                <w:lang w:val="en-US"/>
              </w:rPr>
              <w:t>Martin Green v. University of Winnipeg</w:t>
            </w:r>
          </w:p>
          <w:p w:rsidR="006C44EF" w:rsidRPr="008D6C1E" w:rsidRDefault="006C44EF" w:rsidP="006C44EF">
            <w:pPr>
              <w:jc w:val="both"/>
              <w:rPr>
                <w:sz w:val="20"/>
              </w:rPr>
            </w:pPr>
            <w:r w:rsidRPr="008D6C1E">
              <w:rPr>
                <w:sz w:val="20"/>
              </w:rPr>
              <w:t>(Man.) (Civil) (By Leave)</w:t>
            </w:r>
          </w:p>
        </w:tc>
      </w:tr>
      <w:tr w:rsidR="006C44EF" w:rsidRPr="008D6C1E" w:rsidTr="002B5CF4">
        <w:tc>
          <w:tcPr>
            <w:tcW w:w="5000" w:type="pct"/>
            <w:gridSpan w:val="4"/>
          </w:tcPr>
          <w:p w:rsidR="006C44EF" w:rsidRPr="008D6C1E" w:rsidRDefault="006C44EF" w:rsidP="006C44EF">
            <w:pPr>
              <w:jc w:val="both"/>
              <w:rPr>
                <w:sz w:val="20"/>
              </w:rPr>
            </w:pPr>
            <w:r w:rsidRPr="008D6C1E">
              <w:rPr>
                <w:sz w:val="20"/>
              </w:rPr>
              <w:t>Courts – Jurisdiction – Whether the Manitoba courts erred in finding that the applicant has an “effective remedy” to his dispute within the University’s statutory dispute-resolution policies – Whether the Manitoba courts erred when they held that the dispute between the parties was in “pith and substance” academic in nature, and not contractual – Whether the Manitoba courts erred when they found that for the aforesaid reasons, they had no jurisdiction to hear the applicant’s claim.</w:t>
            </w:r>
          </w:p>
        </w:tc>
      </w:tr>
      <w:tr w:rsidR="006C44EF" w:rsidRPr="008D6C1E" w:rsidTr="002B5CF4">
        <w:tc>
          <w:tcPr>
            <w:tcW w:w="5000" w:type="pct"/>
            <w:gridSpan w:val="4"/>
          </w:tcPr>
          <w:p w:rsidR="006C44EF" w:rsidRPr="008D6C1E" w:rsidRDefault="006C44EF" w:rsidP="006C44EF">
            <w:pPr>
              <w:jc w:val="both"/>
              <w:rPr>
                <w:sz w:val="20"/>
              </w:rPr>
            </w:pPr>
          </w:p>
        </w:tc>
      </w:tr>
      <w:tr w:rsidR="006C44EF" w:rsidRPr="008D6C1E" w:rsidTr="002B5CF4">
        <w:tc>
          <w:tcPr>
            <w:tcW w:w="5000" w:type="pct"/>
            <w:gridSpan w:val="4"/>
          </w:tcPr>
          <w:p w:rsidR="006C44EF" w:rsidRPr="008D6C1E" w:rsidRDefault="006C44EF" w:rsidP="006C44EF">
            <w:pPr>
              <w:jc w:val="both"/>
              <w:rPr>
                <w:sz w:val="20"/>
              </w:rPr>
            </w:pPr>
            <w:r w:rsidRPr="008D6C1E">
              <w:rPr>
                <w:sz w:val="20"/>
              </w:rPr>
              <w:t>The applicant filed a notice of application under Queen’s Bench Rule 14 seeking a declaration that the respondent should grade and return to him assignment #5 which he says he completed in course 4861.150. The respondent opposed the application primarily on the ground that the court lacked jurisdiction to hear it. The application judge held that the dispute was in pith and substance an internal disagreement relating to matters of an academic nature and an issue that was within the exclusive jurisdiction of the respondent. The application judge dismissed the application. The Court of Appeal dismissed the appeal.</w:t>
            </w:r>
          </w:p>
          <w:p w:rsidR="006C44EF" w:rsidRPr="008D6C1E" w:rsidRDefault="006C44EF" w:rsidP="006C44EF">
            <w:pPr>
              <w:jc w:val="both"/>
              <w:rPr>
                <w:sz w:val="20"/>
              </w:rPr>
            </w:pPr>
          </w:p>
        </w:tc>
      </w:tr>
      <w:tr w:rsidR="006C44EF" w:rsidRPr="008D6C1E" w:rsidTr="002B5CF4">
        <w:tc>
          <w:tcPr>
            <w:tcW w:w="2427" w:type="pct"/>
            <w:gridSpan w:val="2"/>
          </w:tcPr>
          <w:p w:rsidR="006C44EF" w:rsidRPr="008D6C1E" w:rsidRDefault="006C44EF" w:rsidP="006C44EF">
            <w:pPr>
              <w:jc w:val="both"/>
              <w:rPr>
                <w:sz w:val="20"/>
              </w:rPr>
            </w:pPr>
            <w:r w:rsidRPr="008D6C1E">
              <w:rPr>
                <w:sz w:val="20"/>
              </w:rPr>
              <w:t>December 10, 2014</w:t>
            </w:r>
          </w:p>
          <w:p w:rsidR="006C44EF" w:rsidRPr="008D6C1E" w:rsidRDefault="006C44EF" w:rsidP="006C44EF">
            <w:pPr>
              <w:jc w:val="both"/>
              <w:rPr>
                <w:sz w:val="20"/>
              </w:rPr>
            </w:pPr>
            <w:r w:rsidRPr="008D6C1E">
              <w:rPr>
                <w:sz w:val="20"/>
              </w:rPr>
              <w:t>Court of Queen’s Bench of Manitoba</w:t>
            </w:r>
          </w:p>
          <w:p w:rsidR="006C44EF" w:rsidRPr="008D6C1E" w:rsidRDefault="006C44EF" w:rsidP="006C44EF">
            <w:pPr>
              <w:jc w:val="both"/>
              <w:rPr>
                <w:sz w:val="20"/>
              </w:rPr>
            </w:pPr>
            <w:r w:rsidRPr="008D6C1E">
              <w:rPr>
                <w:sz w:val="20"/>
              </w:rPr>
              <w:t>(Edmond J.)</w:t>
            </w:r>
          </w:p>
          <w:p w:rsidR="006C44EF" w:rsidRPr="008D6C1E" w:rsidRDefault="006C44EF" w:rsidP="006C44EF">
            <w:pPr>
              <w:jc w:val="both"/>
              <w:rPr>
                <w:sz w:val="20"/>
              </w:rPr>
            </w:pPr>
            <w:r w:rsidRPr="008D6C1E">
              <w:rPr>
                <w:sz w:val="20"/>
              </w:rPr>
              <w:t>2014 MBQB 243</w:t>
            </w:r>
          </w:p>
          <w:p w:rsidR="006C44EF" w:rsidRPr="008D6C1E" w:rsidRDefault="005E6DC4" w:rsidP="006C44EF">
            <w:pPr>
              <w:jc w:val="both"/>
              <w:rPr>
                <w:rStyle w:val="documentstaticurl"/>
                <w:sz w:val="20"/>
              </w:rPr>
            </w:pPr>
            <w:hyperlink r:id="rId56" w:history="1">
              <w:r w:rsidR="006C44EF" w:rsidRPr="008D6C1E">
                <w:rPr>
                  <w:rStyle w:val="Hyperlink"/>
                  <w:rFonts w:eastAsiaTheme="majorEastAsia"/>
                  <w:sz w:val="20"/>
                </w:rPr>
                <w:t>http://canlii.ca/t/gfs31</w:t>
              </w:r>
            </w:hyperlink>
          </w:p>
          <w:p w:rsidR="006C44EF" w:rsidRPr="008D6C1E" w:rsidRDefault="006C44EF" w:rsidP="006C44EF">
            <w:pPr>
              <w:jc w:val="both"/>
              <w:rPr>
                <w:sz w:val="20"/>
              </w:rPr>
            </w:pPr>
          </w:p>
        </w:tc>
        <w:tc>
          <w:tcPr>
            <w:tcW w:w="243" w:type="pct"/>
          </w:tcPr>
          <w:p w:rsidR="006C44EF" w:rsidRPr="008D6C1E" w:rsidRDefault="006C44EF" w:rsidP="006C44EF">
            <w:pPr>
              <w:jc w:val="both"/>
              <w:rPr>
                <w:sz w:val="20"/>
              </w:rPr>
            </w:pPr>
          </w:p>
        </w:tc>
        <w:tc>
          <w:tcPr>
            <w:tcW w:w="2330" w:type="pct"/>
          </w:tcPr>
          <w:p w:rsidR="006C44EF" w:rsidRPr="008D6C1E" w:rsidRDefault="006C44EF" w:rsidP="006C44EF">
            <w:pPr>
              <w:jc w:val="both"/>
              <w:rPr>
                <w:sz w:val="20"/>
              </w:rPr>
            </w:pPr>
            <w:r w:rsidRPr="008D6C1E">
              <w:rPr>
                <w:sz w:val="20"/>
              </w:rPr>
              <w:t>Applicant’s application dismissed with costs</w:t>
            </w:r>
          </w:p>
          <w:p w:rsidR="006C44EF" w:rsidRPr="008D6C1E" w:rsidRDefault="006C44EF" w:rsidP="006C44EF">
            <w:pPr>
              <w:jc w:val="both"/>
              <w:rPr>
                <w:sz w:val="20"/>
              </w:rPr>
            </w:pPr>
          </w:p>
        </w:tc>
      </w:tr>
      <w:tr w:rsidR="006C44EF" w:rsidRPr="008D6C1E" w:rsidTr="002B5CF4">
        <w:tc>
          <w:tcPr>
            <w:tcW w:w="2427" w:type="pct"/>
            <w:gridSpan w:val="2"/>
          </w:tcPr>
          <w:p w:rsidR="006C44EF" w:rsidRPr="008D6C1E" w:rsidRDefault="006C44EF" w:rsidP="006C44EF">
            <w:pPr>
              <w:jc w:val="both"/>
              <w:rPr>
                <w:sz w:val="20"/>
              </w:rPr>
            </w:pPr>
            <w:r w:rsidRPr="008D6C1E">
              <w:rPr>
                <w:sz w:val="20"/>
              </w:rPr>
              <w:lastRenderedPageBreak/>
              <w:t>November 30, 2015</w:t>
            </w:r>
          </w:p>
          <w:p w:rsidR="006C44EF" w:rsidRPr="008D6C1E" w:rsidRDefault="006C44EF" w:rsidP="006C44EF">
            <w:pPr>
              <w:jc w:val="both"/>
              <w:rPr>
                <w:sz w:val="20"/>
              </w:rPr>
            </w:pPr>
            <w:r w:rsidRPr="008D6C1E">
              <w:rPr>
                <w:sz w:val="20"/>
              </w:rPr>
              <w:t>Court of Appeal of Manitoba</w:t>
            </w:r>
          </w:p>
          <w:p w:rsidR="006C44EF" w:rsidRPr="008D6C1E" w:rsidRDefault="006C44EF" w:rsidP="006C44EF">
            <w:pPr>
              <w:jc w:val="both"/>
              <w:rPr>
                <w:sz w:val="20"/>
                <w:lang w:val="fr-CA"/>
              </w:rPr>
            </w:pPr>
            <w:r w:rsidRPr="008D6C1E">
              <w:rPr>
                <w:sz w:val="20"/>
                <w:lang w:val="fr-CA"/>
              </w:rPr>
              <w:t>(</w:t>
            </w:r>
            <w:proofErr w:type="spellStart"/>
            <w:r w:rsidRPr="008D6C1E">
              <w:rPr>
                <w:sz w:val="20"/>
                <w:lang w:val="fr-CA"/>
              </w:rPr>
              <w:t>MacInnes</w:t>
            </w:r>
            <w:proofErr w:type="spellEnd"/>
            <w:r w:rsidRPr="008D6C1E">
              <w:rPr>
                <w:sz w:val="20"/>
                <w:lang w:val="fr-CA"/>
              </w:rPr>
              <w:t xml:space="preserve">, </w:t>
            </w:r>
            <w:proofErr w:type="spellStart"/>
            <w:r w:rsidRPr="008D6C1E">
              <w:rPr>
                <w:sz w:val="20"/>
                <w:lang w:val="fr-CA"/>
              </w:rPr>
              <w:t>Monnin</w:t>
            </w:r>
            <w:proofErr w:type="spellEnd"/>
            <w:r w:rsidRPr="008D6C1E">
              <w:rPr>
                <w:sz w:val="20"/>
                <w:lang w:val="fr-CA"/>
              </w:rPr>
              <w:t>, Cameron JJ.A.)</w:t>
            </w:r>
          </w:p>
          <w:p w:rsidR="006C44EF" w:rsidRPr="008D6C1E" w:rsidRDefault="006C44EF" w:rsidP="006C44EF">
            <w:pPr>
              <w:jc w:val="both"/>
              <w:rPr>
                <w:sz w:val="20"/>
                <w:lang w:val="fr-CA"/>
              </w:rPr>
            </w:pPr>
            <w:r w:rsidRPr="008D6C1E">
              <w:rPr>
                <w:sz w:val="20"/>
                <w:lang w:val="fr-CA"/>
              </w:rPr>
              <w:t>2015 MBCA  109; AI15-30-08360</w:t>
            </w:r>
          </w:p>
          <w:p w:rsidR="006C44EF" w:rsidRPr="008D6C1E" w:rsidRDefault="005E6DC4" w:rsidP="006C44EF">
            <w:pPr>
              <w:jc w:val="both"/>
              <w:rPr>
                <w:sz w:val="20"/>
              </w:rPr>
            </w:pPr>
            <w:hyperlink r:id="rId57" w:history="1">
              <w:r w:rsidR="006C44EF" w:rsidRPr="008D6C1E">
                <w:rPr>
                  <w:rStyle w:val="Hyperlink"/>
                  <w:rFonts w:eastAsiaTheme="majorEastAsia"/>
                  <w:sz w:val="20"/>
                </w:rPr>
                <w:t>http://canlii.ca/t/gmc29</w:t>
              </w:r>
            </w:hyperlink>
          </w:p>
          <w:p w:rsidR="006C44EF" w:rsidRPr="008D6C1E" w:rsidRDefault="006C44EF" w:rsidP="006C44EF">
            <w:pPr>
              <w:jc w:val="both"/>
              <w:rPr>
                <w:sz w:val="20"/>
              </w:rPr>
            </w:pPr>
          </w:p>
        </w:tc>
        <w:tc>
          <w:tcPr>
            <w:tcW w:w="243" w:type="pct"/>
          </w:tcPr>
          <w:p w:rsidR="006C44EF" w:rsidRPr="008D6C1E" w:rsidRDefault="006C44EF" w:rsidP="006C44EF">
            <w:pPr>
              <w:jc w:val="both"/>
              <w:rPr>
                <w:sz w:val="20"/>
              </w:rPr>
            </w:pPr>
          </w:p>
        </w:tc>
        <w:tc>
          <w:tcPr>
            <w:tcW w:w="2330" w:type="pct"/>
          </w:tcPr>
          <w:p w:rsidR="006C44EF" w:rsidRPr="008D6C1E" w:rsidRDefault="006C44EF" w:rsidP="006C44EF">
            <w:pPr>
              <w:jc w:val="both"/>
              <w:rPr>
                <w:sz w:val="20"/>
              </w:rPr>
            </w:pPr>
            <w:r w:rsidRPr="008D6C1E">
              <w:rPr>
                <w:sz w:val="20"/>
              </w:rPr>
              <w:t>Applicant’s appeal dismissed with costs</w:t>
            </w:r>
          </w:p>
          <w:p w:rsidR="006C44EF" w:rsidRPr="008D6C1E" w:rsidRDefault="006C44EF" w:rsidP="006C44EF">
            <w:pPr>
              <w:jc w:val="both"/>
              <w:rPr>
                <w:sz w:val="20"/>
              </w:rPr>
            </w:pPr>
          </w:p>
        </w:tc>
      </w:tr>
      <w:tr w:rsidR="006C44EF" w:rsidRPr="008D6C1E" w:rsidTr="002B5CF4">
        <w:tc>
          <w:tcPr>
            <w:tcW w:w="2427" w:type="pct"/>
            <w:gridSpan w:val="2"/>
          </w:tcPr>
          <w:p w:rsidR="006C44EF" w:rsidRPr="008D6C1E" w:rsidRDefault="006C44EF" w:rsidP="006C44EF">
            <w:pPr>
              <w:jc w:val="both"/>
              <w:rPr>
                <w:sz w:val="20"/>
              </w:rPr>
            </w:pPr>
            <w:r w:rsidRPr="008D6C1E">
              <w:rPr>
                <w:sz w:val="20"/>
              </w:rPr>
              <w:t>January 21, 2016</w:t>
            </w:r>
          </w:p>
          <w:p w:rsidR="006C44EF" w:rsidRPr="008D6C1E" w:rsidRDefault="006C44EF" w:rsidP="006C44EF">
            <w:pPr>
              <w:jc w:val="both"/>
              <w:rPr>
                <w:sz w:val="20"/>
              </w:rPr>
            </w:pPr>
            <w:r w:rsidRPr="008D6C1E">
              <w:rPr>
                <w:sz w:val="20"/>
              </w:rPr>
              <w:t>Supreme Court of Canada</w:t>
            </w:r>
          </w:p>
        </w:tc>
        <w:tc>
          <w:tcPr>
            <w:tcW w:w="243" w:type="pct"/>
          </w:tcPr>
          <w:p w:rsidR="006C44EF" w:rsidRPr="008D6C1E" w:rsidRDefault="006C44EF" w:rsidP="006C44EF">
            <w:pPr>
              <w:jc w:val="both"/>
              <w:rPr>
                <w:sz w:val="20"/>
              </w:rPr>
            </w:pPr>
          </w:p>
        </w:tc>
        <w:tc>
          <w:tcPr>
            <w:tcW w:w="2330" w:type="pct"/>
          </w:tcPr>
          <w:p w:rsidR="006C44EF" w:rsidRPr="008D6C1E" w:rsidRDefault="006C44EF" w:rsidP="006C44EF">
            <w:pPr>
              <w:jc w:val="both"/>
              <w:rPr>
                <w:sz w:val="20"/>
              </w:rPr>
            </w:pPr>
            <w:r w:rsidRPr="008D6C1E">
              <w:rPr>
                <w:sz w:val="20"/>
              </w:rPr>
              <w:t>Application for leave to appeal filed</w:t>
            </w:r>
          </w:p>
          <w:p w:rsidR="006C44EF" w:rsidRPr="008D6C1E" w:rsidRDefault="006C44EF" w:rsidP="006C44EF">
            <w:pPr>
              <w:jc w:val="both"/>
              <w:rPr>
                <w:sz w:val="20"/>
              </w:rPr>
            </w:pPr>
          </w:p>
        </w:tc>
      </w:tr>
    </w:tbl>
    <w:p w:rsidR="006C44EF" w:rsidRPr="008D6C1E" w:rsidRDefault="006C44EF" w:rsidP="006C44EF">
      <w:pPr>
        <w:jc w:val="both"/>
        <w:rPr>
          <w:sz w:val="20"/>
        </w:rPr>
      </w:pPr>
    </w:p>
    <w:p w:rsidR="006C44EF" w:rsidRPr="008D6C1E" w:rsidRDefault="006C44EF" w:rsidP="006C44E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44EF" w:rsidRPr="008D6C1E" w:rsidTr="002B5CF4">
        <w:tc>
          <w:tcPr>
            <w:tcW w:w="543" w:type="pct"/>
          </w:tcPr>
          <w:p w:rsidR="006C44EF" w:rsidRPr="008D6C1E" w:rsidRDefault="006C44EF" w:rsidP="006C44EF">
            <w:pPr>
              <w:jc w:val="both"/>
              <w:rPr>
                <w:sz w:val="20"/>
                <w:lang w:val="fr-CA"/>
              </w:rPr>
            </w:pPr>
            <w:r w:rsidRPr="008D6C1E">
              <w:rPr>
                <w:rStyle w:val="SCCFileNumberChar"/>
                <w:sz w:val="20"/>
                <w:szCs w:val="20"/>
                <w:lang w:val="fr-CA"/>
              </w:rPr>
              <w:t>36819</w:t>
            </w:r>
          </w:p>
        </w:tc>
        <w:tc>
          <w:tcPr>
            <w:tcW w:w="4457" w:type="pct"/>
            <w:gridSpan w:val="3"/>
          </w:tcPr>
          <w:p w:rsidR="006C44EF" w:rsidRPr="008D6C1E" w:rsidRDefault="006C44EF" w:rsidP="006C44EF">
            <w:pPr>
              <w:pStyle w:val="SCCLsocParty"/>
              <w:jc w:val="both"/>
              <w:rPr>
                <w:b/>
                <w:sz w:val="20"/>
                <w:szCs w:val="20"/>
              </w:rPr>
            </w:pPr>
            <w:r w:rsidRPr="008D6C1E">
              <w:rPr>
                <w:b/>
                <w:sz w:val="20"/>
                <w:szCs w:val="20"/>
              </w:rPr>
              <w:t>Martin Green c. Université de Winnipeg</w:t>
            </w:r>
          </w:p>
          <w:p w:rsidR="006C44EF" w:rsidRPr="008D6C1E" w:rsidRDefault="006C44EF" w:rsidP="006C44EF">
            <w:pPr>
              <w:jc w:val="both"/>
              <w:rPr>
                <w:sz w:val="20"/>
                <w:lang w:val="fr-CA"/>
              </w:rPr>
            </w:pPr>
            <w:r w:rsidRPr="008D6C1E">
              <w:rPr>
                <w:sz w:val="20"/>
                <w:lang w:val="fr-CA"/>
              </w:rPr>
              <w:t>(Man.) (Civile) (Sur autorisation)</w:t>
            </w:r>
          </w:p>
        </w:tc>
      </w:tr>
      <w:tr w:rsidR="006C44EF" w:rsidRPr="002C1A32" w:rsidTr="002B5CF4">
        <w:tc>
          <w:tcPr>
            <w:tcW w:w="5000" w:type="pct"/>
            <w:gridSpan w:val="4"/>
          </w:tcPr>
          <w:p w:rsidR="006C44EF" w:rsidRPr="008D6C1E" w:rsidRDefault="006C44EF" w:rsidP="006C44EF">
            <w:pPr>
              <w:jc w:val="both"/>
              <w:rPr>
                <w:sz w:val="20"/>
                <w:lang w:val="fr-CA"/>
              </w:rPr>
            </w:pPr>
            <w:r w:rsidRPr="008D6C1E">
              <w:rPr>
                <w:sz w:val="20"/>
                <w:lang w:val="fr-CA"/>
              </w:rPr>
              <w:t>Tribunaux – Compétence – Les tribunaux du Manitoba ont-ils eu tort de conclure que le demandeur disposait d’un « recours efficace » pour régler son différend dans le cadre des politiques établies de règlement des différends de l’Université? – Les tribunaux du Manitoba ont-ils eu tort de statuer que le différend opposant les parties était essentiellement une question à caractère universitaire, et non contractuel? – Les tribunaux du Manitoba ont-ils eu tort de conclure que pour les motifs susmentionnés, ils n’avaient pas compétence pour instruire la demande du demandeur?</w:t>
            </w:r>
          </w:p>
        </w:tc>
      </w:tr>
      <w:tr w:rsidR="006C44EF" w:rsidRPr="002C1A32" w:rsidTr="002B5CF4">
        <w:tc>
          <w:tcPr>
            <w:tcW w:w="5000" w:type="pct"/>
            <w:gridSpan w:val="4"/>
          </w:tcPr>
          <w:p w:rsidR="006C44EF" w:rsidRPr="008D6C1E" w:rsidRDefault="006C44EF" w:rsidP="006C44EF">
            <w:pPr>
              <w:jc w:val="both"/>
              <w:rPr>
                <w:sz w:val="20"/>
                <w:lang w:val="fr-CA"/>
              </w:rPr>
            </w:pPr>
          </w:p>
        </w:tc>
      </w:tr>
      <w:tr w:rsidR="006C44EF" w:rsidRPr="002C1A32" w:rsidTr="002B5CF4">
        <w:tc>
          <w:tcPr>
            <w:tcW w:w="5000" w:type="pct"/>
            <w:gridSpan w:val="4"/>
          </w:tcPr>
          <w:p w:rsidR="006C44EF" w:rsidRPr="008D6C1E" w:rsidRDefault="006C44EF" w:rsidP="006C44EF">
            <w:pPr>
              <w:jc w:val="both"/>
              <w:rPr>
                <w:sz w:val="20"/>
                <w:lang w:val="fr-CA"/>
              </w:rPr>
            </w:pPr>
            <w:r w:rsidRPr="008D6C1E">
              <w:rPr>
                <w:sz w:val="20"/>
                <w:lang w:val="fr-CA"/>
              </w:rPr>
              <w:t>Le demandeur a déposé un avis de demande en application de la règle 14 de la Cour du Banc de la Reine, sollicitant un jugement déclarant que l’intimée devait évaluer et lui retourner le devoir n</w:t>
            </w:r>
            <w:r w:rsidRPr="008D6C1E">
              <w:rPr>
                <w:sz w:val="20"/>
                <w:vertAlign w:val="superscript"/>
                <w:lang w:val="fr-CA"/>
              </w:rPr>
              <w:t>o</w:t>
            </w:r>
            <w:r w:rsidRPr="008D6C1E">
              <w:rPr>
                <w:sz w:val="20"/>
                <w:lang w:val="fr-CA"/>
              </w:rPr>
              <w:t> 5 qu’il allègue avoir fait dans le cours 4861.150. L’intimée s’est opposée à la demande, principalement au motif que le tribunal n’avait pas compétence pour l’instruire. Le juge de première instance a statué que le différend était essentiellement un désaccord interne relatif à des questions à caractère universitaire et qui relevait de la compétence exclusive de l’intimée. Le juge de première instance a rejeté la demande. La Cour d’appel a rejeté l’appel.</w:t>
            </w:r>
          </w:p>
          <w:p w:rsidR="006C44EF" w:rsidRPr="008D6C1E" w:rsidRDefault="006C44EF" w:rsidP="006C44EF">
            <w:pPr>
              <w:jc w:val="both"/>
              <w:rPr>
                <w:sz w:val="20"/>
                <w:lang w:val="fr-CA"/>
              </w:rPr>
            </w:pPr>
          </w:p>
        </w:tc>
      </w:tr>
      <w:tr w:rsidR="006C44EF" w:rsidRPr="002C1A32" w:rsidTr="002B5CF4">
        <w:tc>
          <w:tcPr>
            <w:tcW w:w="2427" w:type="pct"/>
            <w:gridSpan w:val="2"/>
          </w:tcPr>
          <w:p w:rsidR="006C44EF" w:rsidRPr="008D6C1E" w:rsidRDefault="006C44EF" w:rsidP="006C44EF">
            <w:pPr>
              <w:jc w:val="both"/>
              <w:rPr>
                <w:sz w:val="20"/>
                <w:lang w:val="fr-CA"/>
              </w:rPr>
            </w:pPr>
            <w:r w:rsidRPr="008D6C1E">
              <w:rPr>
                <w:sz w:val="20"/>
                <w:lang w:val="fr-CA"/>
              </w:rPr>
              <w:t>10 décembre 2014</w:t>
            </w:r>
          </w:p>
          <w:p w:rsidR="006C44EF" w:rsidRPr="008D6C1E" w:rsidRDefault="006C44EF" w:rsidP="006C44EF">
            <w:pPr>
              <w:jc w:val="both"/>
              <w:rPr>
                <w:sz w:val="20"/>
                <w:lang w:val="fr-CA"/>
              </w:rPr>
            </w:pPr>
            <w:r w:rsidRPr="008D6C1E">
              <w:rPr>
                <w:sz w:val="20"/>
                <w:lang w:val="fr-CA"/>
              </w:rPr>
              <w:t xml:space="preserve">Cour du Banc de la Reine du Manitoba </w:t>
            </w:r>
          </w:p>
          <w:p w:rsidR="006C44EF" w:rsidRPr="008D6C1E" w:rsidRDefault="006C44EF" w:rsidP="006C44EF">
            <w:pPr>
              <w:jc w:val="both"/>
              <w:rPr>
                <w:sz w:val="20"/>
                <w:lang w:val="fr-CA"/>
              </w:rPr>
            </w:pPr>
            <w:r w:rsidRPr="008D6C1E">
              <w:rPr>
                <w:sz w:val="20"/>
                <w:lang w:val="fr-CA"/>
              </w:rPr>
              <w:t>(Juge Edmond)</w:t>
            </w:r>
          </w:p>
          <w:p w:rsidR="006C44EF" w:rsidRPr="008D6C1E" w:rsidRDefault="006C44EF" w:rsidP="006C44EF">
            <w:pPr>
              <w:jc w:val="both"/>
              <w:rPr>
                <w:sz w:val="20"/>
                <w:lang w:val="fr-CA"/>
              </w:rPr>
            </w:pPr>
            <w:r w:rsidRPr="008D6C1E">
              <w:rPr>
                <w:sz w:val="20"/>
                <w:lang w:val="fr-CA"/>
              </w:rPr>
              <w:t>2014 MBQB 243</w:t>
            </w:r>
          </w:p>
          <w:p w:rsidR="006C44EF" w:rsidRPr="008D6C1E" w:rsidRDefault="005E6DC4" w:rsidP="006C44EF">
            <w:pPr>
              <w:jc w:val="both"/>
              <w:rPr>
                <w:rStyle w:val="documentstaticurl"/>
                <w:sz w:val="20"/>
                <w:lang w:val="fr-CA"/>
              </w:rPr>
            </w:pPr>
            <w:hyperlink r:id="rId58" w:history="1">
              <w:r w:rsidR="006C44EF" w:rsidRPr="008D6C1E">
                <w:rPr>
                  <w:rStyle w:val="Hyperlink"/>
                  <w:rFonts w:eastAsiaTheme="majorEastAsia"/>
                  <w:sz w:val="20"/>
                  <w:lang w:val="fr-CA"/>
                </w:rPr>
                <w:t>http://canlii.ca/t/gfs31</w:t>
              </w:r>
            </w:hyperlink>
          </w:p>
          <w:p w:rsidR="006C44EF" w:rsidRPr="008D6C1E" w:rsidRDefault="006C44EF" w:rsidP="006C44EF">
            <w:pPr>
              <w:jc w:val="both"/>
              <w:rPr>
                <w:sz w:val="20"/>
                <w:lang w:val="fr-CA"/>
              </w:rPr>
            </w:pPr>
          </w:p>
        </w:tc>
        <w:tc>
          <w:tcPr>
            <w:tcW w:w="243" w:type="pct"/>
          </w:tcPr>
          <w:p w:rsidR="006C44EF" w:rsidRPr="008D6C1E" w:rsidRDefault="006C44EF" w:rsidP="006C44EF">
            <w:pPr>
              <w:jc w:val="both"/>
              <w:rPr>
                <w:sz w:val="20"/>
                <w:lang w:val="fr-CA"/>
              </w:rPr>
            </w:pPr>
          </w:p>
        </w:tc>
        <w:tc>
          <w:tcPr>
            <w:tcW w:w="2330" w:type="pct"/>
          </w:tcPr>
          <w:p w:rsidR="006C44EF" w:rsidRPr="008D6C1E" w:rsidRDefault="006C44EF" w:rsidP="006C44EF">
            <w:pPr>
              <w:jc w:val="both"/>
              <w:rPr>
                <w:sz w:val="20"/>
                <w:lang w:val="fr-CA"/>
              </w:rPr>
            </w:pPr>
            <w:r w:rsidRPr="008D6C1E">
              <w:rPr>
                <w:sz w:val="20"/>
                <w:lang w:val="fr-CA"/>
              </w:rPr>
              <w:t>Rejet de la demande du demandeur avec dépens</w:t>
            </w:r>
          </w:p>
          <w:p w:rsidR="006C44EF" w:rsidRPr="008D6C1E" w:rsidRDefault="006C44EF" w:rsidP="006C44EF">
            <w:pPr>
              <w:jc w:val="both"/>
              <w:rPr>
                <w:sz w:val="20"/>
                <w:lang w:val="fr-CA"/>
              </w:rPr>
            </w:pPr>
          </w:p>
        </w:tc>
      </w:tr>
      <w:tr w:rsidR="006C44EF" w:rsidRPr="002C1A32" w:rsidTr="002B5CF4">
        <w:tc>
          <w:tcPr>
            <w:tcW w:w="2427" w:type="pct"/>
            <w:gridSpan w:val="2"/>
          </w:tcPr>
          <w:p w:rsidR="006C44EF" w:rsidRPr="008D6C1E" w:rsidRDefault="006C44EF" w:rsidP="006C44EF">
            <w:pPr>
              <w:jc w:val="both"/>
              <w:rPr>
                <w:sz w:val="20"/>
                <w:lang w:val="fr-CA"/>
              </w:rPr>
            </w:pPr>
            <w:r w:rsidRPr="008D6C1E">
              <w:rPr>
                <w:sz w:val="20"/>
                <w:lang w:val="fr-CA"/>
              </w:rPr>
              <w:t>30 novembre 2015</w:t>
            </w:r>
          </w:p>
          <w:p w:rsidR="006C44EF" w:rsidRPr="008D6C1E" w:rsidRDefault="006C44EF" w:rsidP="006C44EF">
            <w:pPr>
              <w:jc w:val="both"/>
              <w:rPr>
                <w:sz w:val="20"/>
                <w:lang w:val="fr-CA"/>
              </w:rPr>
            </w:pPr>
            <w:r w:rsidRPr="008D6C1E">
              <w:rPr>
                <w:sz w:val="20"/>
                <w:lang w:val="fr-CA"/>
              </w:rPr>
              <w:t xml:space="preserve">Cour d’appel du Manitoba </w:t>
            </w:r>
          </w:p>
          <w:p w:rsidR="006C44EF" w:rsidRPr="008D6C1E" w:rsidRDefault="006C44EF" w:rsidP="006C44EF">
            <w:pPr>
              <w:jc w:val="both"/>
              <w:rPr>
                <w:sz w:val="20"/>
                <w:lang w:val="fr-CA"/>
              </w:rPr>
            </w:pPr>
            <w:r w:rsidRPr="008D6C1E">
              <w:rPr>
                <w:sz w:val="20"/>
                <w:lang w:val="fr-CA"/>
              </w:rPr>
              <w:t>(Juges MacInnes, Monnin et Cameron)</w:t>
            </w:r>
          </w:p>
          <w:p w:rsidR="006C44EF" w:rsidRPr="008D6C1E" w:rsidRDefault="006C44EF" w:rsidP="006C44EF">
            <w:pPr>
              <w:jc w:val="both"/>
              <w:rPr>
                <w:sz w:val="20"/>
              </w:rPr>
            </w:pPr>
            <w:r w:rsidRPr="008D6C1E">
              <w:rPr>
                <w:sz w:val="20"/>
              </w:rPr>
              <w:t>2015 MBCA  109; AI15-30-08360</w:t>
            </w:r>
          </w:p>
          <w:p w:rsidR="006C44EF" w:rsidRPr="008D6C1E" w:rsidRDefault="005E6DC4" w:rsidP="006C44EF">
            <w:pPr>
              <w:jc w:val="both"/>
              <w:rPr>
                <w:sz w:val="20"/>
              </w:rPr>
            </w:pPr>
            <w:hyperlink r:id="rId59" w:history="1">
              <w:r w:rsidR="006C44EF" w:rsidRPr="008D6C1E">
                <w:rPr>
                  <w:rStyle w:val="Hyperlink"/>
                  <w:rFonts w:eastAsiaTheme="majorEastAsia"/>
                  <w:sz w:val="20"/>
                </w:rPr>
                <w:t>http://canlii.ca/t/gmc29</w:t>
              </w:r>
            </w:hyperlink>
          </w:p>
          <w:p w:rsidR="006C44EF" w:rsidRPr="008D6C1E" w:rsidRDefault="006C44EF" w:rsidP="006C44EF">
            <w:pPr>
              <w:jc w:val="both"/>
              <w:rPr>
                <w:sz w:val="20"/>
              </w:rPr>
            </w:pPr>
          </w:p>
        </w:tc>
        <w:tc>
          <w:tcPr>
            <w:tcW w:w="243" w:type="pct"/>
          </w:tcPr>
          <w:p w:rsidR="006C44EF" w:rsidRPr="008D6C1E" w:rsidRDefault="006C44EF" w:rsidP="006C44EF">
            <w:pPr>
              <w:jc w:val="both"/>
              <w:rPr>
                <w:sz w:val="20"/>
              </w:rPr>
            </w:pPr>
          </w:p>
        </w:tc>
        <w:tc>
          <w:tcPr>
            <w:tcW w:w="2330" w:type="pct"/>
          </w:tcPr>
          <w:p w:rsidR="006C44EF" w:rsidRPr="008D6C1E" w:rsidRDefault="006C44EF" w:rsidP="006C44EF">
            <w:pPr>
              <w:jc w:val="both"/>
              <w:rPr>
                <w:sz w:val="20"/>
                <w:lang w:val="fr-CA"/>
              </w:rPr>
            </w:pPr>
            <w:r w:rsidRPr="008D6C1E">
              <w:rPr>
                <w:sz w:val="20"/>
                <w:lang w:val="fr-CA"/>
              </w:rPr>
              <w:t>Rejet de l’appel du demandeur avec dépens</w:t>
            </w:r>
          </w:p>
          <w:p w:rsidR="006C44EF" w:rsidRPr="008D6C1E" w:rsidRDefault="006C44EF" w:rsidP="006C44EF">
            <w:pPr>
              <w:jc w:val="both"/>
              <w:rPr>
                <w:sz w:val="20"/>
                <w:lang w:val="fr-CA"/>
              </w:rPr>
            </w:pPr>
          </w:p>
        </w:tc>
      </w:tr>
      <w:tr w:rsidR="006C44EF" w:rsidRPr="002C1A32" w:rsidTr="002B5CF4">
        <w:tc>
          <w:tcPr>
            <w:tcW w:w="2427" w:type="pct"/>
            <w:gridSpan w:val="2"/>
          </w:tcPr>
          <w:p w:rsidR="006C44EF" w:rsidRPr="008D6C1E" w:rsidRDefault="006C44EF" w:rsidP="006C44EF">
            <w:pPr>
              <w:jc w:val="both"/>
              <w:rPr>
                <w:sz w:val="20"/>
                <w:lang w:val="fr-CA"/>
              </w:rPr>
            </w:pPr>
            <w:r w:rsidRPr="008D6C1E">
              <w:rPr>
                <w:sz w:val="20"/>
                <w:lang w:val="fr-CA"/>
              </w:rPr>
              <w:t>21 janvier 2016</w:t>
            </w:r>
          </w:p>
          <w:p w:rsidR="006C44EF" w:rsidRPr="008D6C1E" w:rsidRDefault="006C44EF" w:rsidP="006C44EF">
            <w:pPr>
              <w:jc w:val="both"/>
              <w:rPr>
                <w:sz w:val="20"/>
                <w:lang w:val="fr-CA"/>
              </w:rPr>
            </w:pPr>
            <w:r w:rsidRPr="008D6C1E">
              <w:rPr>
                <w:sz w:val="20"/>
                <w:lang w:val="fr-CA"/>
              </w:rPr>
              <w:t>Cour suprême du Canada</w:t>
            </w:r>
          </w:p>
        </w:tc>
        <w:tc>
          <w:tcPr>
            <w:tcW w:w="243" w:type="pct"/>
          </w:tcPr>
          <w:p w:rsidR="006C44EF" w:rsidRPr="008D6C1E" w:rsidRDefault="006C44EF" w:rsidP="006C44EF">
            <w:pPr>
              <w:jc w:val="both"/>
              <w:rPr>
                <w:sz w:val="20"/>
                <w:lang w:val="fr-CA"/>
              </w:rPr>
            </w:pPr>
          </w:p>
        </w:tc>
        <w:tc>
          <w:tcPr>
            <w:tcW w:w="2330" w:type="pct"/>
          </w:tcPr>
          <w:p w:rsidR="006C44EF" w:rsidRPr="008D6C1E" w:rsidRDefault="006C44EF" w:rsidP="006C44EF">
            <w:pPr>
              <w:jc w:val="both"/>
              <w:rPr>
                <w:sz w:val="20"/>
                <w:lang w:val="fr-CA"/>
              </w:rPr>
            </w:pPr>
            <w:r w:rsidRPr="008D6C1E">
              <w:rPr>
                <w:sz w:val="20"/>
                <w:lang w:val="fr-CA"/>
              </w:rPr>
              <w:t>Dépôt de la demande d’autorisation d’appel</w:t>
            </w:r>
          </w:p>
          <w:p w:rsidR="006C44EF" w:rsidRPr="008D6C1E" w:rsidRDefault="006C44EF" w:rsidP="006C44EF">
            <w:pPr>
              <w:jc w:val="both"/>
              <w:rPr>
                <w:sz w:val="20"/>
                <w:lang w:val="fr-CA"/>
              </w:rPr>
            </w:pPr>
          </w:p>
        </w:tc>
      </w:tr>
    </w:tbl>
    <w:p w:rsidR="006C44EF" w:rsidRPr="008D6C1E" w:rsidRDefault="006C44EF" w:rsidP="006C44EF">
      <w:pPr>
        <w:jc w:val="both"/>
        <w:rPr>
          <w:sz w:val="20"/>
          <w:lang w:val="fr-CA"/>
        </w:rPr>
      </w:pPr>
    </w:p>
    <w:p w:rsidR="00377E21" w:rsidRPr="008D6C1E" w:rsidRDefault="00377E21" w:rsidP="008E1AE0">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1AE0" w:rsidRPr="008D6C1E" w:rsidTr="002B5CF4">
        <w:tc>
          <w:tcPr>
            <w:tcW w:w="543" w:type="pct"/>
          </w:tcPr>
          <w:p w:rsidR="008E1AE0" w:rsidRPr="008D6C1E" w:rsidRDefault="008E1AE0" w:rsidP="008E1AE0">
            <w:pPr>
              <w:jc w:val="both"/>
              <w:rPr>
                <w:sz w:val="20"/>
              </w:rPr>
            </w:pPr>
            <w:r w:rsidRPr="008D6C1E">
              <w:rPr>
                <w:rStyle w:val="SCCFileNumberChar"/>
                <w:sz w:val="20"/>
                <w:szCs w:val="20"/>
              </w:rPr>
              <w:t>36806</w:t>
            </w:r>
          </w:p>
        </w:tc>
        <w:tc>
          <w:tcPr>
            <w:tcW w:w="4457" w:type="pct"/>
            <w:gridSpan w:val="3"/>
          </w:tcPr>
          <w:p w:rsidR="008E1AE0" w:rsidRPr="002C1A32" w:rsidRDefault="008E1AE0" w:rsidP="008E1AE0">
            <w:pPr>
              <w:pStyle w:val="SCCLsocParty"/>
              <w:jc w:val="both"/>
              <w:rPr>
                <w:b/>
                <w:sz w:val="20"/>
                <w:szCs w:val="20"/>
                <w:lang w:val="en-US"/>
              </w:rPr>
            </w:pPr>
            <w:r w:rsidRPr="002C1A32">
              <w:rPr>
                <w:b/>
                <w:sz w:val="20"/>
                <w:szCs w:val="20"/>
                <w:lang w:val="en-US"/>
              </w:rPr>
              <w:t>Virginia Forsythe v. Her Majesty the Queen</w:t>
            </w:r>
          </w:p>
          <w:p w:rsidR="008E1AE0" w:rsidRPr="008D6C1E" w:rsidRDefault="008E1AE0" w:rsidP="008E1AE0">
            <w:pPr>
              <w:jc w:val="both"/>
              <w:rPr>
                <w:sz w:val="20"/>
              </w:rPr>
            </w:pPr>
            <w:r w:rsidRPr="008D6C1E">
              <w:rPr>
                <w:sz w:val="20"/>
              </w:rPr>
              <w:t>(FC) (Civil) (By Leave)</w:t>
            </w:r>
          </w:p>
        </w:tc>
      </w:tr>
      <w:tr w:rsidR="008E1AE0" w:rsidRPr="008D6C1E" w:rsidTr="002B5CF4">
        <w:tc>
          <w:tcPr>
            <w:tcW w:w="5000" w:type="pct"/>
            <w:gridSpan w:val="4"/>
          </w:tcPr>
          <w:p w:rsidR="008E1AE0" w:rsidRPr="008D6C1E" w:rsidRDefault="008E1AE0" w:rsidP="008E1AE0">
            <w:pPr>
              <w:jc w:val="both"/>
              <w:rPr>
                <w:sz w:val="20"/>
              </w:rPr>
            </w:pPr>
            <w:r w:rsidRPr="008D6C1E">
              <w:rPr>
                <w:sz w:val="20"/>
              </w:rPr>
              <w:t xml:space="preserve">Aboriginal law – Taxation – Exemptions – If the legal </w:t>
            </w:r>
            <w:r w:rsidRPr="008D6C1E">
              <w:rPr>
                <w:i/>
                <w:sz w:val="20"/>
              </w:rPr>
              <w:t>situs</w:t>
            </w:r>
            <w:r w:rsidRPr="008D6C1E">
              <w:rPr>
                <w:sz w:val="20"/>
              </w:rPr>
              <w:t xml:space="preserve"> of a simple debt for wages owed is the location of the employer in the common law, why is this common law rule not applied to Indians under the </w:t>
            </w:r>
            <w:r w:rsidRPr="008D6C1E">
              <w:rPr>
                <w:i/>
                <w:sz w:val="20"/>
              </w:rPr>
              <w:t>Indian Act</w:t>
            </w:r>
            <w:r w:rsidRPr="008D6C1E">
              <w:rPr>
                <w:sz w:val="20"/>
              </w:rPr>
              <w:t>, R.S.C. 1985, c. I</w:t>
            </w:r>
            <w:r w:rsidRPr="008D6C1E">
              <w:rPr>
                <w:sz w:val="20"/>
              </w:rPr>
              <w:noBreakHyphen/>
              <w:t xml:space="preserve">5? – If this common law rule regarding the </w:t>
            </w:r>
            <w:r w:rsidRPr="008D6C1E">
              <w:rPr>
                <w:i/>
                <w:iCs/>
                <w:sz w:val="20"/>
              </w:rPr>
              <w:t xml:space="preserve">situs </w:t>
            </w:r>
            <w:r w:rsidRPr="008D6C1E">
              <w:rPr>
                <w:sz w:val="20"/>
              </w:rPr>
              <w:t xml:space="preserve">of wages is not sufficient to establish </w:t>
            </w:r>
            <w:r w:rsidRPr="008D6C1E">
              <w:rPr>
                <w:i/>
                <w:iCs/>
                <w:sz w:val="20"/>
              </w:rPr>
              <w:t xml:space="preserve">situs </w:t>
            </w:r>
            <w:r w:rsidRPr="008D6C1E">
              <w:rPr>
                <w:sz w:val="20"/>
              </w:rPr>
              <w:t xml:space="preserve">of wages for the purpose of the </w:t>
            </w:r>
            <w:r w:rsidRPr="008D6C1E">
              <w:rPr>
                <w:i/>
                <w:iCs/>
                <w:sz w:val="20"/>
              </w:rPr>
              <w:t xml:space="preserve">Indian Act, </w:t>
            </w:r>
            <w:r w:rsidRPr="008D6C1E">
              <w:rPr>
                <w:sz w:val="20"/>
              </w:rPr>
              <w:t xml:space="preserve">what connecting factors should be considered and how much weight should be given to those factors? – Why should the action taken by an employer to locate its business on an Indian Reserve and to pay wages from a bank account on a reserve be considered a “contrivance” and not legitimate tax planning, and why should the decision of a Status Indian to have her wages paid to a bank account on a reserve be considered as a </w:t>
            </w:r>
            <w:r w:rsidRPr="008D6C1E">
              <w:rPr>
                <w:sz w:val="20"/>
              </w:rPr>
              <w:lastRenderedPageBreak/>
              <w:t xml:space="preserve">manipulation and not legitimate tax planning? – Should the express terms of an employment contract, including provisions regarding the periodic payment of the debt for wages, be ignored or overridden when applying the connecting factors test and, in the case of the accrual date of the debt being taxed, applied notionally on an annual basis? – </w:t>
            </w:r>
            <w:hyperlink r:id="rId60" w:tgtFrame="_blank" w:history="1">
              <w:r w:rsidRPr="008D6C1E">
                <w:rPr>
                  <w:i/>
                  <w:sz w:val="20"/>
                </w:rPr>
                <w:t>Indian Act</w:t>
              </w:r>
              <w:r w:rsidRPr="008D6C1E">
                <w:rPr>
                  <w:sz w:val="20"/>
                </w:rPr>
                <w:t>, R.S.C. 1985, c. I</w:t>
              </w:r>
              <w:r w:rsidRPr="008D6C1E">
                <w:rPr>
                  <w:sz w:val="20"/>
                </w:rPr>
                <w:noBreakHyphen/>
                <w:t>5,</w:t>
              </w:r>
            </w:hyperlink>
            <w:r w:rsidRPr="008D6C1E">
              <w:rPr>
                <w:sz w:val="20"/>
              </w:rPr>
              <w:t xml:space="preserve"> </w:t>
            </w:r>
            <w:hyperlink r:id="rId61" w:anchor="!fragment/sec87subsec1" w:tgtFrame="_blank" w:history="1">
              <w:r w:rsidRPr="008D6C1E">
                <w:rPr>
                  <w:sz w:val="20"/>
                </w:rPr>
                <w:t>s. 87(1</w:t>
              </w:r>
              <w:proofErr w:type="gramStart"/>
              <w:r w:rsidRPr="008D6C1E">
                <w:rPr>
                  <w:sz w:val="20"/>
                </w:rPr>
                <w:t>)</w:t>
              </w:r>
              <w:proofErr w:type="gramEnd"/>
            </w:hyperlink>
            <w:r w:rsidRPr="008D6C1E">
              <w:rPr>
                <w:sz w:val="20"/>
              </w:rPr>
              <w:t>(b).</w:t>
            </w:r>
          </w:p>
        </w:tc>
      </w:tr>
      <w:tr w:rsidR="008E1AE0" w:rsidRPr="008D6C1E" w:rsidTr="002B5CF4">
        <w:tc>
          <w:tcPr>
            <w:tcW w:w="5000" w:type="pct"/>
            <w:gridSpan w:val="4"/>
          </w:tcPr>
          <w:p w:rsidR="008E1AE0" w:rsidRPr="008D6C1E" w:rsidRDefault="008E1AE0" w:rsidP="008E1AE0">
            <w:pPr>
              <w:jc w:val="both"/>
              <w:rPr>
                <w:sz w:val="20"/>
              </w:rPr>
            </w:pPr>
          </w:p>
        </w:tc>
      </w:tr>
      <w:tr w:rsidR="008E1AE0" w:rsidRPr="008D6C1E" w:rsidTr="002B5CF4">
        <w:tc>
          <w:tcPr>
            <w:tcW w:w="5000" w:type="pct"/>
            <w:gridSpan w:val="4"/>
          </w:tcPr>
          <w:p w:rsidR="008E1AE0" w:rsidRPr="008D6C1E" w:rsidRDefault="008E1AE0" w:rsidP="008E1AE0">
            <w:pPr>
              <w:jc w:val="both"/>
              <w:rPr>
                <w:sz w:val="20"/>
              </w:rPr>
            </w:pPr>
            <w:r w:rsidRPr="008D6C1E">
              <w:rPr>
                <w:sz w:val="20"/>
              </w:rPr>
              <w:t xml:space="preserve">The Applicant is a status Indian and a member of the </w:t>
            </w:r>
            <w:proofErr w:type="spellStart"/>
            <w:r w:rsidRPr="008D6C1E">
              <w:rPr>
                <w:sz w:val="20"/>
              </w:rPr>
              <w:t>Wahgoshig</w:t>
            </w:r>
            <w:proofErr w:type="spellEnd"/>
            <w:r w:rsidRPr="008D6C1E">
              <w:rPr>
                <w:sz w:val="20"/>
              </w:rPr>
              <w:t xml:space="preserve"> First Nation Reserve. In 2010, she lived off-reserve in Cochrane, Ontario. She was employed by Native Leasing Services (“NLS”), which is based on the Six Nations Reserve, as a health outreach support worker with the office of the Ontario Aboriginal HIV/AIDS Strategy. The Applicant maintains that her 2010 employment income form NLS is property</w:t>
            </w:r>
            <w:r w:rsidRPr="008D6C1E">
              <w:rPr>
                <w:rStyle w:val="citationcar"/>
                <w:sz w:val="20"/>
              </w:rPr>
              <w:t xml:space="preserve"> “situated on a reserve”</w:t>
            </w:r>
            <w:r w:rsidRPr="008D6C1E">
              <w:rPr>
                <w:sz w:val="20"/>
              </w:rPr>
              <w:t xml:space="preserve"> and is accordingly exempt from taxation by operation of </w:t>
            </w:r>
            <w:hyperlink r:id="rId62" w:anchor="sec87subsec1_smooth" w:history="1">
              <w:r w:rsidRPr="008D6C1E">
                <w:rPr>
                  <w:sz w:val="20"/>
                </w:rPr>
                <w:t>paragraph 87(1</w:t>
              </w:r>
              <w:proofErr w:type="gramStart"/>
              <w:r w:rsidRPr="008D6C1E">
                <w:rPr>
                  <w:sz w:val="20"/>
                </w:rPr>
                <w:t>)</w:t>
              </w:r>
              <w:proofErr w:type="gramEnd"/>
            </w:hyperlink>
            <w:r w:rsidRPr="008D6C1E">
              <w:rPr>
                <w:sz w:val="20"/>
              </w:rPr>
              <w:t>(</w:t>
            </w:r>
            <w:r w:rsidRPr="008D6C1E">
              <w:rPr>
                <w:i/>
                <w:iCs/>
                <w:sz w:val="20"/>
              </w:rPr>
              <w:t>b</w:t>
            </w:r>
            <w:r w:rsidRPr="008D6C1E">
              <w:rPr>
                <w:sz w:val="20"/>
              </w:rPr>
              <w:t xml:space="preserve">) of the </w:t>
            </w:r>
            <w:hyperlink r:id="rId63" w:history="1">
              <w:r w:rsidRPr="008D6C1E">
                <w:rPr>
                  <w:i/>
                  <w:iCs/>
                  <w:sz w:val="20"/>
                </w:rPr>
                <w:t>Indian Act</w:t>
              </w:r>
              <w:r w:rsidRPr="008D6C1E">
                <w:rPr>
                  <w:sz w:val="20"/>
                </w:rPr>
                <w:t>, R.S.C. 1985, c. I-5</w:t>
              </w:r>
            </w:hyperlink>
            <w:r w:rsidRPr="008D6C1E">
              <w:rPr>
                <w:sz w:val="20"/>
              </w:rPr>
              <w:t>.</w:t>
            </w:r>
          </w:p>
          <w:p w:rsidR="008E1AE0" w:rsidRPr="008D6C1E" w:rsidRDefault="008E1AE0" w:rsidP="008E1AE0">
            <w:pPr>
              <w:jc w:val="both"/>
              <w:rPr>
                <w:sz w:val="20"/>
              </w:rPr>
            </w:pPr>
          </w:p>
        </w:tc>
      </w:tr>
      <w:tr w:rsidR="008E1AE0" w:rsidRPr="008D6C1E" w:rsidTr="002B5CF4">
        <w:tc>
          <w:tcPr>
            <w:tcW w:w="2427" w:type="pct"/>
            <w:gridSpan w:val="2"/>
          </w:tcPr>
          <w:p w:rsidR="008E1AE0" w:rsidRPr="008D6C1E" w:rsidRDefault="008E1AE0" w:rsidP="008E1AE0">
            <w:pPr>
              <w:jc w:val="both"/>
              <w:rPr>
                <w:sz w:val="20"/>
              </w:rPr>
            </w:pPr>
            <w:r w:rsidRPr="008D6C1E">
              <w:rPr>
                <w:sz w:val="20"/>
              </w:rPr>
              <w:t>September 26, 2014</w:t>
            </w:r>
          </w:p>
          <w:p w:rsidR="008E1AE0" w:rsidRPr="008D6C1E" w:rsidRDefault="008E1AE0" w:rsidP="008E1AE0">
            <w:pPr>
              <w:jc w:val="both"/>
              <w:rPr>
                <w:sz w:val="20"/>
              </w:rPr>
            </w:pPr>
            <w:r w:rsidRPr="008D6C1E">
              <w:rPr>
                <w:sz w:val="20"/>
              </w:rPr>
              <w:t>Tax Court of Canada</w:t>
            </w:r>
          </w:p>
          <w:p w:rsidR="008E1AE0" w:rsidRPr="008D6C1E" w:rsidRDefault="008E1AE0" w:rsidP="008E1AE0">
            <w:pPr>
              <w:jc w:val="both"/>
              <w:rPr>
                <w:sz w:val="20"/>
              </w:rPr>
            </w:pPr>
            <w:r w:rsidRPr="008D6C1E">
              <w:rPr>
                <w:sz w:val="20"/>
              </w:rPr>
              <w:t>(Miller J.)</w:t>
            </w:r>
          </w:p>
          <w:p w:rsidR="008E1AE0" w:rsidRPr="008D6C1E" w:rsidRDefault="008E1AE0" w:rsidP="008E1AE0">
            <w:pPr>
              <w:jc w:val="both"/>
              <w:rPr>
                <w:sz w:val="20"/>
              </w:rPr>
            </w:pPr>
            <w:r w:rsidRPr="008D6C1E">
              <w:rPr>
                <w:sz w:val="20"/>
              </w:rPr>
              <w:t>No. 2012-2042(IT)I</w:t>
            </w:r>
          </w:p>
          <w:p w:rsidR="008E1AE0" w:rsidRPr="008D6C1E" w:rsidRDefault="005E6DC4" w:rsidP="008E1AE0">
            <w:pPr>
              <w:jc w:val="both"/>
              <w:rPr>
                <w:sz w:val="20"/>
              </w:rPr>
            </w:pPr>
            <w:hyperlink r:id="rId64" w:history="1">
              <w:r w:rsidR="008E1AE0" w:rsidRPr="008D6C1E">
                <w:rPr>
                  <w:rStyle w:val="Hyperlink"/>
                  <w:sz w:val="20"/>
                </w:rPr>
                <w:t>2014 TCC 284</w:t>
              </w:r>
            </w:hyperlink>
          </w:p>
          <w:p w:rsidR="008E1AE0" w:rsidRPr="008D6C1E" w:rsidRDefault="008E1AE0" w:rsidP="008E1AE0">
            <w:pPr>
              <w:jc w:val="both"/>
              <w:rPr>
                <w:sz w:val="20"/>
              </w:rPr>
            </w:pPr>
          </w:p>
        </w:tc>
        <w:tc>
          <w:tcPr>
            <w:tcW w:w="243" w:type="pct"/>
          </w:tcPr>
          <w:p w:rsidR="008E1AE0" w:rsidRPr="008D6C1E" w:rsidRDefault="008E1AE0" w:rsidP="008E1AE0">
            <w:pPr>
              <w:jc w:val="both"/>
              <w:rPr>
                <w:sz w:val="20"/>
              </w:rPr>
            </w:pPr>
          </w:p>
        </w:tc>
        <w:tc>
          <w:tcPr>
            <w:tcW w:w="2330" w:type="pct"/>
          </w:tcPr>
          <w:p w:rsidR="008E1AE0" w:rsidRPr="008D6C1E" w:rsidRDefault="008E1AE0" w:rsidP="008E1AE0">
            <w:pPr>
              <w:jc w:val="both"/>
              <w:rPr>
                <w:sz w:val="20"/>
              </w:rPr>
            </w:pPr>
            <w:r w:rsidRPr="008D6C1E">
              <w:rPr>
                <w:sz w:val="20"/>
              </w:rPr>
              <w:t>Appeal from reassessment for Applicant’s 2010 taxation year dismissed.</w:t>
            </w:r>
          </w:p>
          <w:p w:rsidR="008E1AE0" w:rsidRPr="008D6C1E" w:rsidRDefault="008E1AE0" w:rsidP="008E1AE0">
            <w:pPr>
              <w:jc w:val="both"/>
              <w:rPr>
                <w:sz w:val="20"/>
              </w:rPr>
            </w:pPr>
          </w:p>
        </w:tc>
      </w:tr>
      <w:tr w:rsidR="008E1AE0" w:rsidRPr="008D6C1E" w:rsidTr="002B5CF4">
        <w:tc>
          <w:tcPr>
            <w:tcW w:w="2427" w:type="pct"/>
            <w:gridSpan w:val="2"/>
          </w:tcPr>
          <w:p w:rsidR="008E1AE0" w:rsidRPr="008D6C1E" w:rsidRDefault="008E1AE0" w:rsidP="008E1AE0">
            <w:pPr>
              <w:jc w:val="both"/>
              <w:rPr>
                <w:sz w:val="20"/>
              </w:rPr>
            </w:pPr>
            <w:r w:rsidRPr="008D6C1E">
              <w:rPr>
                <w:sz w:val="20"/>
              </w:rPr>
              <w:t>November 18, 2015</w:t>
            </w:r>
          </w:p>
          <w:p w:rsidR="008E1AE0" w:rsidRPr="008D6C1E" w:rsidRDefault="008E1AE0" w:rsidP="008E1AE0">
            <w:pPr>
              <w:jc w:val="both"/>
              <w:rPr>
                <w:sz w:val="20"/>
              </w:rPr>
            </w:pPr>
            <w:r w:rsidRPr="008D6C1E">
              <w:rPr>
                <w:sz w:val="20"/>
              </w:rPr>
              <w:t>Federal Court of Appeal</w:t>
            </w:r>
          </w:p>
          <w:p w:rsidR="008E1AE0" w:rsidRPr="008D6C1E" w:rsidRDefault="008E1AE0" w:rsidP="008E1AE0">
            <w:pPr>
              <w:jc w:val="both"/>
              <w:rPr>
                <w:sz w:val="20"/>
              </w:rPr>
            </w:pPr>
            <w:r w:rsidRPr="008D6C1E">
              <w:rPr>
                <w:sz w:val="20"/>
              </w:rPr>
              <w:t xml:space="preserve">(Dawson, </w:t>
            </w:r>
            <w:proofErr w:type="spellStart"/>
            <w:r w:rsidRPr="008D6C1E">
              <w:rPr>
                <w:sz w:val="20"/>
              </w:rPr>
              <w:t>Ryer</w:t>
            </w:r>
            <w:proofErr w:type="spellEnd"/>
            <w:r w:rsidRPr="008D6C1E">
              <w:rPr>
                <w:sz w:val="20"/>
              </w:rPr>
              <w:t xml:space="preserve"> and Webb JJ.A.)</w:t>
            </w:r>
          </w:p>
          <w:p w:rsidR="008E1AE0" w:rsidRPr="008D6C1E" w:rsidRDefault="008E1AE0" w:rsidP="008E1AE0">
            <w:pPr>
              <w:jc w:val="both"/>
              <w:rPr>
                <w:sz w:val="20"/>
              </w:rPr>
            </w:pPr>
            <w:r w:rsidRPr="008D6C1E">
              <w:rPr>
                <w:sz w:val="20"/>
              </w:rPr>
              <w:t>No. A-475-14</w:t>
            </w:r>
          </w:p>
          <w:p w:rsidR="008E1AE0" w:rsidRPr="008D6C1E" w:rsidRDefault="005E6DC4" w:rsidP="008E1AE0">
            <w:pPr>
              <w:jc w:val="both"/>
              <w:rPr>
                <w:sz w:val="20"/>
              </w:rPr>
            </w:pPr>
            <w:hyperlink r:id="rId65" w:history="1">
              <w:r w:rsidR="008E1AE0" w:rsidRPr="008D6C1E">
                <w:rPr>
                  <w:rStyle w:val="Hyperlink"/>
                  <w:sz w:val="20"/>
                </w:rPr>
                <w:t>2015 FCA 258</w:t>
              </w:r>
            </w:hyperlink>
          </w:p>
          <w:p w:rsidR="008E1AE0" w:rsidRPr="008D6C1E" w:rsidRDefault="008E1AE0" w:rsidP="008E1AE0">
            <w:pPr>
              <w:jc w:val="both"/>
              <w:rPr>
                <w:sz w:val="20"/>
              </w:rPr>
            </w:pPr>
          </w:p>
        </w:tc>
        <w:tc>
          <w:tcPr>
            <w:tcW w:w="243" w:type="pct"/>
          </w:tcPr>
          <w:p w:rsidR="008E1AE0" w:rsidRPr="008D6C1E" w:rsidRDefault="008E1AE0" w:rsidP="008E1AE0">
            <w:pPr>
              <w:jc w:val="both"/>
              <w:rPr>
                <w:sz w:val="20"/>
              </w:rPr>
            </w:pPr>
          </w:p>
        </w:tc>
        <w:tc>
          <w:tcPr>
            <w:tcW w:w="2330" w:type="pct"/>
          </w:tcPr>
          <w:p w:rsidR="008E1AE0" w:rsidRPr="008D6C1E" w:rsidRDefault="008E1AE0" w:rsidP="008E1AE0">
            <w:pPr>
              <w:jc w:val="both"/>
              <w:rPr>
                <w:sz w:val="20"/>
              </w:rPr>
            </w:pPr>
            <w:r w:rsidRPr="008D6C1E">
              <w:rPr>
                <w:sz w:val="20"/>
              </w:rPr>
              <w:t>Appeal dismissed.</w:t>
            </w:r>
          </w:p>
          <w:p w:rsidR="008E1AE0" w:rsidRPr="008D6C1E" w:rsidRDefault="008E1AE0" w:rsidP="008E1AE0">
            <w:pPr>
              <w:jc w:val="both"/>
              <w:rPr>
                <w:sz w:val="20"/>
              </w:rPr>
            </w:pPr>
          </w:p>
        </w:tc>
      </w:tr>
      <w:tr w:rsidR="008E1AE0" w:rsidRPr="008D6C1E" w:rsidTr="002B5CF4">
        <w:tc>
          <w:tcPr>
            <w:tcW w:w="2427" w:type="pct"/>
            <w:gridSpan w:val="2"/>
          </w:tcPr>
          <w:p w:rsidR="008E1AE0" w:rsidRPr="008D6C1E" w:rsidRDefault="008E1AE0" w:rsidP="008E1AE0">
            <w:pPr>
              <w:jc w:val="both"/>
              <w:rPr>
                <w:sz w:val="20"/>
              </w:rPr>
            </w:pPr>
            <w:r w:rsidRPr="008D6C1E">
              <w:rPr>
                <w:sz w:val="20"/>
              </w:rPr>
              <w:t>January 14, 2016</w:t>
            </w:r>
          </w:p>
          <w:p w:rsidR="008E1AE0" w:rsidRPr="008D6C1E" w:rsidRDefault="008E1AE0" w:rsidP="008E1AE0">
            <w:pPr>
              <w:jc w:val="both"/>
              <w:rPr>
                <w:sz w:val="20"/>
              </w:rPr>
            </w:pPr>
            <w:r w:rsidRPr="008D6C1E">
              <w:rPr>
                <w:sz w:val="20"/>
              </w:rPr>
              <w:t>Supreme Court of Canada</w:t>
            </w:r>
          </w:p>
        </w:tc>
        <w:tc>
          <w:tcPr>
            <w:tcW w:w="243" w:type="pct"/>
          </w:tcPr>
          <w:p w:rsidR="008E1AE0" w:rsidRPr="008D6C1E" w:rsidRDefault="008E1AE0" w:rsidP="008E1AE0">
            <w:pPr>
              <w:jc w:val="both"/>
              <w:rPr>
                <w:sz w:val="20"/>
              </w:rPr>
            </w:pPr>
          </w:p>
        </w:tc>
        <w:tc>
          <w:tcPr>
            <w:tcW w:w="2330" w:type="pct"/>
          </w:tcPr>
          <w:p w:rsidR="008E1AE0" w:rsidRPr="008D6C1E" w:rsidRDefault="008E1AE0" w:rsidP="008E1AE0">
            <w:pPr>
              <w:jc w:val="both"/>
              <w:rPr>
                <w:sz w:val="20"/>
              </w:rPr>
            </w:pPr>
            <w:r w:rsidRPr="008D6C1E">
              <w:rPr>
                <w:sz w:val="20"/>
              </w:rPr>
              <w:t>Application for leave to appeal filed.</w:t>
            </w:r>
          </w:p>
          <w:p w:rsidR="008E1AE0" w:rsidRPr="008D6C1E" w:rsidRDefault="008E1AE0" w:rsidP="008E1AE0">
            <w:pPr>
              <w:jc w:val="both"/>
              <w:rPr>
                <w:sz w:val="20"/>
              </w:rPr>
            </w:pPr>
          </w:p>
        </w:tc>
      </w:tr>
    </w:tbl>
    <w:p w:rsidR="008E1AE0" w:rsidRPr="008D6C1E" w:rsidRDefault="008E1AE0" w:rsidP="008E1AE0">
      <w:pPr>
        <w:jc w:val="both"/>
        <w:rPr>
          <w:sz w:val="20"/>
        </w:rPr>
      </w:pPr>
    </w:p>
    <w:p w:rsidR="008E1AE0" w:rsidRPr="008D6C1E" w:rsidRDefault="008E1AE0" w:rsidP="008E1AE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1AE0" w:rsidRPr="008D6C1E" w:rsidTr="002B5CF4">
        <w:tc>
          <w:tcPr>
            <w:tcW w:w="543" w:type="pct"/>
          </w:tcPr>
          <w:p w:rsidR="008E1AE0" w:rsidRPr="008D6C1E" w:rsidRDefault="008E1AE0" w:rsidP="008E1AE0">
            <w:pPr>
              <w:jc w:val="both"/>
              <w:rPr>
                <w:sz w:val="20"/>
                <w:lang w:val="fr-CA"/>
              </w:rPr>
            </w:pPr>
            <w:r w:rsidRPr="008D6C1E">
              <w:rPr>
                <w:rStyle w:val="SCCFileNumberChar"/>
                <w:sz w:val="20"/>
                <w:szCs w:val="20"/>
                <w:lang w:val="fr-CA"/>
              </w:rPr>
              <w:t>36806</w:t>
            </w:r>
          </w:p>
        </w:tc>
        <w:tc>
          <w:tcPr>
            <w:tcW w:w="4457" w:type="pct"/>
            <w:gridSpan w:val="3"/>
          </w:tcPr>
          <w:p w:rsidR="008E1AE0" w:rsidRPr="008D6C1E" w:rsidRDefault="008E1AE0" w:rsidP="008E1AE0">
            <w:pPr>
              <w:pStyle w:val="SCCLsocParty"/>
              <w:jc w:val="both"/>
              <w:rPr>
                <w:b/>
                <w:sz w:val="20"/>
                <w:szCs w:val="20"/>
              </w:rPr>
            </w:pPr>
            <w:r w:rsidRPr="008D6C1E">
              <w:rPr>
                <w:b/>
                <w:sz w:val="20"/>
                <w:szCs w:val="20"/>
              </w:rPr>
              <w:t>Virginia Forsythe c. Sa Majesté la Reine</w:t>
            </w:r>
          </w:p>
          <w:p w:rsidR="008E1AE0" w:rsidRPr="008D6C1E" w:rsidRDefault="008E1AE0" w:rsidP="008E1AE0">
            <w:pPr>
              <w:jc w:val="both"/>
              <w:rPr>
                <w:sz w:val="20"/>
                <w:lang w:val="fr-CA"/>
              </w:rPr>
            </w:pPr>
            <w:r w:rsidRPr="008D6C1E">
              <w:rPr>
                <w:sz w:val="20"/>
                <w:lang w:val="fr-CA"/>
              </w:rPr>
              <w:t>(CF) (Civile) (Sur autorisation)</w:t>
            </w:r>
          </w:p>
        </w:tc>
      </w:tr>
      <w:tr w:rsidR="008E1AE0" w:rsidRPr="008D6C1E" w:rsidTr="002B5CF4">
        <w:tc>
          <w:tcPr>
            <w:tcW w:w="5000" w:type="pct"/>
            <w:gridSpan w:val="4"/>
          </w:tcPr>
          <w:p w:rsidR="008E1AE0" w:rsidRPr="008D6C1E" w:rsidRDefault="008E1AE0" w:rsidP="008E1AE0">
            <w:pPr>
              <w:jc w:val="both"/>
              <w:rPr>
                <w:sz w:val="20"/>
                <w:lang w:val="fr-CA"/>
              </w:rPr>
            </w:pPr>
            <w:r w:rsidRPr="008D6C1E">
              <w:rPr>
                <w:sz w:val="20"/>
                <w:lang w:val="fr-CA"/>
              </w:rPr>
              <w:t xml:space="preserve">Droit des Autochtones – Droit fiscal – Exemptions – Si, en common law, le </w:t>
            </w:r>
            <w:r w:rsidRPr="008D6C1E">
              <w:rPr>
                <w:i/>
                <w:sz w:val="20"/>
                <w:lang w:val="fr-CA"/>
              </w:rPr>
              <w:t>situs</w:t>
            </w:r>
            <w:r w:rsidRPr="008D6C1E">
              <w:rPr>
                <w:sz w:val="20"/>
                <w:lang w:val="fr-CA"/>
              </w:rPr>
              <w:t xml:space="preserve"> juridique d’une simple dette au titre du salaire dû correspond à l’endroit où se trouve l’employeur, pourquoi la règle de common law n’est-elle pas appliquée aux Indiens sous le régime de la </w:t>
            </w:r>
            <w:r w:rsidRPr="008D6C1E">
              <w:rPr>
                <w:i/>
                <w:sz w:val="20"/>
                <w:lang w:val="fr-CA"/>
              </w:rPr>
              <w:t>Loi sur les Indiens</w:t>
            </w:r>
            <w:r w:rsidRPr="008D6C1E">
              <w:rPr>
                <w:sz w:val="20"/>
                <w:lang w:val="fr-CA"/>
              </w:rPr>
              <w:t>, L.R.C. 1985, ch. I</w:t>
            </w:r>
            <w:r w:rsidRPr="008D6C1E">
              <w:rPr>
                <w:sz w:val="20"/>
                <w:lang w:val="fr-CA"/>
              </w:rPr>
              <w:noBreakHyphen/>
              <w:t xml:space="preserve">5? – Si cette règle de common law relative au </w:t>
            </w:r>
            <w:r w:rsidRPr="008D6C1E">
              <w:rPr>
                <w:i/>
                <w:iCs/>
                <w:sz w:val="20"/>
                <w:lang w:val="fr-CA"/>
              </w:rPr>
              <w:t>situs</w:t>
            </w:r>
            <w:r w:rsidRPr="008D6C1E">
              <w:rPr>
                <w:sz w:val="20"/>
                <w:lang w:val="fr-CA"/>
              </w:rPr>
              <w:t xml:space="preserve"> du salaire n’est pas suffisante pour établir le </w:t>
            </w:r>
            <w:r w:rsidRPr="008D6C1E">
              <w:rPr>
                <w:i/>
                <w:iCs/>
                <w:sz w:val="20"/>
                <w:lang w:val="fr-CA"/>
              </w:rPr>
              <w:t>situs</w:t>
            </w:r>
            <w:r w:rsidRPr="008D6C1E">
              <w:rPr>
                <w:sz w:val="20"/>
                <w:lang w:val="fr-CA"/>
              </w:rPr>
              <w:t xml:space="preserve"> du salaire pour l’application de la </w:t>
            </w:r>
            <w:r w:rsidRPr="008D6C1E">
              <w:rPr>
                <w:i/>
                <w:iCs/>
                <w:sz w:val="20"/>
                <w:lang w:val="fr-CA"/>
              </w:rPr>
              <w:t>Loi sur les Indiens,</w:t>
            </w:r>
            <w:r w:rsidRPr="008D6C1E">
              <w:rPr>
                <w:sz w:val="20"/>
                <w:lang w:val="fr-CA"/>
              </w:rPr>
              <w:t xml:space="preserve"> quels facteurs de rattachement doivent être pris en compte et quel poids doit-on accorder à ces facteurs? – Pourquoi la mesure prise par un employeur d’établir son entreprise sur une réserve indienne et de payer un salaire à partir d’un compte bancaire situé sur la réserve devrait-elle être considérée comme un « artifice », plutôt qu’une planification fiscale légitime et pourquoi la décision d’une Indienne inscrite de faire verser son salaire dans un compte bancaire situé dans une réserve devrait-elle être considérée comme une manipulation et non comme une planification fiscale légitime? – Les dispositions expresses d’un contrat de travail, y compris les dispositions relatives au paiement périodique de la dette au titre du salaire devraient-elles être écartées lorsqu’il s’agit d’appliquer le critère des facteurs de rattachement et, dans le cas de la date de comptabilisation de la dette imposée, appliquées théoriquement sur une base annuelle? – </w:t>
            </w:r>
            <w:hyperlink r:id="rId66" w:tgtFrame="_blank" w:history="1">
              <w:r w:rsidRPr="008D6C1E">
                <w:rPr>
                  <w:i/>
                  <w:sz w:val="20"/>
                  <w:lang w:val="fr-CA"/>
                </w:rPr>
                <w:t>Loi sur les Indiens</w:t>
              </w:r>
              <w:r w:rsidRPr="008D6C1E">
                <w:rPr>
                  <w:sz w:val="20"/>
                  <w:lang w:val="fr-CA"/>
                </w:rPr>
                <w:t>, L.R.C. 1985, ch. I</w:t>
              </w:r>
              <w:r w:rsidRPr="008D6C1E">
                <w:rPr>
                  <w:sz w:val="20"/>
                  <w:lang w:val="fr-CA"/>
                </w:rPr>
                <w:noBreakHyphen/>
                <w:t>5,</w:t>
              </w:r>
            </w:hyperlink>
            <w:r w:rsidRPr="008D6C1E">
              <w:rPr>
                <w:sz w:val="20"/>
                <w:lang w:val="fr-CA"/>
              </w:rPr>
              <w:t xml:space="preserve"> </w:t>
            </w:r>
            <w:hyperlink r:id="rId67" w:anchor="!fragment/sec87subsec1" w:tgtFrame="_blank" w:history="1">
              <w:r w:rsidRPr="008D6C1E">
                <w:rPr>
                  <w:sz w:val="20"/>
                  <w:lang w:val="fr-CA"/>
                </w:rPr>
                <w:t>al. 87(1)</w:t>
              </w:r>
            </w:hyperlink>
            <w:r w:rsidRPr="008D6C1E">
              <w:rPr>
                <w:sz w:val="20"/>
                <w:lang w:val="fr-CA"/>
              </w:rPr>
              <w:t>b).</w:t>
            </w:r>
          </w:p>
        </w:tc>
      </w:tr>
      <w:tr w:rsidR="008E1AE0" w:rsidRPr="008D6C1E" w:rsidTr="002B5CF4">
        <w:tc>
          <w:tcPr>
            <w:tcW w:w="5000" w:type="pct"/>
            <w:gridSpan w:val="4"/>
          </w:tcPr>
          <w:p w:rsidR="008E1AE0" w:rsidRPr="008D6C1E" w:rsidRDefault="008E1AE0" w:rsidP="008E1AE0">
            <w:pPr>
              <w:jc w:val="both"/>
              <w:rPr>
                <w:sz w:val="20"/>
                <w:lang w:val="fr-CA"/>
              </w:rPr>
            </w:pPr>
          </w:p>
        </w:tc>
      </w:tr>
      <w:tr w:rsidR="008E1AE0" w:rsidRPr="008D6C1E" w:rsidTr="002B5CF4">
        <w:tc>
          <w:tcPr>
            <w:tcW w:w="5000" w:type="pct"/>
            <w:gridSpan w:val="4"/>
          </w:tcPr>
          <w:p w:rsidR="008E1AE0" w:rsidRPr="008D6C1E" w:rsidRDefault="008E1AE0" w:rsidP="008E1AE0">
            <w:pPr>
              <w:jc w:val="both"/>
              <w:rPr>
                <w:sz w:val="20"/>
                <w:lang w:val="fr-CA"/>
              </w:rPr>
            </w:pPr>
            <w:r w:rsidRPr="008D6C1E">
              <w:rPr>
                <w:sz w:val="20"/>
                <w:lang w:val="fr-CA"/>
              </w:rPr>
              <w:t>La demanderesse est une Indienne inscrite et elle est membre de la Première Nation Wahgoshig. En 2010, elle vivait hors réserve à Cochrane, en Ontario. Elle travaillait pour Native Leasing Services (« NLS »), dont le siège se trouve sur la réserve des Six Nations, comme intervenante sociale en santé communautaire au bureau de la Stratégie ontarienne de lutte contre le VIH et le sida à l’intention des Autochtones. La demanderesse soutient que son revenu d’emploi de 2010 tiré de NLS est un bien « </w:t>
            </w:r>
            <w:r w:rsidRPr="008D6C1E">
              <w:rPr>
                <w:rStyle w:val="citationcar"/>
                <w:sz w:val="20"/>
                <w:lang w:val="fr-CA"/>
              </w:rPr>
              <w:t>situé sur une réserve »</w:t>
            </w:r>
            <w:r w:rsidRPr="008D6C1E">
              <w:rPr>
                <w:sz w:val="20"/>
                <w:lang w:val="fr-CA"/>
              </w:rPr>
              <w:t xml:space="preserve"> et donc exonéré d’impôt par l’application de l'alinéa </w:t>
            </w:r>
            <w:hyperlink r:id="rId68" w:anchor="sec87subsec1_smooth" w:history="1">
              <w:r w:rsidRPr="008D6C1E">
                <w:rPr>
                  <w:sz w:val="20"/>
                  <w:lang w:val="fr-CA"/>
                </w:rPr>
                <w:t xml:space="preserve"> 87(1)</w:t>
              </w:r>
            </w:hyperlink>
            <w:r w:rsidRPr="008D6C1E">
              <w:rPr>
                <w:iCs/>
                <w:sz w:val="20"/>
                <w:lang w:val="fr-CA"/>
              </w:rPr>
              <w:t>b</w:t>
            </w:r>
            <w:r w:rsidRPr="008D6C1E">
              <w:rPr>
                <w:sz w:val="20"/>
                <w:lang w:val="fr-CA"/>
              </w:rPr>
              <w:t xml:space="preserve">) de la </w:t>
            </w:r>
            <w:hyperlink r:id="rId69" w:history="1">
              <w:r w:rsidRPr="008D6C1E">
                <w:rPr>
                  <w:i/>
                  <w:iCs/>
                  <w:sz w:val="20"/>
                  <w:lang w:val="fr-CA"/>
                </w:rPr>
                <w:t>Loi sur les Indiens</w:t>
              </w:r>
              <w:r w:rsidRPr="008D6C1E">
                <w:rPr>
                  <w:sz w:val="20"/>
                  <w:lang w:val="fr-CA"/>
                </w:rPr>
                <w:t>, L.R.C. 1985, ch. I-5</w:t>
              </w:r>
            </w:hyperlink>
            <w:r w:rsidRPr="008D6C1E">
              <w:rPr>
                <w:sz w:val="20"/>
                <w:lang w:val="fr-CA"/>
              </w:rPr>
              <w:t>.</w:t>
            </w:r>
          </w:p>
          <w:p w:rsidR="008E1AE0" w:rsidRPr="008D6C1E" w:rsidRDefault="008E1AE0" w:rsidP="008E1AE0">
            <w:pPr>
              <w:jc w:val="both"/>
              <w:rPr>
                <w:sz w:val="20"/>
                <w:lang w:val="fr-CA"/>
              </w:rPr>
            </w:pPr>
          </w:p>
        </w:tc>
      </w:tr>
      <w:tr w:rsidR="008E1AE0" w:rsidRPr="002C1A32" w:rsidTr="002B5CF4">
        <w:tc>
          <w:tcPr>
            <w:tcW w:w="2427" w:type="pct"/>
            <w:gridSpan w:val="2"/>
          </w:tcPr>
          <w:p w:rsidR="008E1AE0" w:rsidRPr="008D6C1E" w:rsidRDefault="008E1AE0" w:rsidP="008E1AE0">
            <w:pPr>
              <w:jc w:val="both"/>
              <w:rPr>
                <w:sz w:val="20"/>
                <w:lang w:val="fr-CA"/>
              </w:rPr>
            </w:pPr>
            <w:r w:rsidRPr="008D6C1E">
              <w:rPr>
                <w:sz w:val="20"/>
                <w:lang w:val="fr-CA"/>
              </w:rPr>
              <w:lastRenderedPageBreak/>
              <w:t>26 septembre 2014</w:t>
            </w:r>
          </w:p>
          <w:p w:rsidR="008E1AE0" w:rsidRPr="008D6C1E" w:rsidRDefault="008E1AE0" w:rsidP="008E1AE0">
            <w:pPr>
              <w:jc w:val="both"/>
              <w:rPr>
                <w:sz w:val="20"/>
                <w:lang w:val="fr-CA"/>
              </w:rPr>
            </w:pPr>
            <w:r w:rsidRPr="008D6C1E">
              <w:rPr>
                <w:sz w:val="20"/>
                <w:lang w:val="fr-CA"/>
              </w:rPr>
              <w:t xml:space="preserve">Cour canadienne de l’impôt </w:t>
            </w:r>
          </w:p>
          <w:p w:rsidR="008E1AE0" w:rsidRPr="008D6C1E" w:rsidRDefault="008E1AE0" w:rsidP="008E1AE0">
            <w:pPr>
              <w:jc w:val="both"/>
              <w:rPr>
                <w:sz w:val="20"/>
                <w:lang w:val="fr-CA"/>
              </w:rPr>
            </w:pPr>
            <w:r w:rsidRPr="008D6C1E">
              <w:rPr>
                <w:sz w:val="20"/>
                <w:lang w:val="fr-CA"/>
              </w:rPr>
              <w:t>(Juge Miller)</w:t>
            </w:r>
          </w:p>
          <w:p w:rsidR="008E1AE0" w:rsidRPr="008D6C1E" w:rsidRDefault="008E1AE0" w:rsidP="008E1AE0">
            <w:pPr>
              <w:jc w:val="both"/>
              <w:rPr>
                <w:sz w:val="20"/>
                <w:lang w:val="fr-CA"/>
              </w:rPr>
            </w:pPr>
            <w:r w:rsidRPr="008D6C1E">
              <w:rPr>
                <w:sz w:val="20"/>
                <w:lang w:val="fr-CA"/>
              </w:rPr>
              <w:t>N</w:t>
            </w:r>
            <w:r w:rsidRPr="008D6C1E">
              <w:rPr>
                <w:sz w:val="20"/>
                <w:vertAlign w:val="superscript"/>
                <w:lang w:val="fr-CA"/>
              </w:rPr>
              <w:t>o</w:t>
            </w:r>
            <w:r w:rsidRPr="008D6C1E">
              <w:rPr>
                <w:sz w:val="20"/>
                <w:lang w:val="fr-CA"/>
              </w:rPr>
              <w:t xml:space="preserve"> 2012-2042(IT</w:t>
            </w:r>
            <w:proofErr w:type="gramStart"/>
            <w:r w:rsidRPr="008D6C1E">
              <w:rPr>
                <w:sz w:val="20"/>
                <w:lang w:val="fr-CA"/>
              </w:rPr>
              <w:t>)I</w:t>
            </w:r>
            <w:proofErr w:type="gramEnd"/>
          </w:p>
          <w:p w:rsidR="008E1AE0" w:rsidRPr="008D6C1E" w:rsidRDefault="005E6DC4" w:rsidP="008E1AE0">
            <w:pPr>
              <w:jc w:val="both"/>
              <w:rPr>
                <w:sz w:val="20"/>
                <w:lang w:val="fr-CA"/>
              </w:rPr>
            </w:pPr>
            <w:hyperlink r:id="rId70" w:history="1">
              <w:r w:rsidR="008E1AE0" w:rsidRPr="008D6C1E">
                <w:rPr>
                  <w:rStyle w:val="Hyperlink"/>
                  <w:sz w:val="20"/>
                  <w:lang w:val="fr-CA"/>
                </w:rPr>
                <w:t>2014 TCC 284</w:t>
              </w:r>
            </w:hyperlink>
          </w:p>
          <w:p w:rsidR="008E1AE0" w:rsidRPr="008D6C1E" w:rsidRDefault="008E1AE0" w:rsidP="008E1AE0">
            <w:pPr>
              <w:jc w:val="both"/>
              <w:rPr>
                <w:sz w:val="20"/>
                <w:lang w:val="fr-CA"/>
              </w:rPr>
            </w:pPr>
          </w:p>
        </w:tc>
        <w:tc>
          <w:tcPr>
            <w:tcW w:w="243" w:type="pct"/>
          </w:tcPr>
          <w:p w:rsidR="008E1AE0" w:rsidRPr="008D6C1E" w:rsidRDefault="008E1AE0" w:rsidP="008E1AE0">
            <w:pPr>
              <w:jc w:val="both"/>
              <w:rPr>
                <w:sz w:val="20"/>
                <w:lang w:val="fr-CA"/>
              </w:rPr>
            </w:pPr>
          </w:p>
        </w:tc>
        <w:tc>
          <w:tcPr>
            <w:tcW w:w="2330" w:type="pct"/>
          </w:tcPr>
          <w:p w:rsidR="008E1AE0" w:rsidRPr="008D6C1E" w:rsidRDefault="008E1AE0" w:rsidP="008E1AE0">
            <w:pPr>
              <w:jc w:val="both"/>
              <w:rPr>
                <w:sz w:val="20"/>
                <w:lang w:val="fr-CA"/>
              </w:rPr>
            </w:pPr>
            <w:r w:rsidRPr="008D6C1E">
              <w:rPr>
                <w:sz w:val="20"/>
                <w:lang w:val="fr-CA"/>
              </w:rPr>
              <w:t>Rejet de l’appel de la nouvelle cotisation établie à l’égard de l’année d’imposition 2010 de la demanderesse.</w:t>
            </w:r>
          </w:p>
          <w:p w:rsidR="008E1AE0" w:rsidRPr="008D6C1E" w:rsidRDefault="008E1AE0" w:rsidP="008E1AE0">
            <w:pPr>
              <w:jc w:val="both"/>
              <w:rPr>
                <w:sz w:val="20"/>
                <w:lang w:val="fr-CA"/>
              </w:rPr>
            </w:pPr>
          </w:p>
        </w:tc>
      </w:tr>
      <w:tr w:rsidR="008E1AE0" w:rsidRPr="008D6C1E" w:rsidTr="002B5CF4">
        <w:tc>
          <w:tcPr>
            <w:tcW w:w="2427" w:type="pct"/>
            <w:gridSpan w:val="2"/>
          </w:tcPr>
          <w:p w:rsidR="008E1AE0" w:rsidRPr="008D6C1E" w:rsidRDefault="008E1AE0" w:rsidP="008E1AE0">
            <w:pPr>
              <w:jc w:val="both"/>
              <w:rPr>
                <w:sz w:val="20"/>
                <w:lang w:val="fr-CA"/>
              </w:rPr>
            </w:pPr>
            <w:r w:rsidRPr="008D6C1E">
              <w:rPr>
                <w:sz w:val="20"/>
                <w:lang w:val="fr-CA"/>
              </w:rPr>
              <w:t>18 novembre 2015</w:t>
            </w:r>
          </w:p>
          <w:p w:rsidR="008E1AE0" w:rsidRPr="008D6C1E" w:rsidRDefault="008E1AE0" w:rsidP="008E1AE0">
            <w:pPr>
              <w:jc w:val="both"/>
              <w:rPr>
                <w:sz w:val="20"/>
                <w:lang w:val="fr-CA"/>
              </w:rPr>
            </w:pPr>
            <w:r w:rsidRPr="008D6C1E">
              <w:rPr>
                <w:sz w:val="20"/>
                <w:lang w:val="fr-CA"/>
              </w:rPr>
              <w:t xml:space="preserve">Cour d’appel fédérale </w:t>
            </w:r>
          </w:p>
          <w:p w:rsidR="008E1AE0" w:rsidRPr="008D6C1E" w:rsidRDefault="008E1AE0" w:rsidP="008E1AE0">
            <w:pPr>
              <w:jc w:val="both"/>
              <w:rPr>
                <w:sz w:val="20"/>
                <w:lang w:val="fr-CA"/>
              </w:rPr>
            </w:pPr>
            <w:r w:rsidRPr="008D6C1E">
              <w:rPr>
                <w:sz w:val="20"/>
                <w:lang w:val="fr-CA"/>
              </w:rPr>
              <w:t>(Juges Dawson, Ryer et Webb)</w:t>
            </w:r>
          </w:p>
          <w:p w:rsidR="008E1AE0" w:rsidRPr="008D6C1E" w:rsidRDefault="008E1AE0" w:rsidP="008E1AE0">
            <w:pPr>
              <w:jc w:val="both"/>
              <w:rPr>
                <w:sz w:val="20"/>
                <w:lang w:val="fr-CA"/>
              </w:rPr>
            </w:pPr>
            <w:r w:rsidRPr="008D6C1E">
              <w:rPr>
                <w:sz w:val="20"/>
                <w:lang w:val="fr-CA"/>
              </w:rPr>
              <w:t>N</w:t>
            </w:r>
            <w:r w:rsidRPr="008D6C1E">
              <w:rPr>
                <w:sz w:val="20"/>
                <w:vertAlign w:val="superscript"/>
                <w:lang w:val="fr-CA"/>
              </w:rPr>
              <w:t>o</w:t>
            </w:r>
            <w:r w:rsidRPr="008D6C1E">
              <w:rPr>
                <w:sz w:val="20"/>
                <w:lang w:val="fr-CA"/>
              </w:rPr>
              <w:t xml:space="preserve"> A-475-14</w:t>
            </w:r>
          </w:p>
          <w:p w:rsidR="008E1AE0" w:rsidRPr="008D6C1E" w:rsidRDefault="005E6DC4" w:rsidP="008E1AE0">
            <w:pPr>
              <w:jc w:val="both"/>
              <w:rPr>
                <w:sz w:val="20"/>
                <w:lang w:val="fr-CA"/>
              </w:rPr>
            </w:pPr>
            <w:hyperlink r:id="rId71" w:history="1">
              <w:r w:rsidR="008E1AE0" w:rsidRPr="008D6C1E">
                <w:rPr>
                  <w:rStyle w:val="Hyperlink"/>
                  <w:sz w:val="20"/>
                  <w:lang w:val="fr-CA"/>
                </w:rPr>
                <w:t>2015 FCA 258</w:t>
              </w:r>
            </w:hyperlink>
          </w:p>
          <w:p w:rsidR="008E1AE0" w:rsidRPr="008D6C1E" w:rsidRDefault="008E1AE0" w:rsidP="008E1AE0">
            <w:pPr>
              <w:jc w:val="both"/>
              <w:rPr>
                <w:sz w:val="20"/>
                <w:lang w:val="fr-CA"/>
              </w:rPr>
            </w:pPr>
          </w:p>
        </w:tc>
        <w:tc>
          <w:tcPr>
            <w:tcW w:w="243" w:type="pct"/>
          </w:tcPr>
          <w:p w:rsidR="008E1AE0" w:rsidRPr="008D6C1E" w:rsidRDefault="008E1AE0" w:rsidP="008E1AE0">
            <w:pPr>
              <w:jc w:val="both"/>
              <w:rPr>
                <w:sz w:val="20"/>
                <w:lang w:val="fr-CA"/>
              </w:rPr>
            </w:pPr>
          </w:p>
        </w:tc>
        <w:tc>
          <w:tcPr>
            <w:tcW w:w="2330" w:type="pct"/>
          </w:tcPr>
          <w:p w:rsidR="008E1AE0" w:rsidRPr="008D6C1E" w:rsidRDefault="008E1AE0" w:rsidP="008E1AE0">
            <w:pPr>
              <w:jc w:val="both"/>
              <w:rPr>
                <w:sz w:val="20"/>
                <w:lang w:val="fr-CA"/>
              </w:rPr>
            </w:pPr>
            <w:r w:rsidRPr="008D6C1E">
              <w:rPr>
                <w:sz w:val="20"/>
                <w:lang w:val="fr-CA"/>
              </w:rPr>
              <w:t>Rejet de l’appel.</w:t>
            </w:r>
          </w:p>
          <w:p w:rsidR="008E1AE0" w:rsidRPr="008D6C1E" w:rsidRDefault="008E1AE0" w:rsidP="008E1AE0">
            <w:pPr>
              <w:jc w:val="both"/>
              <w:rPr>
                <w:sz w:val="20"/>
                <w:lang w:val="fr-CA"/>
              </w:rPr>
            </w:pPr>
          </w:p>
        </w:tc>
      </w:tr>
      <w:tr w:rsidR="008E1AE0" w:rsidRPr="002C1A32" w:rsidTr="002B5CF4">
        <w:tc>
          <w:tcPr>
            <w:tcW w:w="2427" w:type="pct"/>
            <w:gridSpan w:val="2"/>
          </w:tcPr>
          <w:p w:rsidR="008E1AE0" w:rsidRPr="008D6C1E" w:rsidRDefault="008E1AE0" w:rsidP="008E1AE0">
            <w:pPr>
              <w:jc w:val="both"/>
              <w:rPr>
                <w:sz w:val="20"/>
                <w:lang w:val="fr-CA"/>
              </w:rPr>
            </w:pPr>
            <w:r w:rsidRPr="008D6C1E">
              <w:rPr>
                <w:sz w:val="20"/>
                <w:lang w:val="fr-CA"/>
              </w:rPr>
              <w:t>14 janvier 2016</w:t>
            </w:r>
          </w:p>
          <w:p w:rsidR="008E1AE0" w:rsidRPr="008D6C1E" w:rsidRDefault="008E1AE0" w:rsidP="008E1AE0">
            <w:pPr>
              <w:jc w:val="both"/>
              <w:rPr>
                <w:sz w:val="20"/>
                <w:lang w:val="fr-CA"/>
              </w:rPr>
            </w:pPr>
            <w:r w:rsidRPr="008D6C1E">
              <w:rPr>
                <w:sz w:val="20"/>
                <w:lang w:val="fr-CA"/>
              </w:rPr>
              <w:t>Cour suprême du Canada</w:t>
            </w:r>
          </w:p>
        </w:tc>
        <w:tc>
          <w:tcPr>
            <w:tcW w:w="243" w:type="pct"/>
          </w:tcPr>
          <w:p w:rsidR="008E1AE0" w:rsidRPr="008D6C1E" w:rsidRDefault="008E1AE0" w:rsidP="008E1AE0">
            <w:pPr>
              <w:jc w:val="both"/>
              <w:rPr>
                <w:sz w:val="20"/>
                <w:lang w:val="fr-CA"/>
              </w:rPr>
            </w:pPr>
          </w:p>
        </w:tc>
        <w:tc>
          <w:tcPr>
            <w:tcW w:w="2330" w:type="pct"/>
          </w:tcPr>
          <w:p w:rsidR="008E1AE0" w:rsidRPr="008D6C1E" w:rsidRDefault="008E1AE0" w:rsidP="008E1AE0">
            <w:pPr>
              <w:jc w:val="both"/>
              <w:rPr>
                <w:sz w:val="20"/>
                <w:lang w:val="fr-CA"/>
              </w:rPr>
            </w:pPr>
            <w:r w:rsidRPr="008D6C1E">
              <w:rPr>
                <w:sz w:val="20"/>
                <w:lang w:val="fr-CA"/>
              </w:rPr>
              <w:t>Dépôt de la demande d’autorisation d’appel.</w:t>
            </w:r>
          </w:p>
          <w:p w:rsidR="008E1AE0" w:rsidRPr="008D6C1E" w:rsidRDefault="008E1AE0" w:rsidP="008E1AE0">
            <w:pPr>
              <w:jc w:val="both"/>
              <w:rPr>
                <w:sz w:val="20"/>
                <w:lang w:val="fr-CA"/>
              </w:rPr>
            </w:pPr>
          </w:p>
        </w:tc>
      </w:tr>
    </w:tbl>
    <w:p w:rsidR="008E1AE0" w:rsidRPr="008D6C1E" w:rsidRDefault="008E1AE0" w:rsidP="002B5CF4">
      <w:pPr>
        <w:rPr>
          <w:sz w:val="20"/>
          <w:lang w:val="fr-CA"/>
        </w:rPr>
      </w:pPr>
    </w:p>
    <w:p w:rsidR="00377E21" w:rsidRPr="008D6C1E" w:rsidRDefault="00377E21" w:rsidP="000C0C0C">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0C0C" w:rsidRPr="008D6C1E" w:rsidTr="002B5CF4">
        <w:tc>
          <w:tcPr>
            <w:tcW w:w="543" w:type="pct"/>
          </w:tcPr>
          <w:p w:rsidR="000C0C0C" w:rsidRPr="008D6C1E" w:rsidRDefault="000C0C0C" w:rsidP="000C0C0C">
            <w:pPr>
              <w:jc w:val="both"/>
              <w:rPr>
                <w:sz w:val="20"/>
              </w:rPr>
            </w:pPr>
            <w:r w:rsidRPr="008D6C1E">
              <w:rPr>
                <w:rStyle w:val="SCCFileNumberChar"/>
                <w:sz w:val="20"/>
                <w:szCs w:val="20"/>
              </w:rPr>
              <w:t>36696</w:t>
            </w:r>
          </w:p>
        </w:tc>
        <w:tc>
          <w:tcPr>
            <w:tcW w:w="4457" w:type="pct"/>
            <w:gridSpan w:val="3"/>
          </w:tcPr>
          <w:p w:rsidR="000C0C0C" w:rsidRPr="002C1A32" w:rsidRDefault="000C0C0C" w:rsidP="000C0C0C">
            <w:pPr>
              <w:pStyle w:val="SCCLsocParty"/>
              <w:jc w:val="both"/>
              <w:rPr>
                <w:b/>
                <w:sz w:val="20"/>
                <w:szCs w:val="20"/>
                <w:lang w:val="en-US"/>
              </w:rPr>
            </w:pPr>
            <w:r w:rsidRPr="002C1A32">
              <w:rPr>
                <w:b/>
                <w:sz w:val="20"/>
                <w:szCs w:val="20"/>
                <w:lang w:val="en-US"/>
              </w:rPr>
              <w:t xml:space="preserve">Luciano </w:t>
            </w:r>
            <w:proofErr w:type="spellStart"/>
            <w:r w:rsidRPr="002C1A32">
              <w:rPr>
                <w:b/>
                <w:sz w:val="20"/>
                <w:szCs w:val="20"/>
                <w:lang w:val="en-US"/>
              </w:rPr>
              <w:t>Branco</w:t>
            </w:r>
            <w:proofErr w:type="spellEnd"/>
            <w:r w:rsidRPr="002C1A32">
              <w:rPr>
                <w:b/>
                <w:sz w:val="20"/>
                <w:szCs w:val="20"/>
                <w:lang w:val="en-US"/>
              </w:rPr>
              <w:t xml:space="preserve"> v. Zurich Life Insurance Company Limited, American Home Insurance, </w:t>
            </w:r>
            <w:proofErr w:type="spellStart"/>
            <w:r w:rsidRPr="002C1A32">
              <w:rPr>
                <w:b/>
                <w:sz w:val="20"/>
                <w:szCs w:val="20"/>
                <w:lang w:val="en-US"/>
              </w:rPr>
              <w:t>Kumtor</w:t>
            </w:r>
            <w:proofErr w:type="spellEnd"/>
            <w:r w:rsidRPr="002C1A32">
              <w:rPr>
                <w:b/>
                <w:sz w:val="20"/>
                <w:szCs w:val="20"/>
                <w:lang w:val="en-US"/>
              </w:rPr>
              <w:t xml:space="preserve"> Operating Company</w:t>
            </w:r>
          </w:p>
          <w:p w:rsidR="000C0C0C" w:rsidRPr="008D6C1E" w:rsidRDefault="000C0C0C" w:rsidP="000C0C0C">
            <w:pPr>
              <w:pStyle w:val="SCCLsocSubfileSeparator"/>
              <w:rPr>
                <w:sz w:val="20"/>
                <w:szCs w:val="20"/>
              </w:rPr>
            </w:pPr>
            <w:r w:rsidRPr="008D6C1E">
              <w:rPr>
                <w:sz w:val="20"/>
                <w:szCs w:val="20"/>
              </w:rPr>
              <w:t>- and between -</w:t>
            </w:r>
          </w:p>
          <w:p w:rsidR="000C0C0C" w:rsidRPr="002C1A32" w:rsidRDefault="000C0C0C" w:rsidP="000C0C0C">
            <w:pPr>
              <w:pStyle w:val="SCCLsocParty"/>
              <w:jc w:val="both"/>
              <w:rPr>
                <w:b/>
                <w:sz w:val="20"/>
                <w:szCs w:val="20"/>
                <w:lang w:val="en-US"/>
              </w:rPr>
            </w:pPr>
            <w:r w:rsidRPr="002C1A32">
              <w:rPr>
                <w:b/>
                <w:sz w:val="20"/>
                <w:szCs w:val="20"/>
                <w:lang w:val="en-US"/>
              </w:rPr>
              <w:t xml:space="preserve">Luciano </w:t>
            </w:r>
            <w:proofErr w:type="spellStart"/>
            <w:r w:rsidRPr="002C1A32">
              <w:rPr>
                <w:b/>
                <w:sz w:val="20"/>
                <w:szCs w:val="20"/>
                <w:lang w:val="en-US"/>
              </w:rPr>
              <w:t>Branco</w:t>
            </w:r>
            <w:proofErr w:type="spellEnd"/>
            <w:r w:rsidRPr="002C1A32">
              <w:rPr>
                <w:b/>
                <w:sz w:val="20"/>
                <w:szCs w:val="20"/>
                <w:lang w:val="en-US"/>
              </w:rPr>
              <w:t xml:space="preserve"> v. Zurich Life Insurance Company Limited, American Home Insurance, </w:t>
            </w:r>
            <w:proofErr w:type="spellStart"/>
            <w:r w:rsidRPr="002C1A32">
              <w:rPr>
                <w:b/>
                <w:sz w:val="20"/>
                <w:szCs w:val="20"/>
                <w:lang w:val="en-US"/>
              </w:rPr>
              <w:t>Kumtor</w:t>
            </w:r>
            <w:proofErr w:type="spellEnd"/>
            <w:r w:rsidRPr="002C1A32">
              <w:rPr>
                <w:b/>
                <w:sz w:val="20"/>
                <w:szCs w:val="20"/>
                <w:lang w:val="en-US"/>
              </w:rPr>
              <w:t xml:space="preserve"> Operating Company</w:t>
            </w:r>
          </w:p>
          <w:p w:rsidR="000C0C0C" w:rsidRPr="008D6C1E" w:rsidRDefault="000C0C0C" w:rsidP="000C0C0C">
            <w:pPr>
              <w:jc w:val="both"/>
              <w:rPr>
                <w:sz w:val="20"/>
              </w:rPr>
            </w:pPr>
            <w:r w:rsidRPr="008D6C1E">
              <w:rPr>
                <w:sz w:val="20"/>
              </w:rPr>
              <w:t>(Sask.) (Civil) (By Leave)</w:t>
            </w:r>
          </w:p>
        </w:tc>
      </w:tr>
      <w:tr w:rsidR="000C0C0C" w:rsidRPr="008D6C1E" w:rsidTr="002B5CF4">
        <w:tc>
          <w:tcPr>
            <w:tcW w:w="5000" w:type="pct"/>
            <w:gridSpan w:val="4"/>
          </w:tcPr>
          <w:p w:rsidR="000C0C0C" w:rsidRPr="008D6C1E" w:rsidRDefault="000C0C0C" w:rsidP="000C0C0C">
            <w:pPr>
              <w:jc w:val="both"/>
              <w:rPr>
                <w:sz w:val="20"/>
              </w:rPr>
            </w:pPr>
            <w:r w:rsidRPr="008D6C1E">
              <w:rPr>
                <w:sz w:val="20"/>
              </w:rPr>
              <w:t>Insurance – Damages – Appeal – Whether there is an unofficial million dollar cap on punitive damages against insurers – Whether there can be a cap on aggravated damages in breach of insurance contract cases – In the face of egregious conduct, is the full indemnification of a wronged party’s costs to be considered after compensatory and punitive damages have been assessed – Appropriateness of an appellate court reviewing a trial judge’s reasons for awarding punitive damages and then substituting its own quantum of damages.</w:t>
            </w:r>
          </w:p>
        </w:tc>
      </w:tr>
      <w:tr w:rsidR="000C0C0C" w:rsidRPr="008D6C1E" w:rsidTr="002B5CF4">
        <w:tc>
          <w:tcPr>
            <w:tcW w:w="5000" w:type="pct"/>
            <w:gridSpan w:val="4"/>
          </w:tcPr>
          <w:p w:rsidR="000C0C0C" w:rsidRPr="008D6C1E" w:rsidRDefault="000C0C0C" w:rsidP="000C0C0C">
            <w:pPr>
              <w:jc w:val="both"/>
              <w:rPr>
                <w:sz w:val="20"/>
              </w:rPr>
            </w:pPr>
          </w:p>
        </w:tc>
      </w:tr>
      <w:tr w:rsidR="000C0C0C" w:rsidRPr="008D6C1E" w:rsidTr="002B5CF4">
        <w:tc>
          <w:tcPr>
            <w:tcW w:w="5000" w:type="pct"/>
            <w:gridSpan w:val="4"/>
          </w:tcPr>
          <w:p w:rsidR="000C0C0C" w:rsidRPr="008D6C1E" w:rsidRDefault="000C0C0C" w:rsidP="000C0C0C">
            <w:pPr>
              <w:jc w:val="both"/>
              <w:rPr>
                <w:sz w:val="20"/>
              </w:rPr>
            </w:pPr>
            <w:r w:rsidRPr="008D6C1E">
              <w:rPr>
                <w:sz w:val="20"/>
              </w:rPr>
              <w:t>Mr. </w:t>
            </w:r>
            <w:proofErr w:type="spellStart"/>
            <w:r w:rsidRPr="008D6C1E">
              <w:rPr>
                <w:sz w:val="20"/>
              </w:rPr>
              <w:t>Branco</w:t>
            </w:r>
            <w:proofErr w:type="spellEnd"/>
            <w:r w:rsidRPr="008D6C1E">
              <w:rPr>
                <w:sz w:val="20"/>
              </w:rPr>
              <w:t xml:space="preserve"> was injured while employed by </w:t>
            </w:r>
            <w:proofErr w:type="spellStart"/>
            <w:r w:rsidRPr="008D6C1E">
              <w:rPr>
                <w:sz w:val="20"/>
              </w:rPr>
              <w:t>Kumtor</w:t>
            </w:r>
            <w:proofErr w:type="spellEnd"/>
            <w:r w:rsidRPr="008D6C1E">
              <w:rPr>
                <w:sz w:val="20"/>
              </w:rPr>
              <w:t xml:space="preserve"> Operating Company. He was covered by two workplace insurance policies issued by American Home Assurance Company and Zurich Life Insurance Company Limited. Mr. </w:t>
            </w:r>
            <w:proofErr w:type="spellStart"/>
            <w:r w:rsidRPr="008D6C1E">
              <w:rPr>
                <w:sz w:val="20"/>
              </w:rPr>
              <w:t>Branco</w:t>
            </w:r>
            <w:proofErr w:type="spellEnd"/>
            <w:r w:rsidRPr="008D6C1E">
              <w:rPr>
                <w:sz w:val="20"/>
              </w:rPr>
              <w:t xml:space="preserve"> commenced an action against the respondents in part to secure punitive damages, damages for mental distress, and benefits. The trial judge in part awarded $1,500,000 in punitive damages and $150,000 in aggravated damages against American Home Assurance Company. He awarded $3,000,000 in punitive damages and $300,000 in aggravated damages against Zurich Life Insurance Company Limited. He awarded costs to Mr. </w:t>
            </w:r>
            <w:proofErr w:type="spellStart"/>
            <w:r w:rsidRPr="008D6C1E">
              <w:rPr>
                <w:sz w:val="20"/>
              </w:rPr>
              <w:t>Branco</w:t>
            </w:r>
            <w:proofErr w:type="spellEnd"/>
            <w:r w:rsidRPr="008D6C1E">
              <w:rPr>
                <w:sz w:val="20"/>
              </w:rPr>
              <w:t xml:space="preserve"> but denied full solicitor and client costs. The Court of Appeal allowed an appeal in part. It reduced the awards for punitive damages to $675,000 in total and for aggravated damages to $45,000 in total. It dismissed a cross-appeal from the costs award.</w:t>
            </w:r>
          </w:p>
          <w:p w:rsidR="000C0C0C" w:rsidRPr="008D6C1E" w:rsidRDefault="000C0C0C" w:rsidP="000C0C0C">
            <w:pPr>
              <w:jc w:val="both"/>
              <w:rPr>
                <w:sz w:val="20"/>
              </w:rPr>
            </w:pPr>
          </w:p>
        </w:tc>
      </w:tr>
      <w:tr w:rsidR="000C0C0C" w:rsidRPr="008D6C1E" w:rsidTr="002B5CF4">
        <w:tc>
          <w:tcPr>
            <w:tcW w:w="2427" w:type="pct"/>
            <w:gridSpan w:val="2"/>
          </w:tcPr>
          <w:p w:rsidR="000C0C0C" w:rsidRPr="008D6C1E" w:rsidRDefault="000C0C0C" w:rsidP="000C0C0C">
            <w:pPr>
              <w:jc w:val="both"/>
              <w:rPr>
                <w:sz w:val="20"/>
              </w:rPr>
            </w:pPr>
            <w:r w:rsidRPr="008D6C1E">
              <w:rPr>
                <w:sz w:val="20"/>
              </w:rPr>
              <w:t>March 21, 2013</w:t>
            </w:r>
          </w:p>
          <w:p w:rsidR="000C0C0C" w:rsidRPr="008D6C1E" w:rsidRDefault="000C0C0C" w:rsidP="000C0C0C">
            <w:pPr>
              <w:jc w:val="both"/>
              <w:rPr>
                <w:sz w:val="20"/>
              </w:rPr>
            </w:pPr>
            <w:r w:rsidRPr="008D6C1E">
              <w:rPr>
                <w:sz w:val="20"/>
              </w:rPr>
              <w:t>Court of Queen’s Bench of Saskatchewan</w:t>
            </w:r>
          </w:p>
          <w:p w:rsidR="000C0C0C" w:rsidRPr="008D6C1E" w:rsidRDefault="000C0C0C" w:rsidP="000C0C0C">
            <w:pPr>
              <w:jc w:val="both"/>
              <w:rPr>
                <w:sz w:val="20"/>
              </w:rPr>
            </w:pPr>
            <w:r w:rsidRPr="008D6C1E">
              <w:rPr>
                <w:sz w:val="20"/>
              </w:rPr>
              <w:t xml:space="preserve">(Acton J.) </w:t>
            </w:r>
          </w:p>
          <w:p w:rsidR="000C0C0C" w:rsidRPr="008D6C1E" w:rsidRDefault="005E6DC4" w:rsidP="000C0C0C">
            <w:pPr>
              <w:jc w:val="both"/>
              <w:rPr>
                <w:rStyle w:val="Hyperlink"/>
                <w:sz w:val="20"/>
              </w:rPr>
            </w:pPr>
            <w:hyperlink r:id="rId72" w:history="1">
              <w:r w:rsidR="000C0C0C" w:rsidRPr="008D6C1E">
                <w:rPr>
                  <w:rStyle w:val="Hyperlink"/>
                  <w:sz w:val="20"/>
                </w:rPr>
                <w:t>2013 SKQB 98</w:t>
              </w:r>
            </w:hyperlink>
          </w:p>
          <w:p w:rsidR="000C0C0C" w:rsidRPr="008D6C1E" w:rsidRDefault="000C0C0C" w:rsidP="000C0C0C">
            <w:pPr>
              <w:jc w:val="both"/>
              <w:rPr>
                <w:sz w:val="20"/>
              </w:rPr>
            </w:pPr>
          </w:p>
        </w:tc>
        <w:tc>
          <w:tcPr>
            <w:tcW w:w="243" w:type="pct"/>
          </w:tcPr>
          <w:p w:rsidR="000C0C0C" w:rsidRPr="008D6C1E" w:rsidRDefault="000C0C0C" w:rsidP="000C0C0C">
            <w:pPr>
              <w:jc w:val="both"/>
              <w:rPr>
                <w:sz w:val="20"/>
              </w:rPr>
            </w:pPr>
          </w:p>
        </w:tc>
        <w:tc>
          <w:tcPr>
            <w:tcW w:w="2330" w:type="pct"/>
          </w:tcPr>
          <w:p w:rsidR="000C0C0C" w:rsidRPr="008D6C1E" w:rsidRDefault="000C0C0C" w:rsidP="000C0C0C">
            <w:pPr>
              <w:jc w:val="both"/>
              <w:rPr>
                <w:sz w:val="20"/>
              </w:rPr>
            </w:pPr>
            <w:r w:rsidRPr="008D6C1E">
              <w:rPr>
                <w:sz w:val="20"/>
              </w:rPr>
              <w:t>Damages awarded to applicant including punitive damages and damages for mental distress</w:t>
            </w:r>
          </w:p>
        </w:tc>
      </w:tr>
      <w:tr w:rsidR="000C0C0C" w:rsidRPr="008D6C1E" w:rsidTr="002B5CF4">
        <w:tc>
          <w:tcPr>
            <w:tcW w:w="2427" w:type="pct"/>
            <w:gridSpan w:val="2"/>
          </w:tcPr>
          <w:p w:rsidR="000C0C0C" w:rsidRPr="008D6C1E" w:rsidRDefault="000C0C0C" w:rsidP="000C0C0C">
            <w:pPr>
              <w:jc w:val="both"/>
              <w:rPr>
                <w:sz w:val="20"/>
              </w:rPr>
            </w:pPr>
            <w:r w:rsidRPr="008D6C1E">
              <w:rPr>
                <w:sz w:val="20"/>
              </w:rPr>
              <w:t>December 17, 2013</w:t>
            </w:r>
          </w:p>
          <w:p w:rsidR="000C0C0C" w:rsidRPr="008D6C1E" w:rsidRDefault="000C0C0C" w:rsidP="000C0C0C">
            <w:pPr>
              <w:jc w:val="both"/>
              <w:rPr>
                <w:sz w:val="20"/>
              </w:rPr>
            </w:pPr>
            <w:r w:rsidRPr="008D6C1E">
              <w:rPr>
                <w:sz w:val="20"/>
              </w:rPr>
              <w:t>Court of Queen’s Bench of Saskatchewan</w:t>
            </w:r>
          </w:p>
          <w:p w:rsidR="000C0C0C" w:rsidRPr="008D6C1E" w:rsidRDefault="000C0C0C" w:rsidP="000C0C0C">
            <w:pPr>
              <w:jc w:val="both"/>
              <w:rPr>
                <w:sz w:val="20"/>
              </w:rPr>
            </w:pPr>
            <w:r w:rsidRPr="008D6C1E">
              <w:rPr>
                <w:sz w:val="20"/>
              </w:rPr>
              <w:t xml:space="preserve">(Acton J.) </w:t>
            </w:r>
          </w:p>
          <w:p w:rsidR="000C0C0C" w:rsidRPr="008D6C1E" w:rsidRDefault="005E6DC4" w:rsidP="000C0C0C">
            <w:pPr>
              <w:jc w:val="both"/>
              <w:rPr>
                <w:rStyle w:val="Hyperlink"/>
                <w:sz w:val="20"/>
              </w:rPr>
            </w:pPr>
            <w:hyperlink r:id="rId73" w:history="1">
              <w:r w:rsidR="000C0C0C" w:rsidRPr="008D6C1E">
                <w:rPr>
                  <w:rStyle w:val="Hyperlink"/>
                  <w:sz w:val="20"/>
                </w:rPr>
                <w:t>2013 SKQB 442</w:t>
              </w:r>
            </w:hyperlink>
          </w:p>
          <w:p w:rsidR="000C0C0C" w:rsidRPr="008D6C1E" w:rsidRDefault="000C0C0C" w:rsidP="000C0C0C">
            <w:pPr>
              <w:jc w:val="both"/>
              <w:rPr>
                <w:sz w:val="20"/>
              </w:rPr>
            </w:pPr>
          </w:p>
        </w:tc>
        <w:tc>
          <w:tcPr>
            <w:tcW w:w="243" w:type="pct"/>
          </w:tcPr>
          <w:p w:rsidR="000C0C0C" w:rsidRPr="008D6C1E" w:rsidRDefault="000C0C0C" w:rsidP="000C0C0C">
            <w:pPr>
              <w:jc w:val="both"/>
              <w:rPr>
                <w:sz w:val="20"/>
              </w:rPr>
            </w:pPr>
          </w:p>
        </w:tc>
        <w:tc>
          <w:tcPr>
            <w:tcW w:w="2330" w:type="pct"/>
          </w:tcPr>
          <w:p w:rsidR="000C0C0C" w:rsidRPr="008D6C1E" w:rsidRDefault="000C0C0C" w:rsidP="000C0C0C">
            <w:pPr>
              <w:jc w:val="both"/>
              <w:rPr>
                <w:sz w:val="20"/>
              </w:rPr>
            </w:pPr>
            <w:r w:rsidRPr="008D6C1E">
              <w:rPr>
                <w:sz w:val="20"/>
              </w:rPr>
              <w:t>Costs awarded to applicant</w:t>
            </w:r>
          </w:p>
        </w:tc>
      </w:tr>
      <w:tr w:rsidR="000C0C0C" w:rsidRPr="008D6C1E" w:rsidTr="002B5CF4">
        <w:tc>
          <w:tcPr>
            <w:tcW w:w="2427" w:type="pct"/>
            <w:gridSpan w:val="2"/>
          </w:tcPr>
          <w:p w:rsidR="000C0C0C" w:rsidRPr="008D6C1E" w:rsidRDefault="000C0C0C" w:rsidP="000C0C0C">
            <w:pPr>
              <w:jc w:val="both"/>
              <w:rPr>
                <w:sz w:val="20"/>
              </w:rPr>
            </w:pPr>
            <w:r w:rsidRPr="008D6C1E">
              <w:rPr>
                <w:sz w:val="20"/>
              </w:rPr>
              <w:t>June 19, 2015</w:t>
            </w:r>
          </w:p>
          <w:p w:rsidR="000C0C0C" w:rsidRPr="008D6C1E" w:rsidRDefault="000C0C0C" w:rsidP="000C0C0C">
            <w:pPr>
              <w:jc w:val="both"/>
              <w:rPr>
                <w:sz w:val="20"/>
              </w:rPr>
            </w:pPr>
            <w:r w:rsidRPr="008D6C1E">
              <w:rPr>
                <w:sz w:val="20"/>
              </w:rPr>
              <w:t>Court of Appeal for Saskatchewan</w:t>
            </w:r>
          </w:p>
          <w:p w:rsidR="000C0C0C" w:rsidRPr="008D6C1E" w:rsidRDefault="000C0C0C" w:rsidP="000C0C0C">
            <w:pPr>
              <w:jc w:val="both"/>
              <w:rPr>
                <w:sz w:val="20"/>
              </w:rPr>
            </w:pPr>
            <w:r w:rsidRPr="008D6C1E">
              <w:rPr>
                <w:sz w:val="20"/>
              </w:rPr>
              <w:t xml:space="preserve">(Richards C.J., Lane and </w:t>
            </w:r>
            <w:proofErr w:type="spellStart"/>
            <w:r w:rsidRPr="008D6C1E">
              <w:rPr>
                <w:sz w:val="20"/>
              </w:rPr>
              <w:t>Herauf</w:t>
            </w:r>
            <w:proofErr w:type="spellEnd"/>
            <w:r w:rsidRPr="008D6C1E">
              <w:rPr>
                <w:sz w:val="20"/>
              </w:rPr>
              <w:t xml:space="preserve"> JJ.A.)</w:t>
            </w:r>
          </w:p>
          <w:p w:rsidR="000C0C0C" w:rsidRPr="008D6C1E" w:rsidRDefault="000C0C0C" w:rsidP="000C0C0C">
            <w:pPr>
              <w:jc w:val="both"/>
              <w:rPr>
                <w:sz w:val="20"/>
              </w:rPr>
            </w:pPr>
            <w:r w:rsidRPr="008D6C1E">
              <w:rPr>
                <w:sz w:val="20"/>
              </w:rPr>
              <w:t xml:space="preserve">CACV2404, CACV2405, CACV2505, </w:t>
            </w:r>
          </w:p>
          <w:p w:rsidR="000C0C0C" w:rsidRPr="008D6C1E" w:rsidRDefault="000C0C0C" w:rsidP="000C0C0C">
            <w:pPr>
              <w:jc w:val="both"/>
              <w:rPr>
                <w:rStyle w:val="Hyperlink"/>
                <w:sz w:val="20"/>
              </w:rPr>
            </w:pPr>
            <w:r w:rsidRPr="008D6C1E">
              <w:rPr>
                <w:sz w:val="20"/>
              </w:rPr>
              <w:lastRenderedPageBreak/>
              <w:t xml:space="preserve">CACV2529; </w:t>
            </w:r>
            <w:hyperlink r:id="rId74" w:history="1">
              <w:r w:rsidRPr="008D6C1E">
                <w:rPr>
                  <w:rStyle w:val="Hyperlink"/>
                  <w:sz w:val="20"/>
                </w:rPr>
                <w:t>2015 SKCA 71</w:t>
              </w:r>
            </w:hyperlink>
          </w:p>
          <w:p w:rsidR="000C0C0C" w:rsidRPr="008D6C1E" w:rsidRDefault="000C0C0C" w:rsidP="000C0C0C">
            <w:pPr>
              <w:jc w:val="both"/>
              <w:rPr>
                <w:sz w:val="20"/>
              </w:rPr>
            </w:pPr>
          </w:p>
        </w:tc>
        <w:tc>
          <w:tcPr>
            <w:tcW w:w="243" w:type="pct"/>
          </w:tcPr>
          <w:p w:rsidR="000C0C0C" w:rsidRPr="008D6C1E" w:rsidRDefault="000C0C0C" w:rsidP="000C0C0C">
            <w:pPr>
              <w:jc w:val="both"/>
              <w:rPr>
                <w:sz w:val="20"/>
              </w:rPr>
            </w:pPr>
          </w:p>
        </w:tc>
        <w:tc>
          <w:tcPr>
            <w:tcW w:w="2330" w:type="pct"/>
          </w:tcPr>
          <w:p w:rsidR="000C0C0C" w:rsidRPr="008D6C1E" w:rsidRDefault="000C0C0C" w:rsidP="000C0C0C">
            <w:pPr>
              <w:jc w:val="both"/>
              <w:rPr>
                <w:sz w:val="20"/>
              </w:rPr>
            </w:pPr>
            <w:r w:rsidRPr="008D6C1E">
              <w:rPr>
                <w:sz w:val="20"/>
              </w:rPr>
              <w:t xml:space="preserve">Appeals allowed in part and damage awards reduced; Cross-appeal dismissed </w:t>
            </w:r>
          </w:p>
          <w:p w:rsidR="000C0C0C" w:rsidRPr="008D6C1E" w:rsidRDefault="000C0C0C" w:rsidP="000C0C0C">
            <w:pPr>
              <w:jc w:val="both"/>
              <w:rPr>
                <w:sz w:val="20"/>
              </w:rPr>
            </w:pPr>
          </w:p>
        </w:tc>
      </w:tr>
      <w:tr w:rsidR="000C0C0C" w:rsidRPr="008D6C1E" w:rsidTr="002B5CF4">
        <w:tc>
          <w:tcPr>
            <w:tcW w:w="2427" w:type="pct"/>
            <w:gridSpan w:val="2"/>
          </w:tcPr>
          <w:p w:rsidR="000C0C0C" w:rsidRPr="008D6C1E" w:rsidRDefault="000C0C0C" w:rsidP="000C0C0C">
            <w:pPr>
              <w:jc w:val="both"/>
              <w:rPr>
                <w:sz w:val="20"/>
              </w:rPr>
            </w:pPr>
            <w:r w:rsidRPr="008D6C1E">
              <w:rPr>
                <w:sz w:val="20"/>
              </w:rPr>
              <w:t>October 22, 2015</w:t>
            </w:r>
          </w:p>
          <w:p w:rsidR="000C0C0C" w:rsidRPr="008D6C1E" w:rsidRDefault="000C0C0C" w:rsidP="000C0C0C">
            <w:pPr>
              <w:jc w:val="both"/>
              <w:rPr>
                <w:sz w:val="20"/>
              </w:rPr>
            </w:pPr>
            <w:r w:rsidRPr="008D6C1E">
              <w:rPr>
                <w:sz w:val="20"/>
              </w:rPr>
              <w:t>Supreme Court of Canada</w:t>
            </w:r>
          </w:p>
          <w:p w:rsidR="000C0C0C" w:rsidRPr="008D6C1E" w:rsidRDefault="000C0C0C" w:rsidP="000C0C0C">
            <w:pPr>
              <w:jc w:val="both"/>
              <w:rPr>
                <w:sz w:val="20"/>
              </w:rPr>
            </w:pPr>
          </w:p>
        </w:tc>
        <w:tc>
          <w:tcPr>
            <w:tcW w:w="243" w:type="pct"/>
          </w:tcPr>
          <w:p w:rsidR="000C0C0C" w:rsidRPr="008D6C1E" w:rsidRDefault="000C0C0C" w:rsidP="000C0C0C">
            <w:pPr>
              <w:jc w:val="both"/>
              <w:rPr>
                <w:sz w:val="20"/>
              </w:rPr>
            </w:pPr>
          </w:p>
        </w:tc>
        <w:tc>
          <w:tcPr>
            <w:tcW w:w="2330" w:type="pct"/>
          </w:tcPr>
          <w:p w:rsidR="000C0C0C" w:rsidRPr="008D6C1E" w:rsidRDefault="000C0C0C" w:rsidP="000C0C0C">
            <w:pPr>
              <w:jc w:val="both"/>
              <w:rPr>
                <w:sz w:val="20"/>
              </w:rPr>
            </w:pPr>
            <w:r w:rsidRPr="008D6C1E">
              <w:rPr>
                <w:sz w:val="20"/>
              </w:rPr>
              <w:t>Motion for extension of time to serve and file application for leave to appeal filed;  Application for leave to appeal filed</w:t>
            </w:r>
          </w:p>
          <w:p w:rsidR="000C0C0C" w:rsidRPr="008D6C1E" w:rsidRDefault="000C0C0C" w:rsidP="000C0C0C">
            <w:pPr>
              <w:jc w:val="both"/>
              <w:rPr>
                <w:sz w:val="20"/>
              </w:rPr>
            </w:pPr>
          </w:p>
        </w:tc>
      </w:tr>
      <w:tr w:rsidR="000C0C0C" w:rsidRPr="008D6C1E" w:rsidTr="002B5CF4">
        <w:tc>
          <w:tcPr>
            <w:tcW w:w="2427" w:type="pct"/>
            <w:gridSpan w:val="2"/>
          </w:tcPr>
          <w:p w:rsidR="000C0C0C" w:rsidRPr="008D6C1E" w:rsidRDefault="000C0C0C" w:rsidP="000C0C0C">
            <w:pPr>
              <w:jc w:val="both"/>
              <w:rPr>
                <w:sz w:val="20"/>
              </w:rPr>
            </w:pPr>
            <w:r w:rsidRPr="008D6C1E">
              <w:rPr>
                <w:sz w:val="20"/>
              </w:rPr>
              <w:t>December 22, 2015</w:t>
            </w:r>
          </w:p>
          <w:p w:rsidR="000C0C0C" w:rsidRPr="008D6C1E" w:rsidRDefault="000C0C0C" w:rsidP="000C0C0C">
            <w:pPr>
              <w:jc w:val="both"/>
              <w:rPr>
                <w:sz w:val="20"/>
              </w:rPr>
            </w:pPr>
            <w:r w:rsidRPr="008D6C1E">
              <w:rPr>
                <w:sz w:val="20"/>
              </w:rPr>
              <w:t>Supreme Court of Canada</w:t>
            </w:r>
          </w:p>
        </w:tc>
        <w:tc>
          <w:tcPr>
            <w:tcW w:w="243" w:type="pct"/>
          </w:tcPr>
          <w:p w:rsidR="000C0C0C" w:rsidRPr="008D6C1E" w:rsidRDefault="000C0C0C" w:rsidP="000C0C0C">
            <w:pPr>
              <w:jc w:val="both"/>
              <w:rPr>
                <w:sz w:val="20"/>
              </w:rPr>
            </w:pPr>
          </w:p>
        </w:tc>
        <w:tc>
          <w:tcPr>
            <w:tcW w:w="2330" w:type="pct"/>
          </w:tcPr>
          <w:p w:rsidR="000C0C0C" w:rsidRPr="008D6C1E" w:rsidRDefault="000C0C0C" w:rsidP="000C0C0C">
            <w:pPr>
              <w:jc w:val="both"/>
              <w:rPr>
                <w:sz w:val="20"/>
              </w:rPr>
            </w:pPr>
            <w:r w:rsidRPr="008D6C1E">
              <w:rPr>
                <w:sz w:val="20"/>
              </w:rPr>
              <w:t>Conditional application for leave to cross-appeal filed</w:t>
            </w:r>
          </w:p>
        </w:tc>
      </w:tr>
    </w:tbl>
    <w:p w:rsidR="000C0C0C" w:rsidRPr="008D6C1E" w:rsidRDefault="000C0C0C" w:rsidP="000C0C0C">
      <w:pPr>
        <w:jc w:val="both"/>
        <w:rPr>
          <w:sz w:val="20"/>
        </w:rPr>
      </w:pPr>
    </w:p>
    <w:p w:rsidR="000C0C0C" w:rsidRPr="008D6C1E" w:rsidRDefault="000C0C0C" w:rsidP="000C0C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0C0C" w:rsidRPr="008D6C1E" w:rsidTr="002B5CF4">
        <w:tc>
          <w:tcPr>
            <w:tcW w:w="543" w:type="pct"/>
          </w:tcPr>
          <w:p w:rsidR="000C0C0C" w:rsidRPr="008D6C1E" w:rsidRDefault="000C0C0C" w:rsidP="000C0C0C">
            <w:pPr>
              <w:jc w:val="both"/>
              <w:rPr>
                <w:sz w:val="20"/>
                <w:lang w:val="fr-CA"/>
              </w:rPr>
            </w:pPr>
            <w:r w:rsidRPr="008D6C1E">
              <w:rPr>
                <w:rStyle w:val="SCCFileNumberChar"/>
                <w:sz w:val="20"/>
                <w:szCs w:val="20"/>
                <w:lang w:val="fr-CA"/>
              </w:rPr>
              <w:t>36696</w:t>
            </w:r>
          </w:p>
        </w:tc>
        <w:tc>
          <w:tcPr>
            <w:tcW w:w="4457" w:type="pct"/>
            <w:gridSpan w:val="3"/>
          </w:tcPr>
          <w:p w:rsidR="000C0C0C" w:rsidRPr="008D6C1E" w:rsidRDefault="000C0C0C" w:rsidP="000C0C0C">
            <w:pPr>
              <w:pStyle w:val="SCCLsocParty"/>
              <w:jc w:val="both"/>
              <w:rPr>
                <w:b/>
                <w:sz w:val="20"/>
                <w:szCs w:val="20"/>
                <w:lang w:val="en-US"/>
              </w:rPr>
            </w:pPr>
            <w:r w:rsidRPr="008D6C1E">
              <w:rPr>
                <w:b/>
                <w:sz w:val="20"/>
                <w:szCs w:val="20"/>
                <w:lang w:val="en-US"/>
              </w:rPr>
              <w:t xml:space="preserve">Luciano </w:t>
            </w:r>
            <w:proofErr w:type="spellStart"/>
            <w:r w:rsidRPr="008D6C1E">
              <w:rPr>
                <w:b/>
                <w:sz w:val="20"/>
                <w:szCs w:val="20"/>
                <w:lang w:val="en-US"/>
              </w:rPr>
              <w:t>Branco</w:t>
            </w:r>
            <w:proofErr w:type="spellEnd"/>
            <w:r w:rsidRPr="008D6C1E">
              <w:rPr>
                <w:b/>
                <w:sz w:val="20"/>
                <w:szCs w:val="20"/>
                <w:lang w:val="en-US"/>
              </w:rPr>
              <w:t xml:space="preserve"> c. Zurich Life Insurance Company Limited, American Home Insurance, </w:t>
            </w:r>
            <w:proofErr w:type="spellStart"/>
            <w:r w:rsidRPr="008D6C1E">
              <w:rPr>
                <w:b/>
                <w:sz w:val="20"/>
                <w:szCs w:val="20"/>
                <w:lang w:val="en-US"/>
              </w:rPr>
              <w:t>Kumtor</w:t>
            </w:r>
            <w:proofErr w:type="spellEnd"/>
            <w:r w:rsidRPr="008D6C1E">
              <w:rPr>
                <w:b/>
                <w:sz w:val="20"/>
                <w:szCs w:val="20"/>
                <w:lang w:val="en-US"/>
              </w:rPr>
              <w:t xml:space="preserve"> Operating Company</w:t>
            </w:r>
          </w:p>
          <w:p w:rsidR="000C0C0C" w:rsidRPr="008D6C1E" w:rsidRDefault="000C0C0C" w:rsidP="000C0C0C">
            <w:pPr>
              <w:pStyle w:val="SCCLsocSubfileSeparator"/>
              <w:rPr>
                <w:sz w:val="20"/>
                <w:szCs w:val="20"/>
                <w:lang w:val="en-US"/>
              </w:rPr>
            </w:pPr>
            <w:r w:rsidRPr="008D6C1E">
              <w:rPr>
                <w:sz w:val="20"/>
                <w:szCs w:val="20"/>
                <w:lang w:val="en-US"/>
              </w:rPr>
              <w:t>-et entre-</w:t>
            </w:r>
          </w:p>
          <w:p w:rsidR="000C0C0C" w:rsidRPr="008D6C1E" w:rsidRDefault="000C0C0C" w:rsidP="000C0C0C">
            <w:pPr>
              <w:pStyle w:val="SCCLsocParty"/>
              <w:jc w:val="both"/>
              <w:rPr>
                <w:b/>
                <w:sz w:val="20"/>
                <w:szCs w:val="20"/>
                <w:lang w:val="en-US"/>
              </w:rPr>
            </w:pPr>
            <w:r w:rsidRPr="008D6C1E">
              <w:rPr>
                <w:b/>
                <w:sz w:val="20"/>
                <w:szCs w:val="20"/>
                <w:lang w:val="en-US"/>
              </w:rPr>
              <w:t xml:space="preserve">Luciano </w:t>
            </w:r>
            <w:proofErr w:type="spellStart"/>
            <w:r w:rsidRPr="008D6C1E">
              <w:rPr>
                <w:b/>
                <w:sz w:val="20"/>
                <w:szCs w:val="20"/>
                <w:lang w:val="en-US"/>
              </w:rPr>
              <w:t>Branco</w:t>
            </w:r>
            <w:proofErr w:type="spellEnd"/>
            <w:r w:rsidRPr="008D6C1E">
              <w:rPr>
                <w:b/>
                <w:sz w:val="20"/>
                <w:szCs w:val="20"/>
                <w:lang w:val="en-US"/>
              </w:rPr>
              <w:t xml:space="preserve"> c. Zurich Life Insurance Company Limited, American Home Insurance, </w:t>
            </w:r>
            <w:proofErr w:type="spellStart"/>
            <w:r w:rsidRPr="008D6C1E">
              <w:rPr>
                <w:b/>
                <w:sz w:val="20"/>
                <w:szCs w:val="20"/>
                <w:lang w:val="en-US"/>
              </w:rPr>
              <w:t>Kumtor</w:t>
            </w:r>
            <w:proofErr w:type="spellEnd"/>
            <w:r w:rsidRPr="008D6C1E">
              <w:rPr>
                <w:b/>
                <w:sz w:val="20"/>
                <w:szCs w:val="20"/>
                <w:lang w:val="en-US"/>
              </w:rPr>
              <w:t xml:space="preserve"> Operating Company</w:t>
            </w:r>
          </w:p>
          <w:p w:rsidR="000C0C0C" w:rsidRPr="008D6C1E" w:rsidRDefault="000C0C0C" w:rsidP="000C0C0C">
            <w:pPr>
              <w:jc w:val="both"/>
              <w:rPr>
                <w:sz w:val="20"/>
                <w:lang w:val="fr-CA"/>
              </w:rPr>
            </w:pPr>
            <w:r w:rsidRPr="008D6C1E">
              <w:rPr>
                <w:sz w:val="20"/>
                <w:lang w:val="fr-CA"/>
              </w:rPr>
              <w:t>(</w:t>
            </w:r>
            <w:proofErr w:type="spellStart"/>
            <w:r w:rsidRPr="008D6C1E">
              <w:rPr>
                <w:sz w:val="20"/>
                <w:lang w:val="fr-CA"/>
              </w:rPr>
              <w:t>Sask</w:t>
            </w:r>
            <w:proofErr w:type="spellEnd"/>
            <w:r w:rsidRPr="008D6C1E">
              <w:rPr>
                <w:sz w:val="20"/>
                <w:lang w:val="fr-CA"/>
              </w:rPr>
              <w:t>.) (Civile) (Sur autorisation)</w:t>
            </w:r>
          </w:p>
        </w:tc>
      </w:tr>
      <w:tr w:rsidR="000C0C0C" w:rsidRPr="002C1A32" w:rsidTr="002B5CF4">
        <w:tc>
          <w:tcPr>
            <w:tcW w:w="5000" w:type="pct"/>
            <w:gridSpan w:val="4"/>
          </w:tcPr>
          <w:p w:rsidR="000C0C0C" w:rsidRPr="008D6C1E" w:rsidRDefault="000C0C0C" w:rsidP="000C0C0C">
            <w:pPr>
              <w:jc w:val="both"/>
              <w:rPr>
                <w:sz w:val="20"/>
                <w:lang w:val="fr-CA"/>
              </w:rPr>
            </w:pPr>
            <w:r w:rsidRPr="008D6C1E">
              <w:rPr>
                <w:sz w:val="20"/>
                <w:lang w:val="fr-CA"/>
              </w:rPr>
              <w:t>Assurance – Dommages-intérêts – Appel – Les dommages-intérêts punitifs contre les assureurs sont-ils officieusement plafonnés à un million de dollars? – Les dommages-intérêts majorés peuvent-ils être plafonnés dans les affaires de violation de contrat d’assurance? – Dans le cas d’un comportement inacceptable, la pleine indemnisation des frais engagés par la partie lésée doit-elle être prise en considération après l’évaluation des dommages-intérêts compensatoires et punitifs? – Est-il opportun qu’un tribunal d’appel révise les motifs qui ont poussé le juge de première instance à accorder des dommages-intérêts punitifs, puis substitue le montant des dommages-intérêts qu’il détermine?</w:t>
            </w:r>
          </w:p>
        </w:tc>
      </w:tr>
      <w:tr w:rsidR="000C0C0C" w:rsidRPr="002C1A32" w:rsidTr="002B5CF4">
        <w:tc>
          <w:tcPr>
            <w:tcW w:w="5000" w:type="pct"/>
            <w:gridSpan w:val="4"/>
          </w:tcPr>
          <w:p w:rsidR="000C0C0C" w:rsidRPr="008D6C1E" w:rsidRDefault="000C0C0C" w:rsidP="000C0C0C">
            <w:pPr>
              <w:jc w:val="both"/>
              <w:rPr>
                <w:sz w:val="20"/>
                <w:lang w:val="fr-CA"/>
              </w:rPr>
            </w:pPr>
          </w:p>
        </w:tc>
      </w:tr>
      <w:tr w:rsidR="000C0C0C" w:rsidRPr="002C1A32" w:rsidTr="002B5CF4">
        <w:tc>
          <w:tcPr>
            <w:tcW w:w="5000" w:type="pct"/>
            <w:gridSpan w:val="4"/>
          </w:tcPr>
          <w:p w:rsidR="000C0C0C" w:rsidRPr="008D6C1E" w:rsidRDefault="000C0C0C" w:rsidP="000C0C0C">
            <w:pPr>
              <w:jc w:val="both"/>
              <w:rPr>
                <w:sz w:val="20"/>
                <w:lang w:val="fr-CA"/>
              </w:rPr>
            </w:pPr>
            <w:r w:rsidRPr="008D6C1E">
              <w:rPr>
                <w:sz w:val="20"/>
                <w:lang w:val="fr-CA"/>
              </w:rPr>
              <w:t xml:space="preserve">Monsieur Branco a été blessé alors qu’il était employé de Kumtor Operating Company. Il était couvert par deux polices d’assurance contre les accidents du travail établies par American Home Assurance Company et Zurich Life Insurance Company Limited. Monsieur Branco a intenté une action contre les intimées, en partie pour obtenir des dommages-intérêts punitifs, des dommages-intérêts pour souffrance morale et des prestations. Le juge de première instance a condamné American Home Assurance Company à payer 1 500 000 $ en dommages-intérêts punitifs et 150 000 $ en dommages-intérêts majorés. Il a condamné Zurich Life Insurance Company Limited à payer 3 000 000 $ en dommages-intérêts punitifs et 300 000 $ en dommages-intérêts majorés. Il a accordé à M. Branco ses dépens, mais a refusé de lui accorder les dépens avocat-client en entier. La Cour d’appel a accueilli l’appel en partie. Elle a réduit le montant des dommages-intérêts punitifs à 675 000 $ au total et le montant des dommages-intérêts majorés à 45 000 $ au total. Elle a rejeté l’appel incident du jugement d’attribution des dépens.  </w:t>
            </w:r>
          </w:p>
          <w:p w:rsidR="000C0C0C" w:rsidRPr="008D6C1E" w:rsidRDefault="000C0C0C" w:rsidP="000C0C0C">
            <w:pPr>
              <w:jc w:val="both"/>
              <w:rPr>
                <w:sz w:val="20"/>
                <w:lang w:val="fr-CA"/>
              </w:rPr>
            </w:pPr>
          </w:p>
        </w:tc>
      </w:tr>
      <w:tr w:rsidR="000C0C0C" w:rsidRPr="002C1A32" w:rsidTr="002B5CF4">
        <w:tc>
          <w:tcPr>
            <w:tcW w:w="2427" w:type="pct"/>
            <w:gridSpan w:val="2"/>
          </w:tcPr>
          <w:p w:rsidR="000C0C0C" w:rsidRPr="008D6C1E" w:rsidRDefault="000C0C0C" w:rsidP="000C0C0C">
            <w:pPr>
              <w:jc w:val="both"/>
              <w:rPr>
                <w:sz w:val="20"/>
                <w:lang w:val="fr-CA"/>
              </w:rPr>
            </w:pPr>
            <w:r w:rsidRPr="008D6C1E">
              <w:rPr>
                <w:sz w:val="20"/>
                <w:lang w:val="fr-CA"/>
              </w:rPr>
              <w:t>21 mars 2013</w:t>
            </w:r>
          </w:p>
          <w:p w:rsidR="000C0C0C" w:rsidRPr="008D6C1E" w:rsidRDefault="000C0C0C" w:rsidP="000C0C0C">
            <w:pPr>
              <w:jc w:val="both"/>
              <w:rPr>
                <w:sz w:val="20"/>
                <w:lang w:val="fr-CA"/>
              </w:rPr>
            </w:pPr>
            <w:r w:rsidRPr="008D6C1E">
              <w:rPr>
                <w:sz w:val="20"/>
                <w:lang w:val="fr-CA"/>
              </w:rPr>
              <w:t xml:space="preserve">Cour du Banc de la Reine de la Saskatchewan </w:t>
            </w:r>
          </w:p>
          <w:p w:rsidR="000C0C0C" w:rsidRPr="008D6C1E" w:rsidRDefault="000C0C0C" w:rsidP="000C0C0C">
            <w:pPr>
              <w:jc w:val="both"/>
              <w:rPr>
                <w:sz w:val="20"/>
                <w:lang w:val="fr-CA"/>
              </w:rPr>
            </w:pPr>
            <w:r w:rsidRPr="008D6C1E">
              <w:rPr>
                <w:sz w:val="20"/>
                <w:lang w:val="fr-CA"/>
              </w:rPr>
              <w:t xml:space="preserve">(Juge Acton) </w:t>
            </w:r>
          </w:p>
          <w:p w:rsidR="000C0C0C" w:rsidRPr="008D6C1E" w:rsidRDefault="005E6DC4" w:rsidP="000C0C0C">
            <w:pPr>
              <w:jc w:val="both"/>
              <w:rPr>
                <w:rStyle w:val="Hyperlink"/>
                <w:sz w:val="20"/>
                <w:lang w:val="fr-CA"/>
              </w:rPr>
            </w:pPr>
            <w:hyperlink r:id="rId75" w:history="1">
              <w:r w:rsidR="000C0C0C" w:rsidRPr="008D6C1E">
                <w:rPr>
                  <w:rStyle w:val="Hyperlink"/>
                  <w:sz w:val="20"/>
                  <w:lang w:val="fr-CA"/>
                </w:rPr>
                <w:t>2013 SKQB 98</w:t>
              </w:r>
            </w:hyperlink>
          </w:p>
          <w:p w:rsidR="000C0C0C" w:rsidRPr="008D6C1E" w:rsidRDefault="000C0C0C" w:rsidP="000C0C0C">
            <w:pPr>
              <w:jc w:val="both"/>
              <w:rPr>
                <w:sz w:val="20"/>
                <w:lang w:val="fr-CA"/>
              </w:rPr>
            </w:pPr>
          </w:p>
        </w:tc>
        <w:tc>
          <w:tcPr>
            <w:tcW w:w="243" w:type="pct"/>
          </w:tcPr>
          <w:p w:rsidR="000C0C0C" w:rsidRPr="008D6C1E" w:rsidRDefault="000C0C0C" w:rsidP="000C0C0C">
            <w:pPr>
              <w:jc w:val="both"/>
              <w:rPr>
                <w:sz w:val="20"/>
                <w:lang w:val="fr-CA"/>
              </w:rPr>
            </w:pPr>
          </w:p>
        </w:tc>
        <w:tc>
          <w:tcPr>
            <w:tcW w:w="2330" w:type="pct"/>
          </w:tcPr>
          <w:p w:rsidR="000C0C0C" w:rsidRPr="008D6C1E" w:rsidRDefault="000C0C0C" w:rsidP="000C0C0C">
            <w:pPr>
              <w:jc w:val="both"/>
              <w:rPr>
                <w:sz w:val="20"/>
                <w:lang w:val="fr-CA"/>
              </w:rPr>
            </w:pPr>
            <w:r w:rsidRPr="008D6C1E">
              <w:rPr>
                <w:sz w:val="20"/>
                <w:lang w:val="fr-CA"/>
              </w:rPr>
              <w:t>Jugement accordant des dommages-intérêts au demandeur, y compris des dommages-intérêts punitifs et des dommages-intérêts pour souffrance morale</w:t>
            </w:r>
          </w:p>
        </w:tc>
      </w:tr>
      <w:tr w:rsidR="000C0C0C" w:rsidRPr="002C1A32" w:rsidTr="002B5CF4">
        <w:tc>
          <w:tcPr>
            <w:tcW w:w="2427" w:type="pct"/>
            <w:gridSpan w:val="2"/>
          </w:tcPr>
          <w:p w:rsidR="000C0C0C" w:rsidRPr="008D6C1E" w:rsidRDefault="000C0C0C" w:rsidP="000C0C0C">
            <w:pPr>
              <w:jc w:val="both"/>
              <w:rPr>
                <w:sz w:val="20"/>
                <w:lang w:val="fr-CA"/>
              </w:rPr>
            </w:pPr>
            <w:r w:rsidRPr="008D6C1E">
              <w:rPr>
                <w:sz w:val="20"/>
                <w:lang w:val="fr-CA"/>
              </w:rPr>
              <w:t>17 décembre 2013</w:t>
            </w:r>
          </w:p>
          <w:p w:rsidR="000C0C0C" w:rsidRPr="008D6C1E" w:rsidRDefault="000C0C0C" w:rsidP="000C0C0C">
            <w:pPr>
              <w:jc w:val="both"/>
              <w:rPr>
                <w:sz w:val="20"/>
                <w:lang w:val="fr-CA"/>
              </w:rPr>
            </w:pPr>
            <w:r w:rsidRPr="008D6C1E">
              <w:rPr>
                <w:sz w:val="20"/>
                <w:lang w:val="fr-CA"/>
              </w:rPr>
              <w:t xml:space="preserve">Cour du Banc de la Reine de la Saskatchewan </w:t>
            </w:r>
          </w:p>
          <w:p w:rsidR="000C0C0C" w:rsidRPr="008D6C1E" w:rsidRDefault="000C0C0C" w:rsidP="000C0C0C">
            <w:pPr>
              <w:jc w:val="both"/>
              <w:rPr>
                <w:sz w:val="20"/>
                <w:lang w:val="fr-CA"/>
              </w:rPr>
            </w:pPr>
            <w:r w:rsidRPr="008D6C1E">
              <w:rPr>
                <w:sz w:val="20"/>
                <w:lang w:val="fr-CA"/>
              </w:rPr>
              <w:t xml:space="preserve">(Juge Acton) </w:t>
            </w:r>
          </w:p>
          <w:p w:rsidR="000C0C0C" w:rsidRPr="008D6C1E" w:rsidRDefault="005E6DC4" w:rsidP="000C0C0C">
            <w:pPr>
              <w:jc w:val="both"/>
              <w:rPr>
                <w:rStyle w:val="Hyperlink"/>
                <w:sz w:val="20"/>
                <w:lang w:val="fr-CA"/>
              </w:rPr>
            </w:pPr>
            <w:hyperlink r:id="rId76" w:history="1">
              <w:r w:rsidR="000C0C0C" w:rsidRPr="008D6C1E">
                <w:rPr>
                  <w:rStyle w:val="Hyperlink"/>
                  <w:sz w:val="20"/>
                  <w:lang w:val="fr-CA"/>
                </w:rPr>
                <w:t>2013 SKQB 442</w:t>
              </w:r>
            </w:hyperlink>
          </w:p>
          <w:p w:rsidR="000C0C0C" w:rsidRPr="008D6C1E" w:rsidRDefault="000C0C0C" w:rsidP="000C0C0C">
            <w:pPr>
              <w:jc w:val="both"/>
              <w:rPr>
                <w:sz w:val="20"/>
                <w:lang w:val="fr-CA"/>
              </w:rPr>
            </w:pPr>
          </w:p>
        </w:tc>
        <w:tc>
          <w:tcPr>
            <w:tcW w:w="243" w:type="pct"/>
          </w:tcPr>
          <w:p w:rsidR="000C0C0C" w:rsidRPr="008D6C1E" w:rsidRDefault="000C0C0C" w:rsidP="000C0C0C">
            <w:pPr>
              <w:jc w:val="both"/>
              <w:rPr>
                <w:sz w:val="20"/>
                <w:lang w:val="fr-CA"/>
              </w:rPr>
            </w:pPr>
          </w:p>
        </w:tc>
        <w:tc>
          <w:tcPr>
            <w:tcW w:w="2330" w:type="pct"/>
          </w:tcPr>
          <w:p w:rsidR="000C0C0C" w:rsidRPr="008D6C1E" w:rsidRDefault="000C0C0C" w:rsidP="000C0C0C">
            <w:pPr>
              <w:jc w:val="both"/>
              <w:rPr>
                <w:sz w:val="20"/>
                <w:lang w:val="fr-CA"/>
              </w:rPr>
            </w:pPr>
            <w:r w:rsidRPr="008D6C1E">
              <w:rPr>
                <w:sz w:val="20"/>
                <w:lang w:val="fr-CA"/>
              </w:rPr>
              <w:t>Jugement accordant au demandeur ses dépens</w:t>
            </w:r>
          </w:p>
        </w:tc>
      </w:tr>
      <w:tr w:rsidR="000C0C0C" w:rsidRPr="002C1A32" w:rsidTr="002B5CF4">
        <w:tc>
          <w:tcPr>
            <w:tcW w:w="2427" w:type="pct"/>
            <w:gridSpan w:val="2"/>
          </w:tcPr>
          <w:p w:rsidR="000C0C0C" w:rsidRPr="008D6C1E" w:rsidRDefault="000C0C0C" w:rsidP="000C0C0C">
            <w:pPr>
              <w:jc w:val="both"/>
              <w:rPr>
                <w:sz w:val="20"/>
                <w:lang w:val="fr-CA"/>
              </w:rPr>
            </w:pPr>
            <w:r w:rsidRPr="008D6C1E">
              <w:rPr>
                <w:sz w:val="20"/>
                <w:lang w:val="fr-CA"/>
              </w:rPr>
              <w:t>19 juin 2015</w:t>
            </w:r>
          </w:p>
          <w:p w:rsidR="000C0C0C" w:rsidRPr="008D6C1E" w:rsidRDefault="000C0C0C" w:rsidP="000C0C0C">
            <w:pPr>
              <w:jc w:val="both"/>
              <w:rPr>
                <w:sz w:val="20"/>
                <w:lang w:val="fr-CA"/>
              </w:rPr>
            </w:pPr>
            <w:r w:rsidRPr="008D6C1E">
              <w:rPr>
                <w:sz w:val="20"/>
                <w:lang w:val="fr-CA"/>
              </w:rPr>
              <w:t xml:space="preserve">Cour d’appel de la Saskatchewan </w:t>
            </w:r>
          </w:p>
          <w:p w:rsidR="000C0C0C" w:rsidRPr="008D6C1E" w:rsidRDefault="000C0C0C" w:rsidP="000C0C0C">
            <w:pPr>
              <w:jc w:val="both"/>
              <w:rPr>
                <w:sz w:val="20"/>
                <w:lang w:val="fr-CA"/>
              </w:rPr>
            </w:pPr>
            <w:r w:rsidRPr="008D6C1E">
              <w:rPr>
                <w:sz w:val="20"/>
                <w:lang w:val="fr-CA"/>
              </w:rPr>
              <w:t>(Juge en chef Richards, juges Lane et Herauf)</w:t>
            </w:r>
          </w:p>
          <w:p w:rsidR="000C0C0C" w:rsidRPr="008D6C1E" w:rsidRDefault="000C0C0C" w:rsidP="000C0C0C">
            <w:pPr>
              <w:jc w:val="both"/>
              <w:rPr>
                <w:sz w:val="20"/>
                <w:lang w:val="fr-CA"/>
              </w:rPr>
            </w:pPr>
            <w:r w:rsidRPr="008D6C1E">
              <w:rPr>
                <w:sz w:val="20"/>
                <w:lang w:val="fr-CA"/>
              </w:rPr>
              <w:t xml:space="preserve">CACV2404, CACV2405, CACV2505, </w:t>
            </w:r>
          </w:p>
          <w:p w:rsidR="000C0C0C" w:rsidRPr="008D6C1E" w:rsidRDefault="000C0C0C" w:rsidP="000C0C0C">
            <w:pPr>
              <w:jc w:val="both"/>
              <w:rPr>
                <w:rStyle w:val="Hyperlink"/>
                <w:sz w:val="20"/>
                <w:lang w:val="fr-CA"/>
              </w:rPr>
            </w:pPr>
            <w:r w:rsidRPr="008D6C1E">
              <w:rPr>
                <w:sz w:val="20"/>
                <w:lang w:val="fr-CA"/>
              </w:rPr>
              <w:t xml:space="preserve">CACV2529; </w:t>
            </w:r>
            <w:hyperlink r:id="rId77" w:history="1">
              <w:r w:rsidRPr="008D6C1E">
                <w:rPr>
                  <w:rStyle w:val="Hyperlink"/>
                  <w:sz w:val="20"/>
                  <w:lang w:val="fr-CA"/>
                </w:rPr>
                <w:t>2015 SKCA 71</w:t>
              </w:r>
            </w:hyperlink>
          </w:p>
          <w:p w:rsidR="000C0C0C" w:rsidRPr="008D6C1E" w:rsidRDefault="000C0C0C" w:rsidP="000C0C0C">
            <w:pPr>
              <w:jc w:val="both"/>
              <w:rPr>
                <w:sz w:val="20"/>
                <w:lang w:val="fr-CA"/>
              </w:rPr>
            </w:pPr>
          </w:p>
        </w:tc>
        <w:tc>
          <w:tcPr>
            <w:tcW w:w="243" w:type="pct"/>
          </w:tcPr>
          <w:p w:rsidR="000C0C0C" w:rsidRPr="008D6C1E" w:rsidRDefault="000C0C0C" w:rsidP="000C0C0C">
            <w:pPr>
              <w:jc w:val="both"/>
              <w:rPr>
                <w:sz w:val="20"/>
                <w:lang w:val="fr-CA"/>
              </w:rPr>
            </w:pPr>
          </w:p>
        </w:tc>
        <w:tc>
          <w:tcPr>
            <w:tcW w:w="2330" w:type="pct"/>
          </w:tcPr>
          <w:p w:rsidR="000C0C0C" w:rsidRPr="008D6C1E" w:rsidRDefault="000C0C0C" w:rsidP="000C0C0C">
            <w:pPr>
              <w:jc w:val="both"/>
              <w:rPr>
                <w:sz w:val="20"/>
                <w:lang w:val="fr-CA"/>
              </w:rPr>
            </w:pPr>
            <w:r w:rsidRPr="008D6C1E">
              <w:rPr>
                <w:sz w:val="20"/>
                <w:lang w:val="fr-CA"/>
              </w:rPr>
              <w:t>Arrêt accueillant les appels en partie et réduisant le montant des dommages-intérêts accordés; rejet de l’appel incident</w:t>
            </w:r>
          </w:p>
          <w:p w:rsidR="000C0C0C" w:rsidRPr="008D6C1E" w:rsidRDefault="000C0C0C" w:rsidP="000C0C0C">
            <w:pPr>
              <w:jc w:val="both"/>
              <w:rPr>
                <w:sz w:val="20"/>
                <w:lang w:val="fr-CA"/>
              </w:rPr>
            </w:pPr>
          </w:p>
        </w:tc>
      </w:tr>
      <w:tr w:rsidR="000C0C0C" w:rsidRPr="002C1A32" w:rsidTr="002B5CF4">
        <w:tc>
          <w:tcPr>
            <w:tcW w:w="2427" w:type="pct"/>
            <w:gridSpan w:val="2"/>
          </w:tcPr>
          <w:p w:rsidR="000C0C0C" w:rsidRPr="008D6C1E" w:rsidRDefault="000C0C0C" w:rsidP="000C0C0C">
            <w:pPr>
              <w:jc w:val="both"/>
              <w:rPr>
                <w:sz w:val="20"/>
                <w:lang w:val="fr-CA"/>
              </w:rPr>
            </w:pPr>
            <w:r w:rsidRPr="008D6C1E">
              <w:rPr>
                <w:sz w:val="20"/>
                <w:lang w:val="fr-CA"/>
              </w:rPr>
              <w:lastRenderedPageBreak/>
              <w:t>22 octobre 2015</w:t>
            </w:r>
          </w:p>
          <w:p w:rsidR="000C0C0C" w:rsidRPr="008D6C1E" w:rsidRDefault="000C0C0C" w:rsidP="000C0C0C">
            <w:pPr>
              <w:jc w:val="both"/>
              <w:rPr>
                <w:sz w:val="20"/>
                <w:lang w:val="fr-CA"/>
              </w:rPr>
            </w:pPr>
            <w:r w:rsidRPr="008D6C1E">
              <w:rPr>
                <w:sz w:val="20"/>
                <w:lang w:val="fr-CA"/>
              </w:rPr>
              <w:t>Cour suprême du Canada</w:t>
            </w:r>
          </w:p>
          <w:p w:rsidR="000C0C0C" w:rsidRPr="008D6C1E" w:rsidRDefault="000C0C0C" w:rsidP="000C0C0C">
            <w:pPr>
              <w:jc w:val="both"/>
              <w:rPr>
                <w:sz w:val="20"/>
                <w:lang w:val="fr-CA"/>
              </w:rPr>
            </w:pPr>
          </w:p>
        </w:tc>
        <w:tc>
          <w:tcPr>
            <w:tcW w:w="243" w:type="pct"/>
          </w:tcPr>
          <w:p w:rsidR="000C0C0C" w:rsidRPr="008D6C1E" w:rsidRDefault="000C0C0C" w:rsidP="000C0C0C">
            <w:pPr>
              <w:jc w:val="both"/>
              <w:rPr>
                <w:sz w:val="20"/>
                <w:lang w:val="fr-CA"/>
              </w:rPr>
            </w:pPr>
          </w:p>
        </w:tc>
        <w:tc>
          <w:tcPr>
            <w:tcW w:w="2330" w:type="pct"/>
          </w:tcPr>
          <w:p w:rsidR="000C0C0C" w:rsidRPr="008D6C1E" w:rsidRDefault="000C0C0C" w:rsidP="000C0C0C">
            <w:pPr>
              <w:jc w:val="both"/>
              <w:rPr>
                <w:sz w:val="20"/>
                <w:lang w:val="fr-CA"/>
              </w:rPr>
            </w:pPr>
            <w:r w:rsidRPr="008D6C1E">
              <w:rPr>
                <w:sz w:val="20"/>
                <w:lang w:val="fr-CA"/>
              </w:rPr>
              <w:t>Dépôt de la requête en prorogation du délai de signification et de dépôt de la demande d’autorisation d’appel; dépôt de la demande d’autorisation d’appel</w:t>
            </w:r>
          </w:p>
          <w:p w:rsidR="000C0C0C" w:rsidRPr="008D6C1E" w:rsidRDefault="000C0C0C" w:rsidP="000C0C0C">
            <w:pPr>
              <w:jc w:val="both"/>
              <w:rPr>
                <w:sz w:val="20"/>
                <w:lang w:val="fr-CA"/>
              </w:rPr>
            </w:pPr>
          </w:p>
        </w:tc>
      </w:tr>
      <w:tr w:rsidR="000C0C0C" w:rsidRPr="002C1A32" w:rsidTr="002B5CF4">
        <w:tc>
          <w:tcPr>
            <w:tcW w:w="2427" w:type="pct"/>
            <w:gridSpan w:val="2"/>
          </w:tcPr>
          <w:p w:rsidR="000C0C0C" w:rsidRPr="008D6C1E" w:rsidRDefault="000C0C0C" w:rsidP="000C0C0C">
            <w:pPr>
              <w:jc w:val="both"/>
              <w:rPr>
                <w:sz w:val="20"/>
                <w:lang w:val="fr-CA"/>
              </w:rPr>
            </w:pPr>
            <w:r w:rsidRPr="008D6C1E">
              <w:rPr>
                <w:sz w:val="20"/>
                <w:lang w:val="fr-CA"/>
              </w:rPr>
              <w:t>22 décembre 2015</w:t>
            </w:r>
          </w:p>
          <w:p w:rsidR="000C0C0C" w:rsidRPr="008D6C1E" w:rsidRDefault="000C0C0C" w:rsidP="000C0C0C">
            <w:pPr>
              <w:jc w:val="both"/>
              <w:rPr>
                <w:sz w:val="20"/>
                <w:lang w:val="fr-CA"/>
              </w:rPr>
            </w:pPr>
            <w:r w:rsidRPr="008D6C1E">
              <w:rPr>
                <w:sz w:val="20"/>
                <w:lang w:val="fr-CA"/>
              </w:rPr>
              <w:t>Cour suprême du Canada</w:t>
            </w:r>
          </w:p>
        </w:tc>
        <w:tc>
          <w:tcPr>
            <w:tcW w:w="243" w:type="pct"/>
          </w:tcPr>
          <w:p w:rsidR="000C0C0C" w:rsidRPr="008D6C1E" w:rsidRDefault="000C0C0C" w:rsidP="000C0C0C">
            <w:pPr>
              <w:jc w:val="both"/>
              <w:rPr>
                <w:sz w:val="20"/>
                <w:lang w:val="fr-CA"/>
              </w:rPr>
            </w:pPr>
          </w:p>
        </w:tc>
        <w:tc>
          <w:tcPr>
            <w:tcW w:w="2330" w:type="pct"/>
          </w:tcPr>
          <w:p w:rsidR="000C0C0C" w:rsidRPr="008D6C1E" w:rsidRDefault="000C0C0C" w:rsidP="000C0C0C">
            <w:pPr>
              <w:jc w:val="both"/>
              <w:rPr>
                <w:sz w:val="20"/>
                <w:lang w:val="fr-CA"/>
              </w:rPr>
            </w:pPr>
            <w:r w:rsidRPr="008D6C1E">
              <w:rPr>
                <w:sz w:val="20"/>
                <w:lang w:val="fr-CA"/>
              </w:rPr>
              <w:t>Dépôt de la demande conditionnelle d’autorisation d’appel incident</w:t>
            </w:r>
          </w:p>
        </w:tc>
      </w:tr>
    </w:tbl>
    <w:p w:rsidR="000C0C0C" w:rsidRPr="008D6C1E" w:rsidRDefault="000C0C0C" w:rsidP="000E5E17">
      <w:pPr>
        <w:jc w:val="both"/>
        <w:rPr>
          <w:sz w:val="20"/>
          <w:lang w:val="fr-CA"/>
        </w:rPr>
      </w:pPr>
    </w:p>
    <w:p w:rsidR="006C44EF" w:rsidRPr="008D6C1E" w:rsidRDefault="006C44EF" w:rsidP="000E5E17">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5E17" w:rsidRPr="008D6C1E" w:rsidTr="002B5CF4">
        <w:tc>
          <w:tcPr>
            <w:tcW w:w="543" w:type="pct"/>
          </w:tcPr>
          <w:p w:rsidR="000E5E17" w:rsidRPr="008D6C1E" w:rsidRDefault="000E5E17" w:rsidP="000E5E17">
            <w:pPr>
              <w:jc w:val="both"/>
              <w:rPr>
                <w:sz w:val="20"/>
              </w:rPr>
            </w:pPr>
            <w:r w:rsidRPr="008D6C1E">
              <w:rPr>
                <w:rStyle w:val="SCCFileNumberChar"/>
                <w:sz w:val="20"/>
                <w:szCs w:val="20"/>
              </w:rPr>
              <w:t>36816</w:t>
            </w:r>
          </w:p>
        </w:tc>
        <w:tc>
          <w:tcPr>
            <w:tcW w:w="4457" w:type="pct"/>
            <w:gridSpan w:val="3"/>
          </w:tcPr>
          <w:p w:rsidR="000E5E17" w:rsidRPr="002C1A32" w:rsidRDefault="000E5E17" w:rsidP="000E5E17">
            <w:pPr>
              <w:pStyle w:val="SCCLsocParty"/>
              <w:jc w:val="both"/>
              <w:rPr>
                <w:b/>
                <w:sz w:val="20"/>
                <w:szCs w:val="20"/>
                <w:lang w:val="en-US"/>
              </w:rPr>
            </w:pPr>
            <w:r w:rsidRPr="002C1A32">
              <w:rPr>
                <w:b/>
                <w:sz w:val="20"/>
                <w:szCs w:val="20"/>
                <w:lang w:val="en-US"/>
              </w:rPr>
              <w:t>Scott Diamond v. Her Majesty the Queen in Right of Newfoundland and Labrador and Her Majesty the Queen in Right of Canada</w:t>
            </w:r>
          </w:p>
          <w:p w:rsidR="000E5E17" w:rsidRPr="008D6C1E" w:rsidRDefault="000E5E17" w:rsidP="000E5E17">
            <w:pPr>
              <w:jc w:val="both"/>
              <w:rPr>
                <w:sz w:val="20"/>
              </w:rPr>
            </w:pPr>
            <w:r w:rsidRPr="008D6C1E">
              <w:rPr>
                <w:sz w:val="20"/>
              </w:rPr>
              <w:t>(N.L.) (Criminal) (As of Right / By Leave)</w:t>
            </w:r>
          </w:p>
        </w:tc>
      </w:tr>
      <w:tr w:rsidR="000E5E17" w:rsidRPr="008D6C1E" w:rsidTr="002B5CF4">
        <w:tc>
          <w:tcPr>
            <w:tcW w:w="5000" w:type="pct"/>
            <w:gridSpan w:val="4"/>
          </w:tcPr>
          <w:p w:rsidR="000E5E17" w:rsidRPr="008D6C1E" w:rsidRDefault="000E5E17" w:rsidP="000E5E17">
            <w:pPr>
              <w:jc w:val="both"/>
              <w:rPr>
                <w:sz w:val="20"/>
              </w:rPr>
            </w:pPr>
            <w:r w:rsidRPr="008D6C1E">
              <w:rPr>
                <w:i/>
                <w:sz w:val="20"/>
              </w:rPr>
              <w:t>Charter of Rights</w:t>
            </w:r>
            <w:r w:rsidRPr="008D6C1E">
              <w:rPr>
                <w:sz w:val="20"/>
              </w:rPr>
              <w:t xml:space="preserve"> – Criminal law – Search and seizure – Arbitrary detention – Remedy – Whether the Court of Appeal, writing in dissent, erred in law when it found that reasonable and probable grounds for arrest has a threshold lower than the civil standard of proof – Whether the Court of Appeal, writing in dissent, erred in law when it found that a reasonable suspicion of a concern for safety justified the officer’s search of the accused’s vehicle.</w:t>
            </w:r>
          </w:p>
        </w:tc>
      </w:tr>
      <w:tr w:rsidR="000E5E17" w:rsidRPr="008D6C1E" w:rsidTr="002B5CF4">
        <w:tc>
          <w:tcPr>
            <w:tcW w:w="5000" w:type="pct"/>
            <w:gridSpan w:val="4"/>
          </w:tcPr>
          <w:p w:rsidR="000E5E17" w:rsidRPr="008D6C1E" w:rsidRDefault="000E5E17" w:rsidP="000E5E17">
            <w:pPr>
              <w:jc w:val="both"/>
              <w:rPr>
                <w:sz w:val="20"/>
              </w:rPr>
            </w:pPr>
          </w:p>
        </w:tc>
      </w:tr>
      <w:tr w:rsidR="000E5E17" w:rsidRPr="008D6C1E" w:rsidTr="002B5CF4">
        <w:tc>
          <w:tcPr>
            <w:tcW w:w="5000" w:type="pct"/>
            <w:gridSpan w:val="4"/>
          </w:tcPr>
          <w:p w:rsidR="000E5E17" w:rsidRPr="008D6C1E" w:rsidRDefault="000E5E17" w:rsidP="000E5E17">
            <w:pPr>
              <w:widowControl w:val="0"/>
              <w:jc w:val="both"/>
              <w:rPr>
                <w:sz w:val="20"/>
              </w:rPr>
            </w:pPr>
            <w:r w:rsidRPr="008D6C1E">
              <w:rPr>
                <w:sz w:val="20"/>
              </w:rPr>
              <w:t xml:space="preserve">Mr. Diamond was convicted of one count of unlawful possession of a weapon dangerous to the public peace and of one count of possession of cocaine for the purpose of trafficking. He was pulled over at night while driving over the speed limit. While he was searching for his driver’s </w:t>
            </w:r>
            <w:proofErr w:type="spellStart"/>
            <w:r w:rsidRPr="008D6C1E">
              <w:rPr>
                <w:sz w:val="20"/>
              </w:rPr>
              <w:t>licence</w:t>
            </w:r>
            <w:proofErr w:type="spellEnd"/>
            <w:r w:rsidRPr="008D6C1E">
              <w:rPr>
                <w:sz w:val="20"/>
              </w:rPr>
              <w:t xml:space="preserve"> and the vehicle registration, the officer spotted an unsheathed hunting-type knife with his flashlight. Mr. Diamond was arrested for possession of a weapon dangerous to the public peace. A pat-down search at roadside then revealed a small bag of cocaine. A subsequent strip-search at the police detachment led to the discovery of 28 additional small bags of cocaine. At trial, Mr. Diamond argued that the search of his vehicle was a warrantless search in violation of s. 8 of the </w:t>
            </w:r>
            <w:r w:rsidRPr="008D6C1E">
              <w:rPr>
                <w:i/>
                <w:sz w:val="20"/>
              </w:rPr>
              <w:t xml:space="preserve">Canadian Charter of Rights and </w:t>
            </w:r>
            <w:proofErr w:type="gramStart"/>
            <w:r w:rsidRPr="008D6C1E">
              <w:rPr>
                <w:i/>
                <w:sz w:val="20"/>
              </w:rPr>
              <w:t>Freedoms</w:t>
            </w:r>
            <w:r w:rsidRPr="008D6C1E">
              <w:rPr>
                <w:sz w:val="20"/>
              </w:rPr>
              <w:t>, that</w:t>
            </w:r>
            <w:proofErr w:type="gramEnd"/>
            <w:r w:rsidRPr="008D6C1E">
              <w:rPr>
                <w:sz w:val="20"/>
              </w:rPr>
              <w:t xml:space="preserve"> his arrest was unlawful and in violation of s. 9 of the </w:t>
            </w:r>
            <w:r w:rsidRPr="008D6C1E">
              <w:rPr>
                <w:i/>
                <w:sz w:val="20"/>
              </w:rPr>
              <w:t>Charter</w:t>
            </w:r>
            <w:r w:rsidRPr="008D6C1E">
              <w:rPr>
                <w:sz w:val="20"/>
              </w:rPr>
              <w:t xml:space="preserve">, and that all of the evidence should be excluded under s. 24(2) of the </w:t>
            </w:r>
            <w:r w:rsidRPr="008D6C1E">
              <w:rPr>
                <w:i/>
                <w:sz w:val="20"/>
              </w:rPr>
              <w:t>Charter</w:t>
            </w:r>
            <w:r w:rsidRPr="008D6C1E">
              <w:rPr>
                <w:sz w:val="20"/>
              </w:rPr>
              <w:t xml:space="preserve">. The trial judge found that the officer’s actions at the side of the road did not constitute a search, that the seizure of the knife was justified, that the officer had reasonable and probable grounds to arrest Mr. Diamond and that the seizure of the cocaine was justifiable and incidental to the arrest. The majority of the Court of Appeal dismissed the appeal. White J.A., dissenting, would have allowed the appeal, ordered that all evidence be excluded, and entered verdicts of acquittal. </w:t>
            </w:r>
          </w:p>
          <w:p w:rsidR="000E5E17" w:rsidRPr="008D6C1E" w:rsidRDefault="000E5E17" w:rsidP="000E5E17">
            <w:pPr>
              <w:jc w:val="both"/>
              <w:rPr>
                <w:sz w:val="20"/>
              </w:rPr>
            </w:pPr>
          </w:p>
        </w:tc>
      </w:tr>
      <w:tr w:rsidR="000E5E17" w:rsidRPr="008D6C1E" w:rsidTr="002B5CF4">
        <w:tc>
          <w:tcPr>
            <w:tcW w:w="2427" w:type="pct"/>
            <w:gridSpan w:val="2"/>
          </w:tcPr>
          <w:p w:rsidR="000E5E17" w:rsidRPr="008D6C1E" w:rsidRDefault="000E5E17" w:rsidP="000E5E17">
            <w:pPr>
              <w:jc w:val="both"/>
              <w:rPr>
                <w:sz w:val="20"/>
              </w:rPr>
            </w:pPr>
            <w:r w:rsidRPr="008D6C1E">
              <w:rPr>
                <w:sz w:val="20"/>
              </w:rPr>
              <w:t>July 9, 2014</w:t>
            </w:r>
          </w:p>
          <w:p w:rsidR="000E5E17" w:rsidRPr="008D6C1E" w:rsidRDefault="000E5E17" w:rsidP="000E5E17">
            <w:pPr>
              <w:jc w:val="both"/>
              <w:rPr>
                <w:sz w:val="20"/>
              </w:rPr>
            </w:pPr>
            <w:r w:rsidRPr="008D6C1E">
              <w:rPr>
                <w:sz w:val="20"/>
              </w:rPr>
              <w:t>Provincial Court of Newfoundland and Labrador</w:t>
            </w:r>
          </w:p>
          <w:p w:rsidR="000E5E17" w:rsidRPr="008D6C1E" w:rsidRDefault="000E5E17" w:rsidP="000E5E17">
            <w:pPr>
              <w:jc w:val="both"/>
              <w:rPr>
                <w:sz w:val="20"/>
              </w:rPr>
            </w:pPr>
            <w:r w:rsidRPr="008D6C1E">
              <w:rPr>
                <w:sz w:val="20"/>
              </w:rPr>
              <w:t>(</w:t>
            </w:r>
            <w:proofErr w:type="spellStart"/>
            <w:r w:rsidRPr="008D6C1E">
              <w:rPr>
                <w:sz w:val="20"/>
              </w:rPr>
              <w:t>Hyslop</w:t>
            </w:r>
            <w:proofErr w:type="spellEnd"/>
            <w:r w:rsidRPr="008D6C1E">
              <w:rPr>
                <w:sz w:val="20"/>
              </w:rPr>
              <w:t xml:space="preserve"> J.)</w:t>
            </w:r>
          </w:p>
          <w:p w:rsidR="000E5E17" w:rsidRPr="008D6C1E" w:rsidRDefault="000E5E17" w:rsidP="000E5E17">
            <w:pPr>
              <w:jc w:val="both"/>
              <w:rPr>
                <w:sz w:val="20"/>
              </w:rPr>
            </w:pPr>
          </w:p>
        </w:tc>
        <w:tc>
          <w:tcPr>
            <w:tcW w:w="243" w:type="pct"/>
          </w:tcPr>
          <w:p w:rsidR="000E5E17" w:rsidRPr="008D6C1E" w:rsidRDefault="000E5E17" w:rsidP="000E5E17">
            <w:pPr>
              <w:jc w:val="both"/>
              <w:rPr>
                <w:sz w:val="20"/>
              </w:rPr>
            </w:pPr>
          </w:p>
        </w:tc>
        <w:tc>
          <w:tcPr>
            <w:tcW w:w="2330" w:type="pct"/>
          </w:tcPr>
          <w:p w:rsidR="000E5E17" w:rsidRPr="008D6C1E" w:rsidRDefault="000E5E17" w:rsidP="000E5E17">
            <w:pPr>
              <w:jc w:val="both"/>
              <w:rPr>
                <w:sz w:val="20"/>
              </w:rPr>
            </w:pPr>
            <w:r w:rsidRPr="008D6C1E">
              <w:rPr>
                <w:sz w:val="20"/>
              </w:rPr>
              <w:t>Application to exclude evidence dismissed</w:t>
            </w:r>
          </w:p>
        </w:tc>
      </w:tr>
      <w:tr w:rsidR="000E5E17" w:rsidRPr="008D6C1E" w:rsidTr="002B5CF4">
        <w:tc>
          <w:tcPr>
            <w:tcW w:w="2427" w:type="pct"/>
            <w:gridSpan w:val="2"/>
          </w:tcPr>
          <w:p w:rsidR="000E5E17" w:rsidRPr="008D6C1E" w:rsidRDefault="000E5E17" w:rsidP="000E5E17">
            <w:pPr>
              <w:jc w:val="both"/>
              <w:rPr>
                <w:sz w:val="20"/>
              </w:rPr>
            </w:pPr>
            <w:r w:rsidRPr="008D6C1E">
              <w:rPr>
                <w:sz w:val="20"/>
              </w:rPr>
              <w:t>August 19, 2014</w:t>
            </w:r>
          </w:p>
          <w:p w:rsidR="000E5E17" w:rsidRPr="008D6C1E" w:rsidRDefault="000E5E17" w:rsidP="000E5E17">
            <w:pPr>
              <w:jc w:val="both"/>
              <w:rPr>
                <w:sz w:val="20"/>
              </w:rPr>
            </w:pPr>
            <w:r w:rsidRPr="008D6C1E">
              <w:rPr>
                <w:sz w:val="20"/>
              </w:rPr>
              <w:t>Provincial Court of Newfoundland and Labrador</w:t>
            </w:r>
          </w:p>
          <w:p w:rsidR="000E5E17" w:rsidRPr="008D6C1E" w:rsidRDefault="000E5E17" w:rsidP="000E5E17">
            <w:pPr>
              <w:jc w:val="both"/>
              <w:rPr>
                <w:sz w:val="20"/>
              </w:rPr>
            </w:pPr>
            <w:r w:rsidRPr="008D6C1E">
              <w:rPr>
                <w:sz w:val="20"/>
              </w:rPr>
              <w:t>(</w:t>
            </w:r>
            <w:proofErr w:type="spellStart"/>
            <w:r w:rsidRPr="008D6C1E">
              <w:rPr>
                <w:sz w:val="20"/>
              </w:rPr>
              <w:t>Hyslop</w:t>
            </w:r>
            <w:proofErr w:type="spellEnd"/>
            <w:r w:rsidRPr="008D6C1E">
              <w:rPr>
                <w:sz w:val="20"/>
              </w:rPr>
              <w:t xml:space="preserve"> J.)</w:t>
            </w:r>
          </w:p>
          <w:p w:rsidR="000E5E17" w:rsidRPr="008D6C1E" w:rsidRDefault="000E5E17" w:rsidP="000E5E17">
            <w:pPr>
              <w:jc w:val="both"/>
              <w:rPr>
                <w:sz w:val="20"/>
              </w:rPr>
            </w:pPr>
          </w:p>
        </w:tc>
        <w:tc>
          <w:tcPr>
            <w:tcW w:w="243" w:type="pct"/>
          </w:tcPr>
          <w:p w:rsidR="000E5E17" w:rsidRPr="008D6C1E" w:rsidRDefault="000E5E17" w:rsidP="000E5E17">
            <w:pPr>
              <w:jc w:val="both"/>
              <w:rPr>
                <w:sz w:val="20"/>
              </w:rPr>
            </w:pPr>
          </w:p>
        </w:tc>
        <w:tc>
          <w:tcPr>
            <w:tcW w:w="2330" w:type="pct"/>
          </w:tcPr>
          <w:p w:rsidR="000E5E17" w:rsidRPr="008D6C1E" w:rsidRDefault="000E5E17" w:rsidP="000E5E17">
            <w:pPr>
              <w:jc w:val="both"/>
              <w:rPr>
                <w:sz w:val="20"/>
              </w:rPr>
            </w:pPr>
            <w:r w:rsidRPr="008D6C1E">
              <w:rPr>
                <w:sz w:val="20"/>
              </w:rPr>
              <w:t>Applicant convicted of unlawful possession of a weapon dangerous to the public peace and of possession of cocaine for the purpose of trafficking</w:t>
            </w:r>
          </w:p>
          <w:p w:rsidR="000E5E17" w:rsidRPr="008D6C1E" w:rsidRDefault="000E5E17" w:rsidP="000E5E17">
            <w:pPr>
              <w:jc w:val="both"/>
              <w:rPr>
                <w:sz w:val="20"/>
              </w:rPr>
            </w:pPr>
          </w:p>
        </w:tc>
      </w:tr>
      <w:tr w:rsidR="000E5E17" w:rsidRPr="008D6C1E" w:rsidTr="002B5CF4">
        <w:tc>
          <w:tcPr>
            <w:tcW w:w="2427" w:type="pct"/>
            <w:gridSpan w:val="2"/>
          </w:tcPr>
          <w:p w:rsidR="000E5E17" w:rsidRPr="008D6C1E" w:rsidRDefault="000E5E17" w:rsidP="000E5E17">
            <w:pPr>
              <w:jc w:val="both"/>
              <w:rPr>
                <w:sz w:val="20"/>
              </w:rPr>
            </w:pPr>
            <w:r w:rsidRPr="008D6C1E">
              <w:rPr>
                <w:sz w:val="20"/>
              </w:rPr>
              <w:t>December 23, 2015</w:t>
            </w:r>
          </w:p>
          <w:p w:rsidR="000E5E17" w:rsidRPr="008D6C1E" w:rsidRDefault="000E5E17" w:rsidP="000E5E17">
            <w:pPr>
              <w:jc w:val="both"/>
              <w:rPr>
                <w:sz w:val="20"/>
              </w:rPr>
            </w:pPr>
            <w:r w:rsidRPr="008D6C1E">
              <w:rPr>
                <w:sz w:val="20"/>
              </w:rPr>
              <w:t xml:space="preserve">Supreme Court of Newfoundland and Labrador – </w:t>
            </w:r>
          </w:p>
          <w:p w:rsidR="000E5E17" w:rsidRPr="008D6C1E" w:rsidRDefault="000E5E17" w:rsidP="000E5E17">
            <w:pPr>
              <w:jc w:val="both"/>
              <w:rPr>
                <w:sz w:val="20"/>
              </w:rPr>
            </w:pPr>
            <w:r w:rsidRPr="008D6C1E">
              <w:rPr>
                <w:sz w:val="20"/>
              </w:rPr>
              <w:t>Court of Appeal</w:t>
            </w:r>
          </w:p>
          <w:p w:rsidR="000E5E17" w:rsidRPr="008D6C1E" w:rsidRDefault="000E5E17" w:rsidP="000E5E17">
            <w:pPr>
              <w:jc w:val="both"/>
              <w:rPr>
                <w:sz w:val="20"/>
              </w:rPr>
            </w:pPr>
            <w:r w:rsidRPr="008D6C1E">
              <w:rPr>
                <w:sz w:val="20"/>
              </w:rPr>
              <w:t>(Welsh, Harrington and White [dissenting] JJ.A.)</w:t>
            </w:r>
          </w:p>
          <w:p w:rsidR="000E5E17" w:rsidRPr="008D6C1E" w:rsidRDefault="005E6DC4" w:rsidP="000E5E17">
            <w:pPr>
              <w:jc w:val="both"/>
              <w:rPr>
                <w:sz w:val="20"/>
              </w:rPr>
            </w:pPr>
            <w:hyperlink r:id="rId78" w:history="1">
              <w:r w:rsidR="000E5E17" w:rsidRPr="008D6C1E">
                <w:rPr>
                  <w:rStyle w:val="Hyperlink"/>
                  <w:sz w:val="20"/>
                </w:rPr>
                <w:t>2015 NLCA 60</w:t>
              </w:r>
            </w:hyperlink>
          </w:p>
          <w:p w:rsidR="000E5E17" w:rsidRPr="008D6C1E" w:rsidRDefault="000E5E17" w:rsidP="000E5E17">
            <w:pPr>
              <w:jc w:val="both"/>
              <w:rPr>
                <w:sz w:val="20"/>
              </w:rPr>
            </w:pPr>
          </w:p>
        </w:tc>
        <w:tc>
          <w:tcPr>
            <w:tcW w:w="243" w:type="pct"/>
          </w:tcPr>
          <w:p w:rsidR="000E5E17" w:rsidRPr="008D6C1E" w:rsidRDefault="000E5E17" w:rsidP="000E5E17">
            <w:pPr>
              <w:jc w:val="both"/>
              <w:rPr>
                <w:sz w:val="20"/>
              </w:rPr>
            </w:pPr>
          </w:p>
        </w:tc>
        <w:tc>
          <w:tcPr>
            <w:tcW w:w="2330" w:type="pct"/>
          </w:tcPr>
          <w:p w:rsidR="000E5E17" w:rsidRPr="008D6C1E" w:rsidRDefault="000E5E17" w:rsidP="000E5E17">
            <w:pPr>
              <w:jc w:val="both"/>
              <w:rPr>
                <w:sz w:val="20"/>
              </w:rPr>
            </w:pPr>
            <w:r w:rsidRPr="008D6C1E">
              <w:rPr>
                <w:sz w:val="20"/>
              </w:rPr>
              <w:t>Appeal dismissed</w:t>
            </w:r>
          </w:p>
          <w:p w:rsidR="000E5E17" w:rsidRPr="008D6C1E" w:rsidRDefault="000E5E17" w:rsidP="000E5E17">
            <w:pPr>
              <w:jc w:val="both"/>
              <w:rPr>
                <w:sz w:val="20"/>
              </w:rPr>
            </w:pPr>
          </w:p>
        </w:tc>
      </w:tr>
      <w:tr w:rsidR="000E5E17" w:rsidRPr="008D6C1E" w:rsidTr="002B5CF4">
        <w:tc>
          <w:tcPr>
            <w:tcW w:w="2427" w:type="pct"/>
            <w:gridSpan w:val="2"/>
          </w:tcPr>
          <w:p w:rsidR="000E5E17" w:rsidRPr="008D6C1E" w:rsidRDefault="000E5E17" w:rsidP="000E5E17">
            <w:pPr>
              <w:jc w:val="both"/>
              <w:rPr>
                <w:sz w:val="20"/>
              </w:rPr>
            </w:pPr>
            <w:r w:rsidRPr="008D6C1E">
              <w:rPr>
                <w:sz w:val="20"/>
              </w:rPr>
              <w:t>January 20, 2016</w:t>
            </w:r>
          </w:p>
          <w:p w:rsidR="000E5E17" w:rsidRPr="008D6C1E" w:rsidRDefault="000E5E17" w:rsidP="000E5E17">
            <w:pPr>
              <w:jc w:val="both"/>
              <w:rPr>
                <w:sz w:val="20"/>
              </w:rPr>
            </w:pPr>
            <w:r w:rsidRPr="008D6C1E">
              <w:rPr>
                <w:sz w:val="20"/>
              </w:rPr>
              <w:t>Supreme Court of Canada</w:t>
            </w:r>
          </w:p>
          <w:p w:rsidR="000E5E17" w:rsidRPr="008D6C1E" w:rsidRDefault="000E5E17" w:rsidP="000E5E17">
            <w:pPr>
              <w:jc w:val="both"/>
              <w:rPr>
                <w:sz w:val="20"/>
              </w:rPr>
            </w:pPr>
          </w:p>
        </w:tc>
        <w:tc>
          <w:tcPr>
            <w:tcW w:w="243" w:type="pct"/>
          </w:tcPr>
          <w:p w:rsidR="000E5E17" w:rsidRPr="008D6C1E" w:rsidRDefault="000E5E17" w:rsidP="000E5E17">
            <w:pPr>
              <w:jc w:val="both"/>
              <w:rPr>
                <w:sz w:val="20"/>
              </w:rPr>
            </w:pPr>
          </w:p>
        </w:tc>
        <w:tc>
          <w:tcPr>
            <w:tcW w:w="2330" w:type="pct"/>
          </w:tcPr>
          <w:p w:rsidR="000E5E17" w:rsidRPr="008D6C1E" w:rsidRDefault="000E5E17" w:rsidP="000E5E17">
            <w:pPr>
              <w:jc w:val="both"/>
              <w:rPr>
                <w:sz w:val="20"/>
              </w:rPr>
            </w:pPr>
            <w:r w:rsidRPr="008D6C1E">
              <w:rPr>
                <w:sz w:val="20"/>
              </w:rPr>
              <w:t>Notice of appeal filed</w:t>
            </w:r>
          </w:p>
          <w:p w:rsidR="000E5E17" w:rsidRPr="008D6C1E" w:rsidRDefault="000E5E17" w:rsidP="000E5E17">
            <w:pPr>
              <w:jc w:val="both"/>
              <w:rPr>
                <w:sz w:val="20"/>
              </w:rPr>
            </w:pPr>
          </w:p>
        </w:tc>
      </w:tr>
      <w:tr w:rsidR="000E5E17" w:rsidRPr="008D6C1E" w:rsidTr="002B5CF4">
        <w:tc>
          <w:tcPr>
            <w:tcW w:w="2427" w:type="pct"/>
            <w:gridSpan w:val="2"/>
          </w:tcPr>
          <w:p w:rsidR="000E5E17" w:rsidRPr="008D6C1E" w:rsidRDefault="000E5E17" w:rsidP="000E5E17">
            <w:pPr>
              <w:jc w:val="both"/>
              <w:rPr>
                <w:sz w:val="20"/>
              </w:rPr>
            </w:pPr>
            <w:r w:rsidRPr="008D6C1E">
              <w:rPr>
                <w:sz w:val="20"/>
              </w:rPr>
              <w:t>February 19, 2016</w:t>
            </w:r>
          </w:p>
          <w:p w:rsidR="000E5E17" w:rsidRPr="008D6C1E" w:rsidRDefault="000E5E17" w:rsidP="000E5E17">
            <w:pPr>
              <w:jc w:val="both"/>
              <w:rPr>
                <w:sz w:val="20"/>
              </w:rPr>
            </w:pPr>
            <w:r w:rsidRPr="008D6C1E">
              <w:rPr>
                <w:sz w:val="20"/>
              </w:rPr>
              <w:t>Supreme Court of Canada</w:t>
            </w:r>
          </w:p>
        </w:tc>
        <w:tc>
          <w:tcPr>
            <w:tcW w:w="243" w:type="pct"/>
          </w:tcPr>
          <w:p w:rsidR="000E5E17" w:rsidRPr="008D6C1E" w:rsidRDefault="000E5E17" w:rsidP="000E5E17">
            <w:pPr>
              <w:jc w:val="both"/>
              <w:rPr>
                <w:sz w:val="20"/>
              </w:rPr>
            </w:pPr>
          </w:p>
        </w:tc>
        <w:tc>
          <w:tcPr>
            <w:tcW w:w="2330" w:type="pct"/>
          </w:tcPr>
          <w:p w:rsidR="000E5E17" w:rsidRPr="008D6C1E" w:rsidRDefault="000E5E17" w:rsidP="000E5E17">
            <w:pPr>
              <w:jc w:val="both"/>
              <w:rPr>
                <w:sz w:val="20"/>
              </w:rPr>
            </w:pPr>
            <w:r w:rsidRPr="008D6C1E">
              <w:rPr>
                <w:sz w:val="20"/>
              </w:rPr>
              <w:t>Application for leave to appeal filed</w:t>
            </w:r>
          </w:p>
        </w:tc>
      </w:tr>
    </w:tbl>
    <w:p w:rsidR="000E5E17" w:rsidRPr="008D6C1E" w:rsidRDefault="000E5E17" w:rsidP="000E5E17">
      <w:pPr>
        <w:jc w:val="both"/>
        <w:rPr>
          <w:sz w:val="20"/>
        </w:rPr>
      </w:pPr>
    </w:p>
    <w:p w:rsidR="000E5E17" w:rsidRPr="008D6C1E" w:rsidRDefault="000E5E17" w:rsidP="000E5E1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5E17" w:rsidRPr="002C1A32" w:rsidTr="002B5CF4">
        <w:tc>
          <w:tcPr>
            <w:tcW w:w="543" w:type="pct"/>
          </w:tcPr>
          <w:p w:rsidR="000E5E17" w:rsidRPr="008D6C1E" w:rsidRDefault="000E5E17" w:rsidP="000E5E17">
            <w:pPr>
              <w:jc w:val="both"/>
              <w:rPr>
                <w:sz w:val="20"/>
                <w:lang w:val="fr-CA"/>
              </w:rPr>
            </w:pPr>
            <w:r w:rsidRPr="008D6C1E">
              <w:rPr>
                <w:rStyle w:val="SCCFileNumberChar"/>
                <w:sz w:val="20"/>
                <w:szCs w:val="20"/>
                <w:lang w:val="fr-CA"/>
              </w:rPr>
              <w:lastRenderedPageBreak/>
              <w:t>36816</w:t>
            </w:r>
          </w:p>
        </w:tc>
        <w:tc>
          <w:tcPr>
            <w:tcW w:w="4457" w:type="pct"/>
            <w:gridSpan w:val="3"/>
          </w:tcPr>
          <w:p w:rsidR="000E5E17" w:rsidRPr="008D6C1E" w:rsidRDefault="000E5E17" w:rsidP="000E5E17">
            <w:pPr>
              <w:pStyle w:val="SCCLsocParty"/>
              <w:jc w:val="both"/>
              <w:rPr>
                <w:b/>
                <w:sz w:val="20"/>
                <w:szCs w:val="20"/>
              </w:rPr>
            </w:pPr>
            <w:r w:rsidRPr="008D6C1E">
              <w:rPr>
                <w:b/>
                <w:sz w:val="20"/>
                <w:szCs w:val="20"/>
              </w:rPr>
              <w:t>Scott Diamond c. Sa Majesté la Reine du chef de Terre-Neuve-et-Labrador et Sa Majesté la Reine du chef du Canada</w:t>
            </w:r>
          </w:p>
          <w:p w:rsidR="000E5E17" w:rsidRPr="008D6C1E" w:rsidRDefault="000E5E17" w:rsidP="000E5E17">
            <w:pPr>
              <w:jc w:val="both"/>
              <w:rPr>
                <w:sz w:val="20"/>
                <w:lang w:val="fr-CA"/>
              </w:rPr>
            </w:pPr>
            <w:r w:rsidRPr="008D6C1E">
              <w:rPr>
                <w:sz w:val="20"/>
                <w:lang w:val="fr-CA"/>
              </w:rPr>
              <w:t>(T.-N.-L.) (Criminelle) (De plein droit/Sur autorisation)</w:t>
            </w:r>
          </w:p>
        </w:tc>
      </w:tr>
      <w:tr w:rsidR="000E5E17" w:rsidRPr="002C1A32" w:rsidTr="002B5CF4">
        <w:tc>
          <w:tcPr>
            <w:tcW w:w="5000" w:type="pct"/>
            <w:gridSpan w:val="4"/>
          </w:tcPr>
          <w:p w:rsidR="000E5E17" w:rsidRPr="008D6C1E" w:rsidRDefault="000E5E17" w:rsidP="000E5E17">
            <w:pPr>
              <w:jc w:val="both"/>
              <w:rPr>
                <w:sz w:val="20"/>
                <w:lang w:val="fr-CA"/>
              </w:rPr>
            </w:pPr>
            <w:r w:rsidRPr="008D6C1E">
              <w:rPr>
                <w:i/>
                <w:sz w:val="20"/>
                <w:lang w:val="fr-CA"/>
              </w:rPr>
              <w:t xml:space="preserve">Charte des droits </w:t>
            </w:r>
            <w:r w:rsidRPr="008D6C1E">
              <w:rPr>
                <w:sz w:val="20"/>
                <w:lang w:val="fr-CA"/>
              </w:rPr>
              <w:t xml:space="preserve">– Droit criminel – Fouilles et perquisitions – Détention arbitraire – Réparation – La Cour d’appel, dans un arrêt non unanime, a-t-elle commis une erreur de droit en concluant que les motifs raisonnables et probables d’arrestation constituent une norme moins rigoureuse que la norme en matière civile? – Le juge dissident de la Cour d’appel </w:t>
            </w:r>
            <w:proofErr w:type="spellStart"/>
            <w:r w:rsidRPr="008D6C1E">
              <w:rPr>
                <w:sz w:val="20"/>
                <w:lang w:val="fr-CA"/>
              </w:rPr>
              <w:t>a-t-il</w:t>
            </w:r>
            <w:proofErr w:type="spellEnd"/>
            <w:r w:rsidRPr="008D6C1E">
              <w:rPr>
                <w:sz w:val="20"/>
                <w:lang w:val="fr-CA"/>
              </w:rPr>
              <w:t xml:space="preserve"> commis une erreur de droit en concluant que le policier était justifié de fouiller le véhicule sur le fondement d’un soupçon raisonnable lié à des inquiétudes en matière de sécurité?</w:t>
            </w:r>
          </w:p>
        </w:tc>
      </w:tr>
      <w:tr w:rsidR="000E5E17" w:rsidRPr="002C1A32" w:rsidTr="002B5CF4">
        <w:tc>
          <w:tcPr>
            <w:tcW w:w="5000" w:type="pct"/>
            <w:gridSpan w:val="4"/>
          </w:tcPr>
          <w:p w:rsidR="000E5E17" w:rsidRPr="008D6C1E" w:rsidRDefault="000E5E17" w:rsidP="000E5E17">
            <w:pPr>
              <w:jc w:val="both"/>
              <w:rPr>
                <w:sz w:val="20"/>
                <w:lang w:val="fr-CA"/>
              </w:rPr>
            </w:pPr>
          </w:p>
        </w:tc>
      </w:tr>
      <w:tr w:rsidR="000E5E17" w:rsidRPr="002C1A32" w:rsidTr="002B5CF4">
        <w:tc>
          <w:tcPr>
            <w:tcW w:w="5000" w:type="pct"/>
            <w:gridSpan w:val="4"/>
          </w:tcPr>
          <w:p w:rsidR="000E5E17" w:rsidRPr="008D6C1E" w:rsidRDefault="000E5E17" w:rsidP="000E5E17">
            <w:pPr>
              <w:widowControl w:val="0"/>
              <w:jc w:val="both"/>
              <w:rPr>
                <w:sz w:val="20"/>
                <w:lang w:val="fr-CA"/>
              </w:rPr>
            </w:pPr>
            <w:r w:rsidRPr="008D6C1E">
              <w:rPr>
                <w:sz w:val="20"/>
                <w:lang w:val="fr-CA"/>
              </w:rPr>
              <w:t>Monsieur Diamond a été déclaré coupable d’un chef d’accusation de possession illégale d’une arme dangereuse pour la paix publique et d’un chef de possession de cocaïne en vue d’en faire le trafic. Un policier l’a obligé d’immobiliser son véhicule en bordure de la route, la nuit, alors qu’il conduisait à une vitesse supérieure à la limite permise. Pendant qu’il cherchait son permis de conduire et le certificat d’immatriculation du véhicule, le policier a aperçu, avec sa lampe de poche, un couteau de chasse dégainé. Monsieur Diamond a été arrêté pour possession d’une arme dangereuse pour la paix publique. Une fouille par palpation effectuée en bordure de la route a alors permis de découvrir un petit sac de cocaïne. Une fouille à nu effectuée par la suite au poste de police a mené à la découverte de 28 petits sacs de cocaïne de plus. Au procès, M. </w:t>
            </w:r>
            <w:proofErr w:type="spellStart"/>
            <w:r w:rsidRPr="008D6C1E">
              <w:rPr>
                <w:sz w:val="20"/>
                <w:lang w:val="fr-CA"/>
              </w:rPr>
              <w:t>Diamond</w:t>
            </w:r>
            <w:proofErr w:type="spellEnd"/>
            <w:r w:rsidRPr="008D6C1E">
              <w:rPr>
                <w:sz w:val="20"/>
                <w:lang w:val="fr-CA"/>
              </w:rPr>
              <w:t xml:space="preserve"> a plaidé que la fouille de son véhicule était une perquisition sans mandat contraire à l’art. 8 de la </w:t>
            </w:r>
            <w:r w:rsidRPr="008D6C1E">
              <w:rPr>
                <w:i/>
                <w:sz w:val="20"/>
                <w:lang w:val="fr-CA"/>
              </w:rPr>
              <w:t>Charte canadienne des droits et libertés</w:t>
            </w:r>
            <w:r w:rsidRPr="008D6C1E">
              <w:rPr>
                <w:sz w:val="20"/>
                <w:lang w:val="fr-CA"/>
              </w:rPr>
              <w:t xml:space="preserve">, que son arrestation était illégale et violait l’art. 9 de la </w:t>
            </w:r>
            <w:r w:rsidRPr="008D6C1E">
              <w:rPr>
                <w:i/>
                <w:sz w:val="20"/>
                <w:lang w:val="fr-CA"/>
              </w:rPr>
              <w:t xml:space="preserve">Charte </w:t>
            </w:r>
            <w:r w:rsidRPr="008D6C1E">
              <w:rPr>
                <w:sz w:val="20"/>
                <w:lang w:val="fr-CA"/>
              </w:rPr>
              <w:t xml:space="preserve">et que tous les éléments de preuve devaient être exclus en application du par. 24(2) de la </w:t>
            </w:r>
            <w:r w:rsidRPr="008D6C1E">
              <w:rPr>
                <w:i/>
                <w:sz w:val="20"/>
                <w:lang w:val="fr-CA"/>
              </w:rPr>
              <w:t>Charte</w:t>
            </w:r>
            <w:r w:rsidRPr="008D6C1E">
              <w:rPr>
                <w:sz w:val="20"/>
                <w:lang w:val="fr-CA"/>
              </w:rPr>
              <w:t>. Le juge du procès a conclu que les gestes posés par le policier en bordure de la route ne constituaient pas une fouille, que la saisie du couteau était justifiée, que le policier avait des motifs raisonnables et probables d’arrêter M. </w:t>
            </w:r>
            <w:proofErr w:type="spellStart"/>
            <w:r w:rsidRPr="008D6C1E">
              <w:rPr>
                <w:sz w:val="20"/>
                <w:lang w:val="fr-CA"/>
              </w:rPr>
              <w:t>Diamond</w:t>
            </w:r>
            <w:proofErr w:type="spellEnd"/>
            <w:r w:rsidRPr="008D6C1E">
              <w:rPr>
                <w:sz w:val="20"/>
                <w:lang w:val="fr-CA"/>
              </w:rPr>
              <w:t xml:space="preserve"> et que la saisie de cocaïne était justifiable et accessoire à l’arrestation. Les juges majoritaires de la Cour d’appel ont rejeté l’appel. Le juge White, dissident, aurait autorisé l’appel, ordonné l’exclusion de tous les éléments de preuve et prononcé des verdicts d’acquittement. </w:t>
            </w:r>
          </w:p>
          <w:p w:rsidR="000E5E17" w:rsidRPr="008D6C1E" w:rsidRDefault="000E5E17" w:rsidP="000E5E17">
            <w:pPr>
              <w:jc w:val="both"/>
              <w:rPr>
                <w:sz w:val="20"/>
                <w:lang w:val="fr-CA"/>
              </w:rPr>
            </w:pPr>
          </w:p>
        </w:tc>
      </w:tr>
      <w:tr w:rsidR="000E5E17" w:rsidRPr="002C1A32" w:rsidTr="002B5CF4">
        <w:tc>
          <w:tcPr>
            <w:tcW w:w="2427" w:type="pct"/>
            <w:gridSpan w:val="2"/>
          </w:tcPr>
          <w:p w:rsidR="000E5E17" w:rsidRPr="008D6C1E" w:rsidRDefault="000E5E17" w:rsidP="000E5E17">
            <w:pPr>
              <w:jc w:val="both"/>
              <w:rPr>
                <w:sz w:val="20"/>
                <w:lang w:val="fr-CA"/>
              </w:rPr>
            </w:pPr>
            <w:r w:rsidRPr="008D6C1E">
              <w:rPr>
                <w:sz w:val="20"/>
                <w:lang w:val="fr-CA"/>
              </w:rPr>
              <w:t>9 juillet 2014</w:t>
            </w:r>
          </w:p>
          <w:p w:rsidR="000E5E17" w:rsidRPr="008D6C1E" w:rsidRDefault="000E5E17" w:rsidP="000E5E17">
            <w:pPr>
              <w:jc w:val="both"/>
              <w:rPr>
                <w:sz w:val="20"/>
                <w:lang w:val="fr-CA"/>
              </w:rPr>
            </w:pPr>
            <w:r w:rsidRPr="008D6C1E">
              <w:rPr>
                <w:sz w:val="20"/>
                <w:lang w:val="fr-CA"/>
              </w:rPr>
              <w:t xml:space="preserve">Cour provinciale de Terre-Neuve-et-Labrador </w:t>
            </w:r>
          </w:p>
          <w:p w:rsidR="000E5E17" w:rsidRPr="008D6C1E" w:rsidRDefault="000E5E17" w:rsidP="000E5E17">
            <w:pPr>
              <w:jc w:val="both"/>
              <w:rPr>
                <w:sz w:val="20"/>
                <w:lang w:val="fr-CA"/>
              </w:rPr>
            </w:pPr>
            <w:r w:rsidRPr="008D6C1E">
              <w:rPr>
                <w:sz w:val="20"/>
                <w:lang w:val="fr-CA"/>
              </w:rPr>
              <w:t>(Juge Hyslop)</w:t>
            </w:r>
          </w:p>
          <w:p w:rsidR="000E5E17" w:rsidRPr="008D6C1E" w:rsidRDefault="000E5E17" w:rsidP="000E5E17">
            <w:pPr>
              <w:jc w:val="both"/>
              <w:rPr>
                <w:sz w:val="20"/>
                <w:lang w:val="fr-CA"/>
              </w:rPr>
            </w:pPr>
          </w:p>
        </w:tc>
        <w:tc>
          <w:tcPr>
            <w:tcW w:w="243" w:type="pct"/>
          </w:tcPr>
          <w:p w:rsidR="000E5E17" w:rsidRPr="008D6C1E" w:rsidRDefault="000E5E17" w:rsidP="000E5E17">
            <w:pPr>
              <w:jc w:val="both"/>
              <w:rPr>
                <w:sz w:val="20"/>
                <w:lang w:val="fr-CA"/>
              </w:rPr>
            </w:pPr>
          </w:p>
        </w:tc>
        <w:tc>
          <w:tcPr>
            <w:tcW w:w="2330" w:type="pct"/>
          </w:tcPr>
          <w:p w:rsidR="000E5E17" w:rsidRPr="008D6C1E" w:rsidRDefault="000E5E17" w:rsidP="000E5E17">
            <w:pPr>
              <w:jc w:val="both"/>
              <w:rPr>
                <w:sz w:val="20"/>
                <w:lang w:val="fr-CA"/>
              </w:rPr>
            </w:pPr>
            <w:r w:rsidRPr="008D6C1E">
              <w:rPr>
                <w:sz w:val="20"/>
                <w:lang w:val="fr-CA"/>
              </w:rPr>
              <w:t>Rejet de la demande d’exclusion de la preuve</w:t>
            </w:r>
          </w:p>
        </w:tc>
      </w:tr>
      <w:tr w:rsidR="000E5E17" w:rsidRPr="002C1A32" w:rsidTr="002B5CF4">
        <w:tc>
          <w:tcPr>
            <w:tcW w:w="2427" w:type="pct"/>
            <w:gridSpan w:val="2"/>
          </w:tcPr>
          <w:p w:rsidR="000E5E17" w:rsidRPr="008D6C1E" w:rsidRDefault="000E5E17" w:rsidP="000E5E17">
            <w:pPr>
              <w:jc w:val="both"/>
              <w:rPr>
                <w:sz w:val="20"/>
                <w:lang w:val="fr-CA"/>
              </w:rPr>
            </w:pPr>
            <w:r w:rsidRPr="008D6C1E">
              <w:rPr>
                <w:sz w:val="20"/>
                <w:lang w:val="fr-CA"/>
              </w:rPr>
              <w:t>19 août 2014</w:t>
            </w:r>
          </w:p>
          <w:p w:rsidR="000E5E17" w:rsidRPr="008D6C1E" w:rsidRDefault="000E5E17" w:rsidP="000E5E17">
            <w:pPr>
              <w:jc w:val="both"/>
              <w:rPr>
                <w:sz w:val="20"/>
                <w:lang w:val="fr-CA"/>
              </w:rPr>
            </w:pPr>
            <w:r w:rsidRPr="008D6C1E">
              <w:rPr>
                <w:sz w:val="20"/>
                <w:lang w:val="fr-CA"/>
              </w:rPr>
              <w:t xml:space="preserve">Cour provinciale de Terre-Neuve-et-Labrador </w:t>
            </w:r>
          </w:p>
          <w:p w:rsidR="000E5E17" w:rsidRPr="008D6C1E" w:rsidRDefault="000E5E17" w:rsidP="000E5E17">
            <w:pPr>
              <w:jc w:val="both"/>
              <w:rPr>
                <w:sz w:val="20"/>
                <w:lang w:val="fr-CA"/>
              </w:rPr>
            </w:pPr>
            <w:r w:rsidRPr="008D6C1E">
              <w:rPr>
                <w:sz w:val="20"/>
                <w:lang w:val="fr-CA"/>
              </w:rPr>
              <w:t>(Juge Hyslop)</w:t>
            </w:r>
          </w:p>
          <w:p w:rsidR="000E5E17" w:rsidRPr="008D6C1E" w:rsidRDefault="000E5E17" w:rsidP="000E5E17">
            <w:pPr>
              <w:jc w:val="both"/>
              <w:rPr>
                <w:sz w:val="20"/>
                <w:lang w:val="fr-CA"/>
              </w:rPr>
            </w:pPr>
          </w:p>
        </w:tc>
        <w:tc>
          <w:tcPr>
            <w:tcW w:w="243" w:type="pct"/>
          </w:tcPr>
          <w:p w:rsidR="000E5E17" w:rsidRPr="008D6C1E" w:rsidRDefault="000E5E17" w:rsidP="000E5E17">
            <w:pPr>
              <w:jc w:val="both"/>
              <w:rPr>
                <w:sz w:val="20"/>
                <w:lang w:val="fr-CA"/>
              </w:rPr>
            </w:pPr>
          </w:p>
        </w:tc>
        <w:tc>
          <w:tcPr>
            <w:tcW w:w="2330" w:type="pct"/>
          </w:tcPr>
          <w:p w:rsidR="000E5E17" w:rsidRPr="008D6C1E" w:rsidRDefault="000E5E17" w:rsidP="000E5E17">
            <w:pPr>
              <w:jc w:val="both"/>
              <w:rPr>
                <w:sz w:val="20"/>
                <w:lang w:val="fr-CA"/>
              </w:rPr>
            </w:pPr>
            <w:r w:rsidRPr="008D6C1E">
              <w:rPr>
                <w:sz w:val="20"/>
                <w:lang w:val="fr-CA"/>
              </w:rPr>
              <w:t>Déclaration de culpabilité pour possession illégale d’une arme dangereuse pour la paix publique et pour possession de cocaïne en vue d’en faire de trafic</w:t>
            </w:r>
          </w:p>
          <w:p w:rsidR="000E5E17" w:rsidRPr="008D6C1E" w:rsidRDefault="000E5E17" w:rsidP="000E5E17">
            <w:pPr>
              <w:jc w:val="both"/>
              <w:rPr>
                <w:sz w:val="20"/>
                <w:lang w:val="fr-CA"/>
              </w:rPr>
            </w:pPr>
          </w:p>
        </w:tc>
      </w:tr>
      <w:tr w:rsidR="000E5E17" w:rsidRPr="008D6C1E" w:rsidTr="002B5CF4">
        <w:tc>
          <w:tcPr>
            <w:tcW w:w="2427" w:type="pct"/>
            <w:gridSpan w:val="2"/>
          </w:tcPr>
          <w:p w:rsidR="000E5E17" w:rsidRPr="008D6C1E" w:rsidRDefault="000E5E17" w:rsidP="000E5E17">
            <w:pPr>
              <w:jc w:val="both"/>
              <w:rPr>
                <w:sz w:val="20"/>
                <w:lang w:val="fr-CA"/>
              </w:rPr>
            </w:pPr>
            <w:r w:rsidRPr="008D6C1E">
              <w:rPr>
                <w:sz w:val="20"/>
                <w:lang w:val="fr-CA"/>
              </w:rPr>
              <w:t>23 décembre 2015</w:t>
            </w:r>
          </w:p>
          <w:p w:rsidR="000E5E17" w:rsidRPr="008D6C1E" w:rsidRDefault="000E5E17" w:rsidP="000E5E17">
            <w:pPr>
              <w:jc w:val="both"/>
              <w:rPr>
                <w:sz w:val="20"/>
                <w:lang w:val="fr-CA"/>
              </w:rPr>
            </w:pPr>
            <w:r w:rsidRPr="008D6C1E">
              <w:rPr>
                <w:sz w:val="20"/>
                <w:lang w:val="fr-CA"/>
              </w:rPr>
              <w:t xml:space="preserve">Cour suprême de Terre-Neuve-et-Labrador – </w:t>
            </w:r>
          </w:p>
          <w:p w:rsidR="000E5E17" w:rsidRPr="008D6C1E" w:rsidRDefault="000E5E17" w:rsidP="000E5E17">
            <w:pPr>
              <w:jc w:val="both"/>
              <w:rPr>
                <w:sz w:val="20"/>
                <w:lang w:val="fr-CA"/>
              </w:rPr>
            </w:pPr>
            <w:r w:rsidRPr="008D6C1E">
              <w:rPr>
                <w:sz w:val="20"/>
                <w:lang w:val="fr-CA"/>
              </w:rPr>
              <w:t xml:space="preserve">Cour d’appel </w:t>
            </w:r>
          </w:p>
          <w:p w:rsidR="000E5E17" w:rsidRPr="008D6C1E" w:rsidRDefault="000E5E17" w:rsidP="000E5E17">
            <w:pPr>
              <w:jc w:val="both"/>
              <w:rPr>
                <w:sz w:val="20"/>
                <w:lang w:val="fr-CA"/>
              </w:rPr>
            </w:pPr>
            <w:r w:rsidRPr="008D6C1E">
              <w:rPr>
                <w:sz w:val="20"/>
                <w:lang w:val="fr-CA"/>
              </w:rPr>
              <w:t>(Juges Welsh, Harrington et White [dissident])</w:t>
            </w:r>
          </w:p>
          <w:p w:rsidR="000E5E17" w:rsidRPr="008D6C1E" w:rsidRDefault="005E6DC4" w:rsidP="000E5E17">
            <w:pPr>
              <w:jc w:val="both"/>
              <w:rPr>
                <w:sz w:val="20"/>
                <w:lang w:val="fr-CA"/>
              </w:rPr>
            </w:pPr>
            <w:hyperlink r:id="rId79" w:history="1">
              <w:r w:rsidR="000E5E17" w:rsidRPr="008D6C1E">
                <w:rPr>
                  <w:rStyle w:val="Hyperlink"/>
                  <w:sz w:val="20"/>
                  <w:lang w:val="fr-CA"/>
                </w:rPr>
                <w:t>2015 NLCA 60</w:t>
              </w:r>
            </w:hyperlink>
          </w:p>
          <w:p w:rsidR="000E5E17" w:rsidRPr="008D6C1E" w:rsidRDefault="000E5E17" w:rsidP="000E5E17">
            <w:pPr>
              <w:jc w:val="both"/>
              <w:rPr>
                <w:sz w:val="20"/>
                <w:lang w:val="fr-CA"/>
              </w:rPr>
            </w:pPr>
          </w:p>
        </w:tc>
        <w:tc>
          <w:tcPr>
            <w:tcW w:w="243" w:type="pct"/>
          </w:tcPr>
          <w:p w:rsidR="000E5E17" w:rsidRPr="008D6C1E" w:rsidRDefault="000E5E17" w:rsidP="000E5E17">
            <w:pPr>
              <w:jc w:val="both"/>
              <w:rPr>
                <w:sz w:val="20"/>
                <w:lang w:val="fr-CA"/>
              </w:rPr>
            </w:pPr>
          </w:p>
        </w:tc>
        <w:tc>
          <w:tcPr>
            <w:tcW w:w="2330" w:type="pct"/>
          </w:tcPr>
          <w:p w:rsidR="000E5E17" w:rsidRPr="008D6C1E" w:rsidRDefault="000E5E17" w:rsidP="000E5E17">
            <w:pPr>
              <w:jc w:val="both"/>
              <w:rPr>
                <w:sz w:val="20"/>
                <w:lang w:val="fr-CA"/>
              </w:rPr>
            </w:pPr>
            <w:r w:rsidRPr="008D6C1E">
              <w:rPr>
                <w:sz w:val="20"/>
                <w:lang w:val="fr-CA"/>
              </w:rPr>
              <w:t>Rejet de l’appel</w:t>
            </w:r>
          </w:p>
          <w:p w:rsidR="000E5E17" w:rsidRPr="008D6C1E" w:rsidRDefault="000E5E17" w:rsidP="000E5E17">
            <w:pPr>
              <w:jc w:val="both"/>
              <w:rPr>
                <w:sz w:val="20"/>
                <w:lang w:val="fr-CA"/>
              </w:rPr>
            </w:pPr>
          </w:p>
        </w:tc>
      </w:tr>
      <w:tr w:rsidR="000E5E17" w:rsidRPr="008D6C1E" w:rsidTr="002B5CF4">
        <w:tc>
          <w:tcPr>
            <w:tcW w:w="2427" w:type="pct"/>
            <w:gridSpan w:val="2"/>
          </w:tcPr>
          <w:p w:rsidR="000E5E17" w:rsidRPr="008D6C1E" w:rsidRDefault="000E5E17" w:rsidP="000E5E17">
            <w:pPr>
              <w:jc w:val="both"/>
              <w:rPr>
                <w:sz w:val="20"/>
                <w:lang w:val="fr-CA"/>
              </w:rPr>
            </w:pPr>
            <w:r w:rsidRPr="008D6C1E">
              <w:rPr>
                <w:sz w:val="20"/>
                <w:lang w:val="fr-CA"/>
              </w:rPr>
              <w:t>20 janvier 2016</w:t>
            </w:r>
          </w:p>
          <w:p w:rsidR="000E5E17" w:rsidRPr="008D6C1E" w:rsidRDefault="000E5E17" w:rsidP="000E5E17">
            <w:pPr>
              <w:jc w:val="both"/>
              <w:rPr>
                <w:sz w:val="20"/>
                <w:lang w:val="fr-CA"/>
              </w:rPr>
            </w:pPr>
            <w:r w:rsidRPr="008D6C1E">
              <w:rPr>
                <w:sz w:val="20"/>
                <w:lang w:val="fr-CA"/>
              </w:rPr>
              <w:t>Cour suprême du Canada</w:t>
            </w:r>
          </w:p>
          <w:p w:rsidR="000E5E17" w:rsidRPr="008D6C1E" w:rsidRDefault="000E5E17" w:rsidP="000E5E17">
            <w:pPr>
              <w:jc w:val="both"/>
              <w:rPr>
                <w:sz w:val="20"/>
                <w:lang w:val="fr-CA"/>
              </w:rPr>
            </w:pPr>
          </w:p>
        </w:tc>
        <w:tc>
          <w:tcPr>
            <w:tcW w:w="243" w:type="pct"/>
          </w:tcPr>
          <w:p w:rsidR="000E5E17" w:rsidRPr="008D6C1E" w:rsidRDefault="000E5E17" w:rsidP="000E5E17">
            <w:pPr>
              <w:jc w:val="both"/>
              <w:rPr>
                <w:sz w:val="20"/>
                <w:lang w:val="fr-CA"/>
              </w:rPr>
            </w:pPr>
          </w:p>
        </w:tc>
        <w:tc>
          <w:tcPr>
            <w:tcW w:w="2330" w:type="pct"/>
          </w:tcPr>
          <w:p w:rsidR="000E5E17" w:rsidRPr="008D6C1E" w:rsidRDefault="000E5E17" w:rsidP="000E5E17">
            <w:pPr>
              <w:jc w:val="both"/>
              <w:rPr>
                <w:sz w:val="20"/>
                <w:lang w:val="fr-CA"/>
              </w:rPr>
            </w:pPr>
            <w:r w:rsidRPr="008D6C1E">
              <w:rPr>
                <w:sz w:val="20"/>
                <w:lang w:val="fr-CA"/>
              </w:rPr>
              <w:t>Dépôt de l’avis d’appel</w:t>
            </w:r>
          </w:p>
          <w:p w:rsidR="000E5E17" w:rsidRPr="008D6C1E" w:rsidRDefault="000E5E17" w:rsidP="000E5E17">
            <w:pPr>
              <w:jc w:val="both"/>
              <w:rPr>
                <w:sz w:val="20"/>
                <w:lang w:val="fr-CA"/>
              </w:rPr>
            </w:pPr>
          </w:p>
        </w:tc>
      </w:tr>
      <w:tr w:rsidR="000E5E17" w:rsidRPr="002C1A32" w:rsidTr="002B5CF4">
        <w:tc>
          <w:tcPr>
            <w:tcW w:w="2427" w:type="pct"/>
            <w:gridSpan w:val="2"/>
          </w:tcPr>
          <w:p w:rsidR="000E5E17" w:rsidRPr="008D6C1E" w:rsidRDefault="000E5E17" w:rsidP="000E5E17">
            <w:pPr>
              <w:jc w:val="both"/>
              <w:rPr>
                <w:sz w:val="20"/>
                <w:lang w:val="fr-CA"/>
              </w:rPr>
            </w:pPr>
            <w:r w:rsidRPr="008D6C1E">
              <w:rPr>
                <w:sz w:val="20"/>
                <w:lang w:val="fr-CA"/>
              </w:rPr>
              <w:t>19 février 2016</w:t>
            </w:r>
          </w:p>
          <w:p w:rsidR="000E5E17" w:rsidRPr="008D6C1E" w:rsidRDefault="000E5E17" w:rsidP="000E5E17">
            <w:pPr>
              <w:jc w:val="both"/>
              <w:rPr>
                <w:sz w:val="20"/>
                <w:lang w:val="fr-CA"/>
              </w:rPr>
            </w:pPr>
            <w:r w:rsidRPr="008D6C1E">
              <w:rPr>
                <w:sz w:val="20"/>
                <w:lang w:val="fr-CA"/>
              </w:rPr>
              <w:t>Cour suprême du Canada</w:t>
            </w:r>
          </w:p>
        </w:tc>
        <w:tc>
          <w:tcPr>
            <w:tcW w:w="243" w:type="pct"/>
          </w:tcPr>
          <w:p w:rsidR="000E5E17" w:rsidRPr="008D6C1E" w:rsidRDefault="000E5E17" w:rsidP="000E5E17">
            <w:pPr>
              <w:jc w:val="both"/>
              <w:rPr>
                <w:sz w:val="20"/>
                <w:lang w:val="fr-CA"/>
              </w:rPr>
            </w:pPr>
          </w:p>
        </w:tc>
        <w:tc>
          <w:tcPr>
            <w:tcW w:w="2330" w:type="pct"/>
          </w:tcPr>
          <w:p w:rsidR="000E5E17" w:rsidRPr="008D6C1E" w:rsidRDefault="000E5E17" w:rsidP="000E5E17">
            <w:pPr>
              <w:jc w:val="both"/>
              <w:rPr>
                <w:sz w:val="20"/>
                <w:lang w:val="fr-CA"/>
              </w:rPr>
            </w:pPr>
            <w:r w:rsidRPr="008D6C1E">
              <w:rPr>
                <w:sz w:val="20"/>
                <w:lang w:val="fr-CA"/>
              </w:rPr>
              <w:t>Dépôt de la demande d’autorisation d’appel</w:t>
            </w:r>
          </w:p>
        </w:tc>
      </w:tr>
    </w:tbl>
    <w:p w:rsidR="000E5E17" w:rsidRPr="008D6C1E" w:rsidRDefault="000E5E17" w:rsidP="004F7E4B">
      <w:pPr>
        <w:jc w:val="both"/>
        <w:rPr>
          <w:sz w:val="20"/>
          <w:lang w:val="fr-CA"/>
        </w:rPr>
      </w:pPr>
    </w:p>
    <w:p w:rsidR="006C44EF" w:rsidRPr="008D6C1E" w:rsidRDefault="006C44EF" w:rsidP="004F7E4B">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F7E4B" w:rsidRPr="008D6C1E" w:rsidTr="002B5CF4">
        <w:tc>
          <w:tcPr>
            <w:tcW w:w="543" w:type="pct"/>
          </w:tcPr>
          <w:p w:rsidR="004F7E4B" w:rsidRPr="008D6C1E" w:rsidRDefault="004F7E4B" w:rsidP="004F7E4B">
            <w:pPr>
              <w:jc w:val="both"/>
              <w:rPr>
                <w:sz w:val="20"/>
              </w:rPr>
            </w:pPr>
            <w:r w:rsidRPr="008D6C1E">
              <w:rPr>
                <w:rStyle w:val="SCCFileNumberChar"/>
                <w:sz w:val="20"/>
                <w:szCs w:val="20"/>
              </w:rPr>
              <w:t>36690</w:t>
            </w:r>
          </w:p>
        </w:tc>
        <w:tc>
          <w:tcPr>
            <w:tcW w:w="4457" w:type="pct"/>
            <w:gridSpan w:val="3"/>
          </w:tcPr>
          <w:p w:rsidR="004F7E4B" w:rsidRPr="002C1A32" w:rsidRDefault="004F7E4B" w:rsidP="004F7E4B">
            <w:pPr>
              <w:pStyle w:val="SCCLsocParty"/>
              <w:jc w:val="both"/>
              <w:rPr>
                <w:b/>
                <w:sz w:val="20"/>
                <w:szCs w:val="20"/>
                <w:lang w:val="en-US"/>
              </w:rPr>
            </w:pPr>
            <w:r w:rsidRPr="002C1A32">
              <w:rPr>
                <w:b/>
                <w:sz w:val="20"/>
                <w:szCs w:val="20"/>
                <w:lang w:val="en-US"/>
              </w:rPr>
              <w:t>Campbell Ernest Crichton v. Her Majesty the Queen</w:t>
            </w:r>
          </w:p>
          <w:p w:rsidR="004F7E4B" w:rsidRPr="008D6C1E" w:rsidRDefault="004F7E4B" w:rsidP="004F7E4B">
            <w:pPr>
              <w:jc w:val="both"/>
              <w:rPr>
                <w:sz w:val="20"/>
              </w:rPr>
            </w:pPr>
            <w:r w:rsidRPr="008D6C1E">
              <w:rPr>
                <w:sz w:val="20"/>
              </w:rPr>
              <w:t>(B.C.) (Criminal) (By Leave)</w:t>
            </w:r>
          </w:p>
        </w:tc>
      </w:tr>
      <w:tr w:rsidR="004F7E4B" w:rsidRPr="008D6C1E" w:rsidTr="002B5CF4">
        <w:tc>
          <w:tcPr>
            <w:tcW w:w="5000" w:type="pct"/>
            <w:gridSpan w:val="4"/>
          </w:tcPr>
          <w:p w:rsidR="004F7E4B" w:rsidRPr="008D6C1E" w:rsidRDefault="004F7E4B" w:rsidP="004F7E4B">
            <w:pPr>
              <w:pStyle w:val="SCCBanSummary"/>
              <w:rPr>
                <w:sz w:val="20"/>
                <w:szCs w:val="20"/>
              </w:rPr>
            </w:pPr>
            <w:r w:rsidRPr="008D6C1E">
              <w:rPr>
                <w:sz w:val="20"/>
                <w:szCs w:val="20"/>
              </w:rPr>
              <w:t>(Publication ban in case)</w:t>
            </w:r>
          </w:p>
          <w:p w:rsidR="004F7E4B" w:rsidRPr="008D6C1E" w:rsidRDefault="004F7E4B" w:rsidP="004F7E4B">
            <w:pPr>
              <w:jc w:val="both"/>
              <w:rPr>
                <w:sz w:val="20"/>
              </w:rPr>
            </w:pPr>
          </w:p>
        </w:tc>
      </w:tr>
      <w:tr w:rsidR="004F7E4B" w:rsidRPr="008D6C1E" w:rsidTr="002B5CF4">
        <w:tc>
          <w:tcPr>
            <w:tcW w:w="5000" w:type="pct"/>
            <w:gridSpan w:val="4"/>
          </w:tcPr>
          <w:p w:rsidR="004F7E4B" w:rsidRPr="008D6C1E" w:rsidRDefault="004F7E4B" w:rsidP="004F7E4B">
            <w:pPr>
              <w:jc w:val="both"/>
              <w:rPr>
                <w:sz w:val="20"/>
              </w:rPr>
            </w:pPr>
            <w:r w:rsidRPr="008D6C1E">
              <w:rPr>
                <w:i/>
                <w:sz w:val="20"/>
              </w:rPr>
              <w:lastRenderedPageBreak/>
              <w:t xml:space="preserve">Charter of Rights </w:t>
            </w:r>
            <w:r w:rsidRPr="008D6C1E">
              <w:rPr>
                <w:sz w:val="20"/>
              </w:rPr>
              <w:t xml:space="preserve">— Criminal law — Right to counsel — Appeals — Judgments and orders — </w:t>
            </w:r>
            <w:r w:rsidRPr="008D6C1E">
              <w:rPr>
                <w:sz w:val="20"/>
                <w:lang w:val="en-ZW"/>
              </w:rPr>
              <w:t xml:space="preserve">Interlocutory orders </w:t>
            </w:r>
            <w:r w:rsidRPr="008D6C1E">
              <w:rPr>
                <w:sz w:val="20"/>
              </w:rPr>
              <w:t>— Stay of proceedings — Representation by counsel — Application for state-funded counsel — Trial judge granting application for stay of proceedings pending government funding of counsel (</w:t>
            </w:r>
            <w:proofErr w:type="spellStart"/>
            <w:r w:rsidRPr="008D6C1E">
              <w:rPr>
                <w:i/>
                <w:sz w:val="20"/>
              </w:rPr>
              <w:t>Rowbotham</w:t>
            </w:r>
            <w:proofErr w:type="spellEnd"/>
            <w:r w:rsidRPr="008D6C1E">
              <w:rPr>
                <w:i/>
                <w:sz w:val="20"/>
              </w:rPr>
              <w:t xml:space="preserve"> </w:t>
            </w:r>
            <w:r w:rsidRPr="008D6C1E">
              <w:rPr>
                <w:sz w:val="20"/>
              </w:rPr>
              <w:t xml:space="preserve">order) — Court of Appeal overturning order — Where there is a “real and substantial” risk that a trial will be unfair without the assistance of counsel, can an accused’s lack of financial prudence, by itself, result in the refusal of a </w:t>
            </w:r>
            <w:proofErr w:type="spellStart"/>
            <w:r w:rsidRPr="008D6C1E">
              <w:rPr>
                <w:i/>
                <w:sz w:val="20"/>
              </w:rPr>
              <w:t>Rowbotham</w:t>
            </w:r>
            <w:proofErr w:type="spellEnd"/>
            <w:r w:rsidRPr="008D6C1E">
              <w:rPr>
                <w:sz w:val="20"/>
              </w:rPr>
              <w:t xml:space="preserve"> order? — Where an accused applies for a </w:t>
            </w:r>
            <w:proofErr w:type="spellStart"/>
            <w:r w:rsidRPr="008D6C1E">
              <w:rPr>
                <w:i/>
                <w:sz w:val="20"/>
              </w:rPr>
              <w:t>Rowbotham</w:t>
            </w:r>
            <w:proofErr w:type="spellEnd"/>
            <w:r w:rsidRPr="008D6C1E">
              <w:rPr>
                <w:sz w:val="20"/>
              </w:rPr>
              <w:t xml:space="preserve"> order, must he or she prove a “high degree of probability” that the trial will be unfair without counsel, for the order to be granted?</w:t>
            </w:r>
          </w:p>
        </w:tc>
      </w:tr>
      <w:tr w:rsidR="004F7E4B" w:rsidRPr="008D6C1E" w:rsidTr="002B5CF4">
        <w:tc>
          <w:tcPr>
            <w:tcW w:w="5000" w:type="pct"/>
            <w:gridSpan w:val="4"/>
          </w:tcPr>
          <w:p w:rsidR="004F7E4B" w:rsidRPr="008D6C1E" w:rsidRDefault="004F7E4B" w:rsidP="004F7E4B">
            <w:pPr>
              <w:jc w:val="both"/>
              <w:rPr>
                <w:sz w:val="20"/>
              </w:rPr>
            </w:pPr>
          </w:p>
          <w:p w:rsidR="004F7E4B" w:rsidRPr="008D6C1E" w:rsidRDefault="004F7E4B" w:rsidP="004F7E4B">
            <w:pPr>
              <w:jc w:val="both"/>
              <w:rPr>
                <w:sz w:val="20"/>
              </w:rPr>
            </w:pPr>
            <w:r w:rsidRPr="008D6C1E">
              <w:rPr>
                <w:sz w:val="20"/>
              </w:rPr>
              <w:t>Mr. Crichton, a physiotherapist, was charged with 23 counts of sexual offences committed against former patients. He was refused legal aid funding, for having spent all his available money without making provisions for retaining legal counsel. Mr. Crichton subsequently brought an application for the appointment of state-funded counsel (a “</w:t>
            </w:r>
            <w:proofErr w:type="spellStart"/>
            <w:r w:rsidRPr="008D6C1E">
              <w:rPr>
                <w:i/>
                <w:sz w:val="20"/>
              </w:rPr>
              <w:t>Rowbotham</w:t>
            </w:r>
            <w:proofErr w:type="spellEnd"/>
            <w:r w:rsidRPr="008D6C1E">
              <w:rPr>
                <w:sz w:val="20"/>
              </w:rPr>
              <w:t xml:space="preserve">” order) for his trial. </w:t>
            </w:r>
          </w:p>
          <w:p w:rsidR="004F7E4B" w:rsidRPr="008D6C1E" w:rsidRDefault="004F7E4B" w:rsidP="004F7E4B">
            <w:pPr>
              <w:jc w:val="both"/>
              <w:rPr>
                <w:sz w:val="20"/>
              </w:rPr>
            </w:pPr>
          </w:p>
          <w:p w:rsidR="004F7E4B" w:rsidRPr="008D6C1E" w:rsidRDefault="004F7E4B" w:rsidP="004F7E4B">
            <w:pPr>
              <w:jc w:val="both"/>
              <w:rPr>
                <w:sz w:val="20"/>
              </w:rPr>
            </w:pPr>
            <w:r w:rsidRPr="008D6C1E">
              <w:rPr>
                <w:sz w:val="20"/>
              </w:rPr>
              <w:t xml:space="preserve">The Supreme Court of British Columbia granted Mr. Crichton a conditional stay of proceedings pending government funding of counsel, finding that he met the criteria of financial ineligibility, and that his trial would be unfair without legal representation. The Court of Appeal for British Columbia allowed the Crown’s appeal from the </w:t>
            </w:r>
            <w:proofErr w:type="spellStart"/>
            <w:r w:rsidRPr="008D6C1E">
              <w:rPr>
                <w:i/>
                <w:sz w:val="20"/>
              </w:rPr>
              <w:t>Rowbotham</w:t>
            </w:r>
            <w:proofErr w:type="spellEnd"/>
            <w:r w:rsidRPr="008D6C1E">
              <w:rPr>
                <w:sz w:val="20"/>
              </w:rPr>
              <w:t xml:space="preserve"> order, finding that the trial judge erred in concluding that a lack of financial prudence should not, by itself, result in the refusal of a </w:t>
            </w:r>
            <w:proofErr w:type="spellStart"/>
            <w:r w:rsidRPr="008D6C1E">
              <w:rPr>
                <w:i/>
                <w:sz w:val="20"/>
              </w:rPr>
              <w:t>Rowbotham</w:t>
            </w:r>
            <w:proofErr w:type="spellEnd"/>
            <w:r w:rsidRPr="008D6C1E">
              <w:rPr>
                <w:sz w:val="20"/>
              </w:rPr>
              <w:t xml:space="preserve"> order. In this case, Mr. Crichton had made a “consumer choice” not to retain counsel, and would therefore be unable to avail himself of public funding for legal representation.</w:t>
            </w:r>
          </w:p>
          <w:p w:rsidR="004F7E4B" w:rsidRPr="008D6C1E" w:rsidRDefault="004F7E4B" w:rsidP="004F7E4B">
            <w:pPr>
              <w:jc w:val="both"/>
              <w:rPr>
                <w:sz w:val="20"/>
              </w:rPr>
            </w:pPr>
          </w:p>
        </w:tc>
      </w:tr>
      <w:tr w:rsidR="004F7E4B" w:rsidRPr="008D6C1E" w:rsidTr="002B5CF4">
        <w:tc>
          <w:tcPr>
            <w:tcW w:w="2427" w:type="pct"/>
            <w:gridSpan w:val="2"/>
          </w:tcPr>
          <w:p w:rsidR="004F7E4B" w:rsidRPr="008D6C1E" w:rsidRDefault="004F7E4B" w:rsidP="004F7E4B">
            <w:pPr>
              <w:jc w:val="both"/>
              <w:rPr>
                <w:sz w:val="20"/>
              </w:rPr>
            </w:pPr>
            <w:r w:rsidRPr="008D6C1E">
              <w:rPr>
                <w:sz w:val="20"/>
              </w:rPr>
              <w:t>March 13, 2013</w:t>
            </w:r>
          </w:p>
          <w:p w:rsidR="004F7E4B" w:rsidRPr="008D6C1E" w:rsidRDefault="004F7E4B" w:rsidP="004F7E4B">
            <w:pPr>
              <w:jc w:val="both"/>
              <w:rPr>
                <w:sz w:val="20"/>
              </w:rPr>
            </w:pPr>
            <w:r w:rsidRPr="008D6C1E">
              <w:rPr>
                <w:sz w:val="20"/>
              </w:rPr>
              <w:t>Supreme Court of British Columbia</w:t>
            </w:r>
          </w:p>
          <w:p w:rsidR="004F7E4B" w:rsidRPr="008D6C1E" w:rsidRDefault="004F7E4B" w:rsidP="004F7E4B">
            <w:pPr>
              <w:jc w:val="both"/>
              <w:rPr>
                <w:sz w:val="20"/>
              </w:rPr>
            </w:pPr>
            <w:r w:rsidRPr="008D6C1E">
              <w:rPr>
                <w:sz w:val="20"/>
              </w:rPr>
              <w:t>(Bracken J.)</w:t>
            </w:r>
          </w:p>
          <w:p w:rsidR="004F7E4B" w:rsidRPr="008D6C1E" w:rsidRDefault="005E6DC4" w:rsidP="004F7E4B">
            <w:pPr>
              <w:jc w:val="both"/>
              <w:rPr>
                <w:sz w:val="20"/>
              </w:rPr>
            </w:pPr>
            <w:hyperlink r:id="rId80" w:history="1">
              <w:r w:rsidR="004F7E4B" w:rsidRPr="008D6C1E">
                <w:rPr>
                  <w:rStyle w:val="Hyperlink"/>
                  <w:sz w:val="20"/>
                </w:rPr>
                <w:t>2013 BCSC 416</w:t>
              </w:r>
            </w:hyperlink>
          </w:p>
          <w:p w:rsidR="004F7E4B" w:rsidRPr="008D6C1E" w:rsidRDefault="004F7E4B" w:rsidP="004F7E4B">
            <w:pPr>
              <w:jc w:val="both"/>
              <w:rPr>
                <w:sz w:val="20"/>
              </w:rPr>
            </w:pPr>
          </w:p>
        </w:tc>
        <w:tc>
          <w:tcPr>
            <w:tcW w:w="243" w:type="pct"/>
          </w:tcPr>
          <w:p w:rsidR="004F7E4B" w:rsidRPr="008D6C1E" w:rsidRDefault="004F7E4B" w:rsidP="004F7E4B">
            <w:pPr>
              <w:jc w:val="both"/>
              <w:rPr>
                <w:sz w:val="20"/>
              </w:rPr>
            </w:pPr>
          </w:p>
        </w:tc>
        <w:tc>
          <w:tcPr>
            <w:tcW w:w="2330" w:type="pct"/>
          </w:tcPr>
          <w:p w:rsidR="004F7E4B" w:rsidRPr="008D6C1E" w:rsidRDefault="004F7E4B" w:rsidP="004F7E4B">
            <w:pPr>
              <w:jc w:val="both"/>
              <w:rPr>
                <w:sz w:val="20"/>
              </w:rPr>
            </w:pPr>
            <w:r w:rsidRPr="008D6C1E">
              <w:rPr>
                <w:sz w:val="20"/>
              </w:rPr>
              <w:t>Accused’s application for stay of proceedings pending government funding of counsel – granted</w:t>
            </w:r>
          </w:p>
          <w:p w:rsidR="004F7E4B" w:rsidRPr="008D6C1E" w:rsidRDefault="004F7E4B" w:rsidP="004F7E4B">
            <w:pPr>
              <w:jc w:val="both"/>
              <w:rPr>
                <w:sz w:val="20"/>
              </w:rPr>
            </w:pPr>
          </w:p>
        </w:tc>
      </w:tr>
      <w:tr w:rsidR="004F7E4B" w:rsidRPr="008D6C1E" w:rsidTr="002B5CF4">
        <w:tc>
          <w:tcPr>
            <w:tcW w:w="2427" w:type="pct"/>
            <w:gridSpan w:val="2"/>
          </w:tcPr>
          <w:p w:rsidR="004F7E4B" w:rsidRPr="008D6C1E" w:rsidRDefault="004F7E4B" w:rsidP="004F7E4B">
            <w:pPr>
              <w:jc w:val="both"/>
              <w:rPr>
                <w:sz w:val="20"/>
              </w:rPr>
            </w:pPr>
            <w:r w:rsidRPr="008D6C1E">
              <w:rPr>
                <w:sz w:val="20"/>
              </w:rPr>
              <w:t>March 30, 2015</w:t>
            </w:r>
          </w:p>
          <w:p w:rsidR="004F7E4B" w:rsidRPr="008D6C1E" w:rsidRDefault="004F7E4B" w:rsidP="004F7E4B">
            <w:pPr>
              <w:jc w:val="both"/>
              <w:rPr>
                <w:sz w:val="20"/>
              </w:rPr>
            </w:pPr>
            <w:r w:rsidRPr="008D6C1E">
              <w:rPr>
                <w:sz w:val="20"/>
              </w:rPr>
              <w:t xml:space="preserve">Court of Appeal for British Columbia </w:t>
            </w:r>
          </w:p>
          <w:p w:rsidR="004F7E4B" w:rsidRPr="008D6C1E" w:rsidRDefault="004F7E4B" w:rsidP="004F7E4B">
            <w:pPr>
              <w:jc w:val="both"/>
              <w:rPr>
                <w:sz w:val="20"/>
              </w:rPr>
            </w:pPr>
            <w:r w:rsidRPr="008D6C1E">
              <w:rPr>
                <w:sz w:val="20"/>
              </w:rPr>
              <w:t>(Vancouver)</w:t>
            </w:r>
          </w:p>
          <w:p w:rsidR="004F7E4B" w:rsidRPr="008D6C1E" w:rsidRDefault="004F7E4B" w:rsidP="004F7E4B">
            <w:pPr>
              <w:jc w:val="both"/>
              <w:rPr>
                <w:sz w:val="20"/>
              </w:rPr>
            </w:pPr>
            <w:r w:rsidRPr="008D6C1E">
              <w:rPr>
                <w:sz w:val="20"/>
              </w:rPr>
              <w:t>(</w:t>
            </w:r>
            <w:proofErr w:type="spellStart"/>
            <w:r w:rsidRPr="008D6C1E">
              <w:rPr>
                <w:sz w:val="20"/>
              </w:rPr>
              <w:t>Tysoe</w:t>
            </w:r>
            <w:proofErr w:type="spellEnd"/>
            <w:r w:rsidRPr="008D6C1E">
              <w:rPr>
                <w:sz w:val="20"/>
              </w:rPr>
              <w:t>, Smith, and Bennett JJ.A.)</w:t>
            </w:r>
          </w:p>
          <w:p w:rsidR="004F7E4B" w:rsidRPr="008D6C1E" w:rsidRDefault="005E6DC4" w:rsidP="004F7E4B">
            <w:pPr>
              <w:jc w:val="both"/>
              <w:rPr>
                <w:sz w:val="20"/>
              </w:rPr>
            </w:pPr>
            <w:hyperlink r:id="rId81" w:history="1">
              <w:r w:rsidR="004F7E4B" w:rsidRPr="008D6C1E">
                <w:rPr>
                  <w:rStyle w:val="Hyperlink"/>
                  <w:sz w:val="20"/>
                </w:rPr>
                <w:t>2015 BCCA 138</w:t>
              </w:r>
            </w:hyperlink>
          </w:p>
          <w:p w:rsidR="004F7E4B" w:rsidRPr="008D6C1E" w:rsidRDefault="004F7E4B" w:rsidP="004F7E4B">
            <w:pPr>
              <w:jc w:val="both"/>
              <w:rPr>
                <w:sz w:val="20"/>
              </w:rPr>
            </w:pPr>
          </w:p>
        </w:tc>
        <w:tc>
          <w:tcPr>
            <w:tcW w:w="243" w:type="pct"/>
          </w:tcPr>
          <w:p w:rsidR="004F7E4B" w:rsidRPr="008D6C1E" w:rsidRDefault="004F7E4B" w:rsidP="004F7E4B">
            <w:pPr>
              <w:jc w:val="both"/>
              <w:rPr>
                <w:sz w:val="20"/>
              </w:rPr>
            </w:pPr>
          </w:p>
        </w:tc>
        <w:tc>
          <w:tcPr>
            <w:tcW w:w="2330" w:type="pct"/>
          </w:tcPr>
          <w:p w:rsidR="004F7E4B" w:rsidRPr="008D6C1E" w:rsidRDefault="004F7E4B" w:rsidP="004F7E4B">
            <w:pPr>
              <w:jc w:val="both"/>
              <w:rPr>
                <w:sz w:val="20"/>
              </w:rPr>
            </w:pPr>
            <w:r w:rsidRPr="008D6C1E">
              <w:rPr>
                <w:sz w:val="20"/>
              </w:rPr>
              <w:t>Appeal by Crown from stay order – allowed</w:t>
            </w:r>
          </w:p>
          <w:p w:rsidR="004F7E4B" w:rsidRPr="008D6C1E" w:rsidRDefault="004F7E4B" w:rsidP="004F7E4B">
            <w:pPr>
              <w:jc w:val="both"/>
              <w:rPr>
                <w:sz w:val="20"/>
              </w:rPr>
            </w:pPr>
          </w:p>
        </w:tc>
      </w:tr>
      <w:tr w:rsidR="004F7E4B" w:rsidRPr="008D6C1E" w:rsidTr="004F7E4B">
        <w:trPr>
          <w:trHeight w:val="486"/>
        </w:trPr>
        <w:tc>
          <w:tcPr>
            <w:tcW w:w="2427" w:type="pct"/>
            <w:gridSpan w:val="2"/>
          </w:tcPr>
          <w:p w:rsidR="004F7E4B" w:rsidRPr="008D6C1E" w:rsidRDefault="004F7E4B" w:rsidP="004F7E4B">
            <w:pPr>
              <w:jc w:val="both"/>
              <w:rPr>
                <w:sz w:val="20"/>
              </w:rPr>
            </w:pPr>
            <w:r w:rsidRPr="008D6C1E">
              <w:rPr>
                <w:sz w:val="20"/>
              </w:rPr>
              <w:t>October 16, 2015</w:t>
            </w:r>
          </w:p>
          <w:p w:rsidR="004F7E4B" w:rsidRPr="008D6C1E" w:rsidRDefault="004F7E4B" w:rsidP="004F7E4B">
            <w:pPr>
              <w:jc w:val="both"/>
              <w:rPr>
                <w:sz w:val="20"/>
              </w:rPr>
            </w:pPr>
            <w:r w:rsidRPr="008D6C1E">
              <w:rPr>
                <w:sz w:val="20"/>
              </w:rPr>
              <w:t>Supreme Court of Canada</w:t>
            </w:r>
          </w:p>
        </w:tc>
        <w:tc>
          <w:tcPr>
            <w:tcW w:w="243" w:type="pct"/>
          </w:tcPr>
          <w:p w:rsidR="004F7E4B" w:rsidRPr="008D6C1E" w:rsidRDefault="004F7E4B" w:rsidP="004F7E4B">
            <w:pPr>
              <w:jc w:val="both"/>
              <w:rPr>
                <w:sz w:val="20"/>
              </w:rPr>
            </w:pPr>
          </w:p>
        </w:tc>
        <w:tc>
          <w:tcPr>
            <w:tcW w:w="2330" w:type="pct"/>
          </w:tcPr>
          <w:p w:rsidR="004F7E4B" w:rsidRPr="008D6C1E" w:rsidRDefault="004F7E4B" w:rsidP="004F7E4B">
            <w:pPr>
              <w:jc w:val="both"/>
              <w:rPr>
                <w:sz w:val="20"/>
              </w:rPr>
            </w:pPr>
            <w:r w:rsidRPr="008D6C1E">
              <w:rPr>
                <w:sz w:val="20"/>
              </w:rPr>
              <w:t>Motion to extend time to serve and file leave application and application for leave to appeal filed</w:t>
            </w:r>
          </w:p>
        </w:tc>
      </w:tr>
    </w:tbl>
    <w:p w:rsidR="004F7E4B" w:rsidRPr="008D6C1E" w:rsidRDefault="004F7E4B" w:rsidP="004F7E4B">
      <w:pPr>
        <w:jc w:val="both"/>
        <w:rPr>
          <w:sz w:val="20"/>
        </w:rPr>
      </w:pPr>
    </w:p>
    <w:p w:rsidR="004F7E4B" w:rsidRPr="008D6C1E" w:rsidRDefault="004F7E4B" w:rsidP="004F7E4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F7E4B" w:rsidRPr="002C1A32" w:rsidTr="002B5CF4">
        <w:tc>
          <w:tcPr>
            <w:tcW w:w="543" w:type="pct"/>
          </w:tcPr>
          <w:p w:rsidR="004F7E4B" w:rsidRPr="008D6C1E" w:rsidRDefault="004F7E4B" w:rsidP="004F7E4B">
            <w:pPr>
              <w:jc w:val="both"/>
              <w:rPr>
                <w:sz w:val="20"/>
                <w:lang w:val="fr-CA"/>
              </w:rPr>
            </w:pPr>
            <w:r w:rsidRPr="008D6C1E">
              <w:rPr>
                <w:rStyle w:val="SCCFileNumberChar"/>
                <w:sz w:val="20"/>
                <w:szCs w:val="20"/>
                <w:lang w:val="fr-CA"/>
              </w:rPr>
              <w:t>36690</w:t>
            </w:r>
          </w:p>
        </w:tc>
        <w:tc>
          <w:tcPr>
            <w:tcW w:w="4457" w:type="pct"/>
            <w:gridSpan w:val="3"/>
          </w:tcPr>
          <w:p w:rsidR="004F7E4B" w:rsidRPr="008D6C1E" w:rsidRDefault="004F7E4B" w:rsidP="004F7E4B">
            <w:pPr>
              <w:pStyle w:val="SCCLsocParty"/>
              <w:jc w:val="both"/>
              <w:rPr>
                <w:b/>
                <w:sz w:val="20"/>
                <w:szCs w:val="20"/>
              </w:rPr>
            </w:pPr>
            <w:r w:rsidRPr="008D6C1E">
              <w:rPr>
                <w:b/>
                <w:sz w:val="20"/>
                <w:szCs w:val="20"/>
              </w:rPr>
              <w:t>Campbell Ernest Crichton c. Sa Majesté la Reine</w:t>
            </w:r>
          </w:p>
          <w:p w:rsidR="004F7E4B" w:rsidRPr="008D6C1E" w:rsidRDefault="004F7E4B" w:rsidP="004F7E4B">
            <w:pPr>
              <w:jc w:val="both"/>
              <w:rPr>
                <w:sz w:val="20"/>
                <w:lang w:val="fr-CA"/>
              </w:rPr>
            </w:pPr>
            <w:r w:rsidRPr="008D6C1E">
              <w:rPr>
                <w:sz w:val="20"/>
                <w:lang w:val="fr-CA"/>
              </w:rPr>
              <w:t>(C.-B.) (Criminelle) (Sur autorisation)</w:t>
            </w:r>
          </w:p>
        </w:tc>
      </w:tr>
      <w:tr w:rsidR="004F7E4B" w:rsidRPr="002C1A32" w:rsidTr="002B5CF4">
        <w:tc>
          <w:tcPr>
            <w:tcW w:w="5000" w:type="pct"/>
            <w:gridSpan w:val="4"/>
          </w:tcPr>
          <w:p w:rsidR="004F7E4B" w:rsidRPr="008D6C1E" w:rsidRDefault="004F7E4B" w:rsidP="004F7E4B">
            <w:pPr>
              <w:pStyle w:val="SCCBanSummary"/>
              <w:rPr>
                <w:sz w:val="20"/>
                <w:szCs w:val="20"/>
                <w:lang w:val="fr-CA"/>
              </w:rPr>
            </w:pPr>
            <w:r w:rsidRPr="008D6C1E">
              <w:rPr>
                <w:sz w:val="20"/>
                <w:szCs w:val="20"/>
                <w:lang w:val="fr-CA"/>
              </w:rPr>
              <w:t>(Ordonnance de non-publication dans le dossier)</w:t>
            </w:r>
          </w:p>
          <w:p w:rsidR="004F7E4B" w:rsidRPr="008D6C1E" w:rsidRDefault="004F7E4B" w:rsidP="004F7E4B">
            <w:pPr>
              <w:jc w:val="both"/>
              <w:rPr>
                <w:sz w:val="20"/>
                <w:lang w:val="fr-CA"/>
              </w:rPr>
            </w:pPr>
          </w:p>
        </w:tc>
      </w:tr>
      <w:tr w:rsidR="004F7E4B" w:rsidRPr="002C1A32" w:rsidTr="002B5CF4">
        <w:tc>
          <w:tcPr>
            <w:tcW w:w="5000" w:type="pct"/>
            <w:gridSpan w:val="4"/>
          </w:tcPr>
          <w:p w:rsidR="004F7E4B" w:rsidRPr="008D6C1E" w:rsidRDefault="004F7E4B" w:rsidP="004F7E4B">
            <w:pPr>
              <w:jc w:val="both"/>
              <w:rPr>
                <w:sz w:val="20"/>
                <w:lang w:val="fr-CA"/>
              </w:rPr>
            </w:pPr>
            <w:r w:rsidRPr="008D6C1E">
              <w:rPr>
                <w:i/>
                <w:sz w:val="20"/>
                <w:lang w:val="fr-CA"/>
              </w:rPr>
              <w:t xml:space="preserve">Charte des droits </w:t>
            </w:r>
            <w:r w:rsidRPr="008D6C1E">
              <w:rPr>
                <w:sz w:val="20"/>
                <w:lang w:val="fr-CA"/>
              </w:rPr>
              <w:t xml:space="preserve">— Droit criminel — Droit à l’assistance d’un avocat — Appels — Jugements et ordonnances — Ordonnances interlocutoires — Suspension de l’instance — Représentation par un avocat — Demande d’avocat payé par les fonds publics — Le juge du procès a accueilli la demande de suspension de l’instance en attendant que l’État lui paie un avocat (ordonnance de type </w:t>
            </w:r>
            <w:r w:rsidRPr="008D6C1E">
              <w:rPr>
                <w:i/>
                <w:sz w:val="20"/>
                <w:lang w:val="fr-CA"/>
              </w:rPr>
              <w:t>Rowbotham</w:t>
            </w:r>
            <w:r w:rsidRPr="008D6C1E">
              <w:rPr>
                <w:sz w:val="20"/>
                <w:lang w:val="fr-CA"/>
              </w:rPr>
              <w:t xml:space="preserve">) — La Cour d’appel a infirmé l’ordonnance — Lorsqu’il existe un « risque réel et important » qu’un procès soit inéquitable sans l’assistance d’un avocat, l’imprudence financière de l’accusé peut-elle justifier à elle seule le refus d’accorder une ordonnance de type </w:t>
            </w:r>
            <w:r w:rsidRPr="008D6C1E">
              <w:rPr>
                <w:i/>
                <w:sz w:val="20"/>
                <w:lang w:val="fr-CA"/>
              </w:rPr>
              <w:t>Rowbotham</w:t>
            </w:r>
            <w:r w:rsidRPr="008D6C1E">
              <w:rPr>
                <w:sz w:val="20"/>
                <w:lang w:val="fr-CA"/>
              </w:rPr>
              <w:t xml:space="preserve">? — Lorsqu’un accusé demande une ordonnance de type </w:t>
            </w:r>
            <w:r w:rsidRPr="008D6C1E">
              <w:rPr>
                <w:i/>
                <w:sz w:val="20"/>
                <w:lang w:val="fr-CA"/>
              </w:rPr>
              <w:t>Rowbotham</w:t>
            </w:r>
            <w:r w:rsidRPr="008D6C1E">
              <w:rPr>
                <w:sz w:val="20"/>
                <w:lang w:val="fr-CA"/>
              </w:rPr>
              <w:t>, doit-il prouver un « haut degré de probabilité » que le procès sera inéquitable sans avocat pour que l’ordonnance soit accordée?</w:t>
            </w:r>
          </w:p>
        </w:tc>
      </w:tr>
      <w:tr w:rsidR="004F7E4B" w:rsidRPr="002C1A32" w:rsidTr="002B5CF4">
        <w:tc>
          <w:tcPr>
            <w:tcW w:w="5000" w:type="pct"/>
            <w:gridSpan w:val="4"/>
          </w:tcPr>
          <w:p w:rsidR="004F7E4B" w:rsidRPr="008D6C1E" w:rsidRDefault="004F7E4B" w:rsidP="004F7E4B">
            <w:pPr>
              <w:jc w:val="both"/>
              <w:rPr>
                <w:sz w:val="20"/>
                <w:lang w:val="fr-CA"/>
              </w:rPr>
            </w:pPr>
          </w:p>
          <w:p w:rsidR="004F7E4B" w:rsidRPr="008D6C1E" w:rsidRDefault="004F7E4B" w:rsidP="004F7E4B">
            <w:pPr>
              <w:jc w:val="both"/>
              <w:rPr>
                <w:sz w:val="20"/>
                <w:lang w:val="fr-CA"/>
              </w:rPr>
            </w:pPr>
            <w:r w:rsidRPr="008D6C1E">
              <w:rPr>
                <w:sz w:val="20"/>
                <w:lang w:val="fr-CA"/>
              </w:rPr>
              <w:t>Monsieur Crichton, un physiothérapeute, a été accusé de 23 infractions sexuelles commises contre d’anciennes patientes. Il s’est vu refuser l’aide juridique parce qu’il avait dépensé tout l’argent dont il disposait sans faire de provisions pour retenir les services d’un avocat. Monsieur Crichton a subséquemment présenté une demande pour la nomination d’un avocat payé par les fonds publics (une ordonnance de type « </w:t>
            </w:r>
            <w:r w:rsidRPr="008D6C1E">
              <w:rPr>
                <w:i/>
                <w:sz w:val="20"/>
                <w:lang w:val="fr-CA"/>
              </w:rPr>
              <w:t>Rowbotham</w:t>
            </w:r>
            <w:r w:rsidRPr="008D6C1E">
              <w:rPr>
                <w:sz w:val="20"/>
                <w:lang w:val="fr-CA"/>
              </w:rPr>
              <w:t xml:space="preserve"> ») pour son procès. </w:t>
            </w:r>
          </w:p>
          <w:p w:rsidR="004F7E4B" w:rsidRPr="008D6C1E" w:rsidRDefault="004F7E4B" w:rsidP="004F7E4B">
            <w:pPr>
              <w:jc w:val="both"/>
              <w:rPr>
                <w:sz w:val="20"/>
                <w:lang w:val="fr-CA"/>
              </w:rPr>
            </w:pPr>
          </w:p>
          <w:p w:rsidR="004F7E4B" w:rsidRPr="008D6C1E" w:rsidRDefault="004F7E4B" w:rsidP="004F7E4B">
            <w:pPr>
              <w:jc w:val="both"/>
              <w:rPr>
                <w:sz w:val="20"/>
                <w:lang w:val="fr-CA"/>
              </w:rPr>
            </w:pPr>
            <w:r w:rsidRPr="008D6C1E">
              <w:rPr>
                <w:sz w:val="20"/>
                <w:lang w:val="fr-CA"/>
              </w:rPr>
              <w:t xml:space="preserve">La Cour suprême de la Colombie-Britannique a accordé à M. Crichton une suspension conditionnelle de l’instance en attendant que l’État lui paie un avocat, concluant et qu’il avait rempli les critères d’inadmissibilité financière et que son procès serait inéquitable s’il n’était pas représenté par un avocat. La Cour d’appel de la Colombie-Britannique a accueilli l’appel du ministère public relativement à l’ordonnance de type </w:t>
            </w:r>
            <w:r w:rsidRPr="008D6C1E">
              <w:rPr>
                <w:i/>
                <w:sz w:val="20"/>
                <w:lang w:val="fr-CA"/>
              </w:rPr>
              <w:t>Rowbotham</w:t>
            </w:r>
            <w:r w:rsidRPr="008D6C1E">
              <w:rPr>
                <w:sz w:val="20"/>
                <w:lang w:val="fr-CA"/>
              </w:rPr>
              <w:t xml:space="preserve">, concluant que le juge du procès avait eu tort de conclure que l’imprudence financière ne pouvait pas à elle seule justifier le refus d’une ordonnance de type </w:t>
            </w:r>
            <w:r w:rsidRPr="008D6C1E">
              <w:rPr>
                <w:i/>
                <w:sz w:val="20"/>
                <w:lang w:val="fr-CA"/>
              </w:rPr>
              <w:t>Rowbotham</w:t>
            </w:r>
            <w:r w:rsidRPr="008D6C1E">
              <w:rPr>
                <w:sz w:val="20"/>
                <w:lang w:val="fr-CA"/>
              </w:rPr>
              <w:t>. En l’espèce, M. Crichton avait fait un « choix de consommateur » de ne pas retenir les services d’un avocat et ne pouvait donc pas réclamer un financement public pour assurer sa représentation par un avocat.</w:t>
            </w:r>
          </w:p>
          <w:p w:rsidR="004F7E4B" w:rsidRPr="008D6C1E" w:rsidRDefault="004F7E4B" w:rsidP="004F7E4B">
            <w:pPr>
              <w:jc w:val="both"/>
              <w:rPr>
                <w:sz w:val="20"/>
                <w:lang w:val="fr-CA"/>
              </w:rPr>
            </w:pPr>
          </w:p>
        </w:tc>
      </w:tr>
      <w:tr w:rsidR="004F7E4B" w:rsidRPr="002C1A32" w:rsidTr="002B5CF4">
        <w:tc>
          <w:tcPr>
            <w:tcW w:w="2427" w:type="pct"/>
            <w:gridSpan w:val="2"/>
          </w:tcPr>
          <w:p w:rsidR="004F7E4B" w:rsidRPr="008D6C1E" w:rsidRDefault="004F7E4B" w:rsidP="004F7E4B">
            <w:pPr>
              <w:jc w:val="both"/>
              <w:rPr>
                <w:sz w:val="20"/>
                <w:lang w:val="fr-CA"/>
              </w:rPr>
            </w:pPr>
            <w:r w:rsidRPr="008D6C1E">
              <w:rPr>
                <w:sz w:val="20"/>
                <w:lang w:val="fr-CA"/>
              </w:rPr>
              <w:lastRenderedPageBreak/>
              <w:t>13 mars 2013</w:t>
            </w:r>
          </w:p>
          <w:p w:rsidR="004F7E4B" w:rsidRPr="008D6C1E" w:rsidRDefault="004F7E4B" w:rsidP="004F7E4B">
            <w:pPr>
              <w:jc w:val="both"/>
              <w:rPr>
                <w:sz w:val="20"/>
                <w:lang w:val="fr-CA"/>
              </w:rPr>
            </w:pPr>
            <w:r w:rsidRPr="008D6C1E">
              <w:rPr>
                <w:sz w:val="20"/>
                <w:lang w:val="fr-CA"/>
              </w:rPr>
              <w:t xml:space="preserve">Cour suprême de la Colombie-Britannique </w:t>
            </w:r>
          </w:p>
          <w:p w:rsidR="004F7E4B" w:rsidRPr="008D6C1E" w:rsidRDefault="004F7E4B" w:rsidP="004F7E4B">
            <w:pPr>
              <w:jc w:val="both"/>
              <w:rPr>
                <w:sz w:val="20"/>
                <w:lang w:val="fr-CA"/>
              </w:rPr>
            </w:pPr>
            <w:r w:rsidRPr="008D6C1E">
              <w:rPr>
                <w:sz w:val="20"/>
                <w:lang w:val="fr-CA"/>
              </w:rPr>
              <w:t>(Juge Bracken)</w:t>
            </w:r>
          </w:p>
          <w:p w:rsidR="004F7E4B" w:rsidRPr="008D6C1E" w:rsidRDefault="005E6DC4" w:rsidP="004F7E4B">
            <w:pPr>
              <w:jc w:val="both"/>
              <w:rPr>
                <w:sz w:val="20"/>
                <w:lang w:val="fr-CA"/>
              </w:rPr>
            </w:pPr>
            <w:hyperlink r:id="rId82" w:history="1">
              <w:r w:rsidR="004F7E4B" w:rsidRPr="008D6C1E">
                <w:rPr>
                  <w:rStyle w:val="Hyperlink"/>
                  <w:sz w:val="20"/>
                  <w:lang w:val="fr-CA"/>
                </w:rPr>
                <w:t>2013 BCSC 416</w:t>
              </w:r>
            </w:hyperlink>
          </w:p>
          <w:p w:rsidR="004F7E4B" w:rsidRPr="008D6C1E" w:rsidRDefault="004F7E4B" w:rsidP="004F7E4B">
            <w:pPr>
              <w:jc w:val="both"/>
              <w:rPr>
                <w:sz w:val="20"/>
                <w:lang w:val="fr-CA"/>
              </w:rPr>
            </w:pPr>
          </w:p>
        </w:tc>
        <w:tc>
          <w:tcPr>
            <w:tcW w:w="243" w:type="pct"/>
          </w:tcPr>
          <w:p w:rsidR="004F7E4B" w:rsidRPr="008D6C1E" w:rsidRDefault="004F7E4B" w:rsidP="004F7E4B">
            <w:pPr>
              <w:jc w:val="both"/>
              <w:rPr>
                <w:sz w:val="20"/>
                <w:lang w:val="fr-CA"/>
              </w:rPr>
            </w:pPr>
          </w:p>
        </w:tc>
        <w:tc>
          <w:tcPr>
            <w:tcW w:w="2330" w:type="pct"/>
          </w:tcPr>
          <w:p w:rsidR="004F7E4B" w:rsidRPr="008D6C1E" w:rsidRDefault="004F7E4B" w:rsidP="004F7E4B">
            <w:pPr>
              <w:jc w:val="both"/>
              <w:rPr>
                <w:sz w:val="20"/>
                <w:lang w:val="fr-CA"/>
              </w:rPr>
            </w:pPr>
            <w:r w:rsidRPr="008D6C1E">
              <w:rPr>
                <w:sz w:val="20"/>
                <w:lang w:val="fr-CA"/>
              </w:rPr>
              <w:t>Jugement accueillant la demande de l’accusé en suspension de l’instance en attendant que l’État lui paie un avocat</w:t>
            </w:r>
          </w:p>
          <w:p w:rsidR="004F7E4B" w:rsidRPr="008D6C1E" w:rsidRDefault="004F7E4B" w:rsidP="004F7E4B">
            <w:pPr>
              <w:jc w:val="both"/>
              <w:rPr>
                <w:sz w:val="20"/>
                <w:lang w:val="fr-CA"/>
              </w:rPr>
            </w:pPr>
          </w:p>
        </w:tc>
      </w:tr>
      <w:tr w:rsidR="004F7E4B" w:rsidRPr="002C1A32" w:rsidTr="002B5CF4">
        <w:tc>
          <w:tcPr>
            <w:tcW w:w="2427" w:type="pct"/>
            <w:gridSpan w:val="2"/>
          </w:tcPr>
          <w:p w:rsidR="004F7E4B" w:rsidRPr="008D6C1E" w:rsidRDefault="004F7E4B" w:rsidP="004F7E4B">
            <w:pPr>
              <w:jc w:val="both"/>
              <w:rPr>
                <w:sz w:val="20"/>
                <w:lang w:val="fr-CA"/>
              </w:rPr>
            </w:pPr>
            <w:r w:rsidRPr="008D6C1E">
              <w:rPr>
                <w:sz w:val="20"/>
                <w:lang w:val="fr-CA"/>
              </w:rPr>
              <w:t>30 mars 2015</w:t>
            </w:r>
          </w:p>
          <w:p w:rsidR="004F7E4B" w:rsidRPr="008D6C1E" w:rsidRDefault="004F7E4B" w:rsidP="004F7E4B">
            <w:pPr>
              <w:jc w:val="both"/>
              <w:rPr>
                <w:sz w:val="20"/>
                <w:lang w:val="fr-CA"/>
              </w:rPr>
            </w:pPr>
            <w:r w:rsidRPr="008D6C1E">
              <w:rPr>
                <w:sz w:val="20"/>
                <w:lang w:val="fr-CA"/>
              </w:rPr>
              <w:t xml:space="preserve">Cour d’appel de la Colombie-Britannique </w:t>
            </w:r>
          </w:p>
          <w:p w:rsidR="004F7E4B" w:rsidRPr="008D6C1E" w:rsidRDefault="004F7E4B" w:rsidP="004F7E4B">
            <w:pPr>
              <w:jc w:val="both"/>
              <w:rPr>
                <w:sz w:val="20"/>
                <w:lang w:val="fr-CA"/>
              </w:rPr>
            </w:pPr>
            <w:r w:rsidRPr="008D6C1E">
              <w:rPr>
                <w:sz w:val="20"/>
                <w:lang w:val="fr-CA"/>
              </w:rPr>
              <w:t>(Vancouver)</w:t>
            </w:r>
          </w:p>
          <w:p w:rsidR="004F7E4B" w:rsidRPr="008D6C1E" w:rsidRDefault="004F7E4B" w:rsidP="004F7E4B">
            <w:pPr>
              <w:jc w:val="both"/>
              <w:rPr>
                <w:sz w:val="20"/>
                <w:lang w:val="fr-CA"/>
              </w:rPr>
            </w:pPr>
            <w:r w:rsidRPr="008D6C1E">
              <w:rPr>
                <w:sz w:val="20"/>
                <w:lang w:val="fr-CA"/>
              </w:rPr>
              <w:t>(Juges Tysoe, Smith et Bennett)</w:t>
            </w:r>
          </w:p>
          <w:p w:rsidR="004F7E4B" w:rsidRPr="008D6C1E" w:rsidRDefault="005E6DC4" w:rsidP="004F7E4B">
            <w:pPr>
              <w:jc w:val="both"/>
              <w:rPr>
                <w:sz w:val="20"/>
                <w:lang w:val="fr-CA"/>
              </w:rPr>
            </w:pPr>
            <w:hyperlink r:id="rId83" w:history="1">
              <w:r w:rsidR="004F7E4B" w:rsidRPr="008D6C1E">
                <w:rPr>
                  <w:rStyle w:val="Hyperlink"/>
                  <w:sz w:val="20"/>
                  <w:lang w:val="fr-CA"/>
                </w:rPr>
                <w:t>2015 BCCA 138</w:t>
              </w:r>
            </w:hyperlink>
          </w:p>
          <w:p w:rsidR="004F7E4B" w:rsidRPr="008D6C1E" w:rsidRDefault="004F7E4B" w:rsidP="004F7E4B">
            <w:pPr>
              <w:jc w:val="both"/>
              <w:rPr>
                <w:sz w:val="20"/>
                <w:lang w:val="fr-CA"/>
              </w:rPr>
            </w:pPr>
          </w:p>
        </w:tc>
        <w:tc>
          <w:tcPr>
            <w:tcW w:w="243" w:type="pct"/>
          </w:tcPr>
          <w:p w:rsidR="004F7E4B" w:rsidRPr="008D6C1E" w:rsidRDefault="004F7E4B" w:rsidP="004F7E4B">
            <w:pPr>
              <w:jc w:val="both"/>
              <w:rPr>
                <w:sz w:val="20"/>
                <w:lang w:val="fr-CA"/>
              </w:rPr>
            </w:pPr>
          </w:p>
        </w:tc>
        <w:tc>
          <w:tcPr>
            <w:tcW w:w="2330" w:type="pct"/>
          </w:tcPr>
          <w:p w:rsidR="004F7E4B" w:rsidRPr="008D6C1E" w:rsidRDefault="004F7E4B" w:rsidP="004F7E4B">
            <w:pPr>
              <w:jc w:val="both"/>
              <w:rPr>
                <w:sz w:val="20"/>
                <w:lang w:val="fr-CA"/>
              </w:rPr>
            </w:pPr>
            <w:r w:rsidRPr="008D6C1E">
              <w:rPr>
                <w:sz w:val="20"/>
                <w:lang w:val="fr-CA"/>
              </w:rPr>
              <w:t xml:space="preserve">Arrêt accueillant l’appel de l’ordonnance de suspension interjeté par le ministère public </w:t>
            </w:r>
          </w:p>
          <w:p w:rsidR="004F7E4B" w:rsidRPr="008D6C1E" w:rsidRDefault="004F7E4B" w:rsidP="004F7E4B">
            <w:pPr>
              <w:jc w:val="both"/>
              <w:rPr>
                <w:sz w:val="20"/>
                <w:lang w:val="fr-CA"/>
              </w:rPr>
            </w:pPr>
          </w:p>
        </w:tc>
      </w:tr>
      <w:tr w:rsidR="004F7E4B" w:rsidRPr="002C1A32" w:rsidTr="004F7E4B">
        <w:trPr>
          <w:trHeight w:val="639"/>
        </w:trPr>
        <w:tc>
          <w:tcPr>
            <w:tcW w:w="2427" w:type="pct"/>
            <w:gridSpan w:val="2"/>
          </w:tcPr>
          <w:p w:rsidR="004F7E4B" w:rsidRPr="008D6C1E" w:rsidRDefault="004F7E4B" w:rsidP="004F7E4B">
            <w:pPr>
              <w:jc w:val="both"/>
              <w:rPr>
                <w:sz w:val="20"/>
                <w:lang w:val="fr-CA"/>
              </w:rPr>
            </w:pPr>
            <w:r w:rsidRPr="008D6C1E">
              <w:rPr>
                <w:sz w:val="20"/>
                <w:lang w:val="fr-CA"/>
              </w:rPr>
              <w:t>16 octobre 2015</w:t>
            </w:r>
          </w:p>
          <w:p w:rsidR="004F7E4B" w:rsidRPr="008D6C1E" w:rsidRDefault="004F7E4B" w:rsidP="004F7E4B">
            <w:pPr>
              <w:jc w:val="both"/>
              <w:rPr>
                <w:sz w:val="20"/>
                <w:lang w:val="fr-CA"/>
              </w:rPr>
            </w:pPr>
            <w:r w:rsidRPr="008D6C1E">
              <w:rPr>
                <w:sz w:val="20"/>
                <w:lang w:val="fr-CA"/>
              </w:rPr>
              <w:t>Cour suprême du Canada</w:t>
            </w:r>
          </w:p>
        </w:tc>
        <w:tc>
          <w:tcPr>
            <w:tcW w:w="243" w:type="pct"/>
          </w:tcPr>
          <w:p w:rsidR="004F7E4B" w:rsidRPr="008D6C1E" w:rsidRDefault="004F7E4B" w:rsidP="004F7E4B">
            <w:pPr>
              <w:jc w:val="both"/>
              <w:rPr>
                <w:sz w:val="20"/>
                <w:lang w:val="fr-CA"/>
              </w:rPr>
            </w:pPr>
          </w:p>
        </w:tc>
        <w:tc>
          <w:tcPr>
            <w:tcW w:w="2330" w:type="pct"/>
          </w:tcPr>
          <w:p w:rsidR="004F7E4B" w:rsidRPr="008D6C1E" w:rsidRDefault="004F7E4B" w:rsidP="004F7E4B">
            <w:pPr>
              <w:jc w:val="both"/>
              <w:rPr>
                <w:sz w:val="20"/>
                <w:lang w:val="fr-CA"/>
              </w:rPr>
            </w:pPr>
            <w:r w:rsidRPr="008D6C1E">
              <w:rPr>
                <w:sz w:val="20"/>
                <w:lang w:val="fr-CA"/>
              </w:rPr>
              <w:t>Dépôt de la requête en prorogation du délai de signification et de dépôt de la demande d’autorisation d’appel et de la demande d’autorisation d’appel</w:t>
            </w:r>
          </w:p>
        </w:tc>
      </w:tr>
    </w:tbl>
    <w:p w:rsidR="004F7E4B" w:rsidRPr="008D6C1E" w:rsidRDefault="004F7E4B" w:rsidP="004F7E4B">
      <w:pPr>
        <w:jc w:val="both"/>
        <w:rPr>
          <w:sz w:val="20"/>
          <w:lang w:val="fr-CA"/>
        </w:rPr>
      </w:pPr>
    </w:p>
    <w:p w:rsidR="006C44EF" w:rsidRPr="008D6C1E" w:rsidRDefault="006C44EF" w:rsidP="0075778E">
      <w:pPr>
        <w:widowControl w:val="0"/>
        <w:ind w:left="360" w:hanging="360"/>
        <w:jc w:val="both"/>
        <w:rPr>
          <w:sz w:val="20"/>
          <w:lang w:val="fr-FR"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5778E" w:rsidRPr="008D6C1E" w:rsidTr="002B5CF4">
        <w:trPr>
          <w:gridAfter w:val="1"/>
          <w:wAfter w:w="48" w:type="pct"/>
        </w:trPr>
        <w:tc>
          <w:tcPr>
            <w:tcW w:w="538" w:type="pct"/>
          </w:tcPr>
          <w:p w:rsidR="0075778E" w:rsidRPr="008D6C1E" w:rsidRDefault="0075778E" w:rsidP="0075778E">
            <w:pPr>
              <w:jc w:val="both"/>
              <w:rPr>
                <w:sz w:val="20"/>
                <w:lang w:val="en-CA"/>
              </w:rPr>
            </w:pPr>
            <w:r w:rsidRPr="008D6C1E">
              <w:rPr>
                <w:rStyle w:val="SCCFileNumberChar"/>
                <w:sz w:val="20"/>
                <w:szCs w:val="20"/>
              </w:rPr>
              <w:t>36794</w:t>
            </w:r>
          </w:p>
        </w:tc>
        <w:tc>
          <w:tcPr>
            <w:tcW w:w="4414" w:type="pct"/>
            <w:gridSpan w:val="3"/>
          </w:tcPr>
          <w:p w:rsidR="0075778E" w:rsidRPr="008D6C1E" w:rsidRDefault="0075778E" w:rsidP="0075778E">
            <w:pPr>
              <w:pStyle w:val="SCCLsocParty"/>
              <w:jc w:val="both"/>
              <w:rPr>
                <w:b/>
                <w:sz w:val="20"/>
                <w:szCs w:val="20"/>
                <w:lang w:val="en-CA"/>
              </w:rPr>
            </w:pPr>
            <w:r w:rsidRPr="008D6C1E">
              <w:rPr>
                <w:b/>
                <w:sz w:val="20"/>
                <w:szCs w:val="20"/>
                <w:lang w:val="en-CA"/>
              </w:rPr>
              <w:t>S.P.M. v. Attorney General of Quebec, Minister of Employment and Social Solidarity</w:t>
            </w:r>
          </w:p>
          <w:p w:rsidR="0075778E" w:rsidRPr="008D6C1E" w:rsidRDefault="0075778E" w:rsidP="0075778E">
            <w:pPr>
              <w:jc w:val="both"/>
              <w:rPr>
                <w:sz w:val="20"/>
                <w:lang w:val="en-CA"/>
              </w:rPr>
            </w:pPr>
            <w:r w:rsidRPr="008D6C1E">
              <w:rPr>
                <w:sz w:val="20"/>
                <w:lang w:val="en-CA"/>
              </w:rPr>
              <w:t>(Que.) (Civil) (By Leave)</w:t>
            </w:r>
          </w:p>
        </w:tc>
      </w:tr>
      <w:tr w:rsidR="0075778E" w:rsidRPr="008D6C1E" w:rsidTr="002B5CF4">
        <w:trPr>
          <w:gridAfter w:val="1"/>
          <w:wAfter w:w="48" w:type="pct"/>
        </w:trPr>
        <w:tc>
          <w:tcPr>
            <w:tcW w:w="4952" w:type="pct"/>
            <w:gridSpan w:val="4"/>
          </w:tcPr>
          <w:p w:rsidR="0075778E" w:rsidRPr="008D6C1E" w:rsidRDefault="0075778E" w:rsidP="0075778E">
            <w:pPr>
              <w:pStyle w:val="SCCBanSummary"/>
              <w:rPr>
                <w:sz w:val="20"/>
                <w:szCs w:val="20"/>
              </w:rPr>
            </w:pPr>
            <w:r w:rsidRPr="008D6C1E">
              <w:rPr>
                <w:sz w:val="20"/>
                <w:szCs w:val="20"/>
              </w:rPr>
              <w:t>(Publication Ban in Case) (Publication Ban on Party)</w:t>
            </w:r>
          </w:p>
          <w:p w:rsidR="0075778E" w:rsidRPr="008D6C1E" w:rsidRDefault="0075778E" w:rsidP="0075778E">
            <w:pPr>
              <w:jc w:val="both"/>
              <w:rPr>
                <w:sz w:val="20"/>
                <w:lang w:val="en-CA"/>
              </w:rPr>
            </w:pPr>
          </w:p>
        </w:tc>
      </w:tr>
      <w:tr w:rsidR="0075778E" w:rsidRPr="008D6C1E" w:rsidTr="002B5CF4">
        <w:trPr>
          <w:gridAfter w:val="1"/>
          <w:wAfter w:w="48" w:type="pct"/>
        </w:trPr>
        <w:tc>
          <w:tcPr>
            <w:tcW w:w="4952" w:type="pct"/>
            <w:gridSpan w:val="4"/>
          </w:tcPr>
          <w:p w:rsidR="0075778E" w:rsidRPr="008D6C1E" w:rsidRDefault="0075778E" w:rsidP="0075778E">
            <w:pPr>
              <w:jc w:val="both"/>
              <w:rPr>
                <w:sz w:val="20"/>
                <w:lang w:val="en-CA"/>
              </w:rPr>
            </w:pPr>
            <w:proofErr w:type="gramStart"/>
            <w:r w:rsidRPr="008D6C1E">
              <w:rPr>
                <w:sz w:val="20"/>
                <w:lang w:val="en-CA"/>
              </w:rPr>
              <w:t xml:space="preserve">Charter of rights </w:t>
            </w:r>
            <w:r w:rsidRPr="008D6C1E">
              <w:rPr>
                <w:sz w:val="20"/>
              </w:rPr>
              <w:t>—</w:t>
            </w:r>
            <w:r w:rsidRPr="008D6C1E">
              <w:rPr>
                <w:sz w:val="20"/>
                <w:lang w:val="en-CA"/>
              </w:rPr>
              <w:t xml:space="preserve"> Human rights </w:t>
            </w:r>
            <w:r w:rsidRPr="008D6C1E">
              <w:rPr>
                <w:sz w:val="20"/>
              </w:rPr>
              <w:t>—</w:t>
            </w:r>
            <w:r w:rsidRPr="008D6C1E">
              <w:rPr>
                <w:sz w:val="20"/>
                <w:lang w:val="en-CA"/>
              </w:rPr>
              <w:t xml:space="preserve"> Right to equality </w:t>
            </w:r>
            <w:r w:rsidRPr="008D6C1E">
              <w:rPr>
                <w:sz w:val="20"/>
              </w:rPr>
              <w:t>—</w:t>
            </w:r>
            <w:r w:rsidRPr="008D6C1E">
              <w:rPr>
                <w:sz w:val="20"/>
                <w:lang w:val="en-CA"/>
              </w:rPr>
              <w:t xml:space="preserve"> Right to dignity </w:t>
            </w:r>
            <w:r w:rsidRPr="008D6C1E">
              <w:rPr>
                <w:sz w:val="20"/>
              </w:rPr>
              <w:t>—</w:t>
            </w:r>
            <w:r w:rsidRPr="008D6C1E">
              <w:rPr>
                <w:sz w:val="20"/>
                <w:lang w:val="en-CA"/>
              </w:rPr>
              <w:t xml:space="preserve"> Severely limited capacity for employment </w:t>
            </w:r>
            <w:r w:rsidRPr="008D6C1E">
              <w:rPr>
                <w:sz w:val="20"/>
              </w:rPr>
              <w:t>—</w:t>
            </w:r>
            <w:r w:rsidRPr="008D6C1E">
              <w:rPr>
                <w:sz w:val="20"/>
                <w:lang w:val="en-CA"/>
              </w:rPr>
              <w:t xml:space="preserve"> Last resort financial assistance </w:t>
            </w:r>
            <w:r w:rsidRPr="008D6C1E">
              <w:rPr>
                <w:sz w:val="20"/>
              </w:rPr>
              <w:t>—</w:t>
            </w:r>
            <w:r w:rsidRPr="008D6C1E">
              <w:rPr>
                <w:sz w:val="20"/>
                <w:lang w:val="en-CA"/>
              </w:rPr>
              <w:t xml:space="preserve"> Person living with </w:t>
            </w:r>
            <w:r w:rsidRPr="008D6C1E">
              <w:rPr>
                <w:i/>
                <w:sz w:val="20"/>
                <w:lang w:val="en-CA"/>
              </w:rPr>
              <w:t>de facto</w:t>
            </w:r>
            <w:r w:rsidRPr="008D6C1E">
              <w:rPr>
                <w:sz w:val="20"/>
                <w:lang w:val="en-CA"/>
              </w:rPr>
              <w:t xml:space="preserve"> spouse wanting to apply for financial assistance for single person </w:t>
            </w:r>
            <w:r w:rsidRPr="008D6C1E">
              <w:rPr>
                <w:sz w:val="20"/>
              </w:rPr>
              <w:t>—</w:t>
            </w:r>
            <w:r w:rsidRPr="008D6C1E">
              <w:rPr>
                <w:sz w:val="20"/>
                <w:lang w:val="en-CA"/>
              </w:rPr>
              <w:t xml:space="preserve"> Discrimination based on marital status </w:t>
            </w:r>
            <w:r w:rsidRPr="008D6C1E">
              <w:rPr>
                <w:sz w:val="20"/>
              </w:rPr>
              <w:t>—</w:t>
            </w:r>
            <w:r w:rsidRPr="008D6C1E">
              <w:rPr>
                <w:sz w:val="20"/>
                <w:lang w:val="en-CA"/>
              </w:rPr>
              <w:t xml:space="preserve"> Whether s. 155 of </w:t>
            </w:r>
            <w:r w:rsidRPr="008D6C1E">
              <w:rPr>
                <w:i/>
                <w:sz w:val="20"/>
                <w:lang w:val="en-CA"/>
              </w:rPr>
              <w:t>Individual and Family Assistance Regulation</w:t>
            </w:r>
            <w:r w:rsidRPr="008D6C1E">
              <w:rPr>
                <w:sz w:val="20"/>
                <w:lang w:val="en-CA"/>
              </w:rPr>
              <w:t>, R.S.Q. c. A</w:t>
            </w:r>
            <w:r w:rsidRPr="008D6C1E">
              <w:rPr>
                <w:sz w:val="20"/>
                <w:lang w:val="en-CA"/>
              </w:rPr>
              <w:noBreakHyphen/>
              <w:t xml:space="preserve">13.1.1, r. 1, infringes </w:t>
            </w:r>
            <w:r w:rsidRPr="008D6C1E">
              <w:rPr>
                <w:i/>
                <w:sz w:val="20"/>
                <w:lang w:val="en-CA"/>
              </w:rPr>
              <w:t>Charter of human rights and freedoms</w:t>
            </w:r>
            <w:r w:rsidRPr="008D6C1E">
              <w:rPr>
                <w:sz w:val="20"/>
                <w:lang w:val="en-CA"/>
              </w:rPr>
              <w:t xml:space="preserve"> and </w:t>
            </w:r>
            <w:r w:rsidRPr="008D6C1E">
              <w:rPr>
                <w:i/>
                <w:sz w:val="20"/>
                <w:lang w:val="en-CA"/>
              </w:rPr>
              <w:t>Canadian Charter of Rights and Freedoms</w:t>
            </w:r>
            <w:r w:rsidRPr="008D6C1E">
              <w:rPr>
                <w:sz w:val="20"/>
                <w:lang w:val="en-CA"/>
              </w:rPr>
              <w:t xml:space="preserve"> </w:t>
            </w:r>
            <w:r w:rsidRPr="008D6C1E">
              <w:rPr>
                <w:sz w:val="20"/>
              </w:rPr>
              <w:t>—</w:t>
            </w:r>
            <w:r w:rsidRPr="008D6C1E">
              <w:rPr>
                <w:sz w:val="20"/>
                <w:lang w:val="en-CA"/>
              </w:rPr>
              <w:t xml:space="preserve"> Whether exclusion of social solidarity benefits based on marital status is discriminatory in effect, particularly as regards applicant’s rights to equality and dignity </w:t>
            </w:r>
            <w:r w:rsidRPr="008D6C1E">
              <w:rPr>
                <w:sz w:val="20"/>
              </w:rPr>
              <w:t xml:space="preserve">— </w:t>
            </w:r>
            <w:r w:rsidRPr="008D6C1E">
              <w:rPr>
                <w:i/>
                <w:sz w:val="20"/>
                <w:lang w:val="en-CA"/>
              </w:rPr>
              <w:t xml:space="preserve">Charter of human rights and freedoms, </w:t>
            </w:r>
            <w:r w:rsidRPr="008D6C1E">
              <w:rPr>
                <w:sz w:val="20"/>
                <w:lang w:val="en-CA"/>
              </w:rPr>
              <w:t>CQLR</w:t>
            </w:r>
            <w:r w:rsidRPr="008D6C1E">
              <w:rPr>
                <w:i/>
                <w:sz w:val="20"/>
                <w:lang w:val="en-CA"/>
              </w:rPr>
              <w:t xml:space="preserve"> </w:t>
            </w:r>
            <w:r w:rsidRPr="008D6C1E">
              <w:rPr>
                <w:sz w:val="20"/>
                <w:lang w:val="en-CA"/>
              </w:rPr>
              <w:t xml:space="preserve">c. C-12 </w:t>
            </w:r>
            <w:r w:rsidRPr="008D6C1E">
              <w:rPr>
                <w:sz w:val="20"/>
              </w:rPr>
              <w:t xml:space="preserve">— </w:t>
            </w:r>
            <w:r w:rsidRPr="008D6C1E">
              <w:rPr>
                <w:i/>
                <w:sz w:val="20"/>
                <w:lang w:val="en-CA"/>
              </w:rPr>
              <w:t>Individual and Family Assistance Act</w:t>
            </w:r>
            <w:r w:rsidRPr="008D6C1E">
              <w:rPr>
                <w:sz w:val="20"/>
                <w:lang w:val="en-CA"/>
              </w:rPr>
              <w:t>, R.S.Q. c. A</w:t>
            </w:r>
            <w:r w:rsidRPr="008D6C1E">
              <w:rPr>
                <w:sz w:val="20"/>
                <w:lang w:val="en-CA"/>
              </w:rPr>
              <w:noBreakHyphen/>
              <w:t xml:space="preserve">13.1.1 </w:t>
            </w:r>
            <w:r w:rsidRPr="008D6C1E">
              <w:rPr>
                <w:sz w:val="20"/>
              </w:rPr>
              <w:t>—</w:t>
            </w:r>
            <w:r w:rsidRPr="008D6C1E">
              <w:rPr>
                <w:sz w:val="20"/>
                <w:lang w:val="en-CA"/>
              </w:rPr>
              <w:t xml:space="preserve"> </w:t>
            </w:r>
            <w:r w:rsidRPr="008D6C1E">
              <w:rPr>
                <w:i/>
                <w:sz w:val="20"/>
                <w:lang w:val="en-CA"/>
              </w:rPr>
              <w:t>Individual and Family Assistance Regulation</w:t>
            </w:r>
            <w:r w:rsidRPr="008D6C1E">
              <w:rPr>
                <w:sz w:val="20"/>
                <w:lang w:val="en-CA"/>
              </w:rPr>
              <w:t>, R.S.Q. c. A-13.1.1, r. 1, s. 155.</w:t>
            </w:r>
            <w:proofErr w:type="gramEnd"/>
          </w:p>
        </w:tc>
      </w:tr>
      <w:tr w:rsidR="0075778E" w:rsidRPr="008D6C1E" w:rsidTr="002B5CF4">
        <w:trPr>
          <w:gridAfter w:val="1"/>
          <w:wAfter w:w="48" w:type="pct"/>
        </w:trPr>
        <w:tc>
          <w:tcPr>
            <w:tcW w:w="4952" w:type="pct"/>
            <w:gridSpan w:val="4"/>
          </w:tcPr>
          <w:p w:rsidR="0075778E" w:rsidRPr="008D6C1E" w:rsidRDefault="0075778E" w:rsidP="0075778E">
            <w:pPr>
              <w:jc w:val="both"/>
              <w:rPr>
                <w:sz w:val="20"/>
                <w:lang w:val="en-CA"/>
              </w:rPr>
            </w:pPr>
          </w:p>
        </w:tc>
      </w:tr>
      <w:tr w:rsidR="0075778E" w:rsidRPr="008D6C1E" w:rsidTr="002B5CF4">
        <w:trPr>
          <w:gridAfter w:val="1"/>
          <w:wAfter w:w="48" w:type="pct"/>
        </w:trPr>
        <w:tc>
          <w:tcPr>
            <w:tcW w:w="4952" w:type="pct"/>
            <w:gridSpan w:val="4"/>
          </w:tcPr>
          <w:p w:rsidR="0075778E" w:rsidRPr="008D6C1E" w:rsidRDefault="0075778E" w:rsidP="0075778E">
            <w:pPr>
              <w:jc w:val="both"/>
              <w:rPr>
                <w:sz w:val="20"/>
                <w:lang w:val="en-CA"/>
              </w:rPr>
            </w:pPr>
            <w:r w:rsidRPr="008D6C1E">
              <w:rPr>
                <w:sz w:val="20"/>
                <w:lang w:val="en-CA"/>
              </w:rPr>
              <w:t xml:space="preserve">The applicant opposed a decision by the Minister of Employment and Social Solidarity to refuse his application for last resort financial assistance benefits. The applicant’s capacity for employment was severely limited, making him eligible for the benefits. However, he refused to make a “family” application in which his spouse’s employment income would be counted. The applicant argued that s. 155 of the </w:t>
            </w:r>
            <w:r w:rsidRPr="008D6C1E">
              <w:rPr>
                <w:i/>
                <w:sz w:val="20"/>
                <w:lang w:val="en-CA"/>
              </w:rPr>
              <w:t>Individual and Family Assistance Regulation</w:t>
            </w:r>
            <w:r w:rsidRPr="008D6C1E">
              <w:rPr>
                <w:sz w:val="20"/>
                <w:lang w:val="en-CA"/>
              </w:rPr>
              <w:t>, R.S.Q. c. A</w:t>
            </w:r>
            <w:r w:rsidRPr="008D6C1E">
              <w:rPr>
                <w:sz w:val="20"/>
                <w:lang w:val="en-CA"/>
              </w:rPr>
              <w:noBreakHyphen/>
              <w:t xml:space="preserve">13.1.1, r. 1, infringed his right to equality and dignity because it had the effect of making him financially dependent on his spouse. </w:t>
            </w:r>
          </w:p>
          <w:p w:rsidR="0075778E" w:rsidRPr="008D6C1E" w:rsidRDefault="0075778E" w:rsidP="0075778E">
            <w:pPr>
              <w:jc w:val="both"/>
              <w:rPr>
                <w:sz w:val="20"/>
                <w:lang w:val="en-CA"/>
              </w:rPr>
            </w:pPr>
          </w:p>
        </w:tc>
      </w:tr>
      <w:tr w:rsidR="0075778E" w:rsidRPr="008D6C1E" w:rsidTr="002B5CF4">
        <w:tblPrEx>
          <w:tblCellMar>
            <w:bottom w:w="0" w:type="dxa"/>
          </w:tblCellMar>
        </w:tblPrEx>
        <w:tc>
          <w:tcPr>
            <w:tcW w:w="2367" w:type="pct"/>
            <w:gridSpan w:val="2"/>
          </w:tcPr>
          <w:p w:rsidR="0075778E" w:rsidRPr="002C1A32" w:rsidRDefault="0075778E" w:rsidP="0075778E">
            <w:pPr>
              <w:jc w:val="both"/>
              <w:rPr>
                <w:sz w:val="20"/>
                <w:lang w:val="fr-CA"/>
              </w:rPr>
            </w:pPr>
            <w:r w:rsidRPr="002C1A32">
              <w:rPr>
                <w:sz w:val="20"/>
                <w:lang w:val="fr-CA"/>
              </w:rPr>
              <w:t>July 6, 2012</w:t>
            </w:r>
          </w:p>
          <w:p w:rsidR="0075778E" w:rsidRPr="002C1A32" w:rsidRDefault="0075778E" w:rsidP="0075778E">
            <w:pPr>
              <w:jc w:val="both"/>
              <w:rPr>
                <w:sz w:val="20"/>
                <w:lang w:val="fr-CA"/>
              </w:rPr>
            </w:pPr>
            <w:r w:rsidRPr="002C1A32">
              <w:rPr>
                <w:sz w:val="20"/>
                <w:lang w:val="fr-CA"/>
              </w:rPr>
              <w:t>Administrative Tribunal of Québec</w:t>
            </w:r>
          </w:p>
          <w:p w:rsidR="0075778E" w:rsidRPr="002C1A32" w:rsidRDefault="0075778E" w:rsidP="0075778E">
            <w:pPr>
              <w:jc w:val="both"/>
              <w:rPr>
                <w:sz w:val="20"/>
                <w:lang w:val="fr-CA"/>
              </w:rPr>
            </w:pPr>
            <w:r w:rsidRPr="002C1A32">
              <w:rPr>
                <w:sz w:val="20"/>
                <w:lang w:val="fr-CA"/>
              </w:rPr>
              <w:t xml:space="preserve">Social </w:t>
            </w:r>
            <w:proofErr w:type="spellStart"/>
            <w:r w:rsidRPr="002C1A32">
              <w:rPr>
                <w:sz w:val="20"/>
                <w:lang w:val="fr-CA"/>
              </w:rPr>
              <w:t>Affairs</w:t>
            </w:r>
            <w:proofErr w:type="spellEnd"/>
            <w:r w:rsidRPr="002C1A32">
              <w:rPr>
                <w:sz w:val="20"/>
                <w:lang w:val="fr-CA"/>
              </w:rPr>
              <w:t xml:space="preserve"> Division</w:t>
            </w:r>
          </w:p>
          <w:p w:rsidR="0075778E" w:rsidRPr="002C1A32" w:rsidRDefault="0075778E" w:rsidP="0075778E">
            <w:pPr>
              <w:jc w:val="both"/>
              <w:rPr>
                <w:sz w:val="20"/>
                <w:lang w:val="fr-CA"/>
              </w:rPr>
            </w:pPr>
            <w:r w:rsidRPr="002C1A32">
              <w:rPr>
                <w:sz w:val="20"/>
                <w:lang w:val="fr-CA"/>
              </w:rPr>
              <w:t>(Natalie Lejeune and François Landry)</w:t>
            </w:r>
          </w:p>
          <w:p w:rsidR="0075778E" w:rsidRPr="008D6C1E" w:rsidRDefault="005E6DC4" w:rsidP="0075778E">
            <w:pPr>
              <w:jc w:val="both"/>
              <w:rPr>
                <w:sz w:val="20"/>
                <w:lang w:val="en-CA"/>
              </w:rPr>
            </w:pPr>
            <w:hyperlink r:id="rId84" w:history="1">
              <w:r w:rsidR="0075778E" w:rsidRPr="008D6C1E">
                <w:rPr>
                  <w:rStyle w:val="Hyperlink"/>
                  <w:sz w:val="20"/>
                  <w:lang w:val="en-CA"/>
                </w:rPr>
                <w:t>2012 QCTAQ 061127</w:t>
              </w:r>
            </w:hyperlink>
          </w:p>
          <w:p w:rsidR="0075778E" w:rsidRPr="008D6C1E" w:rsidRDefault="0075778E" w:rsidP="0075778E">
            <w:pPr>
              <w:jc w:val="both"/>
              <w:rPr>
                <w:sz w:val="20"/>
                <w:lang w:val="en-CA"/>
              </w:rPr>
            </w:pPr>
          </w:p>
        </w:tc>
        <w:tc>
          <w:tcPr>
            <w:tcW w:w="267" w:type="pct"/>
          </w:tcPr>
          <w:p w:rsidR="0075778E" w:rsidRPr="008D6C1E" w:rsidRDefault="0075778E" w:rsidP="0075778E">
            <w:pPr>
              <w:jc w:val="both"/>
              <w:rPr>
                <w:sz w:val="20"/>
                <w:lang w:val="en-CA"/>
              </w:rPr>
            </w:pPr>
          </w:p>
        </w:tc>
        <w:tc>
          <w:tcPr>
            <w:tcW w:w="2366" w:type="pct"/>
            <w:gridSpan w:val="2"/>
          </w:tcPr>
          <w:p w:rsidR="0075778E" w:rsidRPr="008D6C1E" w:rsidRDefault="0075778E" w:rsidP="0075778E">
            <w:pPr>
              <w:jc w:val="both"/>
              <w:rPr>
                <w:sz w:val="20"/>
                <w:lang w:val="en-CA"/>
              </w:rPr>
            </w:pPr>
            <w:r w:rsidRPr="008D6C1E">
              <w:rPr>
                <w:sz w:val="20"/>
                <w:lang w:val="en-CA"/>
              </w:rPr>
              <w:t xml:space="preserve">Proceeding dismissed; decision of Minister of Employment and Social Solidarity confirmed </w:t>
            </w:r>
          </w:p>
        </w:tc>
      </w:tr>
      <w:tr w:rsidR="0075778E" w:rsidRPr="008D6C1E" w:rsidTr="002B5CF4">
        <w:tblPrEx>
          <w:tblCellMar>
            <w:bottom w:w="0" w:type="dxa"/>
          </w:tblCellMar>
        </w:tblPrEx>
        <w:tc>
          <w:tcPr>
            <w:tcW w:w="2367" w:type="pct"/>
            <w:gridSpan w:val="2"/>
          </w:tcPr>
          <w:p w:rsidR="0075778E" w:rsidRPr="008D6C1E" w:rsidRDefault="0075778E" w:rsidP="0075778E">
            <w:pPr>
              <w:jc w:val="both"/>
              <w:rPr>
                <w:sz w:val="20"/>
                <w:lang w:val="en-CA"/>
              </w:rPr>
            </w:pPr>
            <w:r w:rsidRPr="008D6C1E">
              <w:rPr>
                <w:sz w:val="20"/>
                <w:lang w:val="en-CA"/>
              </w:rPr>
              <w:lastRenderedPageBreak/>
              <w:t>February 6, 2015</w:t>
            </w:r>
          </w:p>
          <w:p w:rsidR="0075778E" w:rsidRPr="008D6C1E" w:rsidRDefault="0075778E" w:rsidP="0075778E">
            <w:pPr>
              <w:jc w:val="both"/>
              <w:rPr>
                <w:sz w:val="20"/>
                <w:lang w:val="en-CA"/>
              </w:rPr>
            </w:pPr>
            <w:r w:rsidRPr="008D6C1E">
              <w:rPr>
                <w:sz w:val="20"/>
                <w:lang w:val="en-CA"/>
              </w:rPr>
              <w:t>Quebec Superior Court</w:t>
            </w:r>
          </w:p>
          <w:p w:rsidR="0075778E" w:rsidRPr="008D6C1E" w:rsidRDefault="0075778E" w:rsidP="0075778E">
            <w:pPr>
              <w:jc w:val="both"/>
              <w:rPr>
                <w:sz w:val="20"/>
                <w:lang w:val="en-CA"/>
              </w:rPr>
            </w:pPr>
            <w:r w:rsidRPr="008D6C1E">
              <w:rPr>
                <w:sz w:val="20"/>
                <w:lang w:val="en-CA"/>
              </w:rPr>
              <w:t>(Morrison J.)</w:t>
            </w:r>
          </w:p>
          <w:p w:rsidR="0075778E" w:rsidRPr="008D6C1E" w:rsidRDefault="005E6DC4" w:rsidP="0075778E">
            <w:pPr>
              <w:jc w:val="both"/>
              <w:rPr>
                <w:sz w:val="20"/>
                <w:lang w:val="en-CA"/>
              </w:rPr>
            </w:pPr>
            <w:hyperlink r:id="rId85" w:history="1">
              <w:r w:rsidR="0075778E" w:rsidRPr="008D6C1E">
                <w:rPr>
                  <w:rStyle w:val="Hyperlink"/>
                  <w:sz w:val="20"/>
                  <w:lang w:val="en-CA"/>
                </w:rPr>
                <w:t>2015 QCCS 345</w:t>
              </w:r>
            </w:hyperlink>
          </w:p>
          <w:p w:rsidR="0075778E" w:rsidRPr="008D6C1E" w:rsidRDefault="0075778E" w:rsidP="0075778E">
            <w:pPr>
              <w:jc w:val="both"/>
              <w:rPr>
                <w:sz w:val="20"/>
                <w:lang w:val="en-CA"/>
              </w:rPr>
            </w:pPr>
          </w:p>
        </w:tc>
        <w:tc>
          <w:tcPr>
            <w:tcW w:w="267" w:type="pct"/>
          </w:tcPr>
          <w:p w:rsidR="0075778E" w:rsidRPr="008D6C1E" w:rsidRDefault="0075778E" w:rsidP="0075778E">
            <w:pPr>
              <w:jc w:val="both"/>
              <w:rPr>
                <w:sz w:val="20"/>
                <w:lang w:val="en-CA"/>
              </w:rPr>
            </w:pPr>
          </w:p>
        </w:tc>
        <w:tc>
          <w:tcPr>
            <w:tcW w:w="2366" w:type="pct"/>
            <w:gridSpan w:val="2"/>
          </w:tcPr>
          <w:p w:rsidR="0075778E" w:rsidRPr="008D6C1E" w:rsidRDefault="0075778E" w:rsidP="0075778E">
            <w:pPr>
              <w:jc w:val="both"/>
              <w:rPr>
                <w:sz w:val="20"/>
                <w:lang w:val="en-CA"/>
              </w:rPr>
            </w:pPr>
            <w:r w:rsidRPr="008D6C1E">
              <w:rPr>
                <w:sz w:val="20"/>
                <w:lang w:val="en-CA"/>
              </w:rPr>
              <w:t>Motion for judicial review dismissed</w:t>
            </w:r>
          </w:p>
          <w:p w:rsidR="0075778E" w:rsidRPr="008D6C1E" w:rsidRDefault="0075778E" w:rsidP="0075778E">
            <w:pPr>
              <w:jc w:val="both"/>
              <w:rPr>
                <w:sz w:val="20"/>
                <w:lang w:val="en-CA"/>
              </w:rPr>
            </w:pPr>
          </w:p>
        </w:tc>
      </w:tr>
      <w:tr w:rsidR="0075778E" w:rsidRPr="008D6C1E" w:rsidTr="002B5CF4">
        <w:tblPrEx>
          <w:tblCellMar>
            <w:bottom w:w="0" w:type="dxa"/>
          </w:tblCellMar>
        </w:tblPrEx>
        <w:tc>
          <w:tcPr>
            <w:tcW w:w="2367" w:type="pct"/>
            <w:gridSpan w:val="2"/>
          </w:tcPr>
          <w:p w:rsidR="0075778E" w:rsidRPr="008D6C1E" w:rsidRDefault="0075778E" w:rsidP="0075778E">
            <w:pPr>
              <w:jc w:val="both"/>
              <w:rPr>
                <w:sz w:val="20"/>
                <w:lang w:val="en-CA"/>
              </w:rPr>
            </w:pPr>
            <w:r w:rsidRPr="008D6C1E">
              <w:rPr>
                <w:sz w:val="20"/>
                <w:lang w:val="en-CA"/>
              </w:rPr>
              <w:t>May 6, 2015</w:t>
            </w:r>
          </w:p>
          <w:p w:rsidR="0075778E" w:rsidRPr="008D6C1E" w:rsidRDefault="0075778E" w:rsidP="0075778E">
            <w:pPr>
              <w:jc w:val="both"/>
              <w:rPr>
                <w:sz w:val="20"/>
                <w:lang w:val="en-CA"/>
              </w:rPr>
            </w:pPr>
            <w:r w:rsidRPr="008D6C1E">
              <w:rPr>
                <w:sz w:val="20"/>
                <w:lang w:val="en-CA"/>
              </w:rPr>
              <w:t>Quebec Court of Appeal (Montréal)</w:t>
            </w:r>
          </w:p>
          <w:p w:rsidR="0075778E" w:rsidRPr="008D6C1E" w:rsidRDefault="0075778E" w:rsidP="0075778E">
            <w:pPr>
              <w:jc w:val="both"/>
              <w:rPr>
                <w:sz w:val="20"/>
                <w:lang w:val="en-CA"/>
              </w:rPr>
            </w:pPr>
            <w:r w:rsidRPr="008D6C1E">
              <w:rPr>
                <w:sz w:val="20"/>
                <w:lang w:val="en-CA"/>
              </w:rPr>
              <w:t>(Savard J.A.)</w:t>
            </w:r>
          </w:p>
          <w:p w:rsidR="0075778E" w:rsidRPr="008D6C1E" w:rsidRDefault="005E6DC4" w:rsidP="0075778E">
            <w:pPr>
              <w:jc w:val="both"/>
              <w:rPr>
                <w:sz w:val="20"/>
                <w:lang w:val="en-CA"/>
              </w:rPr>
            </w:pPr>
            <w:hyperlink r:id="rId86" w:history="1">
              <w:r w:rsidR="0075778E" w:rsidRPr="008D6C1E">
                <w:rPr>
                  <w:rStyle w:val="Hyperlink"/>
                  <w:sz w:val="20"/>
                  <w:lang w:val="en-CA"/>
                </w:rPr>
                <w:t>2015 QCCA 852</w:t>
              </w:r>
            </w:hyperlink>
          </w:p>
          <w:p w:rsidR="0075778E" w:rsidRPr="008D6C1E" w:rsidRDefault="0075778E" w:rsidP="0075778E">
            <w:pPr>
              <w:jc w:val="both"/>
              <w:rPr>
                <w:sz w:val="20"/>
                <w:lang w:val="en-CA"/>
              </w:rPr>
            </w:pPr>
          </w:p>
        </w:tc>
        <w:tc>
          <w:tcPr>
            <w:tcW w:w="267" w:type="pct"/>
          </w:tcPr>
          <w:p w:rsidR="0075778E" w:rsidRPr="008D6C1E" w:rsidRDefault="0075778E" w:rsidP="0075778E">
            <w:pPr>
              <w:jc w:val="both"/>
              <w:rPr>
                <w:sz w:val="20"/>
                <w:lang w:val="en-CA"/>
              </w:rPr>
            </w:pPr>
          </w:p>
        </w:tc>
        <w:tc>
          <w:tcPr>
            <w:tcW w:w="2366" w:type="pct"/>
            <w:gridSpan w:val="2"/>
          </w:tcPr>
          <w:p w:rsidR="0075778E" w:rsidRPr="008D6C1E" w:rsidRDefault="0075778E" w:rsidP="0075778E">
            <w:pPr>
              <w:jc w:val="both"/>
              <w:rPr>
                <w:sz w:val="20"/>
                <w:lang w:val="en-CA"/>
              </w:rPr>
            </w:pPr>
            <w:r w:rsidRPr="008D6C1E">
              <w:rPr>
                <w:sz w:val="20"/>
                <w:lang w:val="en-CA"/>
              </w:rPr>
              <w:t>Motion for leave to appeal dismissed</w:t>
            </w:r>
          </w:p>
          <w:p w:rsidR="0075778E" w:rsidRPr="008D6C1E" w:rsidRDefault="0075778E" w:rsidP="0075778E">
            <w:pPr>
              <w:jc w:val="both"/>
              <w:rPr>
                <w:sz w:val="20"/>
                <w:lang w:val="en-CA"/>
              </w:rPr>
            </w:pPr>
          </w:p>
        </w:tc>
      </w:tr>
      <w:tr w:rsidR="0075778E" w:rsidRPr="008D6C1E" w:rsidTr="002B5CF4">
        <w:tblPrEx>
          <w:tblCellMar>
            <w:bottom w:w="0" w:type="dxa"/>
          </w:tblCellMar>
        </w:tblPrEx>
        <w:tc>
          <w:tcPr>
            <w:tcW w:w="2367" w:type="pct"/>
            <w:gridSpan w:val="2"/>
          </w:tcPr>
          <w:p w:rsidR="0075778E" w:rsidRPr="008D6C1E" w:rsidRDefault="0075778E" w:rsidP="0075778E">
            <w:pPr>
              <w:jc w:val="both"/>
              <w:rPr>
                <w:sz w:val="20"/>
                <w:lang w:val="en-CA"/>
              </w:rPr>
            </w:pPr>
            <w:r w:rsidRPr="008D6C1E">
              <w:rPr>
                <w:sz w:val="20"/>
                <w:lang w:val="en-CA"/>
              </w:rPr>
              <w:t>December 30, 2015</w:t>
            </w:r>
          </w:p>
          <w:p w:rsidR="0075778E" w:rsidRPr="008D6C1E" w:rsidRDefault="0075778E" w:rsidP="0075778E">
            <w:pPr>
              <w:jc w:val="both"/>
              <w:rPr>
                <w:sz w:val="20"/>
                <w:lang w:val="en-CA"/>
              </w:rPr>
            </w:pPr>
            <w:r w:rsidRPr="008D6C1E">
              <w:rPr>
                <w:sz w:val="20"/>
                <w:lang w:val="en-CA"/>
              </w:rPr>
              <w:t>Supreme Court of Canada</w:t>
            </w:r>
          </w:p>
        </w:tc>
        <w:tc>
          <w:tcPr>
            <w:tcW w:w="267" w:type="pct"/>
          </w:tcPr>
          <w:p w:rsidR="0075778E" w:rsidRPr="008D6C1E" w:rsidRDefault="0075778E" w:rsidP="0075778E">
            <w:pPr>
              <w:jc w:val="both"/>
              <w:rPr>
                <w:sz w:val="20"/>
                <w:lang w:val="en-CA"/>
              </w:rPr>
            </w:pPr>
          </w:p>
        </w:tc>
        <w:tc>
          <w:tcPr>
            <w:tcW w:w="2366" w:type="pct"/>
            <w:gridSpan w:val="2"/>
          </w:tcPr>
          <w:p w:rsidR="0075778E" w:rsidRPr="008D6C1E" w:rsidRDefault="0075778E" w:rsidP="0075778E">
            <w:pPr>
              <w:jc w:val="both"/>
              <w:rPr>
                <w:sz w:val="20"/>
                <w:lang w:val="en-CA"/>
              </w:rPr>
            </w:pPr>
            <w:r w:rsidRPr="008D6C1E">
              <w:rPr>
                <w:sz w:val="20"/>
                <w:lang w:val="en-CA"/>
              </w:rPr>
              <w:t>Application to extend time to serve and file leave application and application for leave to appeal filed</w:t>
            </w:r>
          </w:p>
        </w:tc>
      </w:tr>
    </w:tbl>
    <w:p w:rsidR="0075778E" w:rsidRPr="008D6C1E" w:rsidRDefault="0075778E" w:rsidP="0075778E">
      <w:pPr>
        <w:jc w:val="both"/>
        <w:rPr>
          <w:sz w:val="20"/>
          <w:lang w:val="en-CA"/>
        </w:rPr>
      </w:pPr>
    </w:p>
    <w:p w:rsidR="0075778E" w:rsidRPr="008D6C1E" w:rsidRDefault="0075778E" w:rsidP="0075778E">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5778E" w:rsidRPr="008D6C1E" w:rsidTr="002B5CF4">
        <w:trPr>
          <w:gridAfter w:val="1"/>
          <w:wAfter w:w="48" w:type="pct"/>
        </w:trPr>
        <w:tc>
          <w:tcPr>
            <w:tcW w:w="538" w:type="pct"/>
          </w:tcPr>
          <w:p w:rsidR="0075778E" w:rsidRPr="008D6C1E" w:rsidRDefault="0075778E" w:rsidP="0075778E">
            <w:pPr>
              <w:jc w:val="both"/>
              <w:rPr>
                <w:sz w:val="20"/>
              </w:rPr>
            </w:pPr>
            <w:r w:rsidRPr="008D6C1E">
              <w:rPr>
                <w:rStyle w:val="SCCFileNumberChar"/>
                <w:sz w:val="20"/>
                <w:szCs w:val="20"/>
              </w:rPr>
              <w:t>36794</w:t>
            </w:r>
          </w:p>
        </w:tc>
        <w:tc>
          <w:tcPr>
            <w:tcW w:w="4414" w:type="pct"/>
            <w:gridSpan w:val="3"/>
          </w:tcPr>
          <w:p w:rsidR="0075778E" w:rsidRPr="008D6C1E" w:rsidRDefault="0075778E" w:rsidP="0075778E">
            <w:pPr>
              <w:pStyle w:val="SCCLsocParty"/>
              <w:jc w:val="both"/>
              <w:rPr>
                <w:b/>
                <w:sz w:val="20"/>
                <w:szCs w:val="20"/>
              </w:rPr>
            </w:pPr>
            <w:r w:rsidRPr="008D6C1E">
              <w:rPr>
                <w:b/>
                <w:sz w:val="20"/>
                <w:szCs w:val="20"/>
              </w:rPr>
              <w:t>S.P.M. c. Procureure générale du Québec, Ministre de l'emploi et de la solidarité sociale</w:t>
            </w:r>
          </w:p>
          <w:p w:rsidR="0075778E" w:rsidRPr="008D6C1E" w:rsidRDefault="0075778E" w:rsidP="0075778E">
            <w:pPr>
              <w:jc w:val="both"/>
              <w:rPr>
                <w:sz w:val="20"/>
              </w:rPr>
            </w:pPr>
            <w:r w:rsidRPr="008D6C1E">
              <w:rPr>
                <w:sz w:val="20"/>
              </w:rPr>
              <w:t>(Qc) (</w:t>
            </w:r>
            <w:proofErr w:type="spellStart"/>
            <w:r w:rsidRPr="008D6C1E">
              <w:rPr>
                <w:sz w:val="20"/>
              </w:rPr>
              <w:t>Civile</w:t>
            </w:r>
            <w:proofErr w:type="spellEnd"/>
            <w:r w:rsidRPr="008D6C1E">
              <w:rPr>
                <w:sz w:val="20"/>
              </w:rPr>
              <w:t>) (</w:t>
            </w:r>
            <w:proofErr w:type="spellStart"/>
            <w:r w:rsidRPr="008D6C1E">
              <w:rPr>
                <w:sz w:val="20"/>
              </w:rPr>
              <w:t>Autorisation</w:t>
            </w:r>
            <w:proofErr w:type="spellEnd"/>
            <w:r w:rsidRPr="008D6C1E">
              <w:rPr>
                <w:sz w:val="20"/>
              </w:rPr>
              <w:t>)</w:t>
            </w:r>
          </w:p>
        </w:tc>
      </w:tr>
      <w:tr w:rsidR="0075778E" w:rsidRPr="002C1A32" w:rsidTr="002B5CF4">
        <w:trPr>
          <w:gridAfter w:val="1"/>
          <w:wAfter w:w="48" w:type="pct"/>
        </w:trPr>
        <w:tc>
          <w:tcPr>
            <w:tcW w:w="4952" w:type="pct"/>
            <w:gridSpan w:val="4"/>
          </w:tcPr>
          <w:p w:rsidR="0075778E" w:rsidRPr="002C1A32" w:rsidRDefault="0075778E" w:rsidP="0075778E">
            <w:pPr>
              <w:pStyle w:val="SCCBanSummary"/>
              <w:rPr>
                <w:sz w:val="20"/>
                <w:szCs w:val="20"/>
                <w:lang w:val="fr-CA"/>
              </w:rPr>
            </w:pPr>
            <w:r w:rsidRPr="002C1A32">
              <w:rPr>
                <w:sz w:val="20"/>
                <w:szCs w:val="20"/>
                <w:lang w:val="fr-CA"/>
              </w:rPr>
              <w:t>(Ordonnance de non-publication dans le dossier) (Ordonnance de non-publication visant une partie)</w:t>
            </w:r>
          </w:p>
          <w:p w:rsidR="0075778E" w:rsidRPr="002C1A32" w:rsidRDefault="0075778E" w:rsidP="0075778E">
            <w:pPr>
              <w:jc w:val="both"/>
              <w:rPr>
                <w:sz w:val="20"/>
                <w:lang w:val="fr-CA"/>
              </w:rPr>
            </w:pPr>
          </w:p>
        </w:tc>
      </w:tr>
      <w:tr w:rsidR="0075778E" w:rsidRPr="002C1A32" w:rsidTr="002B5CF4">
        <w:trPr>
          <w:gridAfter w:val="1"/>
          <w:wAfter w:w="48" w:type="pct"/>
        </w:trPr>
        <w:tc>
          <w:tcPr>
            <w:tcW w:w="4952" w:type="pct"/>
            <w:gridSpan w:val="4"/>
          </w:tcPr>
          <w:p w:rsidR="0075778E" w:rsidRPr="002C1A32" w:rsidRDefault="0075778E" w:rsidP="0075778E">
            <w:pPr>
              <w:jc w:val="both"/>
              <w:rPr>
                <w:sz w:val="20"/>
                <w:lang w:val="fr-CA"/>
              </w:rPr>
            </w:pPr>
            <w:r w:rsidRPr="002C1A32">
              <w:rPr>
                <w:i/>
                <w:sz w:val="20"/>
                <w:lang w:val="fr-CA"/>
              </w:rPr>
              <w:t>Charte des droits</w:t>
            </w:r>
            <w:r w:rsidRPr="002C1A32">
              <w:rPr>
                <w:sz w:val="20"/>
                <w:lang w:val="fr-CA"/>
              </w:rPr>
              <w:t xml:space="preserve"> — Droit de la personne — Droit à l’égalité — Droit à la dignité — Contrainte sévère à l’emploi — Aide financière de dernier recours — Personne vivant avec un conjoint de fait voulant présenter une demande d’aide financière pour personne seule — Discrimination fondée sur l’état matrimonial — L’article 155 du </w:t>
            </w:r>
            <w:r w:rsidRPr="002C1A32">
              <w:rPr>
                <w:i/>
                <w:sz w:val="20"/>
                <w:lang w:val="fr-CA"/>
              </w:rPr>
              <w:t>Règlement sur l’aide aux personnes et aux familles</w:t>
            </w:r>
            <w:r w:rsidRPr="002C1A32">
              <w:rPr>
                <w:sz w:val="20"/>
                <w:lang w:val="fr-CA"/>
              </w:rPr>
              <w:t xml:space="preserve">, L.R.Q. c. A-13.1.1, r.1 contrevient-il à la </w:t>
            </w:r>
            <w:r w:rsidRPr="002C1A32">
              <w:rPr>
                <w:i/>
                <w:sz w:val="20"/>
                <w:lang w:val="fr-CA"/>
              </w:rPr>
              <w:t>Charte des droits et libertés de la personne</w:t>
            </w:r>
            <w:r w:rsidRPr="002C1A32">
              <w:rPr>
                <w:sz w:val="20"/>
                <w:lang w:val="fr-CA"/>
              </w:rPr>
              <w:t xml:space="preserve"> et à la </w:t>
            </w:r>
            <w:r w:rsidRPr="002C1A32">
              <w:rPr>
                <w:i/>
                <w:sz w:val="20"/>
                <w:lang w:val="fr-CA"/>
              </w:rPr>
              <w:t>Charte canadienne des droits et libertés</w:t>
            </w:r>
            <w:r w:rsidRPr="002C1A32">
              <w:rPr>
                <w:sz w:val="20"/>
                <w:lang w:val="fr-CA"/>
              </w:rPr>
              <w:t xml:space="preserve">? — L’exclusion des prestations de solidarité sociale en fonction de l’état matrimonial est-elle discriminatoire dans ses effets, notamment quant aux droits du demandeur à l’égalité et à la dignité? — </w:t>
            </w:r>
            <w:r w:rsidRPr="002C1A32">
              <w:rPr>
                <w:i/>
                <w:sz w:val="20"/>
                <w:lang w:val="fr-CA"/>
              </w:rPr>
              <w:t xml:space="preserve">Charte des droits et libertés de la personne, </w:t>
            </w:r>
            <w:r w:rsidRPr="002C1A32">
              <w:rPr>
                <w:sz w:val="20"/>
                <w:lang w:val="fr-CA"/>
              </w:rPr>
              <w:t>RLRQ</w:t>
            </w:r>
            <w:r w:rsidRPr="002C1A32">
              <w:rPr>
                <w:i/>
                <w:sz w:val="20"/>
                <w:lang w:val="fr-CA"/>
              </w:rPr>
              <w:t xml:space="preserve"> </w:t>
            </w:r>
            <w:r w:rsidRPr="002C1A32">
              <w:rPr>
                <w:sz w:val="20"/>
                <w:lang w:val="fr-CA"/>
              </w:rPr>
              <w:t xml:space="preserve">ch. C-12 — </w:t>
            </w:r>
            <w:r w:rsidRPr="002C1A32">
              <w:rPr>
                <w:i/>
                <w:sz w:val="20"/>
                <w:lang w:val="fr-CA"/>
              </w:rPr>
              <w:t>Loi sur l’aide aux personnes et aux familles</w:t>
            </w:r>
            <w:r w:rsidRPr="002C1A32">
              <w:rPr>
                <w:sz w:val="20"/>
                <w:lang w:val="fr-CA"/>
              </w:rPr>
              <w:t xml:space="preserve">, L.R.Q. c. A-13.1.1 — </w:t>
            </w:r>
            <w:r w:rsidRPr="002C1A32">
              <w:rPr>
                <w:i/>
                <w:sz w:val="20"/>
                <w:lang w:val="fr-CA"/>
              </w:rPr>
              <w:t>Règlement sur l’aide aux personnes et aux familles</w:t>
            </w:r>
            <w:r w:rsidRPr="002C1A32">
              <w:rPr>
                <w:sz w:val="20"/>
                <w:lang w:val="fr-CA"/>
              </w:rPr>
              <w:t>, L.R.Q. c. A-13.1.1, r.1, art. 155</w:t>
            </w:r>
          </w:p>
        </w:tc>
      </w:tr>
      <w:tr w:rsidR="0075778E" w:rsidRPr="002C1A32" w:rsidTr="002B5CF4">
        <w:trPr>
          <w:gridAfter w:val="1"/>
          <w:wAfter w:w="48" w:type="pct"/>
        </w:trPr>
        <w:tc>
          <w:tcPr>
            <w:tcW w:w="4952" w:type="pct"/>
            <w:gridSpan w:val="4"/>
          </w:tcPr>
          <w:p w:rsidR="0075778E" w:rsidRPr="002C1A32" w:rsidRDefault="0075778E" w:rsidP="0075778E">
            <w:pPr>
              <w:jc w:val="both"/>
              <w:rPr>
                <w:i/>
                <w:sz w:val="20"/>
                <w:lang w:val="fr-CA"/>
              </w:rPr>
            </w:pPr>
          </w:p>
        </w:tc>
      </w:tr>
      <w:tr w:rsidR="0075778E" w:rsidRPr="002C1A32" w:rsidTr="002B5CF4">
        <w:trPr>
          <w:gridAfter w:val="1"/>
          <w:wAfter w:w="48" w:type="pct"/>
        </w:trPr>
        <w:tc>
          <w:tcPr>
            <w:tcW w:w="4952" w:type="pct"/>
            <w:gridSpan w:val="4"/>
          </w:tcPr>
          <w:p w:rsidR="0075778E" w:rsidRPr="002C1A32" w:rsidRDefault="0075778E" w:rsidP="0075778E">
            <w:pPr>
              <w:jc w:val="both"/>
              <w:rPr>
                <w:sz w:val="20"/>
                <w:lang w:val="fr-CA"/>
              </w:rPr>
            </w:pPr>
            <w:r w:rsidRPr="002C1A32">
              <w:rPr>
                <w:sz w:val="20"/>
                <w:lang w:val="fr-CA"/>
              </w:rPr>
              <w:t xml:space="preserve">Le demandeur s’oppose à une décision du ministre de l’Emploi et de la Solidarité sociale de refuser sa demande de prestation d’aide financière de dernier recours. Le demandeur a une contrainte sévère à l’emploi le rendant éligible à la prestation. Toutefois, le demandeur refuse de présenter une demande à titre de « famille », dans laquelle les revenus d’emplois de sa conjointe seraient compilés. Le demandeur soutient que l’article 155 du </w:t>
            </w:r>
            <w:r w:rsidRPr="002C1A32">
              <w:rPr>
                <w:i/>
                <w:sz w:val="20"/>
                <w:lang w:val="fr-CA"/>
              </w:rPr>
              <w:t>Règlement sur l’aide aux personnes et aux familles</w:t>
            </w:r>
            <w:r w:rsidRPr="002C1A32">
              <w:rPr>
                <w:sz w:val="20"/>
                <w:lang w:val="fr-CA"/>
              </w:rPr>
              <w:t xml:space="preserve">, L.R.Q. c. A-13.1.1, r.1 porte atteinte à son droit à l’égalité et à la dignité, puisqu’il a pour effet de le rendre dépendant financièrement de sa conjointe. </w:t>
            </w:r>
          </w:p>
          <w:p w:rsidR="0075778E" w:rsidRPr="002C1A32" w:rsidRDefault="0075778E" w:rsidP="0075778E">
            <w:pPr>
              <w:jc w:val="both"/>
              <w:rPr>
                <w:sz w:val="20"/>
                <w:lang w:val="fr-CA"/>
              </w:rPr>
            </w:pPr>
          </w:p>
        </w:tc>
      </w:tr>
      <w:tr w:rsidR="0075778E" w:rsidRPr="002C1A32" w:rsidTr="002B5CF4">
        <w:tblPrEx>
          <w:tblCellMar>
            <w:bottom w:w="0" w:type="dxa"/>
          </w:tblCellMar>
        </w:tblPrEx>
        <w:tc>
          <w:tcPr>
            <w:tcW w:w="2367" w:type="pct"/>
            <w:gridSpan w:val="2"/>
          </w:tcPr>
          <w:p w:rsidR="0075778E" w:rsidRPr="002C1A32" w:rsidRDefault="0075778E" w:rsidP="0075778E">
            <w:pPr>
              <w:jc w:val="both"/>
              <w:rPr>
                <w:sz w:val="20"/>
                <w:lang w:val="fr-CA"/>
              </w:rPr>
            </w:pPr>
            <w:r w:rsidRPr="002C1A32">
              <w:rPr>
                <w:sz w:val="20"/>
                <w:lang w:val="fr-CA"/>
              </w:rPr>
              <w:t>Le 6 juillet 2012</w:t>
            </w:r>
          </w:p>
          <w:p w:rsidR="0075778E" w:rsidRPr="002C1A32" w:rsidRDefault="0075778E" w:rsidP="0075778E">
            <w:pPr>
              <w:jc w:val="both"/>
              <w:rPr>
                <w:sz w:val="20"/>
                <w:lang w:val="fr-CA"/>
              </w:rPr>
            </w:pPr>
            <w:r w:rsidRPr="002C1A32">
              <w:rPr>
                <w:sz w:val="20"/>
                <w:lang w:val="fr-CA"/>
              </w:rPr>
              <w:t>Tribunal administratif du Québec</w:t>
            </w:r>
          </w:p>
          <w:p w:rsidR="0075778E" w:rsidRPr="002C1A32" w:rsidRDefault="0075778E" w:rsidP="0075778E">
            <w:pPr>
              <w:jc w:val="both"/>
              <w:rPr>
                <w:sz w:val="20"/>
                <w:lang w:val="fr-CA"/>
              </w:rPr>
            </w:pPr>
            <w:r w:rsidRPr="002C1A32">
              <w:rPr>
                <w:sz w:val="20"/>
                <w:lang w:val="fr-CA"/>
              </w:rPr>
              <w:t>Section des affaires sociales</w:t>
            </w:r>
          </w:p>
          <w:p w:rsidR="0075778E" w:rsidRPr="002C1A32" w:rsidRDefault="0075778E" w:rsidP="0075778E">
            <w:pPr>
              <w:jc w:val="both"/>
              <w:rPr>
                <w:sz w:val="20"/>
                <w:lang w:val="fr-CA"/>
              </w:rPr>
            </w:pPr>
            <w:r w:rsidRPr="002C1A32">
              <w:rPr>
                <w:sz w:val="20"/>
                <w:lang w:val="fr-CA"/>
              </w:rPr>
              <w:t>(Mme Natalie Lejeune et M. François Landry)</w:t>
            </w:r>
          </w:p>
          <w:p w:rsidR="0075778E" w:rsidRPr="008D6C1E" w:rsidRDefault="005E6DC4" w:rsidP="0075778E">
            <w:pPr>
              <w:jc w:val="both"/>
              <w:rPr>
                <w:sz w:val="20"/>
              </w:rPr>
            </w:pPr>
            <w:hyperlink r:id="rId87" w:history="1">
              <w:r w:rsidR="0075778E" w:rsidRPr="008D6C1E">
                <w:rPr>
                  <w:rStyle w:val="Hyperlink"/>
                  <w:sz w:val="20"/>
                </w:rPr>
                <w:t>2012 QCTAQ 061127</w:t>
              </w:r>
            </w:hyperlink>
          </w:p>
          <w:p w:rsidR="0075778E" w:rsidRPr="008D6C1E" w:rsidRDefault="0075778E" w:rsidP="0075778E">
            <w:pPr>
              <w:jc w:val="both"/>
              <w:rPr>
                <w:sz w:val="20"/>
              </w:rPr>
            </w:pPr>
          </w:p>
        </w:tc>
        <w:tc>
          <w:tcPr>
            <w:tcW w:w="267" w:type="pct"/>
          </w:tcPr>
          <w:p w:rsidR="0075778E" w:rsidRPr="008D6C1E" w:rsidRDefault="0075778E" w:rsidP="0075778E">
            <w:pPr>
              <w:jc w:val="both"/>
              <w:rPr>
                <w:sz w:val="20"/>
              </w:rPr>
            </w:pPr>
          </w:p>
        </w:tc>
        <w:tc>
          <w:tcPr>
            <w:tcW w:w="2366" w:type="pct"/>
            <w:gridSpan w:val="2"/>
          </w:tcPr>
          <w:p w:rsidR="0075778E" w:rsidRPr="002C1A32" w:rsidRDefault="0075778E" w:rsidP="0075778E">
            <w:pPr>
              <w:jc w:val="both"/>
              <w:rPr>
                <w:sz w:val="20"/>
                <w:lang w:val="fr-CA"/>
              </w:rPr>
            </w:pPr>
            <w:r w:rsidRPr="002C1A32">
              <w:rPr>
                <w:sz w:val="20"/>
                <w:lang w:val="fr-CA"/>
              </w:rPr>
              <w:t xml:space="preserve">Recours rejeté; Décision de la Ministre de l’emploi et de la solidarité sociale confirmée. </w:t>
            </w:r>
          </w:p>
        </w:tc>
      </w:tr>
      <w:tr w:rsidR="0075778E" w:rsidRPr="002C1A32" w:rsidTr="002B5CF4">
        <w:tblPrEx>
          <w:tblCellMar>
            <w:bottom w:w="0" w:type="dxa"/>
          </w:tblCellMar>
        </w:tblPrEx>
        <w:tc>
          <w:tcPr>
            <w:tcW w:w="2367" w:type="pct"/>
            <w:gridSpan w:val="2"/>
          </w:tcPr>
          <w:p w:rsidR="0075778E" w:rsidRPr="002C1A32" w:rsidRDefault="0075778E" w:rsidP="0075778E">
            <w:pPr>
              <w:jc w:val="both"/>
              <w:rPr>
                <w:sz w:val="20"/>
                <w:lang w:val="fr-CA"/>
              </w:rPr>
            </w:pPr>
            <w:r w:rsidRPr="002C1A32">
              <w:rPr>
                <w:sz w:val="20"/>
                <w:lang w:val="fr-CA"/>
              </w:rPr>
              <w:t>Le 6 février 2015</w:t>
            </w:r>
          </w:p>
          <w:p w:rsidR="0075778E" w:rsidRPr="002C1A32" w:rsidRDefault="0075778E" w:rsidP="0075778E">
            <w:pPr>
              <w:jc w:val="both"/>
              <w:rPr>
                <w:sz w:val="20"/>
                <w:lang w:val="fr-CA"/>
              </w:rPr>
            </w:pPr>
            <w:r w:rsidRPr="002C1A32">
              <w:rPr>
                <w:sz w:val="20"/>
                <w:lang w:val="fr-CA"/>
              </w:rPr>
              <w:t>Cour supérieure du Québec</w:t>
            </w:r>
          </w:p>
          <w:p w:rsidR="0075778E" w:rsidRPr="008D6C1E" w:rsidRDefault="0075778E" w:rsidP="0075778E">
            <w:pPr>
              <w:jc w:val="both"/>
              <w:rPr>
                <w:sz w:val="20"/>
              </w:rPr>
            </w:pPr>
            <w:r w:rsidRPr="008D6C1E">
              <w:rPr>
                <w:sz w:val="20"/>
              </w:rPr>
              <w:t xml:space="preserve">(Le </w:t>
            </w:r>
            <w:proofErr w:type="spellStart"/>
            <w:r w:rsidRPr="008D6C1E">
              <w:rPr>
                <w:sz w:val="20"/>
              </w:rPr>
              <w:t>juge</w:t>
            </w:r>
            <w:proofErr w:type="spellEnd"/>
            <w:r w:rsidRPr="008D6C1E">
              <w:rPr>
                <w:sz w:val="20"/>
              </w:rPr>
              <w:t xml:space="preserve"> Morrison)</w:t>
            </w:r>
          </w:p>
          <w:p w:rsidR="0075778E" w:rsidRPr="008D6C1E" w:rsidRDefault="005E6DC4" w:rsidP="0075778E">
            <w:pPr>
              <w:jc w:val="both"/>
              <w:rPr>
                <w:sz w:val="20"/>
              </w:rPr>
            </w:pPr>
            <w:hyperlink r:id="rId88" w:history="1">
              <w:r w:rsidR="0075778E" w:rsidRPr="008D6C1E">
                <w:rPr>
                  <w:rStyle w:val="Hyperlink"/>
                  <w:sz w:val="20"/>
                </w:rPr>
                <w:t>2015 QCCS 345</w:t>
              </w:r>
            </w:hyperlink>
          </w:p>
          <w:p w:rsidR="0075778E" w:rsidRPr="008D6C1E" w:rsidRDefault="0075778E" w:rsidP="0075778E">
            <w:pPr>
              <w:jc w:val="both"/>
              <w:rPr>
                <w:sz w:val="20"/>
              </w:rPr>
            </w:pPr>
          </w:p>
        </w:tc>
        <w:tc>
          <w:tcPr>
            <w:tcW w:w="267" w:type="pct"/>
          </w:tcPr>
          <w:p w:rsidR="0075778E" w:rsidRPr="008D6C1E" w:rsidRDefault="0075778E" w:rsidP="0075778E">
            <w:pPr>
              <w:jc w:val="both"/>
              <w:rPr>
                <w:sz w:val="20"/>
              </w:rPr>
            </w:pPr>
          </w:p>
        </w:tc>
        <w:tc>
          <w:tcPr>
            <w:tcW w:w="2366" w:type="pct"/>
            <w:gridSpan w:val="2"/>
          </w:tcPr>
          <w:p w:rsidR="0075778E" w:rsidRPr="002C1A32" w:rsidRDefault="0075778E" w:rsidP="0075778E">
            <w:pPr>
              <w:jc w:val="both"/>
              <w:rPr>
                <w:sz w:val="20"/>
                <w:lang w:val="fr-CA"/>
              </w:rPr>
            </w:pPr>
            <w:r w:rsidRPr="002C1A32">
              <w:rPr>
                <w:sz w:val="20"/>
                <w:lang w:val="fr-CA"/>
              </w:rPr>
              <w:t>Requête en révision judiciaire rejetée.</w:t>
            </w:r>
          </w:p>
          <w:p w:rsidR="0075778E" w:rsidRPr="002C1A32" w:rsidRDefault="0075778E" w:rsidP="0075778E">
            <w:pPr>
              <w:jc w:val="both"/>
              <w:rPr>
                <w:sz w:val="20"/>
                <w:lang w:val="fr-CA"/>
              </w:rPr>
            </w:pPr>
          </w:p>
        </w:tc>
      </w:tr>
      <w:tr w:rsidR="0075778E" w:rsidRPr="008D6C1E" w:rsidTr="002B5CF4">
        <w:tblPrEx>
          <w:tblCellMar>
            <w:bottom w:w="0" w:type="dxa"/>
          </w:tblCellMar>
        </w:tblPrEx>
        <w:tc>
          <w:tcPr>
            <w:tcW w:w="2367" w:type="pct"/>
            <w:gridSpan w:val="2"/>
          </w:tcPr>
          <w:p w:rsidR="0075778E" w:rsidRPr="002C1A32" w:rsidRDefault="0075778E" w:rsidP="0075778E">
            <w:pPr>
              <w:jc w:val="both"/>
              <w:rPr>
                <w:sz w:val="20"/>
                <w:lang w:val="fr-CA"/>
              </w:rPr>
            </w:pPr>
            <w:r w:rsidRPr="002C1A32">
              <w:rPr>
                <w:sz w:val="20"/>
                <w:lang w:val="fr-CA"/>
              </w:rPr>
              <w:t>Le 6 mai 2015</w:t>
            </w:r>
          </w:p>
          <w:p w:rsidR="0075778E" w:rsidRPr="002C1A32" w:rsidRDefault="0075778E" w:rsidP="0075778E">
            <w:pPr>
              <w:jc w:val="both"/>
              <w:rPr>
                <w:sz w:val="20"/>
                <w:lang w:val="fr-CA"/>
              </w:rPr>
            </w:pPr>
            <w:r w:rsidRPr="002C1A32">
              <w:rPr>
                <w:sz w:val="20"/>
                <w:lang w:val="fr-CA"/>
              </w:rPr>
              <w:t>Cour d’appel du Québec (Montréal)</w:t>
            </w:r>
          </w:p>
          <w:p w:rsidR="0075778E" w:rsidRPr="008D6C1E" w:rsidRDefault="0075778E" w:rsidP="0075778E">
            <w:pPr>
              <w:jc w:val="both"/>
              <w:rPr>
                <w:sz w:val="20"/>
              </w:rPr>
            </w:pPr>
            <w:r w:rsidRPr="008D6C1E">
              <w:rPr>
                <w:sz w:val="20"/>
              </w:rPr>
              <w:t xml:space="preserve">(La </w:t>
            </w:r>
            <w:proofErr w:type="spellStart"/>
            <w:r w:rsidRPr="008D6C1E">
              <w:rPr>
                <w:sz w:val="20"/>
              </w:rPr>
              <w:t>juge</w:t>
            </w:r>
            <w:proofErr w:type="spellEnd"/>
            <w:r w:rsidRPr="008D6C1E">
              <w:rPr>
                <w:sz w:val="20"/>
              </w:rPr>
              <w:t xml:space="preserve"> Savard)</w:t>
            </w:r>
          </w:p>
          <w:p w:rsidR="0075778E" w:rsidRPr="008D6C1E" w:rsidRDefault="005E6DC4" w:rsidP="0075778E">
            <w:pPr>
              <w:jc w:val="both"/>
              <w:rPr>
                <w:sz w:val="20"/>
              </w:rPr>
            </w:pPr>
            <w:hyperlink r:id="rId89" w:history="1">
              <w:r w:rsidR="0075778E" w:rsidRPr="008D6C1E">
                <w:rPr>
                  <w:rStyle w:val="Hyperlink"/>
                  <w:sz w:val="20"/>
                </w:rPr>
                <w:t>2015 QCCA 852</w:t>
              </w:r>
            </w:hyperlink>
          </w:p>
          <w:p w:rsidR="0075778E" w:rsidRPr="008D6C1E" w:rsidRDefault="0075778E" w:rsidP="0075778E">
            <w:pPr>
              <w:jc w:val="both"/>
              <w:rPr>
                <w:sz w:val="20"/>
              </w:rPr>
            </w:pPr>
          </w:p>
        </w:tc>
        <w:tc>
          <w:tcPr>
            <w:tcW w:w="267" w:type="pct"/>
          </w:tcPr>
          <w:p w:rsidR="0075778E" w:rsidRPr="008D6C1E" w:rsidRDefault="0075778E" w:rsidP="0075778E">
            <w:pPr>
              <w:jc w:val="both"/>
              <w:rPr>
                <w:sz w:val="20"/>
              </w:rPr>
            </w:pPr>
          </w:p>
        </w:tc>
        <w:tc>
          <w:tcPr>
            <w:tcW w:w="2366" w:type="pct"/>
            <w:gridSpan w:val="2"/>
          </w:tcPr>
          <w:p w:rsidR="0075778E" w:rsidRPr="008D6C1E" w:rsidRDefault="0075778E" w:rsidP="0075778E">
            <w:pPr>
              <w:jc w:val="both"/>
              <w:rPr>
                <w:sz w:val="20"/>
              </w:rPr>
            </w:pPr>
            <w:r w:rsidRPr="008D6C1E">
              <w:rPr>
                <w:sz w:val="20"/>
              </w:rPr>
              <w:t>Requête pour permission d’appeler rejetée</w:t>
            </w:r>
          </w:p>
          <w:p w:rsidR="0075778E" w:rsidRPr="008D6C1E" w:rsidRDefault="0075778E" w:rsidP="0075778E">
            <w:pPr>
              <w:jc w:val="both"/>
              <w:rPr>
                <w:sz w:val="20"/>
              </w:rPr>
            </w:pPr>
          </w:p>
        </w:tc>
      </w:tr>
      <w:tr w:rsidR="0075778E" w:rsidRPr="002C1A32" w:rsidTr="002B5CF4">
        <w:tblPrEx>
          <w:tblCellMar>
            <w:bottom w:w="0" w:type="dxa"/>
          </w:tblCellMar>
        </w:tblPrEx>
        <w:tc>
          <w:tcPr>
            <w:tcW w:w="2367" w:type="pct"/>
            <w:gridSpan w:val="2"/>
          </w:tcPr>
          <w:p w:rsidR="0075778E" w:rsidRPr="002C1A32" w:rsidRDefault="0075778E" w:rsidP="0075778E">
            <w:pPr>
              <w:jc w:val="both"/>
              <w:rPr>
                <w:sz w:val="20"/>
                <w:lang w:val="fr-CA"/>
              </w:rPr>
            </w:pPr>
            <w:r w:rsidRPr="002C1A32">
              <w:rPr>
                <w:sz w:val="20"/>
                <w:lang w:val="fr-CA"/>
              </w:rPr>
              <w:t>Le 30 décembre 2015</w:t>
            </w:r>
          </w:p>
          <w:p w:rsidR="0075778E" w:rsidRPr="002C1A32" w:rsidRDefault="0075778E" w:rsidP="0075778E">
            <w:pPr>
              <w:jc w:val="both"/>
              <w:rPr>
                <w:sz w:val="20"/>
                <w:lang w:val="fr-CA"/>
              </w:rPr>
            </w:pPr>
            <w:r w:rsidRPr="002C1A32">
              <w:rPr>
                <w:sz w:val="20"/>
                <w:lang w:val="fr-CA"/>
              </w:rPr>
              <w:t>Cour suprême du Canada</w:t>
            </w:r>
          </w:p>
        </w:tc>
        <w:tc>
          <w:tcPr>
            <w:tcW w:w="267" w:type="pct"/>
          </w:tcPr>
          <w:p w:rsidR="0075778E" w:rsidRPr="002C1A32" w:rsidRDefault="0075778E" w:rsidP="0075778E">
            <w:pPr>
              <w:jc w:val="both"/>
              <w:rPr>
                <w:sz w:val="20"/>
                <w:lang w:val="fr-CA"/>
              </w:rPr>
            </w:pPr>
          </w:p>
        </w:tc>
        <w:tc>
          <w:tcPr>
            <w:tcW w:w="2366" w:type="pct"/>
            <w:gridSpan w:val="2"/>
          </w:tcPr>
          <w:p w:rsidR="0075778E" w:rsidRPr="002C1A32" w:rsidRDefault="0075778E" w:rsidP="0075778E">
            <w:pPr>
              <w:jc w:val="both"/>
              <w:rPr>
                <w:sz w:val="20"/>
                <w:lang w:val="fr-CA"/>
              </w:rPr>
            </w:pPr>
            <w:r w:rsidRPr="002C1A32">
              <w:rPr>
                <w:sz w:val="20"/>
                <w:lang w:val="fr-CA"/>
              </w:rPr>
              <w:t>Demande en prorogation de délai pour signifier et déposer la demande d’autorisation et demande d'autorisation d'appel déposées</w:t>
            </w:r>
          </w:p>
        </w:tc>
      </w:tr>
    </w:tbl>
    <w:p w:rsidR="0075778E" w:rsidRPr="002C1A32" w:rsidRDefault="0075778E" w:rsidP="003E7D28">
      <w:pPr>
        <w:jc w:val="both"/>
        <w:rPr>
          <w:sz w:val="20"/>
          <w:lang w:val="fr-CA"/>
        </w:rPr>
      </w:pPr>
    </w:p>
    <w:p w:rsidR="00DA442B" w:rsidRPr="008D6C1E" w:rsidRDefault="00DA442B" w:rsidP="003E7D28">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3E7D28" w:rsidRPr="008D6C1E" w:rsidTr="002B5CF4">
        <w:tc>
          <w:tcPr>
            <w:tcW w:w="543" w:type="pct"/>
          </w:tcPr>
          <w:p w:rsidR="003E7D28" w:rsidRPr="008D6C1E" w:rsidRDefault="003E7D28" w:rsidP="003E7D28">
            <w:pPr>
              <w:jc w:val="both"/>
              <w:rPr>
                <w:sz w:val="20"/>
                <w:lang w:val="en-CA"/>
              </w:rPr>
            </w:pPr>
            <w:r w:rsidRPr="008D6C1E">
              <w:rPr>
                <w:rStyle w:val="SCCFileNumberChar"/>
                <w:sz w:val="20"/>
                <w:szCs w:val="20"/>
              </w:rPr>
              <w:t>36746</w:t>
            </w:r>
          </w:p>
        </w:tc>
        <w:tc>
          <w:tcPr>
            <w:tcW w:w="4457" w:type="pct"/>
            <w:gridSpan w:val="3"/>
          </w:tcPr>
          <w:p w:rsidR="003E7D28" w:rsidRPr="008D6C1E" w:rsidRDefault="003E7D28" w:rsidP="003E7D28">
            <w:pPr>
              <w:pStyle w:val="SCCLsocParty"/>
              <w:jc w:val="both"/>
              <w:rPr>
                <w:b/>
                <w:sz w:val="20"/>
                <w:szCs w:val="20"/>
                <w:lang w:val="en-CA"/>
              </w:rPr>
            </w:pPr>
            <w:r w:rsidRPr="008D6C1E">
              <w:rPr>
                <w:b/>
                <w:sz w:val="20"/>
                <w:szCs w:val="20"/>
                <w:lang w:val="en-CA"/>
              </w:rPr>
              <w:t>Attorney General of Canada, Parole Board of Canada v. Benoît Way, Maxime Gariépy</w:t>
            </w:r>
          </w:p>
          <w:p w:rsidR="003E7D28" w:rsidRPr="008D6C1E" w:rsidRDefault="003E7D28" w:rsidP="003E7D28">
            <w:pPr>
              <w:jc w:val="both"/>
              <w:rPr>
                <w:sz w:val="20"/>
                <w:lang w:val="en-CA"/>
              </w:rPr>
            </w:pPr>
            <w:r w:rsidRPr="008D6C1E">
              <w:rPr>
                <w:sz w:val="20"/>
                <w:lang w:val="en-CA"/>
              </w:rPr>
              <w:t>(Que.) (Civil) (By Leave)</w:t>
            </w:r>
          </w:p>
        </w:tc>
      </w:tr>
      <w:tr w:rsidR="003E7D28" w:rsidRPr="008D6C1E" w:rsidTr="002B5CF4">
        <w:tc>
          <w:tcPr>
            <w:tcW w:w="5000" w:type="pct"/>
            <w:gridSpan w:val="4"/>
          </w:tcPr>
          <w:p w:rsidR="003E7D28" w:rsidRPr="008D6C1E" w:rsidRDefault="003E7D28" w:rsidP="003E7D28">
            <w:pPr>
              <w:jc w:val="both"/>
              <w:rPr>
                <w:iCs/>
                <w:color w:val="000000"/>
                <w:sz w:val="20"/>
                <w:lang w:val="en-CA"/>
              </w:rPr>
            </w:pPr>
            <w:proofErr w:type="gramStart"/>
            <w:r w:rsidRPr="008D6C1E">
              <w:rPr>
                <w:i/>
                <w:iCs/>
                <w:color w:val="000000"/>
                <w:sz w:val="20"/>
                <w:lang w:val="en-CA"/>
              </w:rPr>
              <w:t>Canadian Charter of Rights and Freedoms</w:t>
            </w:r>
            <w:r w:rsidRPr="008D6C1E">
              <w:rPr>
                <w:iCs/>
                <w:color w:val="000000"/>
                <w:sz w:val="20"/>
                <w:lang w:val="en-CA"/>
              </w:rPr>
              <w:t xml:space="preserve"> </w:t>
            </w:r>
            <w:r w:rsidRPr="008D6C1E">
              <w:rPr>
                <w:sz w:val="20"/>
              </w:rPr>
              <w:t>—</w:t>
            </w:r>
            <w:r w:rsidRPr="008D6C1E">
              <w:rPr>
                <w:iCs/>
                <w:color w:val="000000"/>
                <w:sz w:val="20"/>
                <w:lang w:val="en-CA"/>
              </w:rPr>
              <w:t xml:space="preserve"> Constitutional law </w:t>
            </w:r>
            <w:r w:rsidRPr="008D6C1E">
              <w:rPr>
                <w:sz w:val="20"/>
              </w:rPr>
              <w:t>—</w:t>
            </w:r>
            <w:r w:rsidRPr="008D6C1E">
              <w:rPr>
                <w:iCs/>
                <w:color w:val="000000"/>
                <w:sz w:val="20"/>
                <w:lang w:val="en-CA"/>
              </w:rPr>
              <w:t xml:space="preserve"> Life, liberty and security </w:t>
            </w:r>
            <w:r w:rsidRPr="008D6C1E">
              <w:rPr>
                <w:sz w:val="20"/>
              </w:rPr>
              <w:t>—</w:t>
            </w:r>
            <w:r w:rsidRPr="008D6C1E">
              <w:rPr>
                <w:iCs/>
                <w:color w:val="000000"/>
                <w:sz w:val="20"/>
                <w:lang w:val="en-CA"/>
              </w:rPr>
              <w:t xml:space="preserve"> Principles of fundamental justice </w:t>
            </w:r>
            <w:r w:rsidRPr="008D6C1E">
              <w:rPr>
                <w:sz w:val="20"/>
              </w:rPr>
              <w:t>—</w:t>
            </w:r>
            <w:r w:rsidRPr="008D6C1E">
              <w:rPr>
                <w:iCs/>
                <w:color w:val="000000"/>
                <w:sz w:val="20"/>
                <w:lang w:val="en-CA"/>
              </w:rPr>
              <w:t xml:space="preserve"> Criminal law</w:t>
            </w:r>
            <w:r w:rsidRPr="008D6C1E">
              <w:rPr>
                <w:sz w:val="20"/>
              </w:rPr>
              <w:t>—</w:t>
            </w:r>
            <w:r w:rsidRPr="008D6C1E">
              <w:rPr>
                <w:iCs/>
                <w:color w:val="000000"/>
                <w:sz w:val="20"/>
                <w:lang w:val="en-CA"/>
              </w:rPr>
              <w:t xml:space="preserve">Parole </w:t>
            </w:r>
            <w:r w:rsidRPr="008D6C1E">
              <w:rPr>
                <w:sz w:val="20"/>
              </w:rPr>
              <w:t>—</w:t>
            </w:r>
            <w:r w:rsidRPr="008D6C1E">
              <w:rPr>
                <w:iCs/>
                <w:color w:val="000000"/>
                <w:sz w:val="20"/>
                <w:lang w:val="en-CA"/>
              </w:rPr>
              <w:t xml:space="preserve"> Judgment declaring of no force or effect legislative amendments whose purpose was to eliminate requirement that Parole Board hold oral hearing following suspension, termination or revocation of parole or statutory release </w:t>
            </w:r>
            <w:r w:rsidRPr="008D6C1E">
              <w:rPr>
                <w:sz w:val="20"/>
              </w:rPr>
              <w:t>—</w:t>
            </w:r>
            <w:r w:rsidRPr="008D6C1E">
              <w:rPr>
                <w:iCs/>
                <w:color w:val="000000"/>
                <w:sz w:val="20"/>
                <w:lang w:val="en-CA"/>
              </w:rPr>
              <w:t xml:space="preserve"> Whether Court of Appeal erred in declaring legislative amendments invalid </w:t>
            </w:r>
            <w:r w:rsidRPr="008D6C1E">
              <w:rPr>
                <w:sz w:val="20"/>
              </w:rPr>
              <w:t>—</w:t>
            </w:r>
            <w:r w:rsidRPr="008D6C1E">
              <w:rPr>
                <w:iCs/>
                <w:color w:val="000000"/>
                <w:sz w:val="20"/>
                <w:lang w:val="en-CA"/>
              </w:rPr>
              <w:t xml:space="preserve"> Whether Court of Appeal imposed limits on general legal principles recognized by this Court concerning statutory grant of discretion and whether Court of Appeal recognized new principle of fundamental justice contrary to this Court’s teachings </w:t>
            </w:r>
            <w:r w:rsidRPr="008D6C1E">
              <w:rPr>
                <w:sz w:val="20"/>
              </w:rPr>
              <w:t>—</w:t>
            </w:r>
            <w:r w:rsidRPr="008D6C1E">
              <w:rPr>
                <w:iCs/>
                <w:color w:val="000000"/>
                <w:sz w:val="20"/>
                <w:lang w:val="en-CA"/>
              </w:rPr>
              <w:t xml:space="preserve"> </w:t>
            </w:r>
            <w:r w:rsidRPr="008D6C1E">
              <w:rPr>
                <w:i/>
                <w:iCs/>
                <w:color w:val="000000"/>
                <w:sz w:val="20"/>
                <w:lang w:val="en-CA"/>
              </w:rPr>
              <w:t>Jobs, Growth and Long</w:t>
            </w:r>
            <w:r w:rsidRPr="008D6C1E">
              <w:rPr>
                <w:i/>
                <w:iCs/>
                <w:color w:val="000000"/>
                <w:sz w:val="20"/>
                <w:lang w:val="en-CA"/>
              </w:rPr>
              <w:noBreakHyphen/>
              <w:t>term Prosperity Act</w:t>
            </w:r>
            <w:r w:rsidRPr="008D6C1E">
              <w:rPr>
                <w:iCs/>
                <w:color w:val="000000"/>
                <w:sz w:val="20"/>
                <w:lang w:val="en-CA"/>
              </w:rPr>
              <w:t>, S</w:t>
            </w:r>
            <w:r w:rsidRPr="008D6C1E">
              <w:rPr>
                <w:sz w:val="20"/>
                <w:lang w:val="en-CA"/>
              </w:rPr>
              <w:t xml:space="preserve">.C. 2012, c. 19, s. 527 </w:t>
            </w:r>
            <w:r w:rsidRPr="008D6C1E">
              <w:rPr>
                <w:sz w:val="20"/>
              </w:rPr>
              <w:t>—</w:t>
            </w:r>
            <w:r w:rsidRPr="008D6C1E">
              <w:rPr>
                <w:sz w:val="20"/>
                <w:lang w:val="en-CA"/>
              </w:rPr>
              <w:t xml:space="preserve"> </w:t>
            </w:r>
            <w:r w:rsidRPr="008D6C1E">
              <w:rPr>
                <w:i/>
                <w:iCs/>
                <w:color w:val="000000"/>
                <w:sz w:val="20"/>
                <w:lang w:val="en-CA"/>
              </w:rPr>
              <w:t>Corrections and Conditional Release Act</w:t>
            </w:r>
            <w:r w:rsidRPr="008D6C1E">
              <w:rPr>
                <w:iCs/>
                <w:color w:val="000000"/>
                <w:sz w:val="20"/>
                <w:lang w:val="en-CA"/>
              </w:rPr>
              <w:t>, S</w:t>
            </w:r>
            <w:r w:rsidRPr="008D6C1E">
              <w:rPr>
                <w:sz w:val="20"/>
                <w:lang w:val="en-CA"/>
              </w:rPr>
              <w:t>.C. 1992, c. 20, s</w:t>
            </w:r>
            <w:r w:rsidRPr="008D6C1E">
              <w:rPr>
                <w:iCs/>
                <w:color w:val="000000"/>
                <w:sz w:val="20"/>
                <w:lang w:val="en-CA"/>
              </w:rPr>
              <w:t>. 140(1)(</w:t>
            </w:r>
            <w:r w:rsidRPr="008D6C1E">
              <w:rPr>
                <w:i/>
                <w:iCs/>
                <w:color w:val="000000"/>
                <w:sz w:val="20"/>
                <w:lang w:val="en-CA"/>
              </w:rPr>
              <w:t>d)</w:t>
            </w:r>
            <w:r w:rsidRPr="008D6C1E">
              <w:rPr>
                <w:iCs/>
                <w:color w:val="000000"/>
                <w:sz w:val="20"/>
                <w:lang w:val="en-CA"/>
              </w:rPr>
              <w:t xml:space="preserve"> – </w:t>
            </w:r>
            <w:r w:rsidRPr="008D6C1E">
              <w:rPr>
                <w:i/>
                <w:iCs/>
                <w:color w:val="000000"/>
                <w:sz w:val="20"/>
                <w:lang w:val="en-CA"/>
              </w:rPr>
              <w:t>Canadian Charter of Rights and Freedoms</w:t>
            </w:r>
            <w:r w:rsidRPr="008D6C1E">
              <w:rPr>
                <w:iCs/>
                <w:color w:val="000000"/>
                <w:sz w:val="20"/>
                <w:lang w:val="en-CA"/>
              </w:rPr>
              <w:t>, s. 7.</w:t>
            </w:r>
            <w:proofErr w:type="gramEnd"/>
          </w:p>
        </w:tc>
      </w:tr>
      <w:tr w:rsidR="003E7D28" w:rsidRPr="008D6C1E" w:rsidTr="002B5CF4">
        <w:tc>
          <w:tcPr>
            <w:tcW w:w="5000" w:type="pct"/>
            <w:gridSpan w:val="4"/>
          </w:tcPr>
          <w:p w:rsidR="003E7D28" w:rsidRPr="008D6C1E" w:rsidRDefault="003E7D28" w:rsidP="003E7D28">
            <w:pPr>
              <w:pStyle w:val="SCCBanSummary"/>
              <w:rPr>
                <w:sz w:val="20"/>
                <w:szCs w:val="20"/>
              </w:rPr>
            </w:pPr>
          </w:p>
        </w:tc>
      </w:tr>
      <w:tr w:rsidR="003E7D28" w:rsidRPr="008D6C1E" w:rsidTr="002B5CF4">
        <w:tc>
          <w:tcPr>
            <w:tcW w:w="5000" w:type="pct"/>
            <w:gridSpan w:val="4"/>
          </w:tcPr>
          <w:p w:rsidR="003E7D28" w:rsidRPr="008D6C1E" w:rsidRDefault="003E7D28" w:rsidP="003E7D28">
            <w:pPr>
              <w:jc w:val="both"/>
              <w:rPr>
                <w:sz w:val="20"/>
                <w:lang w:val="en-CA"/>
              </w:rPr>
            </w:pPr>
            <w:r w:rsidRPr="008D6C1E">
              <w:rPr>
                <w:sz w:val="20"/>
                <w:lang w:val="en-CA"/>
              </w:rPr>
              <w:t xml:space="preserve">In 2012, the Parliament of Canada enacted the </w:t>
            </w:r>
            <w:r w:rsidRPr="008D6C1E">
              <w:rPr>
                <w:i/>
                <w:iCs/>
                <w:sz w:val="20"/>
                <w:lang w:val="en-CA"/>
              </w:rPr>
              <w:t>Jobs, Growth and Long</w:t>
            </w:r>
            <w:r w:rsidRPr="008D6C1E">
              <w:rPr>
                <w:i/>
                <w:iCs/>
                <w:sz w:val="20"/>
                <w:lang w:val="en-CA"/>
              </w:rPr>
              <w:noBreakHyphen/>
              <w:t>term Prosperity Act</w:t>
            </w:r>
            <w:r w:rsidRPr="008D6C1E">
              <w:rPr>
                <w:sz w:val="20"/>
                <w:lang w:val="en-CA"/>
              </w:rPr>
              <w:t xml:space="preserve">, S.C. 2012, c. 19. Section 527 of that Act amended </w:t>
            </w:r>
            <w:hyperlink r:id="rId90" w:anchor="art140_smooth" w:history="1">
              <w:r w:rsidRPr="008D6C1E">
                <w:rPr>
                  <w:sz w:val="20"/>
                  <w:lang w:val="en-CA"/>
                </w:rPr>
                <w:t>s. 140</w:t>
              </w:r>
            </w:hyperlink>
            <w:r w:rsidRPr="008D6C1E">
              <w:rPr>
                <w:sz w:val="20"/>
                <w:lang w:val="en-CA"/>
              </w:rPr>
              <w:t xml:space="preserve"> of the </w:t>
            </w:r>
            <w:r w:rsidRPr="008D6C1E">
              <w:rPr>
                <w:i/>
                <w:iCs/>
                <w:sz w:val="20"/>
                <w:lang w:val="en-CA"/>
              </w:rPr>
              <w:t>Corrections and Conditional Release Act</w:t>
            </w:r>
            <w:r w:rsidRPr="008D6C1E">
              <w:rPr>
                <w:iCs/>
                <w:sz w:val="20"/>
                <w:lang w:val="en-CA"/>
              </w:rPr>
              <w:t>, S</w:t>
            </w:r>
            <w:r w:rsidRPr="008D6C1E">
              <w:rPr>
                <w:sz w:val="20"/>
                <w:lang w:val="en-CA"/>
              </w:rPr>
              <w:t>.C. 1992, c. 20 (“Act”). The effect of the amendment was to eliminate the mandatory oral hearing held by the Parole Board du Canada (“Board”) for reviews following the suspension, termination or revocation of parole or statutory release. The new s. 140(1</w:t>
            </w:r>
            <w:proofErr w:type="gramStart"/>
            <w:r w:rsidRPr="008D6C1E">
              <w:rPr>
                <w:sz w:val="20"/>
                <w:lang w:val="en-CA"/>
              </w:rPr>
              <w:t>)(</w:t>
            </w:r>
            <w:proofErr w:type="gramEnd"/>
            <w:r w:rsidRPr="008D6C1E">
              <w:rPr>
                <w:i/>
                <w:iCs/>
                <w:sz w:val="20"/>
                <w:lang w:val="en-CA"/>
              </w:rPr>
              <w:t>d</w:t>
            </w:r>
            <w:r w:rsidRPr="008D6C1E">
              <w:rPr>
                <w:iCs/>
                <w:sz w:val="20"/>
                <w:lang w:val="en-CA"/>
              </w:rPr>
              <w:t>)</w:t>
            </w:r>
            <w:r w:rsidRPr="008D6C1E">
              <w:rPr>
                <w:sz w:val="20"/>
                <w:lang w:val="en-CA"/>
              </w:rPr>
              <w:t xml:space="preserve"> of the Act limits the right to such a hearing to cases in which parole is cancelled. However, the Board has the discretion to conduct a review by way of an in</w:t>
            </w:r>
            <w:r w:rsidRPr="008D6C1E">
              <w:rPr>
                <w:sz w:val="20"/>
                <w:lang w:val="en-CA"/>
              </w:rPr>
              <w:noBreakHyphen/>
              <w:t>person hearing in any case not referred to in s. 140(1).</w:t>
            </w:r>
          </w:p>
          <w:p w:rsidR="003E7D28" w:rsidRPr="008D6C1E" w:rsidRDefault="003E7D28" w:rsidP="003E7D28">
            <w:pPr>
              <w:jc w:val="both"/>
              <w:rPr>
                <w:sz w:val="20"/>
                <w:lang w:val="en-CA"/>
              </w:rPr>
            </w:pPr>
          </w:p>
          <w:p w:rsidR="003E7D28" w:rsidRPr="008D6C1E" w:rsidRDefault="003E7D28" w:rsidP="003E7D28">
            <w:pPr>
              <w:jc w:val="both"/>
              <w:rPr>
                <w:sz w:val="20"/>
                <w:lang w:val="en-CA"/>
              </w:rPr>
            </w:pPr>
            <w:r w:rsidRPr="008D6C1E">
              <w:rPr>
                <w:sz w:val="20"/>
                <w:lang w:val="en-CA"/>
              </w:rPr>
              <w:t>Before the amendment in question came into force, s. 140(1</w:t>
            </w:r>
            <w:proofErr w:type="gramStart"/>
            <w:r w:rsidRPr="008D6C1E">
              <w:rPr>
                <w:sz w:val="20"/>
                <w:lang w:val="en-CA"/>
              </w:rPr>
              <w:t>)(</w:t>
            </w:r>
            <w:proofErr w:type="gramEnd"/>
            <w:r w:rsidRPr="008D6C1E">
              <w:rPr>
                <w:i/>
                <w:iCs/>
                <w:sz w:val="20"/>
                <w:lang w:val="en-CA"/>
              </w:rPr>
              <w:t>d</w:t>
            </w:r>
            <w:r w:rsidRPr="008D6C1E">
              <w:rPr>
                <w:iCs/>
                <w:sz w:val="20"/>
                <w:lang w:val="en-CA"/>
              </w:rPr>
              <w:t>)</w:t>
            </w:r>
            <w:r w:rsidRPr="008D6C1E">
              <w:rPr>
                <w:sz w:val="20"/>
                <w:lang w:val="en-CA"/>
              </w:rPr>
              <w:t xml:space="preserve"> provided for a mandatory hearing where parole was suspended, terminated or revoked unless the offender waived the right to a hearing in writing or refused to attend the hearing.</w:t>
            </w:r>
          </w:p>
          <w:p w:rsidR="003E7D28" w:rsidRPr="008D6C1E" w:rsidRDefault="003E7D28" w:rsidP="003E7D28">
            <w:pPr>
              <w:jc w:val="both"/>
              <w:rPr>
                <w:sz w:val="20"/>
                <w:lang w:val="en-CA"/>
              </w:rPr>
            </w:pPr>
          </w:p>
          <w:p w:rsidR="003E7D28" w:rsidRPr="008D6C1E" w:rsidRDefault="003E7D28" w:rsidP="003E7D28">
            <w:pPr>
              <w:pStyle w:val="SCCBanSummary"/>
              <w:rPr>
                <w:sz w:val="20"/>
                <w:szCs w:val="20"/>
              </w:rPr>
            </w:pPr>
            <w:r w:rsidRPr="008D6C1E">
              <w:rPr>
                <w:smallCaps w:val="0"/>
                <w:sz w:val="20"/>
                <w:szCs w:val="20"/>
              </w:rPr>
              <w:t xml:space="preserve">The Board revoked the day parole of Benoît Way and the parole of Maxime Gariépy (“respondents”). In both cases, the decisions </w:t>
            </w:r>
            <w:proofErr w:type="gramStart"/>
            <w:r w:rsidRPr="008D6C1E">
              <w:rPr>
                <w:smallCaps w:val="0"/>
                <w:sz w:val="20"/>
                <w:szCs w:val="20"/>
              </w:rPr>
              <w:t>were made</w:t>
            </w:r>
            <w:proofErr w:type="gramEnd"/>
            <w:r w:rsidRPr="008D6C1E">
              <w:rPr>
                <w:smallCaps w:val="0"/>
                <w:sz w:val="20"/>
                <w:szCs w:val="20"/>
              </w:rPr>
              <w:t xml:space="preserve"> on consideration of the file and written representations, without holding a hearing. The respondents filed applications for </w:t>
            </w:r>
            <w:r w:rsidRPr="008D6C1E">
              <w:rPr>
                <w:i/>
                <w:iCs/>
                <w:smallCaps w:val="0"/>
                <w:sz w:val="20"/>
                <w:szCs w:val="20"/>
              </w:rPr>
              <w:t>habeas corpus</w:t>
            </w:r>
            <w:r w:rsidRPr="008D6C1E">
              <w:rPr>
                <w:smallCaps w:val="0"/>
                <w:sz w:val="20"/>
                <w:szCs w:val="20"/>
              </w:rPr>
              <w:t xml:space="preserve"> with the Superior Court and sought a declaratory judgment based, </w:t>
            </w:r>
            <w:r w:rsidRPr="008D6C1E">
              <w:rPr>
                <w:i/>
                <w:smallCaps w:val="0"/>
                <w:sz w:val="20"/>
                <w:szCs w:val="20"/>
              </w:rPr>
              <w:t>inter alia</w:t>
            </w:r>
            <w:r w:rsidRPr="008D6C1E">
              <w:rPr>
                <w:smallCaps w:val="0"/>
                <w:sz w:val="20"/>
                <w:szCs w:val="20"/>
              </w:rPr>
              <w:t xml:space="preserve">, on s. 7 of the </w:t>
            </w:r>
            <w:r w:rsidRPr="008D6C1E">
              <w:rPr>
                <w:i/>
                <w:smallCaps w:val="0"/>
                <w:sz w:val="20"/>
                <w:szCs w:val="20"/>
              </w:rPr>
              <w:t>Canadian Charter of Rights and Freedoms</w:t>
            </w:r>
            <w:r w:rsidRPr="008D6C1E">
              <w:rPr>
                <w:smallCaps w:val="0"/>
                <w:sz w:val="20"/>
                <w:szCs w:val="20"/>
              </w:rPr>
              <w:t>.</w:t>
            </w:r>
          </w:p>
        </w:tc>
      </w:tr>
      <w:tr w:rsidR="003E7D28" w:rsidRPr="008D6C1E" w:rsidTr="002B5CF4">
        <w:tc>
          <w:tcPr>
            <w:tcW w:w="5000" w:type="pct"/>
            <w:gridSpan w:val="4"/>
          </w:tcPr>
          <w:p w:rsidR="003E7D28" w:rsidRPr="008D6C1E" w:rsidRDefault="003E7D28" w:rsidP="003E7D28">
            <w:pPr>
              <w:jc w:val="both"/>
              <w:rPr>
                <w:sz w:val="20"/>
                <w:lang w:val="en-CA"/>
              </w:rPr>
            </w:pPr>
          </w:p>
        </w:tc>
      </w:tr>
      <w:tr w:rsidR="003E7D28" w:rsidRPr="008D6C1E" w:rsidTr="002B5CF4">
        <w:tblPrEx>
          <w:tblCellMar>
            <w:bottom w:w="0" w:type="dxa"/>
          </w:tblCellMar>
        </w:tblPrEx>
        <w:tc>
          <w:tcPr>
            <w:tcW w:w="2390" w:type="pct"/>
            <w:gridSpan w:val="2"/>
          </w:tcPr>
          <w:p w:rsidR="003E7D28" w:rsidRPr="008D6C1E" w:rsidRDefault="003E7D28" w:rsidP="003E7D28">
            <w:pPr>
              <w:jc w:val="both"/>
              <w:rPr>
                <w:sz w:val="20"/>
                <w:lang w:val="en-CA"/>
              </w:rPr>
            </w:pPr>
            <w:r w:rsidRPr="008D6C1E">
              <w:rPr>
                <w:sz w:val="20"/>
                <w:lang w:val="en-CA"/>
              </w:rPr>
              <w:t>August 26, 2014</w:t>
            </w:r>
          </w:p>
          <w:p w:rsidR="003E7D28" w:rsidRPr="008D6C1E" w:rsidRDefault="003E7D28" w:rsidP="003E7D28">
            <w:pPr>
              <w:jc w:val="both"/>
              <w:rPr>
                <w:sz w:val="20"/>
                <w:lang w:val="en-CA"/>
              </w:rPr>
            </w:pPr>
            <w:r w:rsidRPr="008D6C1E">
              <w:rPr>
                <w:sz w:val="20"/>
                <w:lang w:val="en-CA"/>
              </w:rPr>
              <w:t>Quebec Superior Court</w:t>
            </w:r>
          </w:p>
          <w:p w:rsidR="003E7D28" w:rsidRPr="008D6C1E" w:rsidRDefault="003E7D28" w:rsidP="003E7D28">
            <w:pPr>
              <w:jc w:val="both"/>
              <w:rPr>
                <w:sz w:val="20"/>
                <w:lang w:val="en-CA"/>
              </w:rPr>
            </w:pPr>
            <w:r w:rsidRPr="008D6C1E">
              <w:rPr>
                <w:sz w:val="20"/>
                <w:lang w:val="en-CA"/>
              </w:rPr>
              <w:t>(St-</w:t>
            </w:r>
            <w:proofErr w:type="spellStart"/>
            <w:r w:rsidRPr="008D6C1E">
              <w:rPr>
                <w:sz w:val="20"/>
                <w:lang w:val="en-CA"/>
              </w:rPr>
              <w:t>Gelais</w:t>
            </w:r>
            <w:proofErr w:type="spellEnd"/>
            <w:r w:rsidRPr="008D6C1E">
              <w:rPr>
                <w:sz w:val="20"/>
                <w:lang w:val="en-CA"/>
              </w:rPr>
              <w:t> J.)</w:t>
            </w:r>
          </w:p>
          <w:p w:rsidR="003E7D28" w:rsidRPr="008D6C1E" w:rsidRDefault="005E6DC4" w:rsidP="003E7D28">
            <w:pPr>
              <w:jc w:val="both"/>
              <w:rPr>
                <w:sz w:val="20"/>
                <w:lang w:val="en-CA"/>
              </w:rPr>
            </w:pPr>
            <w:hyperlink r:id="rId91" w:history="1">
              <w:r w:rsidR="003E7D28" w:rsidRPr="008D6C1E">
                <w:rPr>
                  <w:rStyle w:val="Hyperlink"/>
                  <w:sz w:val="20"/>
                  <w:lang w:val="en-CA"/>
                </w:rPr>
                <w:t>2014 QCCS 4193</w:t>
              </w:r>
            </w:hyperlink>
          </w:p>
        </w:tc>
        <w:tc>
          <w:tcPr>
            <w:tcW w:w="270" w:type="pct"/>
          </w:tcPr>
          <w:p w:rsidR="003E7D28" w:rsidRPr="008D6C1E" w:rsidRDefault="003E7D28" w:rsidP="003E7D28">
            <w:pPr>
              <w:jc w:val="both"/>
              <w:rPr>
                <w:sz w:val="20"/>
                <w:lang w:val="en-CA"/>
              </w:rPr>
            </w:pPr>
          </w:p>
        </w:tc>
        <w:tc>
          <w:tcPr>
            <w:tcW w:w="2340" w:type="pct"/>
          </w:tcPr>
          <w:p w:rsidR="003E7D28" w:rsidRPr="008D6C1E" w:rsidRDefault="003E7D28" w:rsidP="003E7D28">
            <w:pPr>
              <w:jc w:val="both"/>
              <w:rPr>
                <w:iCs/>
                <w:sz w:val="20"/>
                <w:lang w:val="en-CA"/>
              </w:rPr>
            </w:pPr>
            <w:r w:rsidRPr="008D6C1E">
              <w:rPr>
                <w:sz w:val="20"/>
                <w:lang w:val="en-CA"/>
              </w:rPr>
              <w:t xml:space="preserve">Motion allowed, </w:t>
            </w:r>
            <w:hyperlink r:id="rId92" w:anchor="art527_smooth" w:history="1">
              <w:r w:rsidRPr="008D6C1E">
                <w:rPr>
                  <w:rStyle w:val="Hyperlink"/>
                  <w:sz w:val="20"/>
                </w:rPr>
                <w:t>s. 527</w:t>
              </w:r>
            </w:hyperlink>
            <w:r w:rsidRPr="008D6C1E">
              <w:rPr>
                <w:sz w:val="20"/>
                <w:lang w:val="en-CA"/>
              </w:rPr>
              <w:t xml:space="preserve"> of </w:t>
            </w:r>
            <w:r w:rsidRPr="008D6C1E">
              <w:rPr>
                <w:i/>
                <w:iCs/>
                <w:sz w:val="20"/>
                <w:lang w:val="en-CA"/>
              </w:rPr>
              <w:t>Jobs, Growth and Long</w:t>
            </w:r>
            <w:r w:rsidRPr="008D6C1E">
              <w:rPr>
                <w:i/>
                <w:iCs/>
                <w:sz w:val="20"/>
                <w:lang w:val="en-CA"/>
              </w:rPr>
              <w:noBreakHyphen/>
              <w:t>term Prosperity Act</w:t>
            </w:r>
            <w:bookmarkStart w:id="1" w:name="_Ref426980483"/>
            <w:bookmarkEnd w:id="1"/>
            <w:r w:rsidRPr="008D6C1E">
              <w:rPr>
                <w:i/>
                <w:iCs/>
                <w:sz w:val="20"/>
                <w:lang w:val="en-CA"/>
              </w:rPr>
              <w:t xml:space="preserve"> </w:t>
            </w:r>
            <w:r w:rsidRPr="008D6C1E">
              <w:rPr>
                <w:sz w:val="20"/>
                <w:lang w:val="en-CA"/>
              </w:rPr>
              <w:t>and s. 140(1)(</w:t>
            </w:r>
            <w:r w:rsidRPr="008D6C1E">
              <w:rPr>
                <w:i/>
                <w:iCs/>
                <w:sz w:val="20"/>
                <w:lang w:val="en-CA"/>
              </w:rPr>
              <w:t>d</w:t>
            </w:r>
            <w:r w:rsidRPr="008D6C1E">
              <w:rPr>
                <w:iCs/>
                <w:sz w:val="20"/>
                <w:lang w:val="en-CA"/>
              </w:rPr>
              <w:t>)</w:t>
            </w:r>
            <w:r w:rsidRPr="008D6C1E">
              <w:rPr>
                <w:sz w:val="20"/>
                <w:lang w:val="en-CA"/>
              </w:rPr>
              <w:t xml:space="preserve"> of </w:t>
            </w:r>
            <w:r w:rsidRPr="008D6C1E">
              <w:rPr>
                <w:i/>
                <w:iCs/>
                <w:sz w:val="20"/>
                <w:lang w:val="en-CA"/>
              </w:rPr>
              <w:t xml:space="preserve">Corrections and Conditional Release Act </w:t>
            </w:r>
            <w:r w:rsidRPr="008D6C1E">
              <w:rPr>
                <w:iCs/>
                <w:sz w:val="20"/>
                <w:lang w:val="en-CA"/>
              </w:rPr>
              <w:t xml:space="preserve">declared of no force or effect </w:t>
            </w:r>
          </w:p>
          <w:p w:rsidR="003E7D28" w:rsidRPr="008D6C1E" w:rsidRDefault="003E7D28" w:rsidP="003E7D28">
            <w:pPr>
              <w:jc w:val="both"/>
              <w:rPr>
                <w:sz w:val="20"/>
                <w:lang w:val="en-CA"/>
              </w:rPr>
            </w:pPr>
          </w:p>
        </w:tc>
      </w:tr>
      <w:tr w:rsidR="003E7D28" w:rsidRPr="008D6C1E" w:rsidTr="002B5CF4">
        <w:tblPrEx>
          <w:tblCellMar>
            <w:bottom w:w="0" w:type="dxa"/>
          </w:tblCellMar>
        </w:tblPrEx>
        <w:tc>
          <w:tcPr>
            <w:tcW w:w="2390" w:type="pct"/>
            <w:gridSpan w:val="2"/>
          </w:tcPr>
          <w:p w:rsidR="003E7D28" w:rsidRPr="008D6C1E" w:rsidRDefault="003E7D28" w:rsidP="003E7D28">
            <w:pPr>
              <w:jc w:val="both"/>
              <w:rPr>
                <w:sz w:val="20"/>
                <w:lang w:val="en-CA"/>
              </w:rPr>
            </w:pPr>
            <w:r w:rsidRPr="008D6C1E">
              <w:rPr>
                <w:sz w:val="20"/>
                <w:lang w:val="en-CA"/>
              </w:rPr>
              <w:t>October 1, 2015</w:t>
            </w:r>
          </w:p>
          <w:p w:rsidR="003E7D28" w:rsidRPr="008D6C1E" w:rsidRDefault="003E7D28" w:rsidP="003E7D28">
            <w:pPr>
              <w:jc w:val="both"/>
              <w:rPr>
                <w:sz w:val="20"/>
                <w:lang w:val="en-CA"/>
              </w:rPr>
            </w:pPr>
            <w:r w:rsidRPr="008D6C1E">
              <w:rPr>
                <w:sz w:val="20"/>
                <w:lang w:val="en-CA"/>
              </w:rPr>
              <w:t>Quebec Court of Appeal (Montréal)</w:t>
            </w:r>
          </w:p>
          <w:p w:rsidR="003E7D28" w:rsidRPr="002C1A32" w:rsidRDefault="003E7D28" w:rsidP="003E7D28">
            <w:pPr>
              <w:jc w:val="both"/>
              <w:rPr>
                <w:sz w:val="20"/>
                <w:lang w:val="fr-CA"/>
              </w:rPr>
            </w:pPr>
            <w:r w:rsidRPr="002C1A32">
              <w:rPr>
                <w:sz w:val="20"/>
                <w:lang w:val="fr-CA"/>
              </w:rPr>
              <w:t xml:space="preserve">(Bouchard, Lévesque and </w:t>
            </w:r>
            <w:proofErr w:type="spellStart"/>
            <w:r w:rsidRPr="002C1A32">
              <w:rPr>
                <w:sz w:val="20"/>
                <w:lang w:val="fr-CA"/>
              </w:rPr>
              <w:t>Vauclair</w:t>
            </w:r>
            <w:proofErr w:type="spellEnd"/>
            <w:r w:rsidRPr="002C1A32">
              <w:rPr>
                <w:sz w:val="20"/>
                <w:lang w:val="fr-CA"/>
              </w:rPr>
              <w:t xml:space="preserve"> JJ.A.)</w:t>
            </w:r>
          </w:p>
          <w:p w:rsidR="003E7D28" w:rsidRPr="008D6C1E" w:rsidRDefault="005E6DC4" w:rsidP="003E7D28">
            <w:pPr>
              <w:jc w:val="both"/>
              <w:rPr>
                <w:sz w:val="20"/>
                <w:lang w:val="en-CA"/>
              </w:rPr>
            </w:pPr>
            <w:hyperlink r:id="rId93" w:history="1">
              <w:r w:rsidR="003E7D28" w:rsidRPr="008D6C1E">
                <w:rPr>
                  <w:rStyle w:val="Hyperlink"/>
                  <w:sz w:val="20"/>
                  <w:lang w:val="en-CA"/>
                </w:rPr>
                <w:t>2015 QCCA 1576</w:t>
              </w:r>
            </w:hyperlink>
          </w:p>
          <w:p w:rsidR="003E7D28" w:rsidRPr="008D6C1E" w:rsidRDefault="003E7D28" w:rsidP="003E7D28">
            <w:pPr>
              <w:jc w:val="both"/>
              <w:rPr>
                <w:sz w:val="20"/>
                <w:lang w:val="en-CA"/>
              </w:rPr>
            </w:pPr>
          </w:p>
        </w:tc>
        <w:tc>
          <w:tcPr>
            <w:tcW w:w="270" w:type="pct"/>
          </w:tcPr>
          <w:p w:rsidR="003E7D28" w:rsidRPr="008D6C1E" w:rsidRDefault="003E7D28" w:rsidP="003E7D28">
            <w:pPr>
              <w:jc w:val="both"/>
              <w:rPr>
                <w:sz w:val="20"/>
                <w:lang w:val="en-CA"/>
              </w:rPr>
            </w:pPr>
          </w:p>
        </w:tc>
        <w:tc>
          <w:tcPr>
            <w:tcW w:w="2340" w:type="pct"/>
          </w:tcPr>
          <w:p w:rsidR="003E7D28" w:rsidRPr="008D6C1E" w:rsidRDefault="003E7D28" w:rsidP="003E7D28">
            <w:pPr>
              <w:jc w:val="both"/>
              <w:rPr>
                <w:sz w:val="20"/>
                <w:lang w:val="en-CA"/>
              </w:rPr>
            </w:pPr>
            <w:r w:rsidRPr="008D6C1E">
              <w:rPr>
                <w:sz w:val="20"/>
                <w:lang w:val="en-CA"/>
              </w:rPr>
              <w:t>Appeal dismissed</w:t>
            </w:r>
          </w:p>
          <w:p w:rsidR="003E7D28" w:rsidRPr="008D6C1E" w:rsidRDefault="003E7D28" w:rsidP="003E7D28">
            <w:pPr>
              <w:jc w:val="both"/>
              <w:rPr>
                <w:sz w:val="20"/>
                <w:lang w:val="en-CA"/>
              </w:rPr>
            </w:pPr>
          </w:p>
        </w:tc>
      </w:tr>
      <w:tr w:rsidR="003E7D28" w:rsidRPr="008D6C1E" w:rsidTr="002B5CF4">
        <w:tblPrEx>
          <w:tblCellMar>
            <w:bottom w:w="0" w:type="dxa"/>
          </w:tblCellMar>
        </w:tblPrEx>
        <w:tc>
          <w:tcPr>
            <w:tcW w:w="2390" w:type="pct"/>
            <w:gridSpan w:val="2"/>
          </w:tcPr>
          <w:p w:rsidR="003E7D28" w:rsidRPr="008D6C1E" w:rsidRDefault="003E7D28" w:rsidP="003E7D28">
            <w:pPr>
              <w:jc w:val="both"/>
              <w:rPr>
                <w:sz w:val="20"/>
                <w:lang w:val="en-CA"/>
              </w:rPr>
            </w:pPr>
            <w:r w:rsidRPr="008D6C1E">
              <w:rPr>
                <w:sz w:val="20"/>
                <w:lang w:val="en-CA"/>
              </w:rPr>
              <w:t>November 30, 2015</w:t>
            </w:r>
          </w:p>
          <w:p w:rsidR="003E7D28" w:rsidRPr="008D6C1E" w:rsidRDefault="003E7D28" w:rsidP="003E7D28">
            <w:pPr>
              <w:jc w:val="both"/>
              <w:rPr>
                <w:sz w:val="20"/>
                <w:lang w:val="en-CA"/>
              </w:rPr>
            </w:pPr>
            <w:r w:rsidRPr="008D6C1E">
              <w:rPr>
                <w:sz w:val="20"/>
                <w:lang w:val="en-CA"/>
              </w:rPr>
              <w:t>Supreme Court of Canada</w:t>
            </w:r>
          </w:p>
        </w:tc>
        <w:tc>
          <w:tcPr>
            <w:tcW w:w="270" w:type="pct"/>
          </w:tcPr>
          <w:p w:rsidR="003E7D28" w:rsidRPr="008D6C1E" w:rsidRDefault="003E7D28" w:rsidP="003E7D28">
            <w:pPr>
              <w:jc w:val="both"/>
              <w:rPr>
                <w:sz w:val="20"/>
                <w:lang w:val="en-CA"/>
              </w:rPr>
            </w:pPr>
          </w:p>
        </w:tc>
        <w:tc>
          <w:tcPr>
            <w:tcW w:w="2340" w:type="pct"/>
          </w:tcPr>
          <w:p w:rsidR="003E7D28" w:rsidRPr="008D6C1E" w:rsidRDefault="003E7D28" w:rsidP="003E7D28">
            <w:pPr>
              <w:jc w:val="both"/>
              <w:rPr>
                <w:sz w:val="20"/>
                <w:lang w:val="en-CA"/>
              </w:rPr>
            </w:pPr>
            <w:r w:rsidRPr="008D6C1E">
              <w:rPr>
                <w:sz w:val="20"/>
                <w:lang w:val="en-CA"/>
              </w:rPr>
              <w:t>Application for leave to appeal filed</w:t>
            </w:r>
          </w:p>
          <w:p w:rsidR="003E7D28" w:rsidRPr="008D6C1E" w:rsidRDefault="003E7D28" w:rsidP="003E7D28">
            <w:pPr>
              <w:jc w:val="both"/>
              <w:rPr>
                <w:sz w:val="20"/>
                <w:lang w:val="en-CA"/>
              </w:rPr>
            </w:pPr>
          </w:p>
        </w:tc>
      </w:tr>
    </w:tbl>
    <w:p w:rsidR="003E7D28" w:rsidRPr="008D6C1E" w:rsidRDefault="003E7D28" w:rsidP="003E7D28">
      <w:pPr>
        <w:jc w:val="both"/>
        <w:rPr>
          <w:sz w:val="20"/>
          <w:lang w:val="en-CA"/>
        </w:rPr>
      </w:pPr>
    </w:p>
    <w:p w:rsidR="003E7D28" w:rsidRPr="008D6C1E" w:rsidRDefault="003E7D28" w:rsidP="003E7D2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3E7D28" w:rsidRPr="008D6C1E" w:rsidTr="002B5CF4">
        <w:tc>
          <w:tcPr>
            <w:tcW w:w="543" w:type="pct"/>
          </w:tcPr>
          <w:p w:rsidR="003E7D28" w:rsidRPr="008D6C1E" w:rsidRDefault="003E7D28" w:rsidP="003E7D28">
            <w:pPr>
              <w:jc w:val="both"/>
              <w:rPr>
                <w:sz w:val="20"/>
              </w:rPr>
            </w:pPr>
            <w:r w:rsidRPr="008D6C1E">
              <w:rPr>
                <w:rStyle w:val="SCCFileNumberChar"/>
                <w:sz w:val="20"/>
                <w:szCs w:val="20"/>
              </w:rPr>
              <w:t>36746</w:t>
            </w:r>
          </w:p>
        </w:tc>
        <w:tc>
          <w:tcPr>
            <w:tcW w:w="4457" w:type="pct"/>
            <w:gridSpan w:val="3"/>
          </w:tcPr>
          <w:p w:rsidR="003E7D28" w:rsidRPr="008D6C1E" w:rsidRDefault="003E7D28" w:rsidP="003E7D28">
            <w:pPr>
              <w:pStyle w:val="SCCLsocParty"/>
              <w:jc w:val="both"/>
              <w:rPr>
                <w:b/>
                <w:sz w:val="20"/>
                <w:szCs w:val="20"/>
              </w:rPr>
            </w:pPr>
            <w:r w:rsidRPr="008D6C1E">
              <w:rPr>
                <w:b/>
                <w:sz w:val="20"/>
                <w:szCs w:val="20"/>
              </w:rPr>
              <w:t xml:space="preserve">Procureur général du Canada, Commission des libérations conditionnelles du Canada c. Benoît </w:t>
            </w:r>
            <w:proofErr w:type="spellStart"/>
            <w:r w:rsidRPr="008D6C1E">
              <w:rPr>
                <w:b/>
                <w:sz w:val="20"/>
                <w:szCs w:val="20"/>
              </w:rPr>
              <w:t>Way</w:t>
            </w:r>
            <w:proofErr w:type="spellEnd"/>
            <w:r w:rsidRPr="008D6C1E">
              <w:rPr>
                <w:b/>
                <w:sz w:val="20"/>
                <w:szCs w:val="20"/>
              </w:rPr>
              <w:t xml:space="preserve">, Maxime </w:t>
            </w:r>
            <w:proofErr w:type="spellStart"/>
            <w:r w:rsidRPr="008D6C1E">
              <w:rPr>
                <w:b/>
                <w:sz w:val="20"/>
                <w:szCs w:val="20"/>
              </w:rPr>
              <w:t>Gariépy</w:t>
            </w:r>
            <w:proofErr w:type="spellEnd"/>
          </w:p>
          <w:p w:rsidR="003E7D28" w:rsidRPr="008D6C1E" w:rsidRDefault="003E7D28" w:rsidP="003E7D28">
            <w:pPr>
              <w:jc w:val="both"/>
              <w:rPr>
                <w:sz w:val="20"/>
              </w:rPr>
            </w:pPr>
            <w:r w:rsidRPr="008D6C1E">
              <w:rPr>
                <w:sz w:val="20"/>
              </w:rPr>
              <w:t>(Qc) (</w:t>
            </w:r>
            <w:proofErr w:type="spellStart"/>
            <w:r w:rsidRPr="008D6C1E">
              <w:rPr>
                <w:sz w:val="20"/>
              </w:rPr>
              <w:t>Civile</w:t>
            </w:r>
            <w:proofErr w:type="spellEnd"/>
            <w:r w:rsidRPr="008D6C1E">
              <w:rPr>
                <w:sz w:val="20"/>
              </w:rPr>
              <w:t>) (</w:t>
            </w:r>
            <w:proofErr w:type="spellStart"/>
            <w:r w:rsidRPr="008D6C1E">
              <w:rPr>
                <w:sz w:val="20"/>
              </w:rPr>
              <w:t>Autorisation</w:t>
            </w:r>
            <w:proofErr w:type="spellEnd"/>
            <w:r w:rsidRPr="008D6C1E">
              <w:rPr>
                <w:sz w:val="20"/>
              </w:rPr>
              <w:t>)</w:t>
            </w:r>
          </w:p>
        </w:tc>
      </w:tr>
      <w:tr w:rsidR="003E7D28" w:rsidRPr="002C1A32" w:rsidTr="002B5CF4">
        <w:tc>
          <w:tcPr>
            <w:tcW w:w="5000" w:type="pct"/>
            <w:gridSpan w:val="4"/>
          </w:tcPr>
          <w:p w:rsidR="003E7D28" w:rsidRPr="002C1A32" w:rsidRDefault="003E7D28" w:rsidP="003E7D28">
            <w:pPr>
              <w:jc w:val="both"/>
              <w:rPr>
                <w:iCs/>
                <w:color w:val="000000"/>
                <w:sz w:val="20"/>
                <w:lang w:val="fr-CA"/>
              </w:rPr>
            </w:pPr>
            <w:r w:rsidRPr="002C1A32">
              <w:rPr>
                <w:i/>
                <w:iCs/>
                <w:color w:val="000000"/>
                <w:sz w:val="20"/>
                <w:lang w:val="fr-CA"/>
              </w:rPr>
              <w:t>Charte canadienne des droits et libertés</w:t>
            </w:r>
            <w:r w:rsidRPr="002C1A32">
              <w:rPr>
                <w:iCs/>
                <w:color w:val="000000"/>
                <w:sz w:val="20"/>
                <w:lang w:val="fr-CA"/>
              </w:rPr>
              <w:t xml:space="preserve"> </w:t>
            </w:r>
            <w:r w:rsidRPr="002C1A32">
              <w:rPr>
                <w:sz w:val="20"/>
                <w:lang w:val="fr-CA"/>
              </w:rPr>
              <w:t>—</w:t>
            </w:r>
            <w:r w:rsidRPr="002C1A32">
              <w:rPr>
                <w:iCs/>
                <w:color w:val="000000"/>
                <w:sz w:val="20"/>
                <w:lang w:val="fr-CA"/>
              </w:rPr>
              <w:t xml:space="preserve"> Droit constitutionnel </w:t>
            </w:r>
            <w:r w:rsidRPr="002C1A32">
              <w:rPr>
                <w:sz w:val="20"/>
                <w:lang w:val="fr-CA"/>
              </w:rPr>
              <w:t>—</w:t>
            </w:r>
            <w:r w:rsidRPr="002C1A32">
              <w:rPr>
                <w:iCs/>
                <w:color w:val="000000"/>
                <w:sz w:val="20"/>
                <w:lang w:val="fr-CA"/>
              </w:rPr>
              <w:t xml:space="preserve"> Vie, liberté et sécurité </w:t>
            </w:r>
            <w:r w:rsidRPr="002C1A32">
              <w:rPr>
                <w:sz w:val="20"/>
                <w:lang w:val="fr-CA"/>
              </w:rPr>
              <w:t>—</w:t>
            </w:r>
            <w:r w:rsidRPr="002C1A32">
              <w:rPr>
                <w:iCs/>
                <w:color w:val="000000"/>
                <w:sz w:val="20"/>
                <w:lang w:val="fr-CA"/>
              </w:rPr>
              <w:t xml:space="preserve"> Principes de justice fondamentale </w:t>
            </w:r>
            <w:r w:rsidRPr="002C1A32">
              <w:rPr>
                <w:sz w:val="20"/>
                <w:lang w:val="fr-CA"/>
              </w:rPr>
              <w:t>—</w:t>
            </w:r>
            <w:r w:rsidRPr="002C1A32">
              <w:rPr>
                <w:iCs/>
                <w:color w:val="000000"/>
                <w:sz w:val="20"/>
                <w:lang w:val="fr-CA"/>
              </w:rPr>
              <w:t xml:space="preserve"> Droit criminel </w:t>
            </w:r>
            <w:r w:rsidRPr="002C1A32">
              <w:rPr>
                <w:sz w:val="20"/>
                <w:lang w:val="fr-CA"/>
              </w:rPr>
              <w:t>—</w:t>
            </w:r>
            <w:r w:rsidRPr="002C1A32">
              <w:rPr>
                <w:iCs/>
                <w:color w:val="000000"/>
                <w:sz w:val="20"/>
                <w:lang w:val="fr-CA"/>
              </w:rPr>
              <w:t xml:space="preserve"> Libération conditionnelle </w:t>
            </w:r>
            <w:r w:rsidRPr="002C1A32">
              <w:rPr>
                <w:sz w:val="20"/>
                <w:lang w:val="fr-CA"/>
              </w:rPr>
              <w:t>—</w:t>
            </w:r>
            <w:r w:rsidRPr="002C1A32">
              <w:rPr>
                <w:iCs/>
                <w:color w:val="000000"/>
                <w:sz w:val="20"/>
                <w:lang w:val="fr-CA"/>
              </w:rPr>
              <w:t xml:space="preserve"> Jugement déclarant inopérant les amendements législatifs ayant pour objet de supprimer pour la Commission des libérations conditionnelles l’obligation de tenir une audience orale à la suite de la suspension, cessation ou révocation de la liberté conditionnelle ou d’office </w:t>
            </w:r>
            <w:r w:rsidRPr="002C1A32">
              <w:rPr>
                <w:sz w:val="20"/>
                <w:lang w:val="fr-CA"/>
              </w:rPr>
              <w:t>—</w:t>
            </w:r>
            <w:r w:rsidRPr="002C1A32">
              <w:rPr>
                <w:iCs/>
                <w:color w:val="000000"/>
                <w:sz w:val="20"/>
                <w:lang w:val="fr-CA"/>
              </w:rPr>
              <w:t xml:space="preserve"> La Cour d’appel a-t-elle erré en déclarant les amendements législatifs invalides? </w:t>
            </w:r>
            <w:r w:rsidRPr="002C1A32">
              <w:rPr>
                <w:sz w:val="20"/>
                <w:lang w:val="fr-CA"/>
              </w:rPr>
              <w:t>—</w:t>
            </w:r>
            <w:r w:rsidRPr="002C1A32">
              <w:rPr>
                <w:iCs/>
                <w:color w:val="000000"/>
                <w:sz w:val="20"/>
                <w:lang w:val="fr-CA"/>
              </w:rPr>
              <w:t xml:space="preserve"> La Cour d’appel a-t-elle imposé des limites à des principes de droit généraux déjà reconnus par cette Cour quant à l’octroi par voie législative d’un pouvoir discrétionnaire et reconnu un nouveau principe de justice fondamentale allant à l’encontre des enseignements </w:t>
            </w:r>
            <w:r w:rsidRPr="002C1A32">
              <w:rPr>
                <w:iCs/>
                <w:color w:val="000000"/>
                <w:sz w:val="20"/>
                <w:lang w:val="fr-CA"/>
              </w:rPr>
              <w:lastRenderedPageBreak/>
              <w:t xml:space="preserve">de cette Cour? </w:t>
            </w:r>
            <w:r w:rsidRPr="002C1A32">
              <w:rPr>
                <w:sz w:val="20"/>
                <w:lang w:val="fr-CA"/>
              </w:rPr>
              <w:t>—</w:t>
            </w:r>
            <w:r w:rsidRPr="002C1A32">
              <w:rPr>
                <w:iCs/>
                <w:color w:val="000000"/>
                <w:sz w:val="20"/>
                <w:lang w:val="fr-CA"/>
              </w:rPr>
              <w:t xml:space="preserve"> </w:t>
            </w:r>
            <w:r w:rsidRPr="002C1A32">
              <w:rPr>
                <w:i/>
                <w:iCs/>
                <w:color w:val="000000"/>
                <w:sz w:val="20"/>
                <w:lang w:val="fr-CA"/>
              </w:rPr>
              <w:t>Loi sur l’emploi, la croissance et la prospérité durable</w:t>
            </w:r>
            <w:r w:rsidRPr="002C1A32">
              <w:rPr>
                <w:iCs/>
                <w:color w:val="000000"/>
                <w:sz w:val="20"/>
                <w:lang w:val="fr-CA"/>
              </w:rPr>
              <w:t xml:space="preserve">, </w:t>
            </w:r>
            <w:r w:rsidRPr="002C1A32">
              <w:rPr>
                <w:sz w:val="20"/>
                <w:lang w:val="fr-CA"/>
              </w:rPr>
              <w:t xml:space="preserve">L.C. 2012, c. 19, art. 527 — </w:t>
            </w:r>
            <w:r w:rsidRPr="002C1A32">
              <w:rPr>
                <w:i/>
                <w:iCs/>
                <w:color w:val="000000"/>
                <w:sz w:val="20"/>
                <w:lang w:val="fr-CA"/>
              </w:rPr>
              <w:t>Loi sur le système correctionnel et la mise en liberté sous condition</w:t>
            </w:r>
            <w:r w:rsidRPr="002C1A32">
              <w:rPr>
                <w:iCs/>
                <w:color w:val="000000"/>
                <w:sz w:val="20"/>
                <w:lang w:val="fr-CA"/>
              </w:rPr>
              <w:t xml:space="preserve">, </w:t>
            </w:r>
            <w:r w:rsidRPr="002C1A32">
              <w:rPr>
                <w:sz w:val="20"/>
                <w:lang w:val="fr-CA"/>
              </w:rPr>
              <w:t xml:space="preserve">L.C. 1992, c. 20, </w:t>
            </w:r>
            <w:r w:rsidRPr="002C1A32">
              <w:rPr>
                <w:iCs/>
                <w:color w:val="000000"/>
                <w:sz w:val="20"/>
                <w:lang w:val="fr-CA"/>
              </w:rPr>
              <w:t>art. 140(1)</w:t>
            </w:r>
            <w:r w:rsidRPr="002C1A32">
              <w:rPr>
                <w:i/>
                <w:iCs/>
                <w:color w:val="000000"/>
                <w:sz w:val="20"/>
                <w:lang w:val="fr-CA"/>
              </w:rPr>
              <w:t>d)</w:t>
            </w:r>
            <w:r w:rsidRPr="002C1A32">
              <w:rPr>
                <w:iCs/>
                <w:color w:val="000000"/>
                <w:sz w:val="20"/>
                <w:lang w:val="fr-CA"/>
              </w:rPr>
              <w:t xml:space="preserve"> – </w:t>
            </w:r>
            <w:r w:rsidRPr="002C1A32">
              <w:rPr>
                <w:i/>
                <w:iCs/>
                <w:color w:val="000000"/>
                <w:sz w:val="20"/>
                <w:lang w:val="fr-CA"/>
              </w:rPr>
              <w:t>Charte canadienne des droits et libertés</w:t>
            </w:r>
            <w:r w:rsidRPr="002C1A32">
              <w:rPr>
                <w:iCs/>
                <w:color w:val="000000"/>
                <w:sz w:val="20"/>
                <w:lang w:val="fr-CA"/>
              </w:rPr>
              <w:t>, art. 7</w:t>
            </w:r>
          </w:p>
        </w:tc>
      </w:tr>
      <w:tr w:rsidR="003E7D28" w:rsidRPr="002C1A32" w:rsidTr="002B5CF4">
        <w:tc>
          <w:tcPr>
            <w:tcW w:w="5000" w:type="pct"/>
            <w:gridSpan w:val="4"/>
          </w:tcPr>
          <w:p w:rsidR="003E7D28" w:rsidRPr="002C1A32" w:rsidRDefault="003E7D28" w:rsidP="003E7D28">
            <w:pPr>
              <w:pStyle w:val="SCCBanSummary"/>
              <w:rPr>
                <w:sz w:val="20"/>
                <w:szCs w:val="20"/>
                <w:lang w:val="fr-CA"/>
              </w:rPr>
            </w:pPr>
          </w:p>
        </w:tc>
      </w:tr>
      <w:tr w:rsidR="003E7D28" w:rsidRPr="002C1A32" w:rsidTr="002B5CF4">
        <w:tc>
          <w:tcPr>
            <w:tcW w:w="5000" w:type="pct"/>
            <w:gridSpan w:val="4"/>
          </w:tcPr>
          <w:p w:rsidR="003E7D28" w:rsidRPr="002C1A32" w:rsidRDefault="003E7D28" w:rsidP="003E7D28">
            <w:pPr>
              <w:jc w:val="both"/>
              <w:rPr>
                <w:sz w:val="20"/>
                <w:lang w:val="fr-CA"/>
              </w:rPr>
            </w:pPr>
            <w:r w:rsidRPr="002C1A32">
              <w:rPr>
                <w:sz w:val="20"/>
                <w:lang w:val="fr-CA"/>
              </w:rPr>
              <w:t xml:space="preserve">En 2012, le Parlement du Canada adopte la </w:t>
            </w:r>
            <w:r w:rsidRPr="002C1A32">
              <w:rPr>
                <w:i/>
                <w:iCs/>
                <w:sz w:val="20"/>
                <w:lang w:val="fr-CA"/>
              </w:rPr>
              <w:t>Loi sur l’emploi, la croissance et la prospérité durable</w:t>
            </w:r>
            <w:r w:rsidRPr="002C1A32">
              <w:rPr>
                <w:sz w:val="20"/>
                <w:lang w:val="fr-CA"/>
              </w:rPr>
              <w:t>, L.C. 2012, c. 19. L’art. 527 de cette loi modifie l’</w:t>
            </w:r>
            <w:hyperlink r:id="rId94" w:anchor="art140_smooth" w:history="1">
              <w:r w:rsidRPr="002C1A32">
                <w:rPr>
                  <w:sz w:val="20"/>
                  <w:lang w:val="fr-CA"/>
                </w:rPr>
                <w:t>art. 140</w:t>
              </w:r>
            </w:hyperlink>
            <w:r w:rsidRPr="002C1A32">
              <w:rPr>
                <w:sz w:val="20"/>
                <w:lang w:val="fr-CA"/>
              </w:rPr>
              <w:t xml:space="preserve"> de la </w:t>
            </w:r>
            <w:r w:rsidRPr="002C1A32">
              <w:rPr>
                <w:i/>
                <w:iCs/>
                <w:sz w:val="20"/>
                <w:lang w:val="fr-CA"/>
              </w:rPr>
              <w:t>Loi sur le système correctionnel et la mise en liberté sous condition</w:t>
            </w:r>
            <w:r w:rsidRPr="002C1A32">
              <w:rPr>
                <w:iCs/>
                <w:sz w:val="20"/>
                <w:lang w:val="fr-CA"/>
              </w:rPr>
              <w:t xml:space="preserve">, </w:t>
            </w:r>
            <w:r w:rsidRPr="002C1A32">
              <w:rPr>
                <w:sz w:val="20"/>
                <w:lang w:val="fr-CA"/>
              </w:rPr>
              <w:t>L.C. 1992, c. 20 (« </w:t>
            </w:r>
            <w:r w:rsidRPr="002C1A32">
              <w:rPr>
                <w:iCs/>
                <w:sz w:val="20"/>
                <w:lang w:val="fr-CA"/>
              </w:rPr>
              <w:t>Loi </w:t>
            </w:r>
            <w:r w:rsidRPr="002C1A32">
              <w:rPr>
                <w:sz w:val="20"/>
                <w:lang w:val="fr-CA"/>
              </w:rPr>
              <w:t>»). Cette modification a pour effet d’abolir l’audience orale obligatoire que tient la Commission des libérations conditionnelles du Canada (« Commission ») à l’égard des examens qui suivent la suspension, la cessation ou la révocation de la liberté conditionnelle ou d’office. Le nouvel alinéa 140(1)</w:t>
            </w:r>
            <w:r w:rsidRPr="002C1A32">
              <w:rPr>
                <w:i/>
                <w:iCs/>
                <w:sz w:val="20"/>
                <w:lang w:val="fr-CA"/>
              </w:rPr>
              <w:t>d)</w:t>
            </w:r>
            <w:r w:rsidRPr="002C1A32">
              <w:rPr>
                <w:sz w:val="20"/>
                <w:lang w:val="fr-CA"/>
              </w:rPr>
              <w:t xml:space="preserve"> de la Loi limite le droit à telle audience au seul cas d’annulation de la libération conditionnelle. La Commission a toutefois la discrétion de tenir une audience en personne dans les autres cas non visés au paragraphe (1).</w:t>
            </w:r>
          </w:p>
          <w:p w:rsidR="003E7D28" w:rsidRPr="002C1A32" w:rsidRDefault="003E7D28" w:rsidP="003E7D28">
            <w:pPr>
              <w:jc w:val="both"/>
              <w:rPr>
                <w:sz w:val="20"/>
                <w:lang w:val="fr-CA"/>
              </w:rPr>
            </w:pPr>
          </w:p>
          <w:p w:rsidR="003E7D28" w:rsidRPr="002C1A32" w:rsidRDefault="003E7D28" w:rsidP="003E7D28">
            <w:pPr>
              <w:jc w:val="both"/>
              <w:rPr>
                <w:sz w:val="20"/>
                <w:lang w:val="fr-CA"/>
              </w:rPr>
            </w:pPr>
            <w:r w:rsidRPr="002C1A32">
              <w:rPr>
                <w:sz w:val="20"/>
                <w:lang w:val="fr-CA"/>
              </w:rPr>
              <w:t>Avant l’entrée en vigueur de la modification en cause, l’alinéa 140(1)</w:t>
            </w:r>
            <w:r w:rsidRPr="002C1A32">
              <w:rPr>
                <w:i/>
                <w:iCs/>
                <w:sz w:val="20"/>
                <w:lang w:val="fr-CA"/>
              </w:rPr>
              <w:t>d)</w:t>
            </w:r>
            <w:r w:rsidRPr="002C1A32">
              <w:rPr>
                <w:sz w:val="20"/>
                <w:lang w:val="fr-CA"/>
              </w:rPr>
              <w:t xml:space="preserve"> prévoyait une audience obligatoire en cas de suspension, de cessation ou de révocation de la liberté conditionnelle, sauf si le délinquant renonçait par écrit à son droit à une audience ou refusait d’être présent.</w:t>
            </w:r>
          </w:p>
          <w:p w:rsidR="003E7D28" w:rsidRPr="002C1A32" w:rsidRDefault="003E7D28" w:rsidP="003E7D28">
            <w:pPr>
              <w:jc w:val="both"/>
              <w:rPr>
                <w:sz w:val="20"/>
                <w:lang w:val="fr-CA"/>
              </w:rPr>
            </w:pPr>
          </w:p>
          <w:p w:rsidR="003E7D28" w:rsidRPr="002C1A32" w:rsidRDefault="003E7D28" w:rsidP="003E7D28">
            <w:pPr>
              <w:pStyle w:val="SCCBanSummary"/>
              <w:rPr>
                <w:sz w:val="20"/>
                <w:szCs w:val="20"/>
                <w:lang w:val="fr-CA"/>
              </w:rPr>
            </w:pPr>
            <w:r w:rsidRPr="002C1A32">
              <w:rPr>
                <w:smallCaps w:val="0"/>
                <w:sz w:val="20"/>
                <w:szCs w:val="20"/>
                <w:lang w:val="fr-CA"/>
              </w:rPr>
              <w:t xml:space="preserve">La Commission a révoqué la semi-liberté conditionnelle de Benoît </w:t>
            </w:r>
            <w:proofErr w:type="spellStart"/>
            <w:r w:rsidRPr="002C1A32">
              <w:rPr>
                <w:smallCaps w:val="0"/>
                <w:sz w:val="20"/>
                <w:szCs w:val="20"/>
                <w:lang w:val="fr-CA"/>
              </w:rPr>
              <w:t>Way</w:t>
            </w:r>
            <w:proofErr w:type="spellEnd"/>
            <w:r w:rsidRPr="002C1A32">
              <w:rPr>
                <w:smallCaps w:val="0"/>
                <w:sz w:val="20"/>
                <w:szCs w:val="20"/>
                <w:lang w:val="fr-CA"/>
              </w:rPr>
              <w:t xml:space="preserve"> et la libération conditionnelle de  Maxime </w:t>
            </w:r>
            <w:proofErr w:type="spellStart"/>
            <w:r w:rsidRPr="002C1A32">
              <w:rPr>
                <w:smallCaps w:val="0"/>
                <w:sz w:val="20"/>
                <w:szCs w:val="20"/>
                <w:lang w:val="fr-CA"/>
              </w:rPr>
              <w:t>Gariépy</w:t>
            </w:r>
            <w:proofErr w:type="spellEnd"/>
            <w:r w:rsidRPr="002C1A32">
              <w:rPr>
                <w:smallCaps w:val="0"/>
                <w:sz w:val="20"/>
                <w:szCs w:val="20"/>
                <w:lang w:val="fr-CA"/>
              </w:rPr>
              <w:t xml:space="preserve"> (« intimés »). Dans les deux cas, les décisions ont été prises sur étude des dossiers respectifs et des représentations écrites, sans tenir une audience. Les intimés ont déposé des demandes en </w:t>
            </w:r>
            <w:r w:rsidRPr="002C1A32">
              <w:rPr>
                <w:i/>
                <w:iCs/>
                <w:smallCaps w:val="0"/>
                <w:sz w:val="20"/>
                <w:szCs w:val="20"/>
                <w:lang w:val="fr-CA"/>
              </w:rPr>
              <w:t>habeas corpus</w:t>
            </w:r>
            <w:r w:rsidRPr="002C1A32">
              <w:rPr>
                <w:smallCaps w:val="0"/>
                <w:sz w:val="20"/>
                <w:szCs w:val="20"/>
                <w:lang w:val="fr-CA"/>
              </w:rPr>
              <w:t xml:space="preserve"> à la Cour supérieure et ont cherché un jugement déclaratoire fondé, entre autres, sur l’art. 7 de la </w:t>
            </w:r>
            <w:r w:rsidRPr="002C1A32">
              <w:rPr>
                <w:i/>
                <w:smallCaps w:val="0"/>
                <w:sz w:val="20"/>
                <w:szCs w:val="20"/>
                <w:lang w:val="fr-CA"/>
              </w:rPr>
              <w:t>Charte canadienne des droits et libertés</w:t>
            </w:r>
            <w:r w:rsidRPr="002C1A32">
              <w:rPr>
                <w:smallCaps w:val="0"/>
                <w:sz w:val="20"/>
                <w:szCs w:val="20"/>
                <w:lang w:val="fr-CA"/>
              </w:rPr>
              <w:t>.</w:t>
            </w:r>
            <w:r w:rsidRPr="002C1A32">
              <w:rPr>
                <w:sz w:val="20"/>
                <w:szCs w:val="20"/>
                <w:lang w:val="fr-CA"/>
              </w:rPr>
              <w:t xml:space="preserve">    </w:t>
            </w:r>
          </w:p>
        </w:tc>
      </w:tr>
      <w:tr w:rsidR="003E7D28" w:rsidRPr="002C1A32" w:rsidTr="002B5CF4">
        <w:tc>
          <w:tcPr>
            <w:tcW w:w="5000" w:type="pct"/>
            <w:gridSpan w:val="4"/>
          </w:tcPr>
          <w:p w:rsidR="003E7D28" w:rsidRPr="002C1A32" w:rsidRDefault="003E7D28" w:rsidP="003E7D28">
            <w:pPr>
              <w:jc w:val="both"/>
              <w:rPr>
                <w:sz w:val="20"/>
                <w:lang w:val="fr-CA"/>
              </w:rPr>
            </w:pPr>
          </w:p>
        </w:tc>
      </w:tr>
      <w:tr w:rsidR="003E7D28" w:rsidRPr="002C1A32" w:rsidTr="002B5CF4">
        <w:tblPrEx>
          <w:tblCellMar>
            <w:bottom w:w="0" w:type="dxa"/>
          </w:tblCellMar>
        </w:tblPrEx>
        <w:tc>
          <w:tcPr>
            <w:tcW w:w="2390" w:type="pct"/>
            <w:gridSpan w:val="2"/>
          </w:tcPr>
          <w:p w:rsidR="003E7D28" w:rsidRPr="002C1A32" w:rsidRDefault="003E7D28" w:rsidP="003E7D28">
            <w:pPr>
              <w:jc w:val="both"/>
              <w:rPr>
                <w:sz w:val="20"/>
                <w:lang w:val="fr-CA"/>
              </w:rPr>
            </w:pPr>
            <w:r w:rsidRPr="002C1A32">
              <w:rPr>
                <w:sz w:val="20"/>
                <w:lang w:val="fr-CA"/>
              </w:rPr>
              <w:t>Le 26 août 2014</w:t>
            </w:r>
          </w:p>
          <w:p w:rsidR="003E7D28" w:rsidRPr="002C1A32" w:rsidRDefault="003E7D28" w:rsidP="003E7D28">
            <w:pPr>
              <w:jc w:val="both"/>
              <w:rPr>
                <w:sz w:val="20"/>
                <w:lang w:val="fr-CA"/>
              </w:rPr>
            </w:pPr>
            <w:r w:rsidRPr="002C1A32">
              <w:rPr>
                <w:sz w:val="20"/>
                <w:lang w:val="fr-CA"/>
              </w:rPr>
              <w:t>Cour supérieure du Québec</w:t>
            </w:r>
          </w:p>
          <w:p w:rsidR="003E7D28" w:rsidRPr="002C1A32" w:rsidRDefault="003E7D28" w:rsidP="003E7D28">
            <w:pPr>
              <w:jc w:val="both"/>
              <w:rPr>
                <w:sz w:val="20"/>
                <w:lang w:val="fr-CA"/>
              </w:rPr>
            </w:pPr>
            <w:r w:rsidRPr="002C1A32">
              <w:rPr>
                <w:sz w:val="20"/>
                <w:lang w:val="fr-CA"/>
              </w:rPr>
              <w:t>(La juge St-Gelais)</w:t>
            </w:r>
          </w:p>
          <w:p w:rsidR="003E7D28" w:rsidRPr="002C1A32" w:rsidRDefault="005E6DC4" w:rsidP="003E7D28">
            <w:pPr>
              <w:jc w:val="both"/>
              <w:rPr>
                <w:sz w:val="20"/>
                <w:lang w:val="fr-CA"/>
              </w:rPr>
            </w:pPr>
            <w:hyperlink r:id="rId95" w:history="1">
              <w:r w:rsidR="003E7D28" w:rsidRPr="002C1A32">
                <w:rPr>
                  <w:rStyle w:val="Hyperlink"/>
                  <w:sz w:val="20"/>
                  <w:lang w:val="fr-CA"/>
                </w:rPr>
                <w:t>2014 QCCS 4193</w:t>
              </w:r>
            </w:hyperlink>
          </w:p>
        </w:tc>
        <w:tc>
          <w:tcPr>
            <w:tcW w:w="270" w:type="pct"/>
          </w:tcPr>
          <w:p w:rsidR="003E7D28" w:rsidRPr="002C1A32" w:rsidRDefault="003E7D28" w:rsidP="003E7D28">
            <w:pPr>
              <w:jc w:val="both"/>
              <w:rPr>
                <w:sz w:val="20"/>
                <w:lang w:val="fr-CA"/>
              </w:rPr>
            </w:pPr>
          </w:p>
        </w:tc>
        <w:tc>
          <w:tcPr>
            <w:tcW w:w="2340" w:type="pct"/>
          </w:tcPr>
          <w:p w:rsidR="003E7D28" w:rsidRPr="002C1A32" w:rsidRDefault="003E7D28" w:rsidP="003E7D28">
            <w:pPr>
              <w:jc w:val="both"/>
              <w:rPr>
                <w:iCs/>
                <w:sz w:val="20"/>
                <w:lang w:val="fr-CA"/>
              </w:rPr>
            </w:pPr>
            <w:r w:rsidRPr="002C1A32">
              <w:rPr>
                <w:sz w:val="20"/>
                <w:lang w:val="fr-CA"/>
              </w:rPr>
              <w:t>Requête accueillie, l’</w:t>
            </w:r>
            <w:hyperlink r:id="rId96" w:anchor="art527_smooth" w:history="1">
              <w:r w:rsidRPr="002C1A32">
                <w:rPr>
                  <w:sz w:val="20"/>
                  <w:lang w:val="fr-CA"/>
                </w:rPr>
                <w:t>art. 527</w:t>
              </w:r>
            </w:hyperlink>
            <w:r w:rsidRPr="002C1A32">
              <w:rPr>
                <w:sz w:val="20"/>
                <w:lang w:val="fr-CA"/>
              </w:rPr>
              <w:t xml:space="preserve"> de la </w:t>
            </w:r>
            <w:r w:rsidRPr="002C1A32">
              <w:rPr>
                <w:i/>
                <w:iCs/>
                <w:sz w:val="20"/>
                <w:lang w:val="fr-CA"/>
              </w:rPr>
              <w:t xml:space="preserve">Loi sur l’emploi, la croissance et la prospérité durable </w:t>
            </w:r>
            <w:r w:rsidRPr="002C1A32">
              <w:rPr>
                <w:sz w:val="20"/>
                <w:lang w:val="fr-CA"/>
              </w:rPr>
              <w:t>et l’alinéa 140(1)</w:t>
            </w:r>
            <w:r w:rsidRPr="002C1A32">
              <w:rPr>
                <w:i/>
                <w:iCs/>
                <w:sz w:val="20"/>
                <w:lang w:val="fr-CA"/>
              </w:rPr>
              <w:t>d)</w:t>
            </w:r>
            <w:r w:rsidRPr="002C1A32">
              <w:rPr>
                <w:sz w:val="20"/>
                <w:lang w:val="fr-CA"/>
              </w:rPr>
              <w:t xml:space="preserve"> de la </w:t>
            </w:r>
            <w:r w:rsidRPr="002C1A32">
              <w:rPr>
                <w:i/>
                <w:iCs/>
                <w:sz w:val="20"/>
                <w:lang w:val="fr-CA"/>
              </w:rPr>
              <w:t xml:space="preserve">Loi sur le système correctionnel et la mise en liberté sous condition </w:t>
            </w:r>
            <w:r w:rsidRPr="002C1A32">
              <w:rPr>
                <w:iCs/>
                <w:sz w:val="20"/>
                <w:lang w:val="fr-CA"/>
              </w:rPr>
              <w:t xml:space="preserve">déclarés inopérants </w:t>
            </w:r>
          </w:p>
          <w:p w:rsidR="003E7D28" w:rsidRPr="002C1A32" w:rsidRDefault="003E7D28" w:rsidP="003E7D28">
            <w:pPr>
              <w:jc w:val="both"/>
              <w:rPr>
                <w:sz w:val="20"/>
                <w:lang w:val="fr-CA"/>
              </w:rPr>
            </w:pPr>
          </w:p>
        </w:tc>
      </w:tr>
      <w:tr w:rsidR="003E7D28" w:rsidRPr="008D6C1E" w:rsidTr="002B5CF4">
        <w:tblPrEx>
          <w:tblCellMar>
            <w:bottom w:w="0" w:type="dxa"/>
          </w:tblCellMar>
        </w:tblPrEx>
        <w:tc>
          <w:tcPr>
            <w:tcW w:w="2390" w:type="pct"/>
            <w:gridSpan w:val="2"/>
          </w:tcPr>
          <w:p w:rsidR="003E7D28" w:rsidRPr="002C1A32" w:rsidRDefault="003E7D28" w:rsidP="003E7D28">
            <w:pPr>
              <w:jc w:val="both"/>
              <w:rPr>
                <w:sz w:val="20"/>
                <w:lang w:val="fr-CA"/>
              </w:rPr>
            </w:pPr>
            <w:r w:rsidRPr="002C1A32">
              <w:rPr>
                <w:sz w:val="20"/>
                <w:lang w:val="fr-CA"/>
              </w:rPr>
              <w:t>Le 1 octobre 2015</w:t>
            </w:r>
          </w:p>
          <w:p w:rsidR="003E7D28" w:rsidRPr="002C1A32" w:rsidRDefault="003E7D28" w:rsidP="003E7D28">
            <w:pPr>
              <w:jc w:val="both"/>
              <w:rPr>
                <w:sz w:val="20"/>
                <w:lang w:val="fr-CA"/>
              </w:rPr>
            </w:pPr>
            <w:r w:rsidRPr="002C1A32">
              <w:rPr>
                <w:sz w:val="20"/>
                <w:lang w:val="fr-CA"/>
              </w:rPr>
              <w:t>Cour d’appel du Québec (Montréal)</w:t>
            </w:r>
          </w:p>
          <w:p w:rsidR="003E7D28" w:rsidRPr="002C1A32" w:rsidRDefault="003E7D28" w:rsidP="003E7D28">
            <w:pPr>
              <w:jc w:val="both"/>
              <w:rPr>
                <w:sz w:val="20"/>
                <w:lang w:val="fr-CA"/>
              </w:rPr>
            </w:pPr>
            <w:r w:rsidRPr="002C1A32">
              <w:rPr>
                <w:sz w:val="20"/>
                <w:lang w:val="fr-CA"/>
              </w:rPr>
              <w:t xml:space="preserve">(Les juges Bouchard, Lévesque et </w:t>
            </w:r>
            <w:proofErr w:type="spellStart"/>
            <w:r w:rsidRPr="002C1A32">
              <w:rPr>
                <w:sz w:val="20"/>
                <w:lang w:val="fr-CA"/>
              </w:rPr>
              <w:t>Vauclair</w:t>
            </w:r>
            <w:proofErr w:type="spellEnd"/>
            <w:r w:rsidRPr="002C1A32">
              <w:rPr>
                <w:sz w:val="20"/>
                <w:lang w:val="fr-CA"/>
              </w:rPr>
              <w:t>)</w:t>
            </w:r>
          </w:p>
          <w:p w:rsidR="003E7D28" w:rsidRPr="008D6C1E" w:rsidRDefault="005E6DC4" w:rsidP="003E7D28">
            <w:pPr>
              <w:jc w:val="both"/>
              <w:rPr>
                <w:sz w:val="20"/>
              </w:rPr>
            </w:pPr>
            <w:hyperlink r:id="rId97" w:history="1">
              <w:r w:rsidR="003E7D28" w:rsidRPr="008D6C1E">
                <w:rPr>
                  <w:rStyle w:val="Hyperlink"/>
                  <w:sz w:val="20"/>
                </w:rPr>
                <w:t>2015 QCCA 1576</w:t>
              </w:r>
            </w:hyperlink>
          </w:p>
          <w:p w:rsidR="003E7D28" w:rsidRPr="008D6C1E" w:rsidRDefault="003E7D28" w:rsidP="003E7D28">
            <w:pPr>
              <w:jc w:val="both"/>
              <w:rPr>
                <w:sz w:val="20"/>
              </w:rPr>
            </w:pPr>
          </w:p>
        </w:tc>
        <w:tc>
          <w:tcPr>
            <w:tcW w:w="270" w:type="pct"/>
          </w:tcPr>
          <w:p w:rsidR="003E7D28" w:rsidRPr="008D6C1E" w:rsidRDefault="003E7D28" w:rsidP="003E7D28">
            <w:pPr>
              <w:jc w:val="both"/>
              <w:rPr>
                <w:sz w:val="20"/>
              </w:rPr>
            </w:pPr>
          </w:p>
        </w:tc>
        <w:tc>
          <w:tcPr>
            <w:tcW w:w="2340" w:type="pct"/>
          </w:tcPr>
          <w:p w:rsidR="003E7D28" w:rsidRPr="008D6C1E" w:rsidRDefault="003E7D28" w:rsidP="003E7D28">
            <w:pPr>
              <w:jc w:val="both"/>
              <w:rPr>
                <w:sz w:val="20"/>
              </w:rPr>
            </w:pPr>
            <w:r w:rsidRPr="008D6C1E">
              <w:rPr>
                <w:sz w:val="20"/>
              </w:rPr>
              <w:t>Appel rejeté</w:t>
            </w:r>
          </w:p>
          <w:p w:rsidR="003E7D28" w:rsidRPr="008D6C1E" w:rsidRDefault="003E7D28" w:rsidP="003E7D28">
            <w:pPr>
              <w:jc w:val="both"/>
              <w:rPr>
                <w:sz w:val="20"/>
              </w:rPr>
            </w:pPr>
          </w:p>
        </w:tc>
      </w:tr>
      <w:tr w:rsidR="003E7D28" w:rsidRPr="008D6C1E" w:rsidTr="002B5CF4">
        <w:tblPrEx>
          <w:tblCellMar>
            <w:bottom w:w="0" w:type="dxa"/>
          </w:tblCellMar>
        </w:tblPrEx>
        <w:tc>
          <w:tcPr>
            <w:tcW w:w="2390" w:type="pct"/>
            <w:gridSpan w:val="2"/>
          </w:tcPr>
          <w:p w:rsidR="003E7D28" w:rsidRPr="002C1A32" w:rsidRDefault="003E7D28" w:rsidP="003E7D28">
            <w:pPr>
              <w:jc w:val="both"/>
              <w:rPr>
                <w:sz w:val="20"/>
                <w:lang w:val="fr-CA"/>
              </w:rPr>
            </w:pPr>
            <w:r w:rsidRPr="002C1A32">
              <w:rPr>
                <w:sz w:val="20"/>
                <w:lang w:val="fr-CA"/>
              </w:rPr>
              <w:t>Le 30 novembre 2015</w:t>
            </w:r>
          </w:p>
          <w:p w:rsidR="003E7D28" w:rsidRPr="002C1A32" w:rsidRDefault="003E7D28" w:rsidP="003E7D28">
            <w:pPr>
              <w:jc w:val="both"/>
              <w:rPr>
                <w:sz w:val="20"/>
                <w:lang w:val="fr-CA"/>
              </w:rPr>
            </w:pPr>
            <w:r w:rsidRPr="002C1A32">
              <w:rPr>
                <w:sz w:val="20"/>
                <w:lang w:val="fr-CA"/>
              </w:rPr>
              <w:t>Cour suprême du Canada</w:t>
            </w:r>
          </w:p>
        </w:tc>
        <w:tc>
          <w:tcPr>
            <w:tcW w:w="270" w:type="pct"/>
          </w:tcPr>
          <w:p w:rsidR="003E7D28" w:rsidRPr="002C1A32" w:rsidRDefault="003E7D28" w:rsidP="003E7D28">
            <w:pPr>
              <w:jc w:val="both"/>
              <w:rPr>
                <w:sz w:val="20"/>
                <w:lang w:val="fr-CA"/>
              </w:rPr>
            </w:pPr>
          </w:p>
        </w:tc>
        <w:tc>
          <w:tcPr>
            <w:tcW w:w="2340" w:type="pct"/>
          </w:tcPr>
          <w:p w:rsidR="003E7D28" w:rsidRPr="008D6C1E" w:rsidRDefault="003E7D28" w:rsidP="003E7D28">
            <w:pPr>
              <w:jc w:val="both"/>
              <w:rPr>
                <w:sz w:val="20"/>
              </w:rPr>
            </w:pPr>
            <w:proofErr w:type="spellStart"/>
            <w:r w:rsidRPr="008D6C1E">
              <w:rPr>
                <w:sz w:val="20"/>
              </w:rPr>
              <w:t>Demande</w:t>
            </w:r>
            <w:proofErr w:type="spellEnd"/>
            <w:r w:rsidRPr="008D6C1E">
              <w:rPr>
                <w:sz w:val="20"/>
              </w:rPr>
              <w:t xml:space="preserve"> </w:t>
            </w:r>
            <w:proofErr w:type="spellStart"/>
            <w:r w:rsidRPr="008D6C1E">
              <w:rPr>
                <w:sz w:val="20"/>
              </w:rPr>
              <w:t>d’autorisation</w:t>
            </w:r>
            <w:proofErr w:type="spellEnd"/>
            <w:r w:rsidRPr="008D6C1E">
              <w:rPr>
                <w:sz w:val="20"/>
              </w:rPr>
              <w:t xml:space="preserve"> </w:t>
            </w:r>
            <w:proofErr w:type="spellStart"/>
            <w:r w:rsidRPr="008D6C1E">
              <w:rPr>
                <w:sz w:val="20"/>
              </w:rPr>
              <w:t>d’appel</w:t>
            </w:r>
            <w:proofErr w:type="spellEnd"/>
            <w:r w:rsidRPr="008D6C1E">
              <w:rPr>
                <w:sz w:val="20"/>
              </w:rPr>
              <w:t xml:space="preserve"> </w:t>
            </w:r>
            <w:proofErr w:type="spellStart"/>
            <w:r w:rsidRPr="008D6C1E">
              <w:rPr>
                <w:sz w:val="20"/>
              </w:rPr>
              <w:t>déposée</w:t>
            </w:r>
            <w:proofErr w:type="spellEnd"/>
          </w:p>
          <w:p w:rsidR="003E7D28" w:rsidRPr="008D6C1E" w:rsidRDefault="003E7D28" w:rsidP="003E7D28">
            <w:pPr>
              <w:jc w:val="both"/>
              <w:rPr>
                <w:sz w:val="20"/>
              </w:rPr>
            </w:pPr>
          </w:p>
        </w:tc>
      </w:tr>
    </w:tbl>
    <w:p w:rsidR="003E7D28" w:rsidRDefault="003E7D28" w:rsidP="003E7D28">
      <w:pPr>
        <w:jc w:val="both"/>
        <w:rPr>
          <w:sz w:val="20"/>
        </w:rPr>
      </w:pPr>
    </w:p>
    <w:p w:rsidR="002C1A32" w:rsidRDefault="002C1A32" w:rsidP="003E7D2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12B07" w:rsidTr="00F60BB1">
        <w:tc>
          <w:tcPr>
            <w:tcW w:w="543" w:type="pct"/>
          </w:tcPr>
          <w:p w:rsidR="00C12B07" w:rsidRPr="00C12B07" w:rsidRDefault="00C12B07" w:rsidP="00F60BB1">
            <w:pPr>
              <w:rPr>
                <w:sz w:val="20"/>
              </w:rPr>
            </w:pPr>
            <w:r w:rsidRPr="00C12B07">
              <w:rPr>
                <w:rStyle w:val="SCCFileNumberChar"/>
                <w:sz w:val="20"/>
                <w:szCs w:val="20"/>
              </w:rPr>
              <w:t>36599</w:t>
            </w:r>
          </w:p>
        </w:tc>
        <w:tc>
          <w:tcPr>
            <w:tcW w:w="4457" w:type="pct"/>
            <w:gridSpan w:val="3"/>
          </w:tcPr>
          <w:p w:rsidR="00C12B07" w:rsidRPr="00C12B07" w:rsidRDefault="00C12B07" w:rsidP="00C12B07">
            <w:pPr>
              <w:pStyle w:val="SCCLsocParty"/>
              <w:jc w:val="left"/>
              <w:rPr>
                <w:b/>
                <w:sz w:val="20"/>
                <w:szCs w:val="20"/>
                <w:lang w:val="en-US"/>
              </w:rPr>
            </w:pPr>
            <w:r w:rsidRPr="00C12B07">
              <w:rPr>
                <w:b/>
                <w:sz w:val="20"/>
                <w:szCs w:val="20"/>
                <w:lang w:val="en-US"/>
              </w:rPr>
              <w:t xml:space="preserve">Prakash </w:t>
            </w:r>
            <w:proofErr w:type="spellStart"/>
            <w:r w:rsidRPr="00C12B07">
              <w:rPr>
                <w:b/>
                <w:sz w:val="20"/>
                <w:szCs w:val="20"/>
                <w:lang w:val="en-US"/>
              </w:rPr>
              <w:t>Sapra</w:t>
            </w:r>
            <w:proofErr w:type="spellEnd"/>
            <w:r w:rsidRPr="00C12B07">
              <w:rPr>
                <w:b/>
                <w:sz w:val="20"/>
                <w:szCs w:val="20"/>
                <w:lang w:val="en-US"/>
              </w:rPr>
              <w:t xml:space="preserve"> v. Her Majesty the Queen</w:t>
            </w:r>
          </w:p>
          <w:p w:rsidR="00C12B07" w:rsidRPr="00C12B07" w:rsidRDefault="00C12B07" w:rsidP="00F60BB1">
            <w:pPr>
              <w:rPr>
                <w:sz w:val="20"/>
              </w:rPr>
            </w:pPr>
            <w:r w:rsidRPr="00C12B07">
              <w:rPr>
                <w:sz w:val="20"/>
              </w:rPr>
              <w:t>(Ont.) (Criminal) (By Leave)</w:t>
            </w:r>
          </w:p>
        </w:tc>
      </w:tr>
      <w:tr w:rsidR="00C12B07" w:rsidTr="00F60BB1">
        <w:tc>
          <w:tcPr>
            <w:tcW w:w="5000" w:type="pct"/>
            <w:gridSpan w:val="4"/>
          </w:tcPr>
          <w:p w:rsidR="00C12B07" w:rsidRPr="00C12B07" w:rsidRDefault="00C12B07" w:rsidP="00F60BB1">
            <w:pPr>
              <w:rPr>
                <w:sz w:val="20"/>
              </w:rPr>
            </w:pPr>
            <w:r w:rsidRPr="00C12B07">
              <w:rPr>
                <w:sz w:val="20"/>
              </w:rPr>
              <w:t>Criminal law – Offences – Evidence - Criminal harassment – Breach of s. 810 recognizance – Whether the trial judge erred in finding the witnesses’  credible – Whether the verdicts were reasonable?</w:t>
            </w:r>
          </w:p>
        </w:tc>
      </w:tr>
      <w:tr w:rsidR="00C12B07" w:rsidTr="00F60BB1">
        <w:tc>
          <w:tcPr>
            <w:tcW w:w="5000" w:type="pct"/>
            <w:gridSpan w:val="4"/>
          </w:tcPr>
          <w:p w:rsidR="00C12B07" w:rsidRPr="00C12B07" w:rsidRDefault="00C12B07" w:rsidP="00F60BB1">
            <w:pPr>
              <w:rPr>
                <w:sz w:val="20"/>
              </w:rPr>
            </w:pPr>
          </w:p>
        </w:tc>
      </w:tr>
      <w:tr w:rsidR="00C12B07" w:rsidTr="00F60BB1">
        <w:tc>
          <w:tcPr>
            <w:tcW w:w="5000" w:type="pct"/>
            <w:gridSpan w:val="4"/>
          </w:tcPr>
          <w:p w:rsidR="00C12B07" w:rsidRPr="00C12B07" w:rsidRDefault="00C12B07" w:rsidP="00F60BB1">
            <w:pPr>
              <w:rPr>
                <w:sz w:val="20"/>
              </w:rPr>
            </w:pPr>
            <w:r w:rsidRPr="00C12B07">
              <w:rPr>
                <w:sz w:val="20"/>
              </w:rPr>
              <w:t>The Applicant was charged with criminal harassment contrary to s. 264(2</w:t>
            </w:r>
            <w:proofErr w:type="gramStart"/>
            <w:r w:rsidRPr="00C12B07">
              <w:rPr>
                <w:sz w:val="20"/>
              </w:rPr>
              <w:t>)(</w:t>
            </w:r>
            <w:proofErr w:type="gramEnd"/>
            <w:r w:rsidRPr="00C12B07">
              <w:rPr>
                <w:sz w:val="20"/>
              </w:rPr>
              <w:t xml:space="preserve">c) of the </w:t>
            </w:r>
            <w:r w:rsidRPr="00C12B07">
              <w:rPr>
                <w:i/>
                <w:sz w:val="20"/>
              </w:rPr>
              <w:t>Criminal Code</w:t>
            </w:r>
            <w:r w:rsidRPr="00C12B07">
              <w:rPr>
                <w:sz w:val="20"/>
              </w:rPr>
              <w:t xml:space="preserve">, R.S.C. 1985, c. C-46 and breach of s. 810 recognizance. The Crown called three witnesses at trial, the </w:t>
            </w:r>
            <w:proofErr w:type="spellStart"/>
            <w:r w:rsidRPr="00C12B07">
              <w:rPr>
                <w:sz w:val="20"/>
              </w:rPr>
              <w:t>defence</w:t>
            </w:r>
            <w:proofErr w:type="spellEnd"/>
            <w:r w:rsidRPr="00C12B07">
              <w:rPr>
                <w:sz w:val="20"/>
              </w:rPr>
              <w:t xml:space="preserve"> called none. The testimony </w:t>
            </w:r>
            <w:proofErr w:type="spellStart"/>
            <w:r w:rsidRPr="00C12B07">
              <w:rPr>
                <w:sz w:val="20"/>
              </w:rPr>
              <w:t>focussed</w:t>
            </w:r>
            <w:proofErr w:type="spellEnd"/>
            <w:r w:rsidRPr="00C12B07">
              <w:rPr>
                <w:sz w:val="20"/>
              </w:rPr>
              <w:t xml:space="preserve"> on proof of a single incident of watching and besetting on April 19, 2012, which was alleged to constitute the offence of criminal harassment and the offence of breach of recognizance that had been imposed four months earlier. The main incident occurred at the Hindu temple where the complainant would sing during evening ceremonies. The recognizance was entered into after an earlier charge of criminal harassment was withdrawn, and it expressly prohibited the Applicant from being within 500 </w:t>
            </w:r>
            <w:proofErr w:type="spellStart"/>
            <w:r w:rsidRPr="00C12B07">
              <w:rPr>
                <w:sz w:val="20"/>
              </w:rPr>
              <w:t>metres</w:t>
            </w:r>
            <w:proofErr w:type="spellEnd"/>
            <w:r w:rsidRPr="00C12B07">
              <w:rPr>
                <w:sz w:val="20"/>
              </w:rPr>
              <w:t xml:space="preserve"> of the complainant’s place of worship.</w:t>
            </w:r>
          </w:p>
        </w:tc>
      </w:tr>
      <w:tr w:rsidR="00C12B07" w:rsidTr="00F60BB1">
        <w:tc>
          <w:tcPr>
            <w:tcW w:w="5000" w:type="pct"/>
            <w:gridSpan w:val="4"/>
          </w:tcPr>
          <w:p w:rsidR="00C12B07" w:rsidRPr="00C12B07" w:rsidRDefault="00C12B07" w:rsidP="00F60BB1">
            <w:pPr>
              <w:rPr>
                <w:sz w:val="20"/>
              </w:rPr>
            </w:pPr>
          </w:p>
        </w:tc>
      </w:tr>
      <w:tr w:rsidR="00C12B07" w:rsidTr="00F60BB1">
        <w:tc>
          <w:tcPr>
            <w:tcW w:w="2427" w:type="pct"/>
            <w:gridSpan w:val="2"/>
          </w:tcPr>
          <w:p w:rsidR="00C12B07" w:rsidRPr="00C12B07" w:rsidRDefault="00C12B07" w:rsidP="00F60BB1">
            <w:pPr>
              <w:rPr>
                <w:sz w:val="20"/>
              </w:rPr>
            </w:pPr>
            <w:r w:rsidRPr="00C12B07">
              <w:rPr>
                <w:sz w:val="20"/>
              </w:rPr>
              <w:t>July 17, 2013</w:t>
            </w:r>
          </w:p>
          <w:p w:rsidR="00C12B07" w:rsidRPr="00C12B07" w:rsidRDefault="00C12B07" w:rsidP="00F60BB1">
            <w:pPr>
              <w:rPr>
                <w:sz w:val="20"/>
              </w:rPr>
            </w:pPr>
            <w:r w:rsidRPr="00C12B07">
              <w:rPr>
                <w:sz w:val="20"/>
              </w:rPr>
              <w:t>Ontario Court of Justice</w:t>
            </w:r>
          </w:p>
          <w:p w:rsidR="00C12B07" w:rsidRPr="00C12B07" w:rsidRDefault="00C12B07" w:rsidP="00F60BB1">
            <w:pPr>
              <w:rPr>
                <w:sz w:val="20"/>
              </w:rPr>
            </w:pPr>
            <w:r w:rsidRPr="00C12B07">
              <w:rPr>
                <w:sz w:val="20"/>
              </w:rPr>
              <w:t>(</w:t>
            </w:r>
            <w:proofErr w:type="spellStart"/>
            <w:r w:rsidRPr="00C12B07">
              <w:rPr>
                <w:sz w:val="20"/>
              </w:rPr>
              <w:t>Bloomenfeld</w:t>
            </w:r>
            <w:proofErr w:type="spellEnd"/>
            <w:r w:rsidRPr="00C12B07">
              <w:rPr>
                <w:sz w:val="20"/>
              </w:rPr>
              <w:t xml:space="preserve"> J.)</w:t>
            </w:r>
          </w:p>
          <w:p w:rsidR="00C12B07" w:rsidRPr="00C12B07" w:rsidRDefault="00C12B07" w:rsidP="00F60BB1">
            <w:pPr>
              <w:rPr>
                <w:sz w:val="20"/>
              </w:rPr>
            </w:pPr>
          </w:p>
        </w:tc>
        <w:tc>
          <w:tcPr>
            <w:tcW w:w="243" w:type="pct"/>
          </w:tcPr>
          <w:p w:rsidR="00C12B07" w:rsidRPr="00C12B07" w:rsidRDefault="00C12B07" w:rsidP="00F60BB1">
            <w:pPr>
              <w:rPr>
                <w:sz w:val="20"/>
              </w:rPr>
            </w:pPr>
          </w:p>
        </w:tc>
        <w:tc>
          <w:tcPr>
            <w:tcW w:w="2330" w:type="pct"/>
          </w:tcPr>
          <w:p w:rsidR="00C12B07" w:rsidRPr="00C12B07" w:rsidRDefault="00C12B07" w:rsidP="00F60BB1">
            <w:pPr>
              <w:rPr>
                <w:sz w:val="20"/>
              </w:rPr>
            </w:pPr>
            <w:r w:rsidRPr="00C12B07">
              <w:rPr>
                <w:sz w:val="20"/>
              </w:rPr>
              <w:t xml:space="preserve">Conviction: criminal harassment contrary to s. 264(2)(c) of the </w:t>
            </w:r>
            <w:r w:rsidRPr="00C12B07">
              <w:rPr>
                <w:i/>
                <w:sz w:val="20"/>
              </w:rPr>
              <w:t xml:space="preserve">Criminal </w:t>
            </w:r>
            <w:r w:rsidRPr="00C12B07">
              <w:rPr>
                <w:sz w:val="20"/>
              </w:rPr>
              <w:t>Code, R.S.C. 1985, c. C-46 and breach of s. 810 recognizance</w:t>
            </w:r>
          </w:p>
          <w:p w:rsidR="00C12B07" w:rsidRPr="00C12B07" w:rsidRDefault="00C12B07" w:rsidP="00F60BB1">
            <w:pPr>
              <w:rPr>
                <w:sz w:val="20"/>
              </w:rPr>
            </w:pPr>
          </w:p>
        </w:tc>
      </w:tr>
      <w:tr w:rsidR="00C12B07" w:rsidTr="00F60BB1">
        <w:tc>
          <w:tcPr>
            <w:tcW w:w="2427" w:type="pct"/>
            <w:gridSpan w:val="2"/>
          </w:tcPr>
          <w:p w:rsidR="00C12B07" w:rsidRPr="00C12B07" w:rsidRDefault="00C12B07" w:rsidP="00F60BB1">
            <w:pPr>
              <w:rPr>
                <w:sz w:val="20"/>
                <w:lang w:eastAsia="en-CA"/>
              </w:rPr>
            </w:pPr>
            <w:r w:rsidRPr="00C12B07">
              <w:rPr>
                <w:sz w:val="20"/>
                <w:lang w:eastAsia="en-CA"/>
              </w:rPr>
              <w:lastRenderedPageBreak/>
              <w:t>April 25, 2014</w:t>
            </w:r>
          </w:p>
          <w:p w:rsidR="00C12B07" w:rsidRPr="00C12B07" w:rsidRDefault="00C12B07" w:rsidP="00F60BB1">
            <w:pPr>
              <w:rPr>
                <w:sz w:val="20"/>
                <w:lang w:eastAsia="en-CA"/>
              </w:rPr>
            </w:pPr>
            <w:r w:rsidRPr="00C12B07">
              <w:rPr>
                <w:sz w:val="20"/>
                <w:lang w:eastAsia="en-CA"/>
              </w:rPr>
              <w:t>Superior Court of Justice</w:t>
            </w:r>
          </w:p>
          <w:p w:rsidR="00C12B07" w:rsidRPr="00C12B07" w:rsidRDefault="00C12B07" w:rsidP="00F60BB1">
            <w:pPr>
              <w:rPr>
                <w:sz w:val="20"/>
                <w:lang w:eastAsia="en-CA"/>
              </w:rPr>
            </w:pPr>
            <w:r w:rsidRPr="00C12B07">
              <w:rPr>
                <w:sz w:val="20"/>
                <w:lang w:eastAsia="en-CA"/>
              </w:rPr>
              <w:t>(Code J.)</w:t>
            </w:r>
          </w:p>
          <w:p w:rsidR="00C12B07" w:rsidRPr="00C12B07" w:rsidRDefault="00C12B07" w:rsidP="00F60BB1">
            <w:pPr>
              <w:rPr>
                <w:sz w:val="20"/>
              </w:rPr>
            </w:pPr>
          </w:p>
        </w:tc>
        <w:tc>
          <w:tcPr>
            <w:tcW w:w="243" w:type="pct"/>
          </w:tcPr>
          <w:p w:rsidR="00C12B07" w:rsidRPr="00C12B07" w:rsidRDefault="00C12B07" w:rsidP="00F60BB1">
            <w:pPr>
              <w:rPr>
                <w:sz w:val="20"/>
              </w:rPr>
            </w:pPr>
          </w:p>
        </w:tc>
        <w:tc>
          <w:tcPr>
            <w:tcW w:w="2330" w:type="pct"/>
          </w:tcPr>
          <w:p w:rsidR="00C12B07" w:rsidRPr="00C12B07" w:rsidRDefault="00C12B07" w:rsidP="00F60BB1">
            <w:pPr>
              <w:rPr>
                <w:sz w:val="20"/>
                <w:lang w:eastAsia="en-CA"/>
              </w:rPr>
            </w:pPr>
            <w:r w:rsidRPr="00C12B07">
              <w:rPr>
                <w:sz w:val="20"/>
                <w:lang w:eastAsia="en-CA"/>
              </w:rPr>
              <w:t>Appeal against conviction and sentence dismissed</w:t>
            </w:r>
          </w:p>
          <w:p w:rsidR="00C12B07" w:rsidRPr="00C12B07" w:rsidRDefault="00C12B07" w:rsidP="00F60BB1">
            <w:pPr>
              <w:rPr>
                <w:sz w:val="20"/>
              </w:rPr>
            </w:pPr>
          </w:p>
        </w:tc>
      </w:tr>
      <w:tr w:rsidR="00C12B07" w:rsidTr="00F60BB1">
        <w:tc>
          <w:tcPr>
            <w:tcW w:w="2427" w:type="pct"/>
            <w:gridSpan w:val="2"/>
          </w:tcPr>
          <w:p w:rsidR="00C12B07" w:rsidRPr="00C12B07" w:rsidRDefault="00C12B07" w:rsidP="00F60BB1">
            <w:pPr>
              <w:rPr>
                <w:sz w:val="20"/>
              </w:rPr>
            </w:pPr>
            <w:r w:rsidRPr="00C12B07">
              <w:rPr>
                <w:sz w:val="20"/>
              </w:rPr>
              <w:t>May 12, 2015</w:t>
            </w:r>
          </w:p>
          <w:p w:rsidR="00C12B07" w:rsidRPr="00C12B07" w:rsidRDefault="00C12B07" w:rsidP="00F60BB1">
            <w:pPr>
              <w:rPr>
                <w:sz w:val="20"/>
              </w:rPr>
            </w:pPr>
            <w:r w:rsidRPr="00C12B07">
              <w:rPr>
                <w:sz w:val="20"/>
              </w:rPr>
              <w:t>Court of Appeal for Ontario</w:t>
            </w:r>
          </w:p>
          <w:p w:rsidR="00C12B07" w:rsidRPr="00C12B07" w:rsidRDefault="00C12B07" w:rsidP="00F60BB1">
            <w:pPr>
              <w:rPr>
                <w:sz w:val="20"/>
              </w:rPr>
            </w:pPr>
            <w:r w:rsidRPr="00C12B07">
              <w:rPr>
                <w:sz w:val="20"/>
              </w:rPr>
              <w:t xml:space="preserve">(MacPherson, Blair and </w:t>
            </w:r>
            <w:proofErr w:type="spellStart"/>
            <w:r w:rsidRPr="00C12B07">
              <w:rPr>
                <w:sz w:val="20"/>
              </w:rPr>
              <w:t>Huscroft</w:t>
            </w:r>
            <w:proofErr w:type="spellEnd"/>
            <w:r w:rsidRPr="00C12B07">
              <w:rPr>
                <w:sz w:val="20"/>
              </w:rPr>
              <w:t xml:space="preserve"> JJ.A.)</w:t>
            </w:r>
          </w:p>
          <w:p w:rsidR="00C12B07" w:rsidRPr="00C12B07" w:rsidRDefault="00C12B07" w:rsidP="00F60BB1">
            <w:pPr>
              <w:rPr>
                <w:sz w:val="20"/>
              </w:rPr>
            </w:pPr>
          </w:p>
        </w:tc>
        <w:tc>
          <w:tcPr>
            <w:tcW w:w="243" w:type="pct"/>
          </w:tcPr>
          <w:p w:rsidR="00C12B07" w:rsidRPr="00C12B07" w:rsidRDefault="00C12B07" w:rsidP="00F60BB1">
            <w:pPr>
              <w:rPr>
                <w:sz w:val="20"/>
              </w:rPr>
            </w:pPr>
          </w:p>
        </w:tc>
        <w:tc>
          <w:tcPr>
            <w:tcW w:w="2330" w:type="pct"/>
          </w:tcPr>
          <w:p w:rsidR="00C12B07" w:rsidRPr="00C12B07" w:rsidRDefault="00C12B07" w:rsidP="00F60BB1">
            <w:pPr>
              <w:rPr>
                <w:sz w:val="20"/>
                <w:lang w:eastAsia="en-CA"/>
              </w:rPr>
            </w:pPr>
            <w:r w:rsidRPr="00C12B07">
              <w:rPr>
                <w:sz w:val="20"/>
                <w:lang w:eastAsia="en-CA"/>
              </w:rPr>
              <w:t>Application for leave to appeal dismissed</w:t>
            </w:r>
          </w:p>
          <w:p w:rsidR="00C12B07" w:rsidRPr="00C12B07" w:rsidRDefault="00C12B07" w:rsidP="00F60BB1">
            <w:pPr>
              <w:rPr>
                <w:sz w:val="20"/>
              </w:rPr>
            </w:pPr>
          </w:p>
          <w:p w:rsidR="00C12B07" w:rsidRPr="00C12B07" w:rsidRDefault="00C12B07" w:rsidP="00F60BB1">
            <w:pPr>
              <w:rPr>
                <w:sz w:val="20"/>
              </w:rPr>
            </w:pPr>
          </w:p>
        </w:tc>
      </w:tr>
      <w:tr w:rsidR="00C12B07" w:rsidTr="00F60BB1">
        <w:tc>
          <w:tcPr>
            <w:tcW w:w="2427" w:type="pct"/>
            <w:gridSpan w:val="2"/>
          </w:tcPr>
          <w:p w:rsidR="00C12B07" w:rsidRPr="00C12B07" w:rsidRDefault="00C12B07" w:rsidP="00F60BB1">
            <w:pPr>
              <w:rPr>
                <w:sz w:val="20"/>
              </w:rPr>
            </w:pPr>
            <w:r w:rsidRPr="00C12B07">
              <w:rPr>
                <w:sz w:val="20"/>
              </w:rPr>
              <w:t>August 11, 2015</w:t>
            </w:r>
          </w:p>
          <w:p w:rsidR="00C12B07" w:rsidRPr="00C12B07" w:rsidRDefault="00C12B07" w:rsidP="00F60BB1">
            <w:pPr>
              <w:rPr>
                <w:sz w:val="20"/>
              </w:rPr>
            </w:pPr>
            <w:r w:rsidRPr="00C12B07">
              <w:rPr>
                <w:sz w:val="20"/>
              </w:rPr>
              <w:t>Supreme Court of Canada</w:t>
            </w:r>
          </w:p>
          <w:p w:rsidR="00C12B07" w:rsidRPr="00C12B07" w:rsidRDefault="00C12B07" w:rsidP="00F60BB1">
            <w:pPr>
              <w:rPr>
                <w:sz w:val="20"/>
              </w:rPr>
            </w:pPr>
          </w:p>
        </w:tc>
        <w:tc>
          <w:tcPr>
            <w:tcW w:w="243" w:type="pct"/>
          </w:tcPr>
          <w:p w:rsidR="00C12B07" w:rsidRPr="00C12B07" w:rsidRDefault="00C12B07" w:rsidP="00F60BB1">
            <w:pPr>
              <w:rPr>
                <w:sz w:val="20"/>
              </w:rPr>
            </w:pPr>
          </w:p>
        </w:tc>
        <w:tc>
          <w:tcPr>
            <w:tcW w:w="2330" w:type="pct"/>
          </w:tcPr>
          <w:p w:rsidR="00C12B07" w:rsidRPr="00C12B07" w:rsidRDefault="00C12B07" w:rsidP="00F60BB1">
            <w:pPr>
              <w:rPr>
                <w:sz w:val="20"/>
              </w:rPr>
            </w:pPr>
            <w:r w:rsidRPr="00C12B07">
              <w:rPr>
                <w:sz w:val="20"/>
              </w:rPr>
              <w:t>Application for leave to appeal filed</w:t>
            </w:r>
          </w:p>
          <w:p w:rsidR="00C12B07" w:rsidRPr="00C12B07" w:rsidRDefault="00C12B07" w:rsidP="00F60BB1">
            <w:pPr>
              <w:rPr>
                <w:sz w:val="20"/>
              </w:rPr>
            </w:pPr>
          </w:p>
        </w:tc>
      </w:tr>
      <w:tr w:rsidR="00C12B07" w:rsidTr="00F60BB1">
        <w:tc>
          <w:tcPr>
            <w:tcW w:w="2427" w:type="pct"/>
            <w:gridSpan w:val="2"/>
          </w:tcPr>
          <w:p w:rsidR="00C12B07" w:rsidRPr="00C12B07" w:rsidRDefault="00C12B07" w:rsidP="00F60BB1">
            <w:pPr>
              <w:rPr>
                <w:sz w:val="20"/>
                <w:lang w:eastAsia="en-CA"/>
              </w:rPr>
            </w:pPr>
            <w:r w:rsidRPr="00C12B07">
              <w:rPr>
                <w:sz w:val="20"/>
                <w:lang w:eastAsia="en-CA"/>
              </w:rPr>
              <w:t>January 8, 2016</w:t>
            </w:r>
          </w:p>
          <w:p w:rsidR="00C12B07" w:rsidRPr="00C12B07" w:rsidRDefault="00C12B07" w:rsidP="00F60BB1">
            <w:pPr>
              <w:rPr>
                <w:sz w:val="20"/>
                <w:lang w:eastAsia="en-CA"/>
              </w:rPr>
            </w:pPr>
            <w:r w:rsidRPr="00C12B07">
              <w:rPr>
                <w:sz w:val="20"/>
                <w:lang w:eastAsia="en-CA"/>
              </w:rPr>
              <w:t>Supreme Court of Canada</w:t>
            </w:r>
          </w:p>
          <w:p w:rsidR="00C12B07" w:rsidRPr="00C12B07" w:rsidRDefault="00C12B07" w:rsidP="00F60BB1">
            <w:pPr>
              <w:rPr>
                <w:sz w:val="20"/>
              </w:rPr>
            </w:pPr>
          </w:p>
        </w:tc>
        <w:tc>
          <w:tcPr>
            <w:tcW w:w="243" w:type="pct"/>
          </w:tcPr>
          <w:p w:rsidR="00C12B07" w:rsidRPr="00C12B07" w:rsidRDefault="00C12B07" w:rsidP="00F60BB1">
            <w:pPr>
              <w:rPr>
                <w:sz w:val="20"/>
              </w:rPr>
            </w:pPr>
          </w:p>
        </w:tc>
        <w:tc>
          <w:tcPr>
            <w:tcW w:w="2330" w:type="pct"/>
          </w:tcPr>
          <w:p w:rsidR="00C12B07" w:rsidRPr="00C12B07" w:rsidRDefault="00C12B07" w:rsidP="00F60BB1">
            <w:pPr>
              <w:rPr>
                <w:sz w:val="20"/>
              </w:rPr>
            </w:pPr>
            <w:r w:rsidRPr="00C12B07">
              <w:rPr>
                <w:sz w:val="20"/>
              </w:rPr>
              <w:t>Motion to extend time to serve and file application for leave to appeal filed</w:t>
            </w:r>
          </w:p>
        </w:tc>
      </w:tr>
    </w:tbl>
    <w:p w:rsidR="00C12B07" w:rsidRDefault="00C12B07" w:rsidP="003E7D28">
      <w:pPr>
        <w:jc w:val="both"/>
        <w:rPr>
          <w:sz w:val="20"/>
        </w:rPr>
      </w:pPr>
    </w:p>
    <w:p w:rsidR="002C1A32" w:rsidRDefault="002C1A32" w:rsidP="003E7D2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C1A32" w:rsidRPr="00065811" w:rsidTr="00F60BB1">
        <w:tc>
          <w:tcPr>
            <w:tcW w:w="543" w:type="pct"/>
          </w:tcPr>
          <w:p w:rsidR="002C1A32" w:rsidRPr="002C1A32" w:rsidRDefault="002C1A32" w:rsidP="00F60BB1">
            <w:pPr>
              <w:rPr>
                <w:sz w:val="20"/>
                <w:lang w:val="fr-CA"/>
              </w:rPr>
            </w:pPr>
            <w:r w:rsidRPr="002C1A32">
              <w:rPr>
                <w:rStyle w:val="SCCFileNumberChar"/>
                <w:sz w:val="20"/>
                <w:szCs w:val="20"/>
                <w:lang w:val="fr-CA"/>
              </w:rPr>
              <w:t>36599</w:t>
            </w:r>
          </w:p>
        </w:tc>
        <w:tc>
          <w:tcPr>
            <w:tcW w:w="4457" w:type="pct"/>
            <w:gridSpan w:val="3"/>
          </w:tcPr>
          <w:p w:rsidR="002C1A32" w:rsidRPr="002C1A32" w:rsidRDefault="002C1A32" w:rsidP="002C1A32">
            <w:pPr>
              <w:pStyle w:val="SCCLsocParty"/>
              <w:jc w:val="left"/>
              <w:rPr>
                <w:b/>
                <w:sz w:val="20"/>
                <w:szCs w:val="20"/>
              </w:rPr>
            </w:pPr>
            <w:r w:rsidRPr="002C1A32">
              <w:rPr>
                <w:b/>
                <w:sz w:val="20"/>
                <w:szCs w:val="20"/>
              </w:rPr>
              <w:t xml:space="preserve">Prakash </w:t>
            </w:r>
            <w:proofErr w:type="spellStart"/>
            <w:r w:rsidRPr="002C1A32">
              <w:rPr>
                <w:b/>
                <w:sz w:val="20"/>
                <w:szCs w:val="20"/>
              </w:rPr>
              <w:t>Sapra</w:t>
            </w:r>
            <w:proofErr w:type="spellEnd"/>
            <w:r w:rsidRPr="002C1A32">
              <w:rPr>
                <w:b/>
                <w:sz w:val="20"/>
                <w:szCs w:val="20"/>
              </w:rPr>
              <w:t xml:space="preserve"> c. Sa Majesté la Reine</w:t>
            </w:r>
          </w:p>
          <w:p w:rsidR="002C1A32" w:rsidRPr="002C1A32" w:rsidRDefault="002C1A32" w:rsidP="002C1A32">
            <w:pPr>
              <w:rPr>
                <w:sz w:val="20"/>
                <w:lang w:val="fr-CA"/>
              </w:rPr>
            </w:pPr>
            <w:r w:rsidRPr="002C1A32">
              <w:rPr>
                <w:sz w:val="20"/>
                <w:lang w:val="fr-CA"/>
              </w:rPr>
              <w:t>(Ont.) (Criminelle) (Sur autorisation)</w:t>
            </w:r>
          </w:p>
        </w:tc>
      </w:tr>
      <w:tr w:rsidR="002C1A32" w:rsidRPr="00B85F8D" w:rsidTr="00F60BB1">
        <w:tc>
          <w:tcPr>
            <w:tcW w:w="5000" w:type="pct"/>
            <w:gridSpan w:val="4"/>
          </w:tcPr>
          <w:p w:rsidR="002C1A32" w:rsidRPr="002C1A32" w:rsidRDefault="002C1A32" w:rsidP="00F60BB1">
            <w:pPr>
              <w:rPr>
                <w:sz w:val="20"/>
                <w:lang w:val="fr-CA"/>
              </w:rPr>
            </w:pPr>
            <w:r w:rsidRPr="002C1A32">
              <w:rPr>
                <w:sz w:val="20"/>
                <w:lang w:val="fr-CA"/>
              </w:rPr>
              <w:t>Droit criminel — Infractions — Preuve — Harcèlement criminel — Manquement à un engagement visé à l’art. 810 — La juge du procès a-t-elle eu tort conclure que les témoins étaient crédibles? — Les verdicts étaient-ils raisonnables?</w:t>
            </w:r>
          </w:p>
        </w:tc>
      </w:tr>
      <w:tr w:rsidR="002C1A32" w:rsidRPr="00B85F8D" w:rsidTr="00F60BB1">
        <w:tc>
          <w:tcPr>
            <w:tcW w:w="5000" w:type="pct"/>
            <w:gridSpan w:val="4"/>
          </w:tcPr>
          <w:p w:rsidR="002C1A32" w:rsidRPr="002C1A32" w:rsidRDefault="002C1A32" w:rsidP="00F60BB1">
            <w:pPr>
              <w:rPr>
                <w:sz w:val="20"/>
                <w:lang w:val="fr-CA"/>
              </w:rPr>
            </w:pPr>
          </w:p>
        </w:tc>
      </w:tr>
      <w:tr w:rsidR="002C1A32" w:rsidRPr="00B85F8D" w:rsidTr="00F60BB1">
        <w:tc>
          <w:tcPr>
            <w:tcW w:w="5000" w:type="pct"/>
            <w:gridSpan w:val="4"/>
          </w:tcPr>
          <w:p w:rsidR="002C1A32" w:rsidRPr="002C1A32" w:rsidRDefault="002C1A32" w:rsidP="00F60BB1">
            <w:pPr>
              <w:rPr>
                <w:sz w:val="20"/>
                <w:lang w:val="fr-CA"/>
              </w:rPr>
            </w:pPr>
            <w:r w:rsidRPr="002C1A32">
              <w:rPr>
                <w:sz w:val="20"/>
                <w:lang w:val="fr-CA"/>
              </w:rPr>
              <w:t xml:space="preserve">Le demandeur a été déclaré coupable de harcèlement criminel, une infraction prévue à l’al. 264(2)c) du </w:t>
            </w:r>
            <w:r w:rsidRPr="002C1A32">
              <w:rPr>
                <w:i/>
                <w:sz w:val="20"/>
                <w:lang w:val="fr-CA"/>
              </w:rPr>
              <w:t>Code criminel</w:t>
            </w:r>
            <w:r w:rsidRPr="002C1A32">
              <w:rPr>
                <w:sz w:val="20"/>
                <w:lang w:val="fr-CA"/>
              </w:rPr>
              <w:t xml:space="preserve">, L.R.C. 1985, ch. C-46 et de manquement à un engagement visé à l’art. 810 du </w:t>
            </w:r>
            <w:r w:rsidRPr="002C1A32">
              <w:rPr>
                <w:i/>
                <w:sz w:val="20"/>
                <w:lang w:val="fr-CA"/>
              </w:rPr>
              <w:t>Code</w:t>
            </w:r>
            <w:r w:rsidRPr="002C1A32">
              <w:rPr>
                <w:sz w:val="20"/>
                <w:lang w:val="fr-CA"/>
              </w:rPr>
              <w:t>. Le ministère public a assigné trois témoins au procès et la défense n’en a assigné aucun. Les témoignages ont porté principalement sur la preuve d’un seul incident, soit d’avoir cerné et surveillé le 19 avril 2012, constituant censément l’infraction de harcèlement criminel et l’infraction de manquement à un engagement qui avait été imposé quatre mois auparavant. L’incident principal s’était produit au temple hindou où la plaignante chantait pendant les cérémonies du soir. L’engagement avait été inscrit à la suite du retrait d’une accusation antérieure de harcèlement criminel et il interdisait expressément au demandeur de se trouver à moins de 500 mètres du lieu du culte de la plaignante.</w:t>
            </w:r>
          </w:p>
        </w:tc>
      </w:tr>
      <w:tr w:rsidR="002C1A32" w:rsidRPr="00B85F8D" w:rsidTr="00F60BB1">
        <w:tc>
          <w:tcPr>
            <w:tcW w:w="5000" w:type="pct"/>
            <w:gridSpan w:val="4"/>
          </w:tcPr>
          <w:p w:rsidR="002C1A32" w:rsidRPr="002C1A32" w:rsidRDefault="002C1A32" w:rsidP="00F60BB1">
            <w:pPr>
              <w:rPr>
                <w:sz w:val="20"/>
                <w:lang w:val="fr-CA"/>
              </w:rPr>
            </w:pPr>
          </w:p>
        </w:tc>
      </w:tr>
      <w:tr w:rsidR="002C1A32" w:rsidRPr="00B85F8D" w:rsidTr="00F60BB1">
        <w:tc>
          <w:tcPr>
            <w:tcW w:w="2427" w:type="pct"/>
            <w:gridSpan w:val="2"/>
          </w:tcPr>
          <w:p w:rsidR="002C1A32" w:rsidRPr="002C1A32" w:rsidRDefault="002C1A32" w:rsidP="00F60BB1">
            <w:pPr>
              <w:rPr>
                <w:sz w:val="20"/>
                <w:lang w:val="fr-CA"/>
              </w:rPr>
            </w:pPr>
            <w:r w:rsidRPr="002C1A32">
              <w:rPr>
                <w:sz w:val="20"/>
                <w:lang w:val="fr-CA"/>
              </w:rPr>
              <w:t>17 juillet 2013</w:t>
            </w:r>
          </w:p>
          <w:p w:rsidR="002C1A32" w:rsidRPr="002C1A32" w:rsidRDefault="002C1A32" w:rsidP="00F60BB1">
            <w:pPr>
              <w:rPr>
                <w:sz w:val="20"/>
                <w:lang w:val="fr-CA"/>
              </w:rPr>
            </w:pPr>
            <w:r w:rsidRPr="002C1A32">
              <w:rPr>
                <w:sz w:val="20"/>
                <w:lang w:val="fr-CA"/>
              </w:rPr>
              <w:t xml:space="preserve">Cour de justice de l’Ontario </w:t>
            </w:r>
          </w:p>
          <w:p w:rsidR="002C1A32" w:rsidRPr="002C1A32" w:rsidRDefault="002C1A32" w:rsidP="00F60BB1">
            <w:pPr>
              <w:rPr>
                <w:sz w:val="20"/>
                <w:lang w:val="fr-CA"/>
              </w:rPr>
            </w:pPr>
            <w:r w:rsidRPr="002C1A32">
              <w:rPr>
                <w:sz w:val="20"/>
                <w:lang w:val="fr-CA"/>
              </w:rPr>
              <w:t xml:space="preserve">(Juge </w:t>
            </w:r>
            <w:proofErr w:type="spellStart"/>
            <w:r w:rsidRPr="002C1A32">
              <w:rPr>
                <w:sz w:val="20"/>
                <w:lang w:val="fr-CA"/>
              </w:rPr>
              <w:t>Bloomenfeld</w:t>
            </w:r>
            <w:proofErr w:type="spellEnd"/>
            <w:r w:rsidRPr="002C1A32">
              <w:rPr>
                <w:sz w:val="20"/>
                <w:lang w:val="fr-CA"/>
              </w:rPr>
              <w:t>)</w:t>
            </w:r>
          </w:p>
          <w:p w:rsidR="002C1A32" w:rsidRPr="002C1A32" w:rsidRDefault="002C1A32" w:rsidP="00F60BB1">
            <w:pPr>
              <w:rPr>
                <w:sz w:val="20"/>
                <w:lang w:val="fr-CA"/>
              </w:rPr>
            </w:pPr>
          </w:p>
        </w:tc>
        <w:tc>
          <w:tcPr>
            <w:tcW w:w="243" w:type="pct"/>
          </w:tcPr>
          <w:p w:rsidR="002C1A32" w:rsidRPr="002C1A32" w:rsidRDefault="002C1A32" w:rsidP="00F60BB1">
            <w:pPr>
              <w:rPr>
                <w:sz w:val="20"/>
                <w:lang w:val="fr-CA"/>
              </w:rPr>
            </w:pPr>
          </w:p>
        </w:tc>
        <w:tc>
          <w:tcPr>
            <w:tcW w:w="2330" w:type="pct"/>
          </w:tcPr>
          <w:p w:rsidR="002C1A32" w:rsidRPr="002C1A32" w:rsidRDefault="002C1A32" w:rsidP="00F60BB1">
            <w:pPr>
              <w:rPr>
                <w:sz w:val="20"/>
                <w:lang w:val="fr-CA"/>
              </w:rPr>
            </w:pPr>
            <w:r w:rsidRPr="002C1A32">
              <w:rPr>
                <w:sz w:val="20"/>
                <w:lang w:val="fr-CA"/>
              </w:rPr>
              <w:t xml:space="preserve">Déclaration de culpabilité : harcèlement criminel, une infraction prévue à l’al. 264(2)c) du </w:t>
            </w:r>
            <w:r w:rsidRPr="002C1A32">
              <w:rPr>
                <w:i/>
                <w:sz w:val="20"/>
                <w:lang w:val="fr-CA"/>
              </w:rPr>
              <w:t>Code criminel</w:t>
            </w:r>
            <w:r w:rsidRPr="002C1A32">
              <w:rPr>
                <w:sz w:val="20"/>
                <w:lang w:val="fr-CA"/>
              </w:rPr>
              <w:t xml:space="preserve">, L.R.C. 1985, ch. C-46 et manquement à un engagement visé à l’art. 810 du </w:t>
            </w:r>
            <w:r w:rsidRPr="002C1A32">
              <w:rPr>
                <w:i/>
                <w:sz w:val="20"/>
                <w:lang w:val="fr-CA"/>
              </w:rPr>
              <w:t>Code</w:t>
            </w:r>
          </w:p>
          <w:p w:rsidR="002C1A32" w:rsidRPr="002C1A32" w:rsidRDefault="002C1A32" w:rsidP="00F60BB1">
            <w:pPr>
              <w:rPr>
                <w:sz w:val="20"/>
                <w:lang w:val="fr-CA"/>
              </w:rPr>
            </w:pPr>
          </w:p>
        </w:tc>
      </w:tr>
      <w:tr w:rsidR="002C1A32" w:rsidRPr="00B85F8D" w:rsidTr="00F60BB1">
        <w:tc>
          <w:tcPr>
            <w:tcW w:w="2427" w:type="pct"/>
            <w:gridSpan w:val="2"/>
          </w:tcPr>
          <w:p w:rsidR="002C1A32" w:rsidRPr="002C1A32" w:rsidRDefault="002C1A32" w:rsidP="00F60BB1">
            <w:pPr>
              <w:rPr>
                <w:sz w:val="20"/>
                <w:lang w:val="fr-CA" w:eastAsia="en-CA"/>
              </w:rPr>
            </w:pPr>
            <w:r w:rsidRPr="002C1A32">
              <w:rPr>
                <w:sz w:val="20"/>
                <w:lang w:val="fr-CA" w:eastAsia="en-CA"/>
              </w:rPr>
              <w:t>25 avril 2014</w:t>
            </w:r>
          </w:p>
          <w:p w:rsidR="002C1A32" w:rsidRPr="002C1A32" w:rsidRDefault="002C1A32" w:rsidP="00F60BB1">
            <w:pPr>
              <w:rPr>
                <w:sz w:val="20"/>
                <w:lang w:val="fr-CA" w:eastAsia="en-CA"/>
              </w:rPr>
            </w:pPr>
            <w:r w:rsidRPr="002C1A32">
              <w:rPr>
                <w:sz w:val="20"/>
                <w:lang w:val="fr-CA" w:eastAsia="en-CA"/>
              </w:rPr>
              <w:t>Cour supérieure de justice</w:t>
            </w:r>
          </w:p>
          <w:p w:rsidR="002C1A32" w:rsidRPr="002C1A32" w:rsidRDefault="002C1A32" w:rsidP="00F60BB1">
            <w:pPr>
              <w:rPr>
                <w:sz w:val="20"/>
                <w:lang w:val="fr-CA" w:eastAsia="en-CA"/>
              </w:rPr>
            </w:pPr>
            <w:r w:rsidRPr="002C1A32">
              <w:rPr>
                <w:sz w:val="20"/>
                <w:lang w:val="fr-CA" w:eastAsia="en-CA"/>
              </w:rPr>
              <w:t>(Juge Code)</w:t>
            </w:r>
          </w:p>
          <w:p w:rsidR="002C1A32" w:rsidRPr="002C1A32" w:rsidRDefault="002C1A32" w:rsidP="00F60BB1">
            <w:pPr>
              <w:rPr>
                <w:sz w:val="20"/>
                <w:lang w:val="fr-CA"/>
              </w:rPr>
            </w:pPr>
          </w:p>
        </w:tc>
        <w:tc>
          <w:tcPr>
            <w:tcW w:w="243" w:type="pct"/>
          </w:tcPr>
          <w:p w:rsidR="002C1A32" w:rsidRPr="002C1A32" w:rsidRDefault="002C1A32" w:rsidP="00F60BB1">
            <w:pPr>
              <w:rPr>
                <w:sz w:val="20"/>
                <w:lang w:val="fr-CA"/>
              </w:rPr>
            </w:pPr>
          </w:p>
        </w:tc>
        <w:tc>
          <w:tcPr>
            <w:tcW w:w="2330" w:type="pct"/>
          </w:tcPr>
          <w:p w:rsidR="002C1A32" w:rsidRPr="002C1A32" w:rsidRDefault="002C1A32" w:rsidP="00F60BB1">
            <w:pPr>
              <w:rPr>
                <w:sz w:val="20"/>
                <w:lang w:val="fr-CA" w:eastAsia="en-CA"/>
              </w:rPr>
            </w:pPr>
            <w:r w:rsidRPr="002C1A32">
              <w:rPr>
                <w:sz w:val="20"/>
                <w:lang w:val="fr-CA" w:eastAsia="en-CA"/>
              </w:rPr>
              <w:t>Rejet de l’appel de la déclaration de culpabilité et de la peine</w:t>
            </w:r>
          </w:p>
          <w:p w:rsidR="002C1A32" w:rsidRPr="002C1A32" w:rsidRDefault="002C1A32" w:rsidP="00F60BB1">
            <w:pPr>
              <w:rPr>
                <w:sz w:val="20"/>
                <w:lang w:val="fr-CA"/>
              </w:rPr>
            </w:pPr>
          </w:p>
        </w:tc>
      </w:tr>
      <w:tr w:rsidR="002C1A32" w:rsidRPr="00B85F8D" w:rsidTr="00F60BB1">
        <w:tc>
          <w:tcPr>
            <w:tcW w:w="2427" w:type="pct"/>
            <w:gridSpan w:val="2"/>
          </w:tcPr>
          <w:p w:rsidR="002C1A32" w:rsidRPr="002C1A32" w:rsidRDefault="002C1A32" w:rsidP="00F60BB1">
            <w:pPr>
              <w:rPr>
                <w:sz w:val="20"/>
                <w:lang w:val="fr-CA"/>
              </w:rPr>
            </w:pPr>
            <w:r w:rsidRPr="002C1A32">
              <w:rPr>
                <w:sz w:val="20"/>
                <w:lang w:val="fr-CA"/>
              </w:rPr>
              <w:t>12 mai 2015</w:t>
            </w:r>
          </w:p>
          <w:p w:rsidR="002C1A32" w:rsidRPr="002C1A32" w:rsidRDefault="002C1A32" w:rsidP="00F60BB1">
            <w:pPr>
              <w:rPr>
                <w:sz w:val="20"/>
                <w:lang w:val="fr-CA"/>
              </w:rPr>
            </w:pPr>
            <w:r w:rsidRPr="002C1A32">
              <w:rPr>
                <w:sz w:val="20"/>
                <w:lang w:val="fr-CA"/>
              </w:rPr>
              <w:t xml:space="preserve">Cour d’appel de l’Ontario </w:t>
            </w:r>
          </w:p>
          <w:p w:rsidR="002C1A32" w:rsidRPr="002C1A32" w:rsidRDefault="002C1A32" w:rsidP="00F60BB1">
            <w:pPr>
              <w:rPr>
                <w:sz w:val="20"/>
                <w:lang w:val="fr-CA"/>
              </w:rPr>
            </w:pPr>
            <w:r w:rsidRPr="002C1A32">
              <w:rPr>
                <w:sz w:val="20"/>
                <w:lang w:val="fr-CA"/>
              </w:rPr>
              <w:t xml:space="preserve">(Juges </w:t>
            </w:r>
            <w:proofErr w:type="spellStart"/>
            <w:r w:rsidRPr="002C1A32">
              <w:rPr>
                <w:sz w:val="20"/>
                <w:lang w:val="fr-CA"/>
              </w:rPr>
              <w:t>MacPherson</w:t>
            </w:r>
            <w:proofErr w:type="spellEnd"/>
            <w:r w:rsidRPr="002C1A32">
              <w:rPr>
                <w:sz w:val="20"/>
                <w:lang w:val="fr-CA"/>
              </w:rPr>
              <w:t xml:space="preserve">, Blair et </w:t>
            </w:r>
            <w:proofErr w:type="spellStart"/>
            <w:r w:rsidRPr="002C1A32">
              <w:rPr>
                <w:sz w:val="20"/>
                <w:lang w:val="fr-CA"/>
              </w:rPr>
              <w:t>Huscroft</w:t>
            </w:r>
            <w:proofErr w:type="spellEnd"/>
            <w:r w:rsidRPr="002C1A32">
              <w:rPr>
                <w:sz w:val="20"/>
                <w:lang w:val="fr-CA"/>
              </w:rPr>
              <w:t>)</w:t>
            </w:r>
          </w:p>
          <w:p w:rsidR="002C1A32" w:rsidRPr="002C1A32" w:rsidRDefault="002C1A32" w:rsidP="00F60BB1">
            <w:pPr>
              <w:rPr>
                <w:sz w:val="20"/>
                <w:lang w:val="fr-CA"/>
              </w:rPr>
            </w:pPr>
          </w:p>
        </w:tc>
        <w:tc>
          <w:tcPr>
            <w:tcW w:w="243" w:type="pct"/>
          </w:tcPr>
          <w:p w:rsidR="002C1A32" w:rsidRPr="002C1A32" w:rsidRDefault="002C1A32" w:rsidP="00F60BB1">
            <w:pPr>
              <w:rPr>
                <w:sz w:val="20"/>
                <w:lang w:val="fr-CA"/>
              </w:rPr>
            </w:pPr>
          </w:p>
        </w:tc>
        <w:tc>
          <w:tcPr>
            <w:tcW w:w="2330" w:type="pct"/>
          </w:tcPr>
          <w:p w:rsidR="002C1A32" w:rsidRPr="002C1A32" w:rsidRDefault="002C1A32" w:rsidP="00F60BB1">
            <w:pPr>
              <w:rPr>
                <w:sz w:val="20"/>
                <w:lang w:val="fr-CA"/>
              </w:rPr>
            </w:pPr>
            <w:r w:rsidRPr="002C1A32">
              <w:rPr>
                <w:sz w:val="20"/>
                <w:lang w:val="fr-CA" w:eastAsia="en-CA"/>
              </w:rPr>
              <w:t>Rejet de la demande d’autorisation d’appel</w:t>
            </w:r>
          </w:p>
          <w:p w:rsidR="002C1A32" w:rsidRPr="002C1A32" w:rsidRDefault="002C1A32" w:rsidP="00F60BB1">
            <w:pPr>
              <w:rPr>
                <w:sz w:val="20"/>
                <w:lang w:val="fr-CA"/>
              </w:rPr>
            </w:pPr>
          </w:p>
        </w:tc>
      </w:tr>
      <w:tr w:rsidR="002C1A32" w:rsidRPr="00B85F8D" w:rsidTr="00F60BB1">
        <w:tc>
          <w:tcPr>
            <w:tcW w:w="2427" w:type="pct"/>
            <w:gridSpan w:val="2"/>
          </w:tcPr>
          <w:p w:rsidR="002C1A32" w:rsidRPr="002C1A32" w:rsidRDefault="002C1A32" w:rsidP="00F60BB1">
            <w:pPr>
              <w:rPr>
                <w:sz w:val="20"/>
                <w:lang w:val="fr-CA"/>
              </w:rPr>
            </w:pPr>
            <w:r w:rsidRPr="002C1A32">
              <w:rPr>
                <w:sz w:val="20"/>
                <w:lang w:val="fr-CA"/>
              </w:rPr>
              <w:t>11 août 2015</w:t>
            </w:r>
          </w:p>
          <w:p w:rsidR="002C1A32" w:rsidRPr="002C1A32" w:rsidRDefault="002C1A32" w:rsidP="00F60BB1">
            <w:pPr>
              <w:rPr>
                <w:sz w:val="20"/>
                <w:lang w:val="fr-CA"/>
              </w:rPr>
            </w:pPr>
            <w:r w:rsidRPr="002C1A32">
              <w:rPr>
                <w:sz w:val="20"/>
                <w:lang w:val="fr-CA"/>
              </w:rPr>
              <w:t>Cour suprême du Canada</w:t>
            </w:r>
          </w:p>
          <w:p w:rsidR="002C1A32" w:rsidRPr="002C1A32" w:rsidRDefault="002C1A32" w:rsidP="00F60BB1">
            <w:pPr>
              <w:rPr>
                <w:sz w:val="20"/>
                <w:lang w:val="fr-CA"/>
              </w:rPr>
            </w:pPr>
          </w:p>
        </w:tc>
        <w:tc>
          <w:tcPr>
            <w:tcW w:w="243" w:type="pct"/>
          </w:tcPr>
          <w:p w:rsidR="002C1A32" w:rsidRPr="002C1A32" w:rsidRDefault="002C1A32" w:rsidP="00F60BB1">
            <w:pPr>
              <w:rPr>
                <w:sz w:val="20"/>
                <w:lang w:val="fr-CA"/>
              </w:rPr>
            </w:pPr>
          </w:p>
        </w:tc>
        <w:tc>
          <w:tcPr>
            <w:tcW w:w="2330" w:type="pct"/>
          </w:tcPr>
          <w:p w:rsidR="002C1A32" w:rsidRPr="002C1A32" w:rsidRDefault="002C1A32" w:rsidP="00F60BB1">
            <w:pPr>
              <w:rPr>
                <w:sz w:val="20"/>
                <w:lang w:val="fr-CA"/>
              </w:rPr>
            </w:pPr>
            <w:r w:rsidRPr="002C1A32">
              <w:rPr>
                <w:sz w:val="20"/>
                <w:lang w:val="fr-CA"/>
              </w:rPr>
              <w:t>Dépôt de la demande d’autorisation d’appel</w:t>
            </w:r>
          </w:p>
          <w:p w:rsidR="002C1A32" w:rsidRPr="002C1A32" w:rsidRDefault="002C1A32" w:rsidP="00F60BB1">
            <w:pPr>
              <w:rPr>
                <w:sz w:val="20"/>
                <w:lang w:val="fr-CA"/>
              </w:rPr>
            </w:pPr>
          </w:p>
        </w:tc>
      </w:tr>
      <w:tr w:rsidR="002C1A32" w:rsidRPr="00B85F8D" w:rsidTr="00F60BB1">
        <w:tc>
          <w:tcPr>
            <w:tcW w:w="2427" w:type="pct"/>
            <w:gridSpan w:val="2"/>
          </w:tcPr>
          <w:p w:rsidR="002C1A32" w:rsidRPr="002C1A32" w:rsidRDefault="002C1A32" w:rsidP="00F60BB1">
            <w:pPr>
              <w:rPr>
                <w:sz w:val="20"/>
                <w:lang w:val="fr-CA" w:eastAsia="en-CA"/>
              </w:rPr>
            </w:pPr>
            <w:r w:rsidRPr="002C1A32">
              <w:rPr>
                <w:sz w:val="20"/>
                <w:lang w:val="fr-CA" w:eastAsia="en-CA"/>
              </w:rPr>
              <w:lastRenderedPageBreak/>
              <w:t>8 janvier 2016</w:t>
            </w:r>
          </w:p>
          <w:p w:rsidR="002C1A32" w:rsidRPr="002C1A32" w:rsidRDefault="002C1A32" w:rsidP="00F60BB1">
            <w:pPr>
              <w:rPr>
                <w:sz w:val="20"/>
                <w:lang w:val="fr-CA" w:eastAsia="en-CA"/>
              </w:rPr>
            </w:pPr>
            <w:r w:rsidRPr="002C1A32">
              <w:rPr>
                <w:sz w:val="20"/>
                <w:lang w:val="fr-CA" w:eastAsia="en-CA"/>
              </w:rPr>
              <w:t>Cour suprême du Canada</w:t>
            </w:r>
          </w:p>
          <w:p w:rsidR="002C1A32" w:rsidRPr="002C1A32" w:rsidRDefault="002C1A32" w:rsidP="00F60BB1">
            <w:pPr>
              <w:rPr>
                <w:sz w:val="20"/>
                <w:lang w:val="fr-CA"/>
              </w:rPr>
            </w:pPr>
          </w:p>
        </w:tc>
        <w:tc>
          <w:tcPr>
            <w:tcW w:w="243" w:type="pct"/>
          </w:tcPr>
          <w:p w:rsidR="002C1A32" w:rsidRPr="002C1A32" w:rsidRDefault="002C1A32" w:rsidP="00F60BB1">
            <w:pPr>
              <w:rPr>
                <w:sz w:val="20"/>
                <w:lang w:val="fr-CA"/>
              </w:rPr>
            </w:pPr>
          </w:p>
        </w:tc>
        <w:tc>
          <w:tcPr>
            <w:tcW w:w="2330" w:type="pct"/>
          </w:tcPr>
          <w:p w:rsidR="002C1A32" w:rsidRPr="002C1A32" w:rsidRDefault="002C1A32" w:rsidP="00F60BB1">
            <w:pPr>
              <w:rPr>
                <w:sz w:val="20"/>
                <w:lang w:val="fr-CA"/>
              </w:rPr>
            </w:pPr>
            <w:r w:rsidRPr="002C1A32">
              <w:rPr>
                <w:sz w:val="20"/>
                <w:lang w:val="fr-CA"/>
              </w:rPr>
              <w:t>Dépôt de la requête en prorogation du délai de signification et de dépôt de la demande d’autorisation d’appel</w:t>
            </w:r>
          </w:p>
        </w:tc>
      </w:tr>
    </w:tbl>
    <w:p w:rsidR="002C1A32" w:rsidRPr="002C1A32" w:rsidRDefault="002C1A32" w:rsidP="003E7D28">
      <w:pPr>
        <w:jc w:val="both"/>
        <w:rPr>
          <w:sz w:val="20"/>
          <w:lang w:val="fr-CA"/>
        </w:rPr>
      </w:pPr>
    </w:p>
    <w:p w:rsidR="002C1A32" w:rsidRPr="002C1A32" w:rsidRDefault="002C1A32" w:rsidP="003E7D2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3B2D" w:rsidRPr="008D6C1E" w:rsidTr="002B5CF4">
        <w:tc>
          <w:tcPr>
            <w:tcW w:w="543" w:type="pct"/>
          </w:tcPr>
          <w:p w:rsidR="00C53B2D" w:rsidRPr="008D6C1E" w:rsidRDefault="00C53B2D" w:rsidP="00C53B2D">
            <w:pPr>
              <w:jc w:val="both"/>
              <w:rPr>
                <w:sz w:val="20"/>
                <w:lang w:val="en-CA"/>
              </w:rPr>
            </w:pPr>
            <w:r w:rsidRPr="008D6C1E">
              <w:rPr>
                <w:rStyle w:val="SCCFileNumberChar"/>
                <w:sz w:val="20"/>
                <w:szCs w:val="20"/>
              </w:rPr>
              <w:t>36789</w:t>
            </w:r>
          </w:p>
        </w:tc>
        <w:tc>
          <w:tcPr>
            <w:tcW w:w="4457" w:type="pct"/>
            <w:gridSpan w:val="3"/>
          </w:tcPr>
          <w:p w:rsidR="00C53B2D" w:rsidRPr="008D6C1E" w:rsidRDefault="00C53B2D" w:rsidP="00C53B2D">
            <w:pPr>
              <w:pStyle w:val="SCCLsocParty"/>
              <w:jc w:val="both"/>
              <w:rPr>
                <w:b/>
                <w:sz w:val="20"/>
                <w:szCs w:val="20"/>
                <w:lang w:val="en-CA"/>
              </w:rPr>
            </w:pPr>
            <w:r w:rsidRPr="008D6C1E">
              <w:rPr>
                <w:b/>
                <w:sz w:val="20"/>
                <w:szCs w:val="20"/>
                <w:lang w:val="en-CA"/>
              </w:rPr>
              <w:t>Sébastien Paradis v. Attorney General of Canada</w:t>
            </w:r>
          </w:p>
          <w:p w:rsidR="00C53B2D" w:rsidRPr="008D6C1E" w:rsidRDefault="00C53B2D" w:rsidP="00C53B2D">
            <w:pPr>
              <w:jc w:val="both"/>
              <w:rPr>
                <w:sz w:val="20"/>
                <w:lang w:val="en-CA"/>
              </w:rPr>
            </w:pPr>
            <w:r w:rsidRPr="008D6C1E">
              <w:rPr>
                <w:sz w:val="20"/>
                <w:lang w:val="en-CA"/>
              </w:rPr>
              <w:t>(FC) (Civil) (By Leave)</w:t>
            </w:r>
          </w:p>
        </w:tc>
      </w:tr>
      <w:tr w:rsidR="00C53B2D" w:rsidRPr="008D6C1E" w:rsidTr="002B5CF4">
        <w:tc>
          <w:tcPr>
            <w:tcW w:w="5000" w:type="pct"/>
            <w:gridSpan w:val="4"/>
          </w:tcPr>
          <w:p w:rsidR="00C53B2D" w:rsidRPr="008D6C1E" w:rsidRDefault="00C53B2D" w:rsidP="00C53B2D">
            <w:pPr>
              <w:jc w:val="both"/>
              <w:rPr>
                <w:sz w:val="20"/>
                <w:lang w:val="en-CA"/>
              </w:rPr>
            </w:pPr>
            <w:proofErr w:type="gramStart"/>
            <w:r w:rsidRPr="008D6C1E">
              <w:rPr>
                <w:iCs/>
                <w:sz w:val="20"/>
                <w:lang w:val="en-CA"/>
              </w:rPr>
              <w:t>Social welfare law — Employment insurance — Judicial review — Section </w:t>
            </w:r>
            <w:r w:rsidRPr="008D6C1E">
              <w:rPr>
                <w:sz w:val="20"/>
                <w:lang w:val="en-CA"/>
              </w:rPr>
              <w:t xml:space="preserve">11(4) of </w:t>
            </w:r>
            <w:r w:rsidRPr="008D6C1E">
              <w:rPr>
                <w:i/>
                <w:iCs/>
                <w:sz w:val="20"/>
                <w:lang w:val="en-CA"/>
              </w:rPr>
              <w:t>Employment Insurance Act</w:t>
            </w:r>
            <w:r w:rsidRPr="008D6C1E">
              <w:rPr>
                <w:sz w:val="20"/>
                <w:lang w:val="en-CA"/>
              </w:rPr>
              <w:t xml:space="preserve"> providing that insured person is deemed to have worked full working week if person regularly works greater number of hours than are normally worked in week by persons employed in full</w:t>
            </w:r>
            <w:r w:rsidRPr="008D6C1E">
              <w:rPr>
                <w:sz w:val="20"/>
                <w:lang w:val="en-CA"/>
              </w:rPr>
              <w:noBreakHyphen/>
              <w:t xml:space="preserve">time employment and person is entitled to period of leave to compensate for extra time worked — Employment Insurance </w:t>
            </w:r>
            <w:r w:rsidRPr="008D6C1E">
              <w:rPr>
                <w:iCs/>
                <w:sz w:val="20"/>
                <w:lang w:val="en-CA"/>
              </w:rPr>
              <w:t>Commission denying claims for employment insurance benefits on ground that periods of leave in question were part of work schedule</w:t>
            </w:r>
            <w:r w:rsidRPr="008D6C1E">
              <w:rPr>
                <w:rStyle w:val="citationcar"/>
                <w:sz w:val="20"/>
                <w:lang w:val="en-CA"/>
              </w:rPr>
              <w:t xml:space="preserve"> — Board of referees interpreting s. 11(4) of </w:t>
            </w:r>
            <w:r w:rsidRPr="008D6C1E">
              <w:rPr>
                <w:i/>
                <w:iCs/>
                <w:sz w:val="20"/>
                <w:lang w:val="en-CA"/>
              </w:rPr>
              <w:t>Employment Insurance Act</w:t>
            </w:r>
            <w:r w:rsidRPr="008D6C1E">
              <w:rPr>
                <w:iCs/>
                <w:sz w:val="20"/>
                <w:lang w:val="en-CA"/>
              </w:rPr>
              <w:t xml:space="preserve"> by comparing applicant’s working week to that of full</w:t>
            </w:r>
            <w:r w:rsidRPr="008D6C1E">
              <w:rPr>
                <w:iCs/>
                <w:sz w:val="20"/>
                <w:lang w:val="en-CA"/>
              </w:rPr>
              <w:noBreakHyphen/>
              <w:t xml:space="preserve">time employees in same field </w:t>
            </w:r>
            <w:r w:rsidRPr="008D6C1E">
              <w:rPr>
                <w:rStyle w:val="citationcar"/>
                <w:sz w:val="20"/>
                <w:lang w:val="en-CA"/>
              </w:rPr>
              <w:t>— Appeal Division of Social Security Tribunal dismissing Commission’s appeal — Whether Federal Court of Appeal erred in law in finding that interpretation adopted by board of referees was not reasonable</w:t>
            </w:r>
            <w:r w:rsidRPr="008D6C1E">
              <w:rPr>
                <w:sz w:val="20"/>
                <w:lang w:val="en-CA"/>
              </w:rPr>
              <w:t xml:space="preserve"> — </w:t>
            </w:r>
            <w:r w:rsidRPr="008D6C1E">
              <w:rPr>
                <w:i/>
                <w:iCs/>
                <w:sz w:val="20"/>
                <w:lang w:val="en-CA"/>
              </w:rPr>
              <w:t>Employment Insurance Act</w:t>
            </w:r>
            <w:r w:rsidRPr="008D6C1E">
              <w:rPr>
                <w:iCs/>
                <w:sz w:val="20"/>
                <w:lang w:val="en-CA"/>
              </w:rPr>
              <w:t>,</w:t>
            </w:r>
            <w:r w:rsidRPr="008D6C1E">
              <w:rPr>
                <w:sz w:val="20"/>
                <w:lang w:val="en-CA"/>
              </w:rPr>
              <w:t xml:space="preserve"> S.C. 1996, c. 23, s. 11(4).</w:t>
            </w:r>
            <w:proofErr w:type="gramEnd"/>
          </w:p>
          <w:p w:rsidR="00C53B2D" w:rsidRPr="008D6C1E" w:rsidRDefault="00C53B2D" w:rsidP="00C53B2D">
            <w:pPr>
              <w:jc w:val="both"/>
              <w:rPr>
                <w:sz w:val="20"/>
                <w:lang w:val="en-CA"/>
              </w:rPr>
            </w:pPr>
          </w:p>
        </w:tc>
      </w:tr>
      <w:tr w:rsidR="00C53B2D" w:rsidRPr="008D6C1E" w:rsidTr="002B5CF4">
        <w:tc>
          <w:tcPr>
            <w:tcW w:w="5000" w:type="pct"/>
            <w:gridSpan w:val="4"/>
          </w:tcPr>
          <w:p w:rsidR="00C53B2D" w:rsidRPr="008D6C1E" w:rsidRDefault="00C53B2D" w:rsidP="00C53B2D">
            <w:pPr>
              <w:jc w:val="both"/>
              <w:rPr>
                <w:sz w:val="20"/>
                <w:lang w:val="en-CA"/>
              </w:rPr>
            </w:pPr>
            <w:r w:rsidRPr="008D6C1E">
              <w:rPr>
                <w:sz w:val="20"/>
                <w:lang w:val="en-CA"/>
              </w:rPr>
              <w:t>Mr. Paradis was a long</w:t>
            </w:r>
            <w:r w:rsidRPr="008D6C1E">
              <w:rPr>
                <w:sz w:val="20"/>
                <w:lang w:val="en-CA"/>
              </w:rPr>
              <w:noBreakHyphen/>
              <w:t>distance truck driver. At the time of hiring, his employer and the truck drivers agreed that the drivers would work every second week on an alternating basis, which allowed the employer to maximize the profitability of its business. During the years relevant to this case, Mr. Paradis worked an average of 55 to 60 hours per week every second week. He received no pay for the weeks of rest.</w:t>
            </w:r>
          </w:p>
          <w:p w:rsidR="00C53B2D" w:rsidRPr="008D6C1E" w:rsidRDefault="00C53B2D" w:rsidP="00C53B2D">
            <w:pPr>
              <w:jc w:val="both"/>
              <w:rPr>
                <w:sz w:val="20"/>
                <w:lang w:val="en-CA"/>
              </w:rPr>
            </w:pPr>
          </w:p>
          <w:p w:rsidR="00C53B2D" w:rsidRPr="008D6C1E" w:rsidRDefault="00C53B2D" w:rsidP="00C53B2D">
            <w:pPr>
              <w:jc w:val="both"/>
              <w:rPr>
                <w:sz w:val="20"/>
                <w:lang w:val="en-CA"/>
              </w:rPr>
            </w:pPr>
            <w:r w:rsidRPr="008D6C1E">
              <w:rPr>
                <w:sz w:val="20"/>
                <w:lang w:val="en-CA"/>
              </w:rPr>
              <w:t xml:space="preserve">Mr. Paradis made a claim for employment insurance benefits for the alternating weeks when he did not work, citing a shortage of work as the reason. The Canada Employment Insurance Commission (“Commission”) made a series of decisions denying his claim for benefits on the ground that the periods of leave in question were part of his work schedule, as provided for in s. 11(4) of the </w:t>
            </w:r>
            <w:r w:rsidRPr="008D6C1E">
              <w:rPr>
                <w:i/>
                <w:iCs/>
                <w:sz w:val="20"/>
                <w:lang w:val="en-CA"/>
              </w:rPr>
              <w:t>Employment Insurance Act</w:t>
            </w:r>
            <w:r w:rsidRPr="008D6C1E">
              <w:rPr>
                <w:sz w:val="20"/>
                <w:lang w:val="en-CA"/>
              </w:rPr>
              <w:t>, S.C. 1996, c. 23 (“Act”). The board of referees allowed his appeal on the ground that he did not work a greater number of hours than the normal week in his industry and was therefore not on leave during the alternating weeks. The Appeal Division of the Social Security Tribunal dismissed the Commission’s appeal.</w:t>
            </w:r>
          </w:p>
        </w:tc>
      </w:tr>
      <w:tr w:rsidR="00C53B2D" w:rsidRPr="008D6C1E" w:rsidTr="002B5CF4">
        <w:tc>
          <w:tcPr>
            <w:tcW w:w="5000" w:type="pct"/>
            <w:gridSpan w:val="4"/>
          </w:tcPr>
          <w:p w:rsidR="00C53B2D" w:rsidRPr="008D6C1E" w:rsidRDefault="00C53B2D" w:rsidP="00C53B2D">
            <w:pPr>
              <w:jc w:val="both"/>
              <w:rPr>
                <w:sz w:val="20"/>
                <w:lang w:val="en-CA"/>
              </w:rPr>
            </w:pPr>
          </w:p>
        </w:tc>
      </w:tr>
      <w:tr w:rsidR="00C53B2D" w:rsidRPr="008D6C1E" w:rsidTr="002B5CF4">
        <w:tc>
          <w:tcPr>
            <w:tcW w:w="2427" w:type="pct"/>
            <w:gridSpan w:val="2"/>
          </w:tcPr>
          <w:p w:rsidR="00C53B2D" w:rsidRPr="008D6C1E" w:rsidRDefault="00C53B2D" w:rsidP="00C53B2D">
            <w:pPr>
              <w:jc w:val="both"/>
              <w:rPr>
                <w:sz w:val="20"/>
                <w:lang w:val="en-CA"/>
              </w:rPr>
            </w:pPr>
            <w:r w:rsidRPr="008D6C1E">
              <w:rPr>
                <w:sz w:val="20"/>
                <w:lang w:val="en-CA"/>
              </w:rPr>
              <w:t>November 4, 2015</w:t>
            </w:r>
          </w:p>
          <w:p w:rsidR="00C53B2D" w:rsidRPr="008D6C1E" w:rsidRDefault="00C53B2D" w:rsidP="00C53B2D">
            <w:pPr>
              <w:jc w:val="both"/>
              <w:rPr>
                <w:sz w:val="20"/>
                <w:lang w:val="en-CA"/>
              </w:rPr>
            </w:pPr>
            <w:r w:rsidRPr="008D6C1E">
              <w:rPr>
                <w:sz w:val="20"/>
                <w:lang w:val="en-CA"/>
              </w:rPr>
              <w:t>Federal Court of Appeal</w:t>
            </w:r>
          </w:p>
          <w:p w:rsidR="00C53B2D" w:rsidRPr="008D6C1E" w:rsidRDefault="00C53B2D" w:rsidP="00C53B2D">
            <w:pPr>
              <w:jc w:val="both"/>
              <w:rPr>
                <w:sz w:val="20"/>
                <w:lang w:val="en-CA"/>
              </w:rPr>
            </w:pPr>
            <w:r w:rsidRPr="008D6C1E">
              <w:rPr>
                <w:sz w:val="20"/>
                <w:lang w:val="en-CA"/>
              </w:rPr>
              <w:t>(Nadon, Boivin and De Montigny JJ.A.)</w:t>
            </w:r>
          </w:p>
          <w:p w:rsidR="00C53B2D" w:rsidRPr="008D6C1E" w:rsidRDefault="005E6DC4" w:rsidP="00C53B2D">
            <w:pPr>
              <w:jc w:val="both"/>
              <w:rPr>
                <w:sz w:val="20"/>
                <w:lang w:val="en-CA"/>
              </w:rPr>
            </w:pPr>
            <w:hyperlink r:id="rId98" w:history="1">
              <w:r w:rsidR="00C53B2D" w:rsidRPr="008D6C1E">
                <w:rPr>
                  <w:rStyle w:val="Hyperlink"/>
                  <w:sz w:val="20"/>
                  <w:lang w:val="en-CA"/>
                </w:rPr>
                <w:t>2015 FCA 242</w:t>
              </w:r>
            </w:hyperlink>
            <w:r w:rsidR="00C53B2D" w:rsidRPr="008D6C1E">
              <w:rPr>
                <w:sz w:val="20"/>
                <w:lang w:val="en-CA"/>
              </w:rPr>
              <w:t xml:space="preserve"> </w:t>
            </w:r>
          </w:p>
          <w:p w:rsidR="00C53B2D" w:rsidRPr="008D6C1E" w:rsidRDefault="00C53B2D" w:rsidP="00C53B2D">
            <w:pPr>
              <w:jc w:val="both"/>
              <w:rPr>
                <w:sz w:val="20"/>
                <w:lang w:val="en-CA"/>
              </w:rPr>
            </w:pPr>
          </w:p>
        </w:tc>
        <w:tc>
          <w:tcPr>
            <w:tcW w:w="243" w:type="pct"/>
          </w:tcPr>
          <w:p w:rsidR="00C53B2D" w:rsidRPr="008D6C1E" w:rsidRDefault="00C53B2D" w:rsidP="00C53B2D">
            <w:pPr>
              <w:jc w:val="both"/>
              <w:rPr>
                <w:sz w:val="20"/>
                <w:lang w:val="en-CA"/>
              </w:rPr>
            </w:pPr>
          </w:p>
        </w:tc>
        <w:tc>
          <w:tcPr>
            <w:tcW w:w="2330" w:type="pct"/>
          </w:tcPr>
          <w:p w:rsidR="00C53B2D" w:rsidRPr="008D6C1E" w:rsidRDefault="00C53B2D" w:rsidP="00C53B2D">
            <w:pPr>
              <w:jc w:val="both"/>
              <w:rPr>
                <w:sz w:val="20"/>
                <w:lang w:val="en-CA"/>
              </w:rPr>
            </w:pPr>
            <w:r w:rsidRPr="008D6C1E">
              <w:rPr>
                <w:sz w:val="20"/>
                <w:lang w:val="en-CA"/>
              </w:rPr>
              <w:t xml:space="preserve">Application for judicial review allowed </w:t>
            </w:r>
          </w:p>
          <w:p w:rsidR="00C53B2D" w:rsidRPr="008D6C1E" w:rsidRDefault="00C53B2D" w:rsidP="00C53B2D">
            <w:pPr>
              <w:jc w:val="both"/>
              <w:rPr>
                <w:sz w:val="20"/>
                <w:lang w:val="en-CA"/>
              </w:rPr>
            </w:pPr>
          </w:p>
        </w:tc>
      </w:tr>
      <w:tr w:rsidR="00C53B2D" w:rsidRPr="008D6C1E" w:rsidTr="002B5CF4">
        <w:tc>
          <w:tcPr>
            <w:tcW w:w="2427" w:type="pct"/>
            <w:gridSpan w:val="2"/>
          </w:tcPr>
          <w:p w:rsidR="00C53B2D" w:rsidRPr="008D6C1E" w:rsidRDefault="00C53B2D" w:rsidP="00C53B2D">
            <w:pPr>
              <w:jc w:val="both"/>
              <w:rPr>
                <w:sz w:val="20"/>
                <w:lang w:val="en-CA"/>
              </w:rPr>
            </w:pPr>
            <w:r w:rsidRPr="008D6C1E">
              <w:rPr>
                <w:sz w:val="20"/>
                <w:lang w:val="en-CA"/>
              </w:rPr>
              <w:t>December 31, 2015</w:t>
            </w:r>
          </w:p>
          <w:p w:rsidR="00C53B2D" w:rsidRPr="008D6C1E" w:rsidRDefault="00C53B2D" w:rsidP="00C53B2D">
            <w:pPr>
              <w:jc w:val="both"/>
              <w:rPr>
                <w:sz w:val="20"/>
                <w:lang w:val="en-CA"/>
              </w:rPr>
            </w:pPr>
            <w:r w:rsidRPr="008D6C1E">
              <w:rPr>
                <w:sz w:val="20"/>
                <w:lang w:val="en-CA"/>
              </w:rPr>
              <w:t>Supreme Court of Canada</w:t>
            </w:r>
          </w:p>
        </w:tc>
        <w:tc>
          <w:tcPr>
            <w:tcW w:w="243" w:type="pct"/>
          </w:tcPr>
          <w:p w:rsidR="00C53B2D" w:rsidRPr="008D6C1E" w:rsidRDefault="00C53B2D" w:rsidP="00C53B2D">
            <w:pPr>
              <w:jc w:val="both"/>
              <w:rPr>
                <w:sz w:val="20"/>
                <w:lang w:val="en-CA"/>
              </w:rPr>
            </w:pPr>
          </w:p>
        </w:tc>
        <w:tc>
          <w:tcPr>
            <w:tcW w:w="2330" w:type="pct"/>
          </w:tcPr>
          <w:p w:rsidR="00C53B2D" w:rsidRPr="008D6C1E" w:rsidRDefault="00C53B2D" w:rsidP="00C53B2D">
            <w:pPr>
              <w:jc w:val="both"/>
              <w:rPr>
                <w:sz w:val="20"/>
                <w:lang w:val="en-CA"/>
              </w:rPr>
            </w:pPr>
            <w:r w:rsidRPr="008D6C1E">
              <w:rPr>
                <w:sz w:val="20"/>
                <w:lang w:val="en-CA"/>
              </w:rPr>
              <w:t>Application for leave to appeal filed</w:t>
            </w:r>
          </w:p>
          <w:p w:rsidR="00C53B2D" w:rsidRPr="008D6C1E" w:rsidRDefault="00C53B2D" w:rsidP="00C53B2D">
            <w:pPr>
              <w:jc w:val="both"/>
              <w:rPr>
                <w:sz w:val="20"/>
                <w:lang w:val="en-CA"/>
              </w:rPr>
            </w:pPr>
          </w:p>
        </w:tc>
      </w:tr>
    </w:tbl>
    <w:p w:rsidR="00C53B2D" w:rsidRPr="008D6C1E" w:rsidRDefault="00C53B2D" w:rsidP="00C53B2D">
      <w:pPr>
        <w:jc w:val="both"/>
        <w:rPr>
          <w:sz w:val="20"/>
          <w:lang w:val="en-CA"/>
        </w:rPr>
      </w:pPr>
    </w:p>
    <w:p w:rsidR="00C53B2D" w:rsidRPr="008D6C1E" w:rsidRDefault="00C53B2D" w:rsidP="00C53B2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53B2D" w:rsidRPr="008D6C1E" w:rsidTr="002B5CF4">
        <w:tc>
          <w:tcPr>
            <w:tcW w:w="543" w:type="pct"/>
          </w:tcPr>
          <w:p w:rsidR="00C53B2D" w:rsidRPr="008D6C1E" w:rsidRDefault="00C53B2D" w:rsidP="00C53B2D">
            <w:pPr>
              <w:jc w:val="both"/>
              <w:rPr>
                <w:sz w:val="20"/>
              </w:rPr>
            </w:pPr>
            <w:r w:rsidRPr="008D6C1E">
              <w:rPr>
                <w:rStyle w:val="SCCFileNumberChar"/>
                <w:sz w:val="20"/>
                <w:szCs w:val="20"/>
              </w:rPr>
              <w:t>36789</w:t>
            </w:r>
          </w:p>
        </w:tc>
        <w:tc>
          <w:tcPr>
            <w:tcW w:w="4457" w:type="pct"/>
            <w:gridSpan w:val="3"/>
          </w:tcPr>
          <w:p w:rsidR="00C53B2D" w:rsidRPr="008D6C1E" w:rsidRDefault="00C53B2D" w:rsidP="00C53B2D">
            <w:pPr>
              <w:pStyle w:val="SCCLsocParty"/>
              <w:jc w:val="both"/>
              <w:rPr>
                <w:b/>
                <w:sz w:val="20"/>
                <w:szCs w:val="20"/>
              </w:rPr>
            </w:pPr>
            <w:r w:rsidRPr="008D6C1E">
              <w:rPr>
                <w:b/>
                <w:sz w:val="20"/>
                <w:szCs w:val="20"/>
              </w:rPr>
              <w:t>Sébastien Paradis c. Procureur général du Canada</w:t>
            </w:r>
          </w:p>
          <w:p w:rsidR="00C53B2D" w:rsidRPr="008D6C1E" w:rsidRDefault="00C53B2D" w:rsidP="00C53B2D">
            <w:pPr>
              <w:jc w:val="both"/>
              <w:rPr>
                <w:sz w:val="20"/>
              </w:rPr>
            </w:pPr>
            <w:r w:rsidRPr="008D6C1E">
              <w:rPr>
                <w:sz w:val="20"/>
              </w:rPr>
              <w:t>(CF) (Civile) (Autorisation)</w:t>
            </w:r>
          </w:p>
        </w:tc>
      </w:tr>
      <w:tr w:rsidR="00C53B2D" w:rsidRPr="002C1A32" w:rsidTr="002B5CF4">
        <w:tc>
          <w:tcPr>
            <w:tcW w:w="5000" w:type="pct"/>
            <w:gridSpan w:val="4"/>
          </w:tcPr>
          <w:p w:rsidR="00C53B2D" w:rsidRPr="002C1A32" w:rsidRDefault="00C53B2D" w:rsidP="00C53B2D">
            <w:pPr>
              <w:jc w:val="both"/>
              <w:rPr>
                <w:sz w:val="20"/>
                <w:lang w:val="fr-CA"/>
              </w:rPr>
            </w:pPr>
            <w:r w:rsidRPr="002C1A32">
              <w:rPr>
                <w:iCs/>
                <w:sz w:val="20"/>
                <w:lang w:val="fr-CA"/>
              </w:rPr>
              <w:t xml:space="preserve">Droit social — Assurance-emploi — Contrôle judiciaire — </w:t>
            </w:r>
            <w:r w:rsidRPr="002C1A32">
              <w:rPr>
                <w:sz w:val="20"/>
                <w:lang w:val="fr-CA"/>
              </w:rPr>
              <w:t xml:space="preserve">Paragraphe 11(4) de la </w:t>
            </w:r>
            <w:r w:rsidRPr="002C1A32">
              <w:rPr>
                <w:i/>
                <w:iCs/>
                <w:sz w:val="20"/>
                <w:lang w:val="fr-CA"/>
              </w:rPr>
              <w:t>Loi sur l’assurance-emploi</w:t>
            </w:r>
            <w:r w:rsidRPr="002C1A32">
              <w:rPr>
                <w:sz w:val="20"/>
                <w:lang w:val="fr-CA"/>
              </w:rPr>
              <w:t xml:space="preserve"> prévoyant que </w:t>
            </w:r>
            <w:r w:rsidRPr="008D6C1E">
              <w:rPr>
                <w:sz w:val="20"/>
                <w:lang w:val="fr-FR"/>
              </w:rPr>
              <w:t xml:space="preserve">l’assuré qui travaille habituellement plus d’heures que ne travaillent habituellement au cours d’une semaine des personnes employées à plein temps et qui a droit à une période de congé est censé avoir travaillé une semaine entière de travail </w:t>
            </w:r>
            <w:r w:rsidRPr="002C1A32">
              <w:rPr>
                <w:sz w:val="20"/>
                <w:lang w:val="fr-CA"/>
              </w:rPr>
              <w:t xml:space="preserve">— </w:t>
            </w:r>
            <w:r w:rsidRPr="002C1A32">
              <w:rPr>
                <w:iCs/>
                <w:sz w:val="20"/>
                <w:lang w:val="fr-CA"/>
              </w:rPr>
              <w:t xml:space="preserve">Commission de l’assurance-emploi rejetant </w:t>
            </w:r>
            <w:r w:rsidRPr="002C1A32">
              <w:rPr>
                <w:sz w:val="20"/>
                <w:lang w:val="fr-CA"/>
              </w:rPr>
              <w:t xml:space="preserve">les demandes de prestations d’assurance-emploi au motif que les périodes de congé visées </w:t>
            </w:r>
            <w:r w:rsidRPr="002C1A32">
              <w:rPr>
                <w:rStyle w:val="citationcar"/>
                <w:sz w:val="20"/>
                <w:lang w:val="fr-CA"/>
              </w:rPr>
              <w:t xml:space="preserve">font partie de l’horaire de travail — Le conseil arbitral interprétant le paragraphe 11(4) </w:t>
            </w:r>
            <w:r w:rsidRPr="002C1A32">
              <w:rPr>
                <w:sz w:val="20"/>
                <w:lang w:val="fr-CA"/>
              </w:rPr>
              <w:t xml:space="preserve">de la </w:t>
            </w:r>
            <w:r w:rsidRPr="002C1A32">
              <w:rPr>
                <w:i/>
                <w:iCs/>
                <w:sz w:val="20"/>
                <w:lang w:val="fr-CA"/>
              </w:rPr>
              <w:t>Loi sur l’assurance-emploi</w:t>
            </w:r>
            <w:r w:rsidRPr="002C1A32">
              <w:rPr>
                <w:iCs/>
                <w:sz w:val="20"/>
                <w:lang w:val="fr-CA"/>
              </w:rPr>
              <w:t xml:space="preserve"> en </w:t>
            </w:r>
            <w:r w:rsidRPr="002C1A32">
              <w:rPr>
                <w:sz w:val="20"/>
                <w:lang w:val="fr-CA"/>
              </w:rPr>
              <w:t>comparant la semaine de travail du demandeur à celle des employés à temps plein dans le même domaine</w:t>
            </w:r>
            <w:r w:rsidRPr="002C1A32">
              <w:rPr>
                <w:iCs/>
                <w:sz w:val="20"/>
                <w:lang w:val="fr-CA"/>
              </w:rPr>
              <w:t xml:space="preserve"> </w:t>
            </w:r>
            <w:r w:rsidRPr="002C1A32">
              <w:rPr>
                <w:rStyle w:val="citationcar"/>
                <w:sz w:val="20"/>
                <w:lang w:val="fr-CA"/>
              </w:rPr>
              <w:t xml:space="preserve">— La Division d’appel du Tribunal de la sécurité sociale rejetant l’appel de la Commission — </w:t>
            </w:r>
            <w:r w:rsidRPr="002C1A32">
              <w:rPr>
                <w:sz w:val="20"/>
                <w:lang w:val="fr-CA"/>
              </w:rPr>
              <w:t xml:space="preserve">La Cour d’appel fédérale a-t-elle erré en droit en concluant que l’interprétation adoptée par le conseil arbitral n’était pas raisonnable? — </w:t>
            </w:r>
            <w:r w:rsidRPr="002C1A32">
              <w:rPr>
                <w:i/>
                <w:iCs/>
                <w:sz w:val="20"/>
                <w:lang w:val="fr-CA"/>
              </w:rPr>
              <w:t>Loi sur l’assurance-emploi</w:t>
            </w:r>
            <w:r w:rsidRPr="002C1A32">
              <w:rPr>
                <w:iCs/>
                <w:sz w:val="20"/>
                <w:lang w:val="fr-CA"/>
              </w:rPr>
              <w:t>,</w:t>
            </w:r>
            <w:r w:rsidRPr="002C1A32">
              <w:rPr>
                <w:sz w:val="20"/>
                <w:lang w:val="fr-CA"/>
              </w:rPr>
              <w:t xml:space="preserve"> L.C. 1996, c. 23, par. 11(4).</w:t>
            </w:r>
          </w:p>
          <w:p w:rsidR="00C53B2D" w:rsidRPr="002C1A32" w:rsidRDefault="00C53B2D" w:rsidP="00C53B2D">
            <w:pPr>
              <w:jc w:val="both"/>
              <w:rPr>
                <w:sz w:val="20"/>
                <w:lang w:val="fr-CA"/>
              </w:rPr>
            </w:pPr>
          </w:p>
        </w:tc>
      </w:tr>
      <w:tr w:rsidR="00C53B2D" w:rsidRPr="002C1A32" w:rsidTr="002B5CF4">
        <w:tc>
          <w:tcPr>
            <w:tcW w:w="5000" w:type="pct"/>
            <w:gridSpan w:val="4"/>
          </w:tcPr>
          <w:p w:rsidR="00C53B2D" w:rsidRPr="002C1A32" w:rsidRDefault="00C53B2D" w:rsidP="00C53B2D">
            <w:pPr>
              <w:jc w:val="both"/>
              <w:rPr>
                <w:sz w:val="20"/>
                <w:lang w:val="fr-CA"/>
              </w:rPr>
            </w:pPr>
            <w:r w:rsidRPr="002C1A32">
              <w:rPr>
                <w:sz w:val="20"/>
                <w:lang w:val="fr-CA"/>
              </w:rPr>
              <w:lastRenderedPageBreak/>
              <w:t>M. Paradis est un camionneur de longue distance. Lors de l’embauche, son employeur et les camionneurs s’entendent à ce que ces derniers travailleront une semaine sur deux en alternance, ce qui permet à l’employeur de maximiser la rentabilité de son commerce. Au cours des années pertinentes au présent litige, M. Paradis travaille en moyenne de 55 à 60 heures par semaine, une semaine sur deux. Il ne reçoit aucune rémunération pour les semaines de repos.</w:t>
            </w:r>
          </w:p>
          <w:p w:rsidR="00C53B2D" w:rsidRPr="002C1A32" w:rsidRDefault="00C53B2D" w:rsidP="00C53B2D">
            <w:pPr>
              <w:jc w:val="both"/>
              <w:rPr>
                <w:sz w:val="20"/>
                <w:lang w:val="fr-CA"/>
              </w:rPr>
            </w:pPr>
          </w:p>
          <w:p w:rsidR="00C53B2D" w:rsidRPr="002C1A32" w:rsidRDefault="00C53B2D" w:rsidP="00C53B2D">
            <w:pPr>
              <w:jc w:val="both"/>
              <w:rPr>
                <w:sz w:val="20"/>
                <w:lang w:val="fr-CA"/>
              </w:rPr>
            </w:pPr>
            <w:r w:rsidRPr="002C1A32">
              <w:rPr>
                <w:sz w:val="20"/>
                <w:lang w:val="fr-CA"/>
              </w:rPr>
              <w:t xml:space="preserve">M. Paradis a fait une demande de prestations d’assurance-emploi pour les semaines en alternance où il ne travaille pas, au motif de manque de travail. La Commission de l’assurance-emploi du Canada (« Commission ») rend une série de décisions rejetant sa demande de prestations au motif que les périodes de congé visées </w:t>
            </w:r>
            <w:r w:rsidRPr="002C1A32">
              <w:rPr>
                <w:rStyle w:val="citationcar"/>
                <w:sz w:val="20"/>
                <w:lang w:val="fr-CA"/>
              </w:rPr>
              <w:t>font partie de l’horaire de travail de M. Paradis</w:t>
            </w:r>
            <w:r w:rsidRPr="002C1A32">
              <w:rPr>
                <w:sz w:val="20"/>
                <w:lang w:val="fr-CA"/>
              </w:rPr>
              <w:t xml:space="preserve">, tel que prévu à l’art. 11(4) de la </w:t>
            </w:r>
            <w:r w:rsidRPr="002C1A32">
              <w:rPr>
                <w:i/>
                <w:iCs/>
                <w:sz w:val="20"/>
                <w:lang w:val="fr-CA"/>
              </w:rPr>
              <w:t>Loi sur l’assurance-emploi</w:t>
            </w:r>
            <w:r w:rsidRPr="002C1A32">
              <w:rPr>
                <w:sz w:val="20"/>
                <w:lang w:val="fr-CA"/>
              </w:rPr>
              <w:t>, L.C. 1996, c. 23 (« Loi »). Le conseil arbitral accueille l’appel de M. Paradis au motif que ce dernier ne travaillait pas plus d’heures que la semaine normale dans son industrie et n’était donc pas en période de congé lors des semaines en alternance. La Division d’appel du Tribunal de la sécurité sociale rejette l’appel de la Commission.</w:t>
            </w:r>
          </w:p>
        </w:tc>
      </w:tr>
      <w:tr w:rsidR="00C53B2D" w:rsidRPr="002C1A32" w:rsidTr="002B5CF4">
        <w:tc>
          <w:tcPr>
            <w:tcW w:w="5000" w:type="pct"/>
            <w:gridSpan w:val="4"/>
          </w:tcPr>
          <w:p w:rsidR="00C53B2D" w:rsidRPr="002C1A32" w:rsidRDefault="00C53B2D" w:rsidP="00C53B2D">
            <w:pPr>
              <w:jc w:val="both"/>
              <w:rPr>
                <w:sz w:val="20"/>
                <w:lang w:val="fr-CA"/>
              </w:rPr>
            </w:pPr>
          </w:p>
        </w:tc>
      </w:tr>
      <w:tr w:rsidR="00C53B2D" w:rsidRPr="008D6C1E" w:rsidTr="002B5CF4">
        <w:tc>
          <w:tcPr>
            <w:tcW w:w="2427" w:type="pct"/>
            <w:gridSpan w:val="2"/>
          </w:tcPr>
          <w:p w:rsidR="00C53B2D" w:rsidRPr="002C1A32" w:rsidRDefault="00C53B2D" w:rsidP="00C53B2D">
            <w:pPr>
              <w:jc w:val="both"/>
              <w:rPr>
                <w:sz w:val="20"/>
                <w:lang w:val="fr-CA"/>
              </w:rPr>
            </w:pPr>
            <w:r w:rsidRPr="002C1A32">
              <w:rPr>
                <w:sz w:val="20"/>
                <w:lang w:val="fr-CA"/>
              </w:rPr>
              <w:t>Le 4 novembre 2015</w:t>
            </w:r>
          </w:p>
          <w:p w:rsidR="00C53B2D" w:rsidRPr="002C1A32" w:rsidRDefault="00C53B2D" w:rsidP="00C53B2D">
            <w:pPr>
              <w:jc w:val="both"/>
              <w:rPr>
                <w:sz w:val="20"/>
                <w:lang w:val="fr-CA"/>
              </w:rPr>
            </w:pPr>
            <w:r w:rsidRPr="002C1A32">
              <w:rPr>
                <w:sz w:val="20"/>
                <w:lang w:val="fr-CA"/>
              </w:rPr>
              <w:t>Cour d’appel fédérale</w:t>
            </w:r>
          </w:p>
          <w:p w:rsidR="00C53B2D" w:rsidRPr="002C1A32" w:rsidRDefault="00C53B2D" w:rsidP="00C53B2D">
            <w:pPr>
              <w:jc w:val="both"/>
              <w:rPr>
                <w:sz w:val="20"/>
                <w:lang w:val="fr-CA"/>
              </w:rPr>
            </w:pPr>
            <w:r w:rsidRPr="002C1A32">
              <w:rPr>
                <w:sz w:val="20"/>
                <w:lang w:val="fr-CA"/>
              </w:rPr>
              <w:t>(Les juges Nadon, Boivin et De Montigny)</w:t>
            </w:r>
          </w:p>
          <w:p w:rsidR="00C53B2D" w:rsidRPr="008D6C1E" w:rsidRDefault="005E6DC4" w:rsidP="00C53B2D">
            <w:pPr>
              <w:jc w:val="both"/>
              <w:rPr>
                <w:sz w:val="20"/>
              </w:rPr>
            </w:pPr>
            <w:hyperlink r:id="rId99" w:history="1">
              <w:r w:rsidR="00C53B2D" w:rsidRPr="008D6C1E">
                <w:rPr>
                  <w:rStyle w:val="Hyperlink"/>
                  <w:sz w:val="20"/>
                </w:rPr>
                <w:t>2015 CAF 242</w:t>
              </w:r>
            </w:hyperlink>
            <w:r w:rsidR="00C53B2D" w:rsidRPr="008D6C1E">
              <w:rPr>
                <w:sz w:val="20"/>
              </w:rPr>
              <w:t xml:space="preserve"> </w:t>
            </w:r>
          </w:p>
          <w:p w:rsidR="00C53B2D" w:rsidRPr="008D6C1E" w:rsidRDefault="00C53B2D" w:rsidP="00C53B2D">
            <w:pPr>
              <w:jc w:val="both"/>
              <w:rPr>
                <w:sz w:val="20"/>
              </w:rPr>
            </w:pPr>
          </w:p>
        </w:tc>
        <w:tc>
          <w:tcPr>
            <w:tcW w:w="243" w:type="pct"/>
          </w:tcPr>
          <w:p w:rsidR="00C53B2D" w:rsidRPr="008D6C1E" w:rsidRDefault="00C53B2D" w:rsidP="00C53B2D">
            <w:pPr>
              <w:jc w:val="both"/>
              <w:rPr>
                <w:sz w:val="20"/>
              </w:rPr>
            </w:pPr>
          </w:p>
        </w:tc>
        <w:tc>
          <w:tcPr>
            <w:tcW w:w="2330" w:type="pct"/>
          </w:tcPr>
          <w:p w:rsidR="00C53B2D" w:rsidRPr="008D6C1E" w:rsidRDefault="00C53B2D" w:rsidP="00C53B2D">
            <w:pPr>
              <w:jc w:val="both"/>
              <w:rPr>
                <w:sz w:val="20"/>
              </w:rPr>
            </w:pPr>
            <w:r w:rsidRPr="008D6C1E">
              <w:rPr>
                <w:sz w:val="20"/>
              </w:rPr>
              <w:t xml:space="preserve">Demande de contrôle judiciaire accueillie </w:t>
            </w:r>
          </w:p>
          <w:p w:rsidR="00C53B2D" w:rsidRPr="008D6C1E" w:rsidRDefault="00C53B2D" w:rsidP="00C53B2D">
            <w:pPr>
              <w:jc w:val="both"/>
              <w:rPr>
                <w:sz w:val="20"/>
              </w:rPr>
            </w:pPr>
          </w:p>
        </w:tc>
      </w:tr>
      <w:tr w:rsidR="00C53B2D" w:rsidRPr="008D6C1E" w:rsidTr="002B5CF4">
        <w:tc>
          <w:tcPr>
            <w:tcW w:w="2427" w:type="pct"/>
            <w:gridSpan w:val="2"/>
          </w:tcPr>
          <w:p w:rsidR="00C53B2D" w:rsidRPr="002C1A32" w:rsidRDefault="00C53B2D" w:rsidP="00C53B2D">
            <w:pPr>
              <w:jc w:val="both"/>
              <w:rPr>
                <w:sz w:val="20"/>
                <w:lang w:val="fr-CA"/>
              </w:rPr>
            </w:pPr>
            <w:r w:rsidRPr="002C1A32">
              <w:rPr>
                <w:sz w:val="20"/>
                <w:lang w:val="fr-CA"/>
              </w:rPr>
              <w:t>Le 31 décembre 2015</w:t>
            </w:r>
          </w:p>
          <w:p w:rsidR="00C53B2D" w:rsidRPr="002C1A32" w:rsidRDefault="00C53B2D" w:rsidP="00C53B2D">
            <w:pPr>
              <w:jc w:val="both"/>
              <w:rPr>
                <w:sz w:val="20"/>
                <w:lang w:val="fr-CA"/>
              </w:rPr>
            </w:pPr>
            <w:r w:rsidRPr="002C1A32">
              <w:rPr>
                <w:sz w:val="20"/>
                <w:lang w:val="fr-CA"/>
              </w:rPr>
              <w:t>Cour suprême du Canada</w:t>
            </w:r>
          </w:p>
        </w:tc>
        <w:tc>
          <w:tcPr>
            <w:tcW w:w="243" w:type="pct"/>
          </w:tcPr>
          <w:p w:rsidR="00C53B2D" w:rsidRPr="002C1A32" w:rsidRDefault="00C53B2D" w:rsidP="00C53B2D">
            <w:pPr>
              <w:jc w:val="both"/>
              <w:rPr>
                <w:sz w:val="20"/>
                <w:lang w:val="fr-CA"/>
              </w:rPr>
            </w:pPr>
          </w:p>
        </w:tc>
        <w:tc>
          <w:tcPr>
            <w:tcW w:w="2330" w:type="pct"/>
          </w:tcPr>
          <w:p w:rsidR="00C53B2D" w:rsidRPr="008D6C1E" w:rsidRDefault="00C53B2D" w:rsidP="00C53B2D">
            <w:pPr>
              <w:jc w:val="both"/>
              <w:rPr>
                <w:sz w:val="20"/>
              </w:rPr>
            </w:pPr>
            <w:proofErr w:type="spellStart"/>
            <w:r w:rsidRPr="008D6C1E">
              <w:rPr>
                <w:sz w:val="20"/>
              </w:rPr>
              <w:t>Demande</w:t>
            </w:r>
            <w:proofErr w:type="spellEnd"/>
            <w:r w:rsidRPr="008D6C1E">
              <w:rPr>
                <w:sz w:val="20"/>
              </w:rPr>
              <w:t xml:space="preserve"> </w:t>
            </w:r>
            <w:proofErr w:type="spellStart"/>
            <w:r w:rsidRPr="008D6C1E">
              <w:rPr>
                <w:sz w:val="20"/>
              </w:rPr>
              <w:t>d’autorisation</w:t>
            </w:r>
            <w:proofErr w:type="spellEnd"/>
            <w:r w:rsidRPr="008D6C1E">
              <w:rPr>
                <w:sz w:val="20"/>
              </w:rPr>
              <w:t xml:space="preserve"> </w:t>
            </w:r>
            <w:proofErr w:type="spellStart"/>
            <w:r w:rsidRPr="008D6C1E">
              <w:rPr>
                <w:sz w:val="20"/>
              </w:rPr>
              <w:t>d’appel</w:t>
            </w:r>
            <w:proofErr w:type="spellEnd"/>
            <w:r w:rsidRPr="008D6C1E">
              <w:rPr>
                <w:sz w:val="20"/>
              </w:rPr>
              <w:t xml:space="preserve"> </w:t>
            </w:r>
            <w:proofErr w:type="spellStart"/>
            <w:r w:rsidRPr="008D6C1E">
              <w:rPr>
                <w:sz w:val="20"/>
              </w:rPr>
              <w:t>déposée</w:t>
            </w:r>
            <w:proofErr w:type="spellEnd"/>
          </w:p>
          <w:p w:rsidR="00C53B2D" w:rsidRPr="008D6C1E" w:rsidRDefault="00C53B2D" w:rsidP="00C53B2D">
            <w:pPr>
              <w:jc w:val="both"/>
              <w:rPr>
                <w:sz w:val="20"/>
              </w:rPr>
            </w:pPr>
          </w:p>
        </w:tc>
      </w:tr>
    </w:tbl>
    <w:p w:rsidR="00C53B2D" w:rsidRPr="008D6C1E" w:rsidRDefault="00C53B2D" w:rsidP="00C53B2D">
      <w:pPr>
        <w:jc w:val="both"/>
        <w:rPr>
          <w:sz w:val="20"/>
        </w:rPr>
      </w:pPr>
    </w:p>
    <w:p w:rsidR="00A84B07" w:rsidRPr="008D6C1E" w:rsidRDefault="00A84B07" w:rsidP="00FB0FDE">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FDE" w:rsidRPr="008D6C1E" w:rsidTr="002B5CF4">
        <w:tc>
          <w:tcPr>
            <w:tcW w:w="543" w:type="pct"/>
          </w:tcPr>
          <w:p w:rsidR="00FB0FDE" w:rsidRPr="008D6C1E" w:rsidRDefault="00FB0FDE" w:rsidP="00FB0FDE">
            <w:pPr>
              <w:jc w:val="both"/>
              <w:rPr>
                <w:sz w:val="20"/>
              </w:rPr>
            </w:pPr>
            <w:r w:rsidRPr="008D6C1E">
              <w:rPr>
                <w:rStyle w:val="SCCFileNumberChar"/>
                <w:sz w:val="20"/>
                <w:szCs w:val="20"/>
              </w:rPr>
              <w:t>36811</w:t>
            </w:r>
          </w:p>
        </w:tc>
        <w:tc>
          <w:tcPr>
            <w:tcW w:w="4457" w:type="pct"/>
            <w:gridSpan w:val="3"/>
          </w:tcPr>
          <w:p w:rsidR="00FB0FDE" w:rsidRPr="002C1A32" w:rsidRDefault="00FB0FDE" w:rsidP="00FB0FDE">
            <w:pPr>
              <w:pStyle w:val="SCCLsocParty"/>
              <w:jc w:val="both"/>
              <w:rPr>
                <w:b/>
                <w:sz w:val="20"/>
                <w:szCs w:val="20"/>
                <w:lang w:val="en-US"/>
              </w:rPr>
            </w:pPr>
            <w:r w:rsidRPr="002C1A32">
              <w:rPr>
                <w:b/>
                <w:sz w:val="20"/>
                <w:szCs w:val="20"/>
                <w:lang w:val="en-US"/>
              </w:rPr>
              <w:t xml:space="preserve">Robert </w:t>
            </w:r>
            <w:proofErr w:type="spellStart"/>
            <w:r w:rsidRPr="002C1A32">
              <w:rPr>
                <w:b/>
                <w:sz w:val="20"/>
                <w:szCs w:val="20"/>
                <w:lang w:val="en-US"/>
              </w:rPr>
              <w:t>Lavigne</w:t>
            </w:r>
            <w:proofErr w:type="spellEnd"/>
            <w:r w:rsidRPr="002C1A32">
              <w:rPr>
                <w:b/>
                <w:sz w:val="20"/>
                <w:szCs w:val="20"/>
                <w:lang w:val="en-US"/>
              </w:rPr>
              <w:t xml:space="preserve"> v. Canadian Human Rights Commission</w:t>
            </w:r>
          </w:p>
          <w:p w:rsidR="00FB0FDE" w:rsidRPr="008D6C1E" w:rsidRDefault="00FB0FDE" w:rsidP="00FB0FDE">
            <w:pPr>
              <w:jc w:val="both"/>
              <w:rPr>
                <w:sz w:val="20"/>
              </w:rPr>
            </w:pPr>
            <w:r w:rsidRPr="008D6C1E">
              <w:rPr>
                <w:sz w:val="20"/>
              </w:rPr>
              <w:t>(FC) (Civil) (By Leave)</w:t>
            </w:r>
          </w:p>
        </w:tc>
      </w:tr>
      <w:tr w:rsidR="00FB0FDE" w:rsidRPr="008D6C1E" w:rsidTr="002B5CF4">
        <w:tc>
          <w:tcPr>
            <w:tcW w:w="5000" w:type="pct"/>
            <w:gridSpan w:val="4"/>
          </w:tcPr>
          <w:p w:rsidR="00FB0FDE" w:rsidRPr="008D6C1E" w:rsidRDefault="00FB0FDE" w:rsidP="00FB0FDE">
            <w:pPr>
              <w:pStyle w:val="SCCBanSummary"/>
              <w:rPr>
                <w:sz w:val="20"/>
                <w:szCs w:val="20"/>
              </w:rPr>
            </w:pPr>
            <w:r w:rsidRPr="008D6C1E">
              <w:rPr>
                <w:sz w:val="20"/>
                <w:szCs w:val="20"/>
              </w:rPr>
              <w:t>(Sealing order)</w:t>
            </w:r>
          </w:p>
          <w:p w:rsidR="00FB0FDE" w:rsidRPr="008D6C1E" w:rsidRDefault="00FB0FDE" w:rsidP="00FB0FDE">
            <w:pPr>
              <w:pStyle w:val="SCCBanSummary"/>
              <w:rPr>
                <w:sz w:val="20"/>
                <w:szCs w:val="20"/>
              </w:rPr>
            </w:pPr>
          </w:p>
          <w:p w:rsidR="00FB0FDE" w:rsidRPr="008D6C1E" w:rsidRDefault="00FB0FDE" w:rsidP="00FB0FDE">
            <w:pPr>
              <w:pStyle w:val="SCCBanSummary"/>
              <w:rPr>
                <w:smallCaps w:val="0"/>
                <w:sz w:val="20"/>
                <w:szCs w:val="20"/>
              </w:rPr>
            </w:pPr>
            <w:proofErr w:type="gramStart"/>
            <w:r w:rsidRPr="008D6C1E">
              <w:rPr>
                <w:i/>
                <w:smallCaps w:val="0"/>
                <w:sz w:val="20"/>
                <w:szCs w:val="20"/>
              </w:rPr>
              <w:t>Charter of Rights</w:t>
            </w:r>
            <w:r w:rsidRPr="008D6C1E">
              <w:rPr>
                <w:smallCaps w:val="0"/>
                <w:sz w:val="20"/>
                <w:szCs w:val="20"/>
              </w:rPr>
              <w:t xml:space="preserve"> — Right to life, liberty and security of the person — Applicant declared vexatious litigant — Whether motion should not have been dismissed without a full hearing — Whether there has been miscarriage of justice when right to be heard was extinguished prematurely — Whether Federal Court of Appeal has the legislative power and implied jurisdiction to protect itself against improper defences and defendants — Whether ongoing wrongful non-disclosure by the CHRC will decide if it constitutes exigent circumstances, giving rise to the hearing of  s. 7 motion.</w:t>
            </w:r>
            <w:proofErr w:type="gramEnd"/>
          </w:p>
        </w:tc>
      </w:tr>
      <w:tr w:rsidR="00FB0FDE" w:rsidRPr="008D6C1E" w:rsidTr="002B5CF4">
        <w:tc>
          <w:tcPr>
            <w:tcW w:w="5000" w:type="pct"/>
            <w:gridSpan w:val="4"/>
          </w:tcPr>
          <w:p w:rsidR="00FB0FDE" w:rsidRPr="008D6C1E" w:rsidRDefault="00FB0FDE" w:rsidP="00FB0FDE">
            <w:pPr>
              <w:jc w:val="both"/>
              <w:rPr>
                <w:sz w:val="20"/>
              </w:rPr>
            </w:pPr>
          </w:p>
          <w:p w:rsidR="00FB0FDE" w:rsidRPr="008D6C1E" w:rsidRDefault="00FB0FDE" w:rsidP="00FB0FDE">
            <w:pPr>
              <w:jc w:val="both"/>
              <w:rPr>
                <w:sz w:val="20"/>
              </w:rPr>
            </w:pPr>
            <w:r w:rsidRPr="008D6C1E">
              <w:rPr>
                <w:sz w:val="20"/>
              </w:rPr>
              <w:t>In 2008, Mr. </w:t>
            </w:r>
            <w:proofErr w:type="spellStart"/>
            <w:r w:rsidRPr="008D6C1E">
              <w:rPr>
                <w:sz w:val="20"/>
              </w:rPr>
              <w:t>Lavigne</w:t>
            </w:r>
            <w:proofErr w:type="spellEnd"/>
            <w:r w:rsidRPr="008D6C1E">
              <w:rPr>
                <w:sz w:val="20"/>
              </w:rPr>
              <w:t xml:space="preserve"> entered into minutes of settlement with third parties against whom he had filed several complaints under the </w:t>
            </w:r>
            <w:r w:rsidRPr="008D6C1E">
              <w:rPr>
                <w:i/>
                <w:sz w:val="20"/>
              </w:rPr>
              <w:t>Canadian Human Rights Act</w:t>
            </w:r>
            <w:r w:rsidRPr="008D6C1E">
              <w:rPr>
                <w:sz w:val="20"/>
              </w:rPr>
              <w:t xml:space="preserve">, R.S.C. 1985, </w:t>
            </w:r>
            <w:proofErr w:type="gramStart"/>
            <w:r w:rsidRPr="008D6C1E">
              <w:rPr>
                <w:sz w:val="20"/>
              </w:rPr>
              <w:t>c</w:t>
            </w:r>
            <w:proofErr w:type="gramEnd"/>
            <w:r w:rsidRPr="008D6C1E">
              <w:rPr>
                <w:sz w:val="20"/>
              </w:rPr>
              <w:t>. H-6. Those complaints were mediated by the Canadian Human Rights Tribunal. Mr. </w:t>
            </w:r>
            <w:proofErr w:type="spellStart"/>
            <w:r w:rsidRPr="008D6C1E">
              <w:rPr>
                <w:sz w:val="20"/>
              </w:rPr>
              <w:t>Lavigne</w:t>
            </w:r>
            <w:proofErr w:type="spellEnd"/>
            <w:r w:rsidRPr="008D6C1E">
              <w:rPr>
                <w:sz w:val="20"/>
              </w:rPr>
              <w:t xml:space="preserve"> brought an action against the Canadian Human Rights Commission (“CHRC”), claiming that the CHRC had a legal duty to disclose to him its authority to approve the settlements. He alleged that the “wrongful non-disclosure” and “fraudulent concealment” of its lack of authority rendered the settlements null and void. He sought a declaration from the Federal Court of Appeal that his s. 7 </w:t>
            </w:r>
            <w:r w:rsidRPr="008D6C1E">
              <w:rPr>
                <w:i/>
                <w:sz w:val="20"/>
              </w:rPr>
              <w:t>Charter</w:t>
            </w:r>
            <w:r w:rsidRPr="008D6C1E">
              <w:rPr>
                <w:sz w:val="20"/>
              </w:rPr>
              <w:t xml:space="preserve"> rights had been violated by the CHRC as result of the wrongful non-disclosure and to have the matter sent back to trial to determine the quantum of damages.</w:t>
            </w:r>
          </w:p>
          <w:p w:rsidR="00FB0FDE" w:rsidRPr="008D6C1E" w:rsidRDefault="00FB0FDE" w:rsidP="00FB0FDE">
            <w:pPr>
              <w:jc w:val="both"/>
              <w:rPr>
                <w:sz w:val="20"/>
              </w:rPr>
            </w:pPr>
          </w:p>
        </w:tc>
      </w:tr>
      <w:tr w:rsidR="00FB0FDE" w:rsidRPr="008D6C1E" w:rsidTr="002B5CF4">
        <w:tc>
          <w:tcPr>
            <w:tcW w:w="2427" w:type="pct"/>
            <w:gridSpan w:val="2"/>
          </w:tcPr>
          <w:p w:rsidR="00FB0FDE" w:rsidRPr="008D6C1E" w:rsidRDefault="00FB0FDE" w:rsidP="00FB0FDE">
            <w:pPr>
              <w:jc w:val="both"/>
              <w:rPr>
                <w:sz w:val="20"/>
              </w:rPr>
            </w:pPr>
            <w:r w:rsidRPr="008D6C1E">
              <w:rPr>
                <w:sz w:val="20"/>
              </w:rPr>
              <w:t>May 13, 2015</w:t>
            </w:r>
          </w:p>
          <w:p w:rsidR="00FB0FDE" w:rsidRPr="008D6C1E" w:rsidRDefault="00FB0FDE" w:rsidP="00FB0FDE">
            <w:pPr>
              <w:jc w:val="both"/>
              <w:rPr>
                <w:sz w:val="20"/>
              </w:rPr>
            </w:pPr>
            <w:r w:rsidRPr="008D6C1E">
              <w:rPr>
                <w:sz w:val="20"/>
              </w:rPr>
              <w:t>Federal Court</w:t>
            </w:r>
          </w:p>
          <w:p w:rsidR="00FB0FDE" w:rsidRPr="008D6C1E" w:rsidRDefault="00FB0FDE" w:rsidP="00FB0FDE">
            <w:pPr>
              <w:jc w:val="both"/>
              <w:rPr>
                <w:sz w:val="20"/>
              </w:rPr>
            </w:pPr>
            <w:r w:rsidRPr="008D6C1E">
              <w:rPr>
                <w:sz w:val="20"/>
              </w:rPr>
              <w:t>(Martineau J.)</w:t>
            </w:r>
          </w:p>
          <w:p w:rsidR="00FB0FDE" w:rsidRPr="008D6C1E" w:rsidRDefault="005E6DC4" w:rsidP="00FB0FDE">
            <w:pPr>
              <w:jc w:val="both"/>
              <w:rPr>
                <w:sz w:val="20"/>
              </w:rPr>
            </w:pPr>
            <w:hyperlink r:id="rId100" w:history="1">
              <w:r w:rsidR="00FB0FDE" w:rsidRPr="008D6C1E">
                <w:rPr>
                  <w:rStyle w:val="Hyperlink"/>
                  <w:sz w:val="20"/>
                </w:rPr>
                <w:t>2015 FC 631</w:t>
              </w:r>
            </w:hyperlink>
            <w:r w:rsidR="00FB0FDE" w:rsidRPr="008D6C1E">
              <w:rPr>
                <w:sz w:val="20"/>
              </w:rPr>
              <w:t xml:space="preserve"> </w:t>
            </w:r>
          </w:p>
          <w:p w:rsidR="00FB0FDE" w:rsidRPr="008D6C1E" w:rsidRDefault="00FB0FDE" w:rsidP="00FB0FDE">
            <w:pPr>
              <w:jc w:val="both"/>
              <w:rPr>
                <w:sz w:val="20"/>
              </w:rPr>
            </w:pPr>
          </w:p>
        </w:tc>
        <w:tc>
          <w:tcPr>
            <w:tcW w:w="243" w:type="pct"/>
          </w:tcPr>
          <w:p w:rsidR="00FB0FDE" w:rsidRPr="008D6C1E" w:rsidRDefault="00FB0FDE" w:rsidP="00FB0FDE">
            <w:pPr>
              <w:jc w:val="both"/>
              <w:rPr>
                <w:sz w:val="20"/>
              </w:rPr>
            </w:pPr>
          </w:p>
        </w:tc>
        <w:tc>
          <w:tcPr>
            <w:tcW w:w="2330" w:type="pct"/>
          </w:tcPr>
          <w:p w:rsidR="00FB0FDE" w:rsidRPr="008D6C1E" w:rsidRDefault="00FB0FDE" w:rsidP="00FB0FDE">
            <w:pPr>
              <w:jc w:val="both"/>
              <w:rPr>
                <w:sz w:val="20"/>
              </w:rPr>
            </w:pPr>
            <w:r w:rsidRPr="008D6C1E">
              <w:rPr>
                <w:sz w:val="20"/>
              </w:rPr>
              <w:t>Applicant’s action dismissed; applicant declared vexatious litigant</w:t>
            </w:r>
          </w:p>
          <w:p w:rsidR="00FB0FDE" w:rsidRPr="008D6C1E" w:rsidRDefault="00FB0FDE" w:rsidP="00FB0FDE">
            <w:pPr>
              <w:jc w:val="both"/>
              <w:rPr>
                <w:sz w:val="20"/>
              </w:rPr>
            </w:pPr>
          </w:p>
          <w:p w:rsidR="00FB0FDE" w:rsidRPr="008D6C1E" w:rsidRDefault="00FB0FDE" w:rsidP="00FB0FDE">
            <w:pPr>
              <w:jc w:val="both"/>
              <w:rPr>
                <w:sz w:val="20"/>
              </w:rPr>
            </w:pPr>
          </w:p>
        </w:tc>
      </w:tr>
      <w:tr w:rsidR="00FB0FDE" w:rsidRPr="008D6C1E" w:rsidTr="002B5CF4">
        <w:tc>
          <w:tcPr>
            <w:tcW w:w="2427" w:type="pct"/>
            <w:gridSpan w:val="2"/>
          </w:tcPr>
          <w:p w:rsidR="00FB0FDE" w:rsidRPr="008D6C1E" w:rsidRDefault="00FB0FDE" w:rsidP="00FB0FDE">
            <w:pPr>
              <w:jc w:val="both"/>
              <w:rPr>
                <w:sz w:val="20"/>
              </w:rPr>
            </w:pPr>
            <w:r w:rsidRPr="008D6C1E">
              <w:rPr>
                <w:sz w:val="20"/>
              </w:rPr>
              <w:t>July 29, 2015</w:t>
            </w:r>
          </w:p>
          <w:p w:rsidR="00FB0FDE" w:rsidRPr="008D6C1E" w:rsidRDefault="00FB0FDE" w:rsidP="00FB0FDE">
            <w:pPr>
              <w:jc w:val="both"/>
              <w:rPr>
                <w:sz w:val="20"/>
              </w:rPr>
            </w:pPr>
            <w:r w:rsidRPr="008D6C1E">
              <w:rPr>
                <w:sz w:val="20"/>
              </w:rPr>
              <w:t>Federal Court of Appeal</w:t>
            </w:r>
          </w:p>
          <w:p w:rsidR="00FB0FDE" w:rsidRPr="008D6C1E" w:rsidRDefault="00FB0FDE" w:rsidP="00FB0FDE">
            <w:pPr>
              <w:jc w:val="both"/>
              <w:rPr>
                <w:sz w:val="20"/>
              </w:rPr>
            </w:pPr>
            <w:r w:rsidRPr="008D6C1E">
              <w:rPr>
                <w:sz w:val="20"/>
              </w:rPr>
              <w:t>(</w:t>
            </w:r>
            <w:proofErr w:type="spellStart"/>
            <w:r w:rsidRPr="008D6C1E">
              <w:rPr>
                <w:sz w:val="20"/>
              </w:rPr>
              <w:t>Boivin</w:t>
            </w:r>
            <w:proofErr w:type="spellEnd"/>
            <w:r w:rsidRPr="008D6C1E">
              <w:rPr>
                <w:sz w:val="20"/>
              </w:rPr>
              <w:t> J.A.)</w:t>
            </w:r>
          </w:p>
          <w:p w:rsidR="00FB0FDE" w:rsidRPr="008D6C1E" w:rsidRDefault="00FB0FDE" w:rsidP="00FB0FDE">
            <w:pPr>
              <w:jc w:val="both"/>
              <w:rPr>
                <w:sz w:val="20"/>
              </w:rPr>
            </w:pPr>
            <w:r w:rsidRPr="008D6C1E">
              <w:rPr>
                <w:sz w:val="20"/>
              </w:rPr>
              <w:t>Unreported</w:t>
            </w:r>
          </w:p>
          <w:p w:rsidR="00FB0FDE" w:rsidRPr="008D6C1E" w:rsidRDefault="00FB0FDE" w:rsidP="00FB0FDE">
            <w:pPr>
              <w:jc w:val="both"/>
              <w:rPr>
                <w:sz w:val="20"/>
              </w:rPr>
            </w:pPr>
          </w:p>
        </w:tc>
        <w:tc>
          <w:tcPr>
            <w:tcW w:w="243" w:type="pct"/>
          </w:tcPr>
          <w:p w:rsidR="00FB0FDE" w:rsidRPr="008D6C1E" w:rsidRDefault="00FB0FDE" w:rsidP="00FB0FDE">
            <w:pPr>
              <w:jc w:val="both"/>
              <w:rPr>
                <w:sz w:val="20"/>
              </w:rPr>
            </w:pPr>
          </w:p>
        </w:tc>
        <w:tc>
          <w:tcPr>
            <w:tcW w:w="2330" w:type="pct"/>
          </w:tcPr>
          <w:p w:rsidR="00FB0FDE" w:rsidRPr="008D6C1E" w:rsidRDefault="00FB0FDE" w:rsidP="00FB0FDE">
            <w:pPr>
              <w:jc w:val="both"/>
              <w:rPr>
                <w:sz w:val="20"/>
              </w:rPr>
            </w:pPr>
            <w:r w:rsidRPr="008D6C1E">
              <w:rPr>
                <w:sz w:val="20"/>
              </w:rPr>
              <w:t>Applicant’s motion dismissed</w:t>
            </w:r>
          </w:p>
          <w:p w:rsidR="00FB0FDE" w:rsidRPr="008D6C1E" w:rsidRDefault="00FB0FDE" w:rsidP="00FB0FDE">
            <w:pPr>
              <w:jc w:val="both"/>
              <w:rPr>
                <w:sz w:val="20"/>
              </w:rPr>
            </w:pPr>
          </w:p>
        </w:tc>
      </w:tr>
      <w:tr w:rsidR="00FB0FDE" w:rsidRPr="008D6C1E" w:rsidTr="002B5CF4">
        <w:tc>
          <w:tcPr>
            <w:tcW w:w="2427" w:type="pct"/>
            <w:gridSpan w:val="2"/>
          </w:tcPr>
          <w:p w:rsidR="00FB0FDE" w:rsidRPr="008D6C1E" w:rsidRDefault="00FB0FDE" w:rsidP="00FB0FDE">
            <w:pPr>
              <w:jc w:val="both"/>
              <w:rPr>
                <w:sz w:val="20"/>
              </w:rPr>
            </w:pPr>
            <w:r w:rsidRPr="008D6C1E">
              <w:rPr>
                <w:sz w:val="20"/>
              </w:rPr>
              <w:lastRenderedPageBreak/>
              <w:t>October 19, 2015</w:t>
            </w:r>
          </w:p>
          <w:p w:rsidR="00FB0FDE" w:rsidRPr="008D6C1E" w:rsidRDefault="00FB0FDE" w:rsidP="00FB0FDE">
            <w:pPr>
              <w:jc w:val="both"/>
              <w:rPr>
                <w:sz w:val="20"/>
              </w:rPr>
            </w:pPr>
            <w:r w:rsidRPr="008D6C1E">
              <w:rPr>
                <w:sz w:val="20"/>
              </w:rPr>
              <w:t>Supreme Court of Canada</w:t>
            </w:r>
          </w:p>
          <w:p w:rsidR="00FB0FDE" w:rsidRPr="008D6C1E" w:rsidRDefault="00FB0FDE" w:rsidP="00FB0FDE">
            <w:pPr>
              <w:jc w:val="both"/>
              <w:rPr>
                <w:sz w:val="20"/>
              </w:rPr>
            </w:pPr>
          </w:p>
        </w:tc>
        <w:tc>
          <w:tcPr>
            <w:tcW w:w="243" w:type="pct"/>
          </w:tcPr>
          <w:p w:rsidR="00FB0FDE" w:rsidRPr="008D6C1E" w:rsidRDefault="00FB0FDE" w:rsidP="00FB0FDE">
            <w:pPr>
              <w:jc w:val="both"/>
              <w:rPr>
                <w:sz w:val="20"/>
              </w:rPr>
            </w:pPr>
          </w:p>
        </w:tc>
        <w:tc>
          <w:tcPr>
            <w:tcW w:w="2330" w:type="pct"/>
          </w:tcPr>
          <w:p w:rsidR="00FB0FDE" w:rsidRPr="008D6C1E" w:rsidRDefault="00FB0FDE" w:rsidP="00FB0FDE">
            <w:pPr>
              <w:jc w:val="both"/>
              <w:rPr>
                <w:sz w:val="20"/>
              </w:rPr>
            </w:pPr>
            <w:r w:rsidRPr="008D6C1E">
              <w:rPr>
                <w:sz w:val="20"/>
              </w:rPr>
              <w:t>Application for leave to appeal filed</w:t>
            </w:r>
          </w:p>
          <w:p w:rsidR="00FB0FDE" w:rsidRPr="008D6C1E" w:rsidRDefault="00FB0FDE" w:rsidP="00FB0FDE">
            <w:pPr>
              <w:jc w:val="both"/>
              <w:rPr>
                <w:sz w:val="20"/>
              </w:rPr>
            </w:pPr>
          </w:p>
        </w:tc>
      </w:tr>
      <w:tr w:rsidR="00FB0FDE" w:rsidRPr="008D6C1E" w:rsidTr="002B5CF4">
        <w:tc>
          <w:tcPr>
            <w:tcW w:w="2427" w:type="pct"/>
            <w:gridSpan w:val="2"/>
          </w:tcPr>
          <w:p w:rsidR="00FB0FDE" w:rsidRPr="008D6C1E" w:rsidRDefault="00FB0FDE" w:rsidP="00FB0FDE">
            <w:pPr>
              <w:jc w:val="both"/>
              <w:rPr>
                <w:sz w:val="20"/>
              </w:rPr>
            </w:pPr>
            <w:r w:rsidRPr="008D6C1E">
              <w:rPr>
                <w:sz w:val="20"/>
              </w:rPr>
              <w:t>December 23, 2015</w:t>
            </w:r>
          </w:p>
          <w:p w:rsidR="00FB0FDE" w:rsidRPr="008D6C1E" w:rsidRDefault="00FB0FDE" w:rsidP="00FB0FDE">
            <w:pPr>
              <w:jc w:val="both"/>
              <w:rPr>
                <w:sz w:val="20"/>
              </w:rPr>
            </w:pPr>
            <w:r w:rsidRPr="008D6C1E">
              <w:rPr>
                <w:sz w:val="20"/>
              </w:rPr>
              <w:t>Supreme Court of Canada</w:t>
            </w:r>
          </w:p>
        </w:tc>
        <w:tc>
          <w:tcPr>
            <w:tcW w:w="243" w:type="pct"/>
          </w:tcPr>
          <w:p w:rsidR="00FB0FDE" w:rsidRPr="008D6C1E" w:rsidRDefault="00FB0FDE" w:rsidP="00FB0FDE">
            <w:pPr>
              <w:jc w:val="both"/>
              <w:rPr>
                <w:sz w:val="20"/>
              </w:rPr>
            </w:pPr>
          </w:p>
        </w:tc>
        <w:tc>
          <w:tcPr>
            <w:tcW w:w="2330" w:type="pct"/>
          </w:tcPr>
          <w:p w:rsidR="00FB0FDE" w:rsidRPr="008D6C1E" w:rsidRDefault="00FB0FDE" w:rsidP="00FB0FDE">
            <w:pPr>
              <w:jc w:val="both"/>
              <w:rPr>
                <w:sz w:val="20"/>
              </w:rPr>
            </w:pPr>
            <w:r w:rsidRPr="008D6C1E">
              <w:rPr>
                <w:sz w:val="20"/>
              </w:rPr>
              <w:t>Motion for extension of time in which to serve and file application for leave to appeal</w:t>
            </w:r>
          </w:p>
        </w:tc>
      </w:tr>
    </w:tbl>
    <w:p w:rsidR="00FB0FDE" w:rsidRPr="008D6C1E" w:rsidRDefault="00FB0FDE" w:rsidP="00FB0FDE">
      <w:pPr>
        <w:jc w:val="both"/>
        <w:rPr>
          <w:sz w:val="20"/>
        </w:rPr>
      </w:pPr>
    </w:p>
    <w:p w:rsidR="00A84B07" w:rsidRPr="002C1A32" w:rsidRDefault="00A84B07" w:rsidP="00FB0FDE">
      <w:pPr>
        <w:widowControl w:val="0"/>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B0FDE" w:rsidRPr="008D6C1E" w:rsidTr="002B5CF4">
        <w:tc>
          <w:tcPr>
            <w:tcW w:w="543" w:type="pct"/>
          </w:tcPr>
          <w:p w:rsidR="00FB0FDE" w:rsidRPr="008D6C1E" w:rsidRDefault="00FB0FDE" w:rsidP="00FB0FDE">
            <w:pPr>
              <w:jc w:val="both"/>
              <w:rPr>
                <w:sz w:val="20"/>
                <w:lang w:val="fr-CA"/>
              </w:rPr>
            </w:pPr>
            <w:r w:rsidRPr="008D6C1E">
              <w:rPr>
                <w:rStyle w:val="SCCFileNumberChar"/>
                <w:sz w:val="20"/>
                <w:szCs w:val="20"/>
                <w:lang w:val="fr-CA"/>
              </w:rPr>
              <w:t>36811</w:t>
            </w:r>
          </w:p>
        </w:tc>
        <w:tc>
          <w:tcPr>
            <w:tcW w:w="4457" w:type="pct"/>
            <w:gridSpan w:val="3"/>
          </w:tcPr>
          <w:p w:rsidR="00FB0FDE" w:rsidRPr="008D6C1E" w:rsidRDefault="00FB0FDE" w:rsidP="00FB0FDE">
            <w:pPr>
              <w:pStyle w:val="SCCLsocParty"/>
              <w:jc w:val="both"/>
              <w:rPr>
                <w:b/>
                <w:sz w:val="20"/>
                <w:szCs w:val="20"/>
              </w:rPr>
            </w:pPr>
            <w:r w:rsidRPr="008D6C1E">
              <w:rPr>
                <w:b/>
                <w:sz w:val="20"/>
                <w:szCs w:val="20"/>
              </w:rPr>
              <w:t>Robert Lavigne c. Commission canadienne des droits de la personne</w:t>
            </w:r>
          </w:p>
          <w:p w:rsidR="00FB0FDE" w:rsidRPr="008D6C1E" w:rsidRDefault="00FB0FDE" w:rsidP="00FB0FDE">
            <w:pPr>
              <w:jc w:val="both"/>
              <w:rPr>
                <w:sz w:val="20"/>
                <w:lang w:val="fr-CA"/>
              </w:rPr>
            </w:pPr>
            <w:r w:rsidRPr="008D6C1E">
              <w:rPr>
                <w:sz w:val="20"/>
                <w:lang w:val="fr-CA"/>
              </w:rPr>
              <w:t>(CF) (Civile) (Sur autorisation)</w:t>
            </w:r>
          </w:p>
        </w:tc>
      </w:tr>
      <w:tr w:rsidR="00FB0FDE" w:rsidRPr="002C1A32" w:rsidTr="002B5CF4">
        <w:tc>
          <w:tcPr>
            <w:tcW w:w="5000" w:type="pct"/>
            <w:gridSpan w:val="4"/>
          </w:tcPr>
          <w:p w:rsidR="00FB0FDE" w:rsidRPr="008D6C1E" w:rsidRDefault="00FB0FDE" w:rsidP="00FB0FDE">
            <w:pPr>
              <w:pStyle w:val="SCCBanSummary"/>
              <w:rPr>
                <w:sz w:val="20"/>
                <w:szCs w:val="20"/>
                <w:lang w:val="fr-CA"/>
              </w:rPr>
            </w:pPr>
            <w:r w:rsidRPr="008D6C1E">
              <w:rPr>
                <w:sz w:val="20"/>
                <w:szCs w:val="20"/>
                <w:lang w:val="fr-CA"/>
              </w:rPr>
              <w:t>(Ordonnance de mise sous scellés)</w:t>
            </w:r>
          </w:p>
          <w:p w:rsidR="00FB0FDE" w:rsidRPr="008D6C1E" w:rsidRDefault="00FB0FDE" w:rsidP="00FB0FDE">
            <w:pPr>
              <w:pStyle w:val="SCCBanSummary"/>
              <w:rPr>
                <w:sz w:val="20"/>
                <w:szCs w:val="20"/>
                <w:lang w:val="fr-CA"/>
              </w:rPr>
            </w:pPr>
          </w:p>
          <w:p w:rsidR="00FB0FDE" w:rsidRPr="008D6C1E" w:rsidRDefault="00FB0FDE" w:rsidP="00FB0FDE">
            <w:pPr>
              <w:pStyle w:val="SCCBanSummary"/>
              <w:rPr>
                <w:smallCaps w:val="0"/>
                <w:sz w:val="20"/>
                <w:szCs w:val="20"/>
                <w:lang w:val="fr-CA"/>
              </w:rPr>
            </w:pPr>
            <w:r w:rsidRPr="008D6C1E">
              <w:rPr>
                <w:i/>
                <w:smallCaps w:val="0"/>
                <w:sz w:val="20"/>
                <w:szCs w:val="20"/>
                <w:lang w:val="fr-CA"/>
              </w:rPr>
              <w:t xml:space="preserve">Charte des droits </w:t>
            </w:r>
            <w:r w:rsidRPr="008D6C1E">
              <w:rPr>
                <w:smallCaps w:val="0"/>
                <w:sz w:val="20"/>
                <w:szCs w:val="20"/>
                <w:lang w:val="fr-CA"/>
              </w:rPr>
              <w:t xml:space="preserve">— Droit à la vie, à la liberté et à la sécurité de la personne — Le demandeur a été déclaré plaideur quérulent — Aurait-il fallu éviter de rejeter la requête à défaut d’une audition complète? — Y a-t-il eu déni de justice du fait que le droit d’être entendu a été mis de côté prématurément? — La Cour d’appel </w:t>
            </w:r>
            <w:proofErr w:type="gramStart"/>
            <w:r w:rsidRPr="008D6C1E">
              <w:rPr>
                <w:smallCaps w:val="0"/>
                <w:sz w:val="20"/>
                <w:szCs w:val="20"/>
                <w:lang w:val="fr-CA"/>
              </w:rPr>
              <w:t>fédérale</w:t>
            </w:r>
            <w:proofErr w:type="gramEnd"/>
            <w:r w:rsidRPr="008D6C1E">
              <w:rPr>
                <w:smallCaps w:val="0"/>
                <w:sz w:val="20"/>
                <w:szCs w:val="20"/>
                <w:lang w:val="fr-CA"/>
              </w:rPr>
              <w:t xml:space="preserve"> a-t-elle la compétence législative et la compétence implicite pour se protéger contre des moyens de défense et des défendeurs irréguliers? — Le fait que la CCDP persiste à ne pas communiquer les renseignements en cause est-il déterminant quant à la question de savoir s’il y a situation d’urgence justifiant l’audition de la requête fondée sur l’art. 7?</w:t>
            </w:r>
          </w:p>
        </w:tc>
      </w:tr>
      <w:tr w:rsidR="00FB0FDE" w:rsidRPr="002C1A32" w:rsidTr="002B5CF4">
        <w:tc>
          <w:tcPr>
            <w:tcW w:w="5000" w:type="pct"/>
            <w:gridSpan w:val="4"/>
          </w:tcPr>
          <w:p w:rsidR="00FB0FDE" w:rsidRPr="008D6C1E" w:rsidRDefault="00FB0FDE" w:rsidP="00FB0FDE">
            <w:pPr>
              <w:jc w:val="both"/>
              <w:rPr>
                <w:sz w:val="20"/>
                <w:lang w:val="fr-CA"/>
              </w:rPr>
            </w:pPr>
          </w:p>
          <w:p w:rsidR="00FB0FDE" w:rsidRPr="008D6C1E" w:rsidRDefault="00FB0FDE" w:rsidP="00FB0FDE">
            <w:pPr>
              <w:jc w:val="both"/>
              <w:rPr>
                <w:sz w:val="20"/>
                <w:lang w:val="fr-CA"/>
              </w:rPr>
            </w:pPr>
            <w:r w:rsidRPr="008D6C1E">
              <w:rPr>
                <w:sz w:val="20"/>
                <w:lang w:val="fr-CA"/>
              </w:rPr>
              <w:t xml:space="preserve">En 2008, M. Lavigne a conclu un règlement amiable avec des tiers contre qui il avait déposé plusieurs plaintes fondées sur la </w:t>
            </w:r>
            <w:r w:rsidRPr="008D6C1E">
              <w:rPr>
                <w:i/>
                <w:sz w:val="20"/>
                <w:lang w:val="fr-CA"/>
              </w:rPr>
              <w:t>Loi canadienne sur les droits de la personne</w:t>
            </w:r>
            <w:r w:rsidRPr="008D6C1E">
              <w:rPr>
                <w:sz w:val="20"/>
                <w:lang w:val="fr-CA"/>
              </w:rPr>
              <w:t>, L.R.C. 1985, ch. H-6. Ces plaintes ont fait l’objet d’une médiation par le Tribunal canadien des droits de la personne. Monsieur Lavigne a intenté une action contre la Commission canadienne des droits de la personne (« CCDP »), alléguant que celle-ci avait une obligation légale de lui faire part de son pouvoir d’approuver les règlements. Il a allégué que le [</w:t>
            </w:r>
            <w:r w:rsidRPr="008D6C1E">
              <w:rPr>
                <w:smallCaps/>
                <w:sz w:val="20"/>
                <w:lang w:val="fr-CA"/>
              </w:rPr>
              <w:t>traduction</w:t>
            </w:r>
            <w:r w:rsidRPr="008D6C1E">
              <w:rPr>
                <w:sz w:val="20"/>
                <w:lang w:val="fr-CA"/>
              </w:rPr>
              <w:t>] « défaut injustifié de communiquer des renseignements » et la [</w:t>
            </w:r>
            <w:r w:rsidRPr="008D6C1E">
              <w:rPr>
                <w:smallCaps/>
                <w:sz w:val="20"/>
                <w:lang w:val="fr-CA"/>
              </w:rPr>
              <w:t>traduction</w:t>
            </w:r>
            <w:r w:rsidRPr="008D6C1E">
              <w:rPr>
                <w:sz w:val="20"/>
                <w:lang w:val="fr-CA"/>
              </w:rPr>
              <w:t xml:space="preserve">] « dissimulation frauduleuse » de son absence de compétence rendaient les règlements nuls. Il a demandé à la Cour d’appel fédérale de prononcer un jugement déclarant que la CCDP avait violé les droits que lui garantit l’art. 7 de la </w:t>
            </w:r>
            <w:r w:rsidRPr="008D6C1E">
              <w:rPr>
                <w:i/>
                <w:sz w:val="20"/>
                <w:lang w:val="fr-CA"/>
              </w:rPr>
              <w:t>Charte</w:t>
            </w:r>
            <w:r w:rsidRPr="008D6C1E">
              <w:rPr>
                <w:sz w:val="20"/>
                <w:lang w:val="fr-CA"/>
              </w:rPr>
              <w:t xml:space="preserve"> en raison son défaut injustifié de communiquer des renseignements et il a demandé que l’affaire soit renvoyée à procès pour déterminer le montant des dommages-intérêts. </w:t>
            </w:r>
          </w:p>
          <w:p w:rsidR="00FB0FDE" w:rsidRPr="008D6C1E" w:rsidRDefault="00FB0FDE" w:rsidP="00FB0FDE">
            <w:pPr>
              <w:jc w:val="both"/>
              <w:rPr>
                <w:sz w:val="20"/>
                <w:lang w:val="fr-CA"/>
              </w:rPr>
            </w:pPr>
          </w:p>
        </w:tc>
      </w:tr>
      <w:tr w:rsidR="00FB0FDE" w:rsidRPr="002C1A32" w:rsidTr="002B5CF4">
        <w:tc>
          <w:tcPr>
            <w:tcW w:w="2427" w:type="pct"/>
            <w:gridSpan w:val="2"/>
          </w:tcPr>
          <w:p w:rsidR="00FB0FDE" w:rsidRPr="008D6C1E" w:rsidRDefault="00FB0FDE" w:rsidP="00FB0FDE">
            <w:pPr>
              <w:jc w:val="both"/>
              <w:rPr>
                <w:sz w:val="20"/>
                <w:lang w:val="fr-CA"/>
              </w:rPr>
            </w:pPr>
            <w:r w:rsidRPr="008D6C1E">
              <w:rPr>
                <w:sz w:val="20"/>
                <w:lang w:val="fr-CA"/>
              </w:rPr>
              <w:t>13 mai 2015</w:t>
            </w:r>
          </w:p>
          <w:p w:rsidR="00FB0FDE" w:rsidRPr="008D6C1E" w:rsidRDefault="00FB0FDE" w:rsidP="00FB0FDE">
            <w:pPr>
              <w:jc w:val="both"/>
              <w:rPr>
                <w:sz w:val="20"/>
                <w:lang w:val="fr-CA"/>
              </w:rPr>
            </w:pPr>
            <w:r w:rsidRPr="008D6C1E">
              <w:rPr>
                <w:sz w:val="20"/>
                <w:lang w:val="fr-CA"/>
              </w:rPr>
              <w:t xml:space="preserve">Cour fédérale </w:t>
            </w:r>
          </w:p>
          <w:p w:rsidR="00FB0FDE" w:rsidRPr="008D6C1E" w:rsidRDefault="00FB0FDE" w:rsidP="00FB0FDE">
            <w:pPr>
              <w:jc w:val="both"/>
              <w:rPr>
                <w:sz w:val="20"/>
                <w:lang w:val="fr-CA"/>
              </w:rPr>
            </w:pPr>
            <w:r w:rsidRPr="008D6C1E">
              <w:rPr>
                <w:sz w:val="20"/>
                <w:lang w:val="fr-CA"/>
              </w:rPr>
              <w:t>(Juge Martineau)</w:t>
            </w:r>
          </w:p>
          <w:p w:rsidR="00FB0FDE" w:rsidRPr="008D6C1E" w:rsidRDefault="005E6DC4" w:rsidP="00FB0FDE">
            <w:pPr>
              <w:jc w:val="both"/>
              <w:rPr>
                <w:sz w:val="20"/>
                <w:lang w:val="fr-CA"/>
              </w:rPr>
            </w:pPr>
            <w:hyperlink r:id="rId101" w:history="1">
              <w:r w:rsidR="00FB0FDE" w:rsidRPr="008D6C1E">
                <w:rPr>
                  <w:rStyle w:val="Hyperlink"/>
                  <w:sz w:val="20"/>
                  <w:lang w:val="fr-CA"/>
                </w:rPr>
                <w:t>2015 FC 631</w:t>
              </w:r>
            </w:hyperlink>
            <w:r w:rsidR="00FB0FDE" w:rsidRPr="008D6C1E">
              <w:rPr>
                <w:sz w:val="20"/>
                <w:lang w:val="fr-CA"/>
              </w:rPr>
              <w:t xml:space="preserve"> </w:t>
            </w:r>
          </w:p>
          <w:p w:rsidR="00FB0FDE" w:rsidRPr="008D6C1E" w:rsidRDefault="00FB0FDE" w:rsidP="00FB0FDE">
            <w:pPr>
              <w:jc w:val="both"/>
              <w:rPr>
                <w:sz w:val="20"/>
                <w:lang w:val="fr-CA"/>
              </w:rPr>
            </w:pPr>
          </w:p>
        </w:tc>
        <w:tc>
          <w:tcPr>
            <w:tcW w:w="243" w:type="pct"/>
          </w:tcPr>
          <w:p w:rsidR="00FB0FDE" w:rsidRPr="008D6C1E" w:rsidRDefault="00FB0FDE" w:rsidP="00FB0FDE">
            <w:pPr>
              <w:jc w:val="both"/>
              <w:rPr>
                <w:sz w:val="20"/>
                <w:lang w:val="fr-CA"/>
              </w:rPr>
            </w:pPr>
          </w:p>
        </w:tc>
        <w:tc>
          <w:tcPr>
            <w:tcW w:w="2330" w:type="pct"/>
          </w:tcPr>
          <w:p w:rsidR="00FB0FDE" w:rsidRPr="008D6C1E" w:rsidRDefault="00FB0FDE" w:rsidP="00FB0FDE">
            <w:pPr>
              <w:jc w:val="both"/>
              <w:rPr>
                <w:sz w:val="20"/>
                <w:lang w:val="fr-CA"/>
              </w:rPr>
            </w:pPr>
            <w:r w:rsidRPr="008D6C1E">
              <w:rPr>
                <w:sz w:val="20"/>
                <w:lang w:val="fr-CA"/>
              </w:rPr>
              <w:t>Rejet de l’action du demandeur et jugement déclarant le demandeur plaideur quérulent</w:t>
            </w:r>
          </w:p>
          <w:p w:rsidR="00FB0FDE" w:rsidRPr="008D6C1E" w:rsidRDefault="00FB0FDE" w:rsidP="00FB0FDE">
            <w:pPr>
              <w:jc w:val="both"/>
              <w:rPr>
                <w:sz w:val="20"/>
                <w:lang w:val="fr-CA"/>
              </w:rPr>
            </w:pPr>
          </w:p>
          <w:p w:rsidR="00FB0FDE" w:rsidRPr="008D6C1E" w:rsidRDefault="00FB0FDE" w:rsidP="00FB0FDE">
            <w:pPr>
              <w:jc w:val="both"/>
              <w:rPr>
                <w:sz w:val="20"/>
                <w:lang w:val="fr-CA"/>
              </w:rPr>
            </w:pPr>
          </w:p>
        </w:tc>
      </w:tr>
      <w:tr w:rsidR="00FB0FDE" w:rsidRPr="002C1A32" w:rsidTr="002B5CF4">
        <w:tc>
          <w:tcPr>
            <w:tcW w:w="2427" w:type="pct"/>
            <w:gridSpan w:val="2"/>
          </w:tcPr>
          <w:p w:rsidR="00FB0FDE" w:rsidRPr="008D6C1E" w:rsidRDefault="00FB0FDE" w:rsidP="00FB0FDE">
            <w:pPr>
              <w:jc w:val="both"/>
              <w:rPr>
                <w:sz w:val="20"/>
                <w:lang w:val="fr-CA"/>
              </w:rPr>
            </w:pPr>
            <w:r w:rsidRPr="008D6C1E">
              <w:rPr>
                <w:sz w:val="20"/>
                <w:lang w:val="fr-CA"/>
              </w:rPr>
              <w:t>29 juillet 2015</w:t>
            </w:r>
          </w:p>
          <w:p w:rsidR="00FB0FDE" w:rsidRPr="008D6C1E" w:rsidRDefault="00FB0FDE" w:rsidP="00FB0FDE">
            <w:pPr>
              <w:jc w:val="both"/>
              <w:rPr>
                <w:sz w:val="20"/>
                <w:lang w:val="fr-CA"/>
              </w:rPr>
            </w:pPr>
            <w:r w:rsidRPr="008D6C1E">
              <w:rPr>
                <w:sz w:val="20"/>
                <w:lang w:val="fr-CA"/>
              </w:rPr>
              <w:t xml:space="preserve">Cour d’appel fédérale </w:t>
            </w:r>
          </w:p>
          <w:p w:rsidR="00FB0FDE" w:rsidRPr="008D6C1E" w:rsidRDefault="00FB0FDE" w:rsidP="00FB0FDE">
            <w:pPr>
              <w:jc w:val="both"/>
              <w:rPr>
                <w:sz w:val="20"/>
                <w:lang w:val="fr-CA"/>
              </w:rPr>
            </w:pPr>
            <w:r w:rsidRPr="008D6C1E">
              <w:rPr>
                <w:sz w:val="20"/>
                <w:lang w:val="fr-CA"/>
              </w:rPr>
              <w:t>(Juge Boivin)</w:t>
            </w:r>
          </w:p>
          <w:p w:rsidR="00FB0FDE" w:rsidRPr="008D6C1E" w:rsidRDefault="00FB0FDE" w:rsidP="00FB0FDE">
            <w:pPr>
              <w:jc w:val="both"/>
              <w:rPr>
                <w:sz w:val="20"/>
                <w:lang w:val="fr-CA"/>
              </w:rPr>
            </w:pPr>
            <w:r w:rsidRPr="008D6C1E">
              <w:rPr>
                <w:sz w:val="20"/>
                <w:lang w:val="fr-CA"/>
              </w:rPr>
              <w:t>Non publié</w:t>
            </w:r>
          </w:p>
          <w:p w:rsidR="00FB0FDE" w:rsidRPr="008D6C1E" w:rsidRDefault="00FB0FDE" w:rsidP="00FB0FDE">
            <w:pPr>
              <w:jc w:val="both"/>
              <w:rPr>
                <w:sz w:val="20"/>
                <w:lang w:val="fr-CA"/>
              </w:rPr>
            </w:pPr>
          </w:p>
        </w:tc>
        <w:tc>
          <w:tcPr>
            <w:tcW w:w="243" w:type="pct"/>
          </w:tcPr>
          <w:p w:rsidR="00FB0FDE" w:rsidRPr="008D6C1E" w:rsidRDefault="00FB0FDE" w:rsidP="00FB0FDE">
            <w:pPr>
              <w:jc w:val="both"/>
              <w:rPr>
                <w:sz w:val="20"/>
                <w:lang w:val="fr-CA"/>
              </w:rPr>
            </w:pPr>
          </w:p>
        </w:tc>
        <w:tc>
          <w:tcPr>
            <w:tcW w:w="2330" w:type="pct"/>
          </w:tcPr>
          <w:p w:rsidR="00FB0FDE" w:rsidRPr="008D6C1E" w:rsidRDefault="00FB0FDE" w:rsidP="00FB0FDE">
            <w:pPr>
              <w:jc w:val="both"/>
              <w:rPr>
                <w:sz w:val="20"/>
                <w:lang w:val="fr-CA"/>
              </w:rPr>
            </w:pPr>
            <w:r w:rsidRPr="008D6C1E">
              <w:rPr>
                <w:sz w:val="20"/>
                <w:lang w:val="fr-CA"/>
              </w:rPr>
              <w:t>Rejet de la requête du demandeur</w:t>
            </w:r>
          </w:p>
          <w:p w:rsidR="00FB0FDE" w:rsidRPr="008D6C1E" w:rsidRDefault="00FB0FDE" w:rsidP="00FB0FDE">
            <w:pPr>
              <w:jc w:val="both"/>
              <w:rPr>
                <w:sz w:val="20"/>
                <w:lang w:val="fr-CA"/>
              </w:rPr>
            </w:pPr>
          </w:p>
        </w:tc>
      </w:tr>
      <w:tr w:rsidR="00FB0FDE" w:rsidRPr="002C1A32" w:rsidTr="002B5CF4">
        <w:tc>
          <w:tcPr>
            <w:tcW w:w="2427" w:type="pct"/>
            <w:gridSpan w:val="2"/>
          </w:tcPr>
          <w:p w:rsidR="00FB0FDE" w:rsidRPr="008D6C1E" w:rsidRDefault="00FB0FDE" w:rsidP="00FB0FDE">
            <w:pPr>
              <w:jc w:val="both"/>
              <w:rPr>
                <w:sz w:val="20"/>
                <w:lang w:val="fr-CA"/>
              </w:rPr>
            </w:pPr>
            <w:r w:rsidRPr="008D6C1E">
              <w:rPr>
                <w:sz w:val="20"/>
                <w:lang w:val="fr-CA"/>
              </w:rPr>
              <w:t>19 octobre 2015</w:t>
            </w:r>
          </w:p>
          <w:p w:rsidR="00FB0FDE" w:rsidRPr="008D6C1E" w:rsidRDefault="00FB0FDE" w:rsidP="00FB0FDE">
            <w:pPr>
              <w:jc w:val="both"/>
              <w:rPr>
                <w:sz w:val="20"/>
                <w:lang w:val="fr-CA"/>
              </w:rPr>
            </w:pPr>
            <w:r w:rsidRPr="008D6C1E">
              <w:rPr>
                <w:sz w:val="20"/>
                <w:lang w:val="fr-CA"/>
              </w:rPr>
              <w:t>Cour suprême du Canada</w:t>
            </w:r>
          </w:p>
          <w:p w:rsidR="00FB0FDE" w:rsidRPr="008D6C1E" w:rsidRDefault="00FB0FDE" w:rsidP="00FB0FDE">
            <w:pPr>
              <w:jc w:val="both"/>
              <w:rPr>
                <w:sz w:val="20"/>
                <w:lang w:val="fr-CA"/>
              </w:rPr>
            </w:pPr>
          </w:p>
        </w:tc>
        <w:tc>
          <w:tcPr>
            <w:tcW w:w="243" w:type="pct"/>
          </w:tcPr>
          <w:p w:rsidR="00FB0FDE" w:rsidRPr="008D6C1E" w:rsidRDefault="00FB0FDE" w:rsidP="00FB0FDE">
            <w:pPr>
              <w:jc w:val="both"/>
              <w:rPr>
                <w:sz w:val="20"/>
                <w:lang w:val="fr-CA"/>
              </w:rPr>
            </w:pPr>
          </w:p>
        </w:tc>
        <w:tc>
          <w:tcPr>
            <w:tcW w:w="2330" w:type="pct"/>
          </w:tcPr>
          <w:p w:rsidR="00FB0FDE" w:rsidRPr="008D6C1E" w:rsidRDefault="00FB0FDE" w:rsidP="00FB0FDE">
            <w:pPr>
              <w:jc w:val="both"/>
              <w:rPr>
                <w:sz w:val="20"/>
                <w:lang w:val="fr-CA"/>
              </w:rPr>
            </w:pPr>
            <w:r w:rsidRPr="008D6C1E">
              <w:rPr>
                <w:sz w:val="20"/>
                <w:lang w:val="fr-CA"/>
              </w:rPr>
              <w:t>Dépôt de la demande d’autorisation d’appel</w:t>
            </w:r>
          </w:p>
          <w:p w:rsidR="00FB0FDE" w:rsidRPr="008D6C1E" w:rsidRDefault="00FB0FDE" w:rsidP="00FB0FDE">
            <w:pPr>
              <w:jc w:val="both"/>
              <w:rPr>
                <w:sz w:val="20"/>
                <w:lang w:val="fr-CA"/>
              </w:rPr>
            </w:pPr>
          </w:p>
        </w:tc>
      </w:tr>
      <w:tr w:rsidR="00FB0FDE" w:rsidRPr="002C1A32" w:rsidTr="002B5CF4">
        <w:tc>
          <w:tcPr>
            <w:tcW w:w="2427" w:type="pct"/>
            <w:gridSpan w:val="2"/>
          </w:tcPr>
          <w:p w:rsidR="00FB0FDE" w:rsidRPr="008D6C1E" w:rsidRDefault="00FB0FDE" w:rsidP="00FB0FDE">
            <w:pPr>
              <w:jc w:val="both"/>
              <w:rPr>
                <w:sz w:val="20"/>
                <w:lang w:val="fr-CA"/>
              </w:rPr>
            </w:pPr>
            <w:r w:rsidRPr="008D6C1E">
              <w:rPr>
                <w:sz w:val="20"/>
                <w:lang w:val="fr-CA"/>
              </w:rPr>
              <w:t>23 décembre 2015</w:t>
            </w:r>
          </w:p>
          <w:p w:rsidR="00FB0FDE" w:rsidRPr="008D6C1E" w:rsidRDefault="00FB0FDE" w:rsidP="00FB0FDE">
            <w:pPr>
              <w:jc w:val="both"/>
              <w:rPr>
                <w:sz w:val="20"/>
                <w:lang w:val="fr-CA"/>
              </w:rPr>
            </w:pPr>
            <w:r w:rsidRPr="008D6C1E">
              <w:rPr>
                <w:sz w:val="20"/>
                <w:lang w:val="fr-CA"/>
              </w:rPr>
              <w:t>Cour suprême du Canada</w:t>
            </w:r>
          </w:p>
        </w:tc>
        <w:tc>
          <w:tcPr>
            <w:tcW w:w="243" w:type="pct"/>
          </w:tcPr>
          <w:p w:rsidR="00FB0FDE" w:rsidRPr="008D6C1E" w:rsidRDefault="00FB0FDE" w:rsidP="00FB0FDE">
            <w:pPr>
              <w:jc w:val="both"/>
              <w:rPr>
                <w:sz w:val="20"/>
                <w:lang w:val="fr-CA"/>
              </w:rPr>
            </w:pPr>
          </w:p>
        </w:tc>
        <w:tc>
          <w:tcPr>
            <w:tcW w:w="2330" w:type="pct"/>
          </w:tcPr>
          <w:p w:rsidR="00FB0FDE" w:rsidRPr="008D6C1E" w:rsidRDefault="00FB0FDE" w:rsidP="00FB0FDE">
            <w:pPr>
              <w:jc w:val="both"/>
              <w:rPr>
                <w:sz w:val="20"/>
                <w:lang w:val="fr-CA"/>
              </w:rPr>
            </w:pPr>
            <w:r w:rsidRPr="008D6C1E">
              <w:rPr>
                <w:sz w:val="20"/>
                <w:lang w:val="fr-CA"/>
              </w:rPr>
              <w:t>Dépôt de la requête en prorogation du délai de signification et de dépôt de la demande d’autorisation d’appel</w:t>
            </w:r>
          </w:p>
        </w:tc>
      </w:tr>
    </w:tbl>
    <w:p w:rsidR="00FB0FDE" w:rsidRPr="008D6C1E" w:rsidRDefault="00FB0FDE" w:rsidP="002A6CCF">
      <w:pPr>
        <w:jc w:val="both"/>
        <w:rPr>
          <w:sz w:val="20"/>
          <w:lang w:val="fr-CA"/>
        </w:rPr>
      </w:pPr>
    </w:p>
    <w:p w:rsidR="006C44EF" w:rsidRPr="008D6C1E" w:rsidRDefault="006C44EF" w:rsidP="002A6CCF">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A6CCF" w:rsidRPr="008D6C1E" w:rsidTr="002B5CF4">
        <w:tc>
          <w:tcPr>
            <w:tcW w:w="543" w:type="pct"/>
          </w:tcPr>
          <w:p w:rsidR="002A6CCF" w:rsidRPr="008D6C1E" w:rsidRDefault="002A6CCF" w:rsidP="002A6CCF">
            <w:pPr>
              <w:jc w:val="both"/>
              <w:rPr>
                <w:sz w:val="20"/>
                <w:lang w:val="en-CA"/>
              </w:rPr>
            </w:pPr>
            <w:r w:rsidRPr="008D6C1E">
              <w:rPr>
                <w:rStyle w:val="SCCFileNumberChar"/>
                <w:sz w:val="20"/>
                <w:szCs w:val="20"/>
              </w:rPr>
              <w:t>36817</w:t>
            </w:r>
          </w:p>
        </w:tc>
        <w:tc>
          <w:tcPr>
            <w:tcW w:w="4457" w:type="pct"/>
            <w:gridSpan w:val="3"/>
          </w:tcPr>
          <w:p w:rsidR="002A6CCF" w:rsidRPr="008D6C1E" w:rsidRDefault="002A6CCF" w:rsidP="002A6CCF">
            <w:pPr>
              <w:pStyle w:val="SCCLsocParty"/>
              <w:jc w:val="both"/>
              <w:rPr>
                <w:b/>
                <w:sz w:val="20"/>
                <w:szCs w:val="20"/>
                <w:lang w:val="en-CA"/>
              </w:rPr>
            </w:pPr>
            <w:r w:rsidRPr="008D6C1E">
              <w:rPr>
                <w:b/>
                <w:sz w:val="20"/>
                <w:szCs w:val="20"/>
                <w:lang w:val="en-CA"/>
              </w:rPr>
              <w:t>Louis-Fred Martin v. Her Majesty the Queen</w:t>
            </w:r>
          </w:p>
          <w:p w:rsidR="002A6CCF" w:rsidRPr="008D6C1E" w:rsidRDefault="002A6CCF" w:rsidP="002A6CCF">
            <w:pPr>
              <w:jc w:val="both"/>
              <w:rPr>
                <w:sz w:val="20"/>
                <w:lang w:val="en-CA"/>
              </w:rPr>
            </w:pPr>
            <w:r w:rsidRPr="008D6C1E">
              <w:rPr>
                <w:sz w:val="20"/>
                <w:lang w:val="en-CA"/>
              </w:rPr>
              <w:t>(FC) (Civil) (By Leave)</w:t>
            </w:r>
          </w:p>
        </w:tc>
      </w:tr>
      <w:tr w:rsidR="002A6CCF" w:rsidRPr="008D6C1E" w:rsidTr="002B5CF4">
        <w:tc>
          <w:tcPr>
            <w:tcW w:w="5000" w:type="pct"/>
            <w:gridSpan w:val="4"/>
          </w:tcPr>
          <w:p w:rsidR="002A6CCF" w:rsidRPr="008D6C1E" w:rsidRDefault="002A6CCF" w:rsidP="002A6CCF">
            <w:pPr>
              <w:jc w:val="both"/>
              <w:rPr>
                <w:sz w:val="20"/>
                <w:lang w:val="en-CA"/>
              </w:rPr>
            </w:pPr>
            <w:r w:rsidRPr="008D6C1E">
              <w:rPr>
                <w:sz w:val="20"/>
                <w:lang w:val="en-CA"/>
              </w:rPr>
              <w:t>Taxation — Income tax — Assessment — Appeal — Leave to appeal — Whether applicant raising issue of law — Whether issue is of public importance.</w:t>
            </w:r>
          </w:p>
        </w:tc>
      </w:tr>
      <w:tr w:rsidR="002A6CCF" w:rsidRPr="008D6C1E" w:rsidTr="002B5CF4">
        <w:tc>
          <w:tcPr>
            <w:tcW w:w="5000" w:type="pct"/>
            <w:gridSpan w:val="4"/>
          </w:tcPr>
          <w:p w:rsidR="002A6CCF" w:rsidRPr="008D6C1E" w:rsidRDefault="002A6CCF" w:rsidP="002A6CCF">
            <w:pPr>
              <w:jc w:val="both"/>
              <w:rPr>
                <w:sz w:val="20"/>
                <w:lang w:val="en-CA"/>
              </w:rPr>
            </w:pPr>
          </w:p>
        </w:tc>
      </w:tr>
      <w:tr w:rsidR="002A6CCF" w:rsidRPr="008D6C1E" w:rsidTr="002B5CF4">
        <w:tc>
          <w:tcPr>
            <w:tcW w:w="5000" w:type="pct"/>
            <w:gridSpan w:val="4"/>
          </w:tcPr>
          <w:p w:rsidR="002A6CCF" w:rsidRPr="008D6C1E" w:rsidRDefault="002A6CCF" w:rsidP="002A6CCF">
            <w:pPr>
              <w:jc w:val="both"/>
              <w:rPr>
                <w:sz w:val="20"/>
                <w:lang w:val="en-CA"/>
              </w:rPr>
            </w:pPr>
            <w:r w:rsidRPr="008D6C1E">
              <w:rPr>
                <w:sz w:val="20"/>
                <w:lang w:val="en-CA"/>
              </w:rPr>
              <w:t xml:space="preserve">The applicant challenged the assessment made by the Canada Revenue Agency (“CRA”) for the 2010 taxation year. The applicant was a financial advisor at a brokerage firm until June 2010. He alleged that his </w:t>
            </w:r>
            <w:proofErr w:type="gramStart"/>
            <w:r w:rsidRPr="008D6C1E">
              <w:rPr>
                <w:sz w:val="20"/>
                <w:lang w:val="en-CA"/>
              </w:rPr>
              <w:t>clientele had been stolen from him by his former employer</w:t>
            </w:r>
            <w:proofErr w:type="gramEnd"/>
            <w:r w:rsidRPr="008D6C1E">
              <w:rPr>
                <w:sz w:val="20"/>
                <w:lang w:val="en-CA"/>
              </w:rPr>
              <w:t xml:space="preserve"> after that date. On his 2010 income tax return, he sought to deduct the loss of his anticipated income from his clients for June to December 2010, namely $14,000. He also claimed that the loss of his clientele was a loss of a valuable asset that gave rise to a capital loss of $800,000. Next, he sought to deduct $14,000,000 in disposition costs for his former clientele and thereby increase his capital loss to $14,800,000. The CRA disallowed the deductions. The Tax Court of Canada dismissed the applicant’s appeal from the assessment, and the Federal Court of Appeal dismissed his appeal.</w:t>
            </w:r>
          </w:p>
          <w:p w:rsidR="002A6CCF" w:rsidRPr="008D6C1E" w:rsidRDefault="002A6CCF" w:rsidP="002A6CCF">
            <w:pPr>
              <w:jc w:val="both"/>
              <w:rPr>
                <w:sz w:val="20"/>
                <w:lang w:val="en-CA"/>
              </w:rPr>
            </w:pPr>
          </w:p>
        </w:tc>
      </w:tr>
      <w:tr w:rsidR="002A6CCF" w:rsidRPr="008D6C1E" w:rsidTr="002B5CF4">
        <w:tc>
          <w:tcPr>
            <w:tcW w:w="2427" w:type="pct"/>
            <w:gridSpan w:val="2"/>
          </w:tcPr>
          <w:p w:rsidR="002A6CCF" w:rsidRPr="008D6C1E" w:rsidRDefault="002A6CCF" w:rsidP="002A6CCF">
            <w:pPr>
              <w:jc w:val="both"/>
              <w:rPr>
                <w:sz w:val="20"/>
                <w:lang w:val="en-CA"/>
              </w:rPr>
            </w:pPr>
            <w:r w:rsidRPr="008D6C1E">
              <w:rPr>
                <w:sz w:val="20"/>
                <w:lang w:val="en-CA"/>
              </w:rPr>
              <w:t>June 19, 2014</w:t>
            </w:r>
          </w:p>
          <w:p w:rsidR="002A6CCF" w:rsidRPr="008D6C1E" w:rsidRDefault="002A6CCF" w:rsidP="002A6CCF">
            <w:pPr>
              <w:jc w:val="both"/>
              <w:rPr>
                <w:sz w:val="20"/>
                <w:lang w:val="en-CA"/>
              </w:rPr>
            </w:pPr>
            <w:r w:rsidRPr="008D6C1E">
              <w:rPr>
                <w:sz w:val="20"/>
                <w:lang w:val="en-CA"/>
              </w:rPr>
              <w:t>Tax Court of Canada</w:t>
            </w:r>
          </w:p>
          <w:p w:rsidR="002A6CCF" w:rsidRPr="008D6C1E" w:rsidRDefault="002A6CCF" w:rsidP="002A6CCF">
            <w:pPr>
              <w:jc w:val="both"/>
              <w:rPr>
                <w:sz w:val="20"/>
                <w:lang w:val="en-CA"/>
              </w:rPr>
            </w:pPr>
            <w:r w:rsidRPr="008D6C1E">
              <w:rPr>
                <w:sz w:val="20"/>
                <w:lang w:val="en-CA"/>
              </w:rPr>
              <w:t>(Boyle J.)</w:t>
            </w:r>
          </w:p>
          <w:p w:rsidR="002A6CCF" w:rsidRPr="008D6C1E" w:rsidRDefault="005E6DC4" w:rsidP="002A6CCF">
            <w:pPr>
              <w:jc w:val="both"/>
              <w:rPr>
                <w:sz w:val="20"/>
                <w:lang w:val="en-CA"/>
              </w:rPr>
            </w:pPr>
            <w:hyperlink r:id="rId102" w:history="1">
              <w:r w:rsidR="002A6CCF" w:rsidRPr="008D6C1E">
                <w:rPr>
                  <w:rStyle w:val="Hyperlink"/>
                  <w:sz w:val="20"/>
                  <w:lang w:val="en-CA"/>
                </w:rPr>
                <w:t>2014 TCC 200</w:t>
              </w:r>
            </w:hyperlink>
          </w:p>
          <w:p w:rsidR="002A6CCF" w:rsidRPr="008D6C1E" w:rsidRDefault="002A6CCF" w:rsidP="002A6CCF">
            <w:pPr>
              <w:jc w:val="both"/>
              <w:rPr>
                <w:sz w:val="20"/>
                <w:lang w:val="en-CA"/>
              </w:rPr>
            </w:pPr>
          </w:p>
        </w:tc>
        <w:tc>
          <w:tcPr>
            <w:tcW w:w="243" w:type="pct"/>
          </w:tcPr>
          <w:p w:rsidR="002A6CCF" w:rsidRPr="008D6C1E" w:rsidRDefault="002A6CCF" w:rsidP="002A6CCF">
            <w:pPr>
              <w:jc w:val="both"/>
              <w:rPr>
                <w:sz w:val="20"/>
                <w:lang w:val="en-CA"/>
              </w:rPr>
            </w:pPr>
          </w:p>
        </w:tc>
        <w:tc>
          <w:tcPr>
            <w:tcW w:w="2330" w:type="pct"/>
          </w:tcPr>
          <w:p w:rsidR="002A6CCF" w:rsidRPr="008D6C1E" w:rsidRDefault="002A6CCF" w:rsidP="002A6CCF">
            <w:pPr>
              <w:jc w:val="both"/>
              <w:rPr>
                <w:sz w:val="20"/>
                <w:lang w:val="en-CA"/>
              </w:rPr>
            </w:pPr>
            <w:r w:rsidRPr="008D6C1E">
              <w:rPr>
                <w:sz w:val="20"/>
                <w:lang w:val="en-CA"/>
              </w:rPr>
              <w:t xml:space="preserve">Applicant’s appeal from assessment made under </w:t>
            </w:r>
            <w:r w:rsidRPr="008D6C1E">
              <w:rPr>
                <w:i/>
                <w:sz w:val="20"/>
                <w:lang w:val="en-CA"/>
              </w:rPr>
              <w:t>Income Tax Act</w:t>
            </w:r>
            <w:r w:rsidRPr="008D6C1E">
              <w:rPr>
                <w:sz w:val="20"/>
                <w:lang w:val="en-CA"/>
              </w:rPr>
              <w:t>, R.S.C. 1985, c. 1, for 2010 taxation year dismissed</w:t>
            </w:r>
          </w:p>
          <w:p w:rsidR="002A6CCF" w:rsidRPr="008D6C1E" w:rsidRDefault="002A6CCF" w:rsidP="002A6CCF">
            <w:pPr>
              <w:jc w:val="both"/>
              <w:rPr>
                <w:sz w:val="20"/>
                <w:lang w:val="en-CA"/>
              </w:rPr>
            </w:pPr>
          </w:p>
        </w:tc>
      </w:tr>
      <w:tr w:rsidR="002A6CCF" w:rsidRPr="008D6C1E" w:rsidTr="002B5CF4">
        <w:tc>
          <w:tcPr>
            <w:tcW w:w="2427" w:type="pct"/>
            <w:gridSpan w:val="2"/>
          </w:tcPr>
          <w:p w:rsidR="002A6CCF" w:rsidRPr="008D6C1E" w:rsidRDefault="002A6CCF" w:rsidP="002A6CCF">
            <w:pPr>
              <w:jc w:val="both"/>
              <w:rPr>
                <w:sz w:val="20"/>
                <w:lang w:val="en-CA"/>
              </w:rPr>
            </w:pPr>
            <w:r w:rsidRPr="008D6C1E">
              <w:rPr>
                <w:sz w:val="20"/>
                <w:lang w:val="en-CA"/>
              </w:rPr>
              <w:t>September 23, 2015</w:t>
            </w:r>
          </w:p>
          <w:p w:rsidR="002A6CCF" w:rsidRPr="008D6C1E" w:rsidRDefault="002A6CCF" w:rsidP="002A6CCF">
            <w:pPr>
              <w:jc w:val="both"/>
              <w:rPr>
                <w:sz w:val="20"/>
                <w:lang w:val="en-CA"/>
              </w:rPr>
            </w:pPr>
            <w:r w:rsidRPr="008D6C1E">
              <w:rPr>
                <w:sz w:val="20"/>
                <w:lang w:val="en-CA"/>
              </w:rPr>
              <w:t>Federal Court of Appeal</w:t>
            </w:r>
          </w:p>
          <w:p w:rsidR="002A6CCF" w:rsidRPr="008D6C1E" w:rsidRDefault="002A6CCF" w:rsidP="002A6CCF">
            <w:pPr>
              <w:jc w:val="both"/>
              <w:rPr>
                <w:sz w:val="20"/>
                <w:lang w:val="en-CA"/>
              </w:rPr>
            </w:pPr>
            <w:r w:rsidRPr="008D6C1E">
              <w:rPr>
                <w:sz w:val="20"/>
                <w:lang w:val="en-CA"/>
              </w:rPr>
              <w:t>(Nadon, Pelletier and Gauthier JJ.A.)</w:t>
            </w:r>
          </w:p>
          <w:p w:rsidR="002A6CCF" w:rsidRPr="008D6C1E" w:rsidRDefault="005E6DC4" w:rsidP="002A6CCF">
            <w:pPr>
              <w:jc w:val="both"/>
              <w:rPr>
                <w:sz w:val="20"/>
                <w:lang w:val="en-CA"/>
              </w:rPr>
            </w:pPr>
            <w:hyperlink r:id="rId103" w:history="1">
              <w:r w:rsidR="002A6CCF" w:rsidRPr="008D6C1E">
                <w:rPr>
                  <w:rStyle w:val="Hyperlink"/>
                  <w:sz w:val="20"/>
                  <w:lang w:val="en-CA"/>
                </w:rPr>
                <w:t>2015 FCA 204</w:t>
              </w:r>
            </w:hyperlink>
          </w:p>
          <w:p w:rsidR="002A6CCF" w:rsidRPr="008D6C1E" w:rsidRDefault="002A6CCF" w:rsidP="002A6CCF">
            <w:pPr>
              <w:jc w:val="both"/>
              <w:rPr>
                <w:sz w:val="20"/>
                <w:lang w:val="en-CA"/>
              </w:rPr>
            </w:pPr>
          </w:p>
        </w:tc>
        <w:tc>
          <w:tcPr>
            <w:tcW w:w="243" w:type="pct"/>
          </w:tcPr>
          <w:p w:rsidR="002A6CCF" w:rsidRPr="008D6C1E" w:rsidRDefault="002A6CCF" w:rsidP="002A6CCF">
            <w:pPr>
              <w:jc w:val="both"/>
              <w:rPr>
                <w:sz w:val="20"/>
                <w:lang w:val="en-CA"/>
              </w:rPr>
            </w:pPr>
          </w:p>
        </w:tc>
        <w:tc>
          <w:tcPr>
            <w:tcW w:w="2330" w:type="pct"/>
          </w:tcPr>
          <w:p w:rsidR="002A6CCF" w:rsidRPr="008D6C1E" w:rsidRDefault="002A6CCF" w:rsidP="002A6CCF">
            <w:pPr>
              <w:jc w:val="both"/>
              <w:rPr>
                <w:sz w:val="20"/>
                <w:lang w:val="en-CA"/>
              </w:rPr>
            </w:pPr>
            <w:r w:rsidRPr="008D6C1E">
              <w:rPr>
                <w:sz w:val="20"/>
                <w:lang w:val="en-CA"/>
              </w:rPr>
              <w:t>Appeal dismissed</w:t>
            </w:r>
          </w:p>
          <w:p w:rsidR="002A6CCF" w:rsidRPr="008D6C1E" w:rsidRDefault="002A6CCF" w:rsidP="002A6CCF">
            <w:pPr>
              <w:jc w:val="both"/>
              <w:rPr>
                <w:sz w:val="20"/>
                <w:lang w:val="en-CA"/>
              </w:rPr>
            </w:pPr>
          </w:p>
        </w:tc>
      </w:tr>
      <w:tr w:rsidR="002A6CCF" w:rsidRPr="008D6C1E" w:rsidTr="002B5CF4">
        <w:tc>
          <w:tcPr>
            <w:tcW w:w="2427" w:type="pct"/>
            <w:gridSpan w:val="2"/>
          </w:tcPr>
          <w:p w:rsidR="002A6CCF" w:rsidRPr="008D6C1E" w:rsidRDefault="002A6CCF" w:rsidP="002A6CCF">
            <w:pPr>
              <w:jc w:val="both"/>
              <w:rPr>
                <w:sz w:val="20"/>
                <w:lang w:val="en-CA"/>
              </w:rPr>
            </w:pPr>
            <w:r w:rsidRPr="008D6C1E">
              <w:rPr>
                <w:sz w:val="20"/>
                <w:lang w:val="en-CA"/>
              </w:rPr>
              <w:t>December 29, 2015</w:t>
            </w:r>
          </w:p>
          <w:p w:rsidR="002A6CCF" w:rsidRPr="008D6C1E" w:rsidRDefault="002A6CCF" w:rsidP="002A6CCF">
            <w:pPr>
              <w:jc w:val="both"/>
              <w:rPr>
                <w:sz w:val="20"/>
                <w:lang w:val="en-CA"/>
              </w:rPr>
            </w:pPr>
            <w:r w:rsidRPr="008D6C1E">
              <w:rPr>
                <w:sz w:val="20"/>
                <w:lang w:val="en-CA"/>
              </w:rPr>
              <w:t>Supreme Court of Canada</w:t>
            </w:r>
          </w:p>
        </w:tc>
        <w:tc>
          <w:tcPr>
            <w:tcW w:w="243" w:type="pct"/>
          </w:tcPr>
          <w:p w:rsidR="002A6CCF" w:rsidRPr="008D6C1E" w:rsidRDefault="002A6CCF" w:rsidP="002A6CCF">
            <w:pPr>
              <w:jc w:val="both"/>
              <w:rPr>
                <w:sz w:val="20"/>
                <w:lang w:val="en-CA"/>
              </w:rPr>
            </w:pPr>
          </w:p>
        </w:tc>
        <w:tc>
          <w:tcPr>
            <w:tcW w:w="2330" w:type="pct"/>
          </w:tcPr>
          <w:p w:rsidR="002A6CCF" w:rsidRPr="008D6C1E" w:rsidRDefault="002A6CCF" w:rsidP="002A6CCF">
            <w:pPr>
              <w:jc w:val="both"/>
              <w:rPr>
                <w:sz w:val="20"/>
                <w:lang w:val="en-CA"/>
              </w:rPr>
            </w:pPr>
            <w:r w:rsidRPr="008D6C1E">
              <w:rPr>
                <w:sz w:val="20"/>
                <w:lang w:val="en-CA"/>
              </w:rPr>
              <w:t>Motion to extend time to serve and file application for leave to appeal and application for leave to appeal filed</w:t>
            </w:r>
          </w:p>
        </w:tc>
      </w:tr>
    </w:tbl>
    <w:p w:rsidR="002A6CCF" w:rsidRPr="008D6C1E" w:rsidRDefault="002A6CCF" w:rsidP="002A6CCF">
      <w:pPr>
        <w:jc w:val="both"/>
        <w:rPr>
          <w:sz w:val="20"/>
          <w:lang w:val="en-CA"/>
        </w:rPr>
      </w:pPr>
    </w:p>
    <w:p w:rsidR="002A6CCF" w:rsidRPr="008D6C1E" w:rsidRDefault="002A6CCF" w:rsidP="002A6CC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A6CCF" w:rsidRPr="008D6C1E" w:rsidTr="002B5CF4">
        <w:tc>
          <w:tcPr>
            <w:tcW w:w="543" w:type="pct"/>
          </w:tcPr>
          <w:p w:rsidR="002A6CCF" w:rsidRPr="008D6C1E" w:rsidRDefault="002A6CCF" w:rsidP="002A6CCF">
            <w:pPr>
              <w:jc w:val="both"/>
              <w:rPr>
                <w:sz w:val="20"/>
              </w:rPr>
            </w:pPr>
            <w:r w:rsidRPr="008D6C1E">
              <w:rPr>
                <w:rStyle w:val="SCCFileNumberChar"/>
                <w:sz w:val="20"/>
                <w:szCs w:val="20"/>
              </w:rPr>
              <w:t>36817</w:t>
            </w:r>
          </w:p>
        </w:tc>
        <w:tc>
          <w:tcPr>
            <w:tcW w:w="4457" w:type="pct"/>
            <w:gridSpan w:val="3"/>
          </w:tcPr>
          <w:p w:rsidR="002A6CCF" w:rsidRPr="008D6C1E" w:rsidRDefault="002A6CCF" w:rsidP="002A6CCF">
            <w:pPr>
              <w:pStyle w:val="SCCLsocParty"/>
              <w:jc w:val="both"/>
              <w:rPr>
                <w:b/>
                <w:sz w:val="20"/>
                <w:szCs w:val="20"/>
              </w:rPr>
            </w:pPr>
            <w:r w:rsidRPr="008D6C1E">
              <w:rPr>
                <w:b/>
                <w:sz w:val="20"/>
                <w:szCs w:val="20"/>
              </w:rPr>
              <w:t>Louis-Fred Martin c. Sa Majesté la Reine</w:t>
            </w:r>
          </w:p>
          <w:p w:rsidR="002A6CCF" w:rsidRPr="008D6C1E" w:rsidRDefault="002A6CCF" w:rsidP="002A6CCF">
            <w:pPr>
              <w:jc w:val="both"/>
              <w:rPr>
                <w:sz w:val="20"/>
              </w:rPr>
            </w:pPr>
            <w:r w:rsidRPr="008D6C1E">
              <w:rPr>
                <w:sz w:val="20"/>
              </w:rPr>
              <w:t>(CF) (Civile) (Autorisation)</w:t>
            </w:r>
          </w:p>
        </w:tc>
      </w:tr>
      <w:tr w:rsidR="002A6CCF" w:rsidRPr="002C1A32" w:rsidTr="002B5CF4">
        <w:tc>
          <w:tcPr>
            <w:tcW w:w="5000" w:type="pct"/>
            <w:gridSpan w:val="4"/>
          </w:tcPr>
          <w:p w:rsidR="002A6CCF" w:rsidRPr="002C1A32" w:rsidRDefault="002A6CCF" w:rsidP="002A6CCF">
            <w:pPr>
              <w:jc w:val="both"/>
              <w:rPr>
                <w:sz w:val="20"/>
                <w:lang w:val="fr-CA"/>
              </w:rPr>
            </w:pPr>
            <w:r w:rsidRPr="002C1A32">
              <w:rPr>
                <w:sz w:val="20"/>
                <w:lang w:val="fr-CA"/>
              </w:rPr>
              <w:t>Droit fiscal — Impôt sur le revenu — Cotisation — Appel — Permission d’appeler — Le demandeur soulève-t-il une question juridique? — Cette question est-elle d’importance pour le public?</w:t>
            </w:r>
          </w:p>
        </w:tc>
      </w:tr>
      <w:tr w:rsidR="002A6CCF" w:rsidRPr="002C1A32" w:rsidTr="002B5CF4">
        <w:tc>
          <w:tcPr>
            <w:tcW w:w="5000" w:type="pct"/>
            <w:gridSpan w:val="4"/>
          </w:tcPr>
          <w:p w:rsidR="002A6CCF" w:rsidRPr="002C1A32" w:rsidRDefault="002A6CCF" w:rsidP="002A6CCF">
            <w:pPr>
              <w:jc w:val="both"/>
              <w:rPr>
                <w:sz w:val="20"/>
                <w:lang w:val="fr-CA"/>
              </w:rPr>
            </w:pPr>
          </w:p>
        </w:tc>
      </w:tr>
      <w:tr w:rsidR="002A6CCF" w:rsidRPr="002C1A32" w:rsidTr="002B5CF4">
        <w:tc>
          <w:tcPr>
            <w:tcW w:w="5000" w:type="pct"/>
            <w:gridSpan w:val="4"/>
          </w:tcPr>
          <w:p w:rsidR="002A6CCF" w:rsidRPr="002C1A32" w:rsidRDefault="002A6CCF" w:rsidP="002A6CCF">
            <w:pPr>
              <w:jc w:val="both"/>
              <w:rPr>
                <w:sz w:val="20"/>
                <w:lang w:val="fr-CA"/>
              </w:rPr>
            </w:pPr>
            <w:r w:rsidRPr="002C1A32">
              <w:rPr>
                <w:sz w:val="20"/>
                <w:lang w:val="fr-CA"/>
              </w:rPr>
              <w:t>Le demandeur conteste la cotisation de l’Agence du revenu du Canada (« ARC ») pour l’année d’imposition 2010. Le demandeur est conseiller financier dans un cabinet de courtage jusqu’en juin 2010. Selon lui, suite à cette date, sa clientèle lui est volée par son ancien employeur. Sur sa déclaration d’impôt sur le revenu  pour l’année 2010, il cherche à déduire la perte de revenu qu’il prévoyait tirer de ses clients de juin à décembre 2010, soit 14 000 $. Il prétend également que la perte de sa clientèle constitue la perte d’un bien de valeur, donnant lieu à une perte en capital de 800 000 $. Il cherche ensuite à déduire la somme de 14 000 000 $ au titre des frais afférents à la disposition de son ancienne clientèle, et ainsi à augmenter sa perte en capital à 14 800 000 $. L’ARC refuse ces déductions. La Cour canadienne de l’impôt rejette l’appel du demandeur à l’encontre de la cotisation, et la Cour d’appel fédérale rejette son appel.</w:t>
            </w:r>
          </w:p>
          <w:p w:rsidR="002A6CCF" w:rsidRPr="002C1A32" w:rsidRDefault="002A6CCF" w:rsidP="002A6CCF">
            <w:pPr>
              <w:jc w:val="both"/>
              <w:rPr>
                <w:sz w:val="20"/>
                <w:lang w:val="fr-CA"/>
              </w:rPr>
            </w:pPr>
          </w:p>
        </w:tc>
      </w:tr>
      <w:tr w:rsidR="002A6CCF" w:rsidRPr="002C1A32" w:rsidTr="002B5CF4">
        <w:tc>
          <w:tcPr>
            <w:tcW w:w="2427" w:type="pct"/>
            <w:gridSpan w:val="2"/>
          </w:tcPr>
          <w:p w:rsidR="002A6CCF" w:rsidRPr="002C1A32" w:rsidRDefault="002A6CCF" w:rsidP="002A6CCF">
            <w:pPr>
              <w:jc w:val="both"/>
              <w:rPr>
                <w:sz w:val="20"/>
                <w:lang w:val="fr-CA"/>
              </w:rPr>
            </w:pPr>
            <w:r w:rsidRPr="002C1A32">
              <w:rPr>
                <w:sz w:val="20"/>
                <w:lang w:val="fr-CA"/>
              </w:rPr>
              <w:t>Le 19 juin 2014</w:t>
            </w:r>
          </w:p>
          <w:p w:rsidR="002A6CCF" w:rsidRPr="002C1A32" w:rsidRDefault="002A6CCF" w:rsidP="002A6CCF">
            <w:pPr>
              <w:jc w:val="both"/>
              <w:rPr>
                <w:sz w:val="20"/>
                <w:lang w:val="fr-CA"/>
              </w:rPr>
            </w:pPr>
            <w:r w:rsidRPr="002C1A32">
              <w:rPr>
                <w:sz w:val="20"/>
                <w:lang w:val="fr-CA"/>
              </w:rPr>
              <w:t>Cour canadienne de l’impôt</w:t>
            </w:r>
          </w:p>
          <w:p w:rsidR="002A6CCF" w:rsidRPr="008D6C1E" w:rsidRDefault="002A6CCF" w:rsidP="002A6CCF">
            <w:pPr>
              <w:jc w:val="both"/>
              <w:rPr>
                <w:sz w:val="20"/>
              </w:rPr>
            </w:pPr>
            <w:r w:rsidRPr="008D6C1E">
              <w:rPr>
                <w:sz w:val="20"/>
              </w:rPr>
              <w:t xml:space="preserve">(Le </w:t>
            </w:r>
            <w:proofErr w:type="spellStart"/>
            <w:r w:rsidRPr="008D6C1E">
              <w:rPr>
                <w:sz w:val="20"/>
              </w:rPr>
              <w:t>juge</w:t>
            </w:r>
            <w:proofErr w:type="spellEnd"/>
            <w:r w:rsidRPr="008D6C1E">
              <w:rPr>
                <w:sz w:val="20"/>
              </w:rPr>
              <w:t xml:space="preserve"> Boyle)</w:t>
            </w:r>
          </w:p>
          <w:p w:rsidR="002A6CCF" w:rsidRPr="008D6C1E" w:rsidRDefault="005E6DC4" w:rsidP="002A6CCF">
            <w:pPr>
              <w:jc w:val="both"/>
              <w:rPr>
                <w:sz w:val="20"/>
              </w:rPr>
            </w:pPr>
            <w:hyperlink r:id="rId104" w:history="1">
              <w:r w:rsidR="002A6CCF" w:rsidRPr="008D6C1E">
                <w:rPr>
                  <w:rStyle w:val="Hyperlink"/>
                  <w:sz w:val="20"/>
                </w:rPr>
                <w:t>2014 CCI 200</w:t>
              </w:r>
            </w:hyperlink>
          </w:p>
          <w:p w:rsidR="002A6CCF" w:rsidRPr="008D6C1E" w:rsidRDefault="002A6CCF" w:rsidP="002A6CCF">
            <w:pPr>
              <w:jc w:val="both"/>
              <w:rPr>
                <w:sz w:val="20"/>
              </w:rPr>
            </w:pPr>
          </w:p>
        </w:tc>
        <w:tc>
          <w:tcPr>
            <w:tcW w:w="243" w:type="pct"/>
          </w:tcPr>
          <w:p w:rsidR="002A6CCF" w:rsidRPr="008D6C1E" w:rsidRDefault="002A6CCF" w:rsidP="002A6CCF">
            <w:pPr>
              <w:jc w:val="both"/>
              <w:rPr>
                <w:sz w:val="20"/>
              </w:rPr>
            </w:pPr>
          </w:p>
        </w:tc>
        <w:tc>
          <w:tcPr>
            <w:tcW w:w="2330" w:type="pct"/>
          </w:tcPr>
          <w:p w:rsidR="002A6CCF" w:rsidRPr="002C1A32" w:rsidRDefault="002A6CCF" w:rsidP="002A6CCF">
            <w:pPr>
              <w:jc w:val="both"/>
              <w:rPr>
                <w:sz w:val="20"/>
                <w:lang w:val="fr-CA"/>
              </w:rPr>
            </w:pPr>
            <w:r w:rsidRPr="002C1A32">
              <w:rPr>
                <w:sz w:val="20"/>
                <w:lang w:val="fr-CA"/>
              </w:rPr>
              <w:t xml:space="preserve">Appel du demandeur à l’encontre de la cotisation établie en vertu de la </w:t>
            </w:r>
            <w:r w:rsidRPr="002C1A32">
              <w:rPr>
                <w:i/>
                <w:sz w:val="20"/>
                <w:lang w:val="fr-CA"/>
              </w:rPr>
              <w:t>Loi de l’impôt sur le revenu</w:t>
            </w:r>
            <w:r w:rsidRPr="002C1A32">
              <w:rPr>
                <w:sz w:val="20"/>
                <w:lang w:val="fr-CA"/>
              </w:rPr>
              <w:t>, L.R.C. 1985, c. 1, à l’égard de l’année d’imposition 2010 rejeté</w:t>
            </w:r>
          </w:p>
          <w:p w:rsidR="002A6CCF" w:rsidRPr="002C1A32" w:rsidRDefault="002A6CCF" w:rsidP="002A6CCF">
            <w:pPr>
              <w:jc w:val="both"/>
              <w:rPr>
                <w:sz w:val="20"/>
                <w:lang w:val="fr-CA"/>
              </w:rPr>
            </w:pPr>
          </w:p>
        </w:tc>
      </w:tr>
      <w:tr w:rsidR="002A6CCF" w:rsidRPr="008D6C1E" w:rsidTr="002B5CF4">
        <w:tc>
          <w:tcPr>
            <w:tcW w:w="2427" w:type="pct"/>
            <w:gridSpan w:val="2"/>
          </w:tcPr>
          <w:p w:rsidR="002A6CCF" w:rsidRPr="002C1A32" w:rsidRDefault="002A6CCF" w:rsidP="002A6CCF">
            <w:pPr>
              <w:jc w:val="both"/>
              <w:rPr>
                <w:sz w:val="20"/>
                <w:lang w:val="fr-CA"/>
              </w:rPr>
            </w:pPr>
            <w:r w:rsidRPr="002C1A32">
              <w:rPr>
                <w:sz w:val="20"/>
                <w:lang w:val="fr-CA"/>
              </w:rPr>
              <w:t>Le 23 septembre 2015</w:t>
            </w:r>
          </w:p>
          <w:p w:rsidR="002A6CCF" w:rsidRPr="002C1A32" w:rsidRDefault="002A6CCF" w:rsidP="002A6CCF">
            <w:pPr>
              <w:jc w:val="both"/>
              <w:rPr>
                <w:sz w:val="20"/>
                <w:lang w:val="fr-CA"/>
              </w:rPr>
            </w:pPr>
            <w:r w:rsidRPr="002C1A32">
              <w:rPr>
                <w:sz w:val="20"/>
                <w:lang w:val="fr-CA"/>
              </w:rPr>
              <w:t>Cour d’appel fédérale</w:t>
            </w:r>
          </w:p>
          <w:p w:rsidR="002A6CCF" w:rsidRPr="002C1A32" w:rsidRDefault="002A6CCF" w:rsidP="002A6CCF">
            <w:pPr>
              <w:jc w:val="both"/>
              <w:rPr>
                <w:sz w:val="20"/>
                <w:lang w:val="fr-CA"/>
              </w:rPr>
            </w:pPr>
            <w:r w:rsidRPr="002C1A32">
              <w:rPr>
                <w:sz w:val="20"/>
                <w:lang w:val="fr-CA"/>
              </w:rPr>
              <w:t>(Les juges Nadon, Pelletier et Gauthier)</w:t>
            </w:r>
          </w:p>
          <w:p w:rsidR="002A6CCF" w:rsidRPr="008D6C1E" w:rsidRDefault="005E6DC4" w:rsidP="002A6CCF">
            <w:pPr>
              <w:jc w:val="both"/>
              <w:rPr>
                <w:sz w:val="20"/>
              </w:rPr>
            </w:pPr>
            <w:hyperlink r:id="rId105" w:history="1">
              <w:r w:rsidR="002A6CCF" w:rsidRPr="008D6C1E">
                <w:rPr>
                  <w:rStyle w:val="Hyperlink"/>
                  <w:sz w:val="20"/>
                </w:rPr>
                <w:t>2015 CAF 204</w:t>
              </w:r>
            </w:hyperlink>
          </w:p>
          <w:p w:rsidR="002A6CCF" w:rsidRPr="008D6C1E" w:rsidRDefault="002A6CCF" w:rsidP="002A6CCF">
            <w:pPr>
              <w:jc w:val="both"/>
              <w:rPr>
                <w:sz w:val="20"/>
              </w:rPr>
            </w:pPr>
          </w:p>
        </w:tc>
        <w:tc>
          <w:tcPr>
            <w:tcW w:w="243" w:type="pct"/>
          </w:tcPr>
          <w:p w:rsidR="002A6CCF" w:rsidRPr="008D6C1E" w:rsidRDefault="002A6CCF" w:rsidP="002A6CCF">
            <w:pPr>
              <w:jc w:val="both"/>
              <w:rPr>
                <w:sz w:val="20"/>
              </w:rPr>
            </w:pPr>
          </w:p>
        </w:tc>
        <w:tc>
          <w:tcPr>
            <w:tcW w:w="2330" w:type="pct"/>
          </w:tcPr>
          <w:p w:rsidR="002A6CCF" w:rsidRPr="008D6C1E" w:rsidRDefault="002A6CCF" w:rsidP="002A6CCF">
            <w:pPr>
              <w:jc w:val="both"/>
              <w:rPr>
                <w:sz w:val="20"/>
              </w:rPr>
            </w:pPr>
            <w:r w:rsidRPr="008D6C1E">
              <w:rPr>
                <w:sz w:val="20"/>
              </w:rPr>
              <w:t>Appel rejeté</w:t>
            </w:r>
          </w:p>
          <w:p w:rsidR="002A6CCF" w:rsidRPr="008D6C1E" w:rsidRDefault="002A6CCF" w:rsidP="002A6CCF">
            <w:pPr>
              <w:jc w:val="both"/>
              <w:rPr>
                <w:sz w:val="20"/>
              </w:rPr>
            </w:pPr>
          </w:p>
        </w:tc>
      </w:tr>
      <w:tr w:rsidR="002A6CCF" w:rsidRPr="002C1A32" w:rsidTr="002B5CF4">
        <w:tc>
          <w:tcPr>
            <w:tcW w:w="2427" w:type="pct"/>
            <w:gridSpan w:val="2"/>
          </w:tcPr>
          <w:p w:rsidR="002A6CCF" w:rsidRPr="002C1A32" w:rsidRDefault="002A6CCF" w:rsidP="002A6CCF">
            <w:pPr>
              <w:jc w:val="both"/>
              <w:rPr>
                <w:sz w:val="20"/>
                <w:lang w:val="fr-CA"/>
              </w:rPr>
            </w:pPr>
            <w:r w:rsidRPr="002C1A32">
              <w:rPr>
                <w:sz w:val="20"/>
                <w:lang w:val="fr-CA"/>
              </w:rPr>
              <w:lastRenderedPageBreak/>
              <w:t>Le 29 décembre 2015</w:t>
            </w:r>
          </w:p>
          <w:p w:rsidR="002A6CCF" w:rsidRPr="002C1A32" w:rsidRDefault="002A6CCF" w:rsidP="002A6CCF">
            <w:pPr>
              <w:jc w:val="both"/>
              <w:rPr>
                <w:sz w:val="20"/>
                <w:lang w:val="fr-CA"/>
              </w:rPr>
            </w:pPr>
            <w:r w:rsidRPr="002C1A32">
              <w:rPr>
                <w:sz w:val="20"/>
                <w:lang w:val="fr-CA"/>
              </w:rPr>
              <w:t>Cour suprême du Canada</w:t>
            </w:r>
          </w:p>
        </w:tc>
        <w:tc>
          <w:tcPr>
            <w:tcW w:w="243" w:type="pct"/>
          </w:tcPr>
          <w:p w:rsidR="002A6CCF" w:rsidRPr="002C1A32" w:rsidRDefault="002A6CCF" w:rsidP="002A6CCF">
            <w:pPr>
              <w:jc w:val="both"/>
              <w:rPr>
                <w:sz w:val="20"/>
                <w:lang w:val="fr-CA"/>
              </w:rPr>
            </w:pPr>
          </w:p>
        </w:tc>
        <w:tc>
          <w:tcPr>
            <w:tcW w:w="2330" w:type="pct"/>
          </w:tcPr>
          <w:p w:rsidR="002A6CCF" w:rsidRPr="002C1A32" w:rsidRDefault="002A6CCF" w:rsidP="002A6CCF">
            <w:pPr>
              <w:jc w:val="both"/>
              <w:rPr>
                <w:sz w:val="20"/>
                <w:lang w:val="fr-CA"/>
              </w:rPr>
            </w:pPr>
            <w:r w:rsidRPr="002C1A32">
              <w:rPr>
                <w:sz w:val="20"/>
                <w:lang w:val="fr-CA"/>
              </w:rPr>
              <w:t>Requête en prorogation du délai de signification et de dépôt de la demande d’autorisation d’appel et demande d’autorisation d’appel déposés</w:t>
            </w:r>
          </w:p>
        </w:tc>
      </w:tr>
    </w:tbl>
    <w:p w:rsidR="002A6CCF" w:rsidRPr="002C1A32" w:rsidRDefault="002A6CCF" w:rsidP="001718B1">
      <w:pPr>
        <w:jc w:val="both"/>
        <w:rPr>
          <w:sz w:val="20"/>
          <w:lang w:val="fr-CA"/>
        </w:rPr>
      </w:pPr>
    </w:p>
    <w:p w:rsidR="006C44EF" w:rsidRPr="008D6C1E" w:rsidRDefault="006C44EF" w:rsidP="001718B1">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18B1" w:rsidRPr="008D6C1E" w:rsidTr="002B5CF4">
        <w:tc>
          <w:tcPr>
            <w:tcW w:w="543" w:type="pct"/>
          </w:tcPr>
          <w:p w:rsidR="001718B1" w:rsidRPr="008D6C1E" w:rsidRDefault="001718B1" w:rsidP="001718B1">
            <w:pPr>
              <w:jc w:val="both"/>
              <w:rPr>
                <w:sz w:val="20"/>
                <w:lang w:val="en-CA"/>
              </w:rPr>
            </w:pPr>
            <w:r w:rsidRPr="008D6C1E">
              <w:rPr>
                <w:rStyle w:val="SCCFileNumberChar"/>
                <w:sz w:val="20"/>
                <w:szCs w:val="20"/>
              </w:rPr>
              <w:t>36643</w:t>
            </w:r>
          </w:p>
        </w:tc>
        <w:tc>
          <w:tcPr>
            <w:tcW w:w="4457" w:type="pct"/>
            <w:gridSpan w:val="3"/>
          </w:tcPr>
          <w:p w:rsidR="001718B1" w:rsidRPr="008D6C1E" w:rsidRDefault="001718B1" w:rsidP="001718B1">
            <w:pPr>
              <w:pStyle w:val="SCCLsocParty"/>
              <w:jc w:val="both"/>
              <w:rPr>
                <w:b/>
                <w:sz w:val="20"/>
                <w:szCs w:val="20"/>
                <w:lang w:val="en-CA"/>
              </w:rPr>
            </w:pPr>
            <w:r w:rsidRPr="008D6C1E">
              <w:rPr>
                <w:b/>
                <w:sz w:val="20"/>
                <w:szCs w:val="20"/>
                <w:lang w:val="en-CA"/>
              </w:rPr>
              <w:t>Premier Tech Ltd., Gestion Bernard Bélanger Ltée v. Christian Dollo</w:t>
            </w:r>
          </w:p>
          <w:p w:rsidR="001718B1" w:rsidRPr="008D6C1E" w:rsidRDefault="001718B1" w:rsidP="001718B1">
            <w:pPr>
              <w:jc w:val="both"/>
              <w:rPr>
                <w:sz w:val="20"/>
                <w:lang w:val="en-CA"/>
              </w:rPr>
            </w:pPr>
            <w:r w:rsidRPr="008D6C1E">
              <w:rPr>
                <w:sz w:val="20"/>
                <w:lang w:val="en-CA"/>
              </w:rPr>
              <w:t>(Que.) (Civil) (By Leave)</w:t>
            </w:r>
          </w:p>
        </w:tc>
      </w:tr>
      <w:tr w:rsidR="001718B1" w:rsidRPr="008D6C1E" w:rsidTr="002B5CF4">
        <w:tc>
          <w:tcPr>
            <w:tcW w:w="5000" w:type="pct"/>
            <w:gridSpan w:val="4"/>
          </w:tcPr>
          <w:p w:rsidR="001718B1" w:rsidRPr="008D6C1E" w:rsidRDefault="001718B1" w:rsidP="001718B1">
            <w:pPr>
              <w:pStyle w:val="SCCBanSummary"/>
              <w:rPr>
                <w:sz w:val="20"/>
                <w:szCs w:val="20"/>
              </w:rPr>
            </w:pPr>
            <w:proofErr w:type="gramStart"/>
            <w:r w:rsidRPr="008D6C1E">
              <w:rPr>
                <w:smallCaps w:val="0"/>
                <w:sz w:val="20"/>
                <w:szCs w:val="20"/>
              </w:rPr>
              <w:t xml:space="preserve">Commercial law – Corporations – Stock option plan ‒ Presence clause ‒ Dismissal ‒ Oppression ‒ Whether person claiming option holder status can be considered “complainant” within meaning of s. 238 CBCA ‒ Whether “complainant” within meaning of s. 238 CBCA can pursue oppression remedy where relief sought or oppression alleged not related to status as complainant ‒ Whether application of presence clauses in Canadian law leads to outright forfeiture of right to exercise options, regardless of cause of termination, or gives rise to claim in case of unjust dismissal ‒ Whether appeal decision is affected by palpable and overriding error where it is based on findings of fact wrongly attributed to trial judge ‒ Framework for intervention of Supreme Court in such circumstances ‒ </w:t>
            </w:r>
            <w:r w:rsidRPr="008D6C1E">
              <w:rPr>
                <w:i/>
                <w:smallCaps w:val="0"/>
                <w:sz w:val="20"/>
                <w:szCs w:val="20"/>
              </w:rPr>
              <w:t>Canada Business Corporations Act</w:t>
            </w:r>
            <w:r w:rsidRPr="008D6C1E">
              <w:rPr>
                <w:smallCaps w:val="0"/>
                <w:sz w:val="20"/>
                <w:szCs w:val="20"/>
              </w:rPr>
              <w:t>, R.S.C. 1985, c. C</w:t>
            </w:r>
            <w:r w:rsidRPr="008D6C1E">
              <w:rPr>
                <w:smallCaps w:val="0"/>
                <w:sz w:val="20"/>
                <w:szCs w:val="20"/>
              </w:rPr>
              <w:noBreakHyphen/>
              <w:t>44, ss. 238 and 241.</w:t>
            </w:r>
            <w:proofErr w:type="gramEnd"/>
          </w:p>
        </w:tc>
      </w:tr>
      <w:tr w:rsidR="001718B1" w:rsidRPr="008D6C1E" w:rsidTr="002B5CF4">
        <w:tc>
          <w:tcPr>
            <w:tcW w:w="5000" w:type="pct"/>
            <w:gridSpan w:val="4"/>
          </w:tcPr>
          <w:p w:rsidR="001718B1" w:rsidRPr="008D6C1E" w:rsidRDefault="001718B1" w:rsidP="001718B1">
            <w:pPr>
              <w:jc w:val="both"/>
              <w:rPr>
                <w:sz w:val="20"/>
                <w:lang w:val="en-CA"/>
              </w:rPr>
            </w:pPr>
          </w:p>
        </w:tc>
      </w:tr>
      <w:tr w:rsidR="001718B1" w:rsidRPr="008D6C1E" w:rsidTr="002B5CF4">
        <w:tc>
          <w:tcPr>
            <w:tcW w:w="5000" w:type="pct"/>
            <w:gridSpan w:val="4"/>
          </w:tcPr>
          <w:p w:rsidR="001718B1" w:rsidRPr="008D6C1E" w:rsidRDefault="001718B1" w:rsidP="001718B1">
            <w:pPr>
              <w:jc w:val="both"/>
              <w:rPr>
                <w:sz w:val="20"/>
                <w:lang w:val="en-CA"/>
              </w:rPr>
            </w:pPr>
            <w:r w:rsidRPr="008D6C1E">
              <w:rPr>
                <w:sz w:val="20"/>
                <w:lang w:val="en-CA"/>
              </w:rPr>
              <w:t xml:space="preserve">In August 2010, the respondent Christian Dollo </w:t>
            </w:r>
            <w:proofErr w:type="gramStart"/>
            <w:r w:rsidRPr="008D6C1E">
              <w:rPr>
                <w:sz w:val="20"/>
                <w:lang w:val="en-CA"/>
              </w:rPr>
              <w:t>was dismissed</w:t>
            </w:r>
            <w:proofErr w:type="gramEnd"/>
            <w:r w:rsidRPr="008D6C1E">
              <w:rPr>
                <w:sz w:val="20"/>
                <w:lang w:val="en-CA"/>
              </w:rPr>
              <w:t xml:space="preserve"> from his position as president of Premier Horticulture, a subsidiary of the applicant Premier Tech, whose majority shareholder was the applicant Gestion Bernard Bélanger Ltée. Following the dismissal, the respondent wrote a letter to Premier Tech’s board of directors asking it to exercise its discretion to authorize him to exercise his stock option right. According to the presence clause in the option plan, any option not exercised on the date of the respondent’s termination lapsed, subject to the board of directors’ discretion to decide otherwise. The board of directors refused to grant the respondent’s request. The respondent decided to bring a motion in nullity of the presence clause under the </w:t>
            </w:r>
            <w:r w:rsidRPr="008D6C1E">
              <w:rPr>
                <w:i/>
                <w:sz w:val="20"/>
                <w:lang w:val="en-CA"/>
              </w:rPr>
              <w:t>Civil Code of Québec</w:t>
            </w:r>
            <w:r w:rsidRPr="008D6C1E">
              <w:rPr>
                <w:sz w:val="20"/>
                <w:lang w:val="en-CA"/>
              </w:rPr>
              <w:t xml:space="preserve"> and in oppression under s. 241 of the </w:t>
            </w:r>
            <w:r w:rsidRPr="008D6C1E">
              <w:rPr>
                <w:i/>
                <w:sz w:val="20"/>
                <w:lang w:val="en-CA"/>
              </w:rPr>
              <w:t>Canada Business Corporations Act</w:t>
            </w:r>
            <w:r w:rsidRPr="008D6C1E">
              <w:rPr>
                <w:sz w:val="20"/>
                <w:lang w:val="en-CA"/>
              </w:rPr>
              <w:t xml:space="preserve">. </w:t>
            </w:r>
          </w:p>
          <w:p w:rsidR="001718B1" w:rsidRPr="008D6C1E" w:rsidRDefault="001718B1" w:rsidP="001718B1">
            <w:pPr>
              <w:jc w:val="both"/>
              <w:rPr>
                <w:sz w:val="20"/>
                <w:lang w:val="en-CA"/>
              </w:rPr>
            </w:pPr>
          </w:p>
        </w:tc>
      </w:tr>
      <w:tr w:rsidR="001718B1" w:rsidRPr="008D6C1E" w:rsidTr="002B5CF4">
        <w:tc>
          <w:tcPr>
            <w:tcW w:w="2427" w:type="pct"/>
            <w:gridSpan w:val="2"/>
          </w:tcPr>
          <w:p w:rsidR="001718B1" w:rsidRPr="008D6C1E" w:rsidRDefault="001718B1" w:rsidP="001718B1">
            <w:pPr>
              <w:jc w:val="both"/>
              <w:rPr>
                <w:sz w:val="20"/>
                <w:lang w:val="en-CA"/>
              </w:rPr>
            </w:pPr>
            <w:r w:rsidRPr="008D6C1E">
              <w:rPr>
                <w:sz w:val="20"/>
                <w:lang w:val="en-CA"/>
              </w:rPr>
              <w:t xml:space="preserve">November 21, 2013 </w:t>
            </w:r>
          </w:p>
          <w:p w:rsidR="001718B1" w:rsidRPr="008D6C1E" w:rsidRDefault="001718B1" w:rsidP="001718B1">
            <w:pPr>
              <w:jc w:val="both"/>
              <w:rPr>
                <w:sz w:val="20"/>
                <w:lang w:val="en-CA"/>
              </w:rPr>
            </w:pPr>
            <w:r w:rsidRPr="008D6C1E">
              <w:rPr>
                <w:sz w:val="20"/>
                <w:lang w:val="en-CA"/>
              </w:rPr>
              <w:t>Quebec Superior Court</w:t>
            </w:r>
          </w:p>
          <w:p w:rsidR="001718B1" w:rsidRPr="008D6C1E" w:rsidRDefault="001718B1" w:rsidP="001718B1">
            <w:pPr>
              <w:jc w:val="both"/>
              <w:rPr>
                <w:sz w:val="20"/>
                <w:lang w:val="en-CA"/>
              </w:rPr>
            </w:pPr>
            <w:r w:rsidRPr="008D6C1E">
              <w:rPr>
                <w:sz w:val="20"/>
                <w:lang w:val="en-CA"/>
              </w:rPr>
              <w:t>(Samson J.)</w:t>
            </w:r>
          </w:p>
          <w:p w:rsidR="001718B1" w:rsidRPr="008D6C1E" w:rsidRDefault="005E6DC4" w:rsidP="001718B1">
            <w:pPr>
              <w:jc w:val="both"/>
              <w:rPr>
                <w:sz w:val="20"/>
                <w:lang w:val="en-CA"/>
              </w:rPr>
            </w:pPr>
            <w:hyperlink r:id="rId106" w:history="1">
              <w:r w:rsidR="001718B1" w:rsidRPr="008D6C1E">
                <w:rPr>
                  <w:rStyle w:val="Hyperlink"/>
                  <w:sz w:val="20"/>
                  <w:lang w:val="en-CA"/>
                </w:rPr>
                <w:t>2013 QCCS 6100</w:t>
              </w:r>
            </w:hyperlink>
          </w:p>
          <w:p w:rsidR="001718B1" w:rsidRPr="008D6C1E" w:rsidRDefault="001718B1" w:rsidP="001718B1">
            <w:pPr>
              <w:jc w:val="both"/>
              <w:rPr>
                <w:sz w:val="20"/>
                <w:lang w:val="en-CA"/>
              </w:rPr>
            </w:pPr>
          </w:p>
        </w:tc>
        <w:tc>
          <w:tcPr>
            <w:tcW w:w="243" w:type="pct"/>
          </w:tcPr>
          <w:p w:rsidR="001718B1" w:rsidRPr="008D6C1E" w:rsidRDefault="001718B1" w:rsidP="001718B1">
            <w:pPr>
              <w:jc w:val="both"/>
              <w:rPr>
                <w:sz w:val="20"/>
                <w:lang w:val="en-CA"/>
              </w:rPr>
            </w:pPr>
          </w:p>
        </w:tc>
        <w:tc>
          <w:tcPr>
            <w:tcW w:w="2330" w:type="pct"/>
          </w:tcPr>
          <w:p w:rsidR="001718B1" w:rsidRPr="008D6C1E" w:rsidRDefault="001718B1" w:rsidP="001718B1">
            <w:pPr>
              <w:jc w:val="both"/>
              <w:rPr>
                <w:sz w:val="20"/>
                <w:lang w:val="en-CA"/>
              </w:rPr>
            </w:pPr>
            <w:r w:rsidRPr="008D6C1E">
              <w:rPr>
                <w:sz w:val="20"/>
                <w:lang w:val="en-CA"/>
              </w:rPr>
              <w:t>Motion to institute proceedings allowed</w:t>
            </w:r>
          </w:p>
          <w:p w:rsidR="001718B1" w:rsidRPr="008D6C1E" w:rsidRDefault="001718B1" w:rsidP="001718B1">
            <w:pPr>
              <w:jc w:val="both"/>
              <w:rPr>
                <w:sz w:val="20"/>
                <w:lang w:val="en-CA"/>
              </w:rPr>
            </w:pPr>
          </w:p>
        </w:tc>
      </w:tr>
      <w:tr w:rsidR="001718B1" w:rsidRPr="008D6C1E" w:rsidTr="002B5CF4">
        <w:tc>
          <w:tcPr>
            <w:tcW w:w="2427" w:type="pct"/>
            <w:gridSpan w:val="2"/>
          </w:tcPr>
          <w:p w:rsidR="001718B1" w:rsidRPr="008D6C1E" w:rsidRDefault="001718B1" w:rsidP="001718B1">
            <w:pPr>
              <w:jc w:val="both"/>
              <w:rPr>
                <w:sz w:val="20"/>
                <w:lang w:val="en-CA"/>
              </w:rPr>
            </w:pPr>
            <w:r w:rsidRPr="008D6C1E">
              <w:rPr>
                <w:sz w:val="20"/>
                <w:lang w:val="en-CA"/>
              </w:rPr>
              <w:t>December 16, 2013</w:t>
            </w:r>
          </w:p>
          <w:p w:rsidR="001718B1" w:rsidRPr="008D6C1E" w:rsidRDefault="001718B1" w:rsidP="001718B1">
            <w:pPr>
              <w:jc w:val="both"/>
              <w:rPr>
                <w:sz w:val="20"/>
                <w:lang w:val="en-CA"/>
              </w:rPr>
            </w:pPr>
            <w:r w:rsidRPr="008D6C1E">
              <w:rPr>
                <w:sz w:val="20"/>
                <w:lang w:val="en-CA"/>
              </w:rPr>
              <w:t>Quebec Superior Court</w:t>
            </w:r>
          </w:p>
          <w:p w:rsidR="001718B1" w:rsidRPr="008D6C1E" w:rsidRDefault="001718B1" w:rsidP="001718B1">
            <w:pPr>
              <w:jc w:val="both"/>
              <w:rPr>
                <w:sz w:val="20"/>
                <w:lang w:val="en-CA"/>
              </w:rPr>
            </w:pPr>
            <w:r w:rsidRPr="008D6C1E">
              <w:rPr>
                <w:sz w:val="20"/>
                <w:lang w:val="en-CA"/>
              </w:rPr>
              <w:t>(Samson J.)</w:t>
            </w:r>
          </w:p>
          <w:p w:rsidR="001718B1" w:rsidRPr="008D6C1E" w:rsidRDefault="001718B1" w:rsidP="001718B1">
            <w:pPr>
              <w:jc w:val="both"/>
              <w:rPr>
                <w:sz w:val="20"/>
                <w:lang w:val="en-CA"/>
              </w:rPr>
            </w:pPr>
            <w:r w:rsidRPr="008D6C1E">
              <w:rPr>
                <w:sz w:val="20"/>
                <w:lang w:val="en-CA"/>
              </w:rPr>
              <w:t>Unreported judgment</w:t>
            </w:r>
          </w:p>
          <w:p w:rsidR="001718B1" w:rsidRPr="008D6C1E" w:rsidRDefault="001718B1" w:rsidP="001718B1">
            <w:pPr>
              <w:jc w:val="both"/>
              <w:rPr>
                <w:sz w:val="20"/>
                <w:lang w:val="en-CA"/>
              </w:rPr>
            </w:pPr>
          </w:p>
        </w:tc>
        <w:tc>
          <w:tcPr>
            <w:tcW w:w="243" w:type="pct"/>
          </w:tcPr>
          <w:p w:rsidR="001718B1" w:rsidRPr="008D6C1E" w:rsidRDefault="001718B1" w:rsidP="001718B1">
            <w:pPr>
              <w:jc w:val="both"/>
              <w:rPr>
                <w:sz w:val="20"/>
                <w:lang w:val="en-CA"/>
              </w:rPr>
            </w:pPr>
          </w:p>
        </w:tc>
        <w:tc>
          <w:tcPr>
            <w:tcW w:w="2330" w:type="pct"/>
          </w:tcPr>
          <w:p w:rsidR="001718B1" w:rsidRPr="008D6C1E" w:rsidRDefault="001718B1" w:rsidP="001718B1">
            <w:pPr>
              <w:jc w:val="both"/>
              <w:rPr>
                <w:sz w:val="20"/>
                <w:lang w:val="en-CA"/>
              </w:rPr>
            </w:pPr>
            <w:r w:rsidRPr="008D6C1E">
              <w:rPr>
                <w:sz w:val="20"/>
                <w:lang w:val="en-CA"/>
              </w:rPr>
              <w:t>Motion for correction of judgment allowed</w:t>
            </w:r>
          </w:p>
          <w:p w:rsidR="001718B1" w:rsidRPr="008D6C1E" w:rsidRDefault="001718B1" w:rsidP="001718B1">
            <w:pPr>
              <w:jc w:val="both"/>
              <w:rPr>
                <w:sz w:val="20"/>
                <w:lang w:val="en-CA"/>
              </w:rPr>
            </w:pPr>
          </w:p>
        </w:tc>
      </w:tr>
      <w:tr w:rsidR="001718B1" w:rsidRPr="008D6C1E" w:rsidTr="002B5CF4">
        <w:tc>
          <w:tcPr>
            <w:tcW w:w="2427" w:type="pct"/>
            <w:gridSpan w:val="2"/>
          </w:tcPr>
          <w:p w:rsidR="001718B1" w:rsidRPr="008D6C1E" w:rsidRDefault="001718B1" w:rsidP="001718B1">
            <w:pPr>
              <w:jc w:val="both"/>
              <w:rPr>
                <w:sz w:val="20"/>
                <w:lang w:val="en-CA"/>
              </w:rPr>
            </w:pPr>
            <w:r w:rsidRPr="008D6C1E">
              <w:rPr>
                <w:sz w:val="20"/>
                <w:lang w:val="en-CA"/>
              </w:rPr>
              <w:t>July 9, 2015</w:t>
            </w:r>
          </w:p>
          <w:p w:rsidR="001718B1" w:rsidRPr="008D6C1E" w:rsidRDefault="001718B1" w:rsidP="001718B1">
            <w:pPr>
              <w:jc w:val="both"/>
              <w:rPr>
                <w:sz w:val="20"/>
                <w:lang w:val="en-CA"/>
              </w:rPr>
            </w:pPr>
            <w:r w:rsidRPr="008D6C1E">
              <w:rPr>
                <w:sz w:val="20"/>
                <w:lang w:val="en-CA"/>
              </w:rPr>
              <w:t>Quebec Court of Appeal (Québec)</w:t>
            </w:r>
          </w:p>
          <w:p w:rsidR="001718B1" w:rsidRPr="002C1A32" w:rsidRDefault="001718B1" w:rsidP="001718B1">
            <w:pPr>
              <w:jc w:val="both"/>
              <w:rPr>
                <w:sz w:val="20"/>
                <w:lang w:val="fr-CA"/>
              </w:rPr>
            </w:pPr>
            <w:r w:rsidRPr="002C1A32">
              <w:rPr>
                <w:sz w:val="20"/>
                <w:lang w:val="fr-CA"/>
              </w:rPr>
              <w:t>(</w:t>
            </w:r>
            <w:proofErr w:type="spellStart"/>
            <w:r w:rsidRPr="002C1A32">
              <w:rPr>
                <w:sz w:val="20"/>
                <w:lang w:val="fr-CA"/>
              </w:rPr>
              <w:t>Dutil</w:t>
            </w:r>
            <w:proofErr w:type="spellEnd"/>
            <w:r w:rsidRPr="002C1A32">
              <w:rPr>
                <w:sz w:val="20"/>
                <w:lang w:val="fr-CA"/>
              </w:rPr>
              <w:t xml:space="preserve">, </w:t>
            </w:r>
            <w:proofErr w:type="spellStart"/>
            <w:r w:rsidRPr="002C1A32">
              <w:rPr>
                <w:sz w:val="20"/>
                <w:lang w:val="fr-CA"/>
              </w:rPr>
              <w:t>Émond</w:t>
            </w:r>
            <w:proofErr w:type="spellEnd"/>
            <w:r w:rsidRPr="002C1A32">
              <w:rPr>
                <w:sz w:val="20"/>
                <w:lang w:val="fr-CA"/>
              </w:rPr>
              <w:t xml:space="preserve"> and La Rosa JJ.A.)</w:t>
            </w:r>
          </w:p>
          <w:p w:rsidR="001718B1" w:rsidRPr="008D6C1E" w:rsidRDefault="005E6DC4" w:rsidP="001718B1">
            <w:pPr>
              <w:jc w:val="both"/>
              <w:rPr>
                <w:sz w:val="20"/>
                <w:lang w:val="en-CA"/>
              </w:rPr>
            </w:pPr>
            <w:hyperlink r:id="rId107" w:history="1">
              <w:r w:rsidR="001718B1" w:rsidRPr="008D6C1E">
                <w:rPr>
                  <w:rStyle w:val="Hyperlink"/>
                  <w:sz w:val="20"/>
                  <w:lang w:val="en-CA"/>
                </w:rPr>
                <w:t>2015 QCCA 1159</w:t>
              </w:r>
            </w:hyperlink>
          </w:p>
          <w:p w:rsidR="001718B1" w:rsidRPr="008D6C1E" w:rsidRDefault="001718B1" w:rsidP="001718B1">
            <w:pPr>
              <w:jc w:val="both"/>
              <w:rPr>
                <w:sz w:val="20"/>
                <w:lang w:val="en-CA"/>
              </w:rPr>
            </w:pPr>
          </w:p>
        </w:tc>
        <w:tc>
          <w:tcPr>
            <w:tcW w:w="243" w:type="pct"/>
          </w:tcPr>
          <w:p w:rsidR="001718B1" w:rsidRPr="008D6C1E" w:rsidRDefault="001718B1" w:rsidP="001718B1">
            <w:pPr>
              <w:jc w:val="both"/>
              <w:rPr>
                <w:sz w:val="20"/>
                <w:lang w:val="en-CA"/>
              </w:rPr>
            </w:pPr>
          </w:p>
        </w:tc>
        <w:tc>
          <w:tcPr>
            <w:tcW w:w="2330" w:type="pct"/>
          </w:tcPr>
          <w:p w:rsidR="001718B1" w:rsidRPr="008D6C1E" w:rsidRDefault="001718B1" w:rsidP="001718B1">
            <w:pPr>
              <w:jc w:val="both"/>
              <w:rPr>
                <w:sz w:val="20"/>
                <w:lang w:val="en-CA"/>
              </w:rPr>
            </w:pPr>
            <w:r w:rsidRPr="008D6C1E">
              <w:rPr>
                <w:sz w:val="20"/>
                <w:lang w:val="en-CA"/>
              </w:rPr>
              <w:t>Appeal dismissed</w:t>
            </w:r>
          </w:p>
        </w:tc>
      </w:tr>
      <w:tr w:rsidR="001718B1" w:rsidRPr="008D6C1E" w:rsidTr="002B5CF4">
        <w:tc>
          <w:tcPr>
            <w:tcW w:w="2427" w:type="pct"/>
            <w:gridSpan w:val="2"/>
          </w:tcPr>
          <w:p w:rsidR="001718B1" w:rsidRPr="008D6C1E" w:rsidRDefault="001718B1" w:rsidP="001718B1">
            <w:pPr>
              <w:jc w:val="both"/>
              <w:rPr>
                <w:sz w:val="20"/>
                <w:lang w:val="en-CA"/>
              </w:rPr>
            </w:pPr>
            <w:r w:rsidRPr="008D6C1E">
              <w:rPr>
                <w:sz w:val="20"/>
                <w:lang w:val="en-CA"/>
              </w:rPr>
              <w:t xml:space="preserve">September 8, 2015 </w:t>
            </w:r>
          </w:p>
          <w:p w:rsidR="001718B1" w:rsidRPr="008D6C1E" w:rsidRDefault="001718B1" w:rsidP="001718B1">
            <w:pPr>
              <w:jc w:val="both"/>
              <w:rPr>
                <w:sz w:val="20"/>
                <w:lang w:val="en-CA"/>
              </w:rPr>
            </w:pPr>
            <w:r w:rsidRPr="008D6C1E">
              <w:rPr>
                <w:sz w:val="20"/>
                <w:lang w:val="en-CA"/>
              </w:rPr>
              <w:t xml:space="preserve">Quebec Court of Appeal (Québec) </w:t>
            </w:r>
          </w:p>
          <w:p w:rsidR="001718B1" w:rsidRPr="002C1A32" w:rsidRDefault="001718B1" w:rsidP="001718B1">
            <w:pPr>
              <w:jc w:val="both"/>
              <w:rPr>
                <w:sz w:val="20"/>
                <w:lang w:val="fr-CA"/>
              </w:rPr>
            </w:pPr>
            <w:r w:rsidRPr="002C1A32">
              <w:rPr>
                <w:sz w:val="20"/>
                <w:lang w:val="fr-CA"/>
              </w:rPr>
              <w:t>(</w:t>
            </w:r>
            <w:proofErr w:type="spellStart"/>
            <w:r w:rsidRPr="002C1A32">
              <w:rPr>
                <w:sz w:val="20"/>
                <w:lang w:val="fr-CA"/>
              </w:rPr>
              <w:t>Dutil</w:t>
            </w:r>
            <w:proofErr w:type="spellEnd"/>
            <w:r w:rsidRPr="002C1A32">
              <w:rPr>
                <w:sz w:val="20"/>
                <w:lang w:val="fr-CA"/>
              </w:rPr>
              <w:t xml:space="preserve">, </w:t>
            </w:r>
            <w:proofErr w:type="spellStart"/>
            <w:r w:rsidRPr="002C1A32">
              <w:rPr>
                <w:sz w:val="20"/>
                <w:lang w:val="fr-CA"/>
              </w:rPr>
              <w:t>Émond</w:t>
            </w:r>
            <w:proofErr w:type="spellEnd"/>
            <w:r w:rsidRPr="002C1A32">
              <w:rPr>
                <w:sz w:val="20"/>
                <w:lang w:val="fr-CA"/>
              </w:rPr>
              <w:t xml:space="preserve"> and La Rosa JJ.A.)</w:t>
            </w:r>
          </w:p>
          <w:p w:rsidR="001718B1" w:rsidRPr="008D6C1E" w:rsidRDefault="005E6DC4" w:rsidP="001718B1">
            <w:pPr>
              <w:jc w:val="both"/>
              <w:rPr>
                <w:sz w:val="20"/>
                <w:lang w:val="en-CA"/>
              </w:rPr>
            </w:pPr>
            <w:hyperlink r:id="rId108" w:history="1">
              <w:r w:rsidR="001718B1" w:rsidRPr="008D6C1E">
                <w:rPr>
                  <w:rStyle w:val="Hyperlink"/>
                  <w:sz w:val="20"/>
                  <w:lang w:val="en-CA"/>
                </w:rPr>
                <w:t>2015 QCCA 1418</w:t>
              </w:r>
            </w:hyperlink>
          </w:p>
          <w:p w:rsidR="001718B1" w:rsidRPr="008D6C1E" w:rsidRDefault="001718B1" w:rsidP="001718B1">
            <w:pPr>
              <w:jc w:val="both"/>
              <w:rPr>
                <w:sz w:val="20"/>
                <w:lang w:val="en-CA"/>
              </w:rPr>
            </w:pPr>
          </w:p>
        </w:tc>
        <w:tc>
          <w:tcPr>
            <w:tcW w:w="243" w:type="pct"/>
          </w:tcPr>
          <w:p w:rsidR="001718B1" w:rsidRPr="008D6C1E" w:rsidRDefault="001718B1" w:rsidP="001718B1">
            <w:pPr>
              <w:jc w:val="both"/>
              <w:rPr>
                <w:sz w:val="20"/>
                <w:lang w:val="en-CA"/>
              </w:rPr>
            </w:pPr>
          </w:p>
        </w:tc>
        <w:tc>
          <w:tcPr>
            <w:tcW w:w="2330" w:type="pct"/>
          </w:tcPr>
          <w:p w:rsidR="001718B1" w:rsidRPr="008D6C1E" w:rsidRDefault="001718B1" w:rsidP="001718B1">
            <w:pPr>
              <w:jc w:val="both"/>
              <w:rPr>
                <w:sz w:val="20"/>
                <w:lang w:val="en-CA"/>
              </w:rPr>
            </w:pPr>
            <w:r w:rsidRPr="008D6C1E">
              <w:rPr>
                <w:sz w:val="20"/>
                <w:lang w:val="en-CA"/>
              </w:rPr>
              <w:t xml:space="preserve">Motion for correction of judgment allowed in part </w:t>
            </w:r>
          </w:p>
          <w:p w:rsidR="001718B1" w:rsidRPr="008D6C1E" w:rsidRDefault="001718B1" w:rsidP="001718B1">
            <w:pPr>
              <w:jc w:val="both"/>
              <w:rPr>
                <w:sz w:val="20"/>
                <w:lang w:val="en-CA"/>
              </w:rPr>
            </w:pPr>
            <w:r w:rsidRPr="008D6C1E">
              <w:rPr>
                <w:sz w:val="20"/>
                <w:lang w:val="en-CA"/>
              </w:rPr>
              <w:t xml:space="preserve">Appeal allowed in part  </w:t>
            </w:r>
          </w:p>
          <w:p w:rsidR="001718B1" w:rsidRPr="008D6C1E" w:rsidRDefault="001718B1" w:rsidP="001718B1">
            <w:pPr>
              <w:jc w:val="both"/>
              <w:rPr>
                <w:sz w:val="20"/>
                <w:lang w:val="en-CA"/>
              </w:rPr>
            </w:pPr>
          </w:p>
        </w:tc>
      </w:tr>
      <w:tr w:rsidR="001718B1" w:rsidRPr="008D6C1E" w:rsidTr="002B5CF4">
        <w:tc>
          <w:tcPr>
            <w:tcW w:w="2427" w:type="pct"/>
            <w:gridSpan w:val="2"/>
          </w:tcPr>
          <w:p w:rsidR="001718B1" w:rsidRPr="008D6C1E" w:rsidRDefault="001718B1" w:rsidP="001718B1">
            <w:pPr>
              <w:jc w:val="both"/>
              <w:rPr>
                <w:sz w:val="20"/>
                <w:lang w:val="en-CA"/>
              </w:rPr>
            </w:pPr>
            <w:r w:rsidRPr="008D6C1E">
              <w:rPr>
                <w:sz w:val="20"/>
                <w:lang w:val="en-CA"/>
              </w:rPr>
              <w:t>September 29, 2015</w:t>
            </w:r>
          </w:p>
          <w:p w:rsidR="001718B1" w:rsidRPr="008D6C1E" w:rsidRDefault="001718B1" w:rsidP="001718B1">
            <w:pPr>
              <w:jc w:val="both"/>
              <w:rPr>
                <w:sz w:val="20"/>
                <w:lang w:val="en-CA"/>
              </w:rPr>
            </w:pPr>
            <w:r w:rsidRPr="008D6C1E">
              <w:rPr>
                <w:sz w:val="20"/>
                <w:lang w:val="en-CA"/>
              </w:rPr>
              <w:t>Supreme Court of Canada</w:t>
            </w:r>
          </w:p>
        </w:tc>
        <w:tc>
          <w:tcPr>
            <w:tcW w:w="243" w:type="pct"/>
          </w:tcPr>
          <w:p w:rsidR="001718B1" w:rsidRPr="008D6C1E" w:rsidRDefault="001718B1" w:rsidP="001718B1">
            <w:pPr>
              <w:jc w:val="both"/>
              <w:rPr>
                <w:sz w:val="20"/>
                <w:lang w:val="en-CA"/>
              </w:rPr>
            </w:pPr>
          </w:p>
        </w:tc>
        <w:tc>
          <w:tcPr>
            <w:tcW w:w="2330" w:type="pct"/>
          </w:tcPr>
          <w:p w:rsidR="001718B1" w:rsidRPr="008D6C1E" w:rsidRDefault="001718B1" w:rsidP="001718B1">
            <w:pPr>
              <w:jc w:val="both"/>
              <w:rPr>
                <w:sz w:val="20"/>
                <w:lang w:val="en-CA"/>
              </w:rPr>
            </w:pPr>
            <w:r w:rsidRPr="008D6C1E">
              <w:rPr>
                <w:sz w:val="20"/>
                <w:lang w:val="en-CA"/>
              </w:rPr>
              <w:t>Application for leave to appeal filed</w:t>
            </w:r>
          </w:p>
        </w:tc>
      </w:tr>
    </w:tbl>
    <w:p w:rsidR="001718B1" w:rsidRPr="008D6C1E" w:rsidRDefault="001718B1" w:rsidP="001718B1">
      <w:pPr>
        <w:jc w:val="both"/>
        <w:rPr>
          <w:sz w:val="20"/>
          <w:lang w:val="en-CA"/>
        </w:rPr>
      </w:pPr>
    </w:p>
    <w:p w:rsidR="001718B1" w:rsidRPr="008D6C1E" w:rsidRDefault="001718B1" w:rsidP="001718B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18B1" w:rsidRPr="002C1A32" w:rsidTr="002B5CF4">
        <w:tc>
          <w:tcPr>
            <w:tcW w:w="543" w:type="pct"/>
          </w:tcPr>
          <w:p w:rsidR="001718B1" w:rsidRPr="008D6C1E" w:rsidRDefault="001718B1" w:rsidP="001718B1">
            <w:pPr>
              <w:jc w:val="both"/>
              <w:rPr>
                <w:sz w:val="20"/>
              </w:rPr>
            </w:pPr>
            <w:r w:rsidRPr="008D6C1E">
              <w:rPr>
                <w:rStyle w:val="SCCFileNumberChar"/>
                <w:sz w:val="20"/>
                <w:szCs w:val="20"/>
              </w:rPr>
              <w:t>36643</w:t>
            </w:r>
          </w:p>
        </w:tc>
        <w:tc>
          <w:tcPr>
            <w:tcW w:w="4457" w:type="pct"/>
            <w:gridSpan w:val="3"/>
          </w:tcPr>
          <w:p w:rsidR="001718B1" w:rsidRPr="008D6C1E" w:rsidRDefault="001718B1" w:rsidP="001718B1">
            <w:pPr>
              <w:pStyle w:val="SCCLsocParty"/>
              <w:jc w:val="both"/>
              <w:rPr>
                <w:b/>
                <w:sz w:val="20"/>
                <w:szCs w:val="20"/>
              </w:rPr>
            </w:pPr>
            <w:r w:rsidRPr="008D6C1E">
              <w:rPr>
                <w:b/>
                <w:sz w:val="20"/>
                <w:szCs w:val="20"/>
              </w:rPr>
              <w:t xml:space="preserve">Premier Tech Ltée, Gestion Bernard Bélanger Ltée c. Christian </w:t>
            </w:r>
            <w:proofErr w:type="spellStart"/>
            <w:r w:rsidRPr="008D6C1E">
              <w:rPr>
                <w:b/>
                <w:sz w:val="20"/>
                <w:szCs w:val="20"/>
              </w:rPr>
              <w:t>Dollo</w:t>
            </w:r>
            <w:proofErr w:type="spellEnd"/>
          </w:p>
          <w:p w:rsidR="001718B1" w:rsidRPr="002C1A32" w:rsidRDefault="001718B1" w:rsidP="001718B1">
            <w:pPr>
              <w:jc w:val="both"/>
              <w:rPr>
                <w:sz w:val="20"/>
                <w:lang w:val="fr-CA"/>
              </w:rPr>
            </w:pPr>
            <w:r w:rsidRPr="002C1A32">
              <w:rPr>
                <w:sz w:val="20"/>
                <w:lang w:val="fr-CA"/>
              </w:rPr>
              <w:t>(</w:t>
            </w:r>
            <w:proofErr w:type="spellStart"/>
            <w:r w:rsidRPr="002C1A32">
              <w:rPr>
                <w:sz w:val="20"/>
                <w:lang w:val="fr-CA"/>
              </w:rPr>
              <w:t>Qc</w:t>
            </w:r>
            <w:proofErr w:type="spellEnd"/>
            <w:r w:rsidRPr="002C1A32">
              <w:rPr>
                <w:sz w:val="20"/>
                <w:lang w:val="fr-CA"/>
              </w:rPr>
              <w:t>) (Civile) (Autorisation)</w:t>
            </w:r>
          </w:p>
        </w:tc>
      </w:tr>
      <w:tr w:rsidR="001718B1" w:rsidRPr="008D6C1E" w:rsidTr="002B5CF4">
        <w:tc>
          <w:tcPr>
            <w:tcW w:w="5000" w:type="pct"/>
            <w:gridSpan w:val="4"/>
          </w:tcPr>
          <w:p w:rsidR="001718B1" w:rsidRPr="008D6C1E" w:rsidRDefault="001718B1" w:rsidP="001718B1">
            <w:pPr>
              <w:pStyle w:val="SCCBanSummary"/>
              <w:rPr>
                <w:sz w:val="20"/>
                <w:szCs w:val="20"/>
              </w:rPr>
            </w:pPr>
            <w:r w:rsidRPr="002C1A32">
              <w:rPr>
                <w:smallCaps w:val="0"/>
                <w:sz w:val="20"/>
                <w:szCs w:val="20"/>
                <w:lang w:val="fr-CA"/>
              </w:rPr>
              <w:lastRenderedPageBreak/>
              <w:t xml:space="preserve">Droit commercial – Sociétés par actions – Régime d’options d’achat d’actions ‒ Clause de présence ‒ Congédiement ‒ Oppression ‒ Le revendicateur du statut de détenteur d’options peut-il être qualifié de « plaignant » au sens de l’article 238 LCSA? ‒ Un « plaignant » au sens de l’article 238 LCSA peut-il se prévaloir du recours en oppression lorsque le redressement recherché ou l’oppression alléguée ne sont pas liés à son statut de plaignant? ‒ L’application de clauses de présence en droit canadien entraîne-t-elle la déchéance pure et simple du droit d’exercice des options, quelle que soit la cause de la cessation des fonctions, ou entraîne-t-elle la naissance d’un droit de créance dans le cas d’un congédiement injustifié? ‒ Une décision d’appel est-elle affectée d’une erreur manifeste et déterminante lorsqu’elle repose sur des conclusions de faits erronément attribuées au juge de première instance, et quel est le cadre d’intervention de la Cour suprême en pareilles circonstances? ‒ </w:t>
            </w:r>
            <w:r w:rsidRPr="002C1A32">
              <w:rPr>
                <w:i/>
                <w:smallCaps w:val="0"/>
                <w:sz w:val="20"/>
                <w:szCs w:val="20"/>
                <w:lang w:val="fr-CA"/>
              </w:rPr>
              <w:t>Loi canadienne sur les sociétés par actions</w:t>
            </w:r>
            <w:r w:rsidRPr="002C1A32">
              <w:rPr>
                <w:smallCaps w:val="0"/>
                <w:sz w:val="20"/>
                <w:szCs w:val="20"/>
                <w:lang w:val="fr-CA"/>
              </w:rPr>
              <w:t xml:space="preserve">, L.R.C. (1985), ch. </w:t>
            </w:r>
            <w:r w:rsidRPr="008D6C1E">
              <w:rPr>
                <w:smallCaps w:val="0"/>
                <w:sz w:val="20"/>
                <w:szCs w:val="20"/>
              </w:rPr>
              <w:t>C-44, art. 238 et 241.</w:t>
            </w:r>
          </w:p>
        </w:tc>
      </w:tr>
      <w:tr w:rsidR="001718B1" w:rsidRPr="008D6C1E" w:rsidTr="002B5CF4">
        <w:tc>
          <w:tcPr>
            <w:tcW w:w="5000" w:type="pct"/>
            <w:gridSpan w:val="4"/>
          </w:tcPr>
          <w:p w:rsidR="001718B1" w:rsidRPr="008D6C1E" w:rsidRDefault="001718B1" w:rsidP="001718B1">
            <w:pPr>
              <w:jc w:val="both"/>
              <w:rPr>
                <w:sz w:val="20"/>
              </w:rPr>
            </w:pPr>
          </w:p>
        </w:tc>
      </w:tr>
      <w:tr w:rsidR="001718B1" w:rsidRPr="002C1A32" w:rsidTr="002B5CF4">
        <w:tc>
          <w:tcPr>
            <w:tcW w:w="5000" w:type="pct"/>
            <w:gridSpan w:val="4"/>
          </w:tcPr>
          <w:p w:rsidR="001718B1" w:rsidRPr="002C1A32" w:rsidRDefault="001718B1" w:rsidP="001718B1">
            <w:pPr>
              <w:jc w:val="both"/>
              <w:rPr>
                <w:sz w:val="20"/>
                <w:lang w:val="fr-CA"/>
              </w:rPr>
            </w:pPr>
            <w:r w:rsidRPr="002C1A32">
              <w:rPr>
                <w:sz w:val="20"/>
                <w:lang w:val="fr-CA"/>
              </w:rPr>
              <w:t xml:space="preserve">En août 2010, l’intimé, Monsieur Christian </w:t>
            </w:r>
            <w:proofErr w:type="spellStart"/>
            <w:r w:rsidRPr="002C1A32">
              <w:rPr>
                <w:sz w:val="20"/>
                <w:lang w:val="fr-CA"/>
              </w:rPr>
              <w:t>Dollo</w:t>
            </w:r>
            <w:proofErr w:type="spellEnd"/>
            <w:r w:rsidRPr="002C1A32">
              <w:rPr>
                <w:sz w:val="20"/>
                <w:lang w:val="fr-CA"/>
              </w:rPr>
              <w:t xml:space="preserve">, est congédié de ses fonctions de président de Premier Horticulture, filiale de la demanderesse Premier Tech donc l’actionnaire majoritaire est la demanderesse Gestion Bernard Bélanger </w:t>
            </w:r>
            <w:proofErr w:type="spellStart"/>
            <w:r w:rsidRPr="002C1A32">
              <w:rPr>
                <w:sz w:val="20"/>
                <w:lang w:val="fr-CA"/>
              </w:rPr>
              <w:t>ltée</w:t>
            </w:r>
            <w:proofErr w:type="spellEnd"/>
            <w:r w:rsidRPr="002C1A32">
              <w:rPr>
                <w:sz w:val="20"/>
                <w:lang w:val="fr-CA"/>
              </w:rPr>
              <w:t xml:space="preserve">. Des suites à ce congédiement, l’intimé demande par lettre au conseil d’administration de Premier Tech d’exercer son pouvoir discrétionnaire afin de l’autoriser à se prévoir de son droit d’options d’achat d’actions. En effet, selon la clause de présence incluse au Régime d’options, toutes options non exercées à la date de cessation des fonctions de l’intimé deviennent caduques sous réserve du pouvoir discrétionnaire du conseil d’administration d’en décider autrement. Le conseil d’administration refuse d’accéder à la demande de l’intimé. L’intimé décide intenter une requête en nullité de la clause de présence suivant le </w:t>
            </w:r>
            <w:r w:rsidRPr="002C1A32">
              <w:rPr>
                <w:i/>
                <w:sz w:val="20"/>
                <w:lang w:val="fr-CA"/>
              </w:rPr>
              <w:t>Code civil du Québec</w:t>
            </w:r>
            <w:r w:rsidRPr="002C1A32">
              <w:rPr>
                <w:sz w:val="20"/>
                <w:lang w:val="fr-CA"/>
              </w:rPr>
              <w:t xml:space="preserve"> et en oppression suivant l’art. 241 de la </w:t>
            </w:r>
            <w:r w:rsidRPr="002C1A32">
              <w:rPr>
                <w:i/>
                <w:sz w:val="20"/>
                <w:lang w:val="fr-CA"/>
              </w:rPr>
              <w:t>Loi canadienne sur les sociétés par action</w:t>
            </w:r>
            <w:r w:rsidRPr="002C1A32">
              <w:rPr>
                <w:sz w:val="20"/>
                <w:lang w:val="fr-CA"/>
              </w:rPr>
              <w:t xml:space="preserve">s. </w:t>
            </w:r>
          </w:p>
          <w:p w:rsidR="001718B1" w:rsidRPr="002C1A32" w:rsidRDefault="001718B1" w:rsidP="001718B1">
            <w:pPr>
              <w:jc w:val="both"/>
              <w:rPr>
                <w:sz w:val="20"/>
                <w:lang w:val="fr-CA"/>
              </w:rPr>
            </w:pPr>
          </w:p>
        </w:tc>
      </w:tr>
      <w:tr w:rsidR="001718B1" w:rsidRPr="008D6C1E" w:rsidTr="002B5CF4">
        <w:tc>
          <w:tcPr>
            <w:tcW w:w="2427" w:type="pct"/>
            <w:gridSpan w:val="2"/>
          </w:tcPr>
          <w:p w:rsidR="001718B1" w:rsidRPr="002C1A32" w:rsidRDefault="001718B1" w:rsidP="001718B1">
            <w:pPr>
              <w:jc w:val="both"/>
              <w:rPr>
                <w:sz w:val="20"/>
                <w:lang w:val="fr-CA"/>
              </w:rPr>
            </w:pPr>
            <w:r w:rsidRPr="002C1A32">
              <w:rPr>
                <w:sz w:val="20"/>
                <w:lang w:val="fr-CA"/>
              </w:rPr>
              <w:t xml:space="preserve">Le 21 novembre 2013 </w:t>
            </w:r>
          </w:p>
          <w:p w:rsidR="001718B1" w:rsidRPr="002C1A32" w:rsidRDefault="001718B1" w:rsidP="001718B1">
            <w:pPr>
              <w:jc w:val="both"/>
              <w:rPr>
                <w:sz w:val="20"/>
                <w:lang w:val="fr-CA"/>
              </w:rPr>
            </w:pPr>
            <w:r w:rsidRPr="002C1A32">
              <w:rPr>
                <w:sz w:val="20"/>
                <w:lang w:val="fr-CA"/>
              </w:rPr>
              <w:t>Cour supérieure du Québec</w:t>
            </w:r>
          </w:p>
          <w:p w:rsidR="001718B1" w:rsidRPr="008D6C1E" w:rsidRDefault="001718B1" w:rsidP="001718B1">
            <w:pPr>
              <w:jc w:val="both"/>
              <w:rPr>
                <w:sz w:val="20"/>
              </w:rPr>
            </w:pPr>
            <w:r w:rsidRPr="008D6C1E">
              <w:rPr>
                <w:sz w:val="20"/>
              </w:rPr>
              <w:t xml:space="preserve">(Le </w:t>
            </w:r>
            <w:proofErr w:type="spellStart"/>
            <w:r w:rsidRPr="008D6C1E">
              <w:rPr>
                <w:sz w:val="20"/>
              </w:rPr>
              <w:t>juge</w:t>
            </w:r>
            <w:proofErr w:type="spellEnd"/>
            <w:r w:rsidRPr="008D6C1E">
              <w:rPr>
                <w:sz w:val="20"/>
              </w:rPr>
              <w:t xml:space="preserve"> Samson)</w:t>
            </w:r>
          </w:p>
          <w:p w:rsidR="001718B1" w:rsidRPr="008D6C1E" w:rsidRDefault="005E6DC4" w:rsidP="001718B1">
            <w:pPr>
              <w:jc w:val="both"/>
              <w:rPr>
                <w:sz w:val="20"/>
              </w:rPr>
            </w:pPr>
            <w:hyperlink r:id="rId109" w:history="1">
              <w:r w:rsidR="001718B1" w:rsidRPr="008D6C1E">
                <w:rPr>
                  <w:rStyle w:val="Hyperlink"/>
                  <w:sz w:val="20"/>
                </w:rPr>
                <w:t>2013 QCCS 6100</w:t>
              </w:r>
            </w:hyperlink>
          </w:p>
          <w:p w:rsidR="001718B1" w:rsidRPr="008D6C1E" w:rsidRDefault="001718B1" w:rsidP="001718B1">
            <w:pPr>
              <w:jc w:val="both"/>
              <w:rPr>
                <w:sz w:val="20"/>
              </w:rPr>
            </w:pPr>
          </w:p>
        </w:tc>
        <w:tc>
          <w:tcPr>
            <w:tcW w:w="243" w:type="pct"/>
          </w:tcPr>
          <w:p w:rsidR="001718B1" w:rsidRPr="008D6C1E" w:rsidRDefault="001718B1" w:rsidP="001718B1">
            <w:pPr>
              <w:jc w:val="both"/>
              <w:rPr>
                <w:sz w:val="20"/>
              </w:rPr>
            </w:pPr>
          </w:p>
        </w:tc>
        <w:tc>
          <w:tcPr>
            <w:tcW w:w="2330" w:type="pct"/>
          </w:tcPr>
          <w:p w:rsidR="001718B1" w:rsidRPr="008D6C1E" w:rsidRDefault="001718B1" w:rsidP="001718B1">
            <w:pPr>
              <w:jc w:val="both"/>
              <w:rPr>
                <w:sz w:val="20"/>
              </w:rPr>
            </w:pPr>
            <w:r w:rsidRPr="008D6C1E">
              <w:rPr>
                <w:sz w:val="20"/>
              </w:rPr>
              <w:t>Requête introductive d’instance accueillie.</w:t>
            </w:r>
          </w:p>
          <w:p w:rsidR="001718B1" w:rsidRPr="008D6C1E" w:rsidRDefault="001718B1" w:rsidP="001718B1">
            <w:pPr>
              <w:jc w:val="both"/>
              <w:rPr>
                <w:sz w:val="20"/>
              </w:rPr>
            </w:pPr>
          </w:p>
        </w:tc>
      </w:tr>
      <w:tr w:rsidR="001718B1" w:rsidRPr="002C1A32" w:rsidTr="002B5CF4">
        <w:tc>
          <w:tcPr>
            <w:tcW w:w="2427" w:type="pct"/>
            <w:gridSpan w:val="2"/>
          </w:tcPr>
          <w:p w:rsidR="001718B1" w:rsidRPr="002C1A32" w:rsidRDefault="001718B1" w:rsidP="001718B1">
            <w:pPr>
              <w:jc w:val="both"/>
              <w:rPr>
                <w:sz w:val="20"/>
                <w:lang w:val="fr-CA"/>
              </w:rPr>
            </w:pPr>
            <w:r w:rsidRPr="002C1A32">
              <w:rPr>
                <w:sz w:val="20"/>
                <w:lang w:val="fr-CA"/>
              </w:rPr>
              <w:t>Le 16 décembre 2013</w:t>
            </w:r>
          </w:p>
          <w:p w:rsidR="001718B1" w:rsidRPr="002C1A32" w:rsidRDefault="001718B1" w:rsidP="001718B1">
            <w:pPr>
              <w:jc w:val="both"/>
              <w:rPr>
                <w:sz w:val="20"/>
                <w:lang w:val="fr-CA"/>
              </w:rPr>
            </w:pPr>
            <w:r w:rsidRPr="002C1A32">
              <w:rPr>
                <w:sz w:val="20"/>
                <w:lang w:val="fr-CA"/>
              </w:rPr>
              <w:t>Cour supérieure du Québec</w:t>
            </w:r>
          </w:p>
          <w:p w:rsidR="001718B1" w:rsidRPr="002C1A32" w:rsidRDefault="001718B1" w:rsidP="001718B1">
            <w:pPr>
              <w:jc w:val="both"/>
              <w:rPr>
                <w:sz w:val="20"/>
                <w:lang w:val="fr-CA"/>
              </w:rPr>
            </w:pPr>
            <w:r w:rsidRPr="002C1A32">
              <w:rPr>
                <w:sz w:val="20"/>
                <w:lang w:val="fr-CA"/>
              </w:rPr>
              <w:t>(Le juge Samson)</w:t>
            </w:r>
          </w:p>
          <w:p w:rsidR="001718B1" w:rsidRPr="002C1A32" w:rsidRDefault="001718B1" w:rsidP="001718B1">
            <w:pPr>
              <w:jc w:val="both"/>
              <w:rPr>
                <w:sz w:val="20"/>
                <w:lang w:val="fr-CA"/>
              </w:rPr>
            </w:pPr>
            <w:r w:rsidRPr="002C1A32">
              <w:rPr>
                <w:sz w:val="20"/>
                <w:lang w:val="fr-CA"/>
              </w:rPr>
              <w:t>Jugement non publié</w:t>
            </w:r>
          </w:p>
          <w:p w:rsidR="001718B1" w:rsidRPr="002C1A32" w:rsidRDefault="001718B1" w:rsidP="001718B1">
            <w:pPr>
              <w:jc w:val="both"/>
              <w:rPr>
                <w:sz w:val="20"/>
                <w:lang w:val="fr-CA"/>
              </w:rPr>
            </w:pPr>
          </w:p>
        </w:tc>
        <w:tc>
          <w:tcPr>
            <w:tcW w:w="243" w:type="pct"/>
          </w:tcPr>
          <w:p w:rsidR="001718B1" w:rsidRPr="002C1A32" w:rsidRDefault="001718B1" w:rsidP="001718B1">
            <w:pPr>
              <w:jc w:val="both"/>
              <w:rPr>
                <w:sz w:val="20"/>
                <w:lang w:val="fr-CA"/>
              </w:rPr>
            </w:pPr>
          </w:p>
        </w:tc>
        <w:tc>
          <w:tcPr>
            <w:tcW w:w="2330" w:type="pct"/>
          </w:tcPr>
          <w:p w:rsidR="001718B1" w:rsidRPr="002C1A32" w:rsidRDefault="001718B1" w:rsidP="001718B1">
            <w:pPr>
              <w:jc w:val="both"/>
              <w:rPr>
                <w:sz w:val="20"/>
                <w:lang w:val="fr-CA"/>
              </w:rPr>
            </w:pPr>
            <w:r w:rsidRPr="002C1A32">
              <w:rPr>
                <w:sz w:val="20"/>
                <w:lang w:val="fr-CA"/>
              </w:rPr>
              <w:t>Requête en rectification de jugement accueillie.</w:t>
            </w:r>
          </w:p>
          <w:p w:rsidR="001718B1" w:rsidRPr="002C1A32" w:rsidRDefault="001718B1" w:rsidP="001718B1">
            <w:pPr>
              <w:jc w:val="both"/>
              <w:rPr>
                <w:sz w:val="20"/>
                <w:lang w:val="fr-CA"/>
              </w:rPr>
            </w:pPr>
          </w:p>
        </w:tc>
      </w:tr>
      <w:tr w:rsidR="001718B1" w:rsidRPr="008D6C1E" w:rsidTr="002B5CF4">
        <w:tc>
          <w:tcPr>
            <w:tcW w:w="2427" w:type="pct"/>
            <w:gridSpan w:val="2"/>
          </w:tcPr>
          <w:p w:rsidR="001718B1" w:rsidRPr="002C1A32" w:rsidRDefault="001718B1" w:rsidP="001718B1">
            <w:pPr>
              <w:jc w:val="both"/>
              <w:rPr>
                <w:sz w:val="20"/>
                <w:lang w:val="fr-CA"/>
              </w:rPr>
            </w:pPr>
            <w:r w:rsidRPr="002C1A32">
              <w:rPr>
                <w:sz w:val="20"/>
                <w:lang w:val="fr-CA"/>
              </w:rPr>
              <w:t>Le 9 juillet 2015</w:t>
            </w:r>
          </w:p>
          <w:p w:rsidR="001718B1" w:rsidRPr="002C1A32" w:rsidRDefault="001718B1" w:rsidP="001718B1">
            <w:pPr>
              <w:jc w:val="both"/>
              <w:rPr>
                <w:sz w:val="20"/>
                <w:lang w:val="fr-CA"/>
              </w:rPr>
            </w:pPr>
            <w:r w:rsidRPr="002C1A32">
              <w:rPr>
                <w:sz w:val="20"/>
                <w:lang w:val="fr-CA"/>
              </w:rPr>
              <w:t>Cour d’appel du Québec (Québec)</w:t>
            </w:r>
          </w:p>
          <w:p w:rsidR="001718B1" w:rsidRPr="002C1A32" w:rsidRDefault="001718B1" w:rsidP="001718B1">
            <w:pPr>
              <w:jc w:val="both"/>
              <w:rPr>
                <w:sz w:val="20"/>
                <w:lang w:val="fr-CA"/>
              </w:rPr>
            </w:pPr>
            <w:r w:rsidRPr="002C1A32">
              <w:rPr>
                <w:sz w:val="20"/>
                <w:lang w:val="fr-CA"/>
              </w:rPr>
              <w:t xml:space="preserve">(Les juges </w:t>
            </w:r>
            <w:proofErr w:type="spellStart"/>
            <w:r w:rsidRPr="002C1A32">
              <w:rPr>
                <w:sz w:val="20"/>
                <w:lang w:val="fr-CA"/>
              </w:rPr>
              <w:t>Dutil</w:t>
            </w:r>
            <w:proofErr w:type="spellEnd"/>
            <w:r w:rsidRPr="002C1A32">
              <w:rPr>
                <w:sz w:val="20"/>
                <w:lang w:val="fr-CA"/>
              </w:rPr>
              <w:t xml:space="preserve">, </w:t>
            </w:r>
            <w:proofErr w:type="spellStart"/>
            <w:r w:rsidRPr="002C1A32">
              <w:rPr>
                <w:sz w:val="20"/>
                <w:lang w:val="fr-CA"/>
              </w:rPr>
              <w:t>Émond</w:t>
            </w:r>
            <w:proofErr w:type="spellEnd"/>
            <w:r w:rsidRPr="002C1A32">
              <w:rPr>
                <w:sz w:val="20"/>
                <w:lang w:val="fr-CA"/>
              </w:rPr>
              <w:t xml:space="preserve"> et La Rosa, J.C.A.)</w:t>
            </w:r>
          </w:p>
          <w:p w:rsidR="001718B1" w:rsidRPr="008D6C1E" w:rsidRDefault="005E6DC4" w:rsidP="001718B1">
            <w:pPr>
              <w:jc w:val="both"/>
              <w:rPr>
                <w:sz w:val="20"/>
              </w:rPr>
            </w:pPr>
            <w:hyperlink r:id="rId110" w:history="1">
              <w:r w:rsidR="001718B1" w:rsidRPr="008D6C1E">
                <w:rPr>
                  <w:rStyle w:val="Hyperlink"/>
                  <w:sz w:val="20"/>
                </w:rPr>
                <w:t>2015 QCCA 1159</w:t>
              </w:r>
            </w:hyperlink>
          </w:p>
          <w:p w:rsidR="001718B1" w:rsidRPr="008D6C1E" w:rsidRDefault="001718B1" w:rsidP="001718B1">
            <w:pPr>
              <w:jc w:val="both"/>
              <w:rPr>
                <w:sz w:val="20"/>
              </w:rPr>
            </w:pPr>
          </w:p>
        </w:tc>
        <w:tc>
          <w:tcPr>
            <w:tcW w:w="243" w:type="pct"/>
          </w:tcPr>
          <w:p w:rsidR="001718B1" w:rsidRPr="008D6C1E" w:rsidRDefault="001718B1" w:rsidP="001718B1">
            <w:pPr>
              <w:jc w:val="both"/>
              <w:rPr>
                <w:sz w:val="20"/>
              </w:rPr>
            </w:pPr>
          </w:p>
        </w:tc>
        <w:tc>
          <w:tcPr>
            <w:tcW w:w="2330" w:type="pct"/>
          </w:tcPr>
          <w:p w:rsidR="001718B1" w:rsidRPr="008D6C1E" w:rsidRDefault="001718B1" w:rsidP="001718B1">
            <w:pPr>
              <w:jc w:val="both"/>
              <w:rPr>
                <w:sz w:val="20"/>
              </w:rPr>
            </w:pPr>
            <w:r w:rsidRPr="008D6C1E">
              <w:rPr>
                <w:sz w:val="20"/>
              </w:rPr>
              <w:t>Appel rejeté.</w:t>
            </w:r>
          </w:p>
        </w:tc>
      </w:tr>
      <w:tr w:rsidR="001718B1" w:rsidRPr="008D6C1E" w:rsidTr="002B5CF4">
        <w:tc>
          <w:tcPr>
            <w:tcW w:w="2427" w:type="pct"/>
            <w:gridSpan w:val="2"/>
          </w:tcPr>
          <w:p w:rsidR="001718B1" w:rsidRPr="002C1A32" w:rsidRDefault="001718B1" w:rsidP="001718B1">
            <w:pPr>
              <w:jc w:val="both"/>
              <w:rPr>
                <w:sz w:val="20"/>
                <w:lang w:val="fr-CA"/>
              </w:rPr>
            </w:pPr>
            <w:r w:rsidRPr="002C1A32">
              <w:rPr>
                <w:sz w:val="20"/>
                <w:lang w:val="fr-CA"/>
              </w:rPr>
              <w:t xml:space="preserve">Le 8 septembre 2015 </w:t>
            </w:r>
          </w:p>
          <w:p w:rsidR="001718B1" w:rsidRPr="002C1A32" w:rsidRDefault="001718B1" w:rsidP="001718B1">
            <w:pPr>
              <w:jc w:val="both"/>
              <w:rPr>
                <w:sz w:val="20"/>
                <w:lang w:val="fr-CA"/>
              </w:rPr>
            </w:pPr>
            <w:r w:rsidRPr="002C1A32">
              <w:rPr>
                <w:sz w:val="20"/>
                <w:lang w:val="fr-CA"/>
              </w:rPr>
              <w:t xml:space="preserve">Cour d’appel du Québec (Québec) </w:t>
            </w:r>
          </w:p>
          <w:p w:rsidR="001718B1" w:rsidRPr="002C1A32" w:rsidRDefault="001718B1" w:rsidP="001718B1">
            <w:pPr>
              <w:jc w:val="both"/>
              <w:rPr>
                <w:sz w:val="20"/>
                <w:lang w:val="fr-CA"/>
              </w:rPr>
            </w:pPr>
            <w:r w:rsidRPr="002C1A32">
              <w:rPr>
                <w:sz w:val="20"/>
                <w:lang w:val="fr-CA"/>
              </w:rPr>
              <w:t xml:space="preserve">(Les juges </w:t>
            </w:r>
            <w:proofErr w:type="spellStart"/>
            <w:r w:rsidRPr="002C1A32">
              <w:rPr>
                <w:sz w:val="20"/>
                <w:lang w:val="fr-CA"/>
              </w:rPr>
              <w:t>Dutil</w:t>
            </w:r>
            <w:proofErr w:type="spellEnd"/>
            <w:r w:rsidRPr="002C1A32">
              <w:rPr>
                <w:sz w:val="20"/>
                <w:lang w:val="fr-CA"/>
              </w:rPr>
              <w:t xml:space="preserve">, </w:t>
            </w:r>
            <w:proofErr w:type="spellStart"/>
            <w:r w:rsidRPr="002C1A32">
              <w:rPr>
                <w:sz w:val="20"/>
                <w:lang w:val="fr-CA"/>
              </w:rPr>
              <w:t>Émond</w:t>
            </w:r>
            <w:proofErr w:type="spellEnd"/>
            <w:r w:rsidRPr="002C1A32">
              <w:rPr>
                <w:sz w:val="20"/>
                <w:lang w:val="fr-CA"/>
              </w:rPr>
              <w:t xml:space="preserve"> et La Rosa, J.C.A.)</w:t>
            </w:r>
          </w:p>
          <w:p w:rsidR="001718B1" w:rsidRPr="008D6C1E" w:rsidRDefault="005E6DC4" w:rsidP="001718B1">
            <w:pPr>
              <w:jc w:val="both"/>
              <w:rPr>
                <w:sz w:val="20"/>
              </w:rPr>
            </w:pPr>
            <w:hyperlink r:id="rId111" w:history="1">
              <w:r w:rsidR="001718B1" w:rsidRPr="008D6C1E">
                <w:rPr>
                  <w:rStyle w:val="Hyperlink"/>
                  <w:sz w:val="20"/>
                </w:rPr>
                <w:t>2015 QCCA 1418</w:t>
              </w:r>
            </w:hyperlink>
          </w:p>
          <w:p w:rsidR="001718B1" w:rsidRPr="008D6C1E" w:rsidRDefault="001718B1" w:rsidP="001718B1">
            <w:pPr>
              <w:jc w:val="both"/>
              <w:rPr>
                <w:sz w:val="20"/>
              </w:rPr>
            </w:pPr>
          </w:p>
        </w:tc>
        <w:tc>
          <w:tcPr>
            <w:tcW w:w="243" w:type="pct"/>
          </w:tcPr>
          <w:p w:rsidR="001718B1" w:rsidRPr="008D6C1E" w:rsidRDefault="001718B1" w:rsidP="001718B1">
            <w:pPr>
              <w:jc w:val="both"/>
              <w:rPr>
                <w:sz w:val="20"/>
              </w:rPr>
            </w:pPr>
          </w:p>
        </w:tc>
        <w:tc>
          <w:tcPr>
            <w:tcW w:w="2330" w:type="pct"/>
          </w:tcPr>
          <w:p w:rsidR="001718B1" w:rsidRPr="002C1A32" w:rsidRDefault="001718B1" w:rsidP="001718B1">
            <w:pPr>
              <w:jc w:val="both"/>
              <w:rPr>
                <w:sz w:val="20"/>
                <w:lang w:val="fr-CA"/>
              </w:rPr>
            </w:pPr>
            <w:r w:rsidRPr="002C1A32">
              <w:rPr>
                <w:sz w:val="20"/>
                <w:lang w:val="fr-CA"/>
              </w:rPr>
              <w:t xml:space="preserve">Requête en rectification de jugement accueillie en partie. </w:t>
            </w:r>
          </w:p>
          <w:p w:rsidR="001718B1" w:rsidRPr="008D6C1E" w:rsidRDefault="001718B1" w:rsidP="001718B1">
            <w:pPr>
              <w:jc w:val="both"/>
              <w:rPr>
                <w:sz w:val="20"/>
              </w:rPr>
            </w:pPr>
            <w:r w:rsidRPr="008D6C1E">
              <w:rPr>
                <w:sz w:val="20"/>
              </w:rPr>
              <w:t xml:space="preserve">Appel </w:t>
            </w:r>
            <w:proofErr w:type="spellStart"/>
            <w:r w:rsidRPr="008D6C1E">
              <w:rPr>
                <w:sz w:val="20"/>
              </w:rPr>
              <w:t>accueilli</w:t>
            </w:r>
            <w:proofErr w:type="spellEnd"/>
            <w:r w:rsidRPr="008D6C1E">
              <w:rPr>
                <w:sz w:val="20"/>
              </w:rPr>
              <w:t xml:space="preserve"> </w:t>
            </w:r>
            <w:proofErr w:type="spellStart"/>
            <w:r w:rsidRPr="008D6C1E">
              <w:rPr>
                <w:sz w:val="20"/>
              </w:rPr>
              <w:t>en</w:t>
            </w:r>
            <w:proofErr w:type="spellEnd"/>
            <w:r w:rsidRPr="008D6C1E">
              <w:rPr>
                <w:sz w:val="20"/>
              </w:rPr>
              <w:t xml:space="preserve"> </w:t>
            </w:r>
            <w:proofErr w:type="spellStart"/>
            <w:r w:rsidRPr="008D6C1E">
              <w:rPr>
                <w:sz w:val="20"/>
              </w:rPr>
              <w:t>partie</w:t>
            </w:r>
            <w:proofErr w:type="spellEnd"/>
            <w:r w:rsidRPr="008D6C1E">
              <w:rPr>
                <w:sz w:val="20"/>
              </w:rPr>
              <w:t xml:space="preserve">.  </w:t>
            </w:r>
          </w:p>
          <w:p w:rsidR="001718B1" w:rsidRPr="008D6C1E" w:rsidRDefault="001718B1" w:rsidP="001718B1">
            <w:pPr>
              <w:jc w:val="both"/>
              <w:rPr>
                <w:sz w:val="20"/>
              </w:rPr>
            </w:pPr>
          </w:p>
        </w:tc>
      </w:tr>
      <w:tr w:rsidR="001718B1" w:rsidRPr="008D6C1E" w:rsidTr="002B5CF4">
        <w:tc>
          <w:tcPr>
            <w:tcW w:w="2427" w:type="pct"/>
            <w:gridSpan w:val="2"/>
          </w:tcPr>
          <w:p w:rsidR="001718B1" w:rsidRPr="002C1A32" w:rsidRDefault="001718B1" w:rsidP="001718B1">
            <w:pPr>
              <w:jc w:val="both"/>
              <w:rPr>
                <w:sz w:val="20"/>
                <w:lang w:val="fr-CA"/>
              </w:rPr>
            </w:pPr>
            <w:r w:rsidRPr="002C1A32">
              <w:rPr>
                <w:sz w:val="20"/>
                <w:lang w:val="fr-CA"/>
              </w:rPr>
              <w:t>Le 29 septembre 2015</w:t>
            </w:r>
          </w:p>
          <w:p w:rsidR="001718B1" w:rsidRPr="002C1A32" w:rsidRDefault="001718B1" w:rsidP="001718B1">
            <w:pPr>
              <w:jc w:val="both"/>
              <w:rPr>
                <w:sz w:val="20"/>
                <w:lang w:val="fr-CA"/>
              </w:rPr>
            </w:pPr>
            <w:r w:rsidRPr="002C1A32">
              <w:rPr>
                <w:sz w:val="20"/>
                <w:lang w:val="fr-CA"/>
              </w:rPr>
              <w:t>Cour suprême du Canada</w:t>
            </w:r>
          </w:p>
        </w:tc>
        <w:tc>
          <w:tcPr>
            <w:tcW w:w="243" w:type="pct"/>
          </w:tcPr>
          <w:p w:rsidR="001718B1" w:rsidRPr="002C1A32" w:rsidRDefault="001718B1" w:rsidP="001718B1">
            <w:pPr>
              <w:jc w:val="both"/>
              <w:rPr>
                <w:sz w:val="20"/>
                <w:lang w:val="fr-CA"/>
              </w:rPr>
            </w:pPr>
          </w:p>
        </w:tc>
        <w:tc>
          <w:tcPr>
            <w:tcW w:w="2330" w:type="pct"/>
          </w:tcPr>
          <w:p w:rsidR="001718B1" w:rsidRPr="008D6C1E" w:rsidRDefault="001718B1" w:rsidP="001718B1">
            <w:pPr>
              <w:jc w:val="both"/>
              <w:rPr>
                <w:sz w:val="20"/>
              </w:rPr>
            </w:pPr>
            <w:proofErr w:type="spellStart"/>
            <w:r w:rsidRPr="008D6C1E">
              <w:rPr>
                <w:sz w:val="20"/>
              </w:rPr>
              <w:t>Demande</w:t>
            </w:r>
            <w:proofErr w:type="spellEnd"/>
            <w:r w:rsidRPr="008D6C1E">
              <w:rPr>
                <w:sz w:val="20"/>
              </w:rPr>
              <w:t xml:space="preserve"> </w:t>
            </w:r>
            <w:proofErr w:type="spellStart"/>
            <w:r w:rsidRPr="008D6C1E">
              <w:rPr>
                <w:sz w:val="20"/>
              </w:rPr>
              <w:t>d’autorisation</w:t>
            </w:r>
            <w:proofErr w:type="spellEnd"/>
            <w:r w:rsidRPr="008D6C1E">
              <w:rPr>
                <w:sz w:val="20"/>
              </w:rPr>
              <w:t xml:space="preserve"> </w:t>
            </w:r>
            <w:proofErr w:type="spellStart"/>
            <w:r w:rsidRPr="008D6C1E">
              <w:rPr>
                <w:sz w:val="20"/>
              </w:rPr>
              <w:t>d’appel</w:t>
            </w:r>
            <w:proofErr w:type="spellEnd"/>
            <w:r w:rsidRPr="008D6C1E">
              <w:rPr>
                <w:sz w:val="20"/>
              </w:rPr>
              <w:t xml:space="preserve"> </w:t>
            </w:r>
            <w:proofErr w:type="spellStart"/>
            <w:r w:rsidRPr="008D6C1E">
              <w:rPr>
                <w:sz w:val="20"/>
              </w:rPr>
              <w:t>déposée</w:t>
            </w:r>
            <w:proofErr w:type="spellEnd"/>
            <w:r w:rsidRPr="008D6C1E">
              <w:rPr>
                <w:sz w:val="20"/>
              </w:rPr>
              <w:t>.</w:t>
            </w:r>
          </w:p>
        </w:tc>
      </w:tr>
    </w:tbl>
    <w:p w:rsidR="001718B1" w:rsidRPr="008D6C1E" w:rsidRDefault="001718B1" w:rsidP="001718B1">
      <w:pPr>
        <w:jc w:val="both"/>
        <w:rPr>
          <w:sz w:val="20"/>
        </w:rPr>
      </w:pPr>
    </w:p>
    <w:p w:rsidR="006C44EF" w:rsidRPr="008D6C1E" w:rsidRDefault="006C44EF" w:rsidP="007665C6">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65C6" w:rsidRPr="008D6C1E" w:rsidTr="002B5CF4">
        <w:tc>
          <w:tcPr>
            <w:tcW w:w="543" w:type="pct"/>
          </w:tcPr>
          <w:p w:rsidR="007665C6" w:rsidRPr="008D6C1E" w:rsidRDefault="007665C6" w:rsidP="007665C6">
            <w:pPr>
              <w:jc w:val="both"/>
              <w:rPr>
                <w:sz w:val="20"/>
              </w:rPr>
            </w:pPr>
            <w:r w:rsidRPr="008D6C1E">
              <w:rPr>
                <w:rStyle w:val="SCCFileNumberChar"/>
                <w:sz w:val="20"/>
                <w:szCs w:val="20"/>
              </w:rPr>
              <w:t>36760</w:t>
            </w:r>
          </w:p>
        </w:tc>
        <w:tc>
          <w:tcPr>
            <w:tcW w:w="4457" w:type="pct"/>
            <w:gridSpan w:val="3"/>
          </w:tcPr>
          <w:p w:rsidR="007665C6" w:rsidRPr="002C1A32" w:rsidRDefault="007665C6" w:rsidP="007665C6">
            <w:pPr>
              <w:pStyle w:val="SCCLsocParty"/>
              <w:jc w:val="both"/>
              <w:rPr>
                <w:b/>
                <w:sz w:val="20"/>
                <w:szCs w:val="20"/>
                <w:lang w:val="en-US"/>
              </w:rPr>
            </w:pPr>
            <w:r w:rsidRPr="002C1A32">
              <w:rPr>
                <w:b/>
                <w:sz w:val="20"/>
                <w:szCs w:val="20"/>
                <w:lang w:val="en-US"/>
              </w:rPr>
              <w:t xml:space="preserve">Allstate Insurance Company of Canada v. Edna </w:t>
            </w:r>
            <w:proofErr w:type="spellStart"/>
            <w:r w:rsidRPr="002C1A32">
              <w:rPr>
                <w:b/>
                <w:sz w:val="20"/>
                <w:szCs w:val="20"/>
                <w:lang w:val="en-US"/>
              </w:rPr>
              <w:t>Klimitz</w:t>
            </w:r>
            <w:proofErr w:type="spellEnd"/>
            <w:r w:rsidRPr="002C1A32">
              <w:rPr>
                <w:b/>
                <w:sz w:val="20"/>
                <w:szCs w:val="20"/>
                <w:lang w:val="en-US"/>
              </w:rPr>
              <w:t xml:space="preserve"> and Financial Services Commission of Ontario</w:t>
            </w:r>
          </w:p>
          <w:p w:rsidR="007665C6" w:rsidRPr="008D6C1E" w:rsidRDefault="007665C6" w:rsidP="007665C6">
            <w:pPr>
              <w:jc w:val="both"/>
              <w:rPr>
                <w:sz w:val="20"/>
              </w:rPr>
            </w:pPr>
            <w:r w:rsidRPr="008D6C1E">
              <w:rPr>
                <w:sz w:val="20"/>
              </w:rPr>
              <w:t>(Ont.) (Civil) (By Leave)</w:t>
            </w:r>
          </w:p>
        </w:tc>
      </w:tr>
      <w:tr w:rsidR="007665C6" w:rsidRPr="008D6C1E" w:rsidTr="00EE44FA">
        <w:trPr>
          <w:trHeight w:val="6750"/>
        </w:trPr>
        <w:tc>
          <w:tcPr>
            <w:tcW w:w="5000" w:type="pct"/>
            <w:gridSpan w:val="4"/>
          </w:tcPr>
          <w:p w:rsidR="00CF7388" w:rsidRPr="008D6C1E" w:rsidRDefault="007665C6" w:rsidP="00CF7388">
            <w:pPr>
              <w:jc w:val="both"/>
              <w:rPr>
                <w:sz w:val="20"/>
                <w:lang w:eastAsia="en-CA"/>
              </w:rPr>
            </w:pPr>
            <w:r w:rsidRPr="008D6C1E">
              <w:rPr>
                <w:sz w:val="20"/>
                <w:lang w:eastAsia="en-CA"/>
              </w:rPr>
              <w:lastRenderedPageBreak/>
              <w:t xml:space="preserve">Administrative law ― Judicial review ― Standard of review ― Insurance  ― Limitation periods ― Statutory interpretation ― Insured hit by motor vehicle and insurance company denying non-earner benefits by letter dated May 31, 2004 ― Insurance company providing medical report referenced in denial notice on July 18, 2006 ― Insured filing for mediation two days after receiving medical reports from insurance company ― Arbitrator finding proceeding cannot go to arbitration as application was filed past two-year limit ― Office of Director allowing arbitration to proceed ― Divisional Court dismissing application for judicial review brought by insurance company ― Court of Appeal dismissing appeal ― Whether a clear and unequivocal notice of refusal to pay an insurance benefit triggers limitation period of two years within which to launch civil proceedings ― Where an arbitrator enforces a limitation period based on application of correct legal principles, is it reasonable for an appeals officer of that same tribunal to rescind decision ― </w:t>
            </w:r>
            <w:r w:rsidRPr="008D6C1E">
              <w:rPr>
                <w:i/>
                <w:sz w:val="20"/>
                <w:lang w:eastAsia="en-CA"/>
              </w:rPr>
              <w:t>Insurance Act</w:t>
            </w:r>
            <w:r w:rsidRPr="008D6C1E">
              <w:rPr>
                <w:sz w:val="20"/>
                <w:lang w:eastAsia="en-CA"/>
              </w:rPr>
              <w:t>, R.S.O. 1990, c. I.8, s. 281.1(1) ―</w:t>
            </w:r>
            <w:r w:rsidRPr="008D6C1E">
              <w:rPr>
                <w:b/>
                <w:sz w:val="20"/>
                <w:lang w:eastAsia="en-CA"/>
              </w:rPr>
              <w:t xml:space="preserve"> </w:t>
            </w:r>
            <w:hyperlink r:id="rId112" w:history="1">
              <w:r w:rsidRPr="008D6C1E">
                <w:rPr>
                  <w:i/>
                  <w:iCs/>
                  <w:sz w:val="20"/>
                  <w:lang w:eastAsia="en-CA"/>
                </w:rPr>
                <w:t>Statutory Accident Benefits Schedule - Accidents on or After November 1, 1996</w:t>
              </w:r>
              <w:r w:rsidRPr="008D6C1E">
                <w:rPr>
                  <w:sz w:val="20"/>
                  <w:lang w:eastAsia="en-CA"/>
                </w:rPr>
                <w:t>, O. Reg. 403/96</w:t>
              </w:r>
            </w:hyperlink>
            <w:r w:rsidRPr="008D6C1E">
              <w:rPr>
                <w:sz w:val="20"/>
                <w:lang w:eastAsia="en-CA"/>
              </w:rPr>
              <w:t>, s. 37.</w:t>
            </w:r>
          </w:p>
          <w:p w:rsidR="00CF7388" w:rsidRPr="008D6C1E" w:rsidRDefault="00CF7388" w:rsidP="00CF7388">
            <w:pPr>
              <w:jc w:val="both"/>
              <w:rPr>
                <w:sz w:val="20"/>
                <w:lang w:eastAsia="en-CA"/>
              </w:rPr>
            </w:pPr>
          </w:p>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7665C6" w:rsidRPr="008D6C1E" w:rsidTr="002B5CF4">
              <w:trPr>
                <w:trHeight w:val="288"/>
              </w:trPr>
              <w:tc>
                <w:tcPr>
                  <w:tcW w:w="3861" w:type="pct"/>
                  <w:tcBorders>
                    <w:top w:val="nil"/>
                    <w:left w:val="nil"/>
                    <w:bottom w:val="nil"/>
                    <w:right w:val="nil"/>
                  </w:tcBorders>
                  <w:tcMar>
                    <w:top w:w="120" w:type="dxa"/>
                    <w:left w:w="120" w:type="dxa"/>
                    <w:bottom w:w="58" w:type="dxa"/>
                    <w:right w:w="120" w:type="dxa"/>
                  </w:tcMar>
                </w:tcPr>
                <w:p w:rsidR="007665C6" w:rsidRPr="008D6C1E" w:rsidRDefault="007665C6" w:rsidP="00EE44FA">
                  <w:pPr>
                    <w:pStyle w:val="aparanumbering1"/>
                    <w:shd w:val="clear" w:color="auto" w:fill="FFFFFF"/>
                    <w:spacing w:before="0" w:after="0"/>
                    <w:ind w:left="-120"/>
                    <w:rPr>
                      <w:rFonts w:ascii="Times New Roman" w:hAnsi="Times New Roman" w:cs="Times New Roman"/>
                      <w:sz w:val="20"/>
                      <w:szCs w:val="20"/>
                    </w:rPr>
                  </w:pPr>
                  <w:r w:rsidRPr="008D6C1E">
                    <w:rPr>
                      <w:rFonts w:ascii="Times New Roman" w:hAnsi="Times New Roman" w:cs="Times New Roman"/>
                      <w:sz w:val="20"/>
                      <w:szCs w:val="20"/>
                    </w:rPr>
                    <w:t>The respondent, Ms. </w:t>
                  </w:r>
                  <w:proofErr w:type="spellStart"/>
                  <w:r w:rsidRPr="008D6C1E">
                    <w:rPr>
                      <w:rFonts w:ascii="Times New Roman" w:hAnsi="Times New Roman" w:cs="Times New Roman"/>
                      <w:sz w:val="20"/>
                      <w:szCs w:val="20"/>
                    </w:rPr>
                    <w:t>Klimitz</w:t>
                  </w:r>
                  <w:proofErr w:type="spellEnd"/>
                  <w:r w:rsidRPr="008D6C1E">
                    <w:rPr>
                      <w:rFonts w:ascii="Times New Roman" w:hAnsi="Times New Roman" w:cs="Times New Roman"/>
                      <w:sz w:val="20"/>
                      <w:szCs w:val="20"/>
                    </w:rPr>
                    <w:t xml:space="preserve"> was struck by a motor vehicle and applied and received certain benefits under the </w:t>
                  </w:r>
                  <w:hyperlink r:id="rId113" w:history="1">
                    <w:r w:rsidRPr="008D6C1E">
                      <w:rPr>
                        <w:rFonts w:ascii="Times New Roman" w:hAnsi="Times New Roman" w:cs="Times New Roman"/>
                        <w:i/>
                        <w:iCs/>
                        <w:sz w:val="20"/>
                        <w:szCs w:val="20"/>
                      </w:rPr>
                      <w:t>Statutory Accident Benefits Schedule - Accidents on or After November 1, 1996</w:t>
                    </w:r>
                    <w:r w:rsidRPr="008D6C1E">
                      <w:rPr>
                        <w:rFonts w:ascii="Times New Roman" w:hAnsi="Times New Roman" w:cs="Times New Roman"/>
                        <w:sz w:val="20"/>
                        <w:szCs w:val="20"/>
                      </w:rPr>
                      <w:t>, O. Reg. 403/96</w:t>
                    </w:r>
                  </w:hyperlink>
                  <w:r w:rsidRPr="008D6C1E">
                    <w:rPr>
                      <w:rFonts w:ascii="Times New Roman" w:hAnsi="Times New Roman" w:cs="Times New Roman"/>
                      <w:sz w:val="20"/>
                      <w:szCs w:val="20"/>
                    </w:rPr>
                    <w:t xml:space="preserve"> (the “</w:t>
                  </w:r>
                  <w:hyperlink r:id="rId114" w:history="1">
                    <w:r w:rsidRPr="008D6C1E">
                      <w:rPr>
                        <w:rFonts w:ascii="Times New Roman" w:hAnsi="Times New Roman" w:cs="Times New Roman"/>
                        <w:sz w:val="20"/>
                        <w:szCs w:val="20"/>
                      </w:rPr>
                      <w:t>Regulation</w:t>
                    </w:r>
                  </w:hyperlink>
                  <w:r w:rsidRPr="008D6C1E">
                    <w:rPr>
                      <w:rFonts w:ascii="Times New Roman" w:hAnsi="Times New Roman" w:cs="Times New Roman"/>
                      <w:sz w:val="20"/>
                      <w:szCs w:val="20"/>
                    </w:rPr>
                    <w:t>”). On May 31, 2004 in its “Explanation of Benefits Payable by Insurance Company”, the insurance company provided Ms. </w:t>
                  </w:r>
                  <w:proofErr w:type="spellStart"/>
                  <w:r w:rsidRPr="008D6C1E">
                    <w:rPr>
                      <w:rFonts w:ascii="Times New Roman" w:hAnsi="Times New Roman" w:cs="Times New Roman"/>
                      <w:sz w:val="20"/>
                      <w:szCs w:val="20"/>
                    </w:rPr>
                    <w:t>Klimitz</w:t>
                  </w:r>
                  <w:proofErr w:type="spellEnd"/>
                  <w:r w:rsidRPr="008D6C1E">
                    <w:rPr>
                      <w:rFonts w:ascii="Times New Roman" w:hAnsi="Times New Roman" w:cs="Times New Roman"/>
                      <w:sz w:val="20"/>
                      <w:szCs w:val="20"/>
                    </w:rPr>
                    <w:t xml:space="preserve"> with its reasons for denying her application for non-earner benefits under the regulation. In its reasons, the insurance company relied on evaluations of Ms. </w:t>
                  </w:r>
                  <w:proofErr w:type="spellStart"/>
                  <w:r w:rsidRPr="008D6C1E">
                    <w:rPr>
                      <w:rFonts w:ascii="Times New Roman" w:hAnsi="Times New Roman" w:cs="Times New Roman"/>
                      <w:sz w:val="20"/>
                      <w:szCs w:val="20"/>
                    </w:rPr>
                    <w:t>Klimitz</w:t>
                  </w:r>
                  <w:proofErr w:type="spellEnd"/>
                  <w:r w:rsidRPr="008D6C1E">
                    <w:rPr>
                      <w:rFonts w:ascii="Times New Roman" w:hAnsi="Times New Roman" w:cs="Times New Roman"/>
                      <w:sz w:val="20"/>
                      <w:szCs w:val="20"/>
                    </w:rPr>
                    <w:t xml:space="preserve"> made by two physicians, one of whom was Dr. Garry </w:t>
                  </w:r>
                  <w:proofErr w:type="spellStart"/>
                  <w:r w:rsidRPr="008D6C1E">
                    <w:rPr>
                      <w:rFonts w:ascii="Times New Roman" w:hAnsi="Times New Roman" w:cs="Times New Roman"/>
                      <w:sz w:val="20"/>
                      <w:szCs w:val="20"/>
                    </w:rPr>
                    <w:t>Moddel</w:t>
                  </w:r>
                  <w:proofErr w:type="spellEnd"/>
                  <w:r w:rsidRPr="008D6C1E">
                    <w:rPr>
                      <w:rFonts w:ascii="Times New Roman" w:hAnsi="Times New Roman" w:cs="Times New Roman"/>
                      <w:sz w:val="20"/>
                      <w:szCs w:val="20"/>
                    </w:rPr>
                    <w:t>.</w:t>
                  </w:r>
                </w:p>
                <w:p w:rsidR="00CF7388" w:rsidRPr="008D6C1E" w:rsidRDefault="00CF7388" w:rsidP="00EE44FA">
                  <w:pPr>
                    <w:pStyle w:val="aparanumbering1"/>
                    <w:shd w:val="clear" w:color="auto" w:fill="FFFFFF"/>
                    <w:spacing w:before="0" w:after="0"/>
                    <w:ind w:left="-120"/>
                    <w:rPr>
                      <w:rFonts w:ascii="Times New Roman" w:hAnsi="Times New Roman" w:cs="Times New Roman"/>
                      <w:sz w:val="20"/>
                      <w:szCs w:val="20"/>
                    </w:rPr>
                  </w:pPr>
                </w:p>
                <w:p w:rsidR="007665C6" w:rsidRPr="008D6C1E" w:rsidRDefault="007665C6" w:rsidP="00CF7388">
                  <w:pPr>
                    <w:pStyle w:val="aparanumbering1"/>
                    <w:shd w:val="clear" w:color="auto" w:fill="FFFFFF"/>
                    <w:spacing w:before="0" w:after="0"/>
                    <w:ind w:left="-115"/>
                    <w:rPr>
                      <w:rFonts w:ascii="Times New Roman" w:hAnsi="Times New Roman" w:cs="Times New Roman"/>
                      <w:sz w:val="20"/>
                      <w:szCs w:val="20"/>
                    </w:rPr>
                  </w:pPr>
                  <w:r w:rsidRPr="008D6C1E">
                    <w:rPr>
                      <w:rFonts w:ascii="Times New Roman" w:hAnsi="Times New Roman" w:cs="Times New Roman"/>
                      <w:sz w:val="20"/>
                      <w:szCs w:val="20"/>
                    </w:rPr>
                    <w:t>The insurance company provided Ms. </w:t>
                  </w:r>
                  <w:proofErr w:type="spellStart"/>
                  <w:r w:rsidRPr="008D6C1E">
                    <w:rPr>
                      <w:rFonts w:ascii="Times New Roman" w:hAnsi="Times New Roman" w:cs="Times New Roman"/>
                      <w:sz w:val="20"/>
                      <w:szCs w:val="20"/>
                    </w:rPr>
                    <w:t>Klimitz</w:t>
                  </w:r>
                  <w:proofErr w:type="spellEnd"/>
                  <w:r w:rsidRPr="008D6C1E">
                    <w:rPr>
                      <w:rFonts w:ascii="Times New Roman" w:hAnsi="Times New Roman" w:cs="Times New Roman"/>
                      <w:sz w:val="20"/>
                      <w:szCs w:val="20"/>
                    </w:rPr>
                    <w:t xml:space="preserve"> with copies of that report (along with a second report it had received in June 2004) two years later on July 18, 2006. Two days after receiving the reports, Ms. </w:t>
                  </w:r>
                  <w:proofErr w:type="spellStart"/>
                  <w:r w:rsidRPr="008D6C1E">
                    <w:rPr>
                      <w:rFonts w:ascii="Times New Roman" w:hAnsi="Times New Roman" w:cs="Times New Roman"/>
                      <w:sz w:val="20"/>
                      <w:szCs w:val="20"/>
                    </w:rPr>
                    <w:t>Klimitz</w:t>
                  </w:r>
                  <w:proofErr w:type="spellEnd"/>
                  <w:r w:rsidRPr="008D6C1E">
                    <w:rPr>
                      <w:rFonts w:ascii="Times New Roman" w:hAnsi="Times New Roman" w:cs="Times New Roman"/>
                      <w:sz w:val="20"/>
                      <w:szCs w:val="20"/>
                    </w:rPr>
                    <w:t xml:space="preserve"> submitted an application for mediation to the Financial Services Commission of Ontario.</w:t>
                  </w:r>
                </w:p>
                <w:p w:rsidR="00CF7388" w:rsidRPr="008D6C1E" w:rsidRDefault="00CF7388" w:rsidP="00CF7388">
                  <w:pPr>
                    <w:pStyle w:val="aparanumbering1"/>
                    <w:shd w:val="clear" w:color="auto" w:fill="FFFFFF"/>
                    <w:spacing w:before="0" w:after="0"/>
                    <w:ind w:left="-115"/>
                    <w:rPr>
                      <w:rFonts w:ascii="Times New Roman" w:hAnsi="Times New Roman" w:cs="Times New Roman"/>
                      <w:sz w:val="20"/>
                      <w:szCs w:val="20"/>
                    </w:rPr>
                  </w:pPr>
                </w:p>
              </w:tc>
            </w:tr>
            <w:tr w:rsidR="007665C6" w:rsidRPr="008D6C1E" w:rsidTr="002B5CF4">
              <w:trPr>
                <w:trHeight w:val="288"/>
              </w:trPr>
              <w:tc>
                <w:tcPr>
                  <w:tcW w:w="3861" w:type="pct"/>
                  <w:tcBorders>
                    <w:top w:val="nil"/>
                    <w:left w:val="nil"/>
                    <w:bottom w:val="nil"/>
                    <w:right w:val="nil"/>
                  </w:tcBorders>
                  <w:tcMar>
                    <w:top w:w="120" w:type="dxa"/>
                    <w:left w:w="120" w:type="dxa"/>
                    <w:bottom w:w="58" w:type="dxa"/>
                    <w:right w:w="120" w:type="dxa"/>
                  </w:tcMar>
                </w:tcPr>
                <w:p w:rsidR="007665C6" w:rsidRPr="008D6C1E" w:rsidRDefault="007665C6" w:rsidP="00EE44FA">
                  <w:pPr>
                    <w:pStyle w:val="aparanumbering1"/>
                    <w:shd w:val="clear" w:color="auto" w:fill="FFFFFF"/>
                    <w:spacing w:before="0" w:after="0"/>
                    <w:ind w:left="-120"/>
                    <w:rPr>
                      <w:rFonts w:ascii="Times New Roman" w:hAnsi="Times New Roman" w:cs="Times New Roman"/>
                      <w:sz w:val="20"/>
                      <w:szCs w:val="20"/>
                    </w:rPr>
                  </w:pPr>
                  <w:r w:rsidRPr="008D6C1E">
                    <w:rPr>
                      <w:rFonts w:ascii="Times New Roman" w:hAnsi="Times New Roman" w:cs="Times New Roman"/>
                      <w:sz w:val="20"/>
                      <w:szCs w:val="20"/>
                    </w:rPr>
                    <w:t>The Arbitrator found Ms. </w:t>
                  </w:r>
                  <w:proofErr w:type="spellStart"/>
                  <w:r w:rsidRPr="008D6C1E">
                    <w:rPr>
                      <w:rFonts w:ascii="Times New Roman" w:hAnsi="Times New Roman" w:cs="Times New Roman"/>
                      <w:sz w:val="20"/>
                      <w:szCs w:val="20"/>
                    </w:rPr>
                    <w:t>Klimitz</w:t>
                  </w:r>
                  <w:proofErr w:type="spellEnd"/>
                  <w:r w:rsidRPr="008D6C1E">
                    <w:rPr>
                      <w:rFonts w:ascii="Times New Roman" w:hAnsi="Times New Roman" w:cs="Times New Roman"/>
                      <w:sz w:val="20"/>
                      <w:szCs w:val="20"/>
                    </w:rPr>
                    <w:t xml:space="preserve"> was precluded from proceeding to arbitration because she had filed her application for mediation more than two years after the insurance company’s refusal to pay her a non-earner benefit, contrary to the requirements of </w:t>
                  </w:r>
                  <w:hyperlink r:id="rId115" w:anchor="sec281.1subsec1_smooth" w:history="1">
                    <w:r w:rsidRPr="008D6C1E">
                      <w:rPr>
                        <w:rFonts w:ascii="Times New Roman" w:hAnsi="Times New Roman" w:cs="Times New Roman"/>
                        <w:sz w:val="20"/>
                        <w:szCs w:val="20"/>
                      </w:rPr>
                      <w:t>s. 281.1(1)</w:t>
                    </w:r>
                  </w:hyperlink>
                  <w:r w:rsidRPr="008D6C1E">
                    <w:rPr>
                      <w:rFonts w:ascii="Times New Roman" w:hAnsi="Times New Roman" w:cs="Times New Roman"/>
                      <w:sz w:val="20"/>
                      <w:szCs w:val="20"/>
                    </w:rPr>
                    <w:t xml:space="preserve"> of the </w:t>
                  </w:r>
                  <w:hyperlink r:id="rId116" w:history="1">
                    <w:r w:rsidRPr="008D6C1E">
                      <w:rPr>
                        <w:rFonts w:ascii="Times New Roman" w:hAnsi="Times New Roman" w:cs="Times New Roman"/>
                        <w:i/>
                        <w:iCs/>
                        <w:sz w:val="20"/>
                        <w:szCs w:val="20"/>
                      </w:rPr>
                      <w:t>Insurance Act</w:t>
                    </w:r>
                    <w:r w:rsidRPr="008D6C1E">
                      <w:rPr>
                        <w:rFonts w:ascii="Times New Roman" w:hAnsi="Times New Roman" w:cs="Times New Roman"/>
                        <w:sz w:val="20"/>
                        <w:szCs w:val="20"/>
                      </w:rPr>
                      <w:t>, R.S.O. 1990, c. I.8</w:t>
                    </w:r>
                  </w:hyperlink>
                  <w:r w:rsidRPr="008D6C1E">
                    <w:rPr>
                      <w:rFonts w:ascii="Times New Roman" w:hAnsi="Times New Roman" w:cs="Times New Roman"/>
                      <w:sz w:val="20"/>
                      <w:szCs w:val="20"/>
                    </w:rPr>
                    <w:t>.</w:t>
                  </w:r>
                </w:p>
                <w:p w:rsidR="007665C6" w:rsidRPr="008D6C1E" w:rsidRDefault="007665C6" w:rsidP="00EE44FA">
                  <w:pPr>
                    <w:ind w:left="-120"/>
                    <w:jc w:val="both"/>
                    <w:rPr>
                      <w:sz w:val="20"/>
                    </w:rPr>
                  </w:pPr>
                  <w:r w:rsidRPr="008D6C1E">
                    <w:rPr>
                      <w:sz w:val="20"/>
                    </w:rPr>
                    <w:t>The Director’s Delegate allowed the appeal from the order of the Arbitrator and ordered the matter could proceed to arbitration. The Divisional Court dismissed the insurance company’s application for judicial review. The Court of Appeal dismissed the appeal.</w:t>
                  </w:r>
                </w:p>
              </w:tc>
            </w:tr>
          </w:tbl>
          <w:p w:rsidR="007665C6" w:rsidRPr="008D6C1E" w:rsidRDefault="007665C6" w:rsidP="007665C6">
            <w:pPr>
              <w:jc w:val="both"/>
              <w:rPr>
                <w:sz w:val="20"/>
              </w:rPr>
            </w:pPr>
          </w:p>
        </w:tc>
      </w:tr>
      <w:tr w:rsidR="007665C6" w:rsidRPr="008D6C1E" w:rsidTr="002B5CF4">
        <w:tc>
          <w:tcPr>
            <w:tcW w:w="2427" w:type="pct"/>
            <w:gridSpan w:val="2"/>
          </w:tcPr>
          <w:p w:rsidR="007665C6" w:rsidRPr="008D6C1E" w:rsidRDefault="007665C6" w:rsidP="007665C6">
            <w:pPr>
              <w:jc w:val="both"/>
              <w:rPr>
                <w:sz w:val="20"/>
              </w:rPr>
            </w:pPr>
            <w:r w:rsidRPr="008D6C1E">
              <w:rPr>
                <w:sz w:val="20"/>
              </w:rPr>
              <w:t>April 13, 2012</w:t>
            </w:r>
          </w:p>
          <w:p w:rsidR="007665C6" w:rsidRPr="008D6C1E" w:rsidRDefault="007665C6" w:rsidP="007665C6">
            <w:pPr>
              <w:jc w:val="both"/>
              <w:rPr>
                <w:sz w:val="20"/>
              </w:rPr>
            </w:pPr>
            <w:r w:rsidRPr="008D6C1E">
              <w:rPr>
                <w:sz w:val="20"/>
              </w:rPr>
              <w:t>Financial Services Commission of Ontario</w:t>
            </w:r>
          </w:p>
          <w:p w:rsidR="007665C6" w:rsidRPr="008D6C1E" w:rsidRDefault="007665C6" w:rsidP="007665C6">
            <w:pPr>
              <w:jc w:val="both"/>
              <w:rPr>
                <w:sz w:val="20"/>
              </w:rPr>
            </w:pPr>
            <w:proofErr w:type="spellStart"/>
            <w:r w:rsidRPr="008D6C1E">
              <w:rPr>
                <w:sz w:val="20"/>
              </w:rPr>
              <w:t>Sapin</w:t>
            </w:r>
            <w:proofErr w:type="spellEnd"/>
            <w:r w:rsidRPr="008D6C1E">
              <w:rPr>
                <w:sz w:val="20"/>
              </w:rPr>
              <w:t> S. (Arbitrator)</w:t>
            </w:r>
          </w:p>
          <w:p w:rsidR="007665C6" w:rsidRPr="008D6C1E" w:rsidRDefault="007665C6" w:rsidP="007665C6">
            <w:pPr>
              <w:jc w:val="both"/>
              <w:rPr>
                <w:sz w:val="20"/>
              </w:rPr>
            </w:pPr>
          </w:p>
        </w:tc>
        <w:tc>
          <w:tcPr>
            <w:tcW w:w="243" w:type="pct"/>
          </w:tcPr>
          <w:p w:rsidR="007665C6" w:rsidRPr="008D6C1E" w:rsidRDefault="007665C6" w:rsidP="007665C6">
            <w:pPr>
              <w:jc w:val="both"/>
              <w:rPr>
                <w:sz w:val="20"/>
              </w:rPr>
            </w:pPr>
          </w:p>
        </w:tc>
        <w:tc>
          <w:tcPr>
            <w:tcW w:w="2330" w:type="pct"/>
          </w:tcPr>
          <w:p w:rsidR="007665C6" w:rsidRPr="008D6C1E" w:rsidRDefault="007665C6" w:rsidP="007665C6">
            <w:pPr>
              <w:jc w:val="both"/>
              <w:rPr>
                <w:sz w:val="20"/>
              </w:rPr>
            </w:pPr>
            <w:r w:rsidRPr="008D6C1E">
              <w:rPr>
                <w:sz w:val="20"/>
              </w:rPr>
              <w:t>Ms. </w:t>
            </w:r>
            <w:proofErr w:type="spellStart"/>
            <w:r w:rsidRPr="008D6C1E">
              <w:rPr>
                <w:sz w:val="20"/>
              </w:rPr>
              <w:t>Klimitz</w:t>
            </w:r>
            <w:proofErr w:type="spellEnd"/>
            <w:r w:rsidRPr="008D6C1E">
              <w:rPr>
                <w:sz w:val="20"/>
              </w:rPr>
              <w:t xml:space="preserve"> precluded from proceeding to arbitration.</w:t>
            </w:r>
          </w:p>
        </w:tc>
      </w:tr>
      <w:tr w:rsidR="007665C6" w:rsidRPr="008D6C1E" w:rsidTr="002B5CF4">
        <w:tc>
          <w:tcPr>
            <w:tcW w:w="2427" w:type="pct"/>
            <w:gridSpan w:val="2"/>
          </w:tcPr>
          <w:p w:rsidR="007665C6" w:rsidRPr="008D6C1E" w:rsidRDefault="007665C6" w:rsidP="007665C6">
            <w:pPr>
              <w:jc w:val="both"/>
              <w:rPr>
                <w:sz w:val="20"/>
              </w:rPr>
            </w:pPr>
            <w:r w:rsidRPr="008D6C1E">
              <w:rPr>
                <w:sz w:val="20"/>
              </w:rPr>
              <w:t>March 21, 2013</w:t>
            </w:r>
          </w:p>
          <w:p w:rsidR="007665C6" w:rsidRPr="008D6C1E" w:rsidRDefault="007665C6" w:rsidP="007665C6">
            <w:pPr>
              <w:jc w:val="both"/>
              <w:rPr>
                <w:sz w:val="20"/>
              </w:rPr>
            </w:pPr>
            <w:r w:rsidRPr="008D6C1E">
              <w:rPr>
                <w:sz w:val="20"/>
              </w:rPr>
              <w:t>Office of the Director of Arbitrations</w:t>
            </w:r>
          </w:p>
          <w:p w:rsidR="007665C6" w:rsidRPr="008D6C1E" w:rsidRDefault="007665C6" w:rsidP="007665C6">
            <w:pPr>
              <w:jc w:val="both"/>
              <w:rPr>
                <w:sz w:val="20"/>
              </w:rPr>
            </w:pPr>
            <w:r w:rsidRPr="008D6C1E">
              <w:rPr>
                <w:sz w:val="20"/>
              </w:rPr>
              <w:t>Blackman L. (Delegate)</w:t>
            </w:r>
          </w:p>
          <w:p w:rsidR="007665C6" w:rsidRPr="008D6C1E" w:rsidRDefault="007665C6" w:rsidP="007665C6">
            <w:pPr>
              <w:jc w:val="both"/>
              <w:rPr>
                <w:sz w:val="20"/>
              </w:rPr>
            </w:pPr>
          </w:p>
        </w:tc>
        <w:tc>
          <w:tcPr>
            <w:tcW w:w="243" w:type="pct"/>
          </w:tcPr>
          <w:p w:rsidR="007665C6" w:rsidRPr="008D6C1E" w:rsidRDefault="007665C6" w:rsidP="007665C6">
            <w:pPr>
              <w:jc w:val="both"/>
              <w:rPr>
                <w:sz w:val="20"/>
              </w:rPr>
            </w:pPr>
          </w:p>
        </w:tc>
        <w:tc>
          <w:tcPr>
            <w:tcW w:w="2330" w:type="pct"/>
          </w:tcPr>
          <w:p w:rsidR="007665C6" w:rsidRPr="008D6C1E" w:rsidRDefault="007665C6" w:rsidP="007665C6">
            <w:pPr>
              <w:jc w:val="both"/>
              <w:rPr>
                <w:sz w:val="20"/>
              </w:rPr>
            </w:pPr>
            <w:r w:rsidRPr="008D6C1E">
              <w:rPr>
                <w:sz w:val="20"/>
              </w:rPr>
              <w:t>Appeal allowed and arbitrator’s decision rescinded and substituted with new order that Ms. </w:t>
            </w:r>
            <w:proofErr w:type="spellStart"/>
            <w:r w:rsidRPr="008D6C1E">
              <w:rPr>
                <w:sz w:val="20"/>
              </w:rPr>
              <w:t>Klimitz</w:t>
            </w:r>
            <w:proofErr w:type="spellEnd"/>
            <w:r w:rsidRPr="008D6C1E">
              <w:rPr>
                <w:sz w:val="20"/>
              </w:rPr>
              <w:t xml:space="preserve"> is not precluded from proceeding to arbitration.</w:t>
            </w:r>
          </w:p>
          <w:p w:rsidR="007665C6" w:rsidRPr="008D6C1E" w:rsidRDefault="007665C6" w:rsidP="007665C6">
            <w:pPr>
              <w:jc w:val="both"/>
              <w:rPr>
                <w:sz w:val="20"/>
              </w:rPr>
            </w:pPr>
          </w:p>
        </w:tc>
      </w:tr>
      <w:tr w:rsidR="007665C6" w:rsidRPr="008D6C1E" w:rsidTr="002B5CF4">
        <w:tc>
          <w:tcPr>
            <w:tcW w:w="2427" w:type="pct"/>
            <w:gridSpan w:val="2"/>
          </w:tcPr>
          <w:p w:rsidR="007665C6" w:rsidRPr="008D6C1E" w:rsidRDefault="007665C6" w:rsidP="007665C6">
            <w:pPr>
              <w:jc w:val="both"/>
              <w:rPr>
                <w:sz w:val="20"/>
              </w:rPr>
            </w:pPr>
            <w:r w:rsidRPr="008D6C1E">
              <w:rPr>
                <w:sz w:val="20"/>
              </w:rPr>
              <w:t>December 12, 2014</w:t>
            </w:r>
          </w:p>
          <w:p w:rsidR="007665C6" w:rsidRPr="008D6C1E" w:rsidRDefault="007665C6" w:rsidP="007665C6">
            <w:pPr>
              <w:jc w:val="both"/>
              <w:rPr>
                <w:sz w:val="20"/>
              </w:rPr>
            </w:pPr>
            <w:r w:rsidRPr="008D6C1E">
              <w:rPr>
                <w:sz w:val="20"/>
              </w:rPr>
              <w:t>Ontario Superior Court of Justice</w:t>
            </w:r>
          </w:p>
          <w:p w:rsidR="007665C6" w:rsidRPr="008D6C1E" w:rsidRDefault="007665C6" w:rsidP="007665C6">
            <w:pPr>
              <w:jc w:val="both"/>
              <w:rPr>
                <w:sz w:val="20"/>
              </w:rPr>
            </w:pPr>
            <w:r w:rsidRPr="008D6C1E">
              <w:rPr>
                <w:sz w:val="20"/>
              </w:rPr>
              <w:t>(</w:t>
            </w:r>
            <w:proofErr w:type="spellStart"/>
            <w:r w:rsidRPr="008D6C1E">
              <w:rPr>
                <w:sz w:val="20"/>
              </w:rPr>
              <w:t>Marrocco</w:t>
            </w:r>
            <w:proofErr w:type="spellEnd"/>
            <w:r w:rsidRPr="008D6C1E">
              <w:rPr>
                <w:sz w:val="20"/>
              </w:rPr>
              <w:t xml:space="preserve"> A.C.J. and Spence and </w:t>
            </w:r>
            <w:proofErr w:type="spellStart"/>
            <w:r w:rsidRPr="008D6C1E">
              <w:rPr>
                <w:sz w:val="20"/>
              </w:rPr>
              <w:t>Horkins</w:t>
            </w:r>
            <w:proofErr w:type="spellEnd"/>
            <w:r w:rsidRPr="008D6C1E">
              <w:rPr>
                <w:sz w:val="20"/>
              </w:rPr>
              <w:t xml:space="preserve"> </w:t>
            </w:r>
          </w:p>
          <w:p w:rsidR="007665C6" w:rsidRPr="008D6C1E" w:rsidRDefault="007665C6" w:rsidP="007665C6">
            <w:pPr>
              <w:jc w:val="both"/>
              <w:rPr>
                <w:sz w:val="20"/>
              </w:rPr>
            </w:pPr>
            <w:r w:rsidRPr="008D6C1E">
              <w:rPr>
                <w:sz w:val="20"/>
              </w:rPr>
              <w:t>JJ.A.)</w:t>
            </w:r>
          </w:p>
          <w:p w:rsidR="007665C6" w:rsidRPr="008D6C1E" w:rsidRDefault="005E6DC4" w:rsidP="007665C6">
            <w:pPr>
              <w:jc w:val="both"/>
              <w:rPr>
                <w:rStyle w:val="Hyperlink"/>
                <w:sz w:val="20"/>
              </w:rPr>
            </w:pPr>
            <w:hyperlink r:id="rId117" w:history="1">
              <w:r w:rsidR="007665C6" w:rsidRPr="008D6C1E">
                <w:rPr>
                  <w:rStyle w:val="Hyperlink"/>
                  <w:sz w:val="20"/>
                </w:rPr>
                <w:t>2014 ONSC 7108</w:t>
              </w:r>
            </w:hyperlink>
          </w:p>
          <w:p w:rsidR="007665C6" w:rsidRPr="008D6C1E" w:rsidRDefault="007665C6" w:rsidP="007665C6">
            <w:pPr>
              <w:jc w:val="both"/>
              <w:rPr>
                <w:sz w:val="20"/>
              </w:rPr>
            </w:pPr>
          </w:p>
        </w:tc>
        <w:tc>
          <w:tcPr>
            <w:tcW w:w="243" w:type="pct"/>
          </w:tcPr>
          <w:p w:rsidR="007665C6" w:rsidRPr="008D6C1E" w:rsidRDefault="007665C6" w:rsidP="007665C6">
            <w:pPr>
              <w:jc w:val="both"/>
              <w:rPr>
                <w:sz w:val="20"/>
              </w:rPr>
            </w:pPr>
          </w:p>
        </w:tc>
        <w:tc>
          <w:tcPr>
            <w:tcW w:w="2330" w:type="pct"/>
          </w:tcPr>
          <w:p w:rsidR="007665C6" w:rsidRPr="008D6C1E" w:rsidRDefault="007665C6" w:rsidP="007665C6">
            <w:pPr>
              <w:jc w:val="both"/>
              <w:rPr>
                <w:sz w:val="20"/>
              </w:rPr>
            </w:pPr>
            <w:r w:rsidRPr="008D6C1E">
              <w:rPr>
                <w:sz w:val="20"/>
              </w:rPr>
              <w:t>Application for judicial review brought by insurance company, dismissed.</w:t>
            </w:r>
          </w:p>
          <w:p w:rsidR="007665C6" w:rsidRPr="008D6C1E" w:rsidRDefault="007665C6" w:rsidP="007665C6">
            <w:pPr>
              <w:jc w:val="both"/>
              <w:rPr>
                <w:sz w:val="20"/>
              </w:rPr>
            </w:pPr>
          </w:p>
        </w:tc>
      </w:tr>
      <w:tr w:rsidR="007665C6" w:rsidRPr="008D6C1E" w:rsidTr="002B5CF4">
        <w:tc>
          <w:tcPr>
            <w:tcW w:w="2427" w:type="pct"/>
            <w:gridSpan w:val="2"/>
          </w:tcPr>
          <w:p w:rsidR="007665C6" w:rsidRPr="008D6C1E" w:rsidRDefault="007665C6" w:rsidP="007665C6">
            <w:pPr>
              <w:jc w:val="both"/>
              <w:rPr>
                <w:sz w:val="20"/>
              </w:rPr>
            </w:pPr>
            <w:r w:rsidRPr="008D6C1E">
              <w:rPr>
                <w:sz w:val="20"/>
              </w:rPr>
              <w:t>October 19, 2015</w:t>
            </w:r>
          </w:p>
          <w:p w:rsidR="007665C6" w:rsidRPr="008D6C1E" w:rsidRDefault="007665C6" w:rsidP="007665C6">
            <w:pPr>
              <w:jc w:val="both"/>
              <w:rPr>
                <w:sz w:val="20"/>
              </w:rPr>
            </w:pPr>
            <w:r w:rsidRPr="008D6C1E">
              <w:rPr>
                <w:sz w:val="20"/>
              </w:rPr>
              <w:t>Court of Appeal for Ontario</w:t>
            </w:r>
          </w:p>
          <w:p w:rsidR="007665C6" w:rsidRPr="008D6C1E" w:rsidRDefault="007665C6" w:rsidP="007665C6">
            <w:pPr>
              <w:jc w:val="both"/>
              <w:rPr>
                <w:sz w:val="20"/>
              </w:rPr>
            </w:pPr>
            <w:r w:rsidRPr="008D6C1E">
              <w:rPr>
                <w:sz w:val="20"/>
              </w:rPr>
              <w:t xml:space="preserve">(Feldman, </w:t>
            </w:r>
            <w:proofErr w:type="spellStart"/>
            <w:r w:rsidRPr="008D6C1E">
              <w:rPr>
                <w:sz w:val="20"/>
              </w:rPr>
              <w:t>Juriansz</w:t>
            </w:r>
            <w:proofErr w:type="spellEnd"/>
            <w:r w:rsidRPr="008D6C1E">
              <w:rPr>
                <w:sz w:val="20"/>
              </w:rPr>
              <w:t xml:space="preserve"> and Brown JJ.A.)</w:t>
            </w:r>
          </w:p>
          <w:p w:rsidR="007665C6" w:rsidRPr="008D6C1E" w:rsidRDefault="005E6DC4" w:rsidP="007665C6">
            <w:pPr>
              <w:jc w:val="both"/>
              <w:rPr>
                <w:sz w:val="20"/>
              </w:rPr>
            </w:pPr>
            <w:hyperlink r:id="rId118" w:history="1">
              <w:r w:rsidR="007665C6" w:rsidRPr="008D6C1E">
                <w:rPr>
                  <w:rStyle w:val="Hyperlink"/>
                  <w:sz w:val="20"/>
                </w:rPr>
                <w:t>2015 ONCA 698</w:t>
              </w:r>
            </w:hyperlink>
          </w:p>
          <w:p w:rsidR="007665C6" w:rsidRPr="008D6C1E" w:rsidRDefault="007665C6" w:rsidP="007665C6">
            <w:pPr>
              <w:jc w:val="both"/>
              <w:rPr>
                <w:sz w:val="20"/>
              </w:rPr>
            </w:pPr>
            <w:r w:rsidRPr="008D6C1E">
              <w:rPr>
                <w:sz w:val="20"/>
              </w:rPr>
              <w:t>File No.: C60323</w:t>
            </w:r>
          </w:p>
          <w:p w:rsidR="007665C6" w:rsidRPr="008D6C1E" w:rsidRDefault="007665C6" w:rsidP="007665C6">
            <w:pPr>
              <w:jc w:val="both"/>
              <w:rPr>
                <w:sz w:val="20"/>
              </w:rPr>
            </w:pPr>
          </w:p>
        </w:tc>
        <w:tc>
          <w:tcPr>
            <w:tcW w:w="243" w:type="pct"/>
          </w:tcPr>
          <w:p w:rsidR="007665C6" w:rsidRPr="008D6C1E" w:rsidRDefault="007665C6" w:rsidP="007665C6">
            <w:pPr>
              <w:jc w:val="both"/>
              <w:rPr>
                <w:sz w:val="20"/>
              </w:rPr>
            </w:pPr>
          </w:p>
        </w:tc>
        <w:tc>
          <w:tcPr>
            <w:tcW w:w="2330" w:type="pct"/>
          </w:tcPr>
          <w:p w:rsidR="007665C6" w:rsidRPr="008D6C1E" w:rsidRDefault="007665C6" w:rsidP="007665C6">
            <w:pPr>
              <w:jc w:val="both"/>
              <w:rPr>
                <w:sz w:val="20"/>
              </w:rPr>
            </w:pPr>
            <w:r w:rsidRPr="008D6C1E">
              <w:rPr>
                <w:sz w:val="20"/>
              </w:rPr>
              <w:t>Appeal dismissed.</w:t>
            </w:r>
          </w:p>
          <w:p w:rsidR="007665C6" w:rsidRPr="008D6C1E" w:rsidRDefault="007665C6" w:rsidP="007665C6">
            <w:pPr>
              <w:jc w:val="both"/>
              <w:rPr>
                <w:sz w:val="20"/>
              </w:rPr>
            </w:pPr>
          </w:p>
        </w:tc>
      </w:tr>
      <w:tr w:rsidR="007665C6" w:rsidRPr="008D6C1E" w:rsidTr="002B5CF4">
        <w:tc>
          <w:tcPr>
            <w:tcW w:w="2427" w:type="pct"/>
            <w:gridSpan w:val="2"/>
          </w:tcPr>
          <w:p w:rsidR="007665C6" w:rsidRPr="008D6C1E" w:rsidRDefault="007665C6" w:rsidP="007665C6">
            <w:pPr>
              <w:jc w:val="both"/>
              <w:rPr>
                <w:sz w:val="20"/>
              </w:rPr>
            </w:pPr>
            <w:r w:rsidRPr="008D6C1E">
              <w:rPr>
                <w:sz w:val="20"/>
              </w:rPr>
              <w:t>December 10, 2015</w:t>
            </w:r>
          </w:p>
          <w:p w:rsidR="007665C6" w:rsidRPr="008D6C1E" w:rsidRDefault="007665C6" w:rsidP="002B5CF4">
            <w:pPr>
              <w:jc w:val="both"/>
              <w:rPr>
                <w:sz w:val="20"/>
              </w:rPr>
            </w:pPr>
            <w:r w:rsidRPr="008D6C1E">
              <w:rPr>
                <w:sz w:val="20"/>
              </w:rPr>
              <w:t>Supreme Court of Canada</w:t>
            </w:r>
          </w:p>
        </w:tc>
        <w:tc>
          <w:tcPr>
            <w:tcW w:w="243" w:type="pct"/>
          </w:tcPr>
          <w:p w:rsidR="007665C6" w:rsidRPr="008D6C1E" w:rsidRDefault="007665C6" w:rsidP="007665C6">
            <w:pPr>
              <w:jc w:val="both"/>
              <w:rPr>
                <w:sz w:val="20"/>
              </w:rPr>
            </w:pPr>
          </w:p>
        </w:tc>
        <w:tc>
          <w:tcPr>
            <w:tcW w:w="2330" w:type="pct"/>
          </w:tcPr>
          <w:p w:rsidR="007665C6" w:rsidRPr="008D6C1E" w:rsidRDefault="007665C6" w:rsidP="007665C6">
            <w:pPr>
              <w:jc w:val="both"/>
              <w:rPr>
                <w:sz w:val="20"/>
              </w:rPr>
            </w:pPr>
            <w:r w:rsidRPr="008D6C1E">
              <w:rPr>
                <w:sz w:val="20"/>
              </w:rPr>
              <w:t>Application for leave to appeal filed.</w:t>
            </w:r>
          </w:p>
          <w:p w:rsidR="007665C6" w:rsidRPr="008D6C1E" w:rsidRDefault="007665C6" w:rsidP="007665C6">
            <w:pPr>
              <w:jc w:val="both"/>
              <w:rPr>
                <w:sz w:val="20"/>
              </w:rPr>
            </w:pPr>
          </w:p>
        </w:tc>
      </w:tr>
    </w:tbl>
    <w:p w:rsidR="007665C6" w:rsidRPr="008D6C1E" w:rsidRDefault="007665C6" w:rsidP="007665C6">
      <w:pPr>
        <w:jc w:val="both"/>
        <w:rPr>
          <w:sz w:val="20"/>
        </w:rPr>
      </w:pPr>
    </w:p>
    <w:p w:rsidR="002B5CF4" w:rsidRPr="008D6C1E" w:rsidRDefault="002B5CF4" w:rsidP="007665C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65C6" w:rsidRPr="008D6C1E" w:rsidTr="002B5CF4">
        <w:tc>
          <w:tcPr>
            <w:tcW w:w="543" w:type="pct"/>
          </w:tcPr>
          <w:p w:rsidR="007665C6" w:rsidRPr="008D6C1E" w:rsidRDefault="007665C6" w:rsidP="007665C6">
            <w:pPr>
              <w:jc w:val="both"/>
              <w:rPr>
                <w:sz w:val="20"/>
                <w:lang w:val="fr-CA"/>
              </w:rPr>
            </w:pPr>
            <w:r w:rsidRPr="008D6C1E">
              <w:rPr>
                <w:rStyle w:val="SCCFileNumberChar"/>
                <w:sz w:val="20"/>
                <w:szCs w:val="20"/>
                <w:lang w:val="fr-CA"/>
              </w:rPr>
              <w:t>36760</w:t>
            </w:r>
          </w:p>
        </w:tc>
        <w:tc>
          <w:tcPr>
            <w:tcW w:w="4457" w:type="pct"/>
            <w:gridSpan w:val="3"/>
          </w:tcPr>
          <w:p w:rsidR="007665C6" w:rsidRPr="008D6C1E" w:rsidRDefault="007665C6" w:rsidP="007665C6">
            <w:pPr>
              <w:pStyle w:val="SCCLsocParty"/>
              <w:jc w:val="both"/>
              <w:rPr>
                <w:b/>
                <w:sz w:val="20"/>
                <w:szCs w:val="20"/>
              </w:rPr>
            </w:pPr>
            <w:r w:rsidRPr="008D6C1E">
              <w:rPr>
                <w:b/>
                <w:sz w:val="20"/>
                <w:szCs w:val="20"/>
              </w:rPr>
              <w:t>Allstate du Canada, Compagnie d’Assurance c. Edna Klimitz et Commission des services financiers de l’Ontario</w:t>
            </w:r>
          </w:p>
          <w:p w:rsidR="007665C6" w:rsidRPr="008D6C1E" w:rsidRDefault="007665C6" w:rsidP="007665C6">
            <w:pPr>
              <w:jc w:val="both"/>
              <w:rPr>
                <w:sz w:val="20"/>
                <w:lang w:val="fr-CA"/>
              </w:rPr>
            </w:pPr>
            <w:r w:rsidRPr="008D6C1E">
              <w:rPr>
                <w:sz w:val="20"/>
                <w:lang w:val="fr-CA"/>
              </w:rPr>
              <w:t>(Ont.) (Civile) (Sur autorisation)</w:t>
            </w:r>
          </w:p>
        </w:tc>
      </w:tr>
      <w:tr w:rsidR="007665C6" w:rsidRPr="008D6C1E" w:rsidTr="00435C46">
        <w:trPr>
          <w:trHeight w:val="8388"/>
        </w:trPr>
        <w:tc>
          <w:tcPr>
            <w:tcW w:w="5000" w:type="pct"/>
            <w:gridSpan w:val="4"/>
          </w:tcPr>
          <w:p w:rsidR="007665C6" w:rsidRPr="008D6C1E" w:rsidRDefault="007665C6" w:rsidP="007665C6">
            <w:pPr>
              <w:jc w:val="both"/>
              <w:rPr>
                <w:sz w:val="20"/>
                <w:lang w:val="fr-CA" w:eastAsia="en-CA"/>
              </w:rPr>
            </w:pPr>
            <w:r w:rsidRPr="008D6C1E">
              <w:rPr>
                <w:sz w:val="20"/>
                <w:lang w:val="fr-CA" w:eastAsia="en-CA"/>
              </w:rPr>
              <w:t xml:space="preserve">Droit administratif ― Contrôle judiciaire ― Norme de contrôle ― Assurance ― Délais de prescription ― Interprétation des lois ― L’assurée a été frappée par un véhicule automobile et, dans une lettre datée du 31 mai 2004, la compagnie d’assurance a refusé de lui payer une indemnité de personne sans revenu d’emploi ― Le 18 juillet 2006, la compagnie d’assurance a fourni le rapport médical mentionné dans l’avis de refus ― L’assurée a déposé une demande de médiation deux jours après avoir reçu les rapports médicaux de la compagnie d’assurance ― L’arbitre a conclu que l’affaire ne pouvait pas aller en arbitrage, puisque la demande avait été déposée après l’expiration du délai de prescription de deux ans ― Le bureau du directeur a permis à l’arbitrage d’aller de l’avant ― La Cour divisionnaire a rejeté la demande de contrôle judiciaire présentée par la compagnie d’assurance ― La Cour d’appel a rejeté l’appel ― Un avis de refus clair et sans équivoque de verser une indemnité d’assurance marque-t-il le point de départ d’un délai de prescription de deux ans pour introduire une instance civile? ― Lorsqu’un arbitre applique un délai de prescription en se fondant sur les bons principes juridiques, est-il raisonnable qu’un agent des appels de ce même tribunal annule la décision? ― </w:t>
            </w:r>
            <w:r w:rsidRPr="008D6C1E">
              <w:rPr>
                <w:i/>
                <w:sz w:val="20"/>
                <w:lang w:val="fr-CA" w:eastAsia="en-CA"/>
              </w:rPr>
              <w:t>Loi sur les assurances</w:t>
            </w:r>
            <w:r w:rsidRPr="008D6C1E">
              <w:rPr>
                <w:sz w:val="20"/>
                <w:lang w:val="fr-CA" w:eastAsia="en-CA"/>
              </w:rPr>
              <w:t>, L.R.O. 1990, ch. I.8, par. 281.1(1) ―</w:t>
            </w:r>
            <w:r w:rsidRPr="008D6C1E">
              <w:rPr>
                <w:b/>
                <w:sz w:val="20"/>
                <w:lang w:val="fr-CA" w:eastAsia="en-CA"/>
              </w:rPr>
              <w:t xml:space="preserve"> </w:t>
            </w:r>
            <w:hyperlink r:id="rId119" w:history="1">
              <w:r w:rsidRPr="008D6C1E">
                <w:rPr>
                  <w:i/>
                  <w:iCs/>
                  <w:sz w:val="20"/>
                  <w:lang w:val="fr-CA" w:eastAsia="en-CA"/>
                </w:rPr>
                <w:t>Annexe sur les indemnités d’accident légales - accidents survenus le 1</w:t>
              </w:r>
              <w:r w:rsidRPr="008D6C1E">
                <w:rPr>
                  <w:i/>
                  <w:iCs/>
                  <w:sz w:val="20"/>
                  <w:vertAlign w:val="superscript"/>
                  <w:lang w:val="fr-CA" w:eastAsia="en-CA"/>
                </w:rPr>
                <w:t>er</w:t>
              </w:r>
              <w:r w:rsidRPr="008D6C1E">
                <w:rPr>
                  <w:i/>
                  <w:iCs/>
                  <w:sz w:val="20"/>
                  <w:lang w:val="fr-CA" w:eastAsia="en-CA"/>
                </w:rPr>
                <w:t> novembre 1996 ou après ce jour</w:t>
              </w:r>
              <w:r w:rsidRPr="008D6C1E">
                <w:rPr>
                  <w:sz w:val="20"/>
                  <w:lang w:val="fr-CA" w:eastAsia="en-CA"/>
                </w:rPr>
                <w:t>, Règl. de l’Ont. 403/96</w:t>
              </w:r>
            </w:hyperlink>
            <w:r w:rsidRPr="008D6C1E">
              <w:rPr>
                <w:sz w:val="20"/>
                <w:lang w:val="fr-CA" w:eastAsia="en-CA"/>
              </w:rPr>
              <w:t>, art. 37.</w:t>
            </w:r>
          </w:p>
          <w:p w:rsidR="00CF7388" w:rsidRPr="008D6C1E" w:rsidRDefault="00CF7388" w:rsidP="007665C6">
            <w:pPr>
              <w:jc w:val="both"/>
              <w:rPr>
                <w:sz w:val="20"/>
                <w:lang w:val="fr-CA" w:eastAsia="en-CA"/>
              </w:rPr>
            </w:pPr>
          </w:p>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7665C6" w:rsidRPr="002C1A32" w:rsidTr="002B5CF4">
              <w:trPr>
                <w:trHeight w:val="288"/>
              </w:trPr>
              <w:tc>
                <w:tcPr>
                  <w:tcW w:w="3861" w:type="pct"/>
                  <w:tcBorders>
                    <w:top w:val="nil"/>
                    <w:left w:val="nil"/>
                    <w:bottom w:val="nil"/>
                    <w:right w:val="nil"/>
                  </w:tcBorders>
                  <w:tcMar>
                    <w:top w:w="120" w:type="dxa"/>
                    <w:left w:w="120" w:type="dxa"/>
                    <w:bottom w:w="58" w:type="dxa"/>
                    <w:right w:w="120" w:type="dxa"/>
                  </w:tcMar>
                </w:tcPr>
                <w:p w:rsidR="007665C6" w:rsidRPr="008D6C1E" w:rsidRDefault="007665C6" w:rsidP="00C84F7C">
                  <w:pPr>
                    <w:pStyle w:val="aparanumbering1"/>
                    <w:shd w:val="clear" w:color="auto" w:fill="FFFFFF"/>
                    <w:spacing w:before="0" w:after="0"/>
                    <w:ind w:left="-115"/>
                    <w:rPr>
                      <w:rFonts w:ascii="Times New Roman" w:hAnsi="Times New Roman" w:cs="Times New Roman"/>
                      <w:sz w:val="20"/>
                      <w:szCs w:val="20"/>
                      <w:lang w:val="fr-CA"/>
                    </w:rPr>
                  </w:pPr>
                  <w:r w:rsidRPr="008D6C1E">
                    <w:rPr>
                      <w:rFonts w:ascii="Times New Roman" w:hAnsi="Times New Roman" w:cs="Times New Roman"/>
                      <w:sz w:val="20"/>
                      <w:szCs w:val="20"/>
                      <w:lang w:val="fr-CA"/>
                    </w:rPr>
                    <w:t>L’intimée, Mme </w:t>
                  </w:r>
                  <w:proofErr w:type="spellStart"/>
                  <w:r w:rsidRPr="008D6C1E">
                    <w:rPr>
                      <w:rFonts w:ascii="Times New Roman" w:hAnsi="Times New Roman" w:cs="Times New Roman"/>
                      <w:sz w:val="20"/>
                      <w:szCs w:val="20"/>
                      <w:lang w:val="fr-CA"/>
                    </w:rPr>
                    <w:t>Klimitz</w:t>
                  </w:r>
                  <w:proofErr w:type="spellEnd"/>
                  <w:r w:rsidRPr="008D6C1E">
                    <w:rPr>
                      <w:rFonts w:ascii="Times New Roman" w:hAnsi="Times New Roman" w:cs="Times New Roman"/>
                      <w:sz w:val="20"/>
                      <w:szCs w:val="20"/>
                      <w:lang w:val="fr-CA"/>
                    </w:rPr>
                    <w:t>, a été frappée par un véhicule automobile et elle a demandé et obtenu certaines indemnités en application de l’</w:t>
                  </w:r>
                  <w:hyperlink r:id="rId120" w:history="1">
                    <w:r w:rsidRPr="008D6C1E">
                      <w:rPr>
                        <w:rFonts w:ascii="Times New Roman" w:hAnsi="Times New Roman" w:cs="Times New Roman"/>
                        <w:i/>
                        <w:iCs/>
                        <w:sz w:val="20"/>
                        <w:szCs w:val="20"/>
                        <w:lang w:val="fr-CA"/>
                      </w:rPr>
                      <w:t>Annexe sur les indemnités d’accident légales - accidents survenus le 1</w:t>
                    </w:r>
                    <w:r w:rsidRPr="008D6C1E">
                      <w:rPr>
                        <w:rFonts w:ascii="Times New Roman" w:hAnsi="Times New Roman" w:cs="Times New Roman"/>
                        <w:i/>
                        <w:iCs/>
                        <w:sz w:val="20"/>
                        <w:szCs w:val="20"/>
                        <w:vertAlign w:val="superscript"/>
                        <w:lang w:val="fr-CA"/>
                      </w:rPr>
                      <w:t>er</w:t>
                    </w:r>
                    <w:r w:rsidRPr="008D6C1E">
                      <w:rPr>
                        <w:rFonts w:ascii="Times New Roman" w:hAnsi="Times New Roman" w:cs="Times New Roman"/>
                        <w:i/>
                        <w:iCs/>
                        <w:sz w:val="20"/>
                        <w:szCs w:val="20"/>
                        <w:lang w:val="fr-CA"/>
                      </w:rPr>
                      <w:t> novembre 1996 ou après ce jour</w:t>
                    </w:r>
                    <w:r w:rsidRPr="008D6C1E">
                      <w:rPr>
                        <w:rFonts w:ascii="Times New Roman" w:hAnsi="Times New Roman" w:cs="Times New Roman"/>
                        <w:sz w:val="20"/>
                        <w:szCs w:val="20"/>
                        <w:lang w:val="fr-CA"/>
                      </w:rPr>
                      <w:t>, Règl. de l’Ont. 403/96</w:t>
                    </w:r>
                  </w:hyperlink>
                  <w:r w:rsidRPr="008D6C1E">
                    <w:rPr>
                      <w:rFonts w:ascii="Times New Roman" w:hAnsi="Times New Roman" w:cs="Times New Roman"/>
                      <w:sz w:val="20"/>
                      <w:szCs w:val="20"/>
                      <w:lang w:val="fr-CA"/>
                    </w:rPr>
                    <w:t xml:space="preserve"> (le « </w:t>
                  </w:r>
                  <w:hyperlink r:id="rId121" w:history="1">
                    <w:r w:rsidRPr="008D6C1E">
                      <w:rPr>
                        <w:rFonts w:ascii="Times New Roman" w:hAnsi="Times New Roman" w:cs="Times New Roman"/>
                        <w:sz w:val="20"/>
                        <w:szCs w:val="20"/>
                        <w:lang w:val="fr-CA"/>
                      </w:rPr>
                      <w:t>Règlement</w:t>
                    </w:r>
                  </w:hyperlink>
                  <w:r w:rsidRPr="008D6C1E">
                    <w:rPr>
                      <w:rFonts w:ascii="Times New Roman" w:hAnsi="Times New Roman" w:cs="Times New Roman"/>
                      <w:sz w:val="20"/>
                      <w:szCs w:val="20"/>
                      <w:lang w:val="fr-CA"/>
                    </w:rPr>
                    <w:t> »). Le 31 mai 2004, dans son Explication des indemnités payables par une compagnie d’assurance, la compagnie d’assurance a fourni à Mme </w:t>
                  </w:r>
                  <w:proofErr w:type="spellStart"/>
                  <w:r w:rsidRPr="008D6C1E">
                    <w:rPr>
                      <w:rFonts w:ascii="Times New Roman" w:hAnsi="Times New Roman" w:cs="Times New Roman"/>
                      <w:sz w:val="20"/>
                      <w:szCs w:val="20"/>
                      <w:lang w:val="fr-CA"/>
                    </w:rPr>
                    <w:t>Klimitz</w:t>
                  </w:r>
                  <w:proofErr w:type="spellEnd"/>
                  <w:r w:rsidRPr="008D6C1E">
                    <w:rPr>
                      <w:rFonts w:ascii="Times New Roman" w:hAnsi="Times New Roman" w:cs="Times New Roman"/>
                      <w:sz w:val="20"/>
                      <w:szCs w:val="20"/>
                      <w:lang w:val="fr-CA"/>
                    </w:rPr>
                    <w:t xml:space="preserve"> les motifs du refus de sa demande</w:t>
                  </w:r>
                  <w:r w:rsidRPr="008D6C1E">
                    <w:rPr>
                      <w:rFonts w:ascii="Times New Roman" w:hAnsi="Times New Roman" w:cs="Times New Roman"/>
                      <w:sz w:val="20"/>
                      <w:szCs w:val="20"/>
                      <w:lang w:val="fr-CA" w:eastAsia="en-CA"/>
                    </w:rPr>
                    <w:t xml:space="preserve"> d’</w:t>
                  </w:r>
                  <w:r w:rsidRPr="008D6C1E">
                    <w:rPr>
                      <w:rFonts w:ascii="Times New Roman" w:hAnsi="Times New Roman" w:cs="Times New Roman"/>
                      <w:sz w:val="20"/>
                      <w:szCs w:val="20"/>
                      <w:lang w:val="fr-CA"/>
                    </w:rPr>
                    <w:t>indemnité de personne sans revenu d’emploi en application du règlement. Dans ses motifs, la compagnie d’assurance s’est appuyée sur les évaluations de Mme </w:t>
                  </w:r>
                  <w:proofErr w:type="spellStart"/>
                  <w:r w:rsidRPr="008D6C1E">
                    <w:rPr>
                      <w:rFonts w:ascii="Times New Roman" w:hAnsi="Times New Roman" w:cs="Times New Roman"/>
                      <w:sz w:val="20"/>
                      <w:szCs w:val="20"/>
                      <w:lang w:val="fr-CA"/>
                    </w:rPr>
                    <w:t>Klimitz</w:t>
                  </w:r>
                  <w:proofErr w:type="spellEnd"/>
                  <w:r w:rsidRPr="008D6C1E">
                    <w:rPr>
                      <w:rFonts w:ascii="Times New Roman" w:hAnsi="Times New Roman" w:cs="Times New Roman"/>
                      <w:sz w:val="20"/>
                      <w:szCs w:val="20"/>
                      <w:lang w:val="fr-CA"/>
                    </w:rPr>
                    <w:t xml:space="preserve"> faites par deux médecins, notamment le docteur Garry Moddel.  </w:t>
                  </w:r>
                </w:p>
                <w:p w:rsidR="007665C6" w:rsidRPr="008D6C1E" w:rsidRDefault="007665C6" w:rsidP="00C84F7C">
                  <w:pPr>
                    <w:pStyle w:val="aparanumbering1"/>
                    <w:shd w:val="clear" w:color="auto" w:fill="FFFFFF"/>
                    <w:spacing w:before="0" w:after="0"/>
                    <w:ind w:left="-115"/>
                    <w:rPr>
                      <w:rFonts w:ascii="Times New Roman" w:hAnsi="Times New Roman" w:cs="Times New Roman"/>
                      <w:sz w:val="20"/>
                      <w:szCs w:val="20"/>
                      <w:lang w:val="fr-CA"/>
                    </w:rPr>
                  </w:pPr>
                  <w:r w:rsidRPr="008D6C1E">
                    <w:rPr>
                      <w:rFonts w:ascii="Times New Roman" w:hAnsi="Times New Roman" w:cs="Times New Roman"/>
                      <w:sz w:val="20"/>
                      <w:szCs w:val="20"/>
                      <w:lang w:val="fr-CA"/>
                    </w:rPr>
                    <w:t>Deux ans plus tard, soit le 18 juillet 2006, la compagnie d’assurance a fourni à Mme </w:t>
                  </w:r>
                  <w:proofErr w:type="spellStart"/>
                  <w:r w:rsidRPr="008D6C1E">
                    <w:rPr>
                      <w:rFonts w:ascii="Times New Roman" w:hAnsi="Times New Roman" w:cs="Times New Roman"/>
                      <w:sz w:val="20"/>
                      <w:szCs w:val="20"/>
                      <w:lang w:val="fr-CA"/>
                    </w:rPr>
                    <w:t>Klimitz</w:t>
                  </w:r>
                  <w:proofErr w:type="spellEnd"/>
                  <w:r w:rsidRPr="008D6C1E">
                    <w:rPr>
                      <w:rFonts w:ascii="Times New Roman" w:hAnsi="Times New Roman" w:cs="Times New Roman"/>
                      <w:sz w:val="20"/>
                      <w:szCs w:val="20"/>
                      <w:lang w:val="fr-CA"/>
                    </w:rPr>
                    <w:t xml:space="preserve"> des copies de ce rapport (accompagnées d’un deuxième rapport que la compagnie avait reçu en juin 2004). Deux jours après avoir reçu les rapports, Mme </w:t>
                  </w:r>
                  <w:proofErr w:type="spellStart"/>
                  <w:r w:rsidRPr="008D6C1E">
                    <w:rPr>
                      <w:rFonts w:ascii="Times New Roman" w:hAnsi="Times New Roman" w:cs="Times New Roman"/>
                      <w:sz w:val="20"/>
                      <w:szCs w:val="20"/>
                      <w:lang w:val="fr-CA"/>
                    </w:rPr>
                    <w:t>Klimitz</w:t>
                  </w:r>
                  <w:proofErr w:type="spellEnd"/>
                  <w:r w:rsidRPr="008D6C1E">
                    <w:rPr>
                      <w:rFonts w:ascii="Times New Roman" w:hAnsi="Times New Roman" w:cs="Times New Roman"/>
                      <w:sz w:val="20"/>
                      <w:szCs w:val="20"/>
                      <w:lang w:val="fr-CA"/>
                    </w:rPr>
                    <w:t xml:space="preserve"> a présenté une demande de médiation à la Commission des ser</w:t>
                  </w:r>
                  <w:r w:rsidR="00C84F7C" w:rsidRPr="008D6C1E">
                    <w:rPr>
                      <w:rFonts w:ascii="Times New Roman" w:hAnsi="Times New Roman" w:cs="Times New Roman"/>
                      <w:sz w:val="20"/>
                      <w:szCs w:val="20"/>
                      <w:lang w:val="fr-CA"/>
                    </w:rPr>
                    <w:t>vices financiers de l’Ontario.</w:t>
                  </w:r>
                </w:p>
                <w:p w:rsidR="00C84F7C" w:rsidRPr="008D6C1E" w:rsidRDefault="00C84F7C" w:rsidP="00C84F7C">
                  <w:pPr>
                    <w:pStyle w:val="aparanumbering1"/>
                    <w:shd w:val="clear" w:color="auto" w:fill="FFFFFF"/>
                    <w:spacing w:before="0" w:after="0"/>
                    <w:ind w:left="-115"/>
                    <w:rPr>
                      <w:rFonts w:ascii="Times New Roman" w:hAnsi="Times New Roman" w:cs="Times New Roman"/>
                      <w:sz w:val="20"/>
                      <w:szCs w:val="20"/>
                      <w:lang w:val="fr-CA"/>
                    </w:rPr>
                  </w:pPr>
                </w:p>
              </w:tc>
            </w:tr>
            <w:tr w:rsidR="007665C6" w:rsidRPr="008D6C1E" w:rsidTr="002B5CF4">
              <w:trPr>
                <w:trHeight w:val="288"/>
              </w:trPr>
              <w:tc>
                <w:tcPr>
                  <w:tcW w:w="3861" w:type="pct"/>
                  <w:tcBorders>
                    <w:top w:val="nil"/>
                    <w:left w:val="nil"/>
                    <w:bottom w:val="nil"/>
                    <w:right w:val="nil"/>
                  </w:tcBorders>
                  <w:tcMar>
                    <w:top w:w="120" w:type="dxa"/>
                    <w:left w:w="120" w:type="dxa"/>
                    <w:bottom w:w="58" w:type="dxa"/>
                    <w:right w:w="120" w:type="dxa"/>
                  </w:tcMar>
                </w:tcPr>
                <w:p w:rsidR="007665C6" w:rsidRPr="008D6C1E" w:rsidRDefault="007665C6" w:rsidP="002B5CF4">
                  <w:pPr>
                    <w:pStyle w:val="aparanumbering1"/>
                    <w:shd w:val="clear" w:color="auto" w:fill="FFFFFF"/>
                    <w:spacing w:before="0" w:after="0"/>
                    <w:ind w:left="-115"/>
                    <w:rPr>
                      <w:rFonts w:ascii="Times New Roman" w:hAnsi="Times New Roman" w:cs="Times New Roman"/>
                      <w:sz w:val="20"/>
                      <w:szCs w:val="20"/>
                      <w:lang w:val="fr-CA"/>
                    </w:rPr>
                  </w:pPr>
                  <w:r w:rsidRPr="008D6C1E">
                    <w:rPr>
                      <w:rFonts w:ascii="Times New Roman" w:hAnsi="Times New Roman" w:cs="Times New Roman"/>
                      <w:sz w:val="20"/>
                      <w:szCs w:val="20"/>
                      <w:lang w:val="fr-CA"/>
                    </w:rPr>
                    <w:t>L’arbitre a conclu que Mme </w:t>
                  </w:r>
                  <w:proofErr w:type="spellStart"/>
                  <w:r w:rsidRPr="008D6C1E">
                    <w:rPr>
                      <w:rFonts w:ascii="Times New Roman" w:hAnsi="Times New Roman" w:cs="Times New Roman"/>
                      <w:sz w:val="20"/>
                      <w:szCs w:val="20"/>
                      <w:lang w:val="fr-CA"/>
                    </w:rPr>
                    <w:t>Klimitz</w:t>
                  </w:r>
                  <w:proofErr w:type="spellEnd"/>
                  <w:r w:rsidRPr="008D6C1E">
                    <w:rPr>
                      <w:rFonts w:ascii="Times New Roman" w:hAnsi="Times New Roman" w:cs="Times New Roman"/>
                      <w:sz w:val="20"/>
                      <w:szCs w:val="20"/>
                      <w:lang w:val="fr-CA"/>
                    </w:rPr>
                    <w:t xml:space="preserve"> ne pouvait pas aller en arbitrage parce qu’elle avait déposé sa demande de médiation plus de deux ans après que la compagnie d’assurances eut refusé de lui payer une indemnité de personnes sans revenu d’emploi, contrairement aux exigences du </w:t>
                  </w:r>
                  <w:hyperlink r:id="rId122" w:anchor="sec281.1subsec1_smooth" w:history="1">
                    <w:r w:rsidRPr="008D6C1E">
                      <w:rPr>
                        <w:rFonts w:ascii="Times New Roman" w:hAnsi="Times New Roman" w:cs="Times New Roman"/>
                        <w:sz w:val="20"/>
                        <w:szCs w:val="20"/>
                        <w:lang w:val="fr-CA"/>
                      </w:rPr>
                      <w:t>par. 281.1(1)</w:t>
                    </w:r>
                  </w:hyperlink>
                  <w:r w:rsidRPr="008D6C1E">
                    <w:rPr>
                      <w:rFonts w:ascii="Times New Roman" w:hAnsi="Times New Roman" w:cs="Times New Roman"/>
                      <w:sz w:val="20"/>
                      <w:szCs w:val="20"/>
                      <w:lang w:val="fr-CA"/>
                    </w:rPr>
                    <w:t xml:space="preserve"> de la </w:t>
                  </w:r>
                  <w:hyperlink r:id="rId123" w:history="1">
                    <w:r w:rsidRPr="008D6C1E">
                      <w:rPr>
                        <w:rFonts w:ascii="Times New Roman" w:hAnsi="Times New Roman" w:cs="Times New Roman"/>
                        <w:i/>
                        <w:iCs/>
                        <w:sz w:val="20"/>
                        <w:szCs w:val="20"/>
                        <w:lang w:val="fr-CA"/>
                      </w:rPr>
                      <w:t>Loi sur les assurances</w:t>
                    </w:r>
                    <w:r w:rsidRPr="008D6C1E">
                      <w:rPr>
                        <w:rFonts w:ascii="Times New Roman" w:hAnsi="Times New Roman" w:cs="Times New Roman"/>
                        <w:sz w:val="20"/>
                        <w:szCs w:val="20"/>
                        <w:lang w:val="fr-CA"/>
                      </w:rPr>
                      <w:t>, L.R.O. 1990, ch. I.8</w:t>
                    </w:r>
                  </w:hyperlink>
                  <w:r w:rsidR="00435C46" w:rsidRPr="008D6C1E">
                    <w:rPr>
                      <w:rFonts w:ascii="Times New Roman" w:hAnsi="Times New Roman" w:cs="Times New Roman"/>
                      <w:sz w:val="20"/>
                      <w:szCs w:val="20"/>
                      <w:lang w:val="fr-CA"/>
                    </w:rPr>
                    <w:t>.</w:t>
                  </w:r>
                </w:p>
                <w:p w:rsidR="00435C46" w:rsidRPr="008D6C1E" w:rsidRDefault="00435C46" w:rsidP="002B5CF4">
                  <w:pPr>
                    <w:pStyle w:val="aparanumbering1"/>
                    <w:shd w:val="clear" w:color="auto" w:fill="FFFFFF"/>
                    <w:spacing w:before="0" w:after="0"/>
                    <w:ind w:left="-115"/>
                    <w:rPr>
                      <w:rFonts w:ascii="Times New Roman" w:hAnsi="Times New Roman" w:cs="Times New Roman"/>
                      <w:sz w:val="20"/>
                      <w:szCs w:val="20"/>
                      <w:lang w:val="fr-CA"/>
                    </w:rPr>
                  </w:pPr>
                </w:p>
                <w:p w:rsidR="007665C6" w:rsidRPr="008D6C1E" w:rsidRDefault="007665C6" w:rsidP="007665C6">
                  <w:pPr>
                    <w:ind w:left="-120"/>
                    <w:jc w:val="both"/>
                    <w:rPr>
                      <w:sz w:val="20"/>
                      <w:lang w:val="fr-CA"/>
                    </w:rPr>
                  </w:pPr>
                  <w:r w:rsidRPr="008D6C1E">
                    <w:rPr>
                      <w:sz w:val="20"/>
                      <w:lang w:val="fr-CA"/>
                    </w:rPr>
                    <w:t>Le délégué du directeur a accueilli l’appel de l’ordonnance de l’arbitre et a statué que l’affaire pouvait aller en arbitrage. La Cour divisionnaire a rejeté la demande de contrôle judiciaire présentée par la compagnie d’assurance. La Cour d’appel a rejeté l’appel.</w:t>
                  </w:r>
                </w:p>
              </w:tc>
            </w:tr>
          </w:tbl>
          <w:p w:rsidR="007665C6" w:rsidRPr="008D6C1E" w:rsidRDefault="007665C6" w:rsidP="007665C6">
            <w:pPr>
              <w:jc w:val="both"/>
              <w:rPr>
                <w:sz w:val="20"/>
                <w:lang w:val="fr-CA"/>
              </w:rPr>
            </w:pPr>
          </w:p>
        </w:tc>
      </w:tr>
      <w:tr w:rsidR="007665C6" w:rsidRPr="002C1A32" w:rsidTr="002B5CF4">
        <w:tc>
          <w:tcPr>
            <w:tcW w:w="2427" w:type="pct"/>
            <w:gridSpan w:val="2"/>
          </w:tcPr>
          <w:p w:rsidR="007665C6" w:rsidRPr="008D6C1E" w:rsidRDefault="007665C6" w:rsidP="007665C6">
            <w:pPr>
              <w:jc w:val="both"/>
              <w:rPr>
                <w:sz w:val="20"/>
                <w:lang w:val="fr-CA"/>
              </w:rPr>
            </w:pPr>
            <w:r w:rsidRPr="008D6C1E">
              <w:rPr>
                <w:sz w:val="20"/>
                <w:lang w:val="fr-CA"/>
              </w:rPr>
              <w:t>13 avril 2012</w:t>
            </w:r>
          </w:p>
          <w:p w:rsidR="007665C6" w:rsidRPr="008D6C1E" w:rsidRDefault="007665C6" w:rsidP="007665C6">
            <w:pPr>
              <w:jc w:val="both"/>
              <w:rPr>
                <w:sz w:val="20"/>
                <w:lang w:val="fr-CA"/>
              </w:rPr>
            </w:pPr>
            <w:r w:rsidRPr="008D6C1E">
              <w:rPr>
                <w:sz w:val="20"/>
                <w:lang w:val="fr-CA"/>
              </w:rPr>
              <w:t xml:space="preserve">Commission des services financiers de l’Ontario </w:t>
            </w:r>
          </w:p>
          <w:p w:rsidR="007665C6" w:rsidRPr="008D6C1E" w:rsidRDefault="007665C6" w:rsidP="007665C6">
            <w:pPr>
              <w:jc w:val="both"/>
              <w:rPr>
                <w:sz w:val="20"/>
                <w:lang w:val="fr-CA"/>
              </w:rPr>
            </w:pPr>
            <w:r w:rsidRPr="008D6C1E">
              <w:rPr>
                <w:sz w:val="20"/>
                <w:lang w:val="fr-CA"/>
              </w:rPr>
              <w:t>M</w:t>
            </w:r>
            <w:r w:rsidRPr="008D6C1E">
              <w:rPr>
                <w:sz w:val="20"/>
                <w:vertAlign w:val="superscript"/>
                <w:lang w:val="fr-CA"/>
              </w:rPr>
              <w:t>e</w:t>
            </w:r>
            <w:r w:rsidRPr="008D6C1E">
              <w:rPr>
                <w:sz w:val="20"/>
                <w:lang w:val="fr-CA"/>
              </w:rPr>
              <w:t> Sapin (arbitre)</w:t>
            </w:r>
          </w:p>
          <w:p w:rsidR="007665C6" w:rsidRPr="008D6C1E" w:rsidRDefault="007665C6" w:rsidP="007665C6">
            <w:pPr>
              <w:jc w:val="both"/>
              <w:rPr>
                <w:sz w:val="20"/>
                <w:lang w:val="fr-CA"/>
              </w:rPr>
            </w:pPr>
          </w:p>
        </w:tc>
        <w:tc>
          <w:tcPr>
            <w:tcW w:w="243" w:type="pct"/>
          </w:tcPr>
          <w:p w:rsidR="007665C6" w:rsidRPr="008D6C1E" w:rsidRDefault="007665C6" w:rsidP="007665C6">
            <w:pPr>
              <w:jc w:val="both"/>
              <w:rPr>
                <w:sz w:val="20"/>
                <w:lang w:val="fr-CA"/>
              </w:rPr>
            </w:pPr>
          </w:p>
        </w:tc>
        <w:tc>
          <w:tcPr>
            <w:tcW w:w="2330" w:type="pct"/>
          </w:tcPr>
          <w:p w:rsidR="007665C6" w:rsidRPr="008D6C1E" w:rsidRDefault="007665C6" w:rsidP="007665C6">
            <w:pPr>
              <w:jc w:val="both"/>
              <w:rPr>
                <w:sz w:val="20"/>
                <w:lang w:val="fr-CA"/>
              </w:rPr>
            </w:pPr>
            <w:r w:rsidRPr="008D6C1E">
              <w:rPr>
                <w:sz w:val="20"/>
                <w:lang w:val="fr-CA"/>
              </w:rPr>
              <w:t>Décision portant que Mme </w:t>
            </w:r>
            <w:proofErr w:type="spellStart"/>
            <w:r w:rsidRPr="008D6C1E">
              <w:rPr>
                <w:sz w:val="20"/>
                <w:lang w:val="fr-CA"/>
              </w:rPr>
              <w:t>Klimitz</w:t>
            </w:r>
            <w:proofErr w:type="spellEnd"/>
            <w:r w:rsidRPr="008D6C1E">
              <w:rPr>
                <w:sz w:val="20"/>
                <w:lang w:val="fr-CA"/>
              </w:rPr>
              <w:t xml:space="preserve"> ne peut pas aller en arbitrage.</w:t>
            </w:r>
          </w:p>
        </w:tc>
      </w:tr>
      <w:tr w:rsidR="007665C6" w:rsidRPr="002C1A32" w:rsidTr="002B5CF4">
        <w:tc>
          <w:tcPr>
            <w:tcW w:w="2427" w:type="pct"/>
            <w:gridSpan w:val="2"/>
          </w:tcPr>
          <w:p w:rsidR="007665C6" w:rsidRPr="008D6C1E" w:rsidRDefault="007665C6" w:rsidP="007665C6">
            <w:pPr>
              <w:jc w:val="both"/>
              <w:rPr>
                <w:sz w:val="20"/>
                <w:lang w:val="fr-CA"/>
              </w:rPr>
            </w:pPr>
            <w:r w:rsidRPr="008D6C1E">
              <w:rPr>
                <w:sz w:val="20"/>
                <w:lang w:val="fr-CA"/>
              </w:rPr>
              <w:t>21 mars 2013</w:t>
            </w:r>
          </w:p>
          <w:p w:rsidR="007665C6" w:rsidRPr="008D6C1E" w:rsidRDefault="007665C6" w:rsidP="007665C6">
            <w:pPr>
              <w:jc w:val="both"/>
              <w:rPr>
                <w:sz w:val="20"/>
                <w:lang w:val="fr-CA"/>
              </w:rPr>
            </w:pPr>
            <w:r w:rsidRPr="008D6C1E">
              <w:rPr>
                <w:sz w:val="20"/>
                <w:lang w:val="fr-CA"/>
              </w:rPr>
              <w:t xml:space="preserve">Bureau du directeur des arbitrages </w:t>
            </w:r>
          </w:p>
          <w:p w:rsidR="007665C6" w:rsidRPr="008D6C1E" w:rsidRDefault="007665C6" w:rsidP="007665C6">
            <w:pPr>
              <w:jc w:val="both"/>
              <w:rPr>
                <w:sz w:val="20"/>
                <w:lang w:val="fr-CA"/>
              </w:rPr>
            </w:pPr>
            <w:r w:rsidRPr="008D6C1E">
              <w:rPr>
                <w:sz w:val="20"/>
                <w:lang w:val="fr-CA"/>
              </w:rPr>
              <w:t>M</w:t>
            </w:r>
            <w:r w:rsidRPr="008D6C1E">
              <w:rPr>
                <w:sz w:val="20"/>
                <w:vertAlign w:val="superscript"/>
                <w:lang w:val="fr-CA"/>
              </w:rPr>
              <w:t>e</w:t>
            </w:r>
            <w:r w:rsidRPr="008D6C1E">
              <w:rPr>
                <w:sz w:val="20"/>
                <w:lang w:val="fr-CA"/>
              </w:rPr>
              <w:t> </w:t>
            </w:r>
            <w:proofErr w:type="spellStart"/>
            <w:r w:rsidRPr="008D6C1E">
              <w:rPr>
                <w:sz w:val="20"/>
                <w:lang w:val="fr-CA"/>
              </w:rPr>
              <w:t>Blackman</w:t>
            </w:r>
            <w:proofErr w:type="spellEnd"/>
            <w:r w:rsidRPr="008D6C1E">
              <w:rPr>
                <w:sz w:val="20"/>
                <w:lang w:val="fr-CA"/>
              </w:rPr>
              <w:t xml:space="preserve"> (délégué)</w:t>
            </w:r>
          </w:p>
          <w:p w:rsidR="007665C6" w:rsidRPr="008D6C1E" w:rsidRDefault="007665C6" w:rsidP="007665C6">
            <w:pPr>
              <w:jc w:val="both"/>
              <w:rPr>
                <w:sz w:val="20"/>
                <w:lang w:val="fr-CA"/>
              </w:rPr>
            </w:pPr>
          </w:p>
        </w:tc>
        <w:tc>
          <w:tcPr>
            <w:tcW w:w="243" w:type="pct"/>
          </w:tcPr>
          <w:p w:rsidR="007665C6" w:rsidRPr="008D6C1E" w:rsidRDefault="007665C6" w:rsidP="007665C6">
            <w:pPr>
              <w:jc w:val="both"/>
              <w:rPr>
                <w:sz w:val="20"/>
                <w:lang w:val="fr-CA"/>
              </w:rPr>
            </w:pPr>
          </w:p>
        </w:tc>
        <w:tc>
          <w:tcPr>
            <w:tcW w:w="2330" w:type="pct"/>
          </w:tcPr>
          <w:p w:rsidR="007665C6" w:rsidRPr="008D6C1E" w:rsidRDefault="007665C6" w:rsidP="007665C6">
            <w:pPr>
              <w:jc w:val="both"/>
              <w:rPr>
                <w:sz w:val="20"/>
                <w:lang w:val="fr-CA"/>
              </w:rPr>
            </w:pPr>
            <w:r w:rsidRPr="008D6C1E">
              <w:rPr>
                <w:sz w:val="20"/>
                <w:lang w:val="fr-CA"/>
              </w:rPr>
              <w:t>Décision accueillant l’appel, annulant la décision de l’arbitre et y substituant une nouvelle ordonnance portant que Mme </w:t>
            </w:r>
            <w:proofErr w:type="spellStart"/>
            <w:r w:rsidRPr="008D6C1E">
              <w:rPr>
                <w:sz w:val="20"/>
                <w:lang w:val="fr-CA"/>
              </w:rPr>
              <w:t>Klimitz</w:t>
            </w:r>
            <w:proofErr w:type="spellEnd"/>
            <w:r w:rsidRPr="008D6C1E">
              <w:rPr>
                <w:sz w:val="20"/>
                <w:lang w:val="fr-CA"/>
              </w:rPr>
              <w:t xml:space="preserve"> peut aller en arbitrage.</w:t>
            </w:r>
          </w:p>
          <w:p w:rsidR="007665C6" w:rsidRPr="008D6C1E" w:rsidRDefault="007665C6" w:rsidP="007665C6">
            <w:pPr>
              <w:jc w:val="both"/>
              <w:rPr>
                <w:sz w:val="20"/>
                <w:lang w:val="fr-CA"/>
              </w:rPr>
            </w:pPr>
          </w:p>
        </w:tc>
      </w:tr>
      <w:tr w:rsidR="007665C6" w:rsidRPr="002C1A32" w:rsidTr="002B5CF4">
        <w:tc>
          <w:tcPr>
            <w:tcW w:w="2427" w:type="pct"/>
            <w:gridSpan w:val="2"/>
          </w:tcPr>
          <w:p w:rsidR="007665C6" w:rsidRPr="008D6C1E" w:rsidRDefault="007665C6" w:rsidP="007665C6">
            <w:pPr>
              <w:jc w:val="both"/>
              <w:rPr>
                <w:sz w:val="20"/>
                <w:lang w:val="fr-CA"/>
              </w:rPr>
            </w:pPr>
            <w:r w:rsidRPr="008D6C1E">
              <w:rPr>
                <w:sz w:val="20"/>
                <w:lang w:val="fr-CA"/>
              </w:rPr>
              <w:t>12 décembre 2014</w:t>
            </w:r>
          </w:p>
          <w:p w:rsidR="007665C6" w:rsidRPr="008D6C1E" w:rsidRDefault="007665C6" w:rsidP="007665C6">
            <w:pPr>
              <w:jc w:val="both"/>
              <w:rPr>
                <w:sz w:val="20"/>
                <w:lang w:val="fr-CA"/>
              </w:rPr>
            </w:pPr>
            <w:r w:rsidRPr="008D6C1E">
              <w:rPr>
                <w:sz w:val="20"/>
                <w:lang w:val="fr-CA"/>
              </w:rPr>
              <w:t xml:space="preserve">Cour supérieure de justice de l’Ontario </w:t>
            </w:r>
          </w:p>
          <w:p w:rsidR="007665C6" w:rsidRPr="008D6C1E" w:rsidRDefault="007665C6" w:rsidP="007665C6">
            <w:pPr>
              <w:jc w:val="both"/>
              <w:rPr>
                <w:sz w:val="20"/>
                <w:lang w:val="fr-CA"/>
              </w:rPr>
            </w:pPr>
            <w:r w:rsidRPr="008D6C1E">
              <w:rPr>
                <w:sz w:val="20"/>
                <w:lang w:val="fr-CA"/>
              </w:rPr>
              <w:t>(Juge en chef adjoint Marrocco, juges Spence et Horkins)</w:t>
            </w:r>
          </w:p>
          <w:p w:rsidR="007665C6" w:rsidRPr="008D6C1E" w:rsidRDefault="005E6DC4" w:rsidP="007665C6">
            <w:pPr>
              <w:jc w:val="both"/>
              <w:rPr>
                <w:rStyle w:val="Hyperlink"/>
                <w:sz w:val="20"/>
                <w:lang w:val="fr-CA"/>
              </w:rPr>
            </w:pPr>
            <w:hyperlink r:id="rId124" w:history="1">
              <w:r w:rsidR="007665C6" w:rsidRPr="008D6C1E">
                <w:rPr>
                  <w:rStyle w:val="Hyperlink"/>
                  <w:sz w:val="20"/>
                  <w:lang w:val="fr-CA"/>
                </w:rPr>
                <w:t>2014 ONSC 7108</w:t>
              </w:r>
            </w:hyperlink>
          </w:p>
          <w:p w:rsidR="007665C6" w:rsidRPr="008D6C1E" w:rsidRDefault="007665C6" w:rsidP="007665C6">
            <w:pPr>
              <w:jc w:val="both"/>
              <w:rPr>
                <w:sz w:val="20"/>
                <w:lang w:val="fr-CA"/>
              </w:rPr>
            </w:pPr>
          </w:p>
        </w:tc>
        <w:tc>
          <w:tcPr>
            <w:tcW w:w="243" w:type="pct"/>
          </w:tcPr>
          <w:p w:rsidR="007665C6" w:rsidRPr="008D6C1E" w:rsidRDefault="007665C6" w:rsidP="007665C6">
            <w:pPr>
              <w:jc w:val="both"/>
              <w:rPr>
                <w:sz w:val="20"/>
                <w:lang w:val="fr-CA"/>
              </w:rPr>
            </w:pPr>
          </w:p>
        </w:tc>
        <w:tc>
          <w:tcPr>
            <w:tcW w:w="2330" w:type="pct"/>
          </w:tcPr>
          <w:p w:rsidR="007665C6" w:rsidRPr="008D6C1E" w:rsidRDefault="007665C6" w:rsidP="007665C6">
            <w:pPr>
              <w:jc w:val="both"/>
              <w:rPr>
                <w:sz w:val="20"/>
                <w:lang w:val="fr-CA"/>
              </w:rPr>
            </w:pPr>
            <w:r w:rsidRPr="008D6C1E">
              <w:rPr>
                <w:sz w:val="20"/>
                <w:lang w:val="fr-CA"/>
              </w:rPr>
              <w:t>Rejet de la demande de contrôle judiciaire présentée par la compagnie d’assurance.</w:t>
            </w:r>
          </w:p>
          <w:p w:rsidR="007665C6" w:rsidRPr="008D6C1E" w:rsidRDefault="007665C6" w:rsidP="007665C6">
            <w:pPr>
              <w:jc w:val="both"/>
              <w:rPr>
                <w:sz w:val="20"/>
                <w:lang w:val="fr-CA"/>
              </w:rPr>
            </w:pPr>
          </w:p>
        </w:tc>
      </w:tr>
      <w:tr w:rsidR="007665C6" w:rsidRPr="008D6C1E" w:rsidTr="002B5CF4">
        <w:tc>
          <w:tcPr>
            <w:tcW w:w="2427" w:type="pct"/>
            <w:gridSpan w:val="2"/>
          </w:tcPr>
          <w:p w:rsidR="007665C6" w:rsidRPr="008D6C1E" w:rsidRDefault="007665C6" w:rsidP="007665C6">
            <w:pPr>
              <w:jc w:val="both"/>
              <w:rPr>
                <w:sz w:val="20"/>
                <w:lang w:val="fr-CA"/>
              </w:rPr>
            </w:pPr>
            <w:r w:rsidRPr="008D6C1E">
              <w:rPr>
                <w:sz w:val="20"/>
                <w:lang w:val="fr-CA"/>
              </w:rPr>
              <w:t>19 octobre 2015</w:t>
            </w:r>
          </w:p>
          <w:p w:rsidR="007665C6" w:rsidRPr="008D6C1E" w:rsidRDefault="007665C6" w:rsidP="007665C6">
            <w:pPr>
              <w:jc w:val="both"/>
              <w:rPr>
                <w:sz w:val="20"/>
                <w:lang w:val="fr-CA"/>
              </w:rPr>
            </w:pPr>
            <w:r w:rsidRPr="008D6C1E">
              <w:rPr>
                <w:sz w:val="20"/>
                <w:lang w:val="fr-CA"/>
              </w:rPr>
              <w:t xml:space="preserve">Cour d’appel de l’Ontario </w:t>
            </w:r>
          </w:p>
          <w:p w:rsidR="007665C6" w:rsidRPr="008D6C1E" w:rsidRDefault="007665C6" w:rsidP="007665C6">
            <w:pPr>
              <w:jc w:val="both"/>
              <w:rPr>
                <w:sz w:val="20"/>
                <w:lang w:val="fr-CA"/>
              </w:rPr>
            </w:pPr>
            <w:r w:rsidRPr="008D6C1E">
              <w:rPr>
                <w:sz w:val="20"/>
                <w:lang w:val="fr-CA"/>
              </w:rPr>
              <w:t>(Juges Feldman, Juriansz et Brown)</w:t>
            </w:r>
          </w:p>
          <w:p w:rsidR="007665C6" w:rsidRPr="008D6C1E" w:rsidRDefault="005E6DC4" w:rsidP="007665C6">
            <w:pPr>
              <w:jc w:val="both"/>
              <w:rPr>
                <w:sz w:val="20"/>
                <w:lang w:val="fr-CA"/>
              </w:rPr>
            </w:pPr>
            <w:hyperlink r:id="rId125" w:history="1">
              <w:r w:rsidR="007665C6" w:rsidRPr="008D6C1E">
                <w:rPr>
                  <w:rStyle w:val="Hyperlink"/>
                  <w:sz w:val="20"/>
                  <w:lang w:val="fr-CA"/>
                </w:rPr>
                <w:t>2015 ONCA 698</w:t>
              </w:r>
            </w:hyperlink>
          </w:p>
          <w:p w:rsidR="007665C6" w:rsidRPr="008D6C1E" w:rsidRDefault="007665C6" w:rsidP="007665C6">
            <w:pPr>
              <w:jc w:val="both"/>
              <w:rPr>
                <w:sz w:val="20"/>
                <w:lang w:val="fr-CA"/>
              </w:rPr>
            </w:pPr>
            <w:r w:rsidRPr="008D6C1E">
              <w:rPr>
                <w:sz w:val="20"/>
                <w:lang w:val="fr-CA"/>
              </w:rPr>
              <w:t>N</w:t>
            </w:r>
            <w:r w:rsidRPr="008D6C1E">
              <w:rPr>
                <w:sz w:val="20"/>
                <w:vertAlign w:val="superscript"/>
                <w:lang w:val="fr-CA"/>
              </w:rPr>
              <w:t>o</w:t>
            </w:r>
            <w:r w:rsidRPr="008D6C1E">
              <w:rPr>
                <w:sz w:val="20"/>
                <w:lang w:val="fr-CA"/>
              </w:rPr>
              <w:t xml:space="preserve"> du greffe : C60323</w:t>
            </w:r>
          </w:p>
          <w:p w:rsidR="007665C6" w:rsidRPr="008D6C1E" w:rsidRDefault="007665C6" w:rsidP="007665C6">
            <w:pPr>
              <w:jc w:val="both"/>
              <w:rPr>
                <w:sz w:val="20"/>
                <w:lang w:val="fr-CA"/>
              </w:rPr>
            </w:pPr>
          </w:p>
        </w:tc>
        <w:tc>
          <w:tcPr>
            <w:tcW w:w="243" w:type="pct"/>
          </w:tcPr>
          <w:p w:rsidR="007665C6" w:rsidRPr="008D6C1E" w:rsidRDefault="007665C6" w:rsidP="007665C6">
            <w:pPr>
              <w:jc w:val="both"/>
              <w:rPr>
                <w:sz w:val="20"/>
                <w:lang w:val="fr-CA"/>
              </w:rPr>
            </w:pPr>
          </w:p>
        </w:tc>
        <w:tc>
          <w:tcPr>
            <w:tcW w:w="2330" w:type="pct"/>
          </w:tcPr>
          <w:p w:rsidR="007665C6" w:rsidRPr="008D6C1E" w:rsidRDefault="007665C6" w:rsidP="007665C6">
            <w:pPr>
              <w:jc w:val="both"/>
              <w:rPr>
                <w:sz w:val="20"/>
                <w:lang w:val="fr-CA"/>
              </w:rPr>
            </w:pPr>
            <w:r w:rsidRPr="008D6C1E">
              <w:rPr>
                <w:sz w:val="20"/>
                <w:lang w:val="fr-CA"/>
              </w:rPr>
              <w:t>Rejet de l’appel.</w:t>
            </w:r>
          </w:p>
          <w:p w:rsidR="007665C6" w:rsidRPr="008D6C1E" w:rsidRDefault="007665C6" w:rsidP="007665C6">
            <w:pPr>
              <w:jc w:val="both"/>
              <w:rPr>
                <w:sz w:val="20"/>
                <w:lang w:val="fr-CA"/>
              </w:rPr>
            </w:pPr>
          </w:p>
        </w:tc>
      </w:tr>
      <w:tr w:rsidR="007665C6" w:rsidRPr="002C1A32" w:rsidTr="002B5CF4">
        <w:tc>
          <w:tcPr>
            <w:tcW w:w="2427" w:type="pct"/>
            <w:gridSpan w:val="2"/>
          </w:tcPr>
          <w:p w:rsidR="007665C6" w:rsidRPr="008D6C1E" w:rsidRDefault="007665C6" w:rsidP="007665C6">
            <w:pPr>
              <w:jc w:val="both"/>
              <w:rPr>
                <w:sz w:val="20"/>
                <w:lang w:val="fr-CA"/>
              </w:rPr>
            </w:pPr>
            <w:r w:rsidRPr="008D6C1E">
              <w:rPr>
                <w:sz w:val="20"/>
                <w:lang w:val="fr-CA"/>
              </w:rPr>
              <w:t>10 décembre 2015</w:t>
            </w:r>
          </w:p>
          <w:p w:rsidR="007665C6" w:rsidRPr="008D6C1E" w:rsidRDefault="007665C6" w:rsidP="00435C46">
            <w:pPr>
              <w:jc w:val="both"/>
              <w:rPr>
                <w:sz w:val="20"/>
                <w:lang w:val="fr-CA"/>
              </w:rPr>
            </w:pPr>
            <w:r w:rsidRPr="008D6C1E">
              <w:rPr>
                <w:sz w:val="20"/>
                <w:lang w:val="fr-CA"/>
              </w:rPr>
              <w:t>Cour suprême du Canada</w:t>
            </w:r>
          </w:p>
        </w:tc>
        <w:tc>
          <w:tcPr>
            <w:tcW w:w="243" w:type="pct"/>
          </w:tcPr>
          <w:p w:rsidR="007665C6" w:rsidRPr="008D6C1E" w:rsidRDefault="007665C6" w:rsidP="007665C6">
            <w:pPr>
              <w:jc w:val="both"/>
              <w:rPr>
                <w:sz w:val="20"/>
                <w:lang w:val="fr-CA"/>
              </w:rPr>
            </w:pPr>
          </w:p>
        </w:tc>
        <w:tc>
          <w:tcPr>
            <w:tcW w:w="2330" w:type="pct"/>
          </w:tcPr>
          <w:p w:rsidR="007665C6" w:rsidRPr="008D6C1E" w:rsidRDefault="007665C6" w:rsidP="007665C6">
            <w:pPr>
              <w:jc w:val="both"/>
              <w:rPr>
                <w:sz w:val="20"/>
                <w:lang w:val="fr-CA"/>
              </w:rPr>
            </w:pPr>
            <w:r w:rsidRPr="008D6C1E">
              <w:rPr>
                <w:sz w:val="20"/>
                <w:lang w:val="fr-CA"/>
              </w:rPr>
              <w:t>Dépôt de la demande d’autorisation d’appel.</w:t>
            </w:r>
          </w:p>
          <w:p w:rsidR="007665C6" w:rsidRPr="008D6C1E" w:rsidRDefault="007665C6" w:rsidP="007665C6">
            <w:pPr>
              <w:jc w:val="both"/>
              <w:rPr>
                <w:sz w:val="20"/>
                <w:lang w:val="fr-CA"/>
              </w:rPr>
            </w:pPr>
          </w:p>
        </w:tc>
      </w:tr>
    </w:tbl>
    <w:p w:rsidR="007665C6" w:rsidRPr="008D6C1E" w:rsidRDefault="007665C6" w:rsidP="0025383B">
      <w:pPr>
        <w:jc w:val="both"/>
        <w:rPr>
          <w:sz w:val="20"/>
          <w:lang w:val="fr-CA"/>
        </w:rPr>
      </w:pPr>
    </w:p>
    <w:p w:rsidR="006C44EF" w:rsidRPr="008D6C1E" w:rsidRDefault="006C44EF" w:rsidP="0025383B">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383B" w:rsidRPr="008D6C1E" w:rsidTr="00E95A6A">
        <w:tc>
          <w:tcPr>
            <w:tcW w:w="543" w:type="pct"/>
          </w:tcPr>
          <w:p w:rsidR="0025383B" w:rsidRPr="008D6C1E" w:rsidRDefault="0025383B" w:rsidP="0025383B">
            <w:pPr>
              <w:jc w:val="both"/>
              <w:rPr>
                <w:sz w:val="20"/>
                <w:lang w:val="en-CA"/>
              </w:rPr>
            </w:pPr>
            <w:r w:rsidRPr="008D6C1E">
              <w:rPr>
                <w:rStyle w:val="SCCFileNumberChar"/>
                <w:sz w:val="20"/>
                <w:szCs w:val="20"/>
              </w:rPr>
              <w:t>36731</w:t>
            </w:r>
          </w:p>
        </w:tc>
        <w:tc>
          <w:tcPr>
            <w:tcW w:w="4457" w:type="pct"/>
            <w:gridSpan w:val="3"/>
          </w:tcPr>
          <w:p w:rsidR="0025383B" w:rsidRPr="008D6C1E" w:rsidRDefault="0025383B" w:rsidP="0025383B">
            <w:pPr>
              <w:pStyle w:val="SCCLsocParty"/>
              <w:jc w:val="both"/>
              <w:rPr>
                <w:b/>
                <w:sz w:val="20"/>
                <w:szCs w:val="20"/>
                <w:lang w:val="en-CA"/>
              </w:rPr>
            </w:pPr>
            <w:r w:rsidRPr="008D6C1E">
              <w:rPr>
                <w:b/>
                <w:sz w:val="20"/>
                <w:szCs w:val="20"/>
                <w:lang w:val="en-CA"/>
              </w:rPr>
              <w:t>Her Majesty the Queen v. Michel Laflamme</w:t>
            </w:r>
          </w:p>
          <w:p w:rsidR="0025383B" w:rsidRPr="008D6C1E" w:rsidRDefault="0025383B" w:rsidP="0025383B">
            <w:pPr>
              <w:jc w:val="both"/>
              <w:rPr>
                <w:sz w:val="20"/>
                <w:lang w:val="en-CA"/>
              </w:rPr>
            </w:pPr>
            <w:r w:rsidRPr="008D6C1E">
              <w:rPr>
                <w:sz w:val="20"/>
                <w:lang w:val="en-CA"/>
              </w:rPr>
              <w:t>(Que.) (Criminal) (By Leave)</w:t>
            </w:r>
          </w:p>
        </w:tc>
      </w:tr>
      <w:tr w:rsidR="0025383B" w:rsidRPr="008D6C1E" w:rsidTr="00E95A6A">
        <w:tc>
          <w:tcPr>
            <w:tcW w:w="5000" w:type="pct"/>
            <w:gridSpan w:val="4"/>
          </w:tcPr>
          <w:p w:rsidR="0025383B" w:rsidRPr="008D6C1E" w:rsidRDefault="0025383B" w:rsidP="0025383B">
            <w:pPr>
              <w:jc w:val="both"/>
              <w:rPr>
                <w:sz w:val="20"/>
                <w:lang w:val="en-CA"/>
              </w:rPr>
            </w:pPr>
            <w:proofErr w:type="gramStart"/>
            <w:r w:rsidRPr="008D6C1E">
              <w:rPr>
                <w:sz w:val="20"/>
                <w:lang w:val="en-CA"/>
              </w:rPr>
              <w:t>Criminal law — Stay of proceedings — Respondent found guilty of first degree murder by jury following “Mr. Big” police operation — However, Court of Appeal finding that police conduct compromised integrity of justice system and constituted abuse that had to result in stay of proceedings — Whether analytical framework for determining whether there is abuse of process by police during Mr. Big operation must consider type of person targeted by operation, including evidence of propensity for violence and person’s detailed reactions during scenarios — Whether Court of Appeal, before imposing stay of proceedings rather than ordering new trial, must consider whether its conclusions involve impressions formed from hearing witnesses which were not formed at trial by trial judge.</w:t>
            </w:r>
            <w:proofErr w:type="gramEnd"/>
            <w:r w:rsidRPr="008D6C1E">
              <w:rPr>
                <w:sz w:val="20"/>
                <w:lang w:val="en-CA"/>
              </w:rPr>
              <w:t xml:space="preserve"> </w:t>
            </w:r>
          </w:p>
        </w:tc>
      </w:tr>
      <w:tr w:rsidR="0025383B" w:rsidRPr="008D6C1E" w:rsidTr="00E95A6A">
        <w:tc>
          <w:tcPr>
            <w:tcW w:w="5000" w:type="pct"/>
            <w:gridSpan w:val="4"/>
          </w:tcPr>
          <w:p w:rsidR="0025383B" w:rsidRPr="008D6C1E" w:rsidRDefault="0025383B" w:rsidP="0025383B">
            <w:pPr>
              <w:jc w:val="both"/>
              <w:rPr>
                <w:sz w:val="20"/>
                <w:lang w:val="en-CA"/>
              </w:rPr>
            </w:pPr>
          </w:p>
        </w:tc>
      </w:tr>
      <w:tr w:rsidR="0025383B" w:rsidRPr="008D6C1E" w:rsidTr="00E95A6A">
        <w:tc>
          <w:tcPr>
            <w:tcW w:w="5000" w:type="pct"/>
            <w:gridSpan w:val="4"/>
          </w:tcPr>
          <w:p w:rsidR="0025383B" w:rsidRPr="008D6C1E" w:rsidRDefault="0025383B" w:rsidP="0025383B">
            <w:pPr>
              <w:jc w:val="both"/>
              <w:rPr>
                <w:sz w:val="20"/>
                <w:lang w:val="en-CA"/>
              </w:rPr>
            </w:pPr>
            <w:r w:rsidRPr="008D6C1E">
              <w:rPr>
                <w:sz w:val="20"/>
                <w:lang w:val="en-CA"/>
              </w:rPr>
              <w:t xml:space="preserve">A jury found the respondent Michel Laflamme guilty of </w:t>
            </w:r>
            <w:proofErr w:type="gramStart"/>
            <w:r w:rsidRPr="008D6C1E">
              <w:rPr>
                <w:sz w:val="20"/>
                <w:lang w:val="en-CA"/>
              </w:rPr>
              <w:t>first degree</w:t>
            </w:r>
            <w:proofErr w:type="gramEnd"/>
            <w:r w:rsidRPr="008D6C1E">
              <w:rPr>
                <w:sz w:val="20"/>
                <w:lang w:val="en-CA"/>
              </w:rPr>
              <w:t xml:space="preserve"> murder for causing the death of his spouse, Carmen Waltz, 31 years earlier, on December 4, 1976. The conviction </w:t>
            </w:r>
            <w:proofErr w:type="gramStart"/>
            <w:r w:rsidRPr="008D6C1E">
              <w:rPr>
                <w:sz w:val="20"/>
                <w:lang w:val="en-CA"/>
              </w:rPr>
              <w:t>was based</w:t>
            </w:r>
            <w:proofErr w:type="gramEnd"/>
            <w:r w:rsidRPr="008D6C1E">
              <w:rPr>
                <w:sz w:val="20"/>
                <w:lang w:val="en-CA"/>
              </w:rPr>
              <w:t xml:space="preserve"> on a confession obtained during a “Mr. Big” police operation conducted from November 28, 2007 to April 9, 2008. According to the respondent’s admissions, he had strangled his spouse inside their residence and then placed her in the car, which was in the garage, and taken her and their young daughter (who was only a year and a half old) to the parking lot of a shopping centre. He had gone into a Canadian Tire store with his daughter, then returned to his car and pretended to find his spouse’s lifeless body. At trial, the respondent categorically denied murdering his spouse. He said that he had lied to the big boss out of fear. The defence argued that the police conduct constituted an abuse of process that justified a stay of proceedings or, in the alternative, the exclusion of the admission. On February 10, 2010, the jury returned a verdict of guilty and the respondent was convicted of the </w:t>
            </w:r>
            <w:proofErr w:type="gramStart"/>
            <w:r w:rsidRPr="008D6C1E">
              <w:rPr>
                <w:sz w:val="20"/>
                <w:lang w:val="en-CA"/>
              </w:rPr>
              <w:t>first degree</w:t>
            </w:r>
            <w:proofErr w:type="gramEnd"/>
            <w:r w:rsidRPr="008D6C1E">
              <w:rPr>
                <w:sz w:val="20"/>
                <w:lang w:val="en-CA"/>
              </w:rPr>
              <w:t xml:space="preserve"> murder of his spouse. Finally, on September 21, 2015, the Court of Appeal unanimously ordered a stay of proceedings pursuant to the doctrine of abuse of process.</w:t>
            </w:r>
          </w:p>
          <w:p w:rsidR="0025383B" w:rsidRPr="008D6C1E" w:rsidRDefault="0025383B" w:rsidP="0025383B">
            <w:pPr>
              <w:jc w:val="both"/>
              <w:rPr>
                <w:sz w:val="20"/>
                <w:lang w:val="en-CA"/>
              </w:rPr>
            </w:pPr>
          </w:p>
        </w:tc>
      </w:tr>
      <w:tr w:rsidR="0025383B" w:rsidRPr="008D6C1E" w:rsidTr="00E95A6A">
        <w:tc>
          <w:tcPr>
            <w:tcW w:w="2427" w:type="pct"/>
            <w:gridSpan w:val="2"/>
          </w:tcPr>
          <w:p w:rsidR="0025383B" w:rsidRPr="008D6C1E" w:rsidRDefault="0025383B" w:rsidP="0025383B">
            <w:pPr>
              <w:jc w:val="both"/>
              <w:rPr>
                <w:sz w:val="20"/>
                <w:lang w:val="en-CA"/>
              </w:rPr>
            </w:pPr>
            <w:r w:rsidRPr="008D6C1E">
              <w:rPr>
                <w:sz w:val="20"/>
                <w:lang w:val="en-CA"/>
              </w:rPr>
              <w:t>February 10, 2010</w:t>
            </w:r>
          </w:p>
          <w:p w:rsidR="0025383B" w:rsidRPr="008D6C1E" w:rsidRDefault="0025383B" w:rsidP="0025383B">
            <w:pPr>
              <w:jc w:val="both"/>
              <w:rPr>
                <w:sz w:val="20"/>
                <w:lang w:val="en-CA"/>
              </w:rPr>
            </w:pPr>
            <w:r w:rsidRPr="008D6C1E">
              <w:rPr>
                <w:sz w:val="20"/>
                <w:lang w:val="en-CA"/>
              </w:rPr>
              <w:t>Quebec Superior Court</w:t>
            </w:r>
          </w:p>
          <w:p w:rsidR="0025383B" w:rsidRPr="008D6C1E" w:rsidRDefault="0025383B" w:rsidP="0025383B">
            <w:pPr>
              <w:jc w:val="both"/>
              <w:rPr>
                <w:sz w:val="20"/>
                <w:lang w:val="en-CA"/>
              </w:rPr>
            </w:pPr>
            <w:r w:rsidRPr="008D6C1E">
              <w:rPr>
                <w:sz w:val="20"/>
                <w:lang w:val="en-CA"/>
              </w:rPr>
              <w:t>(</w:t>
            </w:r>
            <w:proofErr w:type="spellStart"/>
            <w:r w:rsidRPr="008D6C1E">
              <w:rPr>
                <w:sz w:val="20"/>
                <w:lang w:val="en-CA"/>
              </w:rPr>
              <w:t>Brunton</w:t>
            </w:r>
            <w:proofErr w:type="spellEnd"/>
            <w:r w:rsidRPr="008D6C1E">
              <w:rPr>
                <w:sz w:val="20"/>
                <w:lang w:val="en-CA"/>
              </w:rPr>
              <w:t> J.)</w:t>
            </w:r>
          </w:p>
          <w:p w:rsidR="0025383B" w:rsidRPr="008D6C1E" w:rsidRDefault="0025383B" w:rsidP="0025383B">
            <w:pPr>
              <w:jc w:val="both"/>
              <w:rPr>
                <w:sz w:val="20"/>
                <w:lang w:val="en-CA"/>
              </w:rPr>
            </w:pPr>
          </w:p>
        </w:tc>
        <w:tc>
          <w:tcPr>
            <w:tcW w:w="243" w:type="pct"/>
          </w:tcPr>
          <w:p w:rsidR="0025383B" w:rsidRPr="008D6C1E" w:rsidRDefault="0025383B" w:rsidP="0025383B">
            <w:pPr>
              <w:jc w:val="both"/>
              <w:rPr>
                <w:sz w:val="20"/>
                <w:lang w:val="en-CA"/>
              </w:rPr>
            </w:pPr>
          </w:p>
        </w:tc>
        <w:tc>
          <w:tcPr>
            <w:tcW w:w="2330" w:type="pct"/>
          </w:tcPr>
          <w:p w:rsidR="0025383B" w:rsidRPr="008D6C1E" w:rsidRDefault="0025383B" w:rsidP="0025383B">
            <w:pPr>
              <w:jc w:val="both"/>
              <w:rPr>
                <w:sz w:val="20"/>
                <w:lang w:val="en-CA"/>
              </w:rPr>
            </w:pPr>
            <w:r w:rsidRPr="008D6C1E">
              <w:rPr>
                <w:sz w:val="20"/>
                <w:lang w:val="en-CA"/>
              </w:rPr>
              <w:t xml:space="preserve">Verdict of guilty of </w:t>
            </w:r>
            <w:proofErr w:type="gramStart"/>
            <w:r w:rsidRPr="008D6C1E">
              <w:rPr>
                <w:sz w:val="20"/>
                <w:lang w:val="en-CA"/>
              </w:rPr>
              <w:t>first degree</w:t>
            </w:r>
            <w:proofErr w:type="gramEnd"/>
            <w:r w:rsidRPr="008D6C1E">
              <w:rPr>
                <w:sz w:val="20"/>
                <w:lang w:val="en-CA"/>
              </w:rPr>
              <w:t xml:space="preserve"> murder returned by jury presided over by Brunton J.</w:t>
            </w:r>
          </w:p>
          <w:p w:rsidR="0025383B" w:rsidRPr="008D6C1E" w:rsidRDefault="0025383B" w:rsidP="0025383B">
            <w:pPr>
              <w:jc w:val="both"/>
              <w:rPr>
                <w:sz w:val="20"/>
                <w:lang w:val="en-CA"/>
              </w:rPr>
            </w:pPr>
          </w:p>
        </w:tc>
      </w:tr>
      <w:tr w:rsidR="0025383B" w:rsidRPr="008D6C1E" w:rsidTr="00E95A6A">
        <w:tc>
          <w:tcPr>
            <w:tcW w:w="2427" w:type="pct"/>
            <w:gridSpan w:val="2"/>
          </w:tcPr>
          <w:p w:rsidR="0025383B" w:rsidRPr="008D6C1E" w:rsidRDefault="0025383B" w:rsidP="0025383B">
            <w:pPr>
              <w:jc w:val="both"/>
              <w:rPr>
                <w:sz w:val="20"/>
                <w:lang w:val="en-CA"/>
              </w:rPr>
            </w:pPr>
            <w:r w:rsidRPr="008D6C1E">
              <w:rPr>
                <w:sz w:val="20"/>
                <w:lang w:val="en-CA"/>
              </w:rPr>
              <w:t>September 21, 2015</w:t>
            </w:r>
          </w:p>
          <w:p w:rsidR="0025383B" w:rsidRPr="008D6C1E" w:rsidRDefault="0025383B" w:rsidP="0025383B">
            <w:pPr>
              <w:jc w:val="both"/>
              <w:rPr>
                <w:sz w:val="20"/>
                <w:lang w:val="en-CA"/>
              </w:rPr>
            </w:pPr>
            <w:r w:rsidRPr="008D6C1E">
              <w:rPr>
                <w:sz w:val="20"/>
                <w:lang w:val="en-CA"/>
              </w:rPr>
              <w:t>Quebec Court of Appeal (Montréal)</w:t>
            </w:r>
          </w:p>
          <w:p w:rsidR="0025383B" w:rsidRPr="008D6C1E" w:rsidRDefault="0025383B" w:rsidP="0025383B">
            <w:pPr>
              <w:jc w:val="both"/>
              <w:rPr>
                <w:sz w:val="20"/>
                <w:lang w:val="en-CA"/>
              </w:rPr>
            </w:pPr>
            <w:r w:rsidRPr="008D6C1E">
              <w:rPr>
                <w:sz w:val="20"/>
                <w:lang w:val="en-CA"/>
              </w:rPr>
              <w:t>(Hilton, Giroux and Dufresne JJ.A.)</w:t>
            </w:r>
          </w:p>
          <w:p w:rsidR="0025383B" w:rsidRPr="008D6C1E" w:rsidRDefault="005E6DC4" w:rsidP="0025383B">
            <w:pPr>
              <w:jc w:val="both"/>
              <w:rPr>
                <w:sz w:val="20"/>
                <w:lang w:val="en-CA"/>
              </w:rPr>
            </w:pPr>
            <w:hyperlink r:id="rId126" w:history="1">
              <w:r w:rsidR="0025383B" w:rsidRPr="008D6C1E">
                <w:rPr>
                  <w:rStyle w:val="Hyperlink"/>
                  <w:sz w:val="20"/>
                  <w:lang w:val="en-CA"/>
                </w:rPr>
                <w:t>2015 QCCA 1517</w:t>
              </w:r>
            </w:hyperlink>
          </w:p>
          <w:p w:rsidR="0025383B" w:rsidRPr="008D6C1E" w:rsidRDefault="0025383B" w:rsidP="0025383B">
            <w:pPr>
              <w:jc w:val="both"/>
              <w:rPr>
                <w:sz w:val="20"/>
                <w:lang w:val="en-CA"/>
              </w:rPr>
            </w:pPr>
          </w:p>
        </w:tc>
        <w:tc>
          <w:tcPr>
            <w:tcW w:w="243" w:type="pct"/>
          </w:tcPr>
          <w:p w:rsidR="0025383B" w:rsidRPr="008D6C1E" w:rsidRDefault="0025383B" w:rsidP="0025383B">
            <w:pPr>
              <w:jc w:val="both"/>
              <w:rPr>
                <w:sz w:val="20"/>
                <w:lang w:val="en-CA"/>
              </w:rPr>
            </w:pPr>
          </w:p>
        </w:tc>
        <w:tc>
          <w:tcPr>
            <w:tcW w:w="2330" w:type="pct"/>
          </w:tcPr>
          <w:p w:rsidR="0025383B" w:rsidRPr="008D6C1E" w:rsidRDefault="0025383B" w:rsidP="0025383B">
            <w:pPr>
              <w:jc w:val="both"/>
              <w:rPr>
                <w:sz w:val="20"/>
                <w:lang w:val="en-CA"/>
              </w:rPr>
            </w:pPr>
            <w:r w:rsidRPr="008D6C1E">
              <w:rPr>
                <w:sz w:val="20"/>
                <w:lang w:val="en-CA"/>
              </w:rPr>
              <w:t>Appeal allowed and stay of proceedings ordered</w:t>
            </w:r>
          </w:p>
          <w:p w:rsidR="0025383B" w:rsidRPr="008D6C1E" w:rsidRDefault="0025383B" w:rsidP="0025383B">
            <w:pPr>
              <w:jc w:val="both"/>
              <w:rPr>
                <w:sz w:val="20"/>
                <w:lang w:val="en-CA"/>
              </w:rPr>
            </w:pPr>
          </w:p>
        </w:tc>
      </w:tr>
      <w:tr w:rsidR="0025383B" w:rsidRPr="008D6C1E" w:rsidTr="00E95A6A">
        <w:tc>
          <w:tcPr>
            <w:tcW w:w="2427" w:type="pct"/>
            <w:gridSpan w:val="2"/>
          </w:tcPr>
          <w:p w:rsidR="0025383B" w:rsidRPr="008D6C1E" w:rsidRDefault="0025383B" w:rsidP="0025383B">
            <w:pPr>
              <w:jc w:val="both"/>
              <w:rPr>
                <w:sz w:val="20"/>
                <w:lang w:val="en-CA"/>
              </w:rPr>
            </w:pPr>
            <w:r w:rsidRPr="008D6C1E">
              <w:rPr>
                <w:sz w:val="20"/>
                <w:lang w:val="en-CA"/>
              </w:rPr>
              <w:t>November 20, 2015</w:t>
            </w:r>
          </w:p>
          <w:p w:rsidR="0025383B" w:rsidRPr="008D6C1E" w:rsidRDefault="0025383B" w:rsidP="0025383B">
            <w:pPr>
              <w:jc w:val="both"/>
              <w:rPr>
                <w:sz w:val="20"/>
                <w:lang w:val="en-CA"/>
              </w:rPr>
            </w:pPr>
            <w:r w:rsidRPr="008D6C1E">
              <w:rPr>
                <w:sz w:val="20"/>
                <w:lang w:val="en-CA"/>
              </w:rPr>
              <w:t>Supreme Court of Canada</w:t>
            </w:r>
          </w:p>
        </w:tc>
        <w:tc>
          <w:tcPr>
            <w:tcW w:w="243" w:type="pct"/>
          </w:tcPr>
          <w:p w:rsidR="0025383B" w:rsidRPr="008D6C1E" w:rsidRDefault="0025383B" w:rsidP="0025383B">
            <w:pPr>
              <w:jc w:val="both"/>
              <w:rPr>
                <w:sz w:val="20"/>
                <w:lang w:val="en-CA"/>
              </w:rPr>
            </w:pPr>
          </w:p>
        </w:tc>
        <w:tc>
          <w:tcPr>
            <w:tcW w:w="2330" w:type="pct"/>
          </w:tcPr>
          <w:p w:rsidR="0025383B" w:rsidRPr="008D6C1E" w:rsidRDefault="0025383B" w:rsidP="0025383B">
            <w:pPr>
              <w:jc w:val="both"/>
              <w:rPr>
                <w:sz w:val="20"/>
                <w:lang w:val="en-CA"/>
              </w:rPr>
            </w:pPr>
            <w:r w:rsidRPr="008D6C1E">
              <w:rPr>
                <w:sz w:val="20"/>
                <w:lang w:val="en-CA"/>
              </w:rPr>
              <w:t>Application for leave to appeal filed</w:t>
            </w:r>
          </w:p>
        </w:tc>
      </w:tr>
    </w:tbl>
    <w:p w:rsidR="0025383B" w:rsidRPr="008D6C1E" w:rsidRDefault="0025383B" w:rsidP="0025383B">
      <w:pPr>
        <w:jc w:val="both"/>
        <w:rPr>
          <w:sz w:val="20"/>
          <w:lang w:val="en-CA"/>
        </w:rPr>
      </w:pPr>
    </w:p>
    <w:p w:rsidR="0025383B" w:rsidRPr="008D6C1E" w:rsidRDefault="0025383B" w:rsidP="0025383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383B" w:rsidRPr="008D6C1E" w:rsidTr="00E95A6A">
        <w:tc>
          <w:tcPr>
            <w:tcW w:w="543" w:type="pct"/>
          </w:tcPr>
          <w:p w:rsidR="0025383B" w:rsidRPr="008D6C1E" w:rsidRDefault="0025383B" w:rsidP="0025383B">
            <w:pPr>
              <w:jc w:val="both"/>
              <w:rPr>
                <w:sz w:val="20"/>
              </w:rPr>
            </w:pPr>
            <w:r w:rsidRPr="008D6C1E">
              <w:rPr>
                <w:rStyle w:val="SCCFileNumberChar"/>
                <w:sz w:val="20"/>
                <w:szCs w:val="20"/>
              </w:rPr>
              <w:t>36731</w:t>
            </w:r>
          </w:p>
        </w:tc>
        <w:tc>
          <w:tcPr>
            <w:tcW w:w="4457" w:type="pct"/>
            <w:gridSpan w:val="3"/>
          </w:tcPr>
          <w:p w:rsidR="0025383B" w:rsidRPr="008D6C1E" w:rsidRDefault="0025383B" w:rsidP="0025383B">
            <w:pPr>
              <w:pStyle w:val="SCCLsocParty"/>
              <w:jc w:val="both"/>
              <w:rPr>
                <w:b/>
                <w:sz w:val="20"/>
                <w:szCs w:val="20"/>
              </w:rPr>
            </w:pPr>
            <w:r w:rsidRPr="008D6C1E">
              <w:rPr>
                <w:b/>
                <w:sz w:val="20"/>
                <w:szCs w:val="20"/>
              </w:rPr>
              <w:t>Sa Majesté la Reine c. Michel Laflamme</w:t>
            </w:r>
          </w:p>
          <w:p w:rsidR="0025383B" w:rsidRPr="008D6C1E" w:rsidRDefault="0025383B" w:rsidP="0025383B">
            <w:pPr>
              <w:jc w:val="both"/>
              <w:rPr>
                <w:sz w:val="20"/>
              </w:rPr>
            </w:pPr>
            <w:r w:rsidRPr="008D6C1E">
              <w:rPr>
                <w:sz w:val="20"/>
              </w:rPr>
              <w:t>(Qc) (</w:t>
            </w:r>
            <w:proofErr w:type="spellStart"/>
            <w:r w:rsidRPr="008D6C1E">
              <w:rPr>
                <w:sz w:val="20"/>
              </w:rPr>
              <w:t>Criminelle</w:t>
            </w:r>
            <w:proofErr w:type="spellEnd"/>
            <w:r w:rsidRPr="008D6C1E">
              <w:rPr>
                <w:sz w:val="20"/>
              </w:rPr>
              <w:t>) (</w:t>
            </w:r>
            <w:proofErr w:type="spellStart"/>
            <w:r w:rsidRPr="008D6C1E">
              <w:rPr>
                <w:sz w:val="20"/>
              </w:rPr>
              <w:t>Autorisation</w:t>
            </w:r>
            <w:proofErr w:type="spellEnd"/>
            <w:r w:rsidRPr="008D6C1E">
              <w:rPr>
                <w:sz w:val="20"/>
              </w:rPr>
              <w:t>)</w:t>
            </w:r>
          </w:p>
        </w:tc>
      </w:tr>
      <w:tr w:rsidR="0025383B" w:rsidRPr="002C1A32" w:rsidTr="00E95A6A">
        <w:tc>
          <w:tcPr>
            <w:tcW w:w="5000" w:type="pct"/>
            <w:gridSpan w:val="4"/>
          </w:tcPr>
          <w:p w:rsidR="0025383B" w:rsidRPr="002C1A32" w:rsidRDefault="0025383B" w:rsidP="0025383B">
            <w:pPr>
              <w:jc w:val="both"/>
              <w:rPr>
                <w:sz w:val="20"/>
                <w:lang w:val="fr-CA"/>
              </w:rPr>
            </w:pPr>
            <w:r w:rsidRPr="002C1A32">
              <w:rPr>
                <w:sz w:val="20"/>
                <w:lang w:val="fr-CA"/>
              </w:rPr>
              <w:t xml:space="preserve">Droit criminel — Arrêt des procédures — L’intimé a été reconnu coupable de meurtre au premier degré par un jury à la suite d’une opération policière « Monsieur </w:t>
            </w:r>
            <w:proofErr w:type="spellStart"/>
            <w:r w:rsidRPr="002C1A32">
              <w:rPr>
                <w:sz w:val="20"/>
                <w:lang w:val="fr-CA"/>
              </w:rPr>
              <w:t>Big</w:t>
            </w:r>
            <w:proofErr w:type="spellEnd"/>
            <w:r w:rsidRPr="002C1A32">
              <w:rPr>
                <w:sz w:val="20"/>
                <w:lang w:val="fr-CA"/>
              </w:rPr>
              <w:t xml:space="preserve"> » — La Cour d’appel est d’avis toutefois que le comportement des policiers a compromis l’intégrité du système de justice et constitue un abus qui doit donner lieu à un arrêt des </w:t>
            </w:r>
            <w:r w:rsidRPr="002C1A32">
              <w:rPr>
                <w:sz w:val="20"/>
                <w:lang w:val="fr-CA"/>
              </w:rPr>
              <w:lastRenderedPageBreak/>
              <w:t xml:space="preserve">procédures — Aux fins de déterminer s’il y a un abus de procédure de la part des policiers lors d’une opération « Monsieur </w:t>
            </w:r>
            <w:proofErr w:type="spellStart"/>
            <w:r w:rsidRPr="002C1A32">
              <w:rPr>
                <w:sz w:val="20"/>
                <w:lang w:val="fr-CA"/>
              </w:rPr>
              <w:t>Big</w:t>
            </w:r>
            <w:proofErr w:type="spellEnd"/>
            <w:r w:rsidRPr="002C1A32">
              <w:rPr>
                <w:sz w:val="20"/>
                <w:lang w:val="fr-CA"/>
              </w:rPr>
              <w:t xml:space="preserve"> », le cadre d’analyse doit-il tenir compte du type de personnalité à qui s’adresse l’opération, incluant la preuve de propension à la violence de ce dernier et ses réactions détaillées lors des scénarios? — Avant d’imposer un arrêt des procédures, plutôt qu’une ordonnance de nouveau procès, une Cour d’appel </w:t>
            </w:r>
            <w:proofErr w:type="spellStart"/>
            <w:r w:rsidRPr="002C1A32">
              <w:rPr>
                <w:sz w:val="20"/>
                <w:lang w:val="fr-CA"/>
              </w:rPr>
              <w:t>doit-elle</w:t>
            </w:r>
            <w:proofErr w:type="spellEnd"/>
            <w:r w:rsidRPr="002C1A32">
              <w:rPr>
                <w:sz w:val="20"/>
                <w:lang w:val="fr-CA"/>
              </w:rPr>
              <w:t xml:space="preserve"> évaluer si ses conclusions impliquent des impressions qui se dégagent de l’audition des témoins qui n’ont pas été tirées en première instance par le juge du procès? </w:t>
            </w:r>
          </w:p>
        </w:tc>
      </w:tr>
      <w:tr w:rsidR="0025383B" w:rsidRPr="002C1A32" w:rsidTr="00E95A6A">
        <w:tc>
          <w:tcPr>
            <w:tcW w:w="5000" w:type="pct"/>
            <w:gridSpan w:val="4"/>
          </w:tcPr>
          <w:p w:rsidR="0025383B" w:rsidRPr="008D6C1E" w:rsidRDefault="0025383B" w:rsidP="0025383B">
            <w:pPr>
              <w:jc w:val="both"/>
              <w:rPr>
                <w:sz w:val="20"/>
                <w:lang w:val="fr-FR"/>
              </w:rPr>
            </w:pPr>
          </w:p>
        </w:tc>
      </w:tr>
      <w:tr w:rsidR="0025383B" w:rsidRPr="002C1A32" w:rsidTr="00E95A6A">
        <w:tc>
          <w:tcPr>
            <w:tcW w:w="5000" w:type="pct"/>
            <w:gridSpan w:val="4"/>
          </w:tcPr>
          <w:p w:rsidR="0025383B" w:rsidRPr="002C1A32" w:rsidRDefault="0025383B" w:rsidP="0025383B">
            <w:pPr>
              <w:jc w:val="both"/>
              <w:rPr>
                <w:sz w:val="20"/>
                <w:lang w:val="fr-CA"/>
              </w:rPr>
            </w:pPr>
            <w:r w:rsidRPr="002C1A32">
              <w:rPr>
                <w:sz w:val="20"/>
                <w:lang w:val="fr-CA"/>
              </w:rPr>
              <w:t xml:space="preserve">L’intimé Michel Laflamme a été reconnu coupable de meurtre au premier degré par un jury, pour avoir causé, 31 ans plus tôt, soit le 4 décembre 1976, la mort de son épouse Carmen </w:t>
            </w:r>
            <w:proofErr w:type="spellStart"/>
            <w:r w:rsidRPr="002C1A32">
              <w:rPr>
                <w:sz w:val="20"/>
                <w:lang w:val="fr-CA"/>
              </w:rPr>
              <w:t>Waltz</w:t>
            </w:r>
            <w:proofErr w:type="spellEnd"/>
            <w:r w:rsidRPr="002C1A32">
              <w:rPr>
                <w:sz w:val="20"/>
                <w:lang w:val="fr-CA"/>
              </w:rPr>
              <w:t xml:space="preserve">. La condamnation repose sur une confession obtenue lors d’une opération policière « Monsieur </w:t>
            </w:r>
            <w:proofErr w:type="spellStart"/>
            <w:r w:rsidRPr="002C1A32">
              <w:rPr>
                <w:sz w:val="20"/>
                <w:lang w:val="fr-CA"/>
              </w:rPr>
              <w:t>Big</w:t>
            </w:r>
            <w:proofErr w:type="spellEnd"/>
            <w:r w:rsidRPr="002C1A32">
              <w:rPr>
                <w:sz w:val="20"/>
                <w:lang w:val="fr-CA"/>
              </w:rPr>
              <w:t> » qui s’est déroulée du 28 novembre 2007 au 9 avril 2008. Selon les aveux de l’intimé, il aurait étranglé son épouse à l’intérieur de leur résidence, puis l’aurait placée dans l’automobile, qui était dans le garage, pour l’amener, en compagnie de leur fillette (elle n’était âgée que d’un an et demi), dans le stationnement d’un centre commercial. Il se serait alors rendu avec sa fille au magasin Canadian Tire, pour revenir par la suite à sa voiture et simuler la découverte du corps inanimé de son épouse. Au procès, l’intimé nie catégoriquement être l’auteur du meurtre de son épouse. Il affirme avoir menti au grand patron, sous l’effet de la crainte. Selon la défense, le comportement des policiers constitue un abus de procédure justifiant l’arrêt des procédures ou, subsidiairement, l’exclusion de l’aveu. Le 10 février 2010, le jury prononce un verdict de culpabilité et l’intimé est déclaré coupable du meurtre au premier degré de son épouse. Enfin, le 21 septembre 2015, la Cour d’appel, dans un jugement unanime, a ordonné l’arrêt des procédures en vertu de la doctrine d’abus de procédure.</w:t>
            </w:r>
          </w:p>
          <w:p w:rsidR="0025383B" w:rsidRPr="002C1A32" w:rsidRDefault="0025383B" w:rsidP="0025383B">
            <w:pPr>
              <w:jc w:val="both"/>
              <w:rPr>
                <w:sz w:val="20"/>
                <w:lang w:val="fr-CA"/>
              </w:rPr>
            </w:pPr>
          </w:p>
        </w:tc>
      </w:tr>
      <w:tr w:rsidR="0025383B" w:rsidRPr="002C1A32" w:rsidTr="00E95A6A">
        <w:tc>
          <w:tcPr>
            <w:tcW w:w="2427" w:type="pct"/>
            <w:gridSpan w:val="2"/>
          </w:tcPr>
          <w:p w:rsidR="0025383B" w:rsidRPr="002C1A32" w:rsidRDefault="0025383B" w:rsidP="0025383B">
            <w:pPr>
              <w:jc w:val="both"/>
              <w:rPr>
                <w:sz w:val="20"/>
                <w:lang w:val="fr-CA"/>
              </w:rPr>
            </w:pPr>
            <w:r w:rsidRPr="002C1A32">
              <w:rPr>
                <w:sz w:val="20"/>
                <w:lang w:val="fr-CA"/>
              </w:rPr>
              <w:t>Le 10 février 2010</w:t>
            </w:r>
          </w:p>
          <w:p w:rsidR="0025383B" w:rsidRPr="002C1A32" w:rsidRDefault="0025383B" w:rsidP="0025383B">
            <w:pPr>
              <w:jc w:val="both"/>
              <w:rPr>
                <w:sz w:val="20"/>
                <w:lang w:val="fr-CA"/>
              </w:rPr>
            </w:pPr>
            <w:r w:rsidRPr="002C1A32">
              <w:rPr>
                <w:sz w:val="20"/>
                <w:lang w:val="fr-CA"/>
              </w:rPr>
              <w:t>Cour supérieure du Québec</w:t>
            </w:r>
          </w:p>
          <w:p w:rsidR="0025383B" w:rsidRPr="008D6C1E" w:rsidRDefault="0025383B" w:rsidP="0025383B">
            <w:pPr>
              <w:jc w:val="both"/>
              <w:rPr>
                <w:sz w:val="20"/>
              </w:rPr>
            </w:pPr>
            <w:r w:rsidRPr="008D6C1E">
              <w:rPr>
                <w:sz w:val="20"/>
              </w:rPr>
              <w:t xml:space="preserve">(le </w:t>
            </w:r>
            <w:proofErr w:type="spellStart"/>
            <w:r w:rsidRPr="008D6C1E">
              <w:rPr>
                <w:sz w:val="20"/>
              </w:rPr>
              <w:t>juge</w:t>
            </w:r>
            <w:proofErr w:type="spellEnd"/>
            <w:r w:rsidRPr="008D6C1E">
              <w:rPr>
                <w:sz w:val="20"/>
              </w:rPr>
              <w:t xml:space="preserve"> </w:t>
            </w:r>
            <w:proofErr w:type="spellStart"/>
            <w:r w:rsidRPr="008D6C1E">
              <w:rPr>
                <w:sz w:val="20"/>
              </w:rPr>
              <w:t>Brunton</w:t>
            </w:r>
            <w:proofErr w:type="spellEnd"/>
            <w:r w:rsidRPr="008D6C1E">
              <w:rPr>
                <w:sz w:val="20"/>
              </w:rPr>
              <w:t>)</w:t>
            </w:r>
          </w:p>
          <w:p w:rsidR="0025383B" w:rsidRPr="008D6C1E" w:rsidRDefault="0025383B" w:rsidP="0025383B">
            <w:pPr>
              <w:jc w:val="both"/>
              <w:rPr>
                <w:sz w:val="20"/>
              </w:rPr>
            </w:pPr>
          </w:p>
        </w:tc>
        <w:tc>
          <w:tcPr>
            <w:tcW w:w="243" w:type="pct"/>
          </w:tcPr>
          <w:p w:rsidR="0025383B" w:rsidRPr="008D6C1E" w:rsidRDefault="0025383B" w:rsidP="0025383B">
            <w:pPr>
              <w:jc w:val="both"/>
              <w:rPr>
                <w:sz w:val="20"/>
              </w:rPr>
            </w:pPr>
          </w:p>
        </w:tc>
        <w:tc>
          <w:tcPr>
            <w:tcW w:w="2330" w:type="pct"/>
          </w:tcPr>
          <w:p w:rsidR="0025383B" w:rsidRPr="002C1A32" w:rsidRDefault="0025383B" w:rsidP="0025383B">
            <w:pPr>
              <w:jc w:val="both"/>
              <w:rPr>
                <w:sz w:val="20"/>
                <w:lang w:val="fr-CA"/>
              </w:rPr>
            </w:pPr>
            <w:r w:rsidRPr="002C1A32">
              <w:rPr>
                <w:sz w:val="20"/>
                <w:lang w:val="fr-CA"/>
              </w:rPr>
              <w:t xml:space="preserve">Verdict de culpabilité de meurtre au premier degré prononcé par un jury présidé par le juge </w:t>
            </w:r>
            <w:proofErr w:type="spellStart"/>
            <w:r w:rsidRPr="002C1A32">
              <w:rPr>
                <w:sz w:val="20"/>
                <w:lang w:val="fr-CA"/>
              </w:rPr>
              <w:t>Brunton</w:t>
            </w:r>
            <w:proofErr w:type="spellEnd"/>
            <w:r w:rsidRPr="002C1A32">
              <w:rPr>
                <w:sz w:val="20"/>
                <w:lang w:val="fr-CA"/>
              </w:rPr>
              <w:t>.</w:t>
            </w:r>
          </w:p>
          <w:p w:rsidR="0025383B" w:rsidRPr="002C1A32" w:rsidRDefault="0025383B" w:rsidP="0025383B">
            <w:pPr>
              <w:jc w:val="both"/>
              <w:rPr>
                <w:sz w:val="20"/>
                <w:lang w:val="fr-CA"/>
              </w:rPr>
            </w:pPr>
          </w:p>
        </w:tc>
      </w:tr>
      <w:tr w:rsidR="0025383B" w:rsidRPr="002C1A32" w:rsidTr="00E95A6A">
        <w:tc>
          <w:tcPr>
            <w:tcW w:w="2427" w:type="pct"/>
            <w:gridSpan w:val="2"/>
          </w:tcPr>
          <w:p w:rsidR="0025383B" w:rsidRPr="002C1A32" w:rsidRDefault="0025383B" w:rsidP="0025383B">
            <w:pPr>
              <w:jc w:val="both"/>
              <w:rPr>
                <w:sz w:val="20"/>
                <w:lang w:val="fr-CA"/>
              </w:rPr>
            </w:pPr>
            <w:r w:rsidRPr="002C1A32">
              <w:rPr>
                <w:sz w:val="20"/>
                <w:lang w:val="fr-CA"/>
              </w:rPr>
              <w:t>Le 21 septembre 2015</w:t>
            </w:r>
          </w:p>
          <w:p w:rsidR="0025383B" w:rsidRPr="002C1A32" w:rsidRDefault="0025383B" w:rsidP="0025383B">
            <w:pPr>
              <w:jc w:val="both"/>
              <w:rPr>
                <w:sz w:val="20"/>
                <w:lang w:val="fr-CA"/>
              </w:rPr>
            </w:pPr>
            <w:r w:rsidRPr="002C1A32">
              <w:rPr>
                <w:sz w:val="20"/>
                <w:lang w:val="fr-CA"/>
              </w:rPr>
              <w:t>Cour d’appel du Québec (Montréal)</w:t>
            </w:r>
          </w:p>
          <w:p w:rsidR="0025383B" w:rsidRPr="002C1A32" w:rsidRDefault="0025383B" w:rsidP="0025383B">
            <w:pPr>
              <w:jc w:val="both"/>
              <w:rPr>
                <w:sz w:val="20"/>
                <w:lang w:val="fr-CA"/>
              </w:rPr>
            </w:pPr>
            <w:r w:rsidRPr="002C1A32">
              <w:rPr>
                <w:sz w:val="20"/>
                <w:lang w:val="fr-CA"/>
              </w:rPr>
              <w:t>(Hilton, Giroux et Dufresne J.C.A.)</w:t>
            </w:r>
          </w:p>
          <w:p w:rsidR="0025383B" w:rsidRPr="008D6C1E" w:rsidRDefault="005E6DC4" w:rsidP="0025383B">
            <w:pPr>
              <w:jc w:val="both"/>
              <w:rPr>
                <w:sz w:val="20"/>
              </w:rPr>
            </w:pPr>
            <w:hyperlink r:id="rId127" w:history="1">
              <w:r w:rsidR="0025383B" w:rsidRPr="008D6C1E">
                <w:rPr>
                  <w:rStyle w:val="Hyperlink"/>
                  <w:sz w:val="20"/>
                </w:rPr>
                <w:t>2015 QCCA 1517</w:t>
              </w:r>
            </w:hyperlink>
          </w:p>
          <w:p w:rsidR="0025383B" w:rsidRPr="008D6C1E" w:rsidRDefault="0025383B" w:rsidP="0025383B">
            <w:pPr>
              <w:jc w:val="both"/>
              <w:rPr>
                <w:sz w:val="20"/>
              </w:rPr>
            </w:pPr>
          </w:p>
        </w:tc>
        <w:tc>
          <w:tcPr>
            <w:tcW w:w="243" w:type="pct"/>
          </w:tcPr>
          <w:p w:rsidR="0025383B" w:rsidRPr="008D6C1E" w:rsidRDefault="0025383B" w:rsidP="0025383B">
            <w:pPr>
              <w:jc w:val="both"/>
              <w:rPr>
                <w:sz w:val="20"/>
              </w:rPr>
            </w:pPr>
          </w:p>
        </w:tc>
        <w:tc>
          <w:tcPr>
            <w:tcW w:w="2330" w:type="pct"/>
          </w:tcPr>
          <w:p w:rsidR="0025383B" w:rsidRPr="002C1A32" w:rsidRDefault="0025383B" w:rsidP="0025383B">
            <w:pPr>
              <w:jc w:val="both"/>
              <w:rPr>
                <w:sz w:val="20"/>
                <w:lang w:val="fr-CA"/>
              </w:rPr>
            </w:pPr>
            <w:r w:rsidRPr="002C1A32">
              <w:rPr>
                <w:sz w:val="20"/>
                <w:lang w:val="fr-CA"/>
              </w:rPr>
              <w:t>Appel accueilli et arrêt des procédures ordonné.</w:t>
            </w:r>
          </w:p>
          <w:p w:rsidR="0025383B" w:rsidRPr="002C1A32" w:rsidRDefault="0025383B" w:rsidP="0025383B">
            <w:pPr>
              <w:jc w:val="both"/>
              <w:rPr>
                <w:sz w:val="20"/>
                <w:lang w:val="fr-CA"/>
              </w:rPr>
            </w:pPr>
          </w:p>
        </w:tc>
      </w:tr>
      <w:tr w:rsidR="0025383B" w:rsidRPr="008D6C1E" w:rsidTr="00E95A6A">
        <w:tc>
          <w:tcPr>
            <w:tcW w:w="2427" w:type="pct"/>
            <w:gridSpan w:val="2"/>
          </w:tcPr>
          <w:p w:rsidR="0025383B" w:rsidRPr="002C1A32" w:rsidRDefault="0025383B" w:rsidP="0025383B">
            <w:pPr>
              <w:jc w:val="both"/>
              <w:rPr>
                <w:sz w:val="20"/>
                <w:lang w:val="fr-CA"/>
              </w:rPr>
            </w:pPr>
            <w:r w:rsidRPr="002C1A32">
              <w:rPr>
                <w:sz w:val="20"/>
                <w:lang w:val="fr-CA"/>
              </w:rPr>
              <w:t>Le 20 novembre 2015</w:t>
            </w:r>
          </w:p>
          <w:p w:rsidR="0025383B" w:rsidRPr="002C1A32" w:rsidRDefault="0025383B" w:rsidP="0025383B">
            <w:pPr>
              <w:jc w:val="both"/>
              <w:rPr>
                <w:sz w:val="20"/>
                <w:lang w:val="fr-CA"/>
              </w:rPr>
            </w:pPr>
            <w:r w:rsidRPr="002C1A32">
              <w:rPr>
                <w:sz w:val="20"/>
                <w:lang w:val="fr-CA"/>
              </w:rPr>
              <w:t>Cour suprême du Canada</w:t>
            </w:r>
          </w:p>
        </w:tc>
        <w:tc>
          <w:tcPr>
            <w:tcW w:w="243" w:type="pct"/>
          </w:tcPr>
          <w:p w:rsidR="0025383B" w:rsidRPr="002C1A32" w:rsidRDefault="0025383B" w:rsidP="0025383B">
            <w:pPr>
              <w:jc w:val="both"/>
              <w:rPr>
                <w:sz w:val="20"/>
                <w:lang w:val="fr-CA"/>
              </w:rPr>
            </w:pPr>
          </w:p>
        </w:tc>
        <w:tc>
          <w:tcPr>
            <w:tcW w:w="2330" w:type="pct"/>
          </w:tcPr>
          <w:p w:rsidR="0025383B" w:rsidRPr="008D6C1E" w:rsidRDefault="0025383B" w:rsidP="0025383B">
            <w:pPr>
              <w:jc w:val="both"/>
              <w:rPr>
                <w:sz w:val="20"/>
              </w:rPr>
            </w:pPr>
            <w:proofErr w:type="spellStart"/>
            <w:r w:rsidRPr="008D6C1E">
              <w:rPr>
                <w:sz w:val="20"/>
              </w:rPr>
              <w:t>Demande</w:t>
            </w:r>
            <w:proofErr w:type="spellEnd"/>
            <w:r w:rsidRPr="008D6C1E">
              <w:rPr>
                <w:sz w:val="20"/>
              </w:rPr>
              <w:t xml:space="preserve"> </w:t>
            </w:r>
            <w:proofErr w:type="spellStart"/>
            <w:r w:rsidRPr="008D6C1E">
              <w:rPr>
                <w:sz w:val="20"/>
              </w:rPr>
              <w:t>d’autorisation</w:t>
            </w:r>
            <w:proofErr w:type="spellEnd"/>
            <w:r w:rsidRPr="008D6C1E">
              <w:rPr>
                <w:sz w:val="20"/>
              </w:rPr>
              <w:t xml:space="preserve"> </w:t>
            </w:r>
            <w:proofErr w:type="spellStart"/>
            <w:r w:rsidRPr="008D6C1E">
              <w:rPr>
                <w:sz w:val="20"/>
              </w:rPr>
              <w:t>d’appel</w:t>
            </w:r>
            <w:proofErr w:type="spellEnd"/>
            <w:r w:rsidRPr="008D6C1E">
              <w:rPr>
                <w:sz w:val="20"/>
              </w:rPr>
              <w:t xml:space="preserve"> </w:t>
            </w:r>
            <w:proofErr w:type="spellStart"/>
            <w:r w:rsidRPr="008D6C1E">
              <w:rPr>
                <w:sz w:val="20"/>
              </w:rPr>
              <w:t>déposée</w:t>
            </w:r>
            <w:proofErr w:type="spellEnd"/>
            <w:r w:rsidRPr="008D6C1E">
              <w:rPr>
                <w:sz w:val="20"/>
              </w:rPr>
              <w:t>.</w:t>
            </w:r>
          </w:p>
        </w:tc>
      </w:tr>
    </w:tbl>
    <w:p w:rsidR="0025383B" w:rsidRPr="008D6C1E" w:rsidRDefault="0025383B" w:rsidP="00DA6C4D">
      <w:pPr>
        <w:jc w:val="both"/>
        <w:rPr>
          <w:sz w:val="20"/>
        </w:rPr>
      </w:pPr>
    </w:p>
    <w:p w:rsidR="006C44EF" w:rsidRPr="008D6C1E" w:rsidRDefault="006C44EF" w:rsidP="00DA6C4D">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A6C4D" w:rsidRPr="008D6C1E" w:rsidTr="00E95A6A">
        <w:tc>
          <w:tcPr>
            <w:tcW w:w="543" w:type="pct"/>
          </w:tcPr>
          <w:p w:rsidR="00DA6C4D" w:rsidRPr="008D6C1E" w:rsidRDefault="00DA6C4D" w:rsidP="00DA6C4D">
            <w:pPr>
              <w:jc w:val="both"/>
              <w:rPr>
                <w:sz w:val="20"/>
                <w:lang w:val="en-CA"/>
              </w:rPr>
            </w:pPr>
            <w:r w:rsidRPr="008D6C1E">
              <w:rPr>
                <w:rStyle w:val="SCCFileNumberChar"/>
                <w:sz w:val="20"/>
                <w:szCs w:val="20"/>
              </w:rPr>
              <w:t>36790</w:t>
            </w:r>
          </w:p>
        </w:tc>
        <w:tc>
          <w:tcPr>
            <w:tcW w:w="4457" w:type="pct"/>
            <w:gridSpan w:val="3"/>
          </w:tcPr>
          <w:p w:rsidR="00DA6C4D" w:rsidRPr="008D6C1E" w:rsidRDefault="00DA6C4D" w:rsidP="00DA6C4D">
            <w:pPr>
              <w:pStyle w:val="SCCLsocParty"/>
              <w:jc w:val="both"/>
              <w:rPr>
                <w:b/>
                <w:sz w:val="20"/>
                <w:szCs w:val="20"/>
              </w:rPr>
            </w:pPr>
            <w:r w:rsidRPr="008D6C1E">
              <w:rPr>
                <w:b/>
                <w:sz w:val="20"/>
                <w:szCs w:val="20"/>
              </w:rPr>
              <w:t>9187-0725 Québec inc. v. Matériaux Kott G.P.</w:t>
            </w:r>
          </w:p>
          <w:p w:rsidR="00DA6C4D" w:rsidRPr="008D6C1E" w:rsidRDefault="00DA6C4D" w:rsidP="00DA6C4D">
            <w:pPr>
              <w:jc w:val="both"/>
              <w:rPr>
                <w:sz w:val="20"/>
                <w:lang w:val="en-CA"/>
              </w:rPr>
            </w:pPr>
            <w:r w:rsidRPr="008D6C1E">
              <w:rPr>
                <w:sz w:val="20"/>
                <w:lang w:val="en-CA"/>
              </w:rPr>
              <w:t>(Que.) (Civil) (By Leave)</w:t>
            </w:r>
          </w:p>
        </w:tc>
      </w:tr>
      <w:tr w:rsidR="00DA6C4D" w:rsidRPr="008D6C1E" w:rsidTr="00E95A6A">
        <w:tc>
          <w:tcPr>
            <w:tcW w:w="5000" w:type="pct"/>
            <w:gridSpan w:val="4"/>
          </w:tcPr>
          <w:p w:rsidR="00DA6C4D" w:rsidRPr="008D6C1E" w:rsidRDefault="00DA6C4D" w:rsidP="00DA6C4D">
            <w:pPr>
              <w:pStyle w:val="SCCBanSummary"/>
              <w:rPr>
                <w:sz w:val="20"/>
                <w:szCs w:val="20"/>
              </w:rPr>
            </w:pPr>
            <w:r w:rsidRPr="008D6C1E">
              <w:rPr>
                <w:smallCaps w:val="0"/>
                <w:sz w:val="20"/>
                <w:szCs w:val="20"/>
              </w:rPr>
              <w:t xml:space="preserve">Contract — Transaction entered into in connection with motion for forced surrender and sale by judicial authority of immovables charged with legal hypothecs — Meaning and scope to be given to expression “unless the documents were withheld by one of the parties” in art. 2637 of </w:t>
            </w:r>
            <w:r w:rsidRPr="008D6C1E">
              <w:rPr>
                <w:i/>
                <w:smallCaps w:val="0"/>
                <w:sz w:val="20"/>
                <w:szCs w:val="20"/>
              </w:rPr>
              <w:t>Civil Code of Québec</w:t>
            </w:r>
            <w:r w:rsidRPr="008D6C1E">
              <w:rPr>
                <w:smallCaps w:val="0"/>
                <w:sz w:val="20"/>
                <w:szCs w:val="20"/>
              </w:rPr>
              <w:t xml:space="preserve"> — </w:t>
            </w:r>
            <w:r w:rsidRPr="008D6C1E">
              <w:rPr>
                <w:i/>
                <w:smallCaps w:val="0"/>
                <w:sz w:val="20"/>
                <w:szCs w:val="20"/>
              </w:rPr>
              <w:t>Civil Code of Québec</w:t>
            </w:r>
            <w:r w:rsidRPr="008D6C1E">
              <w:rPr>
                <w:smallCaps w:val="0"/>
                <w:sz w:val="20"/>
                <w:szCs w:val="20"/>
              </w:rPr>
              <w:t>, CQLR, c. C</w:t>
            </w:r>
            <w:r w:rsidRPr="008D6C1E">
              <w:rPr>
                <w:smallCaps w:val="0"/>
                <w:sz w:val="20"/>
                <w:szCs w:val="20"/>
              </w:rPr>
              <w:noBreakHyphen/>
              <w:t>1991, art. 2637.</w:t>
            </w:r>
          </w:p>
        </w:tc>
      </w:tr>
      <w:tr w:rsidR="00DA6C4D" w:rsidRPr="008D6C1E" w:rsidTr="00E95A6A">
        <w:tc>
          <w:tcPr>
            <w:tcW w:w="5000" w:type="pct"/>
            <w:gridSpan w:val="4"/>
          </w:tcPr>
          <w:p w:rsidR="00DA6C4D" w:rsidRPr="008D6C1E" w:rsidRDefault="00DA6C4D" w:rsidP="00DA6C4D">
            <w:pPr>
              <w:jc w:val="both"/>
              <w:rPr>
                <w:sz w:val="20"/>
                <w:lang w:val="en-CA"/>
              </w:rPr>
            </w:pPr>
          </w:p>
        </w:tc>
      </w:tr>
      <w:tr w:rsidR="00DA6C4D" w:rsidRPr="008D6C1E" w:rsidTr="00E95A6A">
        <w:tc>
          <w:tcPr>
            <w:tcW w:w="5000" w:type="pct"/>
            <w:gridSpan w:val="4"/>
          </w:tcPr>
          <w:p w:rsidR="00DA6C4D" w:rsidRPr="008D6C1E" w:rsidRDefault="00DA6C4D" w:rsidP="00DA6C4D">
            <w:pPr>
              <w:jc w:val="both"/>
              <w:rPr>
                <w:sz w:val="20"/>
                <w:lang w:val="en-CA"/>
              </w:rPr>
            </w:pPr>
            <w:r w:rsidRPr="008D6C1E">
              <w:rPr>
                <w:sz w:val="20"/>
                <w:lang w:val="en-CA"/>
              </w:rPr>
              <w:t>For the purposes of a three</w:t>
            </w:r>
            <w:r w:rsidRPr="008D6C1E">
              <w:rPr>
                <w:sz w:val="20"/>
                <w:lang w:val="en-CA"/>
              </w:rPr>
              <w:noBreakHyphen/>
              <w:t>phase project to build a residential condominium complex in Laval, the applicant 9187</w:t>
            </w:r>
            <w:r w:rsidRPr="008D6C1E">
              <w:rPr>
                <w:sz w:val="20"/>
                <w:lang w:val="en-CA"/>
              </w:rPr>
              <w:noBreakHyphen/>
              <w:t xml:space="preserve">0725 Québec inc. entered into a contract for the sale of materials with the respondent Matériaux Kott G.P. It </w:t>
            </w:r>
            <w:proofErr w:type="gramStart"/>
            <w:r w:rsidRPr="008D6C1E">
              <w:rPr>
                <w:sz w:val="20"/>
                <w:lang w:val="en-CA"/>
              </w:rPr>
              <w:t>was agreed</w:t>
            </w:r>
            <w:proofErr w:type="gramEnd"/>
            <w:r w:rsidRPr="008D6C1E">
              <w:rPr>
                <w:sz w:val="20"/>
                <w:lang w:val="en-CA"/>
              </w:rPr>
              <w:t xml:space="preserve"> that the materials would be sold for a fixed price. The fixed price was payable based on delivery of the materials when the respondent thought it appropriate to send an invoice after delivery. In late 2012, the applicant began building phase III of the complex and a single</w:t>
            </w:r>
            <w:r w:rsidRPr="008D6C1E">
              <w:rPr>
                <w:sz w:val="20"/>
                <w:lang w:val="en-CA"/>
              </w:rPr>
              <w:noBreakHyphen/>
              <w:t xml:space="preserve">family home. It failed to pay the bills sent by the respondent for the delivery of materials for the two projects. In April 2013, the respondent registered legal construction hypothecs against the two immovables. In November 2013, it filed a motion for the sale of the charged immovables by judicial authority. A few days before the presentation of the motion, the parties entered into a transaction pursuant to arts. 2631 </w:t>
            </w:r>
            <w:r w:rsidRPr="008D6C1E">
              <w:rPr>
                <w:i/>
                <w:sz w:val="20"/>
                <w:lang w:val="en-CA"/>
              </w:rPr>
              <w:t>et seq.</w:t>
            </w:r>
            <w:r w:rsidRPr="008D6C1E">
              <w:rPr>
                <w:sz w:val="20"/>
                <w:lang w:val="en-CA"/>
              </w:rPr>
              <w:t xml:space="preserve"> of the </w:t>
            </w:r>
            <w:r w:rsidRPr="008D6C1E">
              <w:rPr>
                <w:i/>
                <w:sz w:val="20"/>
                <w:lang w:val="en-CA"/>
              </w:rPr>
              <w:t>Civil Code of Québec</w:t>
            </w:r>
            <w:r w:rsidRPr="008D6C1E">
              <w:rPr>
                <w:sz w:val="20"/>
                <w:lang w:val="en-CA"/>
              </w:rPr>
              <w:t xml:space="preserve">. The proceedings resumed when the applicant failed to make all the payments specified in the transaction. </w:t>
            </w:r>
          </w:p>
          <w:p w:rsidR="00DA6C4D" w:rsidRPr="008D6C1E" w:rsidRDefault="00DA6C4D" w:rsidP="00DA6C4D">
            <w:pPr>
              <w:jc w:val="both"/>
              <w:rPr>
                <w:sz w:val="20"/>
                <w:lang w:val="en-CA"/>
              </w:rPr>
            </w:pPr>
          </w:p>
        </w:tc>
      </w:tr>
      <w:tr w:rsidR="00DA6C4D" w:rsidRPr="008D6C1E" w:rsidTr="00E95A6A">
        <w:tc>
          <w:tcPr>
            <w:tcW w:w="2427" w:type="pct"/>
            <w:gridSpan w:val="2"/>
          </w:tcPr>
          <w:p w:rsidR="00DA6C4D" w:rsidRPr="008D6C1E" w:rsidRDefault="00DA6C4D" w:rsidP="00DA6C4D">
            <w:pPr>
              <w:jc w:val="both"/>
              <w:rPr>
                <w:sz w:val="20"/>
                <w:lang w:val="en-CA"/>
              </w:rPr>
            </w:pPr>
            <w:r w:rsidRPr="008D6C1E">
              <w:rPr>
                <w:sz w:val="20"/>
                <w:lang w:val="en-CA"/>
              </w:rPr>
              <w:lastRenderedPageBreak/>
              <w:t>April 9, 2015</w:t>
            </w:r>
          </w:p>
          <w:p w:rsidR="00DA6C4D" w:rsidRPr="008D6C1E" w:rsidRDefault="00DA6C4D" w:rsidP="00DA6C4D">
            <w:pPr>
              <w:jc w:val="both"/>
              <w:rPr>
                <w:sz w:val="20"/>
                <w:lang w:val="en-CA"/>
              </w:rPr>
            </w:pPr>
            <w:r w:rsidRPr="008D6C1E">
              <w:rPr>
                <w:sz w:val="20"/>
                <w:lang w:val="en-CA"/>
              </w:rPr>
              <w:t>Superior Court (Laval)</w:t>
            </w:r>
          </w:p>
          <w:p w:rsidR="00DA6C4D" w:rsidRPr="008D6C1E" w:rsidRDefault="00DA6C4D" w:rsidP="00DA6C4D">
            <w:pPr>
              <w:jc w:val="both"/>
              <w:rPr>
                <w:sz w:val="20"/>
                <w:lang w:val="en-CA"/>
              </w:rPr>
            </w:pPr>
            <w:r w:rsidRPr="008D6C1E">
              <w:rPr>
                <w:sz w:val="20"/>
                <w:lang w:val="en-CA"/>
              </w:rPr>
              <w:t>(Lanctôt J.)</w:t>
            </w:r>
          </w:p>
          <w:p w:rsidR="00DA6C4D" w:rsidRPr="008D6C1E" w:rsidRDefault="005E6DC4" w:rsidP="00DA6C4D">
            <w:pPr>
              <w:jc w:val="both"/>
              <w:rPr>
                <w:sz w:val="20"/>
                <w:lang w:val="en-CA"/>
              </w:rPr>
            </w:pPr>
            <w:hyperlink r:id="rId128" w:history="1">
              <w:r w:rsidR="00DA6C4D" w:rsidRPr="008D6C1E">
                <w:rPr>
                  <w:rStyle w:val="Hyperlink"/>
                  <w:sz w:val="20"/>
                  <w:lang w:val="en-CA"/>
                </w:rPr>
                <w:t>2015 QCCS 1414</w:t>
              </w:r>
            </w:hyperlink>
          </w:p>
          <w:p w:rsidR="00DA6C4D" w:rsidRPr="008D6C1E" w:rsidRDefault="00DA6C4D" w:rsidP="00DA6C4D">
            <w:pPr>
              <w:jc w:val="both"/>
              <w:rPr>
                <w:sz w:val="20"/>
                <w:lang w:val="en-CA"/>
              </w:rPr>
            </w:pPr>
          </w:p>
        </w:tc>
        <w:tc>
          <w:tcPr>
            <w:tcW w:w="243" w:type="pct"/>
          </w:tcPr>
          <w:p w:rsidR="00DA6C4D" w:rsidRPr="008D6C1E" w:rsidRDefault="00DA6C4D" w:rsidP="00DA6C4D">
            <w:pPr>
              <w:jc w:val="both"/>
              <w:rPr>
                <w:sz w:val="20"/>
                <w:lang w:val="en-CA"/>
              </w:rPr>
            </w:pPr>
          </w:p>
        </w:tc>
        <w:tc>
          <w:tcPr>
            <w:tcW w:w="2330" w:type="pct"/>
          </w:tcPr>
          <w:p w:rsidR="00DA6C4D" w:rsidRPr="008D6C1E" w:rsidRDefault="00DA6C4D" w:rsidP="00DA6C4D">
            <w:pPr>
              <w:jc w:val="both"/>
              <w:rPr>
                <w:sz w:val="20"/>
                <w:lang w:val="en-CA"/>
              </w:rPr>
            </w:pPr>
            <w:r w:rsidRPr="008D6C1E">
              <w:rPr>
                <w:sz w:val="20"/>
                <w:lang w:val="en-CA"/>
              </w:rPr>
              <w:t>Motion for forced surrender and sale by judicial authority allowed</w:t>
            </w:r>
          </w:p>
          <w:p w:rsidR="00DA6C4D" w:rsidRPr="008D6C1E" w:rsidRDefault="00DA6C4D" w:rsidP="00DA6C4D">
            <w:pPr>
              <w:jc w:val="both"/>
              <w:rPr>
                <w:sz w:val="20"/>
                <w:lang w:val="en-CA"/>
              </w:rPr>
            </w:pPr>
            <w:r w:rsidRPr="008D6C1E">
              <w:rPr>
                <w:sz w:val="20"/>
                <w:lang w:val="en-CA"/>
              </w:rPr>
              <w:t>Cross demand dismissed</w:t>
            </w:r>
          </w:p>
        </w:tc>
      </w:tr>
      <w:tr w:rsidR="00DA6C4D" w:rsidRPr="008D6C1E" w:rsidTr="00E95A6A">
        <w:tc>
          <w:tcPr>
            <w:tcW w:w="2427" w:type="pct"/>
            <w:gridSpan w:val="2"/>
          </w:tcPr>
          <w:p w:rsidR="00DA6C4D" w:rsidRPr="008D6C1E" w:rsidRDefault="00DA6C4D" w:rsidP="00DA6C4D">
            <w:pPr>
              <w:jc w:val="both"/>
              <w:rPr>
                <w:sz w:val="20"/>
                <w:lang w:val="en-CA"/>
              </w:rPr>
            </w:pPr>
            <w:r w:rsidRPr="008D6C1E">
              <w:rPr>
                <w:sz w:val="20"/>
                <w:lang w:val="en-CA"/>
              </w:rPr>
              <w:t>July 10, 2015</w:t>
            </w:r>
          </w:p>
          <w:p w:rsidR="00DA6C4D" w:rsidRPr="008D6C1E" w:rsidRDefault="00DA6C4D" w:rsidP="00DA6C4D">
            <w:pPr>
              <w:jc w:val="both"/>
              <w:rPr>
                <w:sz w:val="20"/>
                <w:lang w:val="en-CA"/>
              </w:rPr>
            </w:pPr>
            <w:r w:rsidRPr="008D6C1E">
              <w:rPr>
                <w:sz w:val="20"/>
                <w:lang w:val="en-CA"/>
              </w:rPr>
              <w:t>Quebec Court of Appeal (Montréal)</w:t>
            </w:r>
          </w:p>
          <w:p w:rsidR="00DA6C4D" w:rsidRPr="008D6C1E" w:rsidRDefault="00DA6C4D" w:rsidP="00DA6C4D">
            <w:pPr>
              <w:jc w:val="both"/>
              <w:rPr>
                <w:sz w:val="20"/>
                <w:lang w:val="en-CA"/>
              </w:rPr>
            </w:pPr>
            <w:r w:rsidRPr="008D6C1E">
              <w:rPr>
                <w:sz w:val="20"/>
                <w:lang w:val="en-CA"/>
              </w:rPr>
              <w:t>(Duval Hesler </w:t>
            </w:r>
            <w:proofErr w:type="gramStart"/>
            <w:r w:rsidRPr="008D6C1E">
              <w:rPr>
                <w:sz w:val="20"/>
                <w:lang w:val="en-CA"/>
              </w:rPr>
              <w:t>C.J. and Schrager</w:t>
            </w:r>
            <w:proofErr w:type="gramEnd"/>
            <w:r w:rsidRPr="008D6C1E">
              <w:rPr>
                <w:sz w:val="20"/>
                <w:lang w:val="en-CA"/>
              </w:rPr>
              <w:t xml:space="preserve"> and Mainville JJ.A.)</w:t>
            </w:r>
          </w:p>
          <w:p w:rsidR="00DA6C4D" w:rsidRPr="008D6C1E" w:rsidRDefault="00DA6C4D" w:rsidP="00DA6C4D">
            <w:pPr>
              <w:jc w:val="both"/>
              <w:rPr>
                <w:sz w:val="20"/>
                <w:lang w:val="en-CA"/>
              </w:rPr>
            </w:pPr>
            <w:r w:rsidRPr="008D6C1E">
              <w:rPr>
                <w:sz w:val="20"/>
                <w:lang w:val="en-CA"/>
              </w:rPr>
              <w:t>500-09-025271-156 (unreported)</w:t>
            </w:r>
          </w:p>
          <w:p w:rsidR="00DA6C4D" w:rsidRPr="008D6C1E" w:rsidRDefault="00DA6C4D" w:rsidP="00DA6C4D">
            <w:pPr>
              <w:jc w:val="both"/>
              <w:rPr>
                <w:sz w:val="20"/>
                <w:lang w:val="en-CA"/>
              </w:rPr>
            </w:pPr>
          </w:p>
        </w:tc>
        <w:tc>
          <w:tcPr>
            <w:tcW w:w="243" w:type="pct"/>
          </w:tcPr>
          <w:p w:rsidR="00DA6C4D" w:rsidRPr="008D6C1E" w:rsidRDefault="00DA6C4D" w:rsidP="00DA6C4D">
            <w:pPr>
              <w:jc w:val="both"/>
              <w:rPr>
                <w:sz w:val="20"/>
                <w:lang w:val="en-CA"/>
              </w:rPr>
            </w:pPr>
          </w:p>
        </w:tc>
        <w:tc>
          <w:tcPr>
            <w:tcW w:w="2330" w:type="pct"/>
          </w:tcPr>
          <w:p w:rsidR="00DA6C4D" w:rsidRPr="008D6C1E" w:rsidRDefault="00DA6C4D" w:rsidP="00DA6C4D">
            <w:pPr>
              <w:jc w:val="both"/>
              <w:rPr>
                <w:sz w:val="20"/>
                <w:lang w:val="en-CA"/>
              </w:rPr>
            </w:pPr>
            <w:r w:rsidRPr="008D6C1E">
              <w:rPr>
                <w:sz w:val="20"/>
                <w:lang w:val="en-CA"/>
              </w:rPr>
              <w:t>Motion to dismiss appeal allowed</w:t>
            </w:r>
          </w:p>
          <w:p w:rsidR="00DA6C4D" w:rsidRPr="008D6C1E" w:rsidRDefault="00DA6C4D" w:rsidP="00DA6C4D">
            <w:pPr>
              <w:jc w:val="both"/>
              <w:rPr>
                <w:sz w:val="20"/>
                <w:lang w:val="en-CA"/>
              </w:rPr>
            </w:pPr>
            <w:r w:rsidRPr="008D6C1E">
              <w:rPr>
                <w:sz w:val="20"/>
                <w:lang w:val="en-CA"/>
              </w:rPr>
              <w:t>Appeal dismissed</w:t>
            </w:r>
          </w:p>
          <w:p w:rsidR="00DA6C4D" w:rsidRPr="008D6C1E" w:rsidRDefault="00DA6C4D" w:rsidP="00DA6C4D">
            <w:pPr>
              <w:jc w:val="both"/>
              <w:rPr>
                <w:sz w:val="20"/>
                <w:lang w:val="en-CA"/>
              </w:rPr>
            </w:pPr>
          </w:p>
        </w:tc>
      </w:tr>
      <w:tr w:rsidR="00DA6C4D" w:rsidRPr="008D6C1E" w:rsidTr="00E95A6A">
        <w:tc>
          <w:tcPr>
            <w:tcW w:w="2427" w:type="pct"/>
            <w:gridSpan w:val="2"/>
          </w:tcPr>
          <w:p w:rsidR="00DA6C4D" w:rsidRPr="008D6C1E" w:rsidRDefault="00DA6C4D" w:rsidP="00DA6C4D">
            <w:pPr>
              <w:jc w:val="both"/>
              <w:rPr>
                <w:sz w:val="20"/>
                <w:lang w:val="en-CA"/>
              </w:rPr>
            </w:pPr>
            <w:r w:rsidRPr="008D6C1E">
              <w:rPr>
                <w:sz w:val="20"/>
                <w:lang w:val="en-CA"/>
              </w:rPr>
              <w:t>September 29, 2015</w:t>
            </w:r>
          </w:p>
          <w:p w:rsidR="00DA6C4D" w:rsidRPr="008D6C1E" w:rsidRDefault="00DA6C4D" w:rsidP="00DA6C4D">
            <w:pPr>
              <w:jc w:val="both"/>
              <w:rPr>
                <w:sz w:val="20"/>
                <w:lang w:val="en-CA"/>
              </w:rPr>
            </w:pPr>
            <w:r w:rsidRPr="008D6C1E">
              <w:rPr>
                <w:sz w:val="20"/>
                <w:lang w:val="en-CA"/>
              </w:rPr>
              <w:t>Supreme Court of Canada</w:t>
            </w:r>
          </w:p>
        </w:tc>
        <w:tc>
          <w:tcPr>
            <w:tcW w:w="243" w:type="pct"/>
          </w:tcPr>
          <w:p w:rsidR="00DA6C4D" w:rsidRPr="008D6C1E" w:rsidRDefault="00DA6C4D" w:rsidP="00DA6C4D">
            <w:pPr>
              <w:jc w:val="both"/>
              <w:rPr>
                <w:sz w:val="20"/>
                <w:lang w:val="en-CA"/>
              </w:rPr>
            </w:pPr>
          </w:p>
        </w:tc>
        <w:tc>
          <w:tcPr>
            <w:tcW w:w="2330" w:type="pct"/>
          </w:tcPr>
          <w:p w:rsidR="00DA6C4D" w:rsidRPr="008D6C1E" w:rsidRDefault="00DA6C4D" w:rsidP="00DA6C4D">
            <w:pPr>
              <w:jc w:val="both"/>
              <w:rPr>
                <w:sz w:val="20"/>
                <w:lang w:val="en-CA"/>
              </w:rPr>
            </w:pPr>
            <w:r w:rsidRPr="008D6C1E">
              <w:rPr>
                <w:sz w:val="20"/>
                <w:lang w:val="en-CA"/>
              </w:rPr>
              <w:t>Application for leave to appeal filed</w:t>
            </w:r>
          </w:p>
          <w:p w:rsidR="00DA6C4D" w:rsidRPr="008D6C1E" w:rsidRDefault="00DA6C4D" w:rsidP="00DA6C4D">
            <w:pPr>
              <w:jc w:val="both"/>
              <w:rPr>
                <w:sz w:val="20"/>
                <w:lang w:val="en-CA"/>
              </w:rPr>
            </w:pPr>
          </w:p>
        </w:tc>
      </w:tr>
    </w:tbl>
    <w:p w:rsidR="00DA6C4D" w:rsidRPr="008D6C1E" w:rsidRDefault="00DA6C4D" w:rsidP="00DA6C4D">
      <w:pPr>
        <w:jc w:val="both"/>
        <w:rPr>
          <w:sz w:val="20"/>
          <w:lang w:val="en-CA"/>
        </w:rPr>
      </w:pPr>
    </w:p>
    <w:p w:rsidR="00DA6C4D" w:rsidRPr="008D6C1E" w:rsidRDefault="00DA6C4D" w:rsidP="00DA6C4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A6C4D" w:rsidRPr="008D6C1E" w:rsidTr="00E95A6A">
        <w:tc>
          <w:tcPr>
            <w:tcW w:w="543" w:type="pct"/>
          </w:tcPr>
          <w:p w:rsidR="00DA6C4D" w:rsidRPr="008D6C1E" w:rsidRDefault="00DA6C4D" w:rsidP="00DA6C4D">
            <w:pPr>
              <w:jc w:val="both"/>
              <w:rPr>
                <w:sz w:val="20"/>
              </w:rPr>
            </w:pPr>
            <w:r w:rsidRPr="008D6C1E">
              <w:rPr>
                <w:rStyle w:val="SCCFileNumberChar"/>
                <w:sz w:val="20"/>
                <w:szCs w:val="20"/>
              </w:rPr>
              <w:t>36790</w:t>
            </w:r>
          </w:p>
        </w:tc>
        <w:tc>
          <w:tcPr>
            <w:tcW w:w="4457" w:type="pct"/>
            <w:gridSpan w:val="3"/>
          </w:tcPr>
          <w:p w:rsidR="00DA6C4D" w:rsidRPr="008D6C1E" w:rsidRDefault="00DA6C4D" w:rsidP="00DA6C4D">
            <w:pPr>
              <w:pStyle w:val="SCCLsocParty"/>
              <w:jc w:val="both"/>
              <w:rPr>
                <w:b/>
                <w:sz w:val="20"/>
                <w:szCs w:val="20"/>
              </w:rPr>
            </w:pPr>
            <w:r w:rsidRPr="008D6C1E">
              <w:rPr>
                <w:b/>
                <w:sz w:val="20"/>
                <w:szCs w:val="20"/>
              </w:rPr>
              <w:t xml:space="preserve">9187-0725 Québec </w:t>
            </w:r>
            <w:proofErr w:type="spellStart"/>
            <w:r w:rsidRPr="008D6C1E">
              <w:rPr>
                <w:b/>
                <w:sz w:val="20"/>
                <w:szCs w:val="20"/>
              </w:rPr>
              <w:t>inc.</w:t>
            </w:r>
            <w:proofErr w:type="spellEnd"/>
            <w:r w:rsidRPr="008D6C1E">
              <w:rPr>
                <w:b/>
                <w:sz w:val="20"/>
                <w:szCs w:val="20"/>
              </w:rPr>
              <w:t xml:space="preserve"> c. Matériaux </w:t>
            </w:r>
            <w:proofErr w:type="spellStart"/>
            <w:r w:rsidRPr="008D6C1E">
              <w:rPr>
                <w:b/>
                <w:sz w:val="20"/>
                <w:szCs w:val="20"/>
              </w:rPr>
              <w:t>Kott</w:t>
            </w:r>
            <w:proofErr w:type="spellEnd"/>
            <w:r w:rsidRPr="008D6C1E">
              <w:rPr>
                <w:b/>
                <w:sz w:val="20"/>
                <w:szCs w:val="20"/>
              </w:rPr>
              <w:t xml:space="preserve"> </w:t>
            </w:r>
            <w:proofErr w:type="spellStart"/>
            <w:r w:rsidRPr="008D6C1E">
              <w:rPr>
                <w:b/>
                <w:sz w:val="20"/>
                <w:szCs w:val="20"/>
              </w:rPr>
              <w:t>s.e.n.c</w:t>
            </w:r>
            <w:proofErr w:type="spellEnd"/>
            <w:r w:rsidRPr="008D6C1E">
              <w:rPr>
                <w:b/>
                <w:sz w:val="20"/>
                <w:szCs w:val="20"/>
              </w:rPr>
              <w:t>.</w:t>
            </w:r>
          </w:p>
          <w:p w:rsidR="00DA6C4D" w:rsidRPr="008D6C1E" w:rsidRDefault="00DA6C4D" w:rsidP="00DA6C4D">
            <w:pPr>
              <w:jc w:val="both"/>
              <w:rPr>
                <w:sz w:val="20"/>
              </w:rPr>
            </w:pPr>
            <w:r w:rsidRPr="008D6C1E">
              <w:rPr>
                <w:sz w:val="20"/>
              </w:rPr>
              <w:t>(Qc) (</w:t>
            </w:r>
            <w:proofErr w:type="spellStart"/>
            <w:r w:rsidRPr="008D6C1E">
              <w:rPr>
                <w:sz w:val="20"/>
              </w:rPr>
              <w:t>Civile</w:t>
            </w:r>
            <w:proofErr w:type="spellEnd"/>
            <w:r w:rsidRPr="008D6C1E">
              <w:rPr>
                <w:sz w:val="20"/>
              </w:rPr>
              <w:t>) (</w:t>
            </w:r>
            <w:proofErr w:type="spellStart"/>
            <w:r w:rsidRPr="008D6C1E">
              <w:rPr>
                <w:sz w:val="20"/>
              </w:rPr>
              <w:t>Autorisation</w:t>
            </w:r>
            <w:proofErr w:type="spellEnd"/>
            <w:r w:rsidRPr="008D6C1E">
              <w:rPr>
                <w:sz w:val="20"/>
              </w:rPr>
              <w:t>)</w:t>
            </w:r>
          </w:p>
        </w:tc>
      </w:tr>
      <w:tr w:rsidR="00DA6C4D" w:rsidRPr="002C1A32" w:rsidTr="00E95A6A">
        <w:tc>
          <w:tcPr>
            <w:tcW w:w="5000" w:type="pct"/>
            <w:gridSpan w:val="4"/>
          </w:tcPr>
          <w:p w:rsidR="00DA6C4D" w:rsidRPr="002C1A32" w:rsidRDefault="00DA6C4D" w:rsidP="00DA6C4D">
            <w:pPr>
              <w:pStyle w:val="SCCBanSummary"/>
              <w:rPr>
                <w:sz w:val="20"/>
                <w:szCs w:val="20"/>
                <w:lang w:val="fr-CA"/>
              </w:rPr>
            </w:pPr>
            <w:r w:rsidRPr="002C1A32">
              <w:rPr>
                <w:smallCaps w:val="0"/>
                <w:sz w:val="20"/>
                <w:szCs w:val="20"/>
                <w:lang w:val="fr-CA"/>
              </w:rPr>
              <w:t xml:space="preserve">Contrat — Transaction intervenue dans le cadre d’une requête en délaissement forcé et vente sous contrôle de justice d’immeubles affectés d’hypothèques légales — Quels sont le sens et la portée qu’il faut donner à l’expression « à moins qu’ils n’aient été retenus par le fait de l’une des parties » de l’article 2637 du </w:t>
            </w:r>
            <w:r w:rsidRPr="002C1A32">
              <w:rPr>
                <w:i/>
                <w:smallCaps w:val="0"/>
                <w:sz w:val="20"/>
                <w:szCs w:val="20"/>
                <w:lang w:val="fr-CA"/>
              </w:rPr>
              <w:t>Code civil du Québec</w:t>
            </w:r>
            <w:r w:rsidRPr="002C1A32">
              <w:rPr>
                <w:smallCaps w:val="0"/>
                <w:sz w:val="20"/>
                <w:szCs w:val="20"/>
                <w:lang w:val="fr-CA"/>
              </w:rPr>
              <w:t xml:space="preserve">? — </w:t>
            </w:r>
            <w:r w:rsidRPr="002C1A32">
              <w:rPr>
                <w:i/>
                <w:smallCaps w:val="0"/>
                <w:sz w:val="20"/>
                <w:szCs w:val="20"/>
                <w:lang w:val="fr-CA"/>
              </w:rPr>
              <w:t>Code civil du Québec</w:t>
            </w:r>
            <w:r w:rsidRPr="002C1A32">
              <w:rPr>
                <w:smallCaps w:val="0"/>
                <w:sz w:val="20"/>
                <w:szCs w:val="20"/>
                <w:lang w:val="fr-CA"/>
              </w:rPr>
              <w:t>, RLRQ, c. C -1991, art. 2637.</w:t>
            </w:r>
          </w:p>
        </w:tc>
      </w:tr>
      <w:tr w:rsidR="00DA6C4D" w:rsidRPr="002C1A32" w:rsidTr="00E95A6A">
        <w:tc>
          <w:tcPr>
            <w:tcW w:w="5000" w:type="pct"/>
            <w:gridSpan w:val="4"/>
          </w:tcPr>
          <w:p w:rsidR="00DA6C4D" w:rsidRPr="002C1A32" w:rsidRDefault="00DA6C4D" w:rsidP="00DA6C4D">
            <w:pPr>
              <w:jc w:val="both"/>
              <w:rPr>
                <w:sz w:val="20"/>
                <w:lang w:val="fr-CA"/>
              </w:rPr>
            </w:pPr>
          </w:p>
        </w:tc>
      </w:tr>
      <w:tr w:rsidR="00DA6C4D" w:rsidRPr="002C1A32" w:rsidTr="00E95A6A">
        <w:tc>
          <w:tcPr>
            <w:tcW w:w="5000" w:type="pct"/>
            <w:gridSpan w:val="4"/>
          </w:tcPr>
          <w:p w:rsidR="00DA6C4D" w:rsidRPr="002C1A32" w:rsidRDefault="00DA6C4D" w:rsidP="00DA6C4D">
            <w:pPr>
              <w:jc w:val="both"/>
              <w:rPr>
                <w:sz w:val="20"/>
                <w:lang w:val="fr-CA"/>
              </w:rPr>
            </w:pPr>
            <w:r w:rsidRPr="002C1A32">
              <w:rPr>
                <w:sz w:val="20"/>
                <w:lang w:val="fr-CA"/>
              </w:rPr>
              <w:t xml:space="preserve">Dans le cadre d’un projet de construction en trois phases d’un complexe de condominiums résidentiels à Laval, la demanderesse, 9187-0725 Québec </w:t>
            </w:r>
            <w:proofErr w:type="spellStart"/>
            <w:r w:rsidRPr="002C1A32">
              <w:rPr>
                <w:sz w:val="20"/>
                <w:lang w:val="fr-CA"/>
              </w:rPr>
              <w:t>inc.</w:t>
            </w:r>
            <w:proofErr w:type="spellEnd"/>
            <w:r w:rsidRPr="002C1A32">
              <w:rPr>
                <w:sz w:val="20"/>
                <w:lang w:val="fr-CA"/>
              </w:rPr>
              <w:t xml:space="preserve">, passe un contrat de vente de matériaux avec l’intimée, Matériaux </w:t>
            </w:r>
            <w:proofErr w:type="spellStart"/>
            <w:r w:rsidRPr="002C1A32">
              <w:rPr>
                <w:sz w:val="20"/>
                <w:lang w:val="fr-CA"/>
              </w:rPr>
              <w:t>Kott</w:t>
            </w:r>
            <w:proofErr w:type="spellEnd"/>
            <w:r w:rsidRPr="002C1A32">
              <w:rPr>
                <w:sz w:val="20"/>
                <w:lang w:val="fr-CA"/>
              </w:rPr>
              <w:t xml:space="preserve"> S.E.N.C. Il est convenu que les matériaux seront vendus à forfait. Ces forfaits sont payables selon la livraison des matériaux lorsque l’intimée juge approprié d’expédier une facture après livraison. À la fin de 2012, la demanderesse entreprend la construction de la phase III du complexe et la construction d’une maison unifamiliale. Elle fait défaut de payer les comptes expédiés par l’intimée pour la livraison des matériaux affectant les deux projets. En avril 2013, l’intimée inscrit contre les deux immeubles des hypothèques légales du constructeur. En novembre 2013, elle dépose une requête pour vente sous contrôle de justice des immeubles grevés. Quelques jours avant la présentation de la requête, une transaction intervient entre les parties suivant </w:t>
            </w:r>
            <w:proofErr w:type="gramStart"/>
            <w:r w:rsidRPr="002C1A32">
              <w:rPr>
                <w:sz w:val="20"/>
                <w:lang w:val="fr-CA"/>
              </w:rPr>
              <w:t>les art</w:t>
            </w:r>
            <w:proofErr w:type="gramEnd"/>
            <w:r w:rsidRPr="002C1A32">
              <w:rPr>
                <w:sz w:val="20"/>
                <w:lang w:val="fr-CA"/>
              </w:rPr>
              <w:t xml:space="preserve">. 2631 </w:t>
            </w:r>
            <w:r w:rsidRPr="002C1A32">
              <w:rPr>
                <w:i/>
                <w:sz w:val="20"/>
                <w:lang w:val="fr-CA"/>
              </w:rPr>
              <w:t xml:space="preserve">et </w:t>
            </w:r>
            <w:proofErr w:type="spellStart"/>
            <w:r w:rsidRPr="002C1A32">
              <w:rPr>
                <w:i/>
                <w:sz w:val="20"/>
                <w:lang w:val="fr-CA"/>
              </w:rPr>
              <w:t>seq</w:t>
            </w:r>
            <w:proofErr w:type="spellEnd"/>
            <w:r w:rsidRPr="002C1A32">
              <w:rPr>
                <w:i/>
                <w:sz w:val="20"/>
                <w:lang w:val="fr-CA"/>
              </w:rPr>
              <w:t>.</w:t>
            </w:r>
            <w:r w:rsidRPr="002C1A32">
              <w:rPr>
                <w:sz w:val="20"/>
                <w:lang w:val="fr-CA"/>
              </w:rPr>
              <w:t xml:space="preserve"> du </w:t>
            </w:r>
            <w:r w:rsidRPr="002C1A32">
              <w:rPr>
                <w:i/>
                <w:sz w:val="20"/>
                <w:lang w:val="fr-CA"/>
              </w:rPr>
              <w:t>Code civil du Québec</w:t>
            </w:r>
            <w:r w:rsidRPr="002C1A32">
              <w:rPr>
                <w:sz w:val="20"/>
                <w:lang w:val="fr-CA"/>
              </w:rPr>
              <w:t xml:space="preserve">. La procédure reprend son cours lorsque la demanderesse fait défaut d’effectuer tous les paiements prévus à la transaction. </w:t>
            </w:r>
          </w:p>
          <w:p w:rsidR="00DA6C4D" w:rsidRPr="002C1A32" w:rsidRDefault="00DA6C4D" w:rsidP="00DA6C4D">
            <w:pPr>
              <w:jc w:val="both"/>
              <w:rPr>
                <w:sz w:val="20"/>
                <w:lang w:val="fr-CA"/>
              </w:rPr>
            </w:pPr>
          </w:p>
        </w:tc>
      </w:tr>
      <w:tr w:rsidR="00DA6C4D" w:rsidRPr="008D6C1E" w:rsidTr="00E95A6A">
        <w:tc>
          <w:tcPr>
            <w:tcW w:w="2427" w:type="pct"/>
            <w:gridSpan w:val="2"/>
          </w:tcPr>
          <w:p w:rsidR="00DA6C4D" w:rsidRPr="002C1A32" w:rsidRDefault="00DA6C4D" w:rsidP="00DA6C4D">
            <w:pPr>
              <w:jc w:val="both"/>
              <w:rPr>
                <w:sz w:val="20"/>
                <w:lang w:val="fr-CA"/>
              </w:rPr>
            </w:pPr>
            <w:r w:rsidRPr="002C1A32">
              <w:rPr>
                <w:sz w:val="20"/>
                <w:lang w:val="fr-CA"/>
              </w:rPr>
              <w:t>Le 9 avril 2015</w:t>
            </w:r>
          </w:p>
          <w:p w:rsidR="00DA6C4D" w:rsidRPr="002C1A32" w:rsidRDefault="00DA6C4D" w:rsidP="00DA6C4D">
            <w:pPr>
              <w:jc w:val="both"/>
              <w:rPr>
                <w:sz w:val="20"/>
                <w:lang w:val="fr-CA"/>
              </w:rPr>
            </w:pPr>
            <w:r w:rsidRPr="002C1A32">
              <w:rPr>
                <w:sz w:val="20"/>
                <w:lang w:val="fr-CA"/>
              </w:rPr>
              <w:t>Cour supérieure (Laval)</w:t>
            </w:r>
          </w:p>
          <w:p w:rsidR="00DA6C4D" w:rsidRPr="008D6C1E" w:rsidRDefault="00DA6C4D" w:rsidP="00DA6C4D">
            <w:pPr>
              <w:jc w:val="both"/>
              <w:rPr>
                <w:sz w:val="20"/>
              </w:rPr>
            </w:pPr>
            <w:r w:rsidRPr="008D6C1E">
              <w:rPr>
                <w:sz w:val="20"/>
              </w:rPr>
              <w:t xml:space="preserve">(Le </w:t>
            </w:r>
            <w:proofErr w:type="spellStart"/>
            <w:r w:rsidRPr="008D6C1E">
              <w:rPr>
                <w:sz w:val="20"/>
              </w:rPr>
              <w:t>juge</w:t>
            </w:r>
            <w:proofErr w:type="spellEnd"/>
            <w:r w:rsidRPr="008D6C1E">
              <w:rPr>
                <w:sz w:val="20"/>
              </w:rPr>
              <w:t xml:space="preserve"> </w:t>
            </w:r>
            <w:proofErr w:type="spellStart"/>
            <w:r w:rsidRPr="008D6C1E">
              <w:rPr>
                <w:sz w:val="20"/>
              </w:rPr>
              <w:t>Lanctôt</w:t>
            </w:r>
            <w:proofErr w:type="spellEnd"/>
            <w:r w:rsidRPr="008D6C1E">
              <w:rPr>
                <w:sz w:val="20"/>
              </w:rPr>
              <w:t>)</w:t>
            </w:r>
          </w:p>
          <w:p w:rsidR="00DA6C4D" w:rsidRPr="008D6C1E" w:rsidRDefault="005E6DC4" w:rsidP="00DA6C4D">
            <w:pPr>
              <w:jc w:val="both"/>
              <w:rPr>
                <w:sz w:val="20"/>
              </w:rPr>
            </w:pPr>
            <w:hyperlink r:id="rId129" w:history="1">
              <w:r w:rsidR="00DA6C4D" w:rsidRPr="008D6C1E">
                <w:rPr>
                  <w:rStyle w:val="Hyperlink"/>
                  <w:sz w:val="20"/>
                </w:rPr>
                <w:t>2015 QCCS 1414</w:t>
              </w:r>
            </w:hyperlink>
          </w:p>
          <w:p w:rsidR="00DA6C4D" w:rsidRPr="008D6C1E" w:rsidRDefault="00DA6C4D" w:rsidP="00DA6C4D">
            <w:pPr>
              <w:jc w:val="both"/>
              <w:rPr>
                <w:sz w:val="20"/>
              </w:rPr>
            </w:pPr>
          </w:p>
        </w:tc>
        <w:tc>
          <w:tcPr>
            <w:tcW w:w="243" w:type="pct"/>
          </w:tcPr>
          <w:p w:rsidR="00DA6C4D" w:rsidRPr="008D6C1E" w:rsidRDefault="00DA6C4D" w:rsidP="00DA6C4D">
            <w:pPr>
              <w:jc w:val="both"/>
              <w:rPr>
                <w:sz w:val="20"/>
              </w:rPr>
            </w:pPr>
          </w:p>
        </w:tc>
        <w:tc>
          <w:tcPr>
            <w:tcW w:w="2330" w:type="pct"/>
          </w:tcPr>
          <w:p w:rsidR="00DA6C4D" w:rsidRPr="002C1A32" w:rsidRDefault="00DA6C4D" w:rsidP="00DA6C4D">
            <w:pPr>
              <w:jc w:val="both"/>
              <w:rPr>
                <w:sz w:val="20"/>
                <w:lang w:val="fr-CA"/>
              </w:rPr>
            </w:pPr>
            <w:r w:rsidRPr="002C1A32">
              <w:rPr>
                <w:sz w:val="20"/>
                <w:lang w:val="fr-CA"/>
              </w:rPr>
              <w:t>Requête en délaissement forcé et vente sous contrôle de justice accueillie.</w:t>
            </w:r>
          </w:p>
          <w:p w:rsidR="00DA6C4D" w:rsidRPr="008D6C1E" w:rsidRDefault="00DA6C4D" w:rsidP="00DA6C4D">
            <w:pPr>
              <w:jc w:val="both"/>
              <w:rPr>
                <w:sz w:val="20"/>
              </w:rPr>
            </w:pPr>
            <w:proofErr w:type="spellStart"/>
            <w:r w:rsidRPr="008D6C1E">
              <w:rPr>
                <w:sz w:val="20"/>
              </w:rPr>
              <w:t>Demande</w:t>
            </w:r>
            <w:proofErr w:type="spellEnd"/>
            <w:r w:rsidRPr="008D6C1E">
              <w:rPr>
                <w:sz w:val="20"/>
              </w:rPr>
              <w:t xml:space="preserve"> </w:t>
            </w:r>
            <w:proofErr w:type="spellStart"/>
            <w:r w:rsidRPr="008D6C1E">
              <w:rPr>
                <w:sz w:val="20"/>
              </w:rPr>
              <w:t>reconventionnelle</w:t>
            </w:r>
            <w:proofErr w:type="spellEnd"/>
            <w:r w:rsidRPr="008D6C1E">
              <w:rPr>
                <w:sz w:val="20"/>
              </w:rPr>
              <w:t xml:space="preserve"> </w:t>
            </w:r>
            <w:proofErr w:type="spellStart"/>
            <w:r w:rsidRPr="008D6C1E">
              <w:rPr>
                <w:sz w:val="20"/>
              </w:rPr>
              <w:t>rejetée</w:t>
            </w:r>
            <w:proofErr w:type="spellEnd"/>
            <w:r w:rsidRPr="008D6C1E">
              <w:rPr>
                <w:sz w:val="20"/>
              </w:rPr>
              <w:t>.</w:t>
            </w:r>
          </w:p>
        </w:tc>
      </w:tr>
      <w:tr w:rsidR="00DA6C4D" w:rsidRPr="008D6C1E" w:rsidTr="00E95A6A">
        <w:tc>
          <w:tcPr>
            <w:tcW w:w="2427" w:type="pct"/>
            <w:gridSpan w:val="2"/>
          </w:tcPr>
          <w:p w:rsidR="00DA6C4D" w:rsidRPr="002C1A32" w:rsidRDefault="00DA6C4D" w:rsidP="00DA6C4D">
            <w:pPr>
              <w:jc w:val="both"/>
              <w:rPr>
                <w:sz w:val="20"/>
                <w:lang w:val="fr-CA"/>
              </w:rPr>
            </w:pPr>
            <w:r w:rsidRPr="002C1A32">
              <w:rPr>
                <w:sz w:val="20"/>
                <w:lang w:val="fr-CA"/>
              </w:rPr>
              <w:t>Le 10 juillet 2015</w:t>
            </w:r>
          </w:p>
          <w:p w:rsidR="00DA6C4D" w:rsidRPr="002C1A32" w:rsidRDefault="00DA6C4D" w:rsidP="00DA6C4D">
            <w:pPr>
              <w:jc w:val="both"/>
              <w:rPr>
                <w:sz w:val="20"/>
                <w:lang w:val="fr-CA"/>
              </w:rPr>
            </w:pPr>
            <w:r w:rsidRPr="002C1A32">
              <w:rPr>
                <w:sz w:val="20"/>
                <w:lang w:val="fr-CA"/>
              </w:rPr>
              <w:t>Cour d’appel du Québec (Montréal)</w:t>
            </w:r>
          </w:p>
          <w:p w:rsidR="00DA6C4D" w:rsidRPr="002C1A32" w:rsidRDefault="00DA6C4D" w:rsidP="00DA6C4D">
            <w:pPr>
              <w:jc w:val="both"/>
              <w:rPr>
                <w:sz w:val="20"/>
                <w:lang w:val="fr-CA"/>
              </w:rPr>
            </w:pPr>
            <w:r w:rsidRPr="002C1A32">
              <w:rPr>
                <w:sz w:val="20"/>
                <w:lang w:val="fr-CA"/>
              </w:rPr>
              <w:t xml:space="preserve">(La juge en chef Duval </w:t>
            </w:r>
            <w:proofErr w:type="spellStart"/>
            <w:r w:rsidRPr="002C1A32">
              <w:rPr>
                <w:sz w:val="20"/>
                <w:lang w:val="fr-CA"/>
              </w:rPr>
              <w:t>Hesler</w:t>
            </w:r>
            <w:proofErr w:type="spellEnd"/>
            <w:r w:rsidRPr="002C1A32">
              <w:rPr>
                <w:sz w:val="20"/>
                <w:lang w:val="fr-CA"/>
              </w:rPr>
              <w:t xml:space="preserve"> et les juges </w:t>
            </w:r>
            <w:proofErr w:type="spellStart"/>
            <w:r w:rsidRPr="002C1A32">
              <w:rPr>
                <w:sz w:val="20"/>
                <w:lang w:val="fr-CA"/>
              </w:rPr>
              <w:t>Schrager</w:t>
            </w:r>
            <w:proofErr w:type="spellEnd"/>
            <w:r w:rsidRPr="002C1A32">
              <w:rPr>
                <w:sz w:val="20"/>
                <w:lang w:val="fr-CA"/>
              </w:rPr>
              <w:t xml:space="preserve"> et Mainville)</w:t>
            </w:r>
          </w:p>
          <w:p w:rsidR="00DA6C4D" w:rsidRPr="008D6C1E" w:rsidRDefault="00DA6C4D" w:rsidP="00DA6C4D">
            <w:pPr>
              <w:jc w:val="both"/>
              <w:rPr>
                <w:sz w:val="20"/>
              </w:rPr>
            </w:pPr>
            <w:r w:rsidRPr="008D6C1E">
              <w:rPr>
                <w:sz w:val="20"/>
              </w:rPr>
              <w:t>500-09-025271-156 (non-</w:t>
            </w:r>
            <w:proofErr w:type="spellStart"/>
            <w:r w:rsidRPr="008D6C1E">
              <w:rPr>
                <w:sz w:val="20"/>
              </w:rPr>
              <w:t>publié</w:t>
            </w:r>
            <w:proofErr w:type="spellEnd"/>
            <w:r w:rsidRPr="008D6C1E">
              <w:rPr>
                <w:sz w:val="20"/>
              </w:rPr>
              <w:t>)</w:t>
            </w:r>
          </w:p>
          <w:p w:rsidR="00DA6C4D" w:rsidRPr="008D6C1E" w:rsidRDefault="00DA6C4D" w:rsidP="00DA6C4D">
            <w:pPr>
              <w:jc w:val="both"/>
              <w:rPr>
                <w:sz w:val="20"/>
              </w:rPr>
            </w:pPr>
          </w:p>
        </w:tc>
        <w:tc>
          <w:tcPr>
            <w:tcW w:w="243" w:type="pct"/>
          </w:tcPr>
          <w:p w:rsidR="00DA6C4D" w:rsidRPr="008D6C1E" w:rsidRDefault="00DA6C4D" w:rsidP="00DA6C4D">
            <w:pPr>
              <w:jc w:val="both"/>
              <w:rPr>
                <w:sz w:val="20"/>
              </w:rPr>
            </w:pPr>
          </w:p>
        </w:tc>
        <w:tc>
          <w:tcPr>
            <w:tcW w:w="2330" w:type="pct"/>
          </w:tcPr>
          <w:p w:rsidR="00DA6C4D" w:rsidRPr="002C1A32" w:rsidRDefault="00DA6C4D" w:rsidP="00DA6C4D">
            <w:pPr>
              <w:jc w:val="both"/>
              <w:rPr>
                <w:sz w:val="20"/>
                <w:lang w:val="fr-CA"/>
              </w:rPr>
            </w:pPr>
            <w:r w:rsidRPr="002C1A32">
              <w:rPr>
                <w:sz w:val="20"/>
                <w:lang w:val="fr-CA"/>
              </w:rPr>
              <w:t>Requête en rejet d’appel accueillie.</w:t>
            </w:r>
          </w:p>
          <w:p w:rsidR="00DA6C4D" w:rsidRPr="008D6C1E" w:rsidRDefault="00DA6C4D" w:rsidP="00DA6C4D">
            <w:pPr>
              <w:jc w:val="both"/>
              <w:rPr>
                <w:sz w:val="20"/>
              </w:rPr>
            </w:pPr>
            <w:r w:rsidRPr="008D6C1E">
              <w:rPr>
                <w:sz w:val="20"/>
              </w:rPr>
              <w:t xml:space="preserve">Appel </w:t>
            </w:r>
            <w:proofErr w:type="spellStart"/>
            <w:r w:rsidRPr="008D6C1E">
              <w:rPr>
                <w:sz w:val="20"/>
              </w:rPr>
              <w:t>rejeté</w:t>
            </w:r>
            <w:proofErr w:type="spellEnd"/>
            <w:r w:rsidRPr="008D6C1E">
              <w:rPr>
                <w:sz w:val="20"/>
              </w:rPr>
              <w:t>.</w:t>
            </w:r>
          </w:p>
          <w:p w:rsidR="00DA6C4D" w:rsidRPr="008D6C1E" w:rsidRDefault="00DA6C4D" w:rsidP="00DA6C4D">
            <w:pPr>
              <w:jc w:val="both"/>
              <w:rPr>
                <w:sz w:val="20"/>
              </w:rPr>
            </w:pPr>
          </w:p>
        </w:tc>
      </w:tr>
      <w:tr w:rsidR="00DA6C4D" w:rsidRPr="008D6C1E" w:rsidTr="00E95A6A">
        <w:tc>
          <w:tcPr>
            <w:tcW w:w="2427" w:type="pct"/>
            <w:gridSpan w:val="2"/>
          </w:tcPr>
          <w:p w:rsidR="00DA6C4D" w:rsidRPr="002C1A32" w:rsidRDefault="00DA6C4D" w:rsidP="00DA6C4D">
            <w:pPr>
              <w:jc w:val="both"/>
              <w:rPr>
                <w:sz w:val="20"/>
                <w:lang w:val="fr-CA"/>
              </w:rPr>
            </w:pPr>
            <w:r w:rsidRPr="002C1A32">
              <w:rPr>
                <w:sz w:val="20"/>
                <w:lang w:val="fr-CA"/>
              </w:rPr>
              <w:t>Le 29 septembre 2015</w:t>
            </w:r>
          </w:p>
          <w:p w:rsidR="00DA6C4D" w:rsidRPr="002C1A32" w:rsidRDefault="00DA6C4D" w:rsidP="00DA6C4D">
            <w:pPr>
              <w:jc w:val="both"/>
              <w:rPr>
                <w:sz w:val="20"/>
                <w:lang w:val="fr-CA"/>
              </w:rPr>
            </w:pPr>
            <w:r w:rsidRPr="002C1A32">
              <w:rPr>
                <w:sz w:val="20"/>
                <w:lang w:val="fr-CA"/>
              </w:rPr>
              <w:t>Cour suprême du Canada</w:t>
            </w:r>
          </w:p>
        </w:tc>
        <w:tc>
          <w:tcPr>
            <w:tcW w:w="243" w:type="pct"/>
          </w:tcPr>
          <w:p w:rsidR="00DA6C4D" w:rsidRPr="008D6C1E" w:rsidRDefault="00DA6C4D" w:rsidP="00DA6C4D">
            <w:pPr>
              <w:jc w:val="both"/>
              <w:rPr>
                <w:sz w:val="20"/>
                <w:lang w:val="fr-FR"/>
              </w:rPr>
            </w:pPr>
          </w:p>
        </w:tc>
        <w:tc>
          <w:tcPr>
            <w:tcW w:w="2330" w:type="pct"/>
          </w:tcPr>
          <w:p w:rsidR="00DA6C4D" w:rsidRPr="008D6C1E" w:rsidRDefault="00DA6C4D" w:rsidP="00DA6C4D">
            <w:pPr>
              <w:jc w:val="both"/>
              <w:rPr>
                <w:sz w:val="20"/>
              </w:rPr>
            </w:pPr>
            <w:r w:rsidRPr="008D6C1E">
              <w:rPr>
                <w:sz w:val="20"/>
              </w:rPr>
              <w:t>Demande d’autorisation d’appel déposée</w:t>
            </w:r>
          </w:p>
          <w:p w:rsidR="00DA6C4D" w:rsidRPr="008D6C1E" w:rsidRDefault="00DA6C4D" w:rsidP="00DA6C4D">
            <w:pPr>
              <w:jc w:val="both"/>
              <w:rPr>
                <w:sz w:val="20"/>
              </w:rPr>
            </w:pPr>
          </w:p>
        </w:tc>
      </w:tr>
    </w:tbl>
    <w:p w:rsidR="00DA6C4D" w:rsidRPr="008D6C1E" w:rsidRDefault="00DA6C4D" w:rsidP="006F7B58">
      <w:pPr>
        <w:jc w:val="both"/>
        <w:rPr>
          <w:sz w:val="20"/>
        </w:rPr>
      </w:pPr>
    </w:p>
    <w:p w:rsidR="0025383B" w:rsidRPr="008D6C1E" w:rsidRDefault="0025383B" w:rsidP="006F7B58">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7B58" w:rsidRPr="008D6C1E" w:rsidTr="00E95A6A">
        <w:tc>
          <w:tcPr>
            <w:tcW w:w="543" w:type="pct"/>
          </w:tcPr>
          <w:p w:rsidR="006F7B58" w:rsidRPr="008D6C1E" w:rsidRDefault="006F7B58" w:rsidP="006F7B58">
            <w:pPr>
              <w:jc w:val="both"/>
              <w:rPr>
                <w:sz w:val="20"/>
                <w:lang w:val="en-CA"/>
              </w:rPr>
            </w:pPr>
            <w:r w:rsidRPr="008D6C1E">
              <w:rPr>
                <w:rStyle w:val="SCCFileNumberChar"/>
                <w:sz w:val="20"/>
                <w:szCs w:val="20"/>
              </w:rPr>
              <w:t>36594</w:t>
            </w:r>
          </w:p>
        </w:tc>
        <w:tc>
          <w:tcPr>
            <w:tcW w:w="4457" w:type="pct"/>
            <w:gridSpan w:val="3"/>
          </w:tcPr>
          <w:p w:rsidR="006F7B58" w:rsidRPr="008D6C1E" w:rsidRDefault="006F7B58" w:rsidP="006F7B58">
            <w:pPr>
              <w:pStyle w:val="SCCLsocParty"/>
              <w:jc w:val="both"/>
              <w:rPr>
                <w:b/>
                <w:sz w:val="20"/>
                <w:szCs w:val="20"/>
              </w:rPr>
            </w:pPr>
            <w:r w:rsidRPr="008D6C1E">
              <w:rPr>
                <w:b/>
                <w:sz w:val="20"/>
                <w:szCs w:val="20"/>
              </w:rPr>
              <w:t xml:space="preserve">Guy </w:t>
            </w:r>
            <w:proofErr w:type="spellStart"/>
            <w:r w:rsidRPr="008D6C1E">
              <w:rPr>
                <w:b/>
                <w:sz w:val="20"/>
                <w:szCs w:val="20"/>
              </w:rPr>
              <w:t>Béïque</w:t>
            </w:r>
            <w:proofErr w:type="spellEnd"/>
            <w:r w:rsidRPr="008D6C1E">
              <w:rPr>
                <w:b/>
                <w:sz w:val="20"/>
                <w:szCs w:val="20"/>
              </w:rPr>
              <w:t xml:space="preserve">, Colette </w:t>
            </w:r>
            <w:proofErr w:type="spellStart"/>
            <w:r w:rsidRPr="008D6C1E">
              <w:rPr>
                <w:b/>
                <w:sz w:val="20"/>
                <w:szCs w:val="20"/>
              </w:rPr>
              <w:t>Béïque</w:t>
            </w:r>
            <w:proofErr w:type="spellEnd"/>
            <w:r w:rsidRPr="008D6C1E">
              <w:rPr>
                <w:b/>
                <w:sz w:val="20"/>
                <w:szCs w:val="20"/>
              </w:rPr>
              <w:t xml:space="preserve"> and Solange </w:t>
            </w:r>
            <w:proofErr w:type="spellStart"/>
            <w:r w:rsidRPr="008D6C1E">
              <w:rPr>
                <w:b/>
                <w:sz w:val="20"/>
                <w:szCs w:val="20"/>
              </w:rPr>
              <w:t>Béïque</w:t>
            </w:r>
            <w:proofErr w:type="spellEnd"/>
            <w:r w:rsidRPr="008D6C1E">
              <w:rPr>
                <w:b/>
                <w:sz w:val="20"/>
                <w:szCs w:val="20"/>
              </w:rPr>
              <w:t xml:space="preserve"> v. Simon </w:t>
            </w:r>
            <w:proofErr w:type="spellStart"/>
            <w:r w:rsidRPr="008D6C1E">
              <w:rPr>
                <w:b/>
                <w:sz w:val="20"/>
                <w:szCs w:val="20"/>
              </w:rPr>
              <w:t>Béïque</w:t>
            </w:r>
            <w:proofErr w:type="spellEnd"/>
            <w:r w:rsidRPr="008D6C1E">
              <w:rPr>
                <w:b/>
                <w:sz w:val="20"/>
                <w:szCs w:val="20"/>
              </w:rPr>
              <w:t xml:space="preserve"> - and - Desjardins Financial Security</w:t>
            </w:r>
          </w:p>
          <w:p w:rsidR="006F7B58" w:rsidRPr="008D6C1E" w:rsidRDefault="006F7B58" w:rsidP="006F7B58">
            <w:pPr>
              <w:jc w:val="both"/>
              <w:rPr>
                <w:sz w:val="20"/>
                <w:lang w:val="en-CA"/>
              </w:rPr>
            </w:pPr>
            <w:r w:rsidRPr="008D6C1E">
              <w:rPr>
                <w:sz w:val="20"/>
                <w:lang w:val="en-CA"/>
              </w:rPr>
              <w:t>(Que.) (Civil) (By Leave)</w:t>
            </w:r>
          </w:p>
        </w:tc>
      </w:tr>
      <w:tr w:rsidR="006F7B58" w:rsidRPr="008D6C1E" w:rsidTr="00E95A6A">
        <w:tc>
          <w:tcPr>
            <w:tcW w:w="5000" w:type="pct"/>
            <w:gridSpan w:val="4"/>
          </w:tcPr>
          <w:p w:rsidR="006F7B58" w:rsidRPr="008D6C1E" w:rsidRDefault="006F7B58" w:rsidP="006F7B58">
            <w:pPr>
              <w:jc w:val="both"/>
              <w:rPr>
                <w:sz w:val="20"/>
                <w:lang w:val="en-CA"/>
              </w:rPr>
            </w:pPr>
            <w:r w:rsidRPr="008D6C1E">
              <w:rPr>
                <w:sz w:val="20"/>
                <w:lang w:val="en-CA"/>
              </w:rPr>
              <w:lastRenderedPageBreak/>
              <w:t>Property — Trust — Succession — Will — Civil liability — Abuse of rights — Donor excluding three of his seven children from list of beneficiaries of trust and his will after being reported for sexual touching and following years of poor communication — Whether abuse of rights provisions in arts. </w:t>
            </w:r>
            <w:proofErr w:type="gramStart"/>
            <w:r w:rsidRPr="008D6C1E">
              <w:rPr>
                <w:sz w:val="20"/>
                <w:lang w:val="en-CA"/>
              </w:rPr>
              <w:t xml:space="preserve">6 and 7 of </w:t>
            </w:r>
            <w:r w:rsidRPr="008D6C1E">
              <w:rPr>
                <w:i/>
                <w:sz w:val="20"/>
                <w:lang w:val="en-CA"/>
              </w:rPr>
              <w:t>Civil Code of Québec</w:t>
            </w:r>
            <w:r w:rsidRPr="008D6C1E">
              <w:rPr>
                <w:sz w:val="20"/>
                <w:lang w:val="en-CA"/>
              </w:rPr>
              <w:t xml:space="preserve"> apply to incestuous father who excludes his victims from trust intended by their great</w:t>
            </w:r>
            <w:r w:rsidRPr="008D6C1E">
              <w:rPr>
                <w:sz w:val="20"/>
                <w:lang w:val="en-CA"/>
              </w:rPr>
              <w:noBreakHyphen/>
              <w:t>grandfather to be for them because they reported his sexual abuse and allegedly failed to behave in exemplary manner toward abuser after reporting him, and who also excludes child who refused to side with him against his sisters who were victims of incest — Whether applicants entitled to punitive damages claimed.</w:t>
            </w:r>
            <w:proofErr w:type="gramEnd"/>
          </w:p>
        </w:tc>
      </w:tr>
      <w:tr w:rsidR="006F7B58" w:rsidRPr="008D6C1E" w:rsidTr="00E95A6A">
        <w:tc>
          <w:tcPr>
            <w:tcW w:w="5000" w:type="pct"/>
            <w:gridSpan w:val="4"/>
          </w:tcPr>
          <w:p w:rsidR="006F7B58" w:rsidRPr="008D6C1E" w:rsidRDefault="006F7B58" w:rsidP="006F7B58">
            <w:pPr>
              <w:jc w:val="both"/>
              <w:rPr>
                <w:sz w:val="20"/>
                <w:lang w:val="en-CA"/>
              </w:rPr>
            </w:pPr>
          </w:p>
        </w:tc>
      </w:tr>
      <w:tr w:rsidR="006F7B58" w:rsidRPr="008D6C1E" w:rsidTr="00E95A6A">
        <w:tc>
          <w:tcPr>
            <w:tcW w:w="5000" w:type="pct"/>
            <w:gridSpan w:val="4"/>
          </w:tcPr>
          <w:p w:rsidR="006F7B58" w:rsidRPr="008D6C1E" w:rsidRDefault="006F7B58" w:rsidP="006F7B58">
            <w:pPr>
              <w:jc w:val="both"/>
              <w:rPr>
                <w:sz w:val="20"/>
                <w:lang w:val="en-CA"/>
              </w:rPr>
            </w:pPr>
            <w:r w:rsidRPr="008D6C1E">
              <w:rPr>
                <w:sz w:val="20"/>
                <w:lang w:val="en-CA"/>
              </w:rPr>
              <w:t xml:space="preserve">Before he died, René </w:t>
            </w:r>
            <w:proofErr w:type="spellStart"/>
            <w:r w:rsidRPr="008D6C1E">
              <w:rPr>
                <w:sz w:val="20"/>
                <w:lang w:val="en-CA"/>
              </w:rPr>
              <w:t>Béïque</w:t>
            </w:r>
            <w:proofErr w:type="spellEnd"/>
            <w:r w:rsidRPr="008D6C1E">
              <w:rPr>
                <w:sz w:val="20"/>
                <w:lang w:val="en-CA"/>
              </w:rPr>
              <w:t xml:space="preserve"> elected to exclude three of his children from a trust established by their great</w:t>
            </w:r>
            <w:r w:rsidRPr="008D6C1E">
              <w:rPr>
                <w:sz w:val="20"/>
                <w:lang w:val="en-CA"/>
              </w:rPr>
              <w:noBreakHyphen/>
              <w:t xml:space="preserve">grandfather. The applicants sought the cancellation of the exclusion from their father’s succession. They argued that they </w:t>
            </w:r>
            <w:proofErr w:type="gramStart"/>
            <w:r w:rsidRPr="008D6C1E">
              <w:rPr>
                <w:sz w:val="20"/>
                <w:lang w:val="en-CA"/>
              </w:rPr>
              <w:t>had been disinherited</w:t>
            </w:r>
            <w:proofErr w:type="gramEnd"/>
            <w:r w:rsidRPr="008D6C1E">
              <w:rPr>
                <w:sz w:val="20"/>
                <w:lang w:val="en-CA"/>
              </w:rPr>
              <w:t xml:space="preserve"> solely because they had reported alleged sexual abuse by their father and because of the consequences of reporting him.</w:t>
            </w:r>
          </w:p>
          <w:p w:rsidR="006F7B58" w:rsidRPr="008D6C1E" w:rsidRDefault="006F7B58" w:rsidP="006F7B58">
            <w:pPr>
              <w:jc w:val="both"/>
              <w:rPr>
                <w:sz w:val="20"/>
                <w:lang w:val="en-CA"/>
              </w:rPr>
            </w:pPr>
          </w:p>
          <w:p w:rsidR="006F7B58" w:rsidRPr="008D6C1E" w:rsidRDefault="006F7B58" w:rsidP="006F7B58">
            <w:pPr>
              <w:jc w:val="both"/>
              <w:rPr>
                <w:sz w:val="20"/>
                <w:lang w:val="en-CA"/>
              </w:rPr>
            </w:pPr>
            <w:r w:rsidRPr="008D6C1E">
              <w:rPr>
                <w:sz w:val="20"/>
                <w:lang w:val="en-CA"/>
              </w:rPr>
              <w:t>In the Quebec Superior Court, Gagnon J. dismissed the applicants’ motion to institute proceedings. The father had the full right and authority to exercise a power that was discretionary for him under the trust’s provisions. He did not have to justify his decision to exclude the applicants, and as long as his choice was not contrary to law or public order, his actions were beyond review by the courts. Moreover, the applicants’ exclusion had resulted not only from the laying of criminal informations but also from the [</w:t>
            </w:r>
            <w:r w:rsidRPr="008D6C1E">
              <w:rPr>
                <w:smallCaps/>
                <w:sz w:val="20"/>
                <w:lang w:val="en-CA"/>
              </w:rPr>
              <w:t>translation</w:t>
            </w:r>
            <w:r w:rsidRPr="008D6C1E">
              <w:rPr>
                <w:rFonts w:asciiTheme="minorBidi" w:hAnsiTheme="minorBidi"/>
                <w:sz w:val="20"/>
                <w:lang w:val="en-CA"/>
              </w:rPr>
              <w:t>] “poor state” of the relationship between the father and the children. The Quebec Court of Appeal dismissed the applicants’ appeal and affirmed Gagnon J.’s decision. Testamentary freedom is virtually unlimited. As well, the abuse of rights rule does not apply where the issue relates to freedom in making a will or trust.</w:t>
            </w:r>
          </w:p>
          <w:p w:rsidR="006F7B58" w:rsidRPr="008D6C1E" w:rsidRDefault="006F7B58" w:rsidP="006F7B58">
            <w:pPr>
              <w:jc w:val="both"/>
              <w:rPr>
                <w:sz w:val="20"/>
                <w:lang w:val="en-CA"/>
              </w:rPr>
            </w:pPr>
          </w:p>
        </w:tc>
      </w:tr>
      <w:tr w:rsidR="006F7B58" w:rsidRPr="008D6C1E" w:rsidTr="00E95A6A">
        <w:tc>
          <w:tcPr>
            <w:tcW w:w="2427" w:type="pct"/>
            <w:gridSpan w:val="2"/>
          </w:tcPr>
          <w:p w:rsidR="006F7B58" w:rsidRPr="008D6C1E" w:rsidRDefault="006F7B58" w:rsidP="006F7B58">
            <w:pPr>
              <w:jc w:val="both"/>
              <w:rPr>
                <w:sz w:val="20"/>
                <w:lang w:val="en-CA"/>
              </w:rPr>
            </w:pPr>
            <w:r w:rsidRPr="008D6C1E">
              <w:rPr>
                <w:sz w:val="20"/>
                <w:lang w:val="en-CA"/>
              </w:rPr>
              <w:t>December 3, 2013</w:t>
            </w:r>
          </w:p>
          <w:p w:rsidR="006F7B58" w:rsidRPr="008D6C1E" w:rsidRDefault="006F7B58" w:rsidP="006F7B58">
            <w:pPr>
              <w:jc w:val="both"/>
              <w:rPr>
                <w:sz w:val="20"/>
                <w:lang w:val="en-CA"/>
              </w:rPr>
            </w:pPr>
            <w:r w:rsidRPr="008D6C1E">
              <w:rPr>
                <w:sz w:val="20"/>
                <w:lang w:val="en-CA"/>
              </w:rPr>
              <w:t>Quebec Superior Court</w:t>
            </w:r>
          </w:p>
          <w:p w:rsidR="006F7B58" w:rsidRPr="008D6C1E" w:rsidRDefault="006F7B58" w:rsidP="006F7B58">
            <w:pPr>
              <w:jc w:val="both"/>
              <w:rPr>
                <w:sz w:val="20"/>
                <w:lang w:val="en-CA"/>
              </w:rPr>
            </w:pPr>
            <w:r w:rsidRPr="008D6C1E">
              <w:rPr>
                <w:sz w:val="20"/>
                <w:lang w:val="en-CA"/>
              </w:rPr>
              <w:t>(Gagnon J.)</w:t>
            </w:r>
          </w:p>
          <w:p w:rsidR="006F7B58" w:rsidRPr="008D6C1E" w:rsidRDefault="006F7B58" w:rsidP="006F7B58">
            <w:pPr>
              <w:jc w:val="both"/>
              <w:rPr>
                <w:sz w:val="20"/>
                <w:lang w:val="en-CA"/>
              </w:rPr>
            </w:pPr>
            <w:r w:rsidRPr="008D6C1E">
              <w:rPr>
                <w:sz w:val="20"/>
                <w:lang w:val="en-CA"/>
              </w:rPr>
              <w:t>File number: 200-17-015150-113</w:t>
            </w:r>
          </w:p>
          <w:p w:rsidR="006F7B58" w:rsidRPr="008D6C1E" w:rsidRDefault="006F7B58" w:rsidP="006F7B58">
            <w:pPr>
              <w:jc w:val="both"/>
              <w:rPr>
                <w:sz w:val="20"/>
                <w:lang w:val="en-CA"/>
              </w:rPr>
            </w:pPr>
          </w:p>
        </w:tc>
        <w:tc>
          <w:tcPr>
            <w:tcW w:w="243" w:type="pct"/>
          </w:tcPr>
          <w:p w:rsidR="006F7B58" w:rsidRPr="008D6C1E" w:rsidRDefault="006F7B58" w:rsidP="006F7B58">
            <w:pPr>
              <w:jc w:val="both"/>
              <w:rPr>
                <w:sz w:val="20"/>
                <w:lang w:val="en-CA"/>
              </w:rPr>
            </w:pPr>
          </w:p>
        </w:tc>
        <w:tc>
          <w:tcPr>
            <w:tcW w:w="2330" w:type="pct"/>
          </w:tcPr>
          <w:p w:rsidR="006F7B58" w:rsidRPr="008D6C1E" w:rsidRDefault="006F7B58" w:rsidP="006F7B58">
            <w:pPr>
              <w:jc w:val="both"/>
              <w:rPr>
                <w:sz w:val="20"/>
                <w:lang w:val="en-CA"/>
              </w:rPr>
            </w:pPr>
            <w:r w:rsidRPr="008D6C1E">
              <w:rPr>
                <w:sz w:val="20"/>
                <w:lang w:val="en-CA"/>
              </w:rPr>
              <w:t>Applicants’ motion to institute proceedings to cancel changes to beneficiaries of will and life insurance policy dismissed</w:t>
            </w:r>
          </w:p>
          <w:p w:rsidR="006F7B58" w:rsidRPr="008D6C1E" w:rsidRDefault="006F7B58" w:rsidP="006F7B58">
            <w:pPr>
              <w:jc w:val="both"/>
              <w:rPr>
                <w:sz w:val="20"/>
                <w:lang w:val="en-CA"/>
              </w:rPr>
            </w:pPr>
          </w:p>
        </w:tc>
      </w:tr>
      <w:tr w:rsidR="006F7B58" w:rsidRPr="008D6C1E" w:rsidTr="00E95A6A">
        <w:tc>
          <w:tcPr>
            <w:tcW w:w="2427" w:type="pct"/>
            <w:gridSpan w:val="2"/>
          </w:tcPr>
          <w:p w:rsidR="006F7B58" w:rsidRPr="008D6C1E" w:rsidRDefault="006F7B58" w:rsidP="006F7B58">
            <w:pPr>
              <w:jc w:val="both"/>
              <w:rPr>
                <w:sz w:val="20"/>
                <w:lang w:val="en-CA"/>
              </w:rPr>
            </w:pPr>
            <w:r w:rsidRPr="008D6C1E">
              <w:rPr>
                <w:sz w:val="20"/>
                <w:lang w:val="en-CA"/>
              </w:rPr>
              <w:t>July 23, 2015</w:t>
            </w:r>
          </w:p>
          <w:p w:rsidR="006F7B58" w:rsidRPr="008D6C1E" w:rsidRDefault="006F7B58" w:rsidP="006F7B58">
            <w:pPr>
              <w:jc w:val="both"/>
              <w:rPr>
                <w:sz w:val="20"/>
                <w:lang w:val="en-CA"/>
              </w:rPr>
            </w:pPr>
            <w:r w:rsidRPr="008D6C1E">
              <w:rPr>
                <w:sz w:val="20"/>
                <w:lang w:val="en-CA"/>
              </w:rPr>
              <w:t>Quebec Court of Appeal (Québec)</w:t>
            </w:r>
          </w:p>
          <w:p w:rsidR="006F7B58" w:rsidRPr="008D6C1E" w:rsidRDefault="006F7B58" w:rsidP="006F7B58">
            <w:pPr>
              <w:jc w:val="both"/>
              <w:rPr>
                <w:sz w:val="20"/>
                <w:lang w:val="en-CA"/>
              </w:rPr>
            </w:pPr>
            <w:r w:rsidRPr="008D6C1E">
              <w:rPr>
                <w:sz w:val="20"/>
                <w:lang w:val="en-CA"/>
              </w:rPr>
              <w:t xml:space="preserve">(Doyon, </w:t>
            </w:r>
            <w:proofErr w:type="spellStart"/>
            <w:r w:rsidRPr="008D6C1E">
              <w:rPr>
                <w:sz w:val="20"/>
                <w:lang w:val="en-CA"/>
              </w:rPr>
              <w:t>Bich</w:t>
            </w:r>
            <w:proofErr w:type="spellEnd"/>
            <w:r w:rsidRPr="008D6C1E">
              <w:rPr>
                <w:sz w:val="20"/>
                <w:lang w:val="en-CA"/>
              </w:rPr>
              <w:t xml:space="preserve"> and Bouchard JJ.A.)</w:t>
            </w:r>
          </w:p>
          <w:p w:rsidR="006F7B58" w:rsidRPr="008D6C1E" w:rsidRDefault="006F7B58" w:rsidP="006F7B58">
            <w:pPr>
              <w:jc w:val="both"/>
              <w:rPr>
                <w:sz w:val="20"/>
                <w:lang w:val="en-CA"/>
              </w:rPr>
            </w:pPr>
            <w:r w:rsidRPr="008D6C1E">
              <w:rPr>
                <w:sz w:val="20"/>
                <w:lang w:val="en-CA"/>
              </w:rPr>
              <w:t>File number: 200-09-008225-135</w:t>
            </w:r>
          </w:p>
          <w:p w:rsidR="006F7B58" w:rsidRPr="008D6C1E" w:rsidRDefault="006F7B58" w:rsidP="006F7B58">
            <w:pPr>
              <w:jc w:val="both"/>
              <w:rPr>
                <w:sz w:val="20"/>
                <w:lang w:val="en-CA"/>
              </w:rPr>
            </w:pPr>
          </w:p>
        </w:tc>
        <w:tc>
          <w:tcPr>
            <w:tcW w:w="243" w:type="pct"/>
          </w:tcPr>
          <w:p w:rsidR="006F7B58" w:rsidRPr="008D6C1E" w:rsidRDefault="006F7B58" w:rsidP="006F7B58">
            <w:pPr>
              <w:jc w:val="both"/>
              <w:rPr>
                <w:sz w:val="20"/>
                <w:lang w:val="en-CA"/>
              </w:rPr>
            </w:pPr>
          </w:p>
        </w:tc>
        <w:tc>
          <w:tcPr>
            <w:tcW w:w="2330" w:type="pct"/>
          </w:tcPr>
          <w:p w:rsidR="006F7B58" w:rsidRPr="008D6C1E" w:rsidRDefault="006F7B58" w:rsidP="006F7B58">
            <w:pPr>
              <w:jc w:val="both"/>
              <w:rPr>
                <w:sz w:val="20"/>
                <w:lang w:val="en-CA"/>
              </w:rPr>
            </w:pPr>
            <w:r w:rsidRPr="008D6C1E">
              <w:rPr>
                <w:sz w:val="20"/>
                <w:lang w:val="en-CA"/>
              </w:rPr>
              <w:t>Applicants’ appeal dismissed</w:t>
            </w:r>
          </w:p>
          <w:p w:rsidR="006F7B58" w:rsidRPr="008D6C1E" w:rsidRDefault="006F7B58" w:rsidP="006F7B58">
            <w:pPr>
              <w:jc w:val="both"/>
              <w:rPr>
                <w:sz w:val="20"/>
                <w:lang w:val="en-CA"/>
              </w:rPr>
            </w:pPr>
          </w:p>
        </w:tc>
      </w:tr>
      <w:tr w:rsidR="006F7B58" w:rsidRPr="008D6C1E" w:rsidTr="00E95A6A">
        <w:tc>
          <w:tcPr>
            <w:tcW w:w="2427" w:type="pct"/>
            <w:gridSpan w:val="2"/>
          </w:tcPr>
          <w:p w:rsidR="006F7B58" w:rsidRPr="008D6C1E" w:rsidRDefault="006F7B58" w:rsidP="006F7B58">
            <w:pPr>
              <w:jc w:val="both"/>
              <w:rPr>
                <w:sz w:val="20"/>
                <w:lang w:val="en-CA"/>
              </w:rPr>
            </w:pPr>
            <w:r w:rsidRPr="008D6C1E">
              <w:rPr>
                <w:sz w:val="20"/>
                <w:lang w:val="en-CA"/>
              </w:rPr>
              <w:t>September 4, 2015</w:t>
            </w:r>
          </w:p>
          <w:p w:rsidR="006F7B58" w:rsidRPr="008D6C1E" w:rsidRDefault="006F7B58" w:rsidP="006F7B58">
            <w:pPr>
              <w:jc w:val="both"/>
              <w:rPr>
                <w:sz w:val="20"/>
                <w:lang w:val="en-CA"/>
              </w:rPr>
            </w:pPr>
            <w:r w:rsidRPr="008D6C1E">
              <w:rPr>
                <w:sz w:val="20"/>
                <w:lang w:val="en-CA"/>
              </w:rPr>
              <w:t>Supreme Court of Canada</w:t>
            </w:r>
          </w:p>
        </w:tc>
        <w:tc>
          <w:tcPr>
            <w:tcW w:w="243" w:type="pct"/>
          </w:tcPr>
          <w:p w:rsidR="006F7B58" w:rsidRPr="008D6C1E" w:rsidRDefault="006F7B58" w:rsidP="006F7B58">
            <w:pPr>
              <w:jc w:val="both"/>
              <w:rPr>
                <w:sz w:val="20"/>
                <w:lang w:val="en-CA"/>
              </w:rPr>
            </w:pPr>
          </w:p>
        </w:tc>
        <w:tc>
          <w:tcPr>
            <w:tcW w:w="2330" w:type="pct"/>
          </w:tcPr>
          <w:p w:rsidR="006F7B58" w:rsidRPr="008D6C1E" w:rsidRDefault="006F7B58" w:rsidP="006F7B58">
            <w:pPr>
              <w:jc w:val="both"/>
              <w:rPr>
                <w:sz w:val="20"/>
                <w:lang w:val="en-CA"/>
              </w:rPr>
            </w:pPr>
            <w:r w:rsidRPr="008D6C1E">
              <w:rPr>
                <w:sz w:val="20"/>
                <w:lang w:val="en-CA"/>
              </w:rPr>
              <w:t>Application for leave to appeal filed</w:t>
            </w:r>
          </w:p>
        </w:tc>
      </w:tr>
    </w:tbl>
    <w:p w:rsidR="006F7B58" w:rsidRPr="008D6C1E" w:rsidRDefault="006F7B58" w:rsidP="006F7B58">
      <w:pPr>
        <w:jc w:val="both"/>
        <w:rPr>
          <w:sz w:val="20"/>
          <w:lang w:val="en-CA"/>
        </w:rPr>
      </w:pPr>
    </w:p>
    <w:p w:rsidR="006F7B58" w:rsidRPr="008D6C1E" w:rsidRDefault="006F7B58" w:rsidP="006F7B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7B58" w:rsidRPr="008D6C1E" w:rsidTr="00E95A6A">
        <w:tc>
          <w:tcPr>
            <w:tcW w:w="543" w:type="pct"/>
          </w:tcPr>
          <w:p w:rsidR="006F7B58" w:rsidRPr="008D6C1E" w:rsidRDefault="006F7B58" w:rsidP="006F7B58">
            <w:pPr>
              <w:jc w:val="both"/>
              <w:rPr>
                <w:sz w:val="20"/>
              </w:rPr>
            </w:pPr>
            <w:r w:rsidRPr="008D6C1E">
              <w:rPr>
                <w:rStyle w:val="SCCFileNumberChar"/>
                <w:sz w:val="20"/>
                <w:szCs w:val="20"/>
              </w:rPr>
              <w:t>36594</w:t>
            </w:r>
          </w:p>
        </w:tc>
        <w:tc>
          <w:tcPr>
            <w:tcW w:w="4457" w:type="pct"/>
            <w:gridSpan w:val="3"/>
          </w:tcPr>
          <w:p w:rsidR="006F7B58" w:rsidRPr="008D6C1E" w:rsidRDefault="006F7B58" w:rsidP="006F7B58">
            <w:pPr>
              <w:pStyle w:val="SCCLsocParty"/>
              <w:jc w:val="both"/>
              <w:rPr>
                <w:b/>
                <w:sz w:val="20"/>
                <w:szCs w:val="20"/>
              </w:rPr>
            </w:pPr>
            <w:r w:rsidRPr="008D6C1E">
              <w:rPr>
                <w:b/>
                <w:sz w:val="20"/>
                <w:szCs w:val="20"/>
              </w:rPr>
              <w:t xml:space="preserve">Guy </w:t>
            </w:r>
            <w:proofErr w:type="spellStart"/>
            <w:r w:rsidRPr="008D6C1E">
              <w:rPr>
                <w:b/>
                <w:sz w:val="20"/>
                <w:szCs w:val="20"/>
              </w:rPr>
              <w:t>Béïque</w:t>
            </w:r>
            <w:proofErr w:type="spellEnd"/>
            <w:r w:rsidRPr="008D6C1E">
              <w:rPr>
                <w:b/>
                <w:sz w:val="20"/>
                <w:szCs w:val="20"/>
              </w:rPr>
              <w:t xml:space="preserve">, Colette </w:t>
            </w:r>
            <w:proofErr w:type="spellStart"/>
            <w:r w:rsidRPr="008D6C1E">
              <w:rPr>
                <w:b/>
                <w:sz w:val="20"/>
                <w:szCs w:val="20"/>
              </w:rPr>
              <w:t>Béïque</w:t>
            </w:r>
            <w:proofErr w:type="spellEnd"/>
            <w:r w:rsidRPr="008D6C1E">
              <w:rPr>
                <w:b/>
                <w:sz w:val="20"/>
                <w:szCs w:val="20"/>
              </w:rPr>
              <w:t xml:space="preserve"> et Solange </w:t>
            </w:r>
            <w:proofErr w:type="spellStart"/>
            <w:r w:rsidRPr="008D6C1E">
              <w:rPr>
                <w:b/>
                <w:sz w:val="20"/>
                <w:szCs w:val="20"/>
              </w:rPr>
              <w:t>Béïque</w:t>
            </w:r>
            <w:proofErr w:type="spellEnd"/>
            <w:r w:rsidRPr="008D6C1E">
              <w:rPr>
                <w:b/>
                <w:sz w:val="20"/>
                <w:szCs w:val="20"/>
              </w:rPr>
              <w:t xml:space="preserve"> c. Simon </w:t>
            </w:r>
            <w:proofErr w:type="spellStart"/>
            <w:r w:rsidRPr="008D6C1E">
              <w:rPr>
                <w:b/>
                <w:sz w:val="20"/>
                <w:szCs w:val="20"/>
              </w:rPr>
              <w:t>Béïque</w:t>
            </w:r>
            <w:proofErr w:type="spellEnd"/>
            <w:r w:rsidRPr="008D6C1E">
              <w:rPr>
                <w:b/>
                <w:sz w:val="20"/>
                <w:szCs w:val="20"/>
              </w:rPr>
              <w:t xml:space="preserve"> - et - Desjardins Sécurité Financière</w:t>
            </w:r>
          </w:p>
          <w:p w:rsidR="006F7B58" w:rsidRPr="008D6C1E" w:rsidRDefault="006F7B58" w:rsidP="006F7B58">
            <w:pPr>
              <w:jc w:val="both"/>
              <w:rPr>
                <w:sz w:val="20"/>
              </w:rPr>
            </w:pPr>
            <w:r w:rsidRPr="008D6C1E">
              <w:rPr>
                <w:sz w:val="20"/>
              </w:rPr>
              <w:t>(Qc) (</w:t>
            </w:r>
            <w:proofErr w:type="spellStart"/>
            <w:r w:rsidRPr="008D6C1E">
              <w:rPr>
                <w:sz w:val="20"/>
              </w:rPr>
              <w:t>Civile</w:t>
            </w:r>
            <w:proofErr w:type="spellEnd"/>
            <w:r w:rsidRPr="008D6C1E">
              <w:rPr>
                <w:sz w:val="20"/>
              </w:rPr>
              <w:t>) (</w:t>
            </w:r>
            <w:proofErr w:type="spellStart"/>
            <w:r w:rsidRPr="008D6C1E">
              <w:rPr>
                <w:sz w:val="20"/>
              </w:rPr>
              <w:t>Autorisation</w:t>
            </w:r>
            <w:proofErr w:type="spellEnd"/>
            <w:r w:rsidRPr="008D6C1E">
              <w:rPr>
                <w:sz w:val="20"/>
              </w:rPr>
              <w:t>)</w:t>
            </w:r>
          </w:p>
        </w:tc>
      </w:tr>
      <w:tr w:rsidR="006F7B58" w:rsidRPr="002C1A32" w:rsidTr="00E95A6A">
        <w:tc>
          <w:tcPr>
            <w:tcW w:w="5000" w:type="pct"/>
            <w:gridSpan w:val="4"/>
          </w:tcPr>
          <w:p w:rsidR="006F7B58" w:rsidRPr="002C1A32" w:rsidRDefault="006F7B58" w:rsidP="006F7B58">
            <w:pPr>
              <w:jc w:val="both"/>
              <w:rPr>
                <w:sz w:val="20"/>
                <w:lang w:val="fr-CA"/>
              </w:rPr>
            </w:pPr>
            <w:r w:rsidRPr="002C1A32">
              <w:rPr>
                <w:sz w:val="20"/>
                <w:lang w:val="fr-CA"/>
              </w:rPr>
              <w:t xml:space="preserve">Biens — Fiducie — Succession — Testament — Responsabilité civile — Abus de droit —  Donateur excluant trois de ses sept enfants de la liste de bénéficiaires d’une fiducie et de son testament, suivant des dénonciations d’attouchements sexuels et des années de piètre communication — Les dispositions relatives à l’abus de droit prévues aux articles 6 et 7 du </w:t>
            </w:r>
            <w:r w:rsidRPr="002C1A32">
              <w:rPr>
                <w:i/>
                <w:sz w:val="20"/>
                <w:lang w:val="fr-CA"/>
              </w:rPr>
              <w:t>Code Civil du Québec</w:t>
            </w:r>
            <w:r w:rsidRPr="002C1A32">
              <w:rPr>
                <w:sz w:val="20"/>
                <w:lang w:val="fr-CA"/>
              </w:rPr>
              <w:t xml:space="preserve"> s’appliquent-elles à un père incestueux qui exclut ses victimes de la fiducie qui leur était destinée par leur arrière-grand-père, parce que celles-ci ont dénoncé ses abus sexuels et n’auraient pas eu un comportement exemplaire envers l’abuseur après ces dénonciations, et qui en exclut également l’enfant qui a refusé de prendre </w:t>
            </w:r>
            <w:proofErr w:type="spellStart"/>
            <w:r w:rsidRPr="002C1A32">
              <w:rPr>
                <w:sz w:val="20"/>
                <w:lang w:val="fr-CA"/>
              </w:rPr>
              <w:t>partie</w:t>
            </w:r>
            <w:proofErr w:type="spellEnd"/>
            <w:r w:rsidRPr="002C1A32">
              <w:rPr>
                <w:sz w:val="20"/>
                <w:lang w:val="fr-CA"/>
              </w:rPr>
              <w:t xml:space="preserve"> pour lui contre ses sœurs victimes d’inceste? — Les demandeurs ont-ils droit aux dommages punitifs réclamés?</w:t>
            </w:r>
          </w:p>
        </w:tc>
      </w:tr>
      <w:tr w:rsidR="006F7B58" w:rsidRPr="002C1A32" w:rsidTr="00E95A6A">
        <w:tc>
          <w:tcPr>
            <w:tcW w:w="5000" w:type="pct"/>
            <w:gridSpan w:val="4"/>
          </w:tcPr>
          <w:p w:rsidR="006F7B58" w:rsidRPr="002C1A32" w:rsidRDefault="006F7B58" w:rsidP="006F7B58">
            <w:pPr>
              <w:jc w:val="both"/>
              <w:rPr>
                <w:sz w:val="20"/>
                <w:lang w:val="fr-CA"/>
              </w:rPr>
            </w:pPr>
          </w:p>
        </w:tc>
      </w:tr>
      <w:tr w:rsidR="006F7B58" w:rsidRPr="002C1A32" w:rsidTr="00E95A6A">
        <w:tc>
          <w:tcPr>
            <w:tcW w:w="5000" w:type="pct"/>
            <w:gridSpan w:val="4"/>
          </w:tcPr>
          <w:p w:rsidR="006F7B58" w:rsidRPr="002C1A32" w:rsidRDefault="006F7B58" w:rsidP="006F7B58">
            <w:pPr>
              <w:jc w:val="both"/>
              <w:rPr>
                <w:sz w:val="20"/>
                <w:lang w:val="fr-CA"/>
              </w:rPr>
            </w:pPr>
            <w:r w:rsidRPr="002C1A32">
              <w:rPr>
                <w:sz w:val="20"/>
                <w:lang w:val="fr-CA"/>
              </w:rPr>
              <w:t xml:space="preserve">Avant son décès, René </w:t>
            </w:r>
            <w:proofErr w:type="spellStart"/>
            <w:r w:rsidRPr="002C1A32">
              <w:rPr>
                <w:sz w:val="20"/>
                <w:lang w:val="fr-CA"/>
              </w:rPr>
              <w:t>Béïque</w:t>
            </w:r>
            <w:proofErr w:type="spellEnd"/>
            <w:r w:rsidRPr="002C1A32">
              <w:rPr>
                <w:sz w:val="20"/>
                <w:lang w:val="fr-CA"/>
              </w:rPr>
              <w:t xml:space="preserve"> a élu d’exclure trois de ses enfants d’une fiducie établie par leur arrière-grand-père. Les demandeurs recherchent auprès de la succession du père l’annulation de cette exclusion. Ils soumettent avoir été déshérités uniquement en raison de dénonciations d’abus sexuels prétendus commis par leur père, et des conséquences de ces dénonciations.</w:t>
            </w:r>
          </w:p>
          <w:p w:rsidR="006F7B58" w:rsidRPr="002C1A32" w:rsidRDefault="006F7B58" w:rsidP="006F7B58">
            <w:pPr>
              <w:jc w:val="both"/>
              <w:rPr>
                <w:sz w:val="20"/>
                <w:lang w:val="fr-CA"/>
              </w:rPr>
            </w:pPr>
          </w:p>
          <w:p w:rsidR="006F7B58" w:rsidRPr="002C1A32" w:rsidRDefault="006F7B58" w:rsidP="006F7B58">
            <w:pPr>
              <w:jc w:val="both"/>
              <w:rPr>
                <w:sz w:val="20"/>
                <w:lang w:val="fr-CA"/>
              </w:rPr>
            </w:pPr>
            <w:r w:rsidRPr="002C1A32">
              <w:rPr>
                <w:sz w:val="20"/>
                <w:lang w:val="fr-CA"/>
              </w:rPr>
              <w:t>Le juge Gagnon à la Cour supérieure du Québec rejette la requête introductive d’instance des demandeurs. Le père avait plein droit et autorité d’exercer un pouvoir qui lui était discrétionnaire selon les dispositions de la fiducie. Le père n’avait pas à justifier sa décision d’exclure les demandeurs, et tant que son choix ne va pas à l’encontre de la loi ou de l’ordre public, un tel geste échappe au contrôle judiciaire. De plus, l’exclusion des demandeurs ne découle pas uniquement du dépôt des dénonciations criminelles, mais aussi du « piètre état » des relations entre père et enfants. La Cour d’appel du Québec rejette l’appel des demandeurs, et confirme la décision du juge Gagnon. La liberté de tester est pratiquement illimitée. De plus, la règle d’abus de droit n’est pas applicable dans le contexte d’une question de liberté testamentaire ou fiduciaire.</w:t>
            </w:r>
          </w:p>
          <w:p w:rsidR="006F7B58" w:rsidRPr="002C1A32" w:rsidRDefault="006F7B58" w:rsidP="006F7B58">
            <w:pPr>
              <w:jc w:val="both"/>
              <w:rPr>
                <w:sz w:val="20"/>
                <w:lang w:val="fr-CA"/>
              </w:rPr>
            </w:pPr>
          </w:p>
        </w:tc>
      </w:tr>
      <w:tr w:rsidR="006F7B58" w:rsidRPr="002C1A32" w:rsidTr="00E95A6A">
        <w:tc>
          <w:tcPr>
            <w:tcW w:w="2427" w:type="pct"/>
            <w:gridSpan w:val="2"/>
          </w:tcPr>
          <w:p w:rsidR="006F7B58" w:rsidRPr="002C1A32" w:rsidRDefault="006F7B58" w:rsidP="006F7B58">
            <w:pPr>
              <w:jc w:val="both"/>
              <w:rPr>
                <w:sz w:val="20"/>
                <w:lang w:val="fr-CA"/>
              </w:rPr>
            </w:pPr>
            <w:r w:rsidRPr="002C1A32">
              <w:rPr>
                <w:sz w:val="20"/>
                <w:lang w:val="fr-CA"/>
              </w:rPr>
              <w:lastRenderedPageBreak/>
              <w:t>Le 3 décembre 2013</w:t>
            </w:r>
          </w:p>
          <w:p w:rsidR="006F7B58" w:rsidRPr="002C1A32" w:rsidRDefault="006F7B58" w:rsidP="006F7B58">
            <w:pPr>
              <w:jc w:val="both"/>
              <w:rPr>
                <w:sz w:val="20"/>
                <w:lang w:val="fr-CA"/>
              </w:rPr>
            </w:pPr>
            <w:r w:rsidRPr="002C1A32">
              <w:rPr>
                <w:sz w:val="20"/>
                <w:lang w:val="fr-CA"/>
              </w:rPr>
              <w:t>Cour supérieure du Québec</w:t>
            </w:r>
          </w:p>
          <w:p w:rsidR="006F7B58" w:rsidRPr="002C1A32" w:rsidRDefault="006F7B58" w:rsidP="006F7B58">
            <w:pPr>
              <w:jc w:val="both"/>
              <w:rPr>
                <w:sz w:val="20"/>
                <w:lang w:val="fr-CA"/>
              </w:rPr>
            </w:pPr>
            <w:r w:rsidRPr="002C1A32">
              <w:rPr>
                <w:sz w:val="20"/>
                <w:lang w:val="fr-CA"/>
              </w:rPr>
              <w:t>(Le juge Gagnon)</w:t>
            </w:r>
          </w:p>
          <w:p w:rsidR="006F7B58" w:rsidRPr="002C1A32" w:rsidRDefault="006F7B58" w:rsidP="006F7B58">
            <w:pPr>
              <w:jc w:val="both"/>
              <w:rPr>
                <w:sz w:val="20"/>
                <w:lang w:val="fr-CA"/>
              </w:rPr>
            </w:pPr>
            <w:r w:rsidRPr="002C1A32">
              <w:rPr>
                <w:sz w:val="20"/>
                <w:lang w:val="fr-CA"/>
              </w:rPr>
              <w:t>Numéro du dossier : 200-17-015150-113</w:t>
            </w:r>
          </w:p>
          <w:p w:rsidR="006F7B58" w:rsidRPr="008D6C1E" w:rsidRDefault="006F7B58" w:rsidP="006F7B58">
            <w:pPr>
              <w:jc w:val="both"/>
              <w:rPr>
                <w:sz w:val="20"/>
                <w:lang w:val="fr-FR"/>
              </w:rPr>
            </w:pPr>
          </w:p>
        </w:tc>
        <w:tc>
          <w:tcPr>
            <w:tcW w:w="243" w:type="pct"/>
          </w:tcPr>
          <w:p w:rsidR="006F7B58" w:rsidRPr="008D6C1E" w:rsidRDefault="006F7B58" w:rsidP="006F7B58">
            <w:pPr>
              <w:jc w:val="both"/>
              <w:rPr>
                <w:sz w:val="20"/>
                <w:lang w:val="fr-FR"/>
              </w:rPr>
            </w:pPr>
          </w:p>
        </w:tc>
        <w:tc>
          <w:tcPr>
            <w:tcW w:w="2330" w:type="pct"/>
          </w:tcPr>
          <w:p w:rsidR="006F7B58" w:rsidRPr="002C1A32" w:rsidRDefault="006F7B58" w:rsidP="006F7B58">
            <w:pPr>
              <w:jc w:val="both"/>
              <w:rPr>
                <w:sz w:val="20"/>
                <w:lang w:val="fr-CA"/>
              </w:rPr>
            </w:pPr>
            <w:r w:rsidRPr="002C1A32">
              <w:rPr>
                <w:sz w:val="20"/>
                <w:lang w:val="fr-CA"/>
              </w:rPr>
              <w:t>Requête introductive d’instance des demandeurs en annulation des changements de bénéficiaires d’un testament et d’une police d’assurance-vie — rejetée</w:t>
            </w:r>
          </w:p>
          <w:p w:rsidR="006F7B58" w:rsidRPr="002C1A32" w:rsidRDefault="006F7B58" w:rsidP="006F7B58">
            <w:pPr>
              <w:jc w:val="both"/>
              <w:rPr>
                <w:sz w:val="20"/>
                <w:lang w:val="fr-CA"/>
              </w:rPr>
            </w:pPr>
          </w:p>
        </w:tc>
      </w:tr>
      <w:tr w:rsidR="006F7B58" w:rsidRPr="008D6C1E" w:rsidTr="00E95A6A">
        <w:tc>
          <w:tcPr>
            <w:tcW w:w="2427" w:type="pct"/>
            <w:gridSpan w:val="2"/>
          </w:tcPr>
          <w:p w:rsidR="006F7B58" w:rsidRPr="002C1A32" w:rsidRDefault="006F7B58" w:rsidP="006F7B58">
            <w:pPr>
              <w:jc w:val="both"/>
              <w:rPr>
                <w:sz w:val="20"/>
                <w:lang w:val="fr-CA"/>
              </w:rPr>
            </w:pPr>
            <w:r w:rsidRPr="002C1A32">
              <w:rPr>
                <w:sz w:val="20"/>
                <w:lang w:val="fr-CA"/>
              </w:rPr>
              <w:t>Le 23 juillet 2015</w:t>
            </w:r>
          </w:p>
          <w:p w:rsidR="006F7B58" w:rsidRPr="002C1A32" w:rsidRDefault="006F7B58" w:rsidP="006F7B58">
            <w:pPr>
              <w:jc w:val="both"/>
              <w:rPr>
                <w:sz w:val="20"/>
                <w:lang w:val="fr-CA"/>
              </w:rPr>
            </w:pPr>
            <w:r w:rsidRPr="002C1A32">
              <w:rPr>
                <w:sz w:val="20"/>
                <w:lang w:val="fr-CA"/>
              </w:rPr>
              <w:t>Cour d’appel du Québec (Québec)</w:t>
            </w:r>
          </w:p>
          <w:p w:rsidR="006F7B58" w:rsidRPr="002C1A32" w:rsidRDefault="006F7B58" w:rsidP="006F7B58">
            <w:pPr>
              <w:jc w:val="both"/>
              <w:rPr>
                <w:sz w:val="20"/>
                <w:lang w:val="fr-CA"/>
              </w:rPr>
            </w:pPr>
            <w:r w:rsidRPr="002C1A32">
              <w:rPr>
                <w:sz w:val="20"/>
                <w:lang w:val="fr-CA"/>
              </w:rPr>
              <w:t xml:space="preserve">(Les juges Doyon, </w:t>
            </w:r>
            <w:proofErr w:type="spellStart"/>
            <w:r w:rsidRPr="002C1A32">
              <w:rPr>
                <w:sz w:val="20"/>
                <w:lang w:val="fr-CA"/>
              </w:rPr>
              <w:t>Bich</w:t>
            </w:r>
            <w:proofErr w:type="spellEnd"/>
            <w:r w:rsidRPr="002C1A32">
              <w:rPr>
                <w:sz w:val="20"/>
                <w:lang w:val="fr-CA"/>
              </w:rPr>
              <w:t>, et Bouchard)</w:t>
            </w:r>
          </w:p>
          <w:p w:rsidR="006F7B58" w:rsidRPr="008D6C1E" w:rsidRDefault="006F7B58" w:rsidP="006F7B58">
            <w:pPr>
              <w:jc w:val="both"/>
              <w:rPr>
                <w:sz w:val="20"/>
              </w:rPr>
            </w:pPr>
            <w:proofErr w:type="spellStart"/>
            <w:r w:rsidRPr="008D6C1E">
              <w:rPr>
                <w:sz w:val="20"/>
              </w:rPr>
              <w:t>Numéro</w:t>
            </w:r>
            <w:proofErr w:type="spellEnd"/>
            <w:r w:rsidRPr="008D6C1E">
              <w:rPr>
                <w:sz w:val="20"/>
              </w:rPr>
              <w:t xml:space="preserve"> du dossier : 200-09-008225-135</w:t>
            </w:r>
          </w:p>
          <w:p w:rsidR="006F7B58" w:rsidRPr="008D6C1E" w:rsidRDefault="006F7B58" w:rsidP="006F7B58">
            <w:pPr>
              <w:jc w:val="both"/>
              <w:rPr>
                <w:sz w:val="20"/>
              </w:rPr>
            </w:pPr>
          </w:p>
        </w:tc>
        <w:tc>
          <w:tcPr>
            <w:tcW w:w="243" w:type="pct"/>
          </w:tcPr>
          <w:p w:rsidR="006F7B58" w:rsidRPr="008D6C1E" w:rsidRDefault="006F7B58" w:rsidP="006F7B58">
            <w:pPr>
              <w:jc w:val="both"/>
              <w:rPr>
                <w:sz w:val="20"/>
              </w:rPr>
            </w:pPr>
          </w:p>
        </w:tc>
        <w:tc>
          <w:tcPr>
            <w:tcW w:w="2330" w:type="pct"/>
          </w:tcPr>
          <w:p w:rsidR="006F7B58" w:rsidRPr="008D6C1E" w:rsidRDefault="006F7B58" w:rsidP="006F7B58">
            <w:pPr>
              <w:jc w:val="both"/>
              <w:rPr>
                <w:sz w:val="20"/>
              </w:rPr>
            </w:pPr>
            <w:r w:rsidRPr="008D6C1E">
              <w:rPr>
                <w:sz w:val="20"/>
              </w:rPr>
              <w:t>Appel des demandeurs — rejeté</w:t>
            </w:r>
          </w:p>
          <w:p w:rsidR="006F7B58" w:rsidRPr="008D6C1E" w:rsidRDefault="006F7B58" w:rsidP="006F7B58">
            <w:pPr>
              <w:jc w:val="both"/>
              <w:rPr>
                <w:sz w:val="20"/>
              </w:rPr>
            </w:pPr>
          </w:p>
        </w:tc>
      </w:tr>
      <w:tr w:rsidR="006F7B58" w:rsidRPr="008D6C1E" w:rsidTr="00E95A6A">
        <w:tc>
          <w:tcPr>
            <w:tcW w:w="2427" w:type="pct"/>
            <w:gridSpan w:val="2"/>
          </w:tcPr>
          <w:p w:rsidR="006F7B58" w:rsidRPr="002C1A32" w:rsidRDefault="006F7B58" w:rsidP="006F7B58">
            <w:pPr>
              <w:jc w:val="both"/>
              <w:rPr>
                <w:sz w:val="20"/>
                <w:lang w:val="fr-CA"/>
              </w:rPr>
            </w:pPr>
            <w:r w:rsidRPr="002C1A32">
              <w:rPr>
                <w:sz w:val="20"/>
                <w:lang w:val="fr-CA"/>
              </w:rPr>
              <w:t>Le 4 septembre 2015</w:t>
            </w:r>
          </w:p>
          <w:p w:rsidR="006F7B58" w:rsidRPr="002C1A32" w:rsidRDefault="006F7B58" w:rsidP="006F7B58">
            <w:pPr>
              <w:jc w:val="both"/>
              <w:rPr>
                <w:sz w:val="20"/>
                <w:lang w:val="fr-CA"/>
              </w:rPr>
            </w:pPr>
            <w:r w:rsidRPr="002C1A32">
              <w:rPr>
                <w:sz w:val="20"/>
                <w:lang w:val="fr-CA"/>
              </w:rPr>
              <w:t>Cour suprême du Canada</w:t>
            </w:r>
          </w:p>
        </w:tc>
        <w:tc>
          <w:tcPr>
            <w:tcW w:w="243" w:type="pct"/>
          </w:tcPr>
          <w:p w:rsidR="006F7B58" w:rsidRPr="002C1A32" w:rsidRDefault="006F7B58" w:rsidP="006F7B58">
            <w:pPr>
              <w:jc w:val="both"/>
              <w:rPr>
                <w:sz w:val="20"/>
                <w:lang w:val="fr-CA"/>
              </w:rPr>
            </w:pPr>
          </w:p>
        </w:tc>
        <w:tc>
          <w:tcPr>
            <w:tcW w:w="2330" w:type="pct"/>
          </w:tcPr>
          <w:p w:rsidR="006F7B58" w:rsidRPr="008D6C1E" w:rsidRDefault="006F7B58" w:rsidP="006F7B58">
            <w:pPr>
              <w:jc w:val="both"/>
              <w:rPr>
                <w:sz w:val="20"/>
              </w:rPr>
            </w:pPr>
            <w:proofErr w:type="spellStart"/>
            <w:r w:rsidRPr="008D6C1E">
              <w:rPr>
                <w:sz w:val="20"/>
              </w:rPr>
              <w:t>Demande</w:t>
            </w:r>
            <w:proofErr w:type="spellEnd"/>
            <w:r w:rsidRPr="008D6C1E">
              <w:rPr>
                <w:sz w:val="20"/>
              </w:rPr>
              <w:t xml:space="preserve"> </w:t>
            </w:r>
            <w:proofErr w:type="spellStart"/>
            <w:r w:rsidRPr="008D6C1E">
              <w:rPr>
                <w:sz w:val="20"/>
              </w:rPr>
              <w:t>d'autorisation</w:t>
            </w:r>
            <w:proofErr w:type="spellEnd"/>
            <w:r w:rsidRPr="008D6C1E">
              <w:rPr>
                <w:sz w:val="20"/>
              </w:rPr>
              <w:t xml:space="preserve"> </w:t>
            </w:r>
            <w:proofErr w:type="spellStart"/>
            <w:r w:rsidRPr="008D6C1E">
              <w:rPr>
                <w:sz w:val="20"/>
              </w:rPr>
              <w:t>d'appel</w:t>
            </w:r>
            <w:proofErr w:type="spellEnd"/>
            <w:r w:rsidRPr="008D6C1E">
              <w:rPr>
                <w:sz w:val="20"/>
              </w:rPr>
              <w:t xml:space="preserve"> </w:t>
            </w:r>
            <w:proofErr w:type="spellStart"/>
            <w:r w:rsidRPr="008D6C1E">
              <w:rPr>
                <w:sz w:val="20"/>
              </w:rPr>
              <w:t>déposée</w:t>
            </w:r>
            <w:proofErr w:type="spellEnd"/>
          </w:p>
        </w:tc>
      </w:tr>
    </w:tbl>
    <w:p w:rsidR="006F7B58" w:rsidRPr="008D6C1E" w:rsidRDefault="006F7B58" w:rsidP="00662242">
      <w:pPr>
        <w:jc w:val="both"/>
        <w:rPr>
          <w:sz w:val="20"/>
        </w:rPr>
      </w:pPr>
    </w:p>
    <w:p w:rsidR="00DA6C4D" w:rsidRPr="008D6C1E" w:rsidRDefault="00DA6C4D" w:rsidP="00662242">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62242" w:rsidRPr="008D6C1E" w:rsidTr="00AC1153">
        <w:tc>
          <w:tcPr>
            <w:tcW w:w="543" w:type="pct"/>
          </w:tcPr>
          <w:p w:rsidR="00662242" w:rsidRPr="008D6C1E" w:rsidRDefault="00662242" w:rsidP="00662242">
            <w:pPr>
              <w:jc w:val="both"/>
              <w:rPr>
                <w:sz w:val="20"/>
              </w:rPr>
            </w:pPr>
            <w:r w:rsidRPr="008D6C1E">
              <w:rPr>
                <w:rStyle w:val="SCCFileNumberChar"/>
                <w:sz w:val="20"/>
                <w:szCs w:val="20"/>
              </w:rPr>
              <w:t>36753</w:t>
            </w:r>
          </w:p>
        </w:tc>
        <w:tc>
          <w:tcPr>
            <w:tcW w:w="4457" w:type="pct"/>
            <w:gridSpan w:val="3"/>
          </w:tcPr>
          <w:p w:rsidR="00662242" w:rsidRPr="002C1A32" w:rsidRDefault="00662242" w:rsidP="00662242">
            <w:pPr>
              <w:pStyle w:val="SCCLsocParty"/>
              <w:jc w:val="both"/>
              <w:rPr>
                <w:b/>
                <w:sz w:val="20"/>
                <w:szCs w:val="20"/>
                <w:lang w:val="en-US"/>
              </w:rPr>
            </w:pPr>
            <w:r w:rsidRPr="002C1A32">
              <w:rPr>
                <w:b/>
                <w:sz w:val="20"/>
                <w:szCs w:val="20"/>
                <w:lang w:val="en-US"/>
              </w:rPr>
              <w:t xml:space="preserve">Giuliano </w:t>
            </w:r>
            <w:proofErr w:type="spellStart"/>
            <w:r w:rsidRPr="002C1A32">
              <w:rPr>
                <w:b/>
                <w:sz w:val="20"/>
                <w:szCs w:val="20"/>
                <w:lang w:val="en-US"/>
              </w:rPr>
              <w:t>Scaduto</w:t>
            </w:r>
            <w:proofErr w:type="spellEnd"/>
            <w:r w:rsidRPr="002C1A32">
              <w:rPr>
                <w:b/>
                <w:sz w:val="20"/>
                <w:szCs w:val="20"/>
                <w:lang w:val="en-US"/>
              </w:rPr>
              <w:t xml:space="preserve"> v. Law Society of Upper Canada, Attorney General of Ontario</w:t>
            </w:r>
          </w:p>
          <w:p w:rsidR="00662242" w:rsidRPr="008D6C1E" w:rsidRDefault="00662242" w:rsidP="00662242">
            <w:pPr>
              <w:jc w:val="both"/>
              <w:rPr>
                <w:sz w:val="20"/>
              </w:rPr>
            </w:pPr>
            <w:r w:rsidRPr="008D6C1E">
              <w:rPr>
                <w:sz w:val="20"/>
              </w:rPr>
              <w:t>(Ont.) (Civil) (By Leave)</w:t>
            </w:r>
          </w:p>
        </w:tc>
      </w:tr>
      <w:tr w:rsidR="00662242" w:rsidRPr="008D6C1E" w:rsidTr="00AC1153">
        <w:tc>
          <w:tcPr>
            <w:tcW w:w="5000" w:type="pct"/>
            <w:gridSpan w:val="4"/>
          </w:tcPr>
          <w:p w:rsidR="00662242" w:rsidRPr="008D6C1E" w:rsidRDefault="00662242" w:rsidP="00662242">
            <w:pPr>
              <w:jc w:val="both"/>
              <w:rPr>
                <w:sz w:val="20"/>
              </w:rPr>
            </w:pPr>
            <w:r w:rsidRPr="008D6C1E">
              <w:rPr>
                <w:sz w:val="20"/>
              </w:rPr>
              <w:t xml:space="preserve">Law of Professions — Barristers and solicitors — Civil procedure – Interpretation — Whether the lower courts erred in dismissing the applicant’s application under Rule 2.1.01(1) of the </w:t>
            </w:r>
            <w:r w:rsidRPr="008D6C1E">
              <w:rPr>
                <w:i/>
                <w:sz w:val="20"/>
              </w:rPr>
              <w:t>Rules of Civil Procedure</w:t>
            </w:r>
            <w:r w:rsidRPr="008D6C1E">
              <w:rPr>
                <w:sz w:val="20"/>
              </w:rPr>
              <w:t>, as being frivolous and vexatious — Allegations that lower court failed to consider evidence of complaints against numerous lawyers that respondent LSUC failed to properly investigate — Whether the LSUC breached its duty of care by allowing a convicted criminal lecture the Ontario Bar — Whether the lower courts failed to deal with the issue of the Applicant’s entitlement to psycho traumatic disability.</w:t>
            </w:r>
          </w:p>
        </w:tc>
      </w:tr>
      <w:tr w:rsidR="00662242" w:rsidRPr="008D6C1E" w:rsidTr="00AC1153">
        <w:tc>
          <w:tcPr>
            <w:tcW w:w="5000" w:type="pct"/>
            <w:gridSpan w:val="4"/>
          </w:tcPr>
          <w:p w:rsidR="00662242" w:rsidRPr="008D6C1E" w:rsidRDefault="00662242" w:rsidP="00662242">
            <w:pPr>
              <w:jc w:val="both"/>
              <w:rPr>
                <w:sz w:val="20"/>
              </w:rPr>
            </w:pPr>
          </w:p>
        </w:tc>
      </w:tr>
      <w:tr w:rsidR="00662242" w:rsidRPr="008D6C1E" w:rsidTr="00AC1153">
        <w:tc>
          <w:tcPr>
            <w:tcW w:w="5000" w:type="pct"/>
            <w:gridSpan w:val="4"/>
          </w:tcPr>
          <w:p w:rsidR="00662242" w:rsidRPr="008D6C1E" w:rsidRDefault="00662242" w:rsidP="00662242">
            <w:pPr>
              <w:jc w:val="both"/>
              <w:rPr>
                <w:sz w:val="20"/>
              </w:rPr>
            </w:pPr>
            <w:r w:rsidRPr="008D6C1E">
              <w:rPr>
                <w:sz w:val="20"/>
              </w:rPr>
              <w:t xml:space="preserve">The applicant was employed at a restaurant from between 1993 and 2004. He made a claim for work-related injuries with the Workplace Safety and Insurance Board (“WSIB”) and unsuccessfully appealed its dismissal. He then brought an application against the respondents, seeking, </w:t>
            </w:r>
            <w:r w:rsidRPr="008D6C1E">
              <w:rPr>
                <w:i/>
                <w:sz w:val="20"/>
              </w:rPr>
              <w:t>inter alia</w:t>
            </w:r>
            <w:r w:rsidRPr="008D6C1E">
              <w:rPr>
                <w:sz w:val="20"/>
              </w:rPr>
              <w:t xml:space="preserve">, damages for the LSUC’s alleged failure to fulfil its statutory duties by not investigating his complaints about various lawyers. The respondent AGO requested that the motion judge dismiss the application as being frivolous or vexatious under Rule 2.1.01(6) of the </w:t>
            </w:r>
            <w:r w:rsidRPr="008D6C1E">
              <w:rPr>
                <w:i/>
                <w:sz w:val="20"/>
              </w:rPr>
              <w:t>Rules of Civil Procedure</w:t>
            </w:r>
            <w:r w:rsidRPr="008D6C1E">
              <w:rPr>
                <w:sz w:val="20"/>
              </w:rPr>
              <w:t xml:space="preserve">, R.R.O. 1990, </w:t>
            </w:r>
            <w:proofErr w:type="gramStart"/>
            <w:r w:rsidRPr="008D6C1E">
              <w:rPr>
                <w:sz w:val="20"/>
              </w:rPr>
              <w:t>Reg</w:t>
            </w:r>
            <w:proofErr w:type="gramEnd"/>
            <w:r w:rsidRPr="008D6C1E">
              <w:rPr>
                <w:sz w:val="20"/>
              </w:rPr>
              <w:t>. 194. The motion judge requested and reviewed written submissions from the applicant, and then dismissed his application as being frivolous and vexatious on its face and an attempt to re-litigate the issues in his WSIB claim. The appellate court dismissed the appeal.</w:t>
            </w:r>
          </w:p>
        </w:tc>
      </w:tr>
      <w:tr w:rsidR="00662242" w:rsidRPr="008D6C1E" w:rsidTr="00AC1153">
        <w:tc>
          <w:tcPr>
            <w:tcW w:w="5000" w:type="pct"/>
            <w:gridSpan w:val="4"/>
          </w:tcPr>
          <w:p w:rsidR="00662242" w:rsidRPr="008D6C1E" w:rsidRDefault="00662242" w:rsidP="00662242">
            <w:pPr>
              <w:jc w:val="both"/>
              <w:rPr>
                <w:sz w:val="20"/>
              </w:rPr>
            </w:pPr>
          </w:p>
        </w:tc>
      </w:tr>
      <w:tr w:rsidR="00662242" w:rsidRPr="008D6C1E" w:rsidTr="00AC1153">
        <w:tc>
          <w:tcPr>
            <w:tcW w:w="2427" w:type="pct"/>
            <w:gridSpan w:val="2"/>
          </w:tcPr>
          <w:p w:rsidR="00662242" w:rsidRPr="008D6C1E" w:rsidRDefault="00662242" w:rsidP="00662242">
            <w:pPr>
              <w:jc w:val="both"/>
              <w:rPr>
                <w:sz w:val="20"/>
              </w:rPr>
            </w:pPr>
            <w:r w:rsidRPr="008D6C1E">
              <w:rPr>
                <w:sz w:val="20"/>
              </w:rPr>
              <w:t>May 5, 2015</w:t>
            </w:r>
          </w:p>
          <w:p w:rsidR="00662242" w:rsidRPr="008D6C1E" w:rsidRDefault="00662242" w:rsidP="00662242">
            <w:pPr>
              <w:jc w:val="both"/>
              <w:rPr>
                <w:sz w:val="20"/>
              </w:rPr>
            </w:pPr>
            <w:r w:rsidRPr="008D6C1E">
              <w:rPr>
                <w:sz w:val="20"/>
              </w:rPr>
              <w:t>Ontario Superior Court of Justice</w:t>
            </w:r>
          </w:p>
          <w:p w:rsidR="00662242" w:rsidRPr="008D6C1E" w:rsidRDefault="00662242" w:rsidP="00662242">
            <w:pPr>
              <w:jc w:val="both"/>
              <w:rPr>
                <w:sz w:val="20"/>
              </w:rPr>
            </w:pPr>
            <w:r w:rsidRPr="008D6C1E">
              <w:rPr>
                <w:sz w:val="20"/>
              </w:rPr>
              <w:t>(Myers J.)</w:t>
            </w:r>
          </w:p>
          <w:p w:rsidR="00662242" w:rsidRPr="008D6C1E" w:rsidRDefault="00662242" w:rsidP="00662242">
            <w:pPr>
              <w:jc w:val="both"/>
              <w:rPr>
                <w:sz w:val="20"/>
              </w:rPr>
            </w:pPr>
            <w:r w:rsidRPr="008D6C1E">
              <w:rPr>
                <w:sz w:val="20"/>
              </w:rPr>
              <w:t>CV-15-522755</w:t>
            </w:r>
          </w:p>
          <w:p w:rsidR="00662242" w:rsidRPr="008D6C1E" w:rsidRDefault="00662242" w:rsidP="00662242">
            <w:pPr>
              <w:jc w:val="both"/>
              <w:rPr>
                <w:sz w:val="20"/>
              </w:rPr>
            </w:pPr>
          </w:p>
        </w:tc>
        <w:tc>
          <w:tcPr>
            <w:tcW w:w="243" w:type="pct"/>
          </w:tcPr>
          <w:p w:rsidR="00662242" w:rsidRPr="008D6C1E" w:rsidRDefault="00662242" w:rsidP="00662242">
            <w:pPr>
              <w:jc w:val="both"/>
              <w:rPr>
                <w:sz w:val="20"/>
              </w:rPr>
            </w:pPr>
          </w:p>
        </w:tc>
        <w:tc>
          <w:tcPr>
            <w:tcW w:w="2330" w:type="pct"/>
          </w:tcPr>
          <w:p w:rsidR="00662242" w:rsidRPr="008D6C1E" w:rsidRDefault="00662242" w:rsidP="00662242">
            <w:pPr>
              <w:jc w:val="both"/>
              <w:rPr>
                <w:sz w:val="20"/>
              </w:rPr>
            </w:pPr>
            <w:r w:rsidRPr="008D6C1E">
              <w:rPr>
                <w:sz w:val="20"/>
              </w:rPr>
              <w:t xml:space="preserve">Applicant’s application dismissed under Rule 2.1.01(1), </w:t>
            </w:r>
            <w:r w:rsidRPr="008D6C1E">
              <w:rPr>
                <w:i/>
                <w:sz w:val="20"/>
              </w:rPr>
              <w:t>Rules of Civil Procedure</w:t>
            </w:r>
            <w:r w:rsidRPr="008D6C1E">
              <w:rPr>
                <w:sz w:val="20"/>
              </w:rPr>
              <w:t xml:space="preserve"> as being frivolous and vexatious</w:t>
            </w:r>
          </w:p>
          <w:p w:rsidR="00662242" w:rsidRPr="008D6C1E" w:rsidRDefault="00662242" w:rsidP="00662242">
            <w:pPr>
              <w:jc w:val="both"/>
              <w:rPr>
                <w:sz w:val="20"/>
              </w:rPr>
            </w:pPr>
          </w:p>
        </w:tc>
      </w:tr>
      <w:tr w:rsidR="00662242" w:rsidRPr="008D6C1E" w:rsidTr="00AC1153">
        <w:tc>
          <w:tcPr>
            <w:tcW w:w="2427" w:type="pct"/>
            <w:gridSpan w:val="2"/>
          </w:tcPr>
          <w:p w:rsidR="00662242" w:rsidRPr="008D6C1E" w:rsidRDefault="00662242" w:rsidP="00662242">
            <w:pPr>
              <w:jc w:val="both"/>
              <w:rPr>
                <w:sz w:val="20"/>
              </w:rPr>
            </w:pPr>
            <w:r w:rsidRPr="008D6C1E">
              <w:rPr>
                <w:sz w:val="20"/>
              </w:rPr>
              <w:t>November 2, 2015</w:t>
            </w:r>
          </w:p>
          <w:p w:rsidR="00662242" w:rsidRPr="008D6C1E" w:rsidRDefault="00662242" w:rsidP="00662242">
            <w:pPr>
              <w:jc w:val="both"/>
              <w:rPr>
                <w:sz w:val="20"/>
              </w:rPr>
            </w:pPr>
            <w:r w:rsidRPr="008D6C1E">
              <w:rPr>
                <w:sz w:val="20"/>
              </w:rPr>
              <w:t>Court of Appeal for Ontario</w:t>
            </w:r>
          </w:p>
          <w:p w:rsidR="00662242" w:rsidRPr="008D6C1E" w:rsidRDefault="00662242" w:rsidP="00662242">
            <w:pPr>
              <w:jc w:val="both"/>
              <w:rPr>
                <w:sz w:val="20"/>
              </w:rPr>
            </w:pPr>
            <w:r w:rsidRPr="008D6C1E">
              <w:rPr>
                <w:sz w:val="20"/>
              </w:rPr>
              <w:t>(Blair, Hourigan, Brown JJ.A.)</w:t>
            </w:r>
          </w:p>
          <w:p w:rsidR="00662242" w:rsidRPr="008D6C1E" w:rsidRDefault="005E6DC4" w:rsidP="00662242">
            <w:pPr>
              <w:jc w:val="both"/>
              <w:rPr>
                <w:sz w:val="20"/>
              </w:rPr>
            </w:pPr>
            <w:hyperlink r:id="rId130" w:history="1">
              <w:r w:rsidR="00662242" w:rsidRPr="008D6C1E">
                <w:rPr>
                  <w:rStyle w:val="Hyperlink"/>
                  <w:sz w:val="20"/>
                </w:rPr>
                <w:t>2015 ONCA 733</w:t>
              </w:r>
            </w:hyperlink>
            <w:r w:rsidR="00662242" w:rsidRPr="008D6C1E">
              <w:rPr>
                <w:sz w:val="20"/>
              </w:rPr>
              <w:t>; C60487</w:t>
            </w:r>
          </w:p>
          <w:p w:rsidR="00662242" w:rsidRPr="008D6C1E" w:rsidRDefault="00662242" w:rsidP="00662242">
            <w:pPr>
              <w:jc w:val="both"/>
              <w:rPr>
                <w:sz w:val="20"/>
              </w:rPr>
            </w:pPr>
          </w:p>
        </w:tc>
        <w:tc>
          <w:tcPr>
            <w:tcW w:w="243" w:type="pct"/>
          </w:tcPr>
          <w:p w:rsidR="00662242" w:rsidRPr="008D6C1E" w:rsidRDefault="00662242" w:rsidP="00662242">
            <w:pPr>
              <w:jc w:val="both"/>
              <w:rPr>
                <w:sz w:val="20"/>
              </w:rPr>
            </w:pPr>
          </w:p>
        </w:tc>
        <w:tc>
          <w:tcPr>
            <w:tcW w:w="2330" w:type="pct"/>
          </w:tcPr>
          <w:p w:rsidR="00662242" w:rsidRPr="008D6C1E" w:rsidRDefault="00662242" w:rsidP="00662242">
            <w:pPr>
              <w:jc w:val="both"/>
              <w:rPr>
                <w:sz w:val="20"/>
              </w:rPr>
            </w:pPr>
            <w:r w:rsidRPr="008D6C1E">
              <w:rPr>
                <w:sz w:val="20"/>
              </w:rPr>
              <w:t>Appeal dismissed</w:t>
            </w:r>
          </w:p>
          <w:p w:rsidR="00662242" w:rsidRPr="008D6C1E" w:rsidRDefault="00662242" w:rsidP="00662242">
            <w:pPr>
              <w:jc w:val="both"/>
              <w:rPr>
                <w:sz w:val="20"/>
              </w:rPr>
            </w:pPr>
          </w:p>
        </w:tc>
      </w:tr>
      <w:tr w:rsidR="00662242" w:rsidRPr="008D6C1E" w:rsidTr="00AC1153">
        <w:tc>
          <w:tcPr>
            <w:tcW w:w="2427" w:type="pct"/>
            <w:gridSpan w:val="2"/>
          </w:tcPr>
          <w:p w:rsidR="00662242" w:rsidRPr="008D6C1E" w:rsidRDefault="00662242" w:rsidP="00662242">
            <w:pPr>
              <w:jc w:val="both"/>
              <w:rPr>
                <w:sz w:val="20"/>
              </w:rPr>
            </w:pPr>
            <w:r w:rsidRPr="008D6C1E">
              <w:rPr>
                <w:sz w:val="20"/>
              </w:rPr>
              <w:t>December 2, 2015</w:t>
            </w:r>
          </w:p>
          <w:p w:rsidR="00662242" w:rsidRPr="008D6C1E" w:rsidRDefault="00662242" w:rsidP="00662242">
            <w:pPr>
              <w:jc w:val="both"/>
              <w:rPr>
                <w:sz w:val="20"/>
              </w:rPr>
            </w:pPr>
            <w:r w:rsidRPr="008D6C1E">
              <w:rPr>
                <w:sz w:val="20"/>
              </w:rPr>
              <w:t>Supreme Court of Canada</w:t>
            </w:r>
          </w:p>
        </w:tc>
        <w:tc>
          <w:tcPr>
            <w:tcW w:w="243" w:type="pct"/>
          </w:tcPr>
          <w:p w:rsidR="00662242" w:rsidRPr="008D6C1E" w:rsidRDefault="00662242" w:rsidP="00662242">
            <w:pPr>
              <w:jc w:val="both"/>
              <w:rPr>
                <w:sz w:val="20"/>
              </w:rPr>
            </w:pPr>
          </w:p>
        </w:tc>
        <w:tc>
          <w:tcPr>
            <w:tcW w:w="2330" w:type="pct"/>
          </w:tcPr>
          <w:p w:rsidR="00662242" w:rsidRPr="008D6C1E" w:rsidRDefault="00662242" w:rsidP="00662242">
            <w:pPr>
              <w:jc w:val="both"/>
              <w:rPr>
                <w:sz w:val="20"/>
              </w:rPr>
            </w:pPr>
            <w:r w:rsidRPr="008D6C1E">
              <w:rPr>
                <w:sz w:val="20"/>
              </w:rPr>
              <w:t>Application for leave to appeal filed</w:t>
            </w:r>
          </w:p>
          <w:p w:rsidR="00662242" w:rsidRPr="008D6C1E" w:rsidRDefault="00662242" w:rsidP="00662242">
            <w:pPr>
              <w:jc w:val="both"/>
              <w:rPr>
                <w:sz w:val="20"/>
              </w:rPr>
            </w:pPr>
          </w:p>
        </w:tc>
      </w:tr>
    </w:tbl>
    <w:p w:rsidR="00662242" w:rsidRPr="008D6C1E" w:rsidRDefault="00662242" w:rsidP="00662242">
      <w:pPr>
        <w:jc w:val="both"/>
        <w:rPr>
          <w:sz w:val="20"/>
        </w:rPr>
      </w:pPr>
    </w:p>
    <w:p w:rsidR="00662242" w:rsidRPr="008D6C1E" w:rsidRDefault="00662242" w:rsidP="0066224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62242" w:rsidRPr="008D6C1E" w:rsidTr="00AC1153">
        <w:tc>
          <w:tcPr>
            <w:tcW w:w="543" w:type="pct"/>
          </w:tcPr>
          <w:p w:rsidR="00662242" w:rsidRPr="008D6C1E" w:rsidRDefault="00662242" w:rsidP="00662242">
            <w:pPr>
              <w:jc w:val="both"/>
              <w:rPr>
                <w:sz w:val="20"/>
              </w:rPr>
            </w:pPr>
            <w:r w:rsidRPr="008D6C1E">
              <w:rPr>
                <w:rStyle w:val="SCCFileNumberChar"/>
                <w:sz w:val="20"/>
                <w:szCs w:val="20"/>
              </w:rPr>
              <w:t>36753</w:t>
            </w:r>
          </w:p>
        </w:tc>
        <w:tc>
          <w:tcPr>
            <w:tcW w:w="4457" w:type="pct"/>
            <w:gridSpan w:val="3"/>
          </w:tcPr>
          <w:p w:rsidR="00662242" w:rsidRPr="008D6C1E" w:rsidRDefault="00662242" w:rsidP="00662242">
            <w:pPr>
              <w:pStyle w:val="SCCLsocParty"/>
              <w:jc w:val="both"/>
              <w:rPr>
                <w:b/>
                <w:sz w:val="20"/>
                <w:szCs w:val="20"/>
              </w:rPr>
            </w:pPr>
            <w:r w:rsidRPr="008D6C1E">
              <w:rPr>
                <w:b/>
                <w:sz w:val="20"/>
                <w:szCs w:val="20"/>
              </w:rPr>
              <w:t xml:space="preserve">Giuliano </w:t>
            </w:r>
            <w:proofErr w:type="spellStart"/>
            <w:r w:rsidRPr="008D6C1E">
              <w:rPr>
                <w:b/>
                <w:sz w:val="20"/>
                <w:szCs w:val="20"/>
              </w:rPr>
              <w:t>Scaduto</w:t>
            </w:r>
            <w:proofErr w:type="spellEnd"/>
            <w:r w:rsidRPr="008D6C1E">
              <w:rPr>
                <w:b/>
                <w:sz w:val="20"/>
                <w:szCs w:val="20"/>
              </w:rPr>
              <w:t xml:space="preserve"> c. Barreau du Haut-Canada, procureure générale de l’Ontario</w:t>
            </w:r>
          </w:p>
          <w:p w:rsidR="00662242" w:rsidRPr="008D6C1E" w:rsidRDefault="00662242" w:rsidP="00662242">
            <w:pPr>
              <w:jc w:val="both"/>
              <w:rPr>
                <w:sz w:val="20"/>
              </w:rPr>
            </w:pPr>
            <w:r w:rsidRPr="008D6C1E">
              <w:rPr>
                <w:sz w:val="20"/>
              </w:rPr>
              <w:t>(Ont.) (</w:t>
            </w:r>
            <w:proofErr w:type="spellStart"/>
            <w:r w:rsidRPr="008D6C1E">
              <w:rPr>
                <w:sz w:val="20"/>
              </w:rPr>
              <w:t>Civile</w:t>
            </w:r>
            <w:proofErr w:type="spellEnd"/>
            <w:r w:rsidRPr="008D6C1E">
              <w:rPr>
                <w:sz w:val="20"/>
              </w:rPr>
              <w:t xml:space="preserve">) (Sur </w:t>
            </w:r>
            <w:proofErr w:type="spellStart"/>
            <w:r w:rsidRPr="008D6C1E">
              <w:rPr>
                <w:sz w:val="20"/>
              </w:rPr>
              <w:t>autorisation</w:t>
            </w:r>
            <w:proofErr w:type="spellEnd"/>
            <w:r w:rsidRPr="008D6C1E">
              <w:rPr>
                <w:sz w:val="20"/>
              </w:rPr>
              <w:t>)</w:t>
            </w:r>
          </w:p>
        </w:tc>
      </w:tr>
      <w:tr w:rsidR="00662242" w:rsidRPr="002C1A32" w:rsidTr="00AC1153">
        <w:tc>
          <w:tcPr>
            <w:tcW w:w="5000" w:type="pct"/>
            <w:gridSpan w:val="4"/>
          </w:tcPr>
          <w:p w:rsidR="00662242" w:rsidRPr="008D6C1E" w:rsidRDefault="00662242" w:rsidP="00662242">
            <w:pPr>
              <w:jc w:val="both"/>
              <w:rPr>
                <w:sz w:val="20"/>
                <w:lang w:val="fr-CA"/>
              </w:rPr>
            </w:pPr>
            <w:r w:rsidRPr="008D6C1E">
              <w:rPr>
                <w:sz w:val="20"/>
                <w:lang w:val="fr-CA"/>
              </w:rPr>
              <w:t xml:space="preserve">Droit des professions — Avocats et procureurs — Procédure civile — Interprétation — Les juridictions inférieures </w:t>
            </w:r>
            <w:proofErr w:type="spellStart"/>
            <w:r w:rsidRPr="008D6C1E">
              <w:rPr>
                <w:sz w:val="20"/>
                <w:lang w:val="fr-CA"/>
              </w:rPr>
              <w:t>ont-elles</w:t>
            </w:r>
            <w:proofErr w:type="spellEnd"/>
            <w:r w:rsidRPr="008D6C1E">
              <w:rPr>
                <w:sz w:val="20"/>
                <w:lang w:val="fr-CA"/>
              </w:rPr>
              <w:t xml:space="preserve"> eu tort de rejeter la demande sur le fondement du par. 2.1.01(1) des </w:t>
            </w:r>
            <w:r w:rsidRPr="008D6C1E">
              <w:rPr>
                <w:i/>
                <w:sz w:val="20"/>
                <w:lang w:val="fr-CA"/>
              </w:rPr>
              <w:t>Règles de procédure civile</w:t>
            </w:r>
            <w:r w:rsidRPr="008D6C1E">
              <w:rPr>
                <w:sz w:val="20"/>
                <w:lang w:val="fr-CA"/>
              </w:rPr>
              <w:t xml:space="preserve"> au motif qu’elle est frivole et vexatoire? — Il est allégué que le tribunal de première instance a omis de prendre en considération la preuve de plaintes portées contre de nombreux avocats et sur lesquelles l’intimé le BHC n’aurait pas dûment fait enquête — Le BHC </w:t>
            </w:r>
            <w:proofErr w:type="spellStart"/>
            <w:r w:rsidRPr="008D6C1E">
              <w:rPr>
                <w:sz w:val="20"/>
                <w:lang w:val="fr-CA"/>
              </w:rPr>
              <w:t>a-t-il</w:t>
            </w:r>
            <w:proofErr w:type="spellEnd"/>
            <w:r w:rsidRPr="008D6C1E">
              <w:rPr>
                <w:sz w:val="20"/>
                <w:lang w:val="fr-CA"/>
              </w:rPr>
              <w:t xml:space="preserve"> manqué à son obligation de diligence en permettant à un criminel de prononcer une conférence devant le barreau de l’Ontario? — Les juridictions inférieures </w:t>
            </w:r>
            <w:proofErr w:type="spellStart"/>
            <w:r w:rsidRPr="008D6C1E">
              <w:rPr>
                <w:sz w:val="20"/>
                <w:lang w:val="fr-CA"/>
              </w:rPr>
              <w:t>ont-elles</w:t>
            </w:r>
            <w:proofErr w:type="spellEnd"/>
            <w:r w:rsidRPr="008D6C1E">
              <w:rPr>
                <w:sz w:val="20"/>
                <w:lang w:val="fr-CA"/>
              </w:rPr>
              <w:t xml:space="preserve"> omis de se pencher sur la question du droit du demandeur à une indemnisation pour invalidité attribuable à un traumatisme psychique?</w:t>
            </w:r>
          </w:p>
        </w:tc>
      </w:tr>
      <w:tr w:rsidR="00662242" w:rsidRPr="002C1A32" w:rsidTr="00AC1153">
        <w:tc>
          <w:tcPr>
            <w:tcW w:w="5000" w:type="pct"/>
            <w:gridSpan w:val="4"/>
          </w:tcPr>
          <w:p w:rsidR="00662242" w:rsidRPr="008D6C1E" w:rsidRDefault="00662242" w:rsidP="00662242">
            <w:pPr>
              <w:jc w:val="both"/>
              <w:rPr>
                <w:sz w:val="20"/>
                <w:lang w:val="fr-CA"/>
              </w:rPr>
            </w:pPr>
          </w:p>
        </w:tc>
      </w:tr>
      <w:tr w:rsidR="00662242" w:rsidRPr="008D6C1E" w:rsidTr="00AC1153">
        <w:tc>
          <w:tcPr>
            <w:tcW w:w="5000" w:type="pct"/>
            <w:gridSpan w:val="4"/>
          </w:tcPr>
          <w:p w:rsidR="00662242" w:rsidRPr="008D6C1E" w:rsidRDefault="00662242" w:rsidP="00662242">
            <w:pPr>
              <w:jc w:val="both"/>
              <w:rPr>
                <w:sz w:val="20"/>
                <w:lang w:val="fr-CA"/>
              </w:rPr>
            </w:pPr>
            <w:r w:rsidRPr="008D6C1E">
              <w:rPr>
                <w:sz w:val="20"/>
                <w:lang w:val="fr-CA"/>
              </w:rPr>
              <w:t xml:space="preserve">Le demandeur a travaillé dans un restaurant de 1993 à 2004. Il a présenté à la Commission de la sécurité professionnelle et de l’assurance contre les accidents du travail (« CSPAAT ») une demande relative à un accident du travail et interjeté appel en vain de son congédiement. Il a ensuite poursuivi les intimés, notamment pour obtenir une indemnité par suite de l’omission alléguée du BHC de s’acquitter de son obligation légale de faire enquête sur ses plaintes visant différents avocats. La procureure générale de l’Ontario intimée a demandé au juge des motions de rejeter la demande en raison de son caractère frivole et vexatoire, en application du par. 2.1.01(6) des </w:t>
            </w:r>
            <w:r w:rsidRPr="008D6C1E">
              <w:rPr>
                <w:i/>
                <w:sz w:val="20"/>
                <w:lang w:val="fr-CA"/>
              </w:rPr>
              <w:t>Règles de procédure civile</w:t>
            </w:r>
            <w:r w:rsidRPr="008D6C1E">
              <w:rPr>
                <w:sz w:val="20"/>
                <w:lang w:val="fr-CA"/>
              </w:rPr>
              <w:t xml:space="preserve">, R.R.O. 1990, </w:t>
            </w:r>
            <w:proofErr w:type="spellStart"/>
            <w:r w:rsidRPr="008D6C1E">
              <w:rPr>
                <w:sz w:val="20"/>
                <w:lang w:val="fr-CA"/>
              </w:rPr>
              <w:t>Règl</w:t>
            </w:r>
            <w:proofErr w:type="spellEnd"/>
            <w:r w:rsidRPr="008D6C1E">
              <w:rPr>
                <w:sz w:val="20"/>
                <w:lang w:val="fr-CA"/>
              </w:rPr>
              <w:t>. 194. Le juge a sollicité des observations écrites de la part du demandeur et, après les avoir examinées, il a rejeté la demande parce qu’elle était à première vue frivole et vexatoire et constituait une tentative de relancer le débat sur les questions en litige dans le cadre de sa demande à la CSPAAT. La Cour d’appel a rejeté l’appel.</w:t>
            </w:r>
          </w:p>
        </w:tc>
      </w:tr>
      <w:tr w:rsidR="00662242" w:rsidRPr="008D6C1E" w:rsidTr="00AC1153">
        <w:tc>
          <w:tcPr>
            <w:tcW w:w="5000" w:type="pct"/>
            <w:gridSpan w:val="4"/>
          </w:tcPr>
          <w:p w:rsidR="00662242" w:rsidRPr="008D6C1E" w:rsidRDefault="00662242" w:rsidP="00662242">
            <w:pPr>
              <w:jc w:val="both"/>
              <w:rPr>
                <w:sz w:val="20"/>
                <w:lang w:val="fr-CA"/>
              </w:rPr>
            </w:pPr>
          </w:p>
        </w:tc>
      </w:tr>
      <w:tr w:rsidR="00662242" w:rsidRPr="002C1A32" w:rsidTr="00AC1153">
        <w:tc>
          <w:tcPr>
            <w:tcW w:w="2427" w:type="pct"/>
            <w:gridSpan w:val="2"/>
          </w:tcPr>
          <w:p w:rsidR="00662242" w:rsidRPr="008D6C1E" w:rsidRDefault="00662242" w:rsidP="00662242">
            <w:pPr>
              <w:jc w:val="both"/>
              <w:rPr>
                <w:sz w:val="20"/>
                <w:lang w:val="fr-CA"/>
              </w:rPr>
            </w:pPr>
            <w:r w:rsidRPr="008D6C1E">
              <w:rPr>
                <w:sz w:val="20"/>
                <w:lang w:val="fr-CA"/>
              </w:rPr>
              <w:t>5 mai 2015</w:t>
            </w:r>
          </w:p>
          <w:p w:rsidR="00662242" w:rsidRPr="008D6C1E" w:rsidRDefault="00662242" w:rsidP="00662242">
            <w:pPr>
              <w:jc w:val="both"/>
              <w:rPr>
                <w:sz w:val="20"/>
                <w:lang w:val="fr-CA"/>
              </w:rPr>
            </w:pPr>
            <w:r w:rsidRPr="008D6C1E">
              <w:rPr>
                <w:sz w:val="20"/>
                <w:lang w:val="fr-CA"/>
              </w:rPr>
              <w:t xml:space="preserve">Cour supérieure de Justice de l’Ontario </w:t>
            </w:r>
          </w:p>
          <w:p w:rsidR="00662242" w:rsidRPr="008D6C1E" w:rsidRDefault="00662242" w:rsidP="00662242">
            <w:pPr>
              <w:jc w:val="both"/>
              <w:rPr>
                <w:sz w:val="20"/>
                <w:lang w:val="fr-CA"/>
              </w:rPr>
            </w:pPr>
            <w:r w:rsidRPr="008D6C1E">
              <w:rPr>
                <w:sz w:val="20"/>
                <w:lang w:val="fr-CA"/>
              </w:rPr>
              <w:t>(Juge Myers)</w:t>
            </w:r>
          </w:p>
          <w:p w:rsidR="00662242" w:rsidRPr="008D6C1E" w:rsidRDefault="00662242" w:rsidP="00662242">
            <w:pPr>
              <w:jc w:val="both"/>
              <w:rPr>
                <w:sz w:val="20"/>
                <w:lang w:val="fr-CA"/>
              </w:rPr>
            </w:pPr>
            <w:r w:rsidRPr="008D6C1E">
              <w:rPr>
                <w:sz w:val="20"/>
                <w:lang w:val="fr-CA"/>
              </w:rPr>
              <w:t>CV-15-522755</w:t>
            </w:r>
          </w:p>
          <w:p w:rsidR="00662242" w:rsidRPr="008D6C1E" w:rsidRDefault="00662242" w:rsidP="00662242">
            <w:pPr>
              <w:jc w:val="both"/>
              <w:rPr>
                <w:sz w:val="20"/>
                <w:lang w:val="fr-CA"/>
              </w:rPr>
            </w:pPr>
          </w:p>
        </w:tc>
        <w:tc>
          <w:tcPr>
            <w:tcW w:w="243" w:type="pct"/>
          </w:tcPr>
          <w:p w:rsidR="00662242" w:rsidRPr="008D6C1E" w:rsidRDefault="00662242" w:rsidP="00662242">
            <w:pPr>
              <w:jc w:val="both"/>
              <w:rPr>
                <w:sz w:val="20"/>
                <w:lang w:val="fr-CA"/>
              </w:rPr>
            </w:pPr>
          </w:p>
        </w:tc>
        <w:tc>
          <w:tcPr>
            <w:tcW w:w="2330" w:type="pct"/>
          </w:tcPr>
          <w:p w:rsidR="00662242" w:rsidRPr="008D6C1E" w:rsidRDefault="00662242" w:rsidP="00662242">
            <w:pPr>
              <w:jc w:val="both"/>
              <w:rPr>
                <w:sz w:val="20"/>
                <w:lang w:val="fr-CA"/>
              </w:rPr>
            </w:pPr>
            <w:r w:rsidRPr="008D6C1E">
              <w:rPr>
                <w:sz w:val="20"/>
                <w:lang w:val="fr-CA"/>
              </w:rPr>
              <w:t xml:space="preserve">Rejet de la demande par application du par. 2.1.01(1) des  </w:t>
            </w:r>
            <w:r w:rsidRPr="008D6C1E">
              <w:rPr>
                <w:i/>
                <w:sz w:val="20"/>
                <w:lang w:val="fr-CA"/>
              </w:rPr>
              <w:t xml:space="preserve">Règles de procédure </w:t>
            </w:r>
            <w:r w:rsidRPr="008D6C1E">
              <w:rPr>
                <w:sz w:val="20"/>
                <w:lang w:val="fr-CA"/>
              </w:rPr>
              <w:t>civile au motif qu’elle est frivole et vexatoire</w:t>
            </w:r>
          </w:p>
          <w:p w:rsidR="00662242" w:rsidRPr="008D6C1E" w:rsidRDefault="00662242" w:rsidP="00662242">
            <w:pPr>
              <w:jc w:val="both"/>
              <w:rPr>
                <w:sz w:val="20"/>
                <w:lang w:val="fr-CA"/>
              </w:rPr>
            </w:pPr>
          </w:p>
        </w:tc>
      </w:tr>
      <w:tr w:rsidR="00662242" w:rsidRPr="008D6C1E" w:rsidTr="00AC1153">
        <w:tc>
          <w:tcPr>
            <w:tcW w:w="2427" w:type="pct"/>
            <w:gridSpan w:val="2"/>
          </w:tcPr>
          <w:p w:rsidR="00662242" w:rsidRPr="008D6C1E" w:rsidRDefault="00662242" w:rsidP="00662242">
            <w:pPr>
              <w:jc w:val="both"/>
              <w:rPr>
                <w:sz w:val="20"/>
                <w:lang w:val="fr-CA"/>
              </w:rPr>
            </w:pPr>
            <w:r w:rsidRPr="008D6C1E">
              <w:rPr>
                <w:sz w:val="20"/>
                <w:lang w:val="fr-CA"/>
              </w:rPr>
              <w:t>2 novembre 2015</w:t>
            </w:r>
          </w:p>
          <w:p w:rsidR="00662242" w:rsidRPr="008D6C1E" w:rsidRDefault="00662242" w:rsidP="00662242">
            <w:pPr>
              <w:jc w:val="both"/>
              <w:rPr>
                <w:sz w:val="20"/>
                <w:lang w:val="fr-CA"/>
              </w:rPr>
            </w:pPr>
            <w:r w:rsidRPr="008D6C1E">
              <w:rPr>
                <w:sz w:val="20"/>
                <w:lang w:val="fr-CA"/>
              </w:rPr>
              <w:t>Cour d’appel de l’Ontario</w:t>
            </w:r>
          </w:p>
          <w:p w:rsidR="00662242" w:rsidRPr="008D6C1E" w:rsidRDefault="00662242" w:rsidP="00662242">
            <w:pPr>
              <w:jc w:val="both"/>
              <w:rPr>
                <w:sz w:val="20"/>
                <w:lang w:val="fr-CA"/>
              </w:rPr>
            </w:pPr>
            <w:r w:rsidRPr="008D6C1E">
              <w:rPr>
                <w:sz w:val="20"/>
                <w:lang w:val="fr-CA"/>
              </w:rPr>
              <w:t xml:space="preserve">(Juges Blair, </w:t>
            </w:r>
            <w:proofErr w:type="spellStart"/>
            <w:r w:rsidRPr="008D6C1E">
              <w:rPr>
                <w:sz w:val="20"/>
                <w:lang w:val="fr-CA"/>
              </w:rPr>
              <w:t>Hourigan</w:t>
            </w:r>
            <w:proofErr w:type="spellEnd"/>
            <w:r w:rsidRPr="008D6C1E">
              <w:rPr>
                <w:sz w:val="20"/>
                <w:lang w:val="fr-CA"/>
              </w:rPr>
              <w:t>, Brown)</w:t>
            </w:r>
          </w:p>
          <w:p w:rsidR="00662242" w:rsidRPr="008D6C1E" w:rsidRDefault="005E6DC4" w:rsidP="00662242">
            <w:pPr>
              <w:jc w:val="both"/>
              <w:rPr>
                <w:sz w:val="20"/>
                <w:lang w:val="fr-CA"/>
              </w:rPr>
            </w:pPr>
            <w:hyperlink r:id="rId131" w:history="1">
              <w:r w:rsidR="00662242" w:rsidRPr="008D6C1E">
                <w:rPr>
                  <w:rStyle w:val="Hyperlink"/>
                  <w:sz w:val="20"/>
                </w:rPr>
                <w:t>2015 ONCA 733</w:t>
              </w:r>
            </w:hyperlink>
            <w:r w:rsidR="00662242" w:rsidRPr="008D6C1E">
              <w:rPr>
                <w:sz w:val="20"/>
                <w:lang w:val="fr-CA"/>
              </w:rPr>
              <w:t>; C60487</w:t>
            </w:r>
          </w:p>
          <w:p w:rsidR="00662242" w:rsidRPr="008D6C1E" w:rsidRDefault="00662242" w:rsidP="00662242">
            <w:pPr>
              <w:jc w:val="both"/>
              <w:rPr>
                <w:sz w:val="20"/>
                <w:lang w:val="fr-CA"/>
              </w:rPr>
            </w:pPr>
          </w:p>
        </w:tc>
        <w:tc>
          <w:tcPr>
            <w:tcW w:w="243" w:type="pct"/>
          </w:tcPr>
          <w:p w:rsidR="00662242" w:rsidRPr="008D6C1E" w:rsidRDefault="00662242" w:rsidP="00662242">
            <w:pPr>
              <w:jc w:val="both"/>
              <w:rPr>
                <w:sz w:val="20"/>
                <w:lang w:val="fr-CA"/>
              </w:rPr>
            </w:pPr>
          </w:p>
        </w:tc>
        <w:tc>
          <w:tcPr>
            <w:tcW w:w="2330" w:type="pct"/>
          </w:tcPr>
          <w:p w:rsidR="00662242" w:rsidRPr="008D6C1E" w:rsidRDefault="00662242" w:rsidP="00662242">
            <w:pPr>
              <w:jc w:val="both"/>
              <w:rPr>
                <w:sz w:val="20"/>
                <w:lang w:val="fr-CA"/>
              </w:rPr>
            </w:pPr>
            <w:r w:rsidRPr="008D6C1E">
              <w:rPr>
                <w:sz w:val="20"/>
                <w:lang w:val="fr-CA"/>
              </w:rPr>
              <w:t>Rejet de l’appel</w:t>
            </w:r>
          </w:p>
          <w:p w:rsidR="00662242" w:rsidRPr="008D6C1E" w:rsidRDefault="00662242" w:rsidP="00662242">
            <w:pPr>
              <w:jc w:val="both"/>
              <w:rPr>
                <w:sz w:val="20"/>
                <w:lang w:val="fr-CA"/>
              </w:rPr>
            </w:pPr>
          </w:p>
        </w:tc>
      </w:tr>
      <w:tr w:rsidR="00662242" w:rsidRPr="002C1A32" w:rsidTr="00AC1153">
        <w:tc>
          <w:tcPr>
            <w:tcW w:w="2427" w:type="pct"/>
            <w:gridSpan w:val="2"/>
          </w:tcPr>
          <w:p w:rsidR="00662242" w:rsidRPr="008D6C1E" w:rsidRDefault="00662242" w:rsidP="00662242">
            <w:pPr>
              <w:jc w:val="both"/>
              <w:rPr>
                <w:sz w:val="20"/>
                <w:lang w:val="fr-CA"/>
              </w:rPr>
            </w:pPr>
            <w:r w:rsidRPr="008D6C1E">
              <w:rPr>
                <w:sz w:val="20"/>
                <w:lang w:val="fr-CA"/>
              </w:rPr>
              <w:t>2 décembre 2015</w:t>
            </w:r>
          </w:p>
          <w:p w:rsidR="00662242" w:rsidRPr="008D6C1E" w:rsidRDefault="00662242" w:rsidP="00662242">
            <w:pPr>
              <w:jc w:val="both"/>
              <w:rPr>
                <w:sz w:val="20"/>
                <w:lang w:val="fr-CA"/>
              </w:rPr>
            </w:pPr>
            <w:r w:rsidRPr="008D6C1E">
              <w:rPr>
                <w:sz w:val="20"/>
                <w:lang w:val="fr-CA"/>
              </w:rPr>
              <w:t>Cour suprême du Canada</w:t>
            </w:r>
          </w:p>
        </w:tc>
        <w:tc>
          <w:tcPr>
            <w:tcW w:w="243" w:type="pct"/>
          </w:tcPr>
          <w:p w:rsidR="00662242" w:rsidRPr="008D6C1E" w:rsidRDefault="00662242" w:rsidP="00662242">
            <w:pPr>
              <w:jc w:val="both"/>
              <w:rPr>
                <w:sz w:val="20"/>
                <w:lang w:val="fr-CA"/>
              </w:rPr>
            </w:pPr>
          </w:p>
        </w:tc>
        <w:tc>
          <w:tcPr>
            <w:tcW w:w="2330" w:type="pct"/>
          </w:tcPr>
          <w:p w:rsidR="00662242" w:rsidRPr="008D6C1E" w:rsidRDefault="00662242" w:rsidP="00662242">
            <w:pPr>
              <w:jc w:val="both"/>
              <w:rPr>
                <w:sz w:val="20"/>
                <w:lang w:val="fr-CA"/>
              </w:rPr>
            </w:pPr>
            <w:r w:rsidRPr="008D6C1E">
              <w:rPr>
                <w:sz w:val="20"/>
                <w:lang w:val="fr-CA"/>
              </w:rPr>
              <w:t>Dépôt de la demande d’autorisation d’appel</w:t>
            </w:r>
          </w:p>
          <w:p w:rsidR="00662242" w:rsidRPr="008D6C1E" w:rsidRDefault="00662242" w:rsidP="00662242">
            <w:pPr>
              <w:jc w:val="both"/>
              <w:rPr>
                <w:sz w:val="20"/>
                <w:lang w:val="fr-CA"/>
              </w:rPr>
            </w:pPr>
          </w:p>
        </w:tc>
      </w:tr>
    </w:tbl>
    <w:p w:rsidR="00662242" w:rsidRPr="008D6C1E" w:rsidRDefault="00662242" w:rsidP="00662242">
      <w:pPr>
        <w:jc w:val="both"/>
        <w:rPr>
          <w:sz w:val="20"/>
          <w:lang w:val="fr-CA"/>
        </w:rPr>
      </w:pPr>
    </w:p>
    <w:p w:rsidR="00DA6C4D" w:rsidRPr="008D6C1E" w:rsidRDefault="00DA6C4D" w:rsidP="00662242">
      <w:pPr>
        <w:widowControl w:val="0"/>
        <w:ind w:left="360" w:hanging="360"/>
        <w:jc w:val="both"/>
        <w:rPr>
          <w:sz w:val="20"/>
          <w:lang w:val="fr-FR"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62242" w:rsidRPr="008D6C1E" w:rsidTr="005409CC">
        <w:trPr>
          <w:gridAfter w:val="1"/>
          <w:wAfter w:w="48" w:type="pct"/>
        </w:trPr>
        <w:tc>
          <w:tcPr>
            <w:tcW w:w="537" w:type="pct"/>
          </w:tcPr>
          <w:p w:rsidR="00662242" w:rsidRPr="008D6C1E" w:rsidRDefault="00662242" w:rsidP="00662242">
            <w:pPr>
              <w:jc w:val="both"/>
              <w:rPr>
                <w:sz w:val="20"/>
              </w:rPr>
            </w:pPr>
            <w:r w:rsidRPr="008D6C1E">
              <w:rPr>
                <w:rStyle w:val="SCCFileNumberChar"/>
                <w:sz w:val="20"/>
                <w:szCs w:val="20"/>
              </w:rPr>
              <w:t>36705</w:t>
            </w:r>
          </w:p>
        </w:tc>
        <w:tc>
          <w:tcPr>
            <w:tcW w:w="4415" w:type="pct"/>
            <w:gridSpan w:val="3"/>
          </w:tcPr>
          <w:p w:rsidR="00662242" w:rsidRPr="008D6C1E" w:rsidRDefault="00662242" w:rsidP="00662242">
            <w:pPr>
              <w:pStyle w:val="SCCLsocParty"/>
              <w:jc w:val="both"/>
              <w:rPr>
                <w:b/>
                <w:sz w:val="20"/>
                <w:szCs w:val="20"/>
              </w:rPr>
            </w:pPr>
            <w:r w:rsidRPr="008D6C1E">
              <w:rPr>
                <w:b/>
                <w:sz w:val="20"/>
                <w:szCs w:val="20"/>
              </w:rPr>
              <w:t>Michael Ardabili, Claus Jenckel v. Maria Mercedes Ortega Figueroa</w:t>
            </w:r>
          </w:p>
          <w:p w:rsidR="00662242" w:rsidRPr="008D6C1E" w:rsidRDefault="00662242" w:rsidP="00662242">
            <w:pPr>
              <w:jc w:val="both"/>
              <w:rPr>
                <w:sz w:val="20"/>
              </w:rPr>
            </w:pPr>
            <w:r w:rsidRPr="008D6C1E">
              <w:rPr>
                <w:sz w:val="20"/>
              </w:rPr>
              <w:t>(Que.) (Civil) (By Leave)</w:t>
            </w:r>
          </w:p>
        </w:tc>
      </w:tr>
      <w:tr w:rsidR="00662242" w:rsidRPr="008D6C1E" w:rsidTr="005409CC">
        <w:trPr>
          <w:gridAfter w:val="1"/>
          <w:wAfter w:w="48" w:type="pct"/>
        </w:trPr>
        <w:tc>
          <w:tcPr>
            <w:tcW w:w="4952" w:type="pct"/>
            <w:gridSpan w:val="4"/>
          </w:tcPr>
          <w:p w:rsidR="00662242" w:rsidRPr="008D6C1E" w:rsidRDefault="00662242" w:rsidP="00662242">
            <w:pPr>
              <w:jc w:val="both"/>
              <w:rPr>
                <w:sz w:val="20"/>
              </w:rPr>
            </w:pPr>
            <w:r w:rsidRPr="008D6C1E">
              <w:rPr>
                <w:sz w:val="20"/>
              </w:rPr>
              <w:t xml:space="preserve">Private international law — Recognition and enforcement of foreign judgements — A German judgment appointed one of the applicants as curator to the estate of a deceased national, a conservative measure pending the proceedings between the other applicant, his son, and the respondent, the widow — In fulfilling his duties as a curator in respect of assets situated in Montreal, the applicant obtained a default judgment in which the Quebec Superior Court recognized the German judgment and declared it enforceable — In later proceedings in Quebec, the default judgment was recognized; however, in the Quebec Court of Appeal, it was revoked — Whether the Court of Appeal failed to adopt a contextual analytical framework to assess the substantial connection standard required by article 3164 of the </w:t>
            </w:r>
            <w:r w:rsidRPr="008D6C1E">
              <w:rPr>
                <w:i/>
                <w:sz w:val="20"/>
              </w:rPr>
              <w:t>Civil Code of Quebec</w:t>
            </w:r>
            <w:r w:rsidRPr="008D6C1E">
              <w:rPr>
                <w:sz w:val="20"/>
              </w:rPr>
              <w:t xml:space="preserve"> for the purpose of recognizing a foreign judgment issuing conservatory orders — Whether the </w:t>
            </w:r>
            <w:r w:rsidRPr="008D6C1E">
              <w:rPr>
                <w:sz w:val="20"/>
              </w:rPr>
              <w:lastRenderedPageBreak/>
              <w:t xml:space="preserve">Court of Appeal erred in its analysis that incorporated discretionary factors that bore on the exercise of jurisdiction as opposed to its existence. </w:t>
            </w:r>
          </w:p>
        </w:tc>
      </w:tr>
      <w:tr w:rsidR="00662242" w:rsidRPr="008D6C1E" w:rsidTr="005409CC">
        <w:trPr>
          <w:gridAfter w:val="1"/>
          <w:wAfter w:w="48" w:type="pct"/>
        </w:trPr>
        <w:tc>
          <w:tcPr>
            <w:tcW w:w="4952" w:type="pct"/>
            <w:gridSpan w:val="4"/>
          </w:tcPr>
          <w:p w:rsidR="00662242" w:rsidRPr="008D6C1E" w:rsidRDefault="00662242" w:rsidP="00662242">
            <w:pPr>
              <w:jc w:val="both"/>
              <w:rPr>
                <w:sz w:val="20"/>
              </w:rPr>
            </w:pPr>
          </w:p>
        </w:tc>
      </w:tr>
      <w:tr w:rsidR="00662242" w:rsidRPr="008D6C1E" w:rsidTr="005409CC">
        <w:trPr>
          <w:gridAfter w:val="1"/>
          <w:wAfter w:w="48" w:type="pct"/>
        </w:trPr>
        <w:tc>
          <w:tcPr>
            <w:tcW w:w="4952" w:type="pct"/>
            <w:gridSpan w:val="4"/>
          </w:tcPr>
          <w:p w:rsidR="00662242" w:rsidRPr="008D6C1E" w:rsidRDefault="00662242" w:rsidP="00662242">
            <w:pPr>
              <w:jc w:val="both"/>
              <w:rPr>
                <w:sz w:val="20"/>
              </w:rPr>
            </w:pPr>
            <w:r w:rsidRPr="008D6C1E">
              <w:rPr>
                <w:sz w:val="20"/>
              </w:rPr>
              <w:t>Proceedings are pending between the applicants and the respondent in Germany and Guatemala concerning the estate of the late Mr. Günter Herde Stoffers, who passed away in 2008. The respondent, Mrs. Figueroa, was married to the deceased from 1987 until he died. She claims the benefit of a will dated June 13, 2006 (the “2006 will”). Among other things, the 2006 will designates Mrs. Figueroa as the sole heir and executor for most of the deceased’s assets. The applicant Mr. Ardabili is the deceased’s son. He claims the benefit of a will dated October 26, 1990 (the “1990 will”). Among other things, the 1990 will designates Mr. Ardabili and Mrs. Figueroa as 50/50 heirs for the most part of the deceased’s assets. A German judgment appointed the applicant Mr. </w:t>
            </w:r>
            <w:proofErr w:type="spellStart"/>
            <w:r w:rsidRPr="008D6C1E">
              <w:rPr>
                <w:sz w:val="20"/>
              </w:rPr>
              <w:t>Jenckel</w:t>
            </w:r>
            <w:proofErr w:type="spellEnd"/>
            <w:r w:rsidRPr="008D6C1E">
              <w:rPr>
                <w:sz w:val="20"/>
              </w:rPr>
              <w:t xml:space="preserve"> as curator to the estate, a conservative measure pending the proceedings between the parties. In fulfilling his duties as a curator in respect of assets situated in Montreal, Mr. Jenckel obtained a default judgment in which the Quebec Superior Court recognized the German judgment and declared it enforceable. In later proceedings in Quebec, the default judgment was recognized; however, in the Quebec Court of Appeal, it was revoked.</w:t>
            </w:r>
          </w:p>
          <w:p w:rsidR="00662242" w:rsidRPr="008D6C1E" w:rsidRDefault="00662242" w:rsidP="00662242">
            <w:pPr>
              <w:jc w:val="both"/>
              <w:rPr>
                <w:sz w:val="20"/>
              </w:rPr>
            </w:pPr>
          </w:p>
        </w:tc>
      </w:tr>
      <w:tr w:rsidR="00662242" w:rsidRPr="008D6C1E" w:rsidTr="005409CC">
        <w:tblPrEx>
          <w:tblCellMar>
            <w:bottom w:w="0" w:type="dxa"/>
          </w:tblCellMar>
        </w:tblPrEx>
        <w:tc>
          <w:tcPr>
            <w:tcW w:w="2367" w:type="pct"/>
            <w:gridSpan w:val="2"/>
          </w:tcPr>
          <w:p w:rsidR="00662242" w:rsidRPr="008D6C1E" w:rsidRDefault="00662242" w:rsidP="00662242">
            <w:pPr>
              <w:jc w:val="both"/>
              <w:rPr>
                <w:sz w:val="20"/>
              </w:rPr>
            </w:pPr>
            <w:r w:rsidRPr="008D6C1E">
              <w:rPr>
                <w:sz w:val="20"/>
              </w:rPr>
              <w:t>February 26, 2013</w:t>
            </w:r>
          </w:p>
          <w:p w:rsidR="00662242" w:rsidRPr="008D6C1E" w:rsidRDefault="00662242" w:rsidP="00662242">
            <w:pPr>
              <w:jc w:val="both"/>
              <w:rPr>
                <w:sz w:val="20"/>
              </w:rPr>
            </w:pPr>
            <w:r w:rsidRPr="008D6C1E">
              <w:rPr>
                <w:sz w:val="20"/>
              </w:rPr>
              <w:t>Superior Court of Quebec</w:t>
            </w:r>
          </w:p>
          <w:p w:rsidR="00662242" w:rsidRPr="008D6C1E" w:rsidRDefault="00662242" w:rsidP="00662242">
            <w:pPr>
              <w:jc w:val="both"/>
              <w:rPr>
                <w:sz w:val="20"/>
              </w:rPr>
            </w:pPr>
            <w:r w:rsidRPr="008D6C1E">
              <w:rPr>
                <w:sz w:val="20"/>
              </w:rPr>
              <w:t>(Paquette J.)</w:t>
            </w:r>
          </w:p>
          <w:p w:rsidR="00662242" w:rsidRPr="008D6C1E" w:rsidRDefault="005E6DC4" w:rsidP="00662242">
            <w:pPr>
              <w:jc w:val="both"/>
              <w:rPr>
                <w:sz w:val="20"/>
              </w:rPr>
            </w:pPr>
            <w:hyperlink r:id="rId132" w:history="1">
              <w:r w:rsidR="00662242" w:rsidRPr="008D6C1E">
                <w:rPr>
                  <w:rStyle w:val="Hyperlink"/>
                  <w:sz w:val="20"/>
                </w:rPr>
                <w:t>2013 QCCS 808</w:t>
              </w:r>
            </w:hyperlink>
          </w:p>
          <w:p w:rsidR="00662242" w:rsidRPr="008D6C1E" w:rsidRDefault="00662242" w:rsidP="00662242">
            <w:pPr>
              <w:jc w:val="both"/>
              <w:rPr>
                <w:sz w:val="20"/>
              </w:rPr>
            </w:pPr>
          </w:p>
        </w:tc>
        <w:tc>
          <w:tcPr>
            <w:tcW w:w="267" w:type="pct"/>
          </w:tcPr>
          <w:p w:rsidR="00662242" w:rsidRPr="008D6C1E" w:rsidRDefault="00662242" w:rsidP="00662242">
            <w:pPr>
              <w:jc w:val="both"/>
              <w:rPr>
                <w:sz w:val="20"/>
              </w:rPr>
            </w:pPr>
          </w:p>
        </w:tc>
        <w:tc>
          <w:tcPr>
            <w:tcW w:w="2366" w:type="pct"/>
            <w:gridSpan w:val="2"/>
          </w:tcPr>
          <w:p w:rsidR="00662242" w:rsidRPr="008D6C1E" w:rsidRDefault="00662242" w:rsidP="00662242">
            <w:pPr>
              <w:jc w:val="both"/>
              <w:rPr>
                <w:sz w:val="20"/>
              </w:rPr>
            </w:pPr>
            <w:r w:rsidRPr="008D6C1E">
              <w:rPr>
                <w:sz w:val="20"/>
              </w:rPr>
              <w:t>Quebec default judgment recognized, which itself recognized a German judgment.</w:t>
            </w:r>
          </w:p>
          <w:p w:rsidR="00662242" w:rsidRPr="008D6C1E" w:rsidRDefault="00662242" w:rsidP="00662242">
            <w:pPr>
              <w:jc w:val="both"/>
              <w:rPr>
                <w:sz w:val="20"/>
              </w:rPr>
            </w:pPr>
          </w:p>
        </w:tc>
      </w:tr>
      <w:tr w:rsidR="00662242" w:rsidRPr="008D6C1E" w:rsidTr="005409CC">
        <w:tblPrEx>
          <w:tblCellMar>
            <w:bottom w:w="0" w:type="dxa"/>
          </w:tblCellMar>
        </w:tblPrEx>
        <w:tc>
          <w:tcPr>
            <w:tcW w:w="2367" w:type="pct"/>
            <w:gridSpan w:val="2"/>
          </w:tcPr>
          <w:p w:rsidR="00662242" w:rsidRPr="008D6C1E" w:rsidRDefault="00662242" w:rsidP="00662242">
            <w:pPr>
              <w:jc w:val="both"/>
              <w:rPr>
                <w:sz w:val="20"/>
              </w:rPr>
            </w:pPr>
            <w:r w:rsidRPr="008D6C1E">
              <w:rPr>
                <w:sz w:val="20"/>
              </w:rPr>
              <w:t>August 31, 2015</w:t>
            </w:r>
          </w:p>
          <w:p w:rsidR="00662242" w:rsidRPr="008D6C1E" w:rsidRDefault="00662242" w:rsidP="00662242">
            <w:pPr>
              <w:jc w:val="both"/>
              <w:rPr>
                <w:sz w:val="20"/>
              </w:rPr>
            </w:pPr>
            <w:r w:rsidRPr="008D6C1E">
              <w:rPr>
                <w:sz w:val="20"/>
              </w:rPr>
              <w:t>Court of Appeal of Quebec (Montréal)</w:t>
            </w:r>
          </w:p>
          <w:p w:rsidR="00662242" w:rsidRPr="008D6C1E" w:rsidRDefault="00662242" w:rsidP="00662242">
            <w:pPr>
              <w:jc w:val="both"/>
              <w:rPr>
                <w:sz w:val="20"/>
              </w:rPr>
            </w:pPr>
            <w:r w:rsidRPr="008D6C1E">
              <w:rPr>
                <w:sz w:val="20"/>
              </w:rPr>
              <w:t>(Bich, Gagnon and Marcotte JJ.A.)</w:t>
            </w:r>
          </w:p>
          <w:p w:rsidR="00662242" w:rsidRPr="008D6C1E" w:rsidRDefault="005E6DC4" w:rsidP="00662242">
            <w:pPr>
              <w:jc w:val="both"/>
              <w:rPr>
                <w:sz w:val="20"/>
              </w:rPr>
            </w:pPr>
            <w:hyperlink r:id="rId133" w:history="1">
              <w:r w:rsidR="00662242" w:rsidRPr="008D6C1E">
                <w:rPr>
                  <w:rStyle w:val="Hyperlink"/>
                  <w:sz w:val="20"/>
                </w:rPr>
                <w:t>2015 QCCA 1393</w:t>
              </w:r>
            </w:hyperlink>
            <w:r w:rsidR="00662242" w:rsidRPr="008D6C1E">
              <w:rPr>
                <w:sz w:val="20"/>
              </w:rPr>
              <w:t xml:space="preserve"> </w:t>
            </w:r>
          </w:p>
          <w:p w:rsidR="00662242" w:rsidRPr="008D6C1E" w:rsidRDefault="00662242" w:rsidP="00662242">
            <w:pPr>
              <w:jc w:val="both"/>
              <w:rPr>
                <w:sz w:val="20"/>
              </w:rPr>
            </w:pPr>
          </w:p>
        </w:tc>
        <w:tc>
          <w:tcPr>
            <w:tcW w:w="267" w:type="pct"/>
          </w:tcPr>
          <w:p w:rsidR="00662242" w:rsidRPr="008D6C1E" w:rsidRDefault="00662242" w:rsidP="00662242">
            <w:pPr>
              <w:jc w:val="both"/>
              <w:rPr>
                <w:sz w:val="20"/>
              </w:rPr>
            </w:pPr>
          </w:p>
        </w:tc>
        <w:tc>
          <w:tcPr>
            <w:tcW w:w="2366" w:type="pct"/>
            <w:gridSpan w:val="2"/>
          </w:tcPr>
          <w:p w:rsidR="00662242" w:rsidRPr="008D6C1E" w:rsidRDefault="00662242" w:rsidP="00662242">
            <w:pPr>
              <w:jc w:val="both"/>
              <w:rPr>
                <w:sz w:val="20"/>
              </w:rPr>
            </w:pPr>
            <w:r w:rsidRPr="008D6C1E">
              <w:rPr>
                <w:sz w:val="20"/>
              </w:rPr>
              <w:t>Appeal allowed, and Quebec default judgment revoked.</w:t>
            </w:r>
          </w:p>
          <w:p w:rsidR="00662242" w:rsidRPr="008D6C1E" w:rsidRDefault="00662242" w:rsidP="00662242">
            <w:pPr>
              <w:jc w:val="both"/>
              <w:rPr>
                <w:sz w:val="20"/>
              </w:rPr>
            </w:pPr>
          </w:p>
        </w:tc>
      </w:tr>
      <w:tr w:rsidR="00662242" w:rsidRPr="008D6C1E" w:rsidTr="005409CC">
        <w:tblPrEx>
          <w:tblCellMar>
            <w:bottom w:w="0" w:type="dxa"/>
          </w:tblCellMar>
        </w:tblPrEx>
        <w:tc>
          <w:tcPr>
            <w:tcW w:w="2367" w:type="pct"/>
            <w:gridSpan w:val="2"/>
          </w:tcPr>
          <w:p w:rsidR="00662242" w:rsidRPr="008D6C1E" w:rsidRDefault="00662242" w:rsidP="00662242">
            <w:pPr>
              <w:jc w:val="both"/>
              <w:rPr>
                <w:sz w:val="20"/>
              </w:rPr>
            </w:pPr>
            <w:r w:rsidRPr="008D6C1E">
              <w:rPr>
                <w:sz w:val="20"/>
              </w:rPr>
              <w:t>October 30, 2015</w:t>
            </w:r>
          </w:p>
          <w:p w:rsidR="00662242" w:rsidRPr="008D6C1E" w:rsidRDefault="00662242" w:rsidP="00662242">
            <w:pPr>
              <w:jc w:val="both"/>
              <w:rPr>
                <w:sz w:val="20"/>
              </w:rPr>
            </w:pPr>
            <w:r w:rsidRPr="008D6C1E">
              <w:rPr>
                <w:sz w:val="20"/>
              </w:rPr>
              <w:t>Supreme Court of Canada</w:t>
            </w:r>
          </w:p>
        </w:tc>
        <w:tc>
          <w:tcPr>
            <w:tcW w:w="267" w:type="pct"/>
          </w:tcPr>
          <w:p w:rsidR="00662242" w:rsidRPr="008D6C1E" w:rsidRDefault="00662242" w:rsidP="00662242">
            <w:pPr>
              <w:jc w:val="both"/>
              <w:rPr>
                <w:sz w:val="20"/>
              </w:rPr>
            </w:pPr>
          </w:p>
        </w:tc>
        <w:tc>
          <w:tcPr>
            <w:tcW w:w="2366" w:type="pct"/>
            <w:gridSpan w:val="2"/>
          </w:tcPr>
          <w:p w:rsidR="00662242" w:rsidRPr="008D6C1E" w:rsidRDefault="00662242" w:rsidP="00662242">
            <w:pPr>
              <w:jc w:val="both"/>
              <w:rPr>
                <w:sz w:val="20"/>
              </w:rPr>
            </w:pPr>
            <w:r w:rsidRPr="008D6C1E">
              <w:rPr>
                <w:sz w:val="20"/>
              </w:rPr>
              <w:t>Application for leave to appeal filed.</w:t>
            </w:r>
          </w:p>
          <w:p w:rsidR="00662242" w:rsidRPr="008D6C1E" w:rsidRDefault="00662242" w:rsidP="00662242">
            <w:pPr>
              <w:jc w:val="both"/>
              <w:rPr>
                <w:sz w:val="20"/>
              </w:rPr>
            </w:pPr>
          </w:p>
        </w:tc>
      </w:tr>
    </w:tbl>
    <w:p w:rsidR="00662242" w:rsidRPr="008D6C1E" w:rsidRDefault="00662242" w:rsidP="00662242">
      <w:pPr>
        <w:jc w:val="both"/>
        <w:rPr>
          <w:sz w:val="20"/>
        </w:rPr>
      </w:pPr>
    </w:p>
    <w:p w:rsidR="00662242" w:rsidRPr="008D6C1E" w:rsidRDefault="00662242" w:rsidP="0066224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62242" w:rsidRPr="008D6C1E" w:rsidTr="005409CC">
        <w:trPr>
          <w:gridAfter w:val="1"/>
          <w:wAfter w:w="48" w:type="pct"/>
        </w:trPr>
        <w:tc>
          <w:tcPr>
            <w:tcW w:w="537" w:type="pct"/>
          </w:tcPr>
          <w:p w:rsidR="00662242" w:rsidRPr="008D6C1E" w:rsidRDefault="00662242" w:rsidP="00662242">
            <w:pPr>
              <w:jc w:val="both"/>
              <w:rPr>
                <w:sz w:val="20"/>
                <w:lang w:val="fr-CA"/>
              </w:rPr>
            </w:pPr>
            <w:r w:rsidRPr="008D6C1E">
              <w:rPr>
                <w:rStyle w:val="SCCFileNumberChar"/>
                <w:sz w:val="20"/>
                <w:szCs w:val="20"/>
                <w:lang w:val="fr-CA"/>
              </w:rPr>
              <w:t>36705</w:t>
            </w:r>
          </w:p>
        </w:tc>
        <w:tc>
          <w:tcPr>
            <w:tcW w:w="4415" w:type="pct"/>
            <w:gridSpan w:val="3"/>
          </w:tcPr>
          <w:p w:rsidR="00662242" w:rsidRPr="008D6C1E" w:rsidRDefault="00662242" w:rsidP="00662242">
            <w:pPr>
              <w:pStyle w:val="SCCLsocParty"/>
              <w:jc w:val="both"/>
              <w:rPr>
                <w:b/>
                <w:sz w:val="20"/>
                <w:szCs w:val="20"/>
              </w:rPr>
            </w:pPr>
            <w:r w:rsidRPr="008D6C1E">
              <w:rPr>
                <w:b/>
                <w:sz w:val="20"/>
                <w:szCs w:val="20"/>
              </w:rPr>
              <w:t>Michael Ardabili, Claus Jenckel c. Maria Mercedes Ortega Figueroa</w:t>
            </w:r>
          </w:p>
          <w:p w:rsidR="00662242" w:rsidRPr="008D6C1E" w:rsidRDefault="00662242" w:rsidP="00662242">
            <w:pPr>
              <w:jc w:val="both"/>
              <w:rPr>
                <w:sz w:val="20"/>
                <w:lang w:val="fr-CA"/>
              </w:rPr>
            </w:pPr>
            <w:r w:rsidRPr="008D6C1E">
              <w:rPr>
                <w:sz w:val="20"/>
                <w:lang w:val="fr-CA"/>
              </w:rPr>
              <w:t>(Qué.) (Civile) (Sur autorisation)</w:t>
            </w:r>
          </w:p>
        </w:tc>
      </w:tr>
      <w:tr w:rsidR="00662242" w:rsidRPr="002C1A32" w:rsidTr="005409CC">
        <w:trPr>
          <w:gridAfter w:val="1"/>
          <w:wAfter w:w="48" w:type="pct"/>
        </w:trPr>
        <w:tc>
          <w:tcPr>
            <w:tcW w:w="4952" w:type="pct"/>
            <w:gridSpan w:val="4"/>
          </w:tcPr>
          <w:p w:rsidR="00662242" w:rsidRPr="008D6C1E" w:rsidRDefault="00662242" w:rsidP="00662242">
            <w:pPr>
              <w:jc w:val="both"/>
              <w:rPr>
                <w:sz w:val="20"/>
                <w:lang w:val="fr-CA"/>
              </w:rPr>
            </w:pPr>
            <w:r w:rsidRPr="008D6C1E">
              <w:rPr>
                <w:sz w:val="20"/>
                <w:lang w:val="fr-CA"/>
              </w:rPr>
              <w:t>Droit international privé — Reconnaissance et exécution des jugements étrangers — Un jugement allemand a désigné un des demandeurs curateur à la succession d’un ressortissant décédé, une mesure conservatoire prise en attendant qu’il soit statué sur l’instance opposant l’autre demandeur, le fils du défunt, et l’intimée, la veuve — Dans l’exécution de ses fonctions de curateur aux biens situés à Montréal, le demandeur a obtenu un jugement par défaut dans lequel la Cour supérieure du Québec a reconnu le jugement allemand et l’a déclaré exécutoire — Dans une instance ultérieure au Québec, le jugement par défaut a été reconnu; toutefois, en Cour d’appel du Québec, ce jugement a été rétracté — La Cour d’appel a-t-elle omis d’adopter un cadre analytique contextuel pour apprécier la norme du lien important prescrite par l’article 3164 du</w:t>
            </w:r>
            <w:r w:rsidRPr="008D6C1E">
              <w:rPr>
                <w:i/>
                <w:sz w:val="20"/>
                <w:lang w:val="fr-CA"/>
              </w:rPr>
              <w:t xml:space="preserve"> Code civil du Québec</w:t>
            </w:r>
            <w:r w:rsidRPr="008D6C1E">
              <w:rPr>
                <w:sz w:val="20"/>
                <w:lang w:val="fr-CA"/>
              </w:rPr>
              <w:t xml:space="preserve"> dans le but de reconnaître un jugement étranger prononçant des ordonnances conservatoires? — La Cour d’appel a-t-elle commis une erreur dans son analyse qui incorporait des facteurs discrétionnaires relatifs à l’exercice de la compétence, par opposition à l’existence de celle-ci? </w:t>
            </w:r>
          </w:p>
        </w:tc>
      </w:tr>
      <w:tr w:rsidR="00662242" w:rsidRPr="002C1A32" w:rsidTr="005409CC">
        <w:trPr>
          <w:gridAfter w:val="1"/>
          <w:wAfter w:w="48" w:type="pct"/>
        </w:trPr>
        <w:tc>
          <w:tcPr>
            <w:tcW w:w="4952" w:type="pct"/>
            <w:gridSpan w:val="4"/>
          </w:tcPr>
          <w:p w:rsidR="00662242" w:rsidRPr="008D6C1E" w:rsidRDefault="00662242" w:rsidP="00662242">
            <w:pPr>
              <w:jc w:val="both"/>
              <w:rPr>
                <w:sz w:val="20"/>
                <w:lang w:val="fr-CA"/>
              </w:rPr>
            </w:pPr>
          </w:p>
        </w:tc>
      </w:tr>
      <w:tr w:rsidR="00662242" w:rsidRPr="002C1A32" w:rsidTr="005409CC">
        <w:trPr>
          <w:gridAfter w:val="1"/>
          <w:wAfter w:w="48" w:type="pct"/>
        </w:trPr>
        <w:tc>
          <w:tcPr>
            <w:tcW w:w="4952" w:type="pct"/>
            <w:gridSpan w:val="4"/>
          </w:tcPr>
          <w:p w:rsidR="00662242" w:rsidRPr="008D6C1E" w:rsidRDefault="00662242" w:rsidP="00662242">
            <w:pPr>
              <w:jc w:val="both"/>
              <w:rPr>
                <w:sz w:val="20"/>
                <w:lang w:val="fr-CA"/>
              </w:rPr>
            </w:pPr>
            <w:r w:rsidRPr="008D6C1E">
              <w:rPr>
                <w:sz w:val="20"/>
                <w:lang w:val="fr-CA"/>
              </w:rPr>
              <w:t>Des procédures judiciaires opposent actuellement les demandeurs et l’intimée en Allemagne et au Guatemala relativement à la succession de feu M. Günter Herde Stoffers, décédé en 2008. L’intimée, Mme </w:t>
            </w:r>
            <w:proofErr w:type="spellStart"/>
            <w:r w:rsidRPr="008D6C1E">
              <w:rPr>
                <w:sz w:val="20"/>
                <w:lang w:val="fr-CA"/>
              </w:rPr>
              <w:t>Figueroa</w:t>
            </w:r>
            <w:proofErr w:type="spellEnd"/>
            <w:r w:rsidRPr="008D6C1E">
              <w:rPr>
                <w:sz w:val="20"/>
                <w:lang w:val="fr-CA"/>
              </w:rPr>
              <w:t>, était mariée au défunt de 1987 jusqu’au décès de ce dernier. Elle réclame le bénéfice d’un testament daté du 13 juin 2006 (le « testament de 2006 »). Entre autres choses, le testament de 2006 désigne Mme </w:t>
            </w:r>
            <w:proofErr w:type="spellStart"/>
            <w:r w:rsidRPr="008D6C1E">
              <w:rPr>
                <w:sz w:val="20"/>
                <w:lang w:val="fr-CA"/>
              </w:rPr>
              <w:t>Figueroa</w:t>
            </w:r>
            <w:proofErr w:type="spellEnd"/>
            <w:r w:rsidRPr="008D6C1E">
              <w:rPr>
                <w:sz w:val="20"/>
                <w:lang w:val="fr-CA"/>
              </w:rPr>
              <w:t xml:space="preserve"> comme la seule héritière et exécutrice de la plupart des biens du défunt. Le demandeur, M. </w:t>
            </w:r>
            <w:proofErr w:type="spellStart"/>
            <w:r w:rsidRPr="008D6C1E">
              <w:rPr>
                <w:sz w:val="20"/>
                <w:lang w:val="fr-CA"/>
              </w:rPr>
              <w:t>Ardabili</w:t>
            </w:r>
            <w:proofErr w:type="spellEnd"/>
            <w:r w:rsidRPr="008D6C1E">
              <w:rPr>
                <w:sz w:val="20"/>
                <w:lang w:val="fr-CA"/>
              </w:rPr>
              <w:t>, est le fils du défunt. Il réclame le bénéfice d’un testament daté du 26 octobre 1990 (le « testament de 1990 »). Entre autres choses, le testament de 1990 désigne M. </w:t>
            </w:r>
            <w:proofErr w:type="spellStart"/>
            <w:r w:rsidRPr="008D6C1E">
              <w:rPr>
                <w:sz w:val="20"/>
                <w:lang w:val="fr-CA"/>
              </w:rPr>
              <w:t>Ardabili</w:t>
            </w:r>
            <w:proofErr w:type="spellEnd"/>
            <w:r w:rsidRPr="008D6C1E">
              <w:rPr>
                <w:sz w:val="20"/>
                <w:lang w:val="fr-CA"/>
              </w:rPr>
              <w:t xml:space="preserve"> et Mme </w:t>
            </w:r>
            <w:proofErr w:type="spellStart"/>
            <w:r w:rsidRPr="008D6C1E">
              <w:rPr>
                <w:sz w:val="20"/>
                <w:lang w:val="fr-CA"/>
              </w:rPr>
              <w:t>Figueroa</w:t>
            </w:r>
            <w:proofErr w:type="spellEnd"/>
            <w:r w:rsidRPr="008D6C1E">
              <w:rPr>
                <w:sz w:val="20"/>
                <w:lang w:val="fr-CA"/>
              </w:rPr>
              <w:t xml:space="preserve"> cohéritiers à parts égales de la plupart des biens du défunt. Un jugement allemand a désigné le demandeur M. </w:t>
            </w:r>
            <w:proofErr w:type="spellStart"/>
            <w:r w:rsidRPr="008D6C1E">
              <w:rPr>
                <w:sz w:val="20"/>
                <w:lang w:val="fr-CA"/>
              </w:rPr>
              <w:t>Jenckel</w:t>
            </w:r>
            <w:proofErr w:type="spellEnd"/>
            <w:r w:rsidRPr="008D6C1E">
              <w:rPr>
                <w:sz w:val="20"/>
                <w:lang w:val="fr-CA"/>
              </w:rPr>
              <w:t xml:space="preserve"> curateur à la succession, une mesure conservatoire prise en attendant qu’il soit statué sur l’instance opposant les parties. Dans l’exécution de ses fonctions de curateur à l’égard des biens situés à Montréal, M. </w:t>
            </w:r>
            <w:proofErr w:type="spellStart"/>
            <w:r w:rsidRPr="008D6C1E">
              <w:rPr>
                <w:sz w:val="20"/>
                <w:lang w:val="fr-CA"/>
              </w:rPr>
              <w:t>Jenckel</w:t>
            </w:r>
            <w:proofErr w:type="spellEnd"/>
            <w:r w:rsidRPr="008D6C1E">
              <w:rPr>
                <w:sz w:val="20"/>
                <w:lang w:val="fr-CA"/>
              </w:rPr>
              <w:t xml:space="preserve"> a obtenu un jugement par défaut dans lequel la Cour supérieure du Québec a reconnu le </w:t>
            </w:r>
            <w:r w:rsidRPr="008D6C1E">
              <w:rPr>
                <w:sz w:val="20"/>
                <w:lang w:val="fr-CA"/>
              </w:rPr>
              <w:lastRenderedPageBreak/>
              <w:t>jugement allemand et l’a déclaré exécutoire. Dans une instance ultérieure au Québec, le jugement par défaut a été reconnu; toutefois, en Cour d’appel du Québec, ce jugement a été rétracté.</w:t>
            </w:r>
          </w:p>
          <w:p w:rsidR="00662242" w:rsidRPr="008D6C1E" w:rsidRDefault="00662242" w:rsidP="00662242">
            <w:pPr>
              <w:jc w:val="both"/>
              <w:rPr>
                <w:sz w:val="20"/>
                <w:lang w:val="fr-CA"/>
              </w:rPr>
            </w:pPr>
          </w:p>
        </w:tc>
      </w:tr>
      <w:tr w:rsidR="00662242" w:rsidRPr="002C1A32" w:rsidTr="005409CC">
        <w:tblPrEx>
          <w:tblCellMar>
            <w:bottom w:w="0" w:type="dxa"/>
          </w:tblCellMar>
        </w:tblPrEx>
        <w:tc>
          <w:tcPr>
            <w:tcW w:w="2367" w:type="pct"/>
            <w:gridSpan w:val="2"/>
          </w:tcPr>
          <w:p w:rsidR="00662242" w:rsidRPr="008D6C1E" w:rsidRDefault="00662242" w:rsidP="00662242">
            <w:pPr>
              <w:jc w:val="both"/>
              <w:rPr>
                <w:sz w:val="20"/>
                <w:lang w:val="fr-CA"/>
              </w:rPr>
            </w:pPr>
            <w:r w:rsidRPr="008D6C1E">
              <w:rPr>
                <w:sz w:val="20"/>
                <w:lang w:val="fr-CA"/>
              </w:rPr>
              <w:lastRenderedPageBreak/>
              <w:t>26 février 2013</w:t>
            </w:r>
          </w:p>
          <w:p w:rsidR="00662242" w:rsidRPr="008D6C1E" w:rsidRDefault="00662242" w:rsidP="00662242">
            <w:pPr>
              <w:jc w:val="both"/>
              <w:rPr>
                <w:sz w:val="20"/>
                <w:lang w:val="fr-CA"/>
              </w:rPr>
            </w:pPr>
            <w:r w:rsidRPr="008D6C1E">
              <w:rPr>
                <w:sz w:val="20"/>
                <w:lang w:val="fr-CA"/>
              </w:rPr>
              <w:t xml:space="preserve">Cour supérieure du Québec </w:t>
            </w:r>
          </w:p>
          <w:p w:rsidR="00662242" w:rsidRPr="008D6C1E" w:rsidRDefault="00662242" w:rsidP="00662242">
            <w:pPr>
              <w:jc w:val="both"/>
              <w:rPr>
                <w:sz w:val="20"/>
                <w:lang w:val="fr-CA"/>
              </w:rPr>
            </w:pPr>
            <w:r w:rsidRPr="008D6C1E">
              <w:rPr>
                <w:sz w:val="20"/>
                <w:lang w:val="fr-CA"/>
              </w:rPr>
              <w:t>(Juge Paquette)</w:t>
            </w:r>
          </w:p>
          <w:p w:rsidR="00662242" w:rsidRPr="008D6C1E" w:rsidRDefault="005E6DC4" w:rsidP="00662242">
            <w:pPr>
              <w:jc w:val="both"/>
              <w:rPr>
                <w:sz w:val="20"/>
                <w:lang w:val="fr-CA"/>
              </w:rPr>
            </w:pPr>
            <w:hyperlink r:id="rId134" w:history="1">
              <w:r w:rsidR="00662242" w:rsidRPr="008D6C1E">
                <w:rPr>
                  <w:rStyle w:val="Hyperlink"/>
                  <w:sz w:val="20"/>
                  <w:lang w:val="fr-CA"/>
                </w:rPr>
                <w:t>2013 QCCS 808</w:t>
              </w:r>
            </w:hyperlink>
          </w:p>
          <w:p w:rsidR="00662242" w:rsidRPr="008D6C1E" w:rsidRDefault="00662242" w:rsidP="00662242">
            <w:pPr>
              <w:jc w:val="both"/>
              <w:rPr>
                <w:sz w:val="20"/>
                <w:lang w:val="fr-CA"/>
              </w:rPr>
            </w:pPr>
          </w:p>
        </w:tc>
        <w:tc>
          <w:tcPr>
            <w:tcW w:w="267" w:type="pct"/>
          </w:tcPr>
          <w:p w:rsidR="00662242" w:rsidRPr="008D6C1E" w:rsidRDefault="00662242" w:rsidP="00662242">
            <w:pPr>
              <w:jc w:val="both"/>
              <w:rPr>
                <w:sz w:val="20"/>
                <w:lang w:val="fr-CA"/>
              </w:rPr>
            </w:pPr>
          </w:p>
        </w:tc>
        <w:tc>
          <w:tcPr>
            <w:tcW w:w="2366" w:type="pct"/>
            <w:gridSpan w:val="2"/>
          </w:tcPr>
          <w:p w:rsidR="00662242" w:rsidRPr="008D6C1E" w:rsidRDefault="00662242" w:rsidP="00662242">
            <w:pPr>
              <w:jc w:val="both"/>
              <w:rPr>
                <w:sz w:val="20"/>
                <w:lang w:val="fr-CA"/>
              </w:rPr>
            </w:pPr>
            <w:r w:rsidRPr="008D6C1E">
              <w:rPr>
                <w:sz w:val="20"/>
                <w:lang w:val="fr-CA"/>
              </w:rPr>
              <w:t>Jugement reconnaissant le jugement par défaut rendu au Québec qui a pour effet de reconnaître un jugement allemand.</w:t>
            </w:r>
          </w:p>
          <w:p w:rsidR="00662242" w:rsidRPr="008D6C1E" w:rsidRDefault="00662242" w:rsidP="00662242">
            <w:pPr>
              <w:jc w:val="both"/>
              <w:rPr>
                <w:sz w:val="20"/>
                <w:lang w:val="fr-CA"/>
              </w:rPr>
            </w:pPr>
          </w:p>
        </w:tc>
      </w:tr>
      <w:tr w:rsidR="00662242" w:rsidRPr="002C1A32" w:rsidTr="005409CC">
        <w:tblPrEx>
          <w:tblCellMar>
            <w:bottom w:w="0" w:type="dxa"/>
          </w:tblCellMar>
        </w:tblPrEx>
        <w:tc>
          <w:tcPr>
            <w:tcW w:w="2367" w:type="pct"/>
            <w:gridSpan w:val="2"/>
          </w:tcPr>
          <w:p w:rsidR="00662242" w:rsidRPr="008D6C1E" w:rsidRDefault="00662242" w:rsidP="00662242">
            <w:pPr>
              <w:jc w:val="both"/>
              <w:rPr>
                <w:sz w:val="20"/>
                <w:lang w:val="fr-CA"/>
              </w:rPr>
            </w:pPr>
            <w:r w:rsidRPr="008D6C1E">
              <w:rPr>
                <w:sz w:val="20"/>
                <w:lang w:val="fr-CA"/>
              </w:rPr>
              <w:t>31 août 2015</w:t>
            </w:r>
          </w:p>
          <w:p w:rsidR="00662242" w:rsidRPr="008D6C1E" w:rsidRDefault="00662242" w:rsidP="00662242">
            <w:pPr>
              <w:jc w:val="both"/>
              <w:rPr>
                <w:sz w:val="20"/>
                <w:lang w:val="fr-CA"/>
              </w:rPr>
            </w:pPr>
            <w:r w:rsidRPr="008D6C1E">
              <w:rPr>
                <w:sz w:val="20"/>
                <w:lang w:val="fr-CA"/>
              </w:rPr>
              <w:t>Cour d’appel du Québec (Montréal)</w:t>
            </w:r>
          </w:p>
          <w:p w:rsidR="00662242" w:rsidRPr="008D6C1E" w:rsidRDefault="00662242" w:rsidP="00662242">
            <w:pPr>
              <w:jc w:val="both"/>
              <w:rPr>
                <w:sz w:val="20"/>
                <w:lang w:val="fr-CA"/>
              </w:rPr>
            </w:pPr>
            <w:r w:rsidRPr="008D6C1E">
              <w:rPr>
                <w:sz w:val="20"/>
                <w:lang w:val="fr-CA"/>
              </w:rPr>
              <w:t>(Juges Bich, Gagnon et Marcotte)</w:t>
            </w:r>
          </w:p>
          <w:p w:rsidR="00662242" w:rsidRPr="008D6C1E" w:rsidRDefault="005E6DC4" w:rsidP="00662242">
            <w:pPr>
              <w:jc w:val="both"/>
              <w:rPr>
                <w:sz w:val="20"/>
                <w:lang w:val="fr-CA"/>
              </w:rPr>
            </w:pPr>
            <w:hyperlink r:id="rId135" w:history="1">
              <w:r w:rsidR="00662242" w:rsidRPr="008D6C1E">
                <w:rPr>
                  <w:rStyle w:val="Hyperlink"/>
                  <w:sz w:val="20"/>
                  <w:lang w:val="fr-CA"/>
                </w:rPr>
                <w:t>2015 QCCA 1393</w:t>
              </w:r>
            </w:hyperlink>
            <w:r w:rsidR="00662242" w:rsidRPr="008D6C1E">
              <w:rPr>
                <w:sz w:val="20"/>
                <w:lang w:val="fr-CA"/>
              </w:rPr>
              <w:t xml:space="preserve"> </w:t>
            </w:r>
          </w:p>
          <w:p w:rsidR="00662242" w:rsidRPr="008D6C1E" w:rsidRDefault="00662242" w:rsidP="00662242">
            <w:pPr>
              <w:jc w:val="both"/>
              <w:rPr>
                <w:sz w:val="20"/>
                <w:lang w:val="fr-CA"/>
              </w:rPr>
            </w:pPr>
          </w:p>
        </w:tc>
        <w:tc>
          <w:tcPr>
            <w:tcW w:w="267" w:type="pct"/>
          </w:tcPr>
          <w:p w:rsidR="00662242" w:rsidRPr="008D6C1E" w:rsidRDefault="00662242" w:rsidP="00662242">
            <w:pPr>
              <w:jc w:val="both"/>
              <w:rPr>
                <w:sz w:val="20"/>
                <w:lang w:val="fr-CA"/>
              </w:rPr>
            </w:pPr>
          </w:p>
        </w:tc>
        <w:tc>
          <w:tcPr>
            <w:tcW w:w="2366" w:type="pct"/>
            <w:gridSpan w:val="2"/>
          </w:tcPr>
          <w:p w:rsidR="00662242" w:rsidRPr="008D6C1E" w:rsidRDefault="00662242" w:rsidP="00662242">
            <w:pPr>
              <w:jc w:val="both"/>
              <w:rPr>
                <w:sz w:val="20"/>
                <w:lang w:val="fr-CA"/>
              </w:rPr>
            </w:pPr>
            <w:r w:rsidRPr="008D6C1E">
              <w:rPr>
                <w:sz w:val="20"/>
                <w:lang w:val="fr-CA"/>
              </w:rPr>
              <w:t>Arrêt accueillant l’appel et ordonnant la rétractation du jugement par défaut rendu au Québec.</w:t>
            </w:r>
          </w:p>
          <w:p w:rsidR="00662242" w:rsidRPr="008D6C1E" w:rsidRDefault="00662242" w:rsidP="00662242">
            <w:pPr>
              <w:jc w:val="both"/>
              <w:rPr>
                <w:sz w:val="20"/>
                <w:lang w:val="fr-CA"/>
              </w:rPr>
            </w:pPr>
          </w:p>
        </w:tc>
      </w:tr>
      <w:tr w:rsidR="00662242" w:rsidRPr="002C1A32" w:rsidTr="005409CC">
        <w:tblPrEx>
          <w:tblCellMar>
            <w:bottom w:w="0" w:type="dxa"/>
          </w:tblCellMar>
        </w:tblPrEx>
        <w:tc>
          <w:tcPr>
            <w:tcW w:w="2367" w:type="pct"/>
            <w:gridSpan w:val="2"/>
          </w:tcPr>
          <w:p w:rsidR="00662242" w:rsidRPr="008D6C1E" w:rsidRDefault="00662242" w:rsidP="00662242">
            <w:pPr>
              <w:jc w:val="both"/>
              <w:rPr>
                <w:sz w:val="20"/>
                <w:lang w:val="fr-CA"/>
              </w:rPr>
            </w:pPr>
            <w:r w:rsidRPr="008D6C1E">
              <w:rPr>
                <w:sz w:val="20"/>
                <w:lang w:val="fr-CA"/>
              </w:rPr>
              <w:t>30 octobre 2015</w:t>
            </w:r>
          </w:p>
          <w:p w:rsidR="00662242" w:rsidRPr="008D6C1E" w:rsidRDefault="00662242" w:rsidP="00662242">
            <w:pPr>
              <w:jc w:val="both"/>
              <w:rPr>
                <w:sz w:val="20"/>
                <w:lang w:val="fr-CA"/>
              </w:rPr>
            </w:pPr>
            <w:r w:rsidRPr="008D6C1E">
              <w:rPr>
                <w:sz w:val="20"/>
                <w:lang w:val="fr-CA"/>
              </w:rPr>
              <w:t>Cour suprême du Canada</w:t>
            </w:r>
          </w:p>
        </w:tc>
        <w:tc>
          <w:tcPr>
            <w:tcW w:w="267" w:type="pct"/>
          </w:tcPr>
          <w:p w:rsidR="00662242" w:rsidRPr="008D6C1E" w:rsidRDefault="00662242" w:rsidP="00662242">
            <w:pPr>
              <w:jc w:val="both"/>
              <w:rPr>
                <w:sz w:val="20"/>
                <w:lang w:val="fr-CA"/>
              </w:rPr>
            </w:pPr>
          </w:p>
        </w:tc>
        <w:tc>
          <w:tcPr>
            <w:tcW w:w="2366" w:type="pct"/>
            <w:gridSpan w:val="2"/>
          </w:tcPr>
          <w:p w:rsidR="00662242" w:rsidRPr="008D6C1E" w:rsidRDefault="00662242" w:rsidP="00662242">
            <w:pPr>
              <w:jc w:val="both"/>
              <w:rPr>
                <w:sz w:val="20"/>
                <w:lang w:val="fr-CA"/>
              </w:rPr>
            </w:pPr>
            <w:r w:rsidRPr="008D6C1E">
              <w:rPr>
                <w:sz w:val="20"/>
                <w:lang w:val="fr-CA"/>
              </w:rPr>
              <w:t>Dépôt de la demande d’autorisation d’appel.</w:t>
            </w:r>
          </w:p>
          <w:p w:rsidR="00662242" w:rsidRPr="008D6C1E" w:rsidRDefault="00662242" w:rsidP="00662242">
            <w:pPr>
              <w:jc w:val="both"/>
              <w:rPr>
                <w:sz w:val="20"/>
                <w:lang w:val="fr-CA"/>
              </w:rPr>
            </w:pPr>
          </w:p>
        </w:tc>
      </w:tr>
    </w:tbl>
    <w:p w:rsidR="00662242" w:rsidRPr="008D6C1E" w:rsidRDefault="00662242" w:rsidP="00662242">
      <w:pPr>
        <w:jc w:val="both"/>
        <w:rPr>
          <w:sz w:val="20"/>
          <w:lang w:val="fr-CA"/>
        </w:rPr>
      </w:pPr>
    </w:p>
    <w:p w:rsidR="00DA6C4D" w:rsidRPr="008D6C1E" w:rsidRDefault="00DA6C4D" w:rsidP="00FE5051">
      <w:pPr>
        <w:widowControl w:val="0"/>
        <w:ind w:left="360" w:hanging="360"/>
        <w:rPr>
          <w:sz w:val="20"/>
          <w:lang w:val="fr-FR" w:eastAsia="en-CA"/>
        </w:rPr>
      </w:pPr>
    </w:p>
    <w:p w:rsidR="00372E91" w:rsidRPr="008D6C1E" w:rsidRDefault="00372E91" w:rsidP="00A14921">
      <w:pPr>
        <w:widowControl w:val="0"/>
        <w:ind w:left="360" w:hanging="360"/>
        <w:rPr>
          <w:sz w:val="20"/>
          <w:lang w:val="fr-FR" w:eastAsia="en-CA"/>
        </w:rPr>
      </w:pPr>
    </w:p>
    <w:p w:rsidR="00FB00F7" w:rsidRPr="008D6C1E" w:rsidRDefault="00FB00F7" w:rsidP="00F32457">
      <w:pPr>
        <w:widowControl w:val="0"/>
        <w:jc w:val="both"/>
        <w:rPr>
          <w:sz w:val="20"/>
          <w:lang w:val="fr-CA" w:eastAsia="en-CA"/>
        </w:rPr>
      </w:pPr>
    </w:p>
    <w:p w:rsidR="00D3344A" w:rsidRPr="008D6C1E" w:rsidRDefault="00D3344A" w:rsidP="00D3344A">
      <w:pPr>
        <w:widowControl w:val="0"/>
        <w:outlineLvl w:val="0"/>
      </w:pPr>
      <w:r w:rsidRPr="008D6C1E">
        <w:t xml:space="preserve">Supreme Court of Canada / </w:t>
      </w:r>
      <w:proofErr w:type="spellStart"/>
      <w:r w:rsidRPr="008D6C1E">
        <w:t>Cour</w:t>
      </w:r>
      <w:proofErr w:type="spellEnd"/>
      <w:r w:rsidRPr="008D6C1E">
        <w:t xml:space="preserve"> </w:t>
      </w:r>
      <w:proofErr w:type="spellStart"/>
      <w:r w:rsidRPr="008D6C1E">
        <w:t>suprême</w:t>
      </w:r>
      <w:proofErr w:type="spellEnd"/>
      <w:r w:rsidRPr="008D6C1E">
        <w:t xml:space="preserve"> du </w:t>
      </w:r>
      <w:proofErr w:type="gramStart"/>
      <w:r w:rsidRPr="008D6C1E">
        <w:t>Canada :</w:t>
      </w:r>
      <w:proofErr w:type="gramEnd"/>
      <w:r w:rsidRPr="008D6C1E">
        <w:t xml:space="preserve"> </w:t>
      </w:r>
    </w:p>
    <w:p w:rsidR="00D3344A" w:rsidRPr="008D6C1E" w:rsidRDefault="005E6DC4" w:rsidP="00D3344A">
      <w:pPr>
        <w:widowControl w:val="0"/>
        <w:outlineLvl w:val="0"/>
        <w:rPr>
          <w:u w:val="single"/>
        </w:rPr>
      </w:pPr>
      <w:hyperlink r:id="rId136" w:history="1">
        <w:r w:rsidR="00D3344A" w:rsidRPr="008D6C1E">
          <w:rPr>
            <w:rStyle w:val="Hyperlink"/>
          </w:rPr>
          <w:t>comments-commentaires@scc-csc.ca</w:t>
        </w:r>
      </w:hyperlink>
    </w:p>
    <w:p w:rsidR="00D3344A" w:rsidRPr="008D6C1E" w:rsidRDefault="0065588C" w:rsidP="00D3344A">
      <w:pPr>
        <w:widowControl w:val="0"/>
        <w:outlineLvl w:val="0"/>
      </w:pPr>
      <w:r w:rsidRPr="008D6C1E">
        <w:t>613-</w:t>
      </w:r>
      <w:r w:rsidR="00D3344A" w:rsidRPr="008D6C1E">
        <w:t>995-4330</w:t>
      </w:r>
    </w:p>
    <w:p w:rsidR="00497B5E" w:rsidRPr="008D6C1E" w:rsidRDefault="00497B5E" w:rsidP="00497B5E">
      <w:pPr>
        <w:widowControl w:val="0"/>
        <w:rPr>
          <w:sz w:val="20"/>
        </w:rPr>
      </w:pPr>
    </w:p>
    <w:p w:rsidR="00F6251B" w:rsidRPr="00525AC4" w:rsidRDefault="003F43E6" w:rsidP="00F6251B">
      <w:pPr>
        <w:pStyle w:val="Footer"/>
        <w:jc w:val="center"/>
      </w:pPr>
      <w:r w:rsidRPr="008D6C1E">
        <w:t>- 30 -</w:t>
      </w:r>
    </w:p>
    <w:p w:rsidR="00F6251B" w:rsidRPr="00525AC4" w:rsidRDefault="00F6251B" w:rsidP="00F6251B">
      <w:pPr>
        <w:pStyle w:val="Footer"/>
        <w:jc w:val="center"/>
      </w:pPr>
    </w:p>
    <w:p w:rsidR="00F6251B" w:rsidRPr="00525AC4" w:rsidRDefault="00F6251B" w:rsidP="00F6251B">
      <w:pPr>
        <w:pStyle w:val="Footer"/>
        <w:jc w:val="center"/>
      </w:pPr>
    </w:p>
    <w:sectPr w:rsidR="00F6251B" w:rsidRPr="00525AC4" w:rsidSect="00524822">
      <w:headerReference w:type="even" r:id="rId137"/>
      <w:headerReference w:type="default" r:id="rId138"/>
      <w:footerReference w:type="even" r:id="rId139"/>
      <w:footerReference w:type="default" r:id="rId140"/>
      <w:headerReference w:type="first" r:id="rId141"/>
      <w:footerReference w:type="first" r:id="rId14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F4" w:rsidRDefault="002B5CF4" w:rsidP="0034178A">
      <w:r>
        <w:separator/>
      </w:r>
    </w:p>
  </w:endnote>
  <w:endnote w:type="continuationSeparator" w:id="0">
    <w:p w:rsidR="002B5CF4" w:rsidRDefault="002B5CF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F4" w:rsidRDefault="002B5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F4" w:rsidRPr="009F77F0" w:rsidRDefault="002B5CF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F4" w:rsidRDefault="002B5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F4" w:rsidRDefault="002B5CF4" w:rsidP="0034178A">
      <w:r>
        <w:separator/>
      </w:r>
    </w:p>
  </w:footnote>
  <w:footnote w:type="continuationSeparator" w:id="0">
    <w:p w:rsidR="002B5CF4" w:rsidRDefault="002B5CF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F4" w:rsidRDefault="002B5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F4" w:rsidRDefault="002B5C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F4" w:rsidRDefault="002B5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6"/>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8"/>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
  </w:num>
  <w:num w:numId="19">
    <w:abstractNumId w:val="15"/>
  </w:num>
  <w:num w:numId="20">
    <w:abstractNumId w:val="12"/>
  </w:num>
  <w:num w:numId="21">
    <w:abstractNumId w:val="17"/>
  </w:num>
  <w:num w:numId="22">
    <w:abstractNumId w:val="0"/>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50B7"/>
    <w:rsid w:val="000276EE"/>
    <w:rsid w:val="00031A03"/>
    <w:rsid w:val="00032E02"/>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417A"/>
    <w:rsid w:val="00065F8F"/>
    <w:rsid w:val="00066B80"/>
    <w:rsid w:val="00067F50"/>
    <w:rsid w:val="00070830"/>
    <w:rsid w:val="00077E16"/>
    <w:rsid w:val="000809B3"/>
    <w:rsid w:val="00080EAB"/>
    <w:rsid w:val="00082444"/>
    <w:rsid w:val="000825A5"/>
    <w:rsid w:val="00082D8D"/>
    <w:rsid w:val="00083162"/>
    <w:rsid w:val="0008327A"/>
    <w:rsid w:val="000841F9"/>
    <w:rsid w:val="000843DB"/>
    <w:rsid w:val="00085D13"/>
    <w:rsid w:val="00086629"/>
    <w:rsid w:val="00087808"/>
    <w:rsid w:val="00093693"/>
    <w:rsid w:val="00095627"/>
    <w:rsid w:val="000975EC"/>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C0C"/>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E5E17"/>
    <w:rsid w:val="000F0595"/>
    <w:rsid w:val="000F233F"/>
    <w:rsid w:val="000F3118"/>
    <w:rsid w:val="000F3522"/>
    <w:rsid w:val="000F4C35"/>
    <w:rsid w:val="000F525E"/>
    <w:rsid w:val="000F5511"/>
    <w:rsid w:val="000F6CB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18B1"/>
    <w:rsid w:val="001739C2"/>
    <w:rsid w:val="00173B3A"/>
    <w:rsid w:val="00174655"/>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72FE"/>
    <w:rsid w:val="00250F72"/>
    <w:rsid w:val="002514CA"/>
    <w:rsid w:val="00252FDB"/>
    <w:rsid w:val="0025383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9649C"/>
    <w:rsid w:val="002A0621"/>
    <w:rsid w:val="002A17E0"/>
    <w:rsid w:val="002A4823"/>
    <w:rsid w:val="002A5245"/>
    <w:rsid w:val="002A55D1"/>
    <w:rsid w:val="002A5C41"/>
    <w:rsid w:val="002A5CF5"/>
    <w:rsid w:val="002A6CCF"/>
    <w:rsid w:val="002A6EA4"/>
    <w:rsid w:val="002A7E9D"/>
    <w:rsid w:val="002B15AC"/>
    <w:rsid w:val="002B36C3"/>
    <w:rsid w:val="002B5525"/>
    <w:rsid w:val="002B5A2E"/>
    <w:rsid w:val="002B5A4B"/>
    <w:rsid w:val="002B5CF4"/>
    <w:rsid w:val="002C10D1"/>
    <w:rsid w:val="002C1A32"/>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06A1"/>
    <w:rsid w:val="003012A2"/>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C1E"/>
    <w:rsid w:val="003441F0"/>
    <w:rsid w:val="00346B36"/>
    <w:rsid w:val="0034796D"/>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67E02"/>
    <w:rsid w:val="0037013D"/>
    <w:rsid w:val="00370DA4"/>
    <w:rsid w:val="003710CD"/>
    <w:rsid w:val="00372E91"/>
    <w:rsid w:val="00372FAD"/>
    <w:rsid w:val="00372FD5"/>
    <w:rsid w:val="0037633B"/>
    <w:rsid w:val="00376958"/>
    <w:rsid w:val="00376C1A"/>
    <w:rsid w:val="0037769F"/>
    <w:rsid w:val="0037792A"/>
    <w:rsid w:val="00377C17"/>
    <w:rsid w:val="00377C46"/>
    <w:rsid w:val="00377E21"/>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C0C25"/>
    <w:rsid w:val="003C2D62"/>
    <w:rsid w:val="003C4234"/>
    <w:rsid w:val="003C5F5E"/>
    <w:rsid w:val="003C5FC2"/>
    <w:rsid w:val="003C6BB7"/>
    <w:rsid w:val="003D0A88"/>
    <w:rsid w:val="003D27BD"/>
    <w:rsid w:val="003D353C"/>
    <w:rsid w:val="003E19E7"/>
    <w:rsid w:val="003E29B3"/>
    <w:rsid w:val="003E36C0"/>
    <w:rsid w:val="003E3724"/>
    <w:rsid w:val="003E3957"/>
    <w:rsid w:val="003E7D28"/>
    <w:rsid w:val="003E7F59"/>
    <w:rsid w:val="003F0D8B"/>
    <w:rsid w:val="003F1E6F"/>
    <w:rsid w:val="003F1F9E"/>
    <w:rsid w:val="003F3BC1"/>
    <w:rsid w:val="003F43E6"/>
    <w:rsid w:val="003F4894"/>
    <w:rsid w:val="004000BE"/>
    <w:rsid w:val="004026BA"/>
    <w:rsid w:val="00403038"/>
    <w:rsid w:val="0040388F"/>
    <w:rsid w:val="00406755"/>
    <w:rsid w:val="0040709C"/>
    <w:rsid w:val="00407F30"/>
    <w:rsid w:val="004116DA"/>
    <w:rsid w:val="004117D6"/>
    <w:rsid w:val="00411834"/>
    <w:rsid w:val="00411963"/>
    <w:rsid w:val="00412A23"/>
    <w:rsid w:val="004149DA"/>
    <w:rsid w:val="00415755"/>
    <w:rsid w:val="00416211"/>
    <w:rsid w:val="0042035D"/>
    <w:rsid w:val="00420841"/>
    <w:rsid w:val="00423732"/>
    <w:rsid w:val="00425B31"/>
    <w:rsid w:val="0042648D"/>
    <w:rsid w:val="00426957"/>
    <w:rsid w:val="00426976"/>
    <w:rsid w:val="00427722"/>
    <w:rsid w:val="00427F4F"/>
    <w:rsid w:val="00431731"/>
    <w:rsid w:val="00431779"/>
    <w:rsid w:val="00431A2A"/>
    <w:rsid w:val="00431CE6"/>
    <w:rsid w:val="00433C3E"/>
    <w:rsid w:val="00434AC5"/>
    <w:rsid w:val="00435C46"/>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AAA"/>
    <w:rsid w:val="00474C83"/>
    <w:rsid w:val="00474D9B"/>
    <w:rsid w:val="00475E1A"/>
    <w:rsid w:val="004774B6"/>
    <w:rsid w:val="004775E8"/>
    <w:rsid w:val="00481888"/>
    <w:rsid w:val="0048370B"/>
    <w:rsid w:val="00486750"/>
    <w:rsid w:val="00487EBC"/>
    <w:rsid w:val="00490DDC"/>
    <w:rsid w:val="00491D56"/>
    <w:rsid w:val="00491D60"/>
    <w:rsid w:val="00494CD1"/>
    <w:rsid w:val="004957BA"/>
    <w:rsid w:val="00495CE9"/>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4E10"/>
    <w:rsid w:val="004B7E3E"/>
    <w:rsid w:val="004C0544"/>
    <w:rsid w:val="004C07ED"/>
    <w:rsid w:val="004C2585"/>
    <w:rsid w:val="004C281D"/>
    <w:rsid w:val="004C2E9D"/>
    <w:rsid w:val="004C4513"/>
    <w:rsid w:val="004C5A9B"/>
    <w:rsid w:val="004C7FC6"/>
    <w:rsid w:val="004D25B5"/>
    <w:rsid w:val="004D49C8"/>
    <w:rsid w:val="004D6E67"/>
    <w:rsid w:val="004E00B4"/>
    <w:rsid w:val="004E0963"/>
    <w:rsid w:val="004E0B2F"/>
    <w:rsid w:val="004E1B3F"/>
    <w:rsid w:val="004E2A8E"/>
    <w:rsid w:val="004F000D"/>
    <w:rsid w:val="004F0EC9"/>
    <w:rsid w:val="004F27DD"/>
    <w:rsid w:val="004F40AB"/>
    <w:rsid w:val="004F7E4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72AF"/>
    <w:rsid w:val="00540D5C"/>
    <w:rsid w:val="00541FF9"/>
    <w:rsid w:val="00542FB4"/>
    <w:rsid w:val="00544481"/>
    <w:rsid w:val="0054689F"/>
    <w:rsid w:val="00546DAD"/>
    <w:rsid w:val="00550D90"/>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4651"/>
    <w:rsid w:val="005C725E"/>
    <w:rsid w:val="005C7BBF"/>
    <w:rsid w:val="005D019B"/>
    <w:rsid w:val="005D3069"/>
    <w:rsid w:val="005D370F"/>
    <w:rsid w:val="005D3730"/>
    <w:rsid w:val="005D3BD1"/>
    <w:rsid w:val="005D5D26"/>
    <w:rsid w:val="005E0B86"/>
    <w:rsid w:val="005E2F89"/>
    <w:rsid w:val="005E4545"/>
    <w:rsid w:val="005E4E13"/>
    <w:rsid w:val="005E5730"/>
    <w:rsid w:val="005E6DC4"/>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7BC"/>
    <w:rsid w:val="00641C9C"/>
    <w:rsid w:val="00642EB3"/>
    <w:rsid w:val="006441AD"/>
    <w:rsid w:val="006442C8"/>
    <w:rsid w:val="00646E32"/>
    <w:rsid w:val="0065353F"/>
    <w:rsid w:val="00654B60"/>
    <w:rsid w:val="00655090"/>
    <w:rsid w:val="0065588C"/>
    <w:rsid w:val="00657727"/>
    <w:rsid w:val="00662242"/>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6A20"/>
    <w:rsid w:val="006C1EDD"/>
    <w:rsid w:val="006C2F5C"/>
    <w:rsid w:val="006C4010"/>
    <w:rsid w:val="006C44EF"/>
    <w:rsid w:val="006C477E"/>
    <w:rsid w:val="006C5AD3"/>
    <w:rsid w:val="006C6D7A"/>
    <w:rsid w:val="006D0350"/>
    <w:rsid w:val="006D0C02"/>
    <w:rsid w:val="006D0F19"/>
    <w:rsid w:val="006D2B2B"/>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1C69"/>
    <w:rsid w:val="006F2579"/>
    <w:rsid w:val="006F2887"/>
    <w:rsid w:val="006F713E"/>
    <w:rsid w:val="006F750C"/>
    <w:rsid w:val="006F7B58"/>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263B7"/>
    <w:rsid w:val="00727632"/>
    <w:rsid w:val="007301CB"/>
    <w:rsid w:val="00731957"/>
    <w:rsid w:val="00733697"/>
    <w:rsid w:val="00733EF3"/>
    <w:rsid w:val="007356BB"/>
    <w:rsid w:val="00735BED"/>
    <w:rsid w:val="0073666D"/>
    <w:rsid w:val="0073669E"/>
    <w:rsid w:val="0073707B"/>
    <w:rsid w:val="00737C67"/>
    <w:rsid w:val="00737D1D"/>
    <w:rsid w:val="00737F76"/>
    <w:rsid w:val="00741002"/>
    <w:rsid w:val="00741637"/>
    <w:rsid w:val="007418D4"/>
    <w:rsid w:val="00742121"/>
    <w:rsid w:val="00744ABC"/>
    <w:rsid w:val="00744F24"/>
    <w:rsid w:val="0074501E"/>
    <w:rsid w:val="00746472"/>
    <w:rsid w:val="00746CD0"/>
    <w:rsid w:val="00747C5A"/>
    <w:rsid w:val="00751DE7"/>
    <w:rsid w:val="00752CE8"/>
    <w:rsid w:val="0075778E"/>
    <w:rsid w:val="00760A78"/>
    <w:rsid w:val="00764725"/>
    <w:rsid w:val="00764B6B"/>
    <w:rsid w:val="00764F0C"/>
    <w:rsid w:val="00766432"/>
    <w:rsid w:val="007665C6"/>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63D7"/>
    <w:rsid w:val="00796527"/>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0CA"/>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F2E"/>
    <w:rsid w:val="007E6196"/>
    <w:rsid w:val="007E6656"/>
    <w:rsid w:val="007E70BF"/>
    <w:rsid w:val="007E735A"/>
    <w:rsid w:val="007F0085"/>
    <w:rsid w:val="007F080F"/>
    <w:rsid w:val="007F0F01"/>
    <w:rsid w:val="007F155F"/>
    <w:rsid w:val="007F1A99"/>
    <w:rsid w:val="007F22ED"/>
    <w:rsid w:val="007F24DA"/>
    <w:rsid w:val="007F3253"/>
    <w:rsid w:val="007F4F42"/>
    <w:rsid w:val="007F536B"/>
    <w:rsid w:val="007F7F32"/>
    <w:rsid w:val="00800DF8"/>
    <w:rsid w:val="00801604"/>
    <w:rsid w:val="00801E32"/>
    <w:rsid w:val="008021FD"/>
    <w:rsid w:val="008026FA"/>
    <w:rsid w:val="008036BE"/>
    <w:rsid w:val="00803B18"/>
    <w:rsid w:val="00804BA2"/>
    <w:rsid w:val="00804FE6"/>
    <w:rsid w:val="0080556B"/>
    <w:rsid w:val="00807D00"/>
    <w:rsid w:val="00807EB6"/>
    <w:rsid w:val="008115B8"/>
    <w:rsid w:val="008115CF"/>
    <w:rsid w:val="00811ACD"/>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456D"/>
    <w:rsid w:val="008465CB"/>
    <w:rsid w:val="0085127E"/>
    <w:rsid w:val="008517C6"/>
    <w:rsid w:val="00852898"/>
    <w:rsid w:val="008534CC"/>
    <w:rsid w:val="00853C98"/>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6C1E"/>
    <w:rsid w:val="008D7B10"/>
    <w:rsid w:val="008E0FD3"/>
    <w:rsid w:val="008E1AE0"/>
    <w:rsid w:val="008E1DCB"/>
    <w:rsid w:val="008E5B3B"/>
    <w:rsid w:val="008E7C23"/>
    <w:rsid w:val="008E7F8D"/>
    <w:rsid w:val="008F06E9"/>
    <w:rsid w:val="008F2850"/>
    <w:rsid w:val="008F2FC2"/>
    <w:rsid w:val="008F302C"/>
    <w:rsid w:val="008F5D1E"/>
    <w:rsid w:val="008F7242"/>
    <w:rsid w:val="008F75F1"/>
    <w:rsid w:val="00901457"/>
    <w:rsid w:val="0090233F"/>
    <w:rsid w:val="009035A2"/>
    <w:rsid w:val="009056CA"/>
    <w:rsid w:val="0090688C"/>
    <w:rsid w:val="0090766E"/>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918"/>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41C7"/>
    <w:rsid w:val="00A06B3C"/>
    <w:rsid w:val="00A12CC9"/>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0585"/>
    <w:rsid w:val="00A715EF"/>
    <w:rsid w:val="00A71BDB"/>
    <w:rsid w:val="00A720B7"/>
    <w:rsid w:val="00A73387"/>
    <w:rsid w:val="00A745D3"/>
    <w:rsid w:val="00A7462D"/>
    <w:rsid w:val="00A8029C"/>
    <w:rsid w:val="00A8033D"/>
    <w:rsid w:val="00A826B4"/>
    <w:rsid w:val="00A82E1A"/>
    <w:rsid w:val="00A8395A"/>
    <w:rsid w:val="00A83C7E"/>
    <w:rsid w:val="00A8418C"/>
    <w:rsid w:val="00A84B07"/>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16C6"/>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27DB4"/>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3752"/>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4A45"/>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D796B"/>
    <w:rsid w:val="00BE037A"/>
    <w:rsid w:val="00BE112A"/>
    <w:rsid w:val="00BE17E6"/>
    <w:rsid w:val="00BE17EB"/>
    <w:rsid w:val="00BE1D6C"/>
    <w:rsid w:val="00BE27CF"/>
    <w:rsid w:val="00BE2D7E"/>
    <w:rsid w:val="00BE3EAD"/>
    <w:rsid w:val="00BE4426"/>
    <w:rsid w:val="00BE540B"/>
    <w:rsid w:val="00BE6364"/>
    <w:rsid w:val="00BE6576"/>
    <w:rsid w:val="00BF048F"/>
    <w:rsid w:val="00BF1FCA"/>
    <w:rsid w:val="00C00650"/>
    <w:rsid w:val="00C021BB"/>
    <w:rsid w:val="00C037A3"/>
    <w:rsid w:val="00C03932"/>
    <w:rsid w:val="00C06B98"/>
    <w:rsid w:val="00C06DE4"/>
    <w:rsid w:val="00C12B07"/>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3B2D"/>
    <w:rsid w:val="00C5543B"/>
    <w:rsid w:val="00C573B1"/>
    <w:rsid w:val="00C600EE"/>
    <w:rsid w:val="00C64192"/>
    <w:rsid w:val="00C67D33"/>
    <w:rsid w:val="00C72D39"/>
    <w:rsid w:val="00C7351D"/>
    <w:rsid w:val="00C752EB"/>
    <w:rsid w:val="00C75878"/>
    <w:rsid w:val="00C76BBB"/>
    <w:rsid w:val="00C779D4"/>
    <w:rsid w:val="00C77C0E"/>
    <w:rsid w:val="00C81430"/>
    <w:rsid w:val="00C84F7C"/>
    <w:rsid w:val="00C86829"/>
    <w:rsid w:val="00C935F6"/>
    <w:rsid w:val="00C95234"/>
    <w:rsid w:val="00C9788C"/>
    <w:rsid w:val="00C97C59"/>
    <w:rsid w:val="00CA0C2B"/>
    <w:rsid w:val="00CA418B"/>
    <w:rsid w:val="00CB1766"/>
    <w:rsid w:val="00CB1E90"/>
    <w:rsid w:val="00CB1EB4"/>
    <w:rsid w:val="00CB328F"/>
    <w:rsid w:val="00CB3A38"/>
    <w:rsid w:val="00CB3B10"/>
    <w:rsid w:val="00CB4831"/>
    <w:rsid w:val="00CB5DBA"/>
    <w:rsid w:val="00CB5FBD"/>
    <w:rsid w:val="00CB7F2D"/>
    <w:rsid w:val="00CC1218"/>
    <w:rsid w:val="00CC21F6"/>
    <w:rsid w:val="00CC4B0F"/>
    <w:rsid w:val="00CC71C7"/>
    <w:rsid w:val="00CC759C"/>
    <w:rsid w:val="00CD0363"/>
    <w:rsid w:val="00CD171A"/>
    <w:rsid w:val="00CD2B43"/>
    <w:rsid w:val="00CD33A6"/>
    <w:rsid w:val="00CD4E01"/>
    <w:rsid w:val="00CD4F9A"/>
    <w:rsid w:val="00CD6935"/>
    <w:rsid w:val="00CD6C36"/>
    <w:rsid w:val="00CD7204"/>
    <w:rsid w:val="00CE0A6E"/>
    <w:rsid w:val="00CE113C"/>
    <w:rsid w:val="00CE42F4"/>
    <w:rsid w:val="00CE6C1C"/>
    <w:rsid w:val="00CE7B3F"/>
    <w:rsid w:val="00CF0EF2"/>
    <w:rsid w:val="00CF47E5"/>
    <w:rsid w:val="00CF732A"/>
    <w:rsid w:val="00CF7388"/>
    <w:rsid w:val="00D00533"/>
    <w:rsid w:val="00D01406"/>
    <w:rsid w:val="00D015A7"/>
    <w:rsid w:val="00D0250E"/>
    <w:rsid w:val="00D04A90"/>
    <w:rsid w:val="00D06EF2"/>
    <w:rsid w:val="00D07131"/>
    <w:rsid w:val="00D07526"/>
    <w:rsid w:val="00D07E3B"/>
    <w:rsid w:val="00D1308F"/>
    <w:rsid w:val="00D14B1E"/>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37579"/>
    <w:rsid w:val="00D43B67"/>
    <w:rsid w:val="00D43F58"/>
    <w:rsid w:val="00D4457A"/>
    <w:rsid w:val="00D45734"/>
    <w:rsid w:val="00D46172"/>
    <w:rsid w:val="00D4693C"/>
    <w:rsid w:val="00D47829"/>
    <w:rsid w:val="00D47E7C"/>
    <w:rsid w:val="00D50AD1"/>
    <w:rsid w:val="00D542A9"/>
    <w:rsid w:val="00D544A9"/>
    <w:rsid w:val="00D5501F"/>
    <w:rsid w:val="00D55807"/>
    <w:rsid w:val="00D604C4"/>
    <w:rsid w:val="00D63929"/>
    <w:rsid w:val="00D63C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6ADC"/>
    <w:rsid w:val="00D90791"/>
    <w:rsid w:val="00D90F27"/>
    <w:rsid w:val="00D90F8B"/>
    <w:rsid w:val="00D91524"/>
    <w:rsid w:val="00D928A3"/>
    <w:rsid w:val="00D95433"/>
    <w:rsid w:val="00D95F43"/>
    <w:rsid w:val="00D9772E"/>
    <w:rsid w:val="00DA0DC8"/>
    <w:rsid w:val="00DA17B0"/>
    <w:rsid w:val="00DA2C00"/>
    <w:rsid w:val="00DA33EC"/>
    <w:rsid w:val="00DA3F09"/>
    <w:rsid w:val="00DA442B"/>
    <w:rsid w:val="00DA5E1F"/>
    <w:rsid w:val="00DA6C4D"/>
    <w:rsid w:val="00DA6D82"/>
    <w:rsid w:val="00DB06D2"/>
    <w:rsid w:val="00DB169C"/>
    <w:rsid w:val="00DB180E"/>
    <w:rsid w:val="00DB21E9"/>
    <w:rsid w:val="00DB27AF"/>
    <w:rsid w:val="00DB292F"/>
    <w:rsid w:val="00DB3608"/>
    <w:rsid w:val="00DB3966"/>
    <w:rsid w:val="00DB3F0F"/>
    <w:rsid w:val="00DB5A3F"/>
    <w:rsid w:val="00DB78EC"/>
    <w:rsid w:val="00DC124A"/>
    <w:rsid w:val="00DC2AD7"/>
    <w:rsid w:val="00DC2CDA"/>
    <w:rsid w:val="00DC6EBF"/>
    <w:rsid w:val="00DD4D17"/>
    <w:rsid w:val="00DD5846"/>
    <w:rsid w:val="00DD620A"/>
    <w:rsid w:val="00DD7392"/>
    <w:rsid w:val="00DE11D6"/>
    <w:rsid w:val="00DE1AEE"/>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31A"/>
    <w:rsid w:val="00EE24D6"/>
    <w:rsid w:val="00EE44FA"/>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6949"/>
    <w:rsid w:val="00F17D2D"/>
    <w:rsid w:val="00F20894"/>
    <w:rsid w:val="00F21A68"/>
    <w:rsid w:val="00F22AFE"/>
    <w:rsid w:val="00F23754"/>
    <w:rsid w:val="00F237A4"/>
    <w:rsid w:val="00F24087"/>
    <w:rsid w:val="00F24A5E"/>
    <w:rsid w:val="00F265F6"/>
    <w:rsid w:val="00F26653"/>
    <w:rsid w:val="00F27291"/>
    <w:rsid w:val="00F2770C"/>
    <w:rsid w:val="00F314C0"/>
    <w:rsid w:val="00F32457"/>
    <w:rsid w:val="00F32569"/>
    <w:rsid w:val="00F32E9D"/>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0F7"/>
    <w:rsid w:val="00FB08CC"/>
    <w:rsid w:val="00FB0FDE"/>
    <w:rsid w:val="00FB1304"/>
    <w:rsid w:val="00FB3686"/>
    <w:rsid w:val="00FB4545"/>
    <w:rsid w:val="00FB478F"/>
    <w:rsid w:val="00FB56BD"/>
    <w:rsid w:val="00FB578C"/>
    <w:rsid w:val="00FB58BB"/>
    <w:rsid w:val="00FB597D"/>
    <w:rsid w:val="00FB634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377E21"/>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77E21"/>
    <w:rPr>
      <w:rFonts w:ascii="Times New Roman" w:eastAsiaTheme="minorHAnsi" w:hAnsi="Times New Roman"/>
      <w:b/>
      <w:sz w:val="24"/>
      <w:szCs w:val="24"/>
      <w:lang w:val="en-CA"/>
    </w:rPr>
  </w:style>
  <w:style w:type="character" w:customStyle="1" w:styleId="documentstaticurl">
    <w:name w:val="documentstaticurl"/>
    <w:basedOn w:val="DefaultParagraphFont"/>
    <w:rsid w:val="006C44EF"/>
  </w:style>
  <w:style w:type="character" w:customStyle="1" w:styleId="citationcar">
    <w:name w:val="citationcar"/>
    <w:basedOn w:val="DefaultParagraphFont"/>
    <w:rsid w:val="008E1AE0"/>
  </w:style>
  <w:style w:type="paragraph" w:customStyle="1" w:styleId="aparanumbering1">
    <w:name w:val="aparanumbering1"/>
    <w:basedOn w:val="Normal"/>
    <w:rsid w:val="007665C6"/>
    <w:pPr>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6760" TargetMode="External"/><Relationship Id="rId117" Type="http://schemas.openxmlformats.org/officeDocument/2006/relationships/hyperlink" Target="http://www.canlii.org/en/on/onscdc/doc/2014/2014onsc7108/2014onsc7108.html?autocompleteStr=2014%20ONSC%207108&amp;autocompletePos=1" TargetMode="External"/><Relationship Id="rId21" Type="http://schemas.openxmlformats.org/officeDocument/2006/relationships/hyperlink" Target="http://www.scc-csc.ca/case-dossier/info/sum-som-eng.aspx?cas=36599" TargetMode="External"/><Relationship Id="rId42" Type="http://schemas.openxmlformats.org/officeDocument/2006/relationships/hyperlink" Target="http://canlii.ca/t/g6djs" TargetMode="External"/><Relationship Id="rId47" Type="http://schemas.openxmlformats.org/officeDocument/2006/relationships/hyperlink" Target="http://www.canlii.org/en/on/onsc/doc/2014/2014onsc5274/2014onsc5274.html?resultIndex=1" TargetMode="External"/><Relationship Id="rId63" Type="http://schemas.openxmlformats.org/officeDocument/2006/relationships/hyperlink" Target="http://www.canlii.org/en/ca/laws/stat/rsc-1985-c-i-5/latest/rsc-1985-c-i-5.html" TargetMode="External"/><Relationship Id="rId68" Type="http://schemas.openxmlformats.org/officeDocument/2006/relationships/hyperlink" Target="http://www.canlii.org/en/ca/laws/stat/rsc-1985-c-i-5/latest/rsc-1985-c-i-5.html" TargetMode="External"/><Relationship Id="rId84" Type="http://schemas.openxmlformats.org/officeDocument/2006/relationships/hyperlink" Target="http://www.canlii.org/fr/qc/qctaq/doc/2012/2012canlii40830/2012canlii40830.html?autocompleteStr=SAS-M-16501&amp;autocompletePos=1" TargetMode="External"/><Relationship Id="rId89" Type="http://schemas.openxmlformats.org/officeDocument/2006/relationships/hyperlink" Target="http://www.canlii.org/fr/qc/qcca/doc/2015/2015qcca852/2015qcca852.html" TargetMode="External"/><Relationship Id="rId112" Type="http://schemas.openxmlformats.org/officeDocument/2006/relationships/hyperlink" Target="http://www.canlii.org/en/on/laws/regu/o-reg-403-96/latest/o-reg-403-96.html" TargetMode="External"/><Relationship Id="rId133" Type="http://schemas.openxmlformats.org/officeDocument/2006/relationships/hyperlink" Target="http://www.canlii.org/fr/qc/qcca/doc/2015/2015qcca1393/2015qcca1393.html?resultIndex=1" TargetMode="External"/><Relationship Id="rId138" Type="http://schemas.openxmlformats.org/officeDocument/2006/relationships/header" Target="header2.xml"/><Relationship Id="rId16" Type="http://schemas.openxmlformats.org/officeDocument/2006/relationships/hyperlink" Target="http://www.scc-csc.ca/case-dossier/info/sum-som-eng.aspx?cas=36696" TargetMode="External"/><Relationship Id="rId107" Type="http://schemas.openxmlformats.org/officeDocument/2006/relationships/hyperlink" Target="http://www.canlii.org/fr/qc/qcca/doc/2015/2015qcca1159/2015qcca1159.html" TargetMode="External"/><Relationship Id="rId11" Type="http://schemas.openxmlformats.org/officeDocument/2006/relationships/hyperlink" Target="http://www.scc-csc.ca/case-dossier/info/sum-som-eng.aspx?cas=36780" TargetMode="External"/><Relationship Id="rId32" Type="http://schemas.openxmlformats.org/officeDocument/2006/relationships/hyperlink" Target="http://www.auc.ab.ca/regulatory_documents/ProceedingDocuments/2013/2013-417.pdf" TargetMode="External"/><Relationship Id="rId37" Type="http://schemas.openxmlformats.org/officeDocument/2006/relationships/hyperlink" Target="http://canlii.ca/t/gm9nx" TargetMode="External"/><Relationship Id="rId53" Type="http://schemas.openxmlformats.org/officeDocument/2006/relationships/hyperlink" Target="http://canlii.ca/t/glwrn" TargetMode="External"/><Relationship Id="rId58" Type="http://schemas.openxmlformats.org/officeDocument/2006/relationships/hyperlink" Target="http://canlii.ca/t/gfs31" TargetMode="External"/><Relationship Id="rId74" Type="http://schemas.openxmlformats.org/officeDocument/2006/relationships/hyperlink" Target="http://www.canlii.org/en/sk/skca/doc/2015/2015skca71/2015skca71.html?resultIndex=1" TargetMode="External"/><Relationship Id="rId79" Type="http://schemas.openxmlformats.org/officeDocument/2006/relationships/hyperlink" Target="http://www.canlii.org/en/nl/nlca/doc/2015/2015nlca60/2015nlca60.html" TargetMode="External"/><Relationship Id="rId102" Type="http://schemas.openxmlformats.org/officeDocument/2006/relationships/hyperlink" Target="http://www.canlii.org/en/ca/tcc/doc/2014/2014tcc200/2014tcc200.html" TargetMode="External"/><Relationship Id="rId123" Type="http://schemas.openxmlformats.org/officeDocument/2006/relationships/hyperlink" Target="http://www.canlii.org/en/on/laws/stat/rso-1990-c-i8/latest/rso-1990-c-i8.html" TargetMode="External"/><Relationship Id="rId128" Type="http://schemas.openxmlformats.org/officeDocument/2006/relationships/hyperlink" Target="http://www.canlii.org/fr/qc/qccs/doc/2015/2015qccs1414/2015qccs1414.html"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canlii.org/fr/ca/legis/lois/lc-1992-c-20/derniere/lc-1992-c-20.html" TargetMode="External"/><Relationship Id="rId95" Type="http://schemas.openxmlformats.org/officeDocument/2006/relationships/hyperlink" Target="http://canlii.ca/t/g8w62" TargetMode="External"/><Relationship Id="rId22" Type="http://schemas.openxmlformats.org/officeDocument/2006/relationships/hyperlink" Target="http://www.scc-csc.ca/case-dossier/info/sum-som-fra.aspx?cas=36789" TargetMode="External"/><Relationship Id="rId27" Type="http://schemas.openxmlformats.org/officeDocument/2006/relationships/hyperlink" Target="http://www.scc-csc.ca/case-dossier/info/sum-som-fra.aspx?cas=36731" TargetMode="External"/><Relationship Id="rId43" Type="http://schemas.openxmlformats.org/officeDocument/2006/relationships/hyperlink" Target="http://canlii.ca/t/gm8f8" TargetMode="External"/><Relationship Id="rId48" Type="http://schemas.openxmlformats.org/officeDocument/2006/relationships/hyperlink" Target="http://www.canlii.org/en/on/onca/doc/2015/2015onca681/2015onca681.html?autocompleteStr=2015%20ONCA%20681&amp;autocompletePos=1" TargetMode="External"/><Relationship Id="rId64" Type="http://schemas.openxmlformats.org/officeDocument/2006/relationships/hyperlink" Target="http://www.canlii.org/en/ca/tcc/doc/2014/2014tcc284/2014tcc284.html" TargetMode="External"/><Relationship Id="rId69" Type="http://schemas.openxmlformats.org/officeDocument/2006/relationships/hyperlink" Target="http://www.canlii.org/en/ca/laws/stat/rsc-1985-c-i-5/latest/rsc-1985-c-i-5.html" TargetMode="External"/><Relationship Id="rId113" Type="http://schemas.openxmlformats.org/officeDocument/2006/relationships/hyperlink" Target="http://www.canlii.org/en/on/laws/regu/o-reg-403-96/latest/o-reg-403-96.html" TargetMode="External"/><Relationship Id="rId118" Type="http://schemas.openxmlformats.org/officeDocument/2006/relationships/hyperlink" Target="http://www.canlii.org/en/on/onca/doc/2015/2015onca698/2015onca698.html?resultIndex=1" TargetMode="External"/><Relationship Id="rId134" Type="http://schemas.openxmlformats.org/officeDocument/2006/relationships/hyperlink" Target="http://www.canlii.org/en/qc/qccs/doc/2013/2013qccs808/2013qccs808.html?resultIndex=1" TargetMode="External"/><Relationship Id="rId139" Type="http://schemas.openxmlformats.org/officeDocument/2006/relationships/footer" Target="footer1.xml"/><Relationship Id="rId8" Type="http://schemas.openxmlformats.org/officeDocument/2006/relationships/hyperlink" Target="http://www.scc-csc.ca/case-dossier/info/sum-som-eng.aspx?cas=36728" TargetMode="External"/><Relationship Id="rId51" Type="http://schemas.openxmlformats.org/officeDocument/2006/relationships/hyperlink" Target="http://www.canlii.org/en/on/onca/doc/2015/2015onca681/2015onca681.html?autocompleteStr=2015%20ONCA%20681&amp;autocompletePos=1" TargetMode="External"/><Relationship Id="rId72" Type="http://schemas.openxmlformats.org/officeDocument/2006/relationships/hyperlink" Target="http://www.canlii.org/en/sk/skqb/doc/2013/2013skqb98/2013skqb98.html?resultIndex=1" TargetMode="External"/><Relationship Id="rId80" Type="http://schemas.openxmlformats.org/officeDocument/2006/relationships/hyperlink" Target="http://www.canlii.org/en/bc/bcsc/doc/2013/2013bcsc416/2013bcsc416.html?resultIndex=1" TargetMode="External"/><Relationship Id="rId85" Type="http://schemas.openxmlformats.org/officeDocument/2006/relationships/hyperlink" Target="http://www.canlii.org/fr/qc/qccs/doc/2015/2015qccs345/2015qccs345.html?autocompleteStr=2015%20qccs%20345&amp;autocompletePos=1" TargetMode="External"/><Relationship Id="rId93" Type="http://schemas.openxmlformats.org/officeDocument/2006/relationships/hyperlink" Target="http://canlii.ca/t/gldt3" TargetMode="External"/><Relationship Id="rId98" Type="http://schemas.openxmlformats.org/officeDocument/2006/relationships/hyperlink" Target="http://www.canlii.org/en/ca/fca/doc/2015/2015fca242/2015fca242.html" TargetMode="External"/><Relationship Id="rId121" Type="http://schemas.openxmlformats.org/officeDocument/2006/relationships/hyperlink" Target="http://www.canlii.org/en/on/laws/regu/o-reg-403-96/latest/o-reg-403-96.html" TargetMode="External"/><Relationship Id="rId14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scc-csc.ca/case-dossier/info/sum-som-eng.aspx?cas=36778" TargetMode="External"/><Relationship Id="rId17" Type="http://schemas.openxmlformats.org/officeDocument/2006/relationships/hyperlink" Target="http://www.scc-csc.ca/case-dossier/info/sum-som-eng.aspx?cas=36816" TargetMode="External"/><Relationship Id="rId25" Type="http://schemas.openxmlformats.org/officeDocument/2006/relationships/hyperlink" Target="http://www.scc-csc.ca/case-dossier/info/sum-som-fra.aspx?cas=36643" TargetMode="External"/><Relationship Id="rId33" Type="http://schemas.openxmlformats.org/officeDocument/2006/relationships/hyperlink" Target="http://www.canlii.org/en/ab/abca/doc/2015/2015abca295/2015abca295.html?autocompleteStr=2015%20abca%20295&amp;autocompletePos=1" TargetMode="External"/><Relationship Id="rId38" Type="http://schemas.openxmlformats.org/officeDocument/2006/relationships/hyperlink" Target="http://canlii.ca/t/ghbrz" TargetMode="External"/><Relationship Id="rId46" Type="http://schemas.openxmlformats.org/officeDocument/2006/relationships/hyperlink" Target="http://www.canlii.org/en/on/onsc/doc/2014/2014onsc4777/2014onsc4777.html" TargetMode="External"/><Relationship Id="rId59" Type="http://schemas.openxmlformats.org/officeDocument/2006/relationships/hyperlink" Target="http://canlii.ca/t/gmc29" TargetMode="External"/><Relationship Id="rId67" Type="http://schemas.openxmlformats.org/officeDocument/2006/relationships/hyperlink" Target="https://zoupio.lexum.com/calegis/rsc-1985-c-i-5-en" TargetMode="External"/><Relationship Id="rId103" Type="http://schemas.openxmlformats.org/officeDocument/2006/relationships/hyperlink" Target="http://www.canlii.org/fr/ca/caf/doc/2015/2015caf204/2015caf204.html" TargetMode="External"/><Relationship Id="rId108" Type="http://schemas.openxmlformats.org/officeDocument/2006/relationships/hyperlink" Target="http://www.canlii.org/fr/qc/qcca/doc/2015/2015qcca1418/2015qcca1418.html" TargetMode="External"/><Relationship Id="rId116" Type="http://schemas.openxmlformats.org/officeDocument/2006/relationships/hyperlink" Target="http://www.canlii.org/en/on/laws/stat/rso-1990-c-i8/latest/rso-1990-c-i8.html" TargetMode="External"/><Relationship Id="rId124" Type="http://schemas.openxmlformats.org/officeDocument/2006/relationships/hyperlink" Target="http://www.canlii.org/en/on/onscdc/doc/2014/2014onsc7108/2014onsc7108.html?autocompleteStr=2014%20ONSC%207108&amp;autocompletePos=1" TargetMode="External"/><Relationship Id="rId129" Type="http://schemas.openxmlformats.org/officeDocument/2006/relationships/hyperlink" Target="http://www.canlii.org/fr/qc/qccs/doc/2015/2015qccs1414/2015qccs1414.html" TargetMode="External"/><Relationship Id="rId137" Type="http://schemas.openxmlformats.org/officeDocument/2006/relationships/header" Target="header1.xml"/><Relationship Id="rId20" Type="http://schemas.openxmlformats.org/officeDocument/2006/relationships/hyperlink" Target="http://www.scc-csc.ca/case-dossier/info/sum-som-fra.aspx?cas=36746" TargetMode="External"/><Relationship Id="rId41" Type="http://schemas.openxmlformats.org/officeDocument/2006/relationships/hyperlink" Target="http://canlii.ca/t/gm8f8" TargetMode="External"/><Relationship Id="rId54" Type="http://schemas.openxmlformats.org/officeDocument/2006/relationships/hyperlink" Target="http://canlii.ca/t/g87w9" TargetMode="External"/><Relationship Id="rId62" Type="http://schemas.openxmlformats.org/officeDocument/2006/relationships/hyperlink" Target="http://www.canlii.org/en/ca/laws/stat/rsc-1985-c-i-5/latest/rsc-1985-c-i-5.html" TargetMode="External"/><Relationship Id="rId70" Type="http://schemas.openxmlformats.org/officeDocument/2006/relationships/hyperlink" Target="http://www.canlii.org/en/ca/tcc/doc/2014/2014tcc284/2014tcc284.html" TargetMode="External"/><Relationship Id="rId75" Type="http://schemas.openxmlformats.org/officeDocument/2006/relationships/hyperlink" Target="http://www.canlii.org/en/sk/skqb/doc/2013/2013skqb98/2013skqb98.html?resultIndex=1" TargetMode="External"/><Relationship Id="rId83" Type="http://schemas.openxmlformats.org/officeDocument/2006/relationships/hyperlink" Target="http://www.canlii.org/en/bc/bcca/doc/2015/2015bcca138/2015bcca138.html" TargetMode="External"/><Relationship Id="rId88" Type="http://schemas.openxmlformats.org/officeDocument/2006/relationships/hyperlink" Target="http://www.canlii.org/fr/qc/qccs/doc/2015/2015qccs345/2015qccs345.html?autocompleteStr=2015%20qccs%20345&amp;autocompletePos=1" TargetMode="External"/><Relationship Id="rId91" Type="http://schemas.openxmlformats.org/officeDocument/2006/relationships/hyperlink" Target="http://www.canlii.org/en/qc/qccs/doc/2014/2014qccs4193/2014qccs4193.html" TargetMode="External"/><Relationship Id="rId96" Type="http://schemas.openxmlformats.org/officeDocument/2006/relationships/hyperlink" Target="http://www.canlii.org/fr/ca/legis/lois/lc-2012-c-19/derniere/lc-2012-c-19.html" TargetMode="External"/><Relationship Id="rId111" Type="http://schemas.openxmlformats.org/officeDocument/2006/relationships/hyperlink" Target="http://www.canlii.org/fr/qc/qcca/doc/2015/2015qcca1418/2015qcca1418.html" TargetMode="External"/><Relationship Id="rId132" Type="http://schemas.openxmlformats.org/officeDocument/2006/relationships/hyperlink" Target="http://www.canlii.org/en/qc/qccs/doc/2013/2013qccs808/2013qccs808.html?resultIndex=1"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806" TargetMode="External"/><Relationship Id="rId23" Type="http://schemas.openxmlformats.org/officeDocument/2006/relationships/hyperlink" Target="http://www.scc-csc.ca/case-dossier/info/sum-som-eng.aspx?cas=36811" TargetMode="External"/><Relationship Id="rId28" Type="http://schemas.openxmlformats.org/officeDocument/2006/relationships/hyperlink" Target="http://www.scc-csc.ca/case-dossier/info/sum-som-fra.aspx?cas=36790" TargetMode="External"/><Relationship Id="rId36" Type="http://schemas.openxmlformats.org/officeDocument/2006/relationships/hyperlink" Target="http://canlii.ca/t/ghbrz" TargetMode="External"/><Relationship Id="rId49" Type="http://schemas.openxmlformats.org/officeDocument/2006/relationships/hyperlink" Target="http://www.canlii.org/en/on/onsc/doc/2014/2014onsc4777/2014onsc4777.html" TargetMode="External"/><Relationship Id="rId57" Type="http://schemas.openxmlformats.org/officeDocument/2006/relationships/hyperlink" Target="http://canlii.ca/t/gmc29" TargetMode="External"/><Relationship Id="rId106" Type="http://schemas.openxmlformats.org/officeDocument/2006/relationships/hyperlink" Target="http://www.canlii.org/fr/qc/qccs/doc/2013/2013qccs6100/2013qccs6100.html" TargetMode="External"/><Relationship Id="rId114" Type="http://schemas.openxmlformats.org/officeDocument/2006/relationships/hyperlink" Target="http://www.canlii.org/en/on/laws/regu/o-reg-403-96/latest/o-reg-403-96.html" TargetMode="External"/><Relationship Id="rId119" Type="http://schemas.openxmlformats.org/officeDocument/2006/relationships/hyperlink" Target="http://www.canlii.org/en/on/laws/regu/o-reg-403-96/latest/o-reg-403-96.html" TargetMode="External"/><Relationship Id="rId127" Type="http://schemas.openxmlformats.org/officeDocument/2006/relationships/hyperlink" Target="http://www.canlii.org/fr/qc/qcca/doc/2015/2015qcca1517/2015qcca1517.html?resultIndex=1" TargetMode="External"/><Relationship Id="rId10" Type="http://schemas.openxmlformats.org/officeDocument/2006/relationships/hyperlink" Target="http://www.scc-csc.ca/case-dossier/info/sum-som-eng.aspx?cas=36805" TargetMode="External"/><Relationship Id="rId31" Type="http://schemas.openxmlformats.org/officeDocument/2006/relationships/hyperlink" Target="http://www.scc-csc.ca/case-dossier/info/sum-som-eng.aspx?cas=36705" TargetMode="External"/><Relationship Id="rId44" Type="http://schemas.openxmlformats.org/officeDocument/2006/relationships/hyperlink" Target="http://www.canlii.org/en/ab/abca/doc/2015/2015abca228/2015abca228.html?autocompleteStr=2015%20ABCA%20228&amp;autocompletePos=1" TargetMode="External"/><Relationship Id="rId52" Type="http://schemas.openxmlformats.org/officeDocument/2006/relationships/hyperlink" Target="http://canlii.ca/t/g87w9" TargetMode="External"/><Relationship Id="rId60" Type="http://schemas.openxmlformats.org/officeDocument/2006/relationships/hyperlink" Target="https://zoupio.lexum.com/calegis/rsc-1985-c-i-5-en" TargetMode="External"/><Relationship Id="rId65" Type="http://schemas.openxmlformats.org/officeDocument/2006/relationships/hyperlink" Target="http://www.canlii.org/en/ca/fca/doc/2015/2015fca258/2015fca258.html" TargetMode="External"/><Relationship Id="rId73" Type="http://schemas.openxmlformats.org/officeDocument/2006/relationships/hyperlink" Target="http://www.canlii.org/en/sk/skqb/doc/2013/2013skqb442/2013skqb442.html?resultIndex=1" TargetMode="External"/><Relationship Id="rId78" Type="http://schemas.openxmlformats.org/officeDocument/2006/relationships/hyperlink" Target="http://www.canlii.org/en/nl/nlca/doc/2015/2015nlca60/2015nlca60.html" TargetMode="External"/><Relationship Id="rId81" Type="http://schemas.openxmlformats.org/officeDocument/2006/relationships/hyperlink" Target="http://www.canlii.org/en/bc/bcca/doc/2015/2015bcca138/2015bcca138.html" TargetMode="External"/><Relationship Id="rId86" Type="http://schemas.openxmlformats.org/officeDocument/2006/relationships/hyperlink" Target="http://www.canlii.org/fr/qc/qcca/doc/2015/2015qcca852/2015qcca852.html" TargetMode="External"/><Relationship Id="rId94" Type="http://schemas.openxmlformats.org/officeDocument/2006/relationships/hyperlink" Target="http://www.canlii.org/fr/ca/legis/lois/lc-1992-c-20/derniere/lc-1992-c-20.html" TargetMode="External"/><Relationship Id="rId99" Type="http://schemas.openxmlformats.org/officeDocument/2006/relationships/hyperlink" Target="http://canlii.ca/t/gm270" TargetMode="External"/><Relationship Id="rId101" Type="http://schemas.openxmlformats.org/officeDocument/2006/relationships/hyperlink" Target="http://canlii.ca/t/gj15f" TargetMode="External"/><Relationship Id="rId122" Type="http://schemas.openxmlformats.org/officeDocument/2006/relationships/hyperlink" Target="http://www.canlii.org/en/on/laws/stat/rso-1990-c-i8/latest/rso-1990-c-i8.html" TargetMode="External"/><Relationship Id="rId130" Type="http://schemas.openxmlformats.org/officeDocument/2006/relationships/hyperlink" Target="http://www.canlii.org/en/on/onca/doc/2015/2015onca733/2015onca733.html?autocompleteStr=2015%20ONCA%20733&amp;autocompletePos=1" TargetMode="External"/><Relationship Id="rId135" Type="http://schemas.openxmlformats.org/officeDocument/2006/relationships/hyperlink" Target="http://www.canlii.org/fr/qc/qcca/doc/2015/2015qcca1393/2015qcca1393.html?resultIndex=1"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6812" TargetMode="External"/><Relationship Id="rId13" Type="http://schemas.openxmlformats.org/officeDocument/2006/relationships/hyperlink" Target="http://www.scc-csc.ca/case-dossier/info/sum-som-eng.aspx?cas=36797" TargetMode="External"/><Relationship Id="rId18" Type="http://schemas.openxmlformats.org/officeDocument/2006/relationships/hyperlink" Target="http://www.scc-csc.ca/case-dossier/info/sum-som-eng.aspx?cas=36690" TargetMode="External"/><Relationship Id="rId39" Type="http://schemas.openxmlformats.org/officeDocument/2006/relationships/hyperlink" Target="http://canlii.ca/t/gm9nx" TargetMode="External"/><Relationship Id="rId109" Type="http://schemas.openxmlformats.org/officeDocument/2006/relationships/hyperlink" Target="http://www.canlii.org/fr/qc/qccs/doc/2013/2013qccs6100/2013qccs6100.html" TargetMode="External"/><Relationship Id="rId34" Type="http://schemas.openxmlformats.org/officeDocument/2006/relationships/hyperlink" Target="http://www.auc.ab.ca/regulatory_documents/ProceedingDocuments/2013/2013-417.pdf" TargetMode="External"/><Relationship Id="rId50" Type="http://schemas.openxmlformats.org/officeDocument/2006/relationships/hyperlink" Target="http://www.canlii.org/en/on/onsc/doc/2014/2014onsc5274/2014onsc5274.html?resultIndex=1" TargetMode="External"/><Relationship Id="rId55" Type="http://schemas.openxmlformats.org/officeDocument/2006/relationships/hyperlink" Target="http://canlii.ca/t/glwrn" TargetMode="External"/><Relationship Id="rId76" Type="http://schemas.openxmlformats.org/officeDocument/2006/relationships/hyperlink" Target="http://www.canlii.org/en/sk/skqb/doc/2013/2013skqb442/2013skqb442.html?resultIndex=1" TargetMode="External"/><Relationship Id="rId97" Type="http://schemas.openxmlformats.org/officeDocument/2006/relationships/hyperlink" Target="http://canlii.ca/t/gldt3" TargetMode="External"/><Relationship Id="rId104" Type="http://schemas.openxmlformats.org/officeDocument/2006/relationships/hyperlink" Target="http://www.canlii.org/fr/ca/cci/doc/2014/2014cci200/2014cci200.html" TargetMode="External"/><Relationship Id="rId120" Type="http://schemas.openxmlformats.org/officeDocument/2006/relationships/hyperlink" Target="http://www.canlii.org/en/on/laws/regu/o-reg-403-96/latest/o-reg-403-96.html" TargetMode="External"/><Relationship Id="rId125" Type="http://schemas.openxmlformats.org/officeDocument/2006/relationships/hyperlink" Target="http://www.canlii.org/en/on/onca/doc/2015/2015onca698/2015onca698.html?resultIndex=1" TargetMode="External"/><Relationship Id="rId141"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canlii.org/en/ca/fca/doc/2015/2015fca258/2015fca258.html" TargetMode="External"/><Relationship Id="rId92" Type="http://schemas.openxmlformats.org/officeDocument/2006/relationships/hyperlink" Target="http://www.canlii.org/fr/ca/legis/lois/lc-2012-c-19/derniere/lc-2012-c-19.html" TargetMode="External"/><Relationship Id="rId2" Type="http://schemas.openxmlformats.org/officeDocument/2006/relationships/numbering" Target="numbering.xml"/><Relationship Id="rId29" Type="http://schemas.openxmlformats.org/officeDocument/2006/relationships/hyperlink" Target="http://www.scc-csc.ca/case-dossier/info/sum-som-fra.aspx?cas=36594" TargetMode="External"/><Relationship Id="rId24" Type="http://schemas.openxmlformats.org/officeDocument/2006/relationships/hyperlink" Target="http://www.scc-csc.ca/case-dossier/info/sum-som-fra.aspx?cas=36817" TargetMode="External"/><Relationship Id="rId40" Type="http://schemas.openxmlformats.org/officeDocument/2006/relationships/hyperlink" Target="http://canlii.ca/t/g6djs" TargetMode="External"/><Relationship Id="rId45" Type="http://schemas.openxmlformats.org/officeDocument/2006/relationships/hyperlink" Target="http://www.canlii.org/en/ab/abca/doc/2015/2015abca228/2015abca228.html?autocompleteStr=2015%20ABCA%20228&amp;autocompletePos=1" TargetMode="External"/><Relationship Id="rId66" Type="http://schemas.openxmlformats.org/officeDocument/2006/relationships/hyperlink" Target="https://zoupio.lexum.com/calegis/rsc-1985-c-i-5-en" TargetMode="External"/><Relationship Id="rId87" Type="http://schemas.openxmlformats.org/officeDocument/2006/relationships/hyperlink" Target="http://www.canlii.org/fr/qc/qctaq/doc/2012/2012canlii40830/2012canlii40830.html?autocompleteStr=SAS-M-16501&amp;autocompletePos=1" TargetMode="External"/><Relationship Id="rId110" Type="http://schemas.openxmlformats.org/officeDocument/2006/relationships/hyperlink" Target="http://www.canlii.org/fr/qc/qcca/doc/2015/2015qcca1159/2015qcca1159.html" TargetMode="External"/><Relationship Id="rId115" Type="http://schemas.openxmlformats.org/officeDocument/2006/relationships/hyperlink" Target="http://www.canlii.org/en/on/laws/stat/rso-1990-c-i8/latest/rso-1990-c-i8.html" TargetMode="External"/><Relationship Id="rId131" Type="http://schemas.openxmlformats.org/officeDocument/2006/relationships/hyperlink" Target="http://www.canlii.org/en/on/onca/doc/2015/2015onca733/2015onca733.html?autocompleteStr=2015%20ONCA%20733&amp;autocompletePos=1" TargetMode="External"/><Relationship Id="rId136" Type="http://schemas.openxmlformats.org/officeDocument/2006/relationships/hyperlink" Target="mailto:comments-commentaires@scc-csc.ca" TargetMode="External"/><Relationship Id="rId61" Type="http://schemas.openxmlformats.org/officeDocument/2006/relationships/hyperlink" Target="https://zoupio.lexum.com/calegis/rsc-1985-c-i-5-en" TargetMode="External"/><Relationship Id="rId82" Type="http://schemas.openxmlformats.org/officeDocument/2006/relationships/hyperlink" Target="http://www.canlii.org/en/bc/bcsc/doc/2013/2013bcsc416/2013bcsc416.html?resultIndex=1" TargetMode="External"/><Relationship Id="rId19" Type="http://schemas.openxmlformats.org/officeDocument/2006/relationships/hyperlink" Target="http://www.scc-csc.ca/case-dossier/info/sum-som-fra.aspx?cas=36794" TargetMode="External"/><Relationship Id="rId14" Type="http://schemas.openxmlformats.org/officeDocument/2006/relationships/hyperlink" Target="http://www.scc-csc.ca/case-dossier/info/sum-som-eng.aspx?cas=36819" TargetMode="External"/><Relationship Id="rId30" Type="http://schemas.openxmlformats.org/officeDocument/2006/relationships/hyperlink" Target="http://www.scc-csc.ca/case-dossier/info/sum-som-eng.aspx?cas=36753" TargetMode="External"/><Relationship Id="rId35" Type="http://schemas.openxmlformats.org/officeDocument/2006/relationships/hyperlink" Target="http://www.canlii.org/en/ab/abca/doc/2015/2015abca295/2015abca295.html?autocompleteStr=2015%20abca%20295&amp;autocompletePos=1" TargetMode="External"/><Relationship Id="rId56" Type="http://schemas.openxmlformats.org/officeDocument/2006/relationships/hyperlink" Target="http://canlii.ca/t/gfs31" TargetMode="External"/><Relationship Id="rId77" Type="http://schemas.openxmlformats.org/officeDocument/2006/relationships/hyperlink" Target="http://www.canlii.org/en/sk/skca/doc/2015/2015skca71/2015skca71.html?resultIndex=1" TargetMode="External"/><Relationship Id="rId100" Type="http://schemas.openxmlformats.org/officeDocument/2006/relationships/hyperlink" Target="http://canlii.ca/t/gj15f" TargetMode="External"/><Relationship Id="rId105" Type="http://schemas.openxmlformats.org/officeDocument/2006/relationships/hyperlink" Target="http://www.canlii.org/fr/ca/caf/doc/2015/2015caf204/2015caf204.html" TargetMode="External"/><Relationship Id="rId126" Type="http://schemas.openxmlformats.org/officeDocument/2006/relationships/hyperlink" Target="http://www.canlii.org/fr/qc/qcca/doc/2015/2015qcca1517/2015qcca1517.html?result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9807F-8715-451B-944E-87A7E2D5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20245</Words>
  <Characters>115398</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135373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2016-04-18T16:52:00Z</dcterms:created>
  <dcterms:modified xsi:type="dcterms:W3CDTF">2016-04-21T13:56:00Z</dcterms:modified>
</cp:coreProperties>
</file>