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D5D5B" w:rsidRDefault="001C4415" w:rsidP="001C4415">
      <w:pPr>
        <w:pStyle w:val="Header"/>
        <w:jc w:val="center"/>
        <w:rPr>
          <w:b/>
          <w:sz w:val="32"/>
        </w:rPr>
      </w:pPr>
      <w:r w:rsidRPr="007D5D5B">
        <w:rPr>
          <w:b/>
          <w:sz w:val="32"/>
        </w:rPr>
        <w:t>Supreme Court of Canada / Cour suprême du Canada</w:t>
      </w:r>
    </w:p>
    <w:p w:rsidR="001C4415" w:rsidRPr="007D5D5B" w:rsidRDefault="001C4415" w:rsidP="001C4415">
      <w:pPr>
        <w:widowControl w:val="0"/>
        <w:rPr>
          <w:i/>
        </w:rPr>
      </w:pPr>
    </w:p>
    <w:p w:rsidR="001C4415" w:rsidRPr="007D5D5B" w:rsidRDefault="001C4415" w:rsidP="001C4415">
      <w:pPr>
        <w:widowControl w:val="0"/>
        <w:rPr>
          <w:i/>
        </w:rPr>
      </w:pPr>
    </w:p>
    <w:p w:rsidR="001C4415" w:rsidRPr="007D5D5B" w:rsidRDefault="001C4415" w:rsidP="001C4415">
      <w:pPr>
        <w:widowControl w:val="0"/>
        <w:rPr>
          <w:i/>
        </w:rPr>
      </w:pPr>
      <w:r w:rsidRPr="007D5D5B">
        <w:rPr>
          <w:i/>
        </w:rPr>
        <w:t>(le français suit)</w:t>
      </w:r>
    </w:p>
    <w:p w:rsidR="001C4415" w:rsidRPr="007D5D5B" w:rsidRDefault="001C4415" w:rsidP="001C4415">
      <w:pPr>
        <w:widowControl w:val="0"/>
      </w:pPr>
    </w:p>
    <w:p w:rsidR="001C4415" w:rsidRPr="007D5D5B" w:rsidRDefault="000347C1" w:rsidP="00214729">
      <w:pPr>
        <w:widowControl w:val="0"/>
        <w:jc w:val="center"/>
        <w:rPr>
          <w:b/>
        </w:rPr>
      </w:pPr>
      <w:r w:rsidRPr="007D5D5B">
        <w:fldChar w:fldCharType="begin"/>
      </w:r>
      <w:r w:rsidR="00FA7412" w:rsidRPr="007D5D5B">
        <w:instrText xml:space="preserve"> SEQ CHAPTER \h \r 1</w:instrText>
      </w:r>
      <w:r w:rsidRPr="007D5D5B">
        <w:fldChar w:fldCharType="end"/>
      </w:r>
      <w:r w:rsidR="00455BB9" w:rsidRPr="007D5D5B">
        <w:rPr>
          <w:b/>
        </w:rPr>
        <w:t>JUDGMENT</w:t>
      </w:r>
      <w:r w:rsidR="00FA7412" w:rsidRPr="007D5D5B">
        <w:rPr>
          <w:b/>
        </w:rPr>
        <w:t xml:space="preserve"> TO BE RENDERED IN APPEA</w:t>
      </w:r>
      <w:r w:rsidR="00342E49" w:rsidRPr="007D5D5B">
        <w:rPr>
          <w:b/>
        </w:rPr>
        <w:t>L</w:t>
      </w:r>
    </w:p>
    <w:p w:rsidR="005A7C1B" w:rsidRPr="007D5D5B" w:rsidRDefault="005A7C1B" w:rsidP="005A7C1B">
      <w:pPr>
        <w:widowControl w:val="0"/>
        <w:rPr>
          <w:b/>
        </w:rPr>
      </w:pPr>
    </w:p>
    <w:p w:rsidR="00EC79B0" w:rsidRPr="007D5D5B" w:rsidRDefault="00C86395" w:rsidP="00EC79B0">
      <w:pPr>
        <w:widowControl w:val="0"/>
        <w:rPr>
          <w:b/>
        </w:rPr>
      </w:pPr>
      <w:r w:rsidRPr="009202FD">
        <w:rPr>
          <w:b/>
        </w:rPr>
        <w:t>Ju</w:t>
      </w:r>
      <w:r w:rsidR="002A23AD" w:rsidRPr="009202FD">
        <w:rPr>
          <w:b/>
        </w:rPr>
        <w:t>ly</w:t>
      </w:r>
      <w:r w:rsidRPr="009202FD">
        <w:rPr>
          <w:b/>
        </w:rPr>
        <w:t xml:space="preserve"> </w:t>
      </w:r>
      <w:r w:rsidR="00780B16" w:rsidRPr="009202FD">
        <w:rPr>
          <w:b/>
        </w:rPr>
        <w:t>1</w:t>
      </w:r>
      <w:r w:rsidR="007805CD" w:rsidRPr="009202FD">
        <w:rPr>
          <w:b/>
        </w:rPr>
        <w:t>5</w:t>
      </w:r>
      <w:r w:rsidR="00EC79B0" w:rsidRPr="009202FD">
        <w:rPr>
          <w:b/>
        </w:rPr>
        <w:t>, 201</w:t>
      </w:r>
      <w:r w:rsidR="006E5414" w:rsidRPr="009202FD">
        <w:rPr>
          <w:b/>
        </w:rPr>
        <w:t>6</w:t>
      </w:r>
    </w:p>
    <w:p w:rsidR="00EC79B0" w:rsidRPr="007D5D5B" w:rsidRDefault="00EC79B0" w:rsidP="00EC79B0">
      <w:pPr>
        <w:widowControl w:val="0"/>
        <w:rPr>
          <w:b/>
        </w:rPr>
      </w:pPr>
      <w:r w:rsidRPr="007D5D5B">
        <w:rPr>
          <w:b/>
        </w:rPr>
        <w:t>For immediate release</w:t>
      </w:r>
    </w:p>
    <w:p w:rsidR="00EC79B0" w:rsidRPr="007D5D5B" w:rsidRDefault="00EC79B0" w:rsidP="00EC79B0">
      <w:pPr>
        <w:widowControl w:val="0"/>
      </w:pPr>
    </w:p>
    <w:p w:rsidR="00EC79B0" w:rsidRPr="007D5D5B" w:rsidRDefault="00EC79B0" w:rsidP="00EC79B0">
      <w:pPr>
        <w:widowControl w:val="0"/>
      </w:pPr>
      <w:r w:rsidRPr="007D5D5B">
        <w:rPr>
          <w:b/>
        </w:rPr>
        <w:t>OTTAWA</w:t>
      </w:r>
      <w:r w:rsidRPr="007D5D5B">
        <w:t xml:space="preserve"> – The Supreme Court of Canad</w:t>
      </w:r>
      <w:r w:rsidR="00455BB9" w:rsidRPr="007D5D5B">
        <w:t>a announced today that judgment</w:t>
      </w:r>
      <w:r w:rsidRPr="007D5D5B">
        <w:t xml:space="preserve"> in the following appeal will be delivered at 9:45 a.m. E</w:t>
      </w:r>
      <w:r w:rsidR="004E605A" w:rsidRPr="007D5D5B">
        <w:t>D</w:t>
      </w:r>
      <w:r w:rsidR="00DC6C1E" w:rsidRPr="007D5D5B">
        <w:t>T</w:t>
      </w:r>
      <w:r w:rsidR="00D74667" w:rsidRPr="007D5D5B">
        <w:t xml:space="preserve"> on</w:t>
      </w:r>
      <w:r w:rsidR="00DC6C1E" w:rsidRPr="007D5D5B">
        <w:t xml:space="preserve"> </w:t>
      </w:r>
      <w:r w:rsidR="007805CD">
        <w:t>Thursday</w:t>
      </w:r>
      <w:r w:rsidR="000A7900" w:rsidRPr="007D5D5B">
        <w:t xml:space="preserve">, </w:t>
      </w:r>
      <w:r w:rsidR="00A86226" w:rsidRPr="007D5D5B">
        <w:t>Ju</w:t>
      </w:r>
      <w:r w:rsidR="002A23AD" w:rsidRPr="007D5D5B">
        <w:t>ly</w:t>
      </w:r>
      <w:r w:rsidR="004E605A" w:rsidRPr="007D5D5B">
        <w:t xml:space="preserve"> </w:t>
      </w:r>
      <w:r w:rsidR="007805CD">
        <w:t>2</w:t>
      </w:r>
      <w:r w:rsidR="002A23AD" w:rsidRPr="007D5D5B">
        <w:t>1</w:t>
      </w:r>
      <w:r w:rsidR="00E63199" w:rsidRPr="007D5D5B">
        <w:t>, 2</w:t>
      </w:r>
      <w:r w:rsidR="0086609D" w:rsidRPr="007D5D5B">
        <w:t>01</w:t>
      </w:r>
      <w:r w:rsidR="006E5414" w:rsidRPr="007D5D5B">
        <w:t>6</w:t>
      </w:r>
      <w:r w:rsidR="00455BB9" w:rsidRPr="007D5D5B">
        <w:t>.  This</w:t>
      </w:r>
      <w:r w:rsidRPr="007D5D5B">
        <w:t xml:space="preserve"> list is subject to change.</w:t>
      </w:r>
    </w:p>
    <w:p w:rsidR="001C4415" w:rsidRPr="007D5D5B" w:rsidRDefault="001C4415" w:rsidP="001C4415">
      <w:pPr>
        <w:widowControl w:val="0"/>
        <w:rPr>
          <w:szCs w:val="24"/>
        </w:rPr>
      </w:pPr>
    </w:p>
    <w:p w:rsidR="001C4415" w:rsidRPr="007D5D5B" w:rsidRDefault="001C4415" w:rsidP="001C4415">
      <w:pPr>
        <w:widowControl w:val="0"/>
      </w:pPr>
    </w:p>
    <w:p w:rsidR="001335A1" w:rsidRPr="007D5D5B" w:rsidRDefault="001335A1" w:rsidP="001335A1">
      <w:pPr>
        <w:widowControl w:val="0"/>
        <w:jc w:val="center"/>
        <w:rPr>
          <w:b/>
          <w:lang w:val="fr-CA"/>
        </w:rPr>
      </w:pPr>
      <w:r w:rsidRPr="007D5D5B">
        <w:rPr>
          <w:b/>
          <w:lang w:val="fr-CA"/>
        </w:rPr>
        <w:t>PROCHAIN JUGEMENT</w:t>
      </w:r>
      <w:r w:rsidR="00455BB9" w:rsidRPr="007D5D5B">
        <w:rPr>
          <w:b/>
          <w:lang w:val="fr-CA"/>
        </w:rPr>
        <w:t xml:space="preserve"> SUR APPEL</w:t>
      </w:r>
    </w:p>
    <w:p w:rsidR="001335A1" w:rsidRPr="007D5D5B" w:rsidRDefault="001335A1" w:rsidP="001335A1">
      <w:pPr>
        <w:widowControl w:val="0"/>
        <w:rPr>
          <w:lang w:val="fr-CA"/>
        </w:rPr>
      </w:pPr>
    </w:p>
    <w:p w:rsidR="00EC79B0" w:rsidRPr="007D5D5B" w:rsidRDefault="00EC79B0" w:rsidP="00EC79B0">
      <w:pPr>
        <w:widowControl w:val="0"/>
        <w:rPr>
          <w:b/>
          <w:lang w:val="fr-CA"/>
        </w:rPr>
      </w:pPr>
      <w:r w:rsidRPr="009202FD">
        <w:rPr>
          <w:b/>
          <w:lang w:val="fr-CA"/>
        </w:rPr>
        <w:t xml:space="preserve">Le </w:t>
      </w:r>
      <w:r w:rsidR="00780B16" w:rsidRPr="009202FD">
        <w:rPr>
          <w:b/>
          <w:lang w:val="fr-CA"/>
        </w:rPr>
        <w:t>1</w:t>
      </w:r>
      <w:r w:rsidR="007805CD" w:rsidRPr="009202FD">
        <w:rPr>
          <w:b/>
          <w:lang w:val="fr-CA"/>
        </w:rPr>
        <w:t>5</w:t>
      </w:r>
      <w:r w:rsidR="004E605A" w:rsidRPr="009202FD">
        <w:rPr>
          <w:b/>
          <w:lang w:val="fr-CA"/>
        </w:rPr>
        <w:t xml:space="preserve"> </w:t>
      </w:r>
      <w:r w:rsidR="00C86395" w:rsidRPr="009202FD">
        <w:rPr>
          <w:b/>
          <w:lang w:val="fr-CA"/>
        </w:rPr>
        <w:t>jui</w:t>
      </w:r>
      <w:r w:rsidR="002A23AD" w:rsidRPr="009202FD">
        <w:rPr>
          <w:b/>
          <w:lang w:val="fr-CA"/>
        </w:rPr>
        <w:t>llet</w:t>
      </w:r>
      <w:r w:rsidR="00C86395" w:rsidRPr="009202FD">
        <w:rPr>
          <w:b/>
          <w:lang w:val="fr-CA"/>
        </w:rPr>
        <w:t xml:space="preserve"> </w:t>
      </w:r>
      <w:r w:rsidR="0086609D" w:rsidRPr="009202FD">
        <w:rPr>
          <w:b/>
          <w:lang w:val="fr-CA"/>
        </w:rPr>
        <w:t>201</w:t>
      </w:r>
      <w:r w:rsidR="006E5414" w:rsidRPr="009202FD">
        <w:rPr>
          <w:b/>
          <w:lang w:val="fr-CA"/>
        </w:rPr>
        <w:t>6</w:t>
      </w:r>
    </w:p>
    <w:p w:rsidR="00EC79B0" w:rsidRPr="007D5D5B" w:rsidRDefault="00EC79B0" w:rsidP="00EC79B0">
      <w:pPr>
        <w:widowControl w:val="0"/>
        <w:rPr>
          <w:b/>
          <w:lang w:val="fr-CA"/>
        </w:rPr>
      </w:pPr>
      <w:r w:rsidRPr="007D5D5B">
        <w:rPr>
          <w:b/>
          <w:lang w:val="fr-CA"/>
        </w:rPr>
        <w:t>Pour diffusion immédiate</w:t>
      </w:r>
    </w:p>
    <w:p w:rsidR="00EC79B0" w:rsidRPr="007D5D5B" w:rsidRDefault="00EC79B0" w:rsidP="00EC79B0">
      <w:pPr>
        <w:widowControl w:val="0"/>
        <w:rPr>
          <w:b/>
          <w:lang w:val="fr-CA"/>
        </w:rPr>
      </w:pPr>
    </w:p>
    <w:p w:rsidR="00EC79B0" w:rsidRPr="007D5D5B" w:rsidRDefault="00EC79B0" w:rsidP="00EC79B0">
      <w:pPr>
        <w:widowControl w:val="0"/>
        <w:rPr>
          <w:lang w:val="fr-CA"/>
        </w:rPr>
      </w:pPr>
      <w:r w:rsidRPr="007D5D5B">
        <w:rPr>
          <w:b/>
          <w:lang w:val="fr-CA"/>
        </w:rPr>
        <w:t>OTTAWA</w:t>
      </w:r>
      <w:r w:rsidRPr="007D5D5B">
        <w:rPr>
          <w:lang w:val="fr-CA"/>
        </w:rPr>
        <w:t xml:space="preserve"> – La Cour suprême du Canada annonce que jugement ser</w:t>
      </w:r>
      <w:r w:rsidR="00C86395" w:rsidRPr="007D5D5B">
        <w:rPr>
          <w:lang w:val="fr-CA"/>
        </w:rPr>
        <w:t>a</w:t>
      </w:r>
      <w:r w:rsidRPr="007D5D5B">
        <w:rPr>
          <w:lang w:val="fr-CA"/>
        </w:rPr>
        <w:t xml:space="preserve"> rendu dans </w:t>
      </w:r>
      <w:r w:rsidR="001F1643" w:rsidRPr="007D5D5B">
        <w:rPr>
          <w:lang w:val="fr-CA"/>
        </w:rPr>
        <w:t>l</w:t>
      </w:r>
      <w:r w:rsidR="00C86395" w:rsidRPr="007D5D5B">
        <w:rPr>
          <w:lang w:val="fr-CA"/>
        </w:rPr>
        <w:t>’</w:t>
      </w:r>
      <w:r w:rsidR="001F1643" w:rsidRPr="007D5D5B">
        <w:rPr>
          <w:lang w:val="fr-CA"/>
        </w:rPr>
        <w:t xml:space="preserve">appel </w:t>
      </w:r>
      <w:r w:rsidRPr="007D5D5B">
        <w:rPr>
          <w:lang w:val="fr-CA"/>
        </w:rPr>
        <w:t xml:space="preserve">suivant le </w:t>
      </w:r>
      <w:r w:rsidR="007805CD">
        <w:rPr>
          <w:lang w:val="fr-CA"/>
        </w:rPr>
        <w:t>jeudi</w:t>
      </w:r>
      <w:r w:rsidR="00970EDF" w:rsidRPr="007D5D5B">
        <w:rPr>
          <w:lang w:val="fr-CA"/>
        </w:rPr>
        <w:t xml:space="preserve"> </w:t>
      </w:r>
      <w:r w:rsidR="007805CD">
        <w:rPr>
          <w:lang w:val="fr-CA"/>
        </w:rPr>
        <w:t>2</w:t>
      </w:r>
      <w:r w:rsidR="002A23AD" w:rsidRPr="007D5D5B">
        <w:rPr>
          <w:lang w:val="fr-CA"/>
        </w:rPr>
        <w:t>1</w:t>
      </w:r>
      <w:r w:rsidR="004E605A" w:rsidRPr="007D5D5B">
        <w:rPr>
          <w:lang w:val="fr-CA"/>
        </w:rPr>
        <w:t xml:space="preserve"> </w:t>
      </w:r>
      <w:r w:rsidR="00A86226" w:rsidRPr="007D5D5B">
        <w:rPr>
          <w:lang w:val="fr-CA"/>
        </w:rPr>
        <w:t>jui</w:t>
      </w:r>
      <w:r w:rsidR="002A23AD" w:rsidRPr="007D5D5B">
        <w:rPr>
          <w:lang w:val="fr-CA"/>
        </w:rPr>
        <w:t>llet</w:t>
      </w:r>
      <w:r w:rsidR="00282563" w:rsidRPr="007D5D5B">
        <w:rPr>
          <w:lang w:val="fr-CA"/>
        </w:rPr>
        <w:t xml:space="preserve"> </w:t>
      </w:r>
      <w:r w:rsidRPr="007D5D5B">
        <w:rPr>
          <w:lang w:val="fr-CA"/>
        </w:rPr>
        <w:t>201</w:t>
      </w:r>
      <w:r w:rsidR="006E5414" w:rsidRPr="007D5D5B">
        <w:rPr>
          <w:lang w:val="fr-CA"/>
        </w:rPr>
        <w:t>6</w:t>
      </w:r>
      <w:r w:rsidRPr="007D5D5B">
        <w:rPr>
          <w:lang w:val="fr-CA"/>
        </w:rPr>
        <w:t>, à 9 h 45 H</w:t>
      </w:r>
      <w:r w:rsidR="004E605A" w:rsidRPr="007D5D5B">
        <w:rPr>
          <w:lang w:val="fr-CA"/>
        </w:rPr>
        <w:t>A</w:t>
      </w:r>
      <w:r w:rsidRPr="007D5D5B">
        <w:rPr>
          <w:lang w:val="fr-CA"/>
        </w:rPr>
        <w:t>E.  Cette liste est sujette à modifications.</w:t>
      </w:r>
    </w:p>
    <w:p w:rsidR="001335A1" w:rsidRPr="007D5D5B" w:rsidRDefault="001335A1" w:rsidP="001335A1">
      <w:pPr>
        <w:widowControl w:val="0"/>
        <w:rPr>
          <w:sz w:val="20"/>
          <w:lang w:val="fr-CA"/>
        </w:rPr>
      </w:pPr>
    </w:p>
    <w:p w:rsidR="001335A1" w:rsidRPr="007D5D5B" w:rsidRDefault="005C7A4F" w:rsidP="001335A1">
      <w:pPr>
        <w:widowControl w:val="0"/>
        <w:rPr>
          <w:sz w:val="20"/>
          <w:lang w:val="fr-CA"/>
        </w:rPr>
      </w:pPr>
      <w:r w:rsidRPr="007D5D5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D5D5B" w:rsidRDefault="00340C6D" w:rsidP="00340C6D">
      <w:pPr>
        <w:jc w:val="both"/>
        <w:rPr>
          <w:bCs/>
          <w:lang w:val="fr-CA"/>
        </w:rPr>
      </w:pPr>
    </w:p>
    <w:p w:rsidR="00780B16" w:rsidRPr="007D5D5B" w:rsidRDefault="00794D8B" w:rsidP="00780B16">
      <w:pPr>
        <w:jc w:val="both"/>
        <w:rPr>
          <w:szCs w:val="24"/>
        </w:rPr>
      </w:pPr>
      <w:r>
        <w:rPr>
          <w:i/>
          <w:szCs w:val="24"/>
        </w:rPr>
        <w:t>K.R.J.</w:t>
      </w:r>
      <w:r w:rsidR="00780B16" w:rsidRPr="007D5D5B">
        <w:rPr>
          <w:i/>
          <w:szCs w:val="24"/>
        </w:rPr>
        <w:t xml:space="preserve"> </w:t>
      </w:r>
      <w:r>
        <w:rPr>
          <w:i/>
          <w:szCs w:val="24"/>
        </w:rPr>
        <w:t>v</w:t>
      </w:r>
      <w:r w:rsidR="00780B16" w:rsidRPr="007D5D5B">
        <w:rPr>
          <w:i/>
          <w:szCs w:val="24"/>
        </w:rPr>
        <w:t xml:space="preserve">. </w:t>
      </w:r>
      <w:r>
        <w:rPr>
          <w:i/>
          <w:szCs w:val="24"/>
        </w:rPr>
        <w:t>Her Majesty the Queen</w:t>
      </w:r>
      <w:r w:rsidR="00780B16" w:rsidRPr="007D5D5B">
        <w:rPr>
          <w:szCs w:val="24"/>
        </w:rPr>
        <w:t xml:space="preserve"> (</w:t>
      </w:r>
      <w:r w:rsidR="009448B0">
        <w:rPr>
          <w:szCs w:val="24"/>
        </w:rPr>
        <w:t>B.C</w:t>
      </w:r>
      <w:r w:rsidR="00780B16" w:rsidRPr="007D5D5B">
        <w:rPr>
          <w:szCs w:val="24"/>
        </w:rPr>
        <w:t>.)</w:t>
      </w:r>
      <w:r w:rsidR="00545B3E">
        <w:rPr>
          <w:szCs w:val="24"/>
        </w:rPr>
        <w:t xml:space="preserve"> </w:t>
      </w:r>
      <w:r w:rsidR="00545B3E" w:rsidRPr="00334A90">
        <w:t>(</w:t>
      </w:r>
      <w:hyperlink r:id="rId7" w:history="1">
        <w:r w:rsidR="00545B3E" w:rsidRPr="00334A90">
          <w:rPr>
            <w:rStyle w:val="Hyperlink"/>
          </w:rPr>
          <w:t>36</w:t>
        </w:r>
        <w:r w:rsidR="00545B3E">
          <w:rPr>
            <w:rStyle w:val="Hyperlink"/>
          </w:rPr>
          <w:t>200</w:t>
        </w:r>
      </w:hyperlink>
      <w:r w:rsidR="00545B3E" w:rsidRPr="00334A90">
        <w:t>)</w:t>
      </w:r>
    </w:p>
    <w:p w:rsidR="009F18D7" w:rsidRPr="007D5D5B" w:rsidRDefault="009F18D7" w:rsidP="00340C6D">
      <w:pPr>
        <w:jc w:val="both"/>
        <w:rPr>
          <w:lang w:val="fr-CA"/>
        </w:rPr>
      </w:pPr>
    </w:p>
    <w:p w:rsidR="00072A63" w:rsidRPr="009903C7" w:rsidRDefault="00072A63" w:rsidP="00340C6D">
      <w:pPr>
        <w:jc w:val="both"/>
        <w:rPr>
          <w:sz w:val="20"/>
          <w:lang w:val="fr-CA"/>
        </w:rPr>
      </w:pPr>
    </w:p>
    <w:bookmarkStart w:id="0" w:name="1"/>
    <w:bookmarkEnd w:id="0"/>
    <w:p w:rsidR="009903C7" w:rsidRPr="009903C7" w:rsidRDefault="009903C7" w:rsidP="00EB2409">
      <w:pPr>
        <w:widowControl w:val="0"/>
        <w:ind w:left="709" w:hanging="709"/>
        <w:jc w:val="both"/>
        <w:rPr>
          <w:b/>
          <w:sz w:val="20"/>
        </w:rPr>
      </w:pPr>
      <w:r w:rsidRPr="009903C7">
        <w:rPr>
          <w:b/>
          <w:sz w:val="20"/>
          <w:lang w:val="en-CA"/>
        </w:rPr>
        <w:fldChar w:fldCharType="begin"/>
      </w:r>
      <w:r w:rsidRPr="009903C7">
        <w:rPr>
          <w:b/>
          <w:sz w:val="20"/>
        </w:rPr>
        <w:instrText xml:space="preserve"> SEQ CHAPTER \h \r 1</w:instrText>
      </w:r>
      <w:r w:rsidRPr="009903C7">
        <w:rPr>
          <w:b/>
          <w:sz w:val="20"/>
        </w:rPr>
        <w:fldChar w:fldCharType="end"/>
      </w:r>
      <w:r w:rsidRPr="009903C7">
        <w:rPr>
          <w:b/>
          <w:sz w:val="20"/>
          <w:lang w:val="en-CA"/>
        </w:rPr>
        <w:t>36200</w:t>
      </w:r>
      <w:r w:rsidRPr="009903C7">
        <w:rPr>
          <w:b/>
          <w:sz w:val="20"/>
          <w:lang w:val="en-CA"/>
        </w:rPr>
        <w:tab/>
      </w:r>
      <w:bookmarkStart w:id="1" w:name="3"/>
      <w:bookmarkEnd w:id="1"/>
      <w:r w:rsidRPr="009903C7">
        <w:rPr>
          <w:b/>
          <w:i/>
          <w:sz w:val="20"/>
          <w:lang w:val="en-CA"/>
        </w:rPr>
        <w:t>K.R.J. v. H</w:t>
      </w:r>
      <w:r w:rsidRPr="009903C7">
        <w:rPr>
          <w:b/>
          <w:i/>
          <w:sz w:val="20"/>
        </w:rPr>
        <w:t>er Majesty the Queen</w:t>
      </w:r>
    </w:p>
    <w:p w:rsidR="009903C7" w:rsidRPr="009903C7" w:rsidRDefault="009903C7" w:rsidP="009903C7">
      <w:pPr>
        <w:widowControl w:val="0"/>
        <w:ind w:left="349" w:firstLine="360"/>
        <w:jc w:val="both"/>
        <w:rPr>
          <w:sz w:val="20"/>
        </w:rPr>
      </w:pPr>
      <w:bookmarkStart w:id="2" w:name="QuickMark_1"/>
      <w:bookmarkEnd w:id="2"/>
      <w:r w:rsidRPr="009903C7">
        <w:rPr>
          <w:sz w:val="20"/>
        </w:rPr>
        <w:t>(B.C.)(Criminal)(By leave)</w:t>
      </w:r>
    </w:p>
    <w:p w:rsidR="009903C7" w:rsidRPr="009903C7" w:rsidRDefault="009903C7" w:rsidP="00EB2409">
      <w:pPr>
        <w:jc w:val="both"/>
        <w:rPr>
          <w:b/>
          <w:i/>
          <w:sz w:val="20"/>
        </w:rPr>
      </w:pPr>
    </w:p>
    <w:p w:rsidR="009903C7" w:rsidRPr="009903C7" w:rsidRDefault="009903C7" w:rsidP="00EB2409">
      <w:pPr>
        <w:jc w:val="both"/>
        <w:rPr>
          <w:b/>
          <w:i/>
          <w:sz w:val="20"/>
        </w:rPr>
      </w:pPr>
      <w:r w:rsidRPr="009903C7">
        <w:rPr>
          <w:b/>
          <w:i/>
          <w:sz w:val="20"/>
        </w:rPr>
        <w:t>(Publication ban in case)(Sealing order)</w:t>
      </w:r>
    </w:p>
    <w:p w:rsidR="009903C7" w:rsidRPr="009903C7" w:rsidRDefault="009903C7" w:rsidP="00EB2409">
      <w:pPr>
        <w:jc w:val="both"/>
        <w:rPr>
          <w:b/>
          <w:i/>
          <w:sz w:val="20"/>
        </w:rPr>
      </w:pPr>
    </w:p>
    <w:p w:rsidR="009903C7" w:rsidRPr="009903C7" w:rsidRDefault="009903C7" w:rsidP="00EB2409">
      <w:pPr>
        <w:jc w:val="both"/>
        <w:rPr>
          <w:sz w:val="20"/>
        </w:rPr>
      </w:pPr>
      <w:r w:rsidRPr="009903C7">
        <w:rPr>
          <w:i/>
          <w:sz w:val="20"/>
        </w:rPr>
        <w:t>Charter of Rights and Freedoms</w:t>
      </w:r>
      <w:r w:rsidRPr="009903C7">
        <w:rPr>
          <w:sz w:val="20"/>
        </w:rPr>
        <w:t xml:space="preserve"> - Criminal Law - Benefit of lesser punishment - Sentencing - Orders of prohibition -</w:t>
      </w:r>
      <w:r w:rsidRPr="009903C7">
        <w:rPr>
          <w:rFonts w:eastAsia="Arial"/>
          <w:sz w:val="20"/>
        </w:rPr>
        <w:t xml:space="preserve"> Under s. 161(1) of the </w:t>
      </w:r>
      <w:r w:rsidRPr="009903C7">
        <w:rPr>
          <w:rFonts w:eastAsia="Arial"/>
          <w:i/>
          <w:sz w:val="20"/>
        </w:rPr>
        <w:t>Criminal Code</w:t>
      </w:r>
      <w:r w:rsidRPr="009903C7">
        <w:rPr>
          <w:rFonts w:eastAsia="Arial"/>
          <w:sz w:val="20"/>
        </w:rPr>
        <w:t xml:space="preserve">, courts may issue orders prohibiting offenders from engaging in activity listed in s. 161(1), if the offender was convicted of a sexual offence referred to in s. 161(1.1) in respect of a person under 16 years of age - </w:t>
      </w:r>
      <w:r w:rsidRPr="009903C7">
        <w:rPr>
          <w:sz w:val="20"/>
        </w:rPr>
        <w:t xml:space="preserve">J </w:t>
      </w:r>
      <w:r w:rsidRPr="009903C7">
        <w:rPr>
          <w:rFonts w:eastAsia="Arial"/>
          <w:sz w:val="20"/>
        </w:rPr>
        <w:t>committed sexual offences referred to in s. 161(1.1)(</w:t>
      </w:r>
      <w:r w:rsidRPr="009903C7">
        <w:rPr>
          <w:rFonts w:eastAsia="Arial"/>
          <w:i/>
          <w:sz w:val="20"/>
        </w:rPr>
        <w:t>a</w:t>
      </w:r>
      <w:r w:rsidRPr="009903C7">
        <w:rPr>
          <w:rFonts w:eastAsia="Arial"/>
          <w:sz w:val="20"/>
        </w:rPr>
        <w:t xml:space="preserve">) against </w:t>
      </w:r>
      <w:r w:rsidRPr="009903C7">
        <w:rPr>
          <w:sz w:val="20"/>
        </w:rPr>
        <w:t>a person under the age of 16 years -</w:t>
      </w:r>
      <w:r w:rsidRPr="009903C7">
        <w:rPr>
          <w:rFonts w:eastAsia="Arial"/>
          <w:sz w:val="20"/>
        </w:rPr>
        <w:t xml:space="preserve"> </w:t>
      </w:r>
      <w:r w:rsidRPr="009903C7">
        <w:rPr>
          <w:sz w:val="20"/>
        </w:rPr>
        <w:t>Between J’s offence dates and</w:t>
      </w:r>
      <w:r w:rsidRPr="009903C7">
        <w:rPr>
          <w:rFonts w:eastAsia="Arial"/>
          <w:sz w:val="20"/>
        </w:rPr>
        <w:t xml:space="preserve"> </w:t>
      </w:r>
      <w:r w:rsidRPr="009903C7">
        <w:rPr>
          <w:sz w:val="20"/>
        </w:rPr>
        <w:t xml:space="preserve">sentencing, the </w:t>
      </w:r>
      <w:r w:rsidRPr="009903C7">
        <w:rPr>
          <w:i/>
          <w:sz w:val="20"/>
        </w:rPr>
        <w:t>Criminal Code</w:t>
      </w:r>
      <w:r w:rsidRPr="009903C7">
        <w:rPr>
          <w:sz w:val="20"/>
        </w:rPr>
        <w:t xml:space="preserve"> was amended and more onerous prohibitions were introduced into s. 161(1) - Whether court may order more onerous prohibitions -</w:t>
      </w:r>
      <w:r w:rsidRPr="009903C7">
        <w:rPr>
          <w:i/>
          <w:sz w:val="20"/>
        </w:rPr>
        <w:t xml:space="preserve"> </w:t>
      </w:r>
      <w:r w:rsidRPr="009903C7">
        <w:rPr>
          <w:sz w:val="20"/>
        </w:rPr>
        <w:t>Whether prohibitions are punishment for purposes of s. 11(</w:t>
      </w:r>
      <w:proofErr w:type="spellStart"/>
      <w:r w:rsidRPr="009903C7">
        <w:rPr>
          <w:i/>
          <w:sz w:val="20"/>
        </w:rPr>
        <w:t>i</w:t>
      </w:r>
      <w:proofErr w:type="spellEnd"/>
      <w:r w:rsidRPr="009903C7">
        <w:rPr>
          <w:sz w:val="20"/>
        </w:rPr>
        <w:t xml:space="preserve">) of </w:t>
      </w:r>
      <w:r w:rsidRPr="009903C7">
        <w:rPr>
          <w:i/>
          <w:sz w:val="20"/>
        </w:rPr>
        <w:t xml:space="preserve">Charter </w:t>
      </w:r>
      <w:r w:rsidRPr="009903C7">
        <w:rPr>
          <w:sz w:val="20"/>
        </w:rPr>
        <w:t>-</w:t>
      </w:r>
      <w:r w:rsidRPr="009903C7">
        <w:rPr>
          <w:i/>
          <w:sz w:val="20"/>
        </w:rPr>
        <w:t xml:space="preserve"> </w:t>
      </w:r>
      <w:r w:rsidRPr="009903C7">
        <w:rPr>
          <w:sz w:val="20"/>
        </w:rPr>
        <w:t xml:space="preserve">How to determine when community supervision measures amount to punishment - </w:t>
      </w:r>
      <w:r w:rsidRPr="009903C7">
        <w:rPr>
          <w:i/>
          <w:sz w:val="20"/>
        </w:rPr>
        <w:t>Safe Streets and Communities Act,</w:t>
      </w:r>
      <w:r w:rsidRPr="009903C7">
        <w:rPr>
          <w:sz w:val="20"/>
        </w:rPr>
        <w:t xml:space="preserve"> S.C. 2012, c. 1 - </w:t>
      </w:r>
      <w:r w:rsidRPr="009903C7">
        <w:rPr>
          <w:rFonts w:eastAsia="Arial"/>
          <w:i/>
          <w:sz w:val="20"/>
        </w:rPr>
        <w:t>Criminal Code</w:t>
      </w:r>
      <w:r w:rsidRPr="009903C7">
        <w:rPr>
          <w:rFonts w:eastAsia="Arial"/>
          <w:sz w:val="20"/>
        </w:rPr>
        <w:t xml:space="preserve">, R.S.C. 1985 c. C-46, s. 161 - </w:t>
      </w:r>
      <w:r w:rsidRPr="009903C7">
        <w:rPr>
          <w:rFonts w:eastAsia="Arial"/>
          <w:i/>
          <w:sz w:val="20"/>
        </w:rPr>
        <w:t>Canadian Charter of Rights and Freedoms</w:t>
      </w:r>
      <w:r w:rsidRPr="009903C7">
        <w:rPr>
          <w:rFonts w:eastAsia="Arial"/>
          <w:sz w:val="20"/>
        </w:rPr>
        <w:t>, s. 11(</w:t>
      </w:r>
      <w:proofErr w:type="spellStart"/>
      <w:r w:rsidRPr="009903C7">
        <w:rPr>
          <w:rFonts w:eastAsia="Arial"/>
          <w:i/>
          <w:sz w:val="20"/>
        </w:rPr>
        <w:t>i</w:t>
      </w:r>
      <w:proofErr w:type="spellEnd"/>
      <w:r w:rsidRPr="009903C7">
        <w:rPr>
          <w:rFonts w:eastAsia="Arial"/>
          <w:sz w:val="20"/>
        </w:rPr>
        <w:t xml:space="preserve">) </w:t>
      </w:r>
    </w:p>
    <w:p w:rsidR="009903C7" w:rsidRPr="009903C7" w:rsidRDefault="009903C7" w:rsidP="00EB2409">
      <w:pPr>
        <w:jc w:val="both"/>
        <w:rPr>
          <w:sz w:val="20"/>
        </w:rPr>
      </w:pPr>
    </w:p>
    <w:p w:rsidR="009903C7" w:rsidRDefault="009903C7" w:rsidP="0026112A">
      <w:pPr>
        <w:jc w:val="both"/>
        <w:rPr>
          <w:sz w:val="20"/>
        </w:rPr>
      </w:pPr>
      <w:r w:rsidRPr="009903C7">
        <w:rPr>
          <w:sz w:val="20"/>
        </w:rPr>
        <w:t xml:space="preserve">KRJ pleaded guilty to incest committed in 2009 and to making child pornography between January 1, 2008 and March 11, 2011. The victim was under the age of 16 years when the offences were committed. Both offences are listed in s. 161(1.1) of the </w:t>
      </w:r>
      <w:r w:rsidRPr="009903C7">
        <w:rPr>
          <w:i/>
          <w:sz w:val="20"/>
        </w:rPr>
        <w:t>Criminal Code</w:t>
      </w:r>
      <w:r w:rsidRPr="009903C7">
        <w:rPr>
          <w:sz w:val="20"/>
        </w:rPr>
        <w:t xml:space="preserve">. Section 161(1) of the </w:t>
      </w:r>
      <w:r w:rsidRPr="009903C7">
        <w:rPr>
          <w:i/>
          <w:sz w:val="20"/>
        </w:rPr>
        <w:t xml:space="preserve">Criminal Code </w:t>
      </w:r>
      <w:r w:rsidRPr="009903C7">
        <w:rPr>
          <w:sz w:val="20"/>
        </w:rPr>
        <w:t xml:space="preserve">allows prohibition orders against offenders convicted of sexual offences listed in s. 161(1.1), if the offence was committed against a person under the age of 16 years. The prohibitions that may be ordered are listed in s. 161(1). They may be ordered for life or for any shorter duration. The </w:t>
      </w:r>
      <w:r w:rsidRPr="009903C7">
        <w:rPr>
          <w:i/>
          <w:sz w:val="20"/>
        </w:rPr>
        <w:t>Safe Streets and Communities Act</w:t>
      </w:r>
      <w:r w:rsidRPr="009903C7">
        <w:rPr>
          <w:sz w:val="20"/>
        </w:rPr>
        <w:t>, S.C. 2012, c. 1, amended the list of prohibitions effective August 9, 2012. It made the prohibition set out in s. 161(1</w:t>
      </w:r>
      <w:proofErr w:type="gramStart"/>
      <w:r w:rsidRPr="009903C7">
        <w:rPr>
          <w:sz w:val="20"/>
        </w:rPr>
        <w:t>)(</w:t>
      </w:r>
      <w:proofErr w:type="gramEnd"/>
      <w:r w:rsidRPr="009903C7">
        <w:rPr>
          <w:i/>
          <w:sz w:val="20"/>
        </w:rPr>
        <w:t>c</w:t>
      </w:r>
      <w:r w:rsidRPr="009903C7">
        <w:rPr>
          <w:sz w:val="20"/>
        </w:rPr>
        <w:t>) more onerous and it introduced s. 161(1)(</w:t>
      </w:r>
      <w:r w:rsidRPr="009903C7">
        <w:rPr>
          <w:i/>
          <w:sz w:val="20"/>
        </w:rPr>
        <w:t>d</w:t>
      </w:r>
      <w:r w:rsidRPr="009903C7">
        <w:rPr>
          <w:sz w:val="20"/>
        </w:rPr>
        <w:t xml:space="preserve">) into the </w:t>
      </w:r>
      <w:r w:rsidRPr="009903C7">
        <w:rPr>
          <w:i/>
          <w:sz w:val="20"/>
        </w:rPr>
        <w:t>Criminal Code</w:t>
      </w:r>
      <w:r w:rsidRPr="009903C7">
        <w:rPr>
          <w:sz w:val="20"/>
        </w:rPr>
        <w:t>. On November 15, 2013, Klinger J. held that prohibitions are punishment for the purposes of s. 11(</w:t>
      </w:r>
      <w:proofErr w:type="spellStart"/>
      <w:r w:rsidRPr="009903C7">
        <w:rPr>
          <w:i/>
          <w:sz w:val="20"/>
        </w:rPr>
        <w:t>i</w:t>
      </w:r>
      <w:proofErr w:type="spellEnd"/>
      <w:r w:rsidRPr="009903C7">
        <w:rPr>
          <w:sz w:val="20"/>
        </w:rPr>
        <w:t xml:space="preserve">) of the </w:t>
      </w:r>
      <w:r w:rsidRPr="009903C7">
        <w:rPr>
          <w:i/>
          <w:sz w:val="20"/>
        </w:rPr>
        <w:t>Charter of Rights and Freedoms</w:t>
      </w:r>
      <w:r w:rsidRPr="009903C7">
        <w:rPr>
          <w:sz w:val="20"/>
        </w:rPr>
        <w:t xml:space="preserve"> and KRJ therefore was entitled to the less onerous prohibitions that were in s. 161(1) on the date of his offences. On October 8, 2014, a majority of the Court of Appeal allowed an appeal. They held that </w:t>
      </w:r>
      <w:r w:rsidRPr="009903C7">
        <w:rPr>
          <w:sz w:val="20"/>
        </w:rPr>
        <w:lastRenderedPageBreak/>
        <w:t>prohibitions are not punishment and the 2012 amendments apply retroactively. They amended the prohibition order and imposed the more onerous provisions that came into effect on August 9, 2012.</w:t>
      </w:r>
    </w:p>
    <w:p w:rsidR="009903C7" w:rsidRDefault="009903C7" w:rsidP="0026112A">
      <w:pPr>
        <w:jc w:val="both"/>
        <w:rPr>
          <w:sz w:val="20"/>
        </w:rPr>
      </w:pPr>
    </w:p>
    <w:p w:rsidR="009903C7" w:rsidRPr="009903C7" w:rsidRDefault="009903C7" w:rsidP="0026112A">
      <w:pPr>
        <w:jc w:val="both"/>
        <w:rPr>
          <w:sz w:val="20"/>
        </w:rPr>
      </w:pPr>
    </w:p>
    <w:p w:rsidR="009903C7" w:rsidRPr="009903C7" w:rsidRDefault="009903C7" w:rsidP="00FB7F01">
      <w:pPr>
        <w:widowControl w:val="0"/>
        <w:ind w:left="709" w:hanging="709"/>
        <w:jc w:val="both"/>
        <w:rPr>
          <w:b/>
          <w:i/>
          <w:sz w:val="20"/>
          <w:lang w:val="fr-CA"/>
        </w:rPr>
      </w:pPr>
      <w:r w:rsidRPr="009903C7">
        <w:rPr>
          <w:b/>
          <w:sz w:val="20"/>
          <w:lang w:val="fr-CA"/>
        </w:rPr>
        <w:fldChar w:fldCharType="begin"/>
      </w:r>
      <w:r w:rsidRPr="009903C7">
        <w:rPr>
          <w:b/>
          <w:sz w:val="20"/>
          <w:lang w:val="fr-CA"/>
        </w:rPr>
        <w:instrText xml:space="preserve"> SEQ CHAPTER \h \r 1</w:instrText>
      </w:r>
      <w:r w:rsidRPr="009903C7">
        <w:rPr>
          <w:b/>
          <w:sz w:val="20"/>
          <w:lang w:val="fr-CA"/>
        </w:rPr>
        <w:fldChar w:fldCharType="end"/>
      </w:r>
      <w:r w:rsidRPr="009903C7">
        <w:rPr>
          <w:b/>
          <w:sz w:val="20"/>
          <w:lang w:val="fr-CA"/>
        </w:rPr>
        <w:t>36200</w:t>
      </w:r>
      <w:r w:rsidRPr="009903C7">
        <w:rPr>
          <w:b/>
          <w:sz w:val="20"/>
          <w:lang w:val="fr-CA"/>
        </w:rPr>
        <w:tab/>
      </w:r>
      <w:r w:rsidRPr="009903C7">
        <w:rPr>
          <w:b/>
          <w:i/>
          <w:sz w:val="20"/>
          <w:lang w:val="fr-CA"/>
        </w:rPr>
        <w:t>K.R.J. c. Sa Majesté la Reine</w:t>
      </w:r>
    </w:p>
    <w:p w:rsidR="009903C7" w:rsidRPr="009903C7" w:rsidRDefault="009903C7" w:rsidP="009903C7">
      <w:pPr>
        <w:widowControl w:val="0"/>
        <w:ind w:left="349" w:firstLine="360"/>
        <w:jc w:val="both"/>
        <w:rPr>
          <w:sz w:val="20"/>
          <w:lang w:val="fr-CA"/>
        </w:rPr>
      </w:pPr>
      <w:r w:rsidRPr="009903C7">
        <w:rPr>
          <w:sz w:val="20"/>
          <w:lang w:val="fr-CA"/>
        </w:rPr>
        <w:t>(C.</w:t>
      </w:r>
      <w:r w:rsidRPr="009903C7">
        <w:rPr>
          <w:sz w:val="20"/>
          <w:lang w:val="fr-CA"/>
        </w:rPr>
        <w:noBreakHyphen/>
        <w:t>B.)(Criminelle)(Sur autorisation)</w:t>
      </w:r>
    </w:p>
    <w:p w:rsidR="009903C7" w:rsidRPr="009903C7" w:rsidRDefault="009903C7" w:rsidP="00FB7F01">
      <w:pPr>
        <w:jc w:val="both"/>
        <w:rPr>
          <w:b/>
          <w:i/>
          <w:sz w:val="20"/>
          <w:lang w:val="fr-CA"/>
        </w:rPr>
      </w:pPr>
    </w:p>
    <w:p w:rsidR="009903C7" w:rsidRPr="009903C7" w:rsidRDefault="009903C7" w:rsidP="00FB7F01">
      <w:pPr>
        <w:jc w:val="both"/>
        <w:rPr>
          <w:b/>
          <w:i/>
          <w:sz w:val="20"/>
          <w:lang w:val="fr-CA"/>
        </w:rPr>
      </w:pPr>
      <w:r w:rsidRPr="009903C7">
        <w:rPr>
          <w:b/>
          <w:i/>
          <w:sz w:val="20"/>
          <w:lang w:val="fr-CA"/>
        </w:rPr>
        <w:t>(Ordonnance de non-publication dans le dossier) (Ordonnance de mise sous scellés)</w:t>
      </w:r>
    </w:p>
    <w:p w:rsidR="009903C7" w:rsidRPr="009903C7" w:rsidRDefault="009903C7" w:rsidP="00FB7F01">
      <w:pPr>
        <w:jc w:val="both"/>
        <w:rPr>
          <w:b/>
          <w:i/>
          <w:sz w:val="20"/>
          <w:lang w:val="fr-CA"/>
        </w:rPr>
      </w:pPr>
    </w:p>
    <w:p w:rsidR="009903C7" w:rsidRPr="009903C7" w:rsidRDefault="009903C7" w:rsidP="00FB7F01">
      <w:pPr>
        <w:jc w:val="both"/>
        <w:rPr>
          <w:sz w:val="20"/>
          <w:lang w:val="fr-CA"/>
        </w:rPr>
      </w:pPr>
      <w:r w:rsidRPr="009903C7">
        <w:rPr>
          <w:i/>
          <w:sz w:val="20"/>
          <w:lang w:val="fr-CA"/>
        </w:rPr>
        <w:t>Charte des droits et libertés</w:t>
      </w:r>
      <w:r w:rsidRPr="009903C7">
        <w:rPr>
          <w:sz w:val="20"/>
          <w:lang w:val="fr-CA"/>
        </w:rPr>
        <w:t xml:space="preserve"> - Droit criminel - Droit de bénéficier de la peine la moins sévère - Détermination de la peine - Ordonnances d’interdiction - En vertu du par. 161(1) du </w:t>
      </w:r>
      <w:r w:rsidRPr="009903C7">
        <w:rPr>
          <w:i/>
          <w:sz w:val="20"/>
          <w:lang w:val="fr-CA"/>
        </w:rPr>
        <w:t>Code criminel</w:t>
      </w:r>
      <w:r w:rsidRPr="009903C7">
        <w:rPr>
          <w:sz w:val="20"/>
          <w:lang w:val="fr-CA"/>
        </w:rPr>
        <w:t>, les tribunaux peuvent rendre des ordonnances interdisant aux contrevenants de se livrer à une activité énumérée au par. 161(1) si le contrevenant a été déclaré coupable d’une infraction d’ordre sexuel mentionnée au par. 161(1.1) à l’égard d’une personne âgée de moins de seize ans - J a commis des infractions d’ordre sexuel mentionnées à l’al. 161(1.1)</w:t>
      </w:r>
      <w:r w:rsidRPr="009903C7">
        <w:rPr>
          <w:i/>
          <w:sz w:val="20"/>
          <w:lang w:val="fr-CA"/>
        </w:rPr>
        <w:t>a</w:t>
      </w:r>
      <w:r w:rsidRPr="009903C7">
        <w:rPr>
          <w:sz w:val="20"/>
          <w:lang w:val="fr-CA"/>
        </w:rPr>
        <w:t xml:space="preserve">) à l’égard d’une personne âgée de moins de seize ans - Entre les dates où J a commis les infractions et la détermination de la peine, le </w:t>
      </w:r>
      <w:r w:rsidRPr="009903C7">
        <w:rPr>
          <w:i/>
          <w:sz w:val="20"/>
          <w:lang w:val="fr-CA"/>
        </w:rPr>
        <w:t>Code criminel</w:t>
      </w:r>
      <w:r w:rsidRPr="009903C7">
        <w:rPr>
          <w:sz w:val="20"/>
          <w:lang w:val="fr-CA"/>
        </w:rPr>
        <w:t xml:space="preserve"> a été modifié et des interdictions plus onéreuses ont été introduites au par. 161(1) - Le tribunal peut-il ordonner des interdictions plus onéreuses? - Les interdictions sont-elles à une « peine » au sens de l’al. 11</w:t>
      </w:r>
      <w:r w:rsidRPr="009903C7">
        <w:rPr>
          <w:i/>
          <w:sz w:val="20"/>
          <w:lang w:val="fr-CA"/>
        </w:rPr>
        <w:t>i</w:t>
      </w:r>
      <w:r w:rsidRPr="009903C7">
        <w:rPr>
          <w:sz w:val="20"/>
          <w:lang w:val="fr-CA"/>
        </w:rPr>
        <w:t xml:space="preserve">) de la </w:t>
      </w:r>
      <w:r w:rsidRPr="009903C7">
        <w:rPr>
          <w:i/>
          <w:sz w:val="20"/>
          <w:lang w:val="fr-CA"/>
        </w:rPr>
        <w:t>Charte</w:t>
      </w:r>
      <w:r w:rsidRPr="009903C7">
        <w:rPr>
          <w:sz w:val="20"/>
          <w:lang w:val="fr-CA"/>
        </w:rPr>
        <w:t>? - Comment déterminer les cas où des mesures de surveillance dans la collectivité équivalent à une peine? -</w:t>
      </w:r>
      <w:r w:rsidRPr="009903C7">
        <w:rPr>
          <w:rFonts w:eastAsia="Arial"/>
          <w:sz w:val="20"/>
          <w:lang w:val="fr-CA"/>
        </w:rPr>
        <w:t xml:space="preserve"> </w:t>
      </w:r>
      <w:r w:rsidRPr="009903C7">
        <w:rPr>
          <w:i/>
          <w:sz w:val="20"/>
          <w:lang w:val="fr-CA"/>
        </w:rPr>
        <w:t>Loi sur la sécurité des rues et des communautés,</w:t>
      </w:r>
      <w:r w:rsidRPr="009903C7">
        <w:rPr>
          <w:sz w:val="20"/>
          <w:lang w:val="fr-CA"/>
        </w:rPr>
        <w:t xml:space="preserve"> L.C. 2012, ch. 1 - </w:t>
      </w:r>
      <w:r w:rsidRPr="009903C7">
        <w:rPr>
          <w:rFonts w:eastAsia="Arial"/>
          <w:i/>
          <w:sz w:val="20"/>
          <w:lang w:val="fr-CA"/>
        </w:rPr>
        <w:t>Code criminel</w:t>
      </w:r>
      <w:r w:rsidRPr="009903C7">
        <w:rPr>
          <w:rFonts w:eastAsia="Arial"/>
          <w:sz w:val="20"/>
          <w:lang w:val="fr-CA"/>
        </w:rPr>
        <w:t xml:space="preserve">, L.R.C. 1985 ch. C-46, art. 161 - </w:t>
      </w:r>
      <w:r w:rsidRPr="009903C7">
        <w:rPr>
          <w:rFonts w:eastAsia="Arial"/>
          <w:i/>
          <w:sz w:val="20"/>
          <w:lang w:val="fr-CA"/>
        </w:rPr>
        <w:t>Charte canadienne des droits et libertés</w:t>
      </w:r>
      <w:r w:rsidRPr="009903C7">
        <w:rPr>
          <w:rFonts w:eastAsia="Arial"/>
          <w:sz w:val="20"/>
          <w:lang w:val="fr-CA"/>
        </w:rPr>
        <w:t>, al. 11</w:t>
      </w:r>
      <w:r w:rsidRPr="009903C7">
        <w:rPr>
          <w:rFonts w:eastAsia="Arial"/>
          <w:i/>
          <w:sz w:val="20"/>
          <w:lang w:val="fr-CA"/>
        </w:rPr>
        <w:t>i</w:t>
      </w:r>
      <w:r w:rsidRPr="009903C7">
        <w:rPr>
          <w:rFonts w:eastAsia="Arial"/>
          <w:sz w:val="20"/>
          <w:lang w:val="fr-CA"/>
        </w:rPr>
        <w:t xml:space="preserve">) </w:t>
      </w:r>
    </w:p>
    <w:p w:rsidR="009903C7" w:rsidRPr="009903C7" w:rsidRDefault="009903C7" w:rsidP="00FB7F01">
      <w:pPr>
        <w:jc w:val="both"/>
        <w:rPr>
          <w:sz w:val="20"/>
          <w:lang w:val="fr-CA"/>
        </w:rPr>
      </w:pPr>
    </w:p>
    <w:p w:rsidR="009903C7" w:rsidRPr="009903C7" w:rsidRDefault="009903C7" w:rsidP="00C97B51">
      <w:pPr>
        <w:jc w:val="both"/>
        <w:rPr>
          <w:sz w:val="20"/>
          <w:lang w:val="fr-CA"/>
        </w:rPr>
      </w:pPr>
      <w:r w:rsidRPr="009903C7">
        <w:rPr>
          <w:sz w:val="20"/>
          <w:lang w:val="fr-CA"/>
        </w:rPr>
        <w:t>KRJ a plaidé coupable à des accusations d’inceste commis en 2009 et de production de pornographie juvénile entre le 1</w:t>
      </w:r>
      <w:r w:rsidRPr="009903C7">
        <w:rPr>
          <w:sz w:val="20"/>
          <w:vertAlign w:val="superscript"/>
          <w:lang w:val="fr-CA"/>
        </w:rPr>
        <w:t>er</w:t>
      </w:r>
      <w:r w:rsidRPr="009903C7">
        <w:rPr>
          <w:sz w:val="20"/>
          <w:lang w:val="fr-CA"/>
        </w:rPr>
        <w:t xml:space="preserve"> janvier 2008 et le 11 mars 2011. La victime était âgée de moins de seize ans lorsque les infractions ont été commises. Les deux infractions sont énumérées au par. 161(1.1) du </w:t>
      </w:r>
      <w:r w:rsidRPr="009903C7">
        <w:rPr>
          <w:i/>
          <w:sz w:val="20"/>
          <w:lang w:val="fr-CA"/>
        </w:rPr>
        <w:t>Code criminel</w:t>
      </w:r>
      <w:r w:rsidRPr="009903C7">
        <w:rPr>
          <w:sz w:val="20"/>
          <w:lang w:val="fr-CA"/>
        </w:rPr>
        <w:t xml:space="preserve">. En vertu du paragraphe 161(1) du </w:t>
      </w:r>
      <w:r w:rsidRPr="009903C7">
        <w:rPr>
          <w:i/>
          <w:sz w:val="20"/>
          <w:lang w:val="fr-CA"/>
        </w:rPr>
        <w:t>Code criminel</w:t>
      </w:r>
      <w:r w:rsidRPr="009903C7">
        <w:rPr>
          <w:sz w:val="20"/>
          <w:lang w:val="fr-CA"/>
        </w:rPr>
        <w:t xml:space="preserve">, des ordonnances d’interdiction peuvent être prononcées contre des contrevenants déclarés coupables d’infractions sexuelles énumérées au par. 161(1.1), si l’infraction a été commise à l’égard d’une personne âgée de moins de seize ans. Les interdictions qui peuvent être ordonnées sont énumérées au par. 161(1). Ces interdictions peuvent être perpétuelles ou pour une durée déterminée. La </w:t>
      </w:r>
      <w:r w:rsidRPr="009903C7">
        <w:rPr>
          <w:i/>
          <w:sz w:val="20"/>
          <w:lang w:val="fr-CA"/>
        </w:rPr>
        <w:t>Loi sur la sécurité des rues et des communautés</w:t>
      </w:r>
      <w:r w:rsidRPr="009903C7">
        <w:rPr>
          <w:sz w:val="20"/>
          <w:lang w:val="fr-CA"/>
        </w:rPr>
        <w:t>, L.C. 2012, ch. 1, a eu pour effet de modifier la liste des interdictions à compter du 9 août 2012. Elle a eu pour effet de rendre l’interdiction prévue à l’al. 161(1)</w:t>
      </w:r>
      <w:r w:rsidRPr="009903C7">
        <w:rPr>
          <w:i/>
          <w:sz w:val="20"/>
          <w:lang w:val="fr-CA"/>
        </w:rPr>
        <w:t>c</w:t>
      </w:r>
      <w:r w:rsidRPr="009903C7">
        <w:rPr>
          <w:sz w:val="20"/>
          <w:lang w:val="fr-CA"/>
        </w:rPr>
        <w:t>) plus onéreuse et d’introduire l’al. 161(1)</w:t>
      </w:r>
      <w:r w:rsidRPr="009903C7">
        <w:rPr>
          <w:i/>
          <w:sz w:val="20"/>
          <w:lang w:val="fr-CA"/>
        </w:rPr>
        <w:t>d</w:t>
      </w:r>
      <w:r w:rsidRPr="009903C7">
        <w:rPr>
          <w:sz w:val="20"/>
          <w:lang w:val="fr-CA"/>
        </w:rPr>
        <w:t xml:space="preserve">) au </w:t>
      </w:r>
      <w:r w:rsidRPr="009903C7">
        <w:rPr>
          <w:i/>
          <w:sz w:val="20"/>
          <w:lang w:val="fr-CA"/>
        </w:rPr>
        <w:t>Code criminel</w:t>
      </w:r>
      <w:r w:rsidRPr="009903C7">
        <w:rPr>
          <w:sz w:val="20"/>
          <w:lang w:val="fr-CA"/>
        </w:rPr>
        <w:t>. Le 15 novembre 2013, le juge Klinger a statué que les interdictions étaient une peine au sens de l’al. 11</w:t>
      </w:r>
      <w:r w:rsidRPr="009903C7">
        <w:rPr>
          <w:i/>
          <w:sz w:val="20"/>
          <w:lang w:val="fr-CA"/>
        </w:rPr>
        <w:t>i</w:t>
      </w:r>
      <w:r w:rsidRPr="009903C7">
        <w:rPr>
          <w:sz w:val="20"/>
          <w:lang w:val="fr-CA"/>
        </w:rPr>
        <w:t xml:space="preserve">) de la </w:t>
      </w:r>
      <w:r w:rsidRPr="009903C7">
        <w:rPr>
          <w:i/>
          <w:sz w:val="20"/>
          <w:lang w:val="fr-CA"/>
        </w:rPr>
        <w:t>Charte des droits et libertés</w:t>
      </w:r>
      <w:r w:rsidRPr="009903C7">
        <w:rPr>
          <w:sz w:val="20"/>
          <w:lang w:val="fr-CA"/>
        </w:rPr>
        <w:t xml:space="preserve"> et que KRJ avait donc le droit de faire l’objet des interdictions moins onéreuses prévues au par. 161(1) à la date de ses infractions. Le 8 octobre 2014, les juges majoritaires de la Cour d’appel ont accueilli un appel. Ils ont statué que les interdictions n’étaient pas une peine et que les modifications de 2012 s’appliquaient rétroactivement. Ils ont modifié l’ordonnance d’interdiction et imposé les dispositions plus onéreuses qui sont entrées en vigueur le 9 août 2012.</w:t>
      </w:r>
    </w:p>
    <w:p w:rsidR="009903C7" w:rsidRDefault="009903C7" w:rsidP="00340C6D">
      <w:pPr>
        <w:jc w:val="both"/>
        <w:rPr>
          <w:szCs w:val="24"/>
          <w:lang w:val="fr-CA"/>
        </w:rPr>
      </w:pPr>
      <w:bookmarkStart w:id="3" w:name="_GoBack"/>
      <w:bookmarkEnd w:id="3"/>
    </w:p>
    <w:p w:rsidR="009903C7" w:rsidRPr="007D5D5B" w:rsidRDefault="009903C7" w:rsidP="00340C6D">
      <w:pPr>
        <w:jc w:val="both"/>
        <w:rPr>
          <w:szCs w:val="24"/>
          <w:lang w:val="fr-CA"/>
        </w:rPr>
      </w:pPr>
    </w:p>
    <w:p w:rsidR="00072A63" w:rsidRPr="007D5D5B" w:rsidRDefault="00072A63" w:rsidP="00EC79B0">
      <w:pPr>
        <w:jc w:val="both"/>
        <w:rPr>
          <w:szCs w:val="24"/>
          <w:lang w:val="fr-CA"/>
        </w:rPr>
      </w:pPr>
    </w:p>
    <w:p w:rsidR="001C4415" w:rsidRPr="007D5D5B" w:rsidRDefault="001C4415" w:rsidP="001C4415">
      <w:pPr>
        <w:widowControl w:val="0"/>
        <w:outlineLvl w:val="0"/>
      </w:pPr>
      <w:r w:rsidRPr="007D5D5B">
        <w:t xml:space="preserve">Supreme Court of Canada / Cour suprême du Canada : </w:t>
      </w:r>
    </w:p>
    <w:p w:rsidR="001C4415" w:rsidRPr="007D5D5B" w:rsidRDefault="00FE73F2" w:rsidP="001C4415">
      <w:pPr>
        <w:widowControl w:val="0"/>
        <w:outlineLvl w:val="0"/>
        <w:rPr>
          <w:color w:val="0000FF"/>
          <w:u w:val="single"/>
        </w:rPr>
      </w:pPr>
      <w:hyperlink r:id="rId8" w:history="1">
        <w:r w:rsidR="001C4415" w:rsidRPr="007D5D5B">
          <w:rPr>
            <w:rStyle w:val="Hyperlink"/>
          </w:rPr>
          <w:t>comments-commentaires@scc-csc.ca</w:t>
        </w:r>
      </w:hyperlink>
    </w:p>
    <w:p w:rsidR="001C4415" w:rsidRPr="007D5D5B" w:rsidRDefault="001C4415" w:rsidP="001C4415">
      <w:pPr>
        <w:widowControl w:val="0"/>
        <w:outlineLvl w:val="0"/>
      </w:pPr>
      <w:r w:rsidRPr="007D5D5B">
        <w:t>(613) 995-4330</w:t>
      </w:r>
    </w:p>
    <w:p w:rsidR="001C4415" w:rsidRPr="007D5D5B" w:rsidRDefault="001C4415" w:rsidP="001C4415">
      <w:pPr>
        <w:widowControl w:val="0"/>
        <w:rPr>
          <w:sz w:val="20"/>
        </w:rPr>
      </w:pPr>
    </w:p>
    <w:p w:rsidR="0036476C" w:rsidRPr="007D5D5B" w:rsidRDefault="001C4415" w:rsidP="0036476C">
      <w:pPr>
        <w:pStyle w:val="Footer"/>
        <w:jc w:val="center"/>
      </w:pPr>
      <w:r w:rsidRPr="007D5D5B">
        <w:t xml:space="preserve">- 30 </w:t>
      </w:r>
      <w:r w:rsidR="0036476C" w:rsidRPr="007D5D5B">
        <w:t xml:space="preserve">– </w:t>
      </w:r>
    </w:p>
    <w:p w:rsidR="0036476C" w:rsidRPr="007D5D5B" w:rsidRDefault="0036476C" w:rsidP="0036476C">
      <w:pPr>
        <w:pStyle w:val="Footer"/>
        <w:jc w:val="center"/>
      </w:pPr>
    </w:p>
    <w:sectPr w:rsidR="0036476C" w:rsidRPr="007D5D5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4D23"/>
    <w:rsid w:val="002B4F4E"/>
    <w:rsid w:val="002C23CB"/>
    <w:rsid w:val="002C5CA9"/>
    <w:rsid w:val="002C5FAF"/>
    <w:rsid w:val="002D62BE"/>
    <w:rsid w:val="002D631B"/>
    <w:rsid w:val="002D6424"/>
    <w:rsid w:val="002D6539"/>
    <w:rsid w:val="002E3F05"/>
    <w:rsid w:val="002E5644"/>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5D2D"/>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3C7"/>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E73F2"/>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2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2016-07-15T15:03:00Z</dcterms:created>
  <dcterms:modified xsi:type="dcterms:W3CDTF">2016-07-15T15:08:00Z</dcterms:modified>
</cp:coreProperties>
</file>