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5D27BB" w:rsidRDefault="001C4415" w:rsidP="001C4415">
      <w:pPr>
        <w:pStyle w:val="Header"/>
        <w:jc w:val="center"/>
        <w:rPr>
          <w:b/>
          <w:sz w:val="32"/>
        </w:rPr>
      </w:pPr>
      <w:r w:rsidRPr="005D27BB">
        <w:rPr>
          <w:b/>
          <w:sz w:val="32"/>
        </w:rPr>
        <w:t xml:space="preserve">Supreme Court of Canada / </w:t>
      </w:r>
      <w:proofErr w:type="spellStart"/>
      <w:r w:rsidRPr="005D27BB">
        <w:rPr>
          <w:b/>
          <w:sz w:val="32"/>
        </w:rPr>
        <w:t>Cour</w:t>
      </w:r>
      <w:proofErr w:type="spellEnd"/>
      <w:r w:rsidRPr="005D27BB">
        <w:rPr>
          <w:b/>
          <w:sz w:val="32"/>
        </w:rPr>
        <w:t xml:space="preserve"> </w:t>
      </w:r>
      <w:proofErr w:type="spellStart"/>
      <w:r w:rsidRPr="005D27BB">
        <w:rPr>
          <w:b/>
          <w:sz w:val="32"/>
        </w:rPr>
        <w:t>suprême</w:t>
      </w:r>
      <w:proofErr w:type="spellEnd"/>
      <w:r w:rsidRPr="005D27BB">
        <w:rPr>
          <w:b/>
          <w:sz w:val="32"/>
        </w:rPr>
        <w:t xml:space="preserve"> du Canada</w:t>
      </w:r>
    </w:p>
    <w:p w:rsidR="001C4415" w:rsidRPr="005D27BB" w:rsidRDefault="001C4415" w:rsidP="001C4415">
      <w:pPr>
        <w:widowControl w:val="0"/>
        <w:rPr>
          <w:i/>
        </w:rPr>
      </w:pPr>
    </w:p>
    <w:p w:rsidR="001C4415" w:rsidRPr="005D27BB" w:rsidRDefault="001C4415" w:rsidP="001C4415">
      <w:pPr>
        <w:widowControl w:val="0"/>
        <w:rPr>
          <w:i/>
        </w:rPr>
      </w:pPr>
    </w:p>
    <w:p w:rsidR="001C4415" w:rsidRPr="005D27BB" w:rsidRDefault="001C4415" w:rsidP="001C4415">
      <w:pPr>
        <w:widowControl w:val="0"/>
        <w:rPr>
          <w:i/>
        </w:rPr>
      </w:pPr>
      <w:r w:rsidRPr="005D27BB">
        <w:rPr>
          <w:i/>
        </w:rPr>
        <w:t xml:space="preserve">(le </w:t>
      </w:r>
      <w:proofErr w:type="spellStart"/>
      <w:r w:rsidRPr="005D27BB">
        <w:rPr>
          <w:i/>
        </w:rPr>
        <w:t>français</w:t>
      </w:r>
      <w:proofErr w:type="spellEnd"/>
      <w:r w:rsidRPr="005D27BB">
        <w:rPr>
          <w:i/>
        </w:rPr>
        <w:t xml:space="preserve"> suit)</w:t>
      </w:r>
    </w:p>
    <w:p w:rsidR="001C4415" w:rsidRPr="005D27BB" w:rsidRDefault="001C4415" w:rsidP="001C4415">
      <w:pPr>
        <w:widowControl w:val="0"/>
      </w:pPr>
    </w:p>
    <w:p w:rsidR="001C4415" w:rsidRPr="005D27BB" w:rsidRDefault="000347C1" w:rsidP="00214729">
      <w:pPr>
        <w:widowControl w:val="0"/>
        <w:jc w:val="center"/>
        <w:rPr>
          <w:b/>
        </w:rPr>
      </w:pPr>
      <w:r w:rsidRPr="005D27BB">
        <w:fldChar w:fldCharType="begin"/>
      </w:r>
      <w:r w:rsidR="00FA7412" w:rsidRPr="005D27BB">
        <w:instrText xml:space="preserve"> SEQ CHAPTER \h \r 1</w:instrText>
      </w:r>
      <w:r w:rsidRPr="005D27BB">
        <w:fldChar w:fldCharType="end"/>
      </w:r>
      <w:r w:rsidR="00455BB9" w:rsidRPr="005D27BB">
        <w:rPr>
          <w:b/>
        </w:rPr>
        <w:t>JUDGMENT</w:t>
      </w:r>
      <w:r w:rsidR="00E738B3" w:rsidRPr="005D27BB">
        <w:rPr>
          <w:b/>
        </w:rPr>
        <w:t>S</w:t>
      </w:r>
      <w:r w:rsidR="00FA7412" w:rsidRPr="005D27BB">
        <w:rPr>
          <w:b/>
        </w:rPr>
        <w:t xml:space="preserve"> TO BE RENDERED IN APPEA</w:t>
      </w:r>
      <w:r w:rsidR="00342E49" w:rsidRPr="005D27BB">
        <w:rPr>
          <w:b/>
        </w:rPr>
        <w:t>L</w:t>
      </w:r>
      <w:r w:rsidR="006B5FEF" w:rsidRPr="005D27BB">
        <w:rPr>
          <w:b/>
        </w:rPr>
        <w:t>S</w:t>
      </w:r>
    </w:p>
    <w:p w:rsidR="005A7C1B" w:rsidRPr="005D27BB" w:rsidRDefault="005A7C1B" w:rsidP="005A7C1B">
      <w:pPr>
        <w:widowControl w:val="0"/>
        <w:rPr>
          <w:b/>
        </w:rPr>
      </w:pPr>
    </w:p>
    <w:p w:rsidR="00EC79B0" w:rsidRPr="005D27BB" w:rsidRDefault="00C86395" w:rsidP="00EC79B0">
      <w:pPr>
        <w:widowControl w:val="0"/>
        <w:rPr>
          <w:b/>
        </w:rPr>
      </w:pPr>
      <w:r w:rsidRPr="00C50BF1">
        <w:rPr>
          <w:b/>
        </w:rPr>
        <w:t>Ju</w:t>
      </w:r>
      <w:r w:rsidR="007F25C1" w:rsidRPr="00C50BF1">
        <w:rPr>
          <w:b/>
        </w:rPr>
        <w:t>ly</w:t>
      </w:r>
      <w:r w:rsidRPr="00C50BF1">
        <w:rPr>
          <w:b/>
        </w:rPr>
        <w:t xml:space="preserve"> </w:t>
      </w:r>
      <w:r w:rsidR="00793A6C" w:rsidRPr="00C50BF1">
        <w:rPr>
          <w:b/>
        </w:rPr>
        <w:t>18</w:t>
      </w:r>
      <w:r w:rsidR="00EC79B0" w:rsidRPr="00C50BF1">
        <w:rPr>
          <w:b/>
        </w:rPr>
        <w:t>, 201</w:t>
      </w:r>
      <w:r w:rsidR="006E5414" w:rsidRPr="00C50BF1">
        <w:rPr>
          <w:b/>
        </w:rPr>
        <w:t>6</w:t>
      </w:r>
    </w:p>
    <w:p w:rsidR="00EC79B0" w:rsidRPr="005D27BB" w:rsidRDefault="00EC79B0" w:rsidP="00EC79B0">
      <w:pPr>
        <w:widowControl w:val="0"/>
        <w:rPr>
          <w:b/>
        </w:rPr>
      </w:pPr>
      <w:r w:rsidRPr="005D27BB">
        <w:rPr>
          <w:b/>
        </w:rPr>
        <w:t>For immediate release</w:t>
      </w:r>
    </w:p>
    <w:p w:rsidR="00EC79B0" w:rsidRPr="005D27BB" w:rsidRDefault="00EC79B0" w:rsidP="00EC79B0">
      <w:pPr>
        <w:widowControl w:val="0"/>
      </w:pPr>
    </w:p>
    <w:p w:rsidR="00EC79B0" w:rsidRPr="005D27BB" w:rsidRDefault="00EC79B0" w:rsidP="00EC79B0">
      <w:pPr>
        <w:widowControl w:val="0"/>
      </w:pPr>
      <w:r w:rsidRPr="005D27BB">
        <w:rPr>
          <w:b/>
        </w:rPr>
        <w:t>OTTAWA</w:t>
      </w:r>
      <w:r w:rsidRPr="005D27BB">
        <w:t xml:space="preserve"> – The Supreme Court of Canad</w:t>
      </w:r>
      <w:r w:rsidR="00455BB9" w:rsidRPr="005D27BB">
        <w:t>a announced today that judgment</w:t>
      </w:r>
      <w:r w:rsidR="00434C8B" w:rsidRPr="005D27BB">
        <w:t>s</w:t>
      </w:r>
      <w:r w:rsidRPr="005D27BB">
        <w:t xml:space="preserve"> in the following appeal</w:t>
      </w:r>
      <w:r w:rsidR="00E738B3" w:rsidRPr="005D27BB">
        <w:t>s</w:t>
      </w:r>
      <w:r w:rsidRPr="005D27BB">
        <w:t xml:space="preserve"> will be delivered at 9:45 a.m. E</w:t>
      </w:r>
      <w:r w:rsidR="004E605A" w:rsidRPr="005D27BB">
        <w:t>D</w:t>
      </w:r>
      <w:r w:rsidR="00DC6C1E" w:rsidRPr="005D27BB">
        <w:t>T</w:t>
      </w:r>
      <w:r w:rsidR="00D74667" w:rsidRPr="005D27BB">
        <w:t xml:space="preserve"> on</w:t>
      </w:r>
      <w:r w:rsidR="00DC6C1E" w:rsidRPr="005D27BB">
        <w:t xml:space="preserve"> </w:t>
      </w:r>
      <w:r w:rsidR="00E738B3" w:rsidRPr="005D27BB">
        <w:t>Friday, Ju</w:t>
      </w:r>
      <w:r w:rsidR="00833B00" w:rsidRPr="005D27BB">
        <w:t>ly</w:t>
      </w:r>
      <w:r w:rsidR="00E738B3" w:rsidRPr="005D27BB">
        <w:t xml:space="preserve"> </w:t>
      </w:r>
      <w:r w:rsidR="00793A6C">
        <w:t>22</w:t>
      </w:r>
      <w:r w:rsidR="00E738B3" w:rsidRPr="005D27BB">
        <w:t>,</w:t>
      </w:r>
      <w:r w:rsidR="00E63199" w:rsidRPr="005D27BB">
        <w:t xml:space="preserve"> 2</w:t>
      </w:r>
      <w:r w:rsidR="0086609D" w:rsidRPr="005D27BB">
        <w:t>01</w:t>
      </w:r>
      <w:r w:rsidR="006E5414" w:rsidRPr="005D27BB">
        <w:t>6</w:t>
      </w:r>
      <w:r w:rsidR="00455BB9" w:rsidRPr="005D27BB">
        <w:t>.  This</w:t>
      </w:r>
      <w:r w:rsidRPr="005D27BB">
        <w:t xml:space="preserve"> list is subject to change.</w:t>
      </w:r>
    </w:p>
    <w:p w:rsidR="001C4415" w:rsidRPr="005D27BB" w:rsidRDefault="001C4415" w:rsidP="001C4415">
      <w:pPr>
        <w:widowControl w:val="0"/>
        <w:rPr>
          <w:szCs w:val="24"/>
        </w:rPr>
      </w:pPr>
    </w:p>
    <w:p w:rsidR="001C4415" w:rsidRPr="005D27BB" w:rsidRDefault="001C4415" w:rsidP="001C4415">
      <w:pPr>
        <w:widowControl w:val="0"/>
      </w:pPr>
    </w:p>
    <w:p w:rsidR="001335A1" w:rsidRPr="005D27BB" w:rsidRDefault="001335A1" w:rsidP="001335A1">
      <w:pPr>
        <w:widowControl w:val="0"/>
        <w:jc w:val="center"/>
        <w:rPr>
          <w:b/>
          <w:lang w:val="fr-CA"/>
        </w:rPr>
      </w:pPr>
      <w:r w:rsidRPr="005D27BB">
        <w:rPr>
          <w:b/>
          <w:lang w:val="fr-CA"/>
        </w:rPr>
        <w:t>PROCHAIN</w:t>
      </w:r>
      <w:r w:rsidR="00E738B3" w:rsidRPr="005D27BB">
        <w:rPr>
          <w:b/>
          <w:lang w:val="fr-CA"/>
        </w:rPr>
        <w:t>S</w:t>
      </w:r>
      <w:r w:rsidRPr="005D27BB">
        <w:rPr>
          <w:b/>
          <w:lang w:val="fr-CA"/>
        </w:rPr>
        <w:t xml:space="preserve"> JUGEMENT</w:t>
      </w:r>
      <w:r w:rsidR="00E738B3" w:rsidRPr="005D27BB">
        <w:rPr>
          <w:b/>
          <w:lang w:val="fr-CA"/>
        </w:rPr>
        <w:t>S</w:t>
      </w:r>
      <w:r w:rsidR="00455BB9" w:rsidRPr="005D27BB">
        <w:rPr>
          <w:b/>
          <w:lang w:val="fr-CA"/>
        </w:rPr>
        <w:t xml:space="preserve"> SUR APPEL</w:t>
      </w:r>
      <w:r w:rsidR="00EE75B1" w:rsidRPr="005D27BB">
        <w:rPr>
          <w:b/>
          <w:lang w:val="fr-CA"/>
        </w:rPr>
        <w:t>S</w:t>
      </w:r>
    </w:p>
    <w:p w:rsidR="001335A1" w:rsidRPr="005D27BB" w:rsidRDefault="001335A1" w:rsidP="001335A1">
      <w:pPr>
        <w:widowControl w:val="0"/>
        <w:rPr>
          <w:lang w:val="fr-CA"/>
        </w:rPr>
      </w:pPr>
    </w:p>
    <w:p w:rsidR="00EC79B0" w:rsidRPr="00C50BF1" w:rsidRDefault="00EC79B0" w:rsidP="00EC79B0">
      <w:pPr>
        <w:widowControl w:val="0"/>
        <w:rPr>
          <w:b/>
          <w:lang w:val="fr-CA"/>
        </w:rPr>
      </w:pPr>
      <w:r w:rsidRPr="00C50BF1">
        <w:rPr>
          <w:b/>
          <w:lang w:val="fr-CA"/>
        </w:rPr>
        <w:t xml:space="preserve">Le </w:t>
      </w:r>
      <w:r w:rsidR="00793A6C" w:rsidRPr="00C50BF1">
        <w:rPr>
          <w:b/>
          <w:lang w:val="fr-CA"/>
        </w:rPr>
        <w:t>18</w:t>
      </w:r>
      <w:r w:rsidR="004E605A" w:rsidRPr="00C50BF1">
        <w:rPr>
          <w:b/>
          <w:lang w:val="fr-CA"/>
        </w:rPr>
        <w:t xml:space="preserve"> </w:t>
      </w:r>
      <w:r w:rsidR="00C86395" w:rsidRPr="00C50BF1">
        <w:rPr>
          <w:b/>
          <w:lang w:val="fr-CA"/>
        </w:rPr>
        <w:t>jui</w:t>
      </w:r>
      <w:r w:rsidR="007F25C1" w:rsidRPr="00C50BF1">
        <w:rPr>
          <w:b/>
          <w:lang w:val="fr-CA"/>
        </w:rPr>
        <w:t>llet</w:t>
      </w:r>
      <w:r w:rsidR="00C86395" w:rsidRPr="00C50BF1">
        <w:rPr>
          <w:b/>
          <w:lang w:val="fr-CA"/>
        </w:rPr>
        <w:t xml:space="preserve"> </w:t>
      </w:r>
      <w:r w:rsidR="0086609D" w:rsidRPr="00C50BF1">
        <w:rPr>
          <w:b/>
          <w:lang w:val="fr-CA"/>
        </w:rPr>
        <w:t>201</w:t>
      </w:r>
      <w:r w:rsidR="006E5414" w:rsidRPr="00C50BF1">
        <w:rPr>
          <w:b/>
          <w:lang w:val="fr-CA"/>
        </w:rPr>
        <w:t>6</w:t>
      </w:r>
    </w:p>
    <w:p w:rsidR="00EC79B0" w:rsidRPr="005D27BB" w:rsidRDefault="00EC79B0" w:rsidP="00EC79B0">
      <w:pPr>
        <w:widowControl w:val="0"/>
        <w:rPr>
          <w:b/>
          <w:lang w:val="fr-CA"/>
        </w:rPr>
      </w:pPr>
      <w:r w:rsidRPr="00C50BF1">
        <w:rPr>
          <w:b/>
          <w:lang w:val="fr-CA"/>
        </w:rPr>
        <w:t>Pour diffusion immédiate</w:t>
      </w:r>
    </w:p>
    <w:p w:rsidR="00EC79B0" w:rsidRPr="005D27BB" w:rsidRDefault="00EC79B0" w:rsidP="00EC79B0">
      <w:pPr>
        <w:widowControl w:val="0"/>
        <w:rPr>
          <w:b/>
          <w:lang w:val="fr-CA"/>
        </w:rPr>
      </w:pPr>
    </w:p>
    <w:p w:rsidR="007440A4" w:rsidRPr="005D27BB" w:rsidRDefault="007440A4" w:rsidP="007440A4">
      <w:pPr>
        <w:widowControl w:val="0"/>
        <w:rPr>
          <w:lang w:val="fr-CA"/>
        </w:rPr>
      </w:pPr>
      <w:r w:rsidRPr="005D27BB">
        <w:rPr>
          <w:b/>
          <w:lang w:val="fr-CA"/>
        </w:rPr>
        <w:t>OTTAWA</w:t>
      </w:r>
      <w:r w:rsidRPr="005D27BB">
        <w:rPr>
          <w:lang w:val="fr-CA"/>
        </w:rPr>
        <w:t xml:space="preserve"> – La Cour suprême du Canada annonce que jugement</w:t>
      </w:r>
      <w:r w:rsidR="00434C8B" w:rsidRPr="005D27BB">
        <w:rPr>
          <w:lang w:val="fr-CA"/>
        </w:rPr>
        <w:t>s</w:t>
      </w:r>
      <w:r w:rsidRPr="005D27BB">
        <w:rPr>
          <w:lang w:val="fr-CA"/>
        </w:rPr>
        <w:t xml:space="preserve"> ser</w:t>
      </w:r>
      <w:r w:rsidR="00434C8B" w:rsidRPr="005D27BB">
        <w:rPr>
          <w:lang w:val="fr-CA"/>
        </w:rPr>
        <w:t>ont</w:t>
      </w:r>
      <w:r w:rsidRPr="005D27BB">
        <w:rPr>
          <w:lang w:val="fr-CA"/>
        </w:rPr>
        <w:t xml:space="preserve"> rendu</w:t>
      </w:r>
      <w:r w:rsidR="00434C8B" w:rsidRPr="005D27BB">
        <w:rPr>
          <w:lang w:val="fr-CA"/>
        </w:rPr>
        <w:t>s</w:t>
      </w:r>
      <w:r w:rsidRPr="005D27BB">
        <w:rPr>
          <w:lang w:val="fr-CA"/>
        </w:rPr>
        <w:t xml:space="preserve"> dans les appels suivants </w:t>
      </w:r>
      <w:r w:rsidR="00833B00" w:rsidRPr="005D27BB">
        <w:rPr>
          <w:lang w:val="fr-CA"/>
        </w:rPr>
        <w:t xml:space="preserve">le </w:t>
      </w:r>
      <w:r w:rsidRPr="005D27BB">
        <w:rPr>
          <w:lang w:val="fr-CA"/>
        </w:rPr>
        <w:t xml:space="preserve">vendredi </w:t>
      </w:r>
      <w:r w:rsidR="00793A6C">
        <w:rPr>
          <w:lang w:val="fr-CA"/>
        </w:rPr>
        <w:t>22</w:t>
      </w:r>
      <w:r w:rsidRPr="005D27BB">
        <w:rPr>
          <w:lang w:val="fr-CA"/>
        </w:rPr>
        <w:t xml:space="preserve"> jui</w:t>
      </w:r>
      <w:r w:rsidR="00833B00" w:rsidRPr="005D27BB">
        <w:rPr>
          <w:lang w:val="fr-CA"/>
        </w:rPr>
        <w:t>llet</w:t>
      </w:r>
      <w:r w:rsidRPr="005D27BB">
        <w:rPr>
          <w:lang w:val="fr-CA"/>
        </w:rPr>
        <w:t xml:space="preserve"> 2016, à 9 h 45 HAE.  Cette liste est sujette à modifications.</w:t>
      </w:r>
    </w:p>
    <w:p w:rsidR="001335A1" w:rsidRPr="005D27BB" w:rsidRDefault="001335A1" w:rsidP="001335A1">
      <w:pPr>
        <w:widowControl w:val="0"/>
        <w:rPr>
          <w:sz w:val="20"/>
          <w:lang w:val="fr-CA"/>
        </w:rPr>
      </w:pPr>
    </w:p>
    <w:p w:rsidR="001335A1" w:rsidRPr="005D27BB" w:rsidRDefault="005C7A4F" w:rsidP="001335A1">
      <w:pPr>
        <w:widowControl w:val="0"/>
        <w:rPr>
          <w:sz w:val="20"/>
          <w:lang w:val="fr-CA"/>
        </w:rPr>
      </w:pPr>
      <w:r w:rsidRPr="005D27BB">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5D27BB" w:rsidRDefault="00340C6D" w:rsidP="00340C6D">
      <w:pPr>
        <w:jc w:val="both"/>
        <w:rPr>
          <w:bCs/>
          <w:lang w:val="fr-CA"/>
        </w:rPr>
      </w:pPr>
    </w:p>
    <w:p w:rsidR="00486701" w:rsidRPr="005D27BB" w:rsidRDefault="00B1057A" w:rsidP="00340C6D">
      <w:pPr>
        <w:jc w:val="both"/>
      </w:pPr>
      <w:r>
        <w:rPr>
          <w:i/>
        </w:rPr>
        <w:t>Her Majesty the Queen</w:t>
      </w:r>
      <w:r w:rsidR="00E738B3" w:rsidRPr="005D27BB">
        <w:rPr>
          <w:i/>
        </w:rPr>
        <w:t xml:space="preserve"> v. </w:t>
      </w:r>
      <w:r>
        <w:rPr>
          <w:i/>
        </w:rPr>
        <w:t xml:space="preserve">Ordinary Seaman </w:t>
      </w:r>
      <w:proofErr w:type="spellStart"/>
      <w:r>
        <w:rPr>
          <w:i/>
        </w:rPr>
        <w:t>Cawthorne</w:t>
      </w:r>
      <w:proofErr w:type="spellEnd"/>
      <w:r w:rsidR="009F18D7" w:rsidRPr="005D27BB">
        <w:t xml:space="preserve"> (</w:t>
      </w:r>
      <w:r w:rsidR="00756F46" w:rsidRPr="005D27BB">
        <w:t>C</w:t>
      </w:r>
      <w:r>
        <w:t>.M.A.C</w:t>
      </w:r>
      <w:r w:rsidR="009F18D7" w:rsidRPr="005D27BB">
        <w:t xml:space="preserve">.) </w:t>
      </w:r>
      <w:r w:rsidR="00253698" w:rsidRPr="005D27BB">
        <w:t>(</w:t>
      </w:r>
      <w:hyperlink r:id="rId7" w:history="1">
        <w:r w:rsidR="00253698" w:rsidRPr="005D27BB">
          <w:rPr>
            <w:rStyle w:val="Hyperlink"/>
          </w:rPr>
          <w:t>3</w:t>
        </w:r>
        <w:r w:rsidR="00C86395" w:rsidRPr="005D27BB">
          <w:rPr>
            <w:rStyle w:val="Hyperlink"/>
          </w:rPr>
          <w:t>6</w:t>
        </w:r>
        <w:r>
          <w:rPr>
            <w:rStyle w:val="Hyperlink"/>
          </w:rPr>
          <w:t>46</w:t>
        </w:r>
        <w:r w:rsidR="00833B00" w:rsidRPr="005D27BB">
          <w:rPr>
            <w:rStyle w:val="Hyperlink"/>
          </w:rPr>
          <w:t>6</w:t>
        </w:r>
      </w:hyperlink>
      <w:r w:rsidR="00253698" w:rsidRPr="005D27BB">
        <w:t>)</w:t>
      </w:r>
    </w:p>
    <w:p w:rsidR="009F18D7" w:rsidRPr="005D27BB" w:rsidRDefault="009F18D7" w:rsidP="00340C6D">
      <w:pPr>
        <w:jc w:val="both"/>
      </w:pPr>
    </w:p>
    <w:p w:rsidR="00824336" w:rsidRPr="005D27BB" w:rsidRDefault="00824336" w:rsidP="00824336">
      <w:pPr>
        <w:jc w:val="both"/>
        <w:rPr>
          <w:szCs w:val="24"/>
        </w:rPr>
      </w:pPr>
      <w:r>
        <w:rPr>
          <w:i/>
          <w:szCs w:val="24"/>
        </w:rPr>
        <w:t xml:space="preserve">Sa </w:t>
      </w:r>
      <w:proofErr w:type="spellStart"/>
      <w:r>
        <w:rPr>
          <w:i/>
          <w:szCs w:val="24"/>
        </w:rPr>
        <w:t>Majesté</w:t>
      </w:r>
      <w:proofErr w:type="spellEnd"/>
      <w:r>
        <w:rPr>
          <w:i/>
          <w:szCs w:val="24"/>
        </w:rPr>
        <w:t xml:space="preserve"> la</w:t>
      </w:r>
      <w:r w:rsidRPr="005D27BB">
        <w:rPr>
          <w:i/>
          <w:szCs w:val="24"/>
        </w:rPr>
        <w:t xml:space="preserve"> </w:t>
      </w:r>
      <w:proofErr w:type="spellStart"/>
      <w:r>
        <w:rPr>
          <w:i/>
          <w:szCs w:val="24"/>
        </w:rPr>
        <w:t>Reine</w:t>
      </w:r>
      <w:proofErr w:type="spellEnd"/>
      <w:r w:rsidRPr="005D27BB">
        <w:rPr>
          <w:i/>
          <w:szCs w:val="24"/>
        </w:rPr>
        <w:t xml:space="preserve"> </w:t>
      </w:r>
      <w:r>
        <w:rPr>
          <w:i/>
          <w:szCs w:val="24"/>
        </w:rPr>
        <w:t>c</w:t>
      </w:r>
      <w:r w:rsidRPr="005D27BB">
        <w:rPr>
          <w:i/>
          <w:szCs w:val="24"/>
        </w:rPr>
        <w:t xml:space="preserve">. </w:t>
      </w:r>
      <w:proofErr w:type="spellStart"/>
      <w:r>
        <w:rPr>
          <w:i/>
          <w:szCs w:val="24"/>
        </w:rPr>
        <w:t>Adjudant</w:t>
      </w:r>
      <w:proofErr w:type="spellEnd"/>
      <w:r>
        <w:rPr>
          <w:i/>
          <w:szCs w:val="24"/>
        </w:rPr>
        <w:t xml:space="preserve"> J.G.A. Gagnon </w:t>
      </w:r>
      <w:proofErr w:type="gramStart"/>
      <w:r>
        <w:rPr>
          <w:i/>
          <w:szCs w:val="24"/>
        </w:rPr>
        <w:t>et</w:t>
      </w:r>
      <w:proofErr w:type="gramEnd"/>
      <w:r>
        <w:rPr>
          <w:i/>
          <w:szCs w:val="24"/>
        </w:rPr>
        <w:t xml:space="preserve"> </w:t>
      </w:r>
      <w:proofErr w:type="spellStart"/>
      <w:r>
        <w:rPr>
          <w:i/>
          <w:szCs w:val="24"/>
        </w:rPr>
        <w:t>autre</w:t>
      </w:r>
      <w:proofErr w:type="spellEnd"/>
      <w:r>
        <w:rPr>
          <w:i/>
          <w:szCs w:val="24"/>
        </w:rPr>
        <w:t xml:space="preserve"> </w:t>
      </w:r>
      <w:r w:rsidRPr="005D27BB">
        <w:rPr>
          <w:szCs w:val="24"/>
        </w:rPr>
        <w:t>(</w:t>
      </w:r>
      <w:r>
        <w:rPr>
          <w:szCs w:val="24"/>
        </w:rPr>
        <w:t>C</w:t>
      </w:r>
      <w:r w:rsidRPr="005D27BB">
        <w:rPr>
          <w:szCs w:val="24"/>
        </w:rPr>
        <w:t>.</w:t>
      </w:r>
      <w:r>
        <w:rPr>
          <w:szCs w:val="24"/>
        </w:rPr>
        <w:t>A.C.M.</w:t>
      </w:r>
      <w:r w:rsidRPr="005D27BB">
        <w:rPr>
          <w:szCs w:val="24"/>
        </w:rPr>
        <w:t>) (</w:t>
      </w:r>
      <w:hyperlink r:id="rId8" w:history="1">
        <w:r w:rsidRPr="005D27BB">
          <w:rPr>
            <w:rStyle w:val="Hyperlink"/>
            <w:szCs w:val="24"/>
          </w:rPr>
          <w:t>36</w:t>
        </w:r>
        <w:r>
          <w:rPr>
            <w:rStyle w:val="Hyperlink"/>
            <w:szCs w:val="24"/>
          </w:rPr>
          <w:t>844</w:t>
        </w:r>
      </w:hyperlink>
      <w:r w:rsidRPr="005D27BB">
        <w:rPr>
          <w:szCs w:val="24"/>
        </w:rPr>
        <w:t>)</w:t>
      </w:r>
    </w:p>
    <w:p w:rsidR="00E738B3" w:rsidRPr="005D27BB" w:rsidRDefault="00E738B3" w:rsidP="00340C6D">
      <w:pPr>
        <w:jc w:val="both"/>
        <w:rPr>
          <w:szCs w:val="24"/>
        </w:rPr>
      </w:pPr>
    </w:p>
    <w:p w:rsidR="00E738B3" w:rsidRPr="00277DDF" w:rsidRDefault="00E738B3" w:rsidP="00340C6D">
      <w:pPr>
        <w:jc w:val="both"/>
        <w:rPr>
          <w:szCs w:val="24"/>
        </w:rPr>
      </w:pPr>
    </w:p>
    <w:bookmarkStart w:id="0" w:name="1"/>
    <w:bookmarkEnd w:id="0"/>
    <w:p w:rsidR="00037041" w:rsidRPr="00037041" w:rsidRDefault="00037041" w:rsidP="007B7BF4">
      <w:pPr>
        <w:widowControl w:val="0"/>
        <w:ind w:left="720" w:hanging="720"/>
        <w:jc w:val="both"/>
        <w:rPr>
          <w:sz w:val="20"/>
          <w:lang w:val="en-CA"/>
        </w:rPr>
      </w:pPr>
      <w:r w:rsidRPr="00037041">
        <w:rPr>
          <w:b/>
          <w:sz w:val="20"/>
          <w:lang w:val="en-CA"/>
        </w:rPr>
        <w:fldChar w:fldCharType="begin"/>
      </w:r>
      <w:r w:rsidRPr="00037041">
        <w:rPr>
          <w:b/>
          <w:sz w:val="20"/>
        </w:rPr>
        <w:instrText xml:space="preserve"> SEQ CHAPTER \h \r 1</w:instrText>
      </w:r>
      <w:r w:rsidRPr="00037041">
        <w:rPr>
          <w:b/>
          <w:sz w:val="20"/>
        </w:rPr>
        <w:fldChar w:fldCharType="end"/>
      </w:r>
      <w:r w:rsidRPr="00037041">
        <w:rPr>
          <w:b/>
          <w:sz w:val="20"/>
          <w:lang w:val="en-CA"/>
        </w:rPr>
        <w:t>36466</w:t>
      </w:r>
      <w:r w:rsidRPr="00037041">
        <w:rPr>
          <w:sz w:val="20"/>
          <w:lang w:val="en-CA"/>
        </w:rPr>
        <w:tab/>
      </w:r>
      <w:bookmarkStart w:id="1" w:name="3"/>
      <w:bookmarkEnd w:id="1"/>
      <w:r w:rsidRPr="00037041">
        <w:rPr>
          <w:b/>
          <w:i/>
          <w:sz w:val="20"/>
          <w:lang w:val="en-CA"/>
        </w:rPr>
        <w:t xml:space="preserve">Her Majesty the Queen v. Ordinary Seaman W.K. </w:t>
      </w:r>
      <w:proofErr w:type="spellStart"/>
      <w:r w:rsidRPr="00037041">
        <w:rPr>
          <w:b/>
          <w:i/>
          <w:sz w:val="20"/>
          <w:lang w:val="en-CA"/>
        </w:rPr>
        <w:t>Cawthorne</w:t>
      </w:r>
      <w:proofErr w:type="spellEnd"/>
    </w:p>
    <w:p w:rsidR="00037041" w:rsidRPr="00037041" w:rsidRDefault="00037041">
      <w:pPr>
        <w:widowControl w:val="0"/>
        <w:jc w:val="both"/>
        <w:rPr>
          <w:sz w:val="20"/>
          <w:lang w:val="en-CA"/>
        </w:rPr>
      </w:pPr>
      <w:r>
        <w:rPr>
          <w:sz w:val="20"/>
          <w:lang w:val="en-CA"/>
        </w:rPr>
        <w:tab/>
      </w:r>
      <w:r w:rsidRPr="00037041">
        <w:rPr>
          <w:sz w:val="20"/>
          <w:lang w:val="en-CA"/>
        </w:rPr>
        <w:tab/>
        <w:t>(CMAC) (Criminal) (As of Right)</w:t>
      </w:r>
      <w:bookmarkStart w:id="2" w:name="_GoBack"/>
      <w:bookmarkEnd w:id="2"/>
    </w:p>
    <w:p w:rsidR="00037041" w:rsidRPr="00037041" w:rsidRDefault="00037041">
      <w:pPr>
        <w:widowControl w:val="0"/>
        <w:jc w:val="both"/>
        <w:rPr>
          <w:sz w:val="20"/>
          <w:lang w:val="en-CA"/>
        </w:rPr>
      </w:pPr>
      <w:bookmarkStart w:id="3" w:name="QuickMark_1"/>
      <w:bookmarkEnd w:id="3"/>
    </w:p>
    <w:p w:rsidR="00037041" w:rsidRPr="00037041" w:rsidRDefault="00037041">
      <w:pPr>
        <w:widowControl w:val="0"/>
        <w:jc w:val="both"/>
        <w:rPr>
          <w:sz w:val="20"/>
          <w:lang w:val="en-CA"/>
        </w:rPr>
      </w:pPr>
      <w:r w:rsidRPr="00037041">
        <w:rPr>
          <w:sz w:val="20"/>
          <w:lang w:val="en-CA"/>
        </w:rPr>
        <w:t>Criminal law - Accessing child pornography - Possession of child pornography - Mistrials - Whether the military judge erred when he exercised his discretion to dismiss the motion for mistrial.</w:t>
      </w:r>
    </w:p>
    <w:p w:rsidR="00037041" w:rsidRPr="00037041" w:rsidRDefault="00037041">
      <w:pPr>
        <w:widowControl w:val="0"/>
        <w:jc w:val="both"/>
        <w:rPr>
          <w:sz w:val="20"/>
          <w:lang w:val="en-CA"/>
        </w:rPr>
      </w:pPr>
    </w:p>
    <w:p w:rsidR="00037041" w:rsidRDefault="00037041">
      <w:pPr>
        <w:widowControl w:val="0"/>
        <w:jc w:val="both"/>
        <w:rPr>
          <w:sz w:val="20"/>
          <w:lang w:val="en-CA"/>
        </w:rPr>
      </w:pPr>
      <w:r w:rsidRPr="00037041">
        <w:rPr>
          <w:sz w:val="20"/>
          <w:lang w:val="en-CA"/>
        </w:rPr>
        <w:t xml:space="preserve">The respondent was convicted by a general court martial of possession of child pornography and accessing child pornography. The pornography was discovered on the respondent’s cellular phone by an individual who had found the phone and who had accessed its content in an attempt to find its owner. The respondent admitted to possessing the pornography, but denied that it was child pornography. The main issue at trial was whether the respondent knowingly accessed and possessed child pornography. The respondent appealed his conviction arguing, among other things, that the military judge erred by failing to grant a mistrial after certain inadmissible evidence was given by a Crown witness. A majority of the Court Martial Appeal Court allowed the appeal and ordered a new trial. </w:t>
      </w:r>
      <w:proofErr w:type="spellStart"/>
      <w:r w:rsidRPr="00037041">
        <w:rPr>
          <w:sz w:val="20"/>
          <w:lang w:val="en-CA"/>
        </w:rPr>
        <w:t>Veit</w:t>
      </w:r>
      <w:proofErr w:type="spellEnd"/>
      <w:r w:rsidRPr="00037041">
        <w:rPr>
          <w:sz w:val="20"/>
          <w:lang w:val="en-CA"/>
        </w:rPr>
        <w:t xml:space="preserve"> J.A., dissenting, would have dismissed the appeal.</w:t>
      </w:r>
    </w:p>
    <w:p w:rsidR="00037041" w:rsidRDefault="00037041">
      <w:pPr>
        <w:widowControl w:val="0"/>
        <w:jc w:val="both"/>
        <w:rPr>
          <w:sz w:val="20"/>
          <w:lang w:val="en-CA"/>
        </w:rPr>
      </w:pPr>
    </w:p>
    <w:p w:rsidR="00037041" w:rsidRPr="00037041" w:rsidRDefault="00037041">
      <w:pPr>
        <w:widowControl w:val="0"/>
        <w:jc w:val="both"/>
        <w:rPr>
          <w:sz w:val="20"/>
          <w:lang w:val="en-CA"/>
        </w:rPr>
      </w:pPr>
    </w:p>
    <w:p w:rsidR="00037041" w:rsidRPr="00037041" w:rsidRDefault="00037041" w:rsidP="0054539B">
      <w:pPr>
        <w:widowControl w:val="0"/>
        <w:ind w:left="720" w:hanging="720"/>
        <w:jc w:val="both"/>
        <w:rPr>
          <w:sz w:val="20"/>
          <w:lang w:val="fr-CA"/>
        </w:rPr>
      </w:pPr>
      <w:r w:rsidRPr="00037041">
        <w:rPr>
          <w:b/>
          <w:sz w:val="20"/>
          <w:lang w:val="fr-CA"/>
        </w:rPr>
        <w:fldChar w:fldCharType="begin"/>
      </w:r>
      <w:r w:rsidRPr="00037041">
        <w:rPr>
          <w:b/>
          <w:sz w:val="20"/>
          <w:lang w:val="fr-CA"/>
        </w:rPr>
        <w:instrText xml:space="preserve"> SEQ CHAPTER \h \r 1</w:instrText>
      </w:r>
      <w:r w:rsidRPr="00037041">
        <w:rPr>
          <w:b/>
          <w:sz w:val="20"/>
          <w:lang w:val="fr-CA"/>
        </w:rPr>
        <w:fldChar w:fldCharType="end"/>
      </w:r>
      <w:r w:rsidRPr="00037041">
        <w:rPr>
          <w:b/>
          <w:sz w:val="20"/>
          <w:lang w:val="fr-CA"/>
        </w:rPr>
        <w:t>36466</w:t>
      </w:r>
      <w:r w:rsidRPr="00037041">
        <w:rPr>
          <w:sz w:val="20"/>
          <w:lang w:val="fr-CA"/>
        </w:rPr>
        <w:tab/>
      </w:r>
      <w:r w:rsidRPr="00037041">
        <w:rPr>
          <w:b/>
          <w:i/>
          <w:sz w:val="20"/>
          <w:lang w:val="fr-CA"/>
        </w:rPr>
        <w:t>Sa Majesté la Reine c. Matelot de 3</w:t>
      </w:r>
      <w:r w:rsidRPr="00037041">
        <w:rPr>
          <w:b/>
          <w:i/>
          <w:sz w:val="20"/>
          <w:vertAlign w:val="superscript"/>
          <w:lang w:val="fr-CA"/>
        </w:rPr>
        <w:t>e</w:t>
      </w:r>
      <w:r w:rsidRPr="00037041">
        <w:rPr>
          <w:b/>
          <w:i/>
          <w:sz w:val="20"/>
          <w:lang w:val="fr-CA"/>
        </w:rPr>
        <w:t xml:space="preserve"> classe W.K. Cawthorne</w:t>
      </w:r>
    </w:p>
    <w:p w:rsidR="00037041" w:rsidRPr="00037041" w:rsidRDefault="00037041" w:rsidP="0054539B">
      <w:pPr>
        <w:widowControl w:val="0"/>
        <w:jc w:val="both"/>
        <w:rPr>
          <w:sz w:val="20"/>
          <w:lang w:val="fr-CA"/>
        </w:rPr>
      </w:pPr>
      <w:r>
        <w:rPr>
          <w:sz w:val="20"/>
          <w:lang w:val="fr-CA"/>
        </w:rPr>
        <w:tab/>
      </w:r>
      <w:r w:rsidRPr="00037041">
        <w:rPr>
          <w:sz w:val="20"/>
          <w:lang w:val="fr-CA"/>
        </w:rPr>
        <w:tab/>
        <w:t>(CACM) (Criminelle) (De plein droit)</w:t>
      </w:r>
    </w:p>
    <w:p w:rsidR="00037041" w:rsidRPr="00037041" w:rsidRDefault="00037041" w:rsidP="0054539B">
      <w:pPr>
        <w:widowControl w:val="0"/>
        <w:jc w:val="both"/>
        <w:rPr>
          <w:sz w:val="20"/>
          <w:lang w:val="fr-CA"/>
        </w:rPr>
      </w:pPr>
    </w:p>
    <w:p w:rsidR="00037041" w:rsidRPr="00037041" w:rsidRDefault="00037041" w:rsidP="0054539B">
      <w:pPr>
        <w:widowControl w:val="0"/>
        <w:jc w:val="both"/>
        <w:rPr>
          <w:sz w:val="20"/>
          <w:lang w:val="fr-CA"/>
        </w:rPr>
      </w:pPr>
      <w:r w:rsidRPr="00037041">
        <w:rPr>
          <w:i/>
          <w:sz w:val="20"/>
          <w:lang w:val="fr-CA"/>
        </w:rPr>
        <w:t>Charte des droits et libertés</w:t>
      </w:r>
      <w:r w:rsidRPr="00037041">
        <w:rPr>
          <w:sz w:val="20"/>
          <w:lang w:val="fr-CA"/>
        </w:rPr>
        <w:t xml:space="preserve"> -Droit criminel - Procès nul - Indépendance du procureur - Le par. 245(2) de la </w:t>
      </w:r>
      <w:r w:rsidRPr="00037041">
        <w:rPr>
          <w:i/>
          <w:sz w:val="20"/>
          <w:lang w:val="fr-CA"/>
        </w:rPr>
        <w:t>Loi sur la défense nationale</w:t>
      </w:r>
      <w:r w:rsidRPr="00037041">
        <w:rPr>
          <w:sz w:val="20"/>
          <w:lang w:val="fr-CA"/>
        </w:rPr>
        <w:t xml:space="preserve">, L.R.C. 1985, c. N-5, enfreint-il l’art. 7 ou l’al. 11d) de la </w:t>
      </w:r>
      <w:r w:rsidRPr="00037041">
        <w:rPr>
          <w:i/>
          <w:sz w:val="20"/>
          <w:lang w:val="fr-CA"/>
        </w:rPr>
        <w:t>Charte canadienne des droits et libertés</w:t>
      </w:r>
      <w:r w:rsidRPr="00037041">
        <w:rPr>
          <w:sz w:val="20"/>
          <w:lang w:val="fr-CA"/>
        </w:rPr>
        <w:t xml:space="preserve">? Dans l’affirmative, s’agit-il d’une restriction apportée dans des limites raisonnables et dont la justification peut se démontrer dans le cadre d’une société libre et démocratique suivant l’article premier de la </w:t>
      </w:r>
      <w:r w:rsidRPr="00037041">
        <w:rPr>
          <w:i/>
          <w:sz w:val="20"/>
          <w:lang w:val="fr-CA"/>
        </w:rPr>
        <w:t>Charte</w:t>
      </w:r>
      <w:r w:rsidRPr="00037041">
        <w:rPr>
          <w:sz w:val="20"/>
          <w:lang w:val="fr-CA"/>
        </w:rPr>
        <w:t xml:space="preserve">? </w:t>
      </w:r>
    </w:p>
    <w:p w:rsidR="00037041" w:rsidRPr="00037041" w:rsidRDefault="00037041" w:rsidP="0054539B">
      <w:pPr>
        <w:widowControl w:val="0"/>
        <w:jc w:val="both"/>
        <w:rPr>
          <w:sz w:val="20"/>
          <w:lang w:val="fr-CA"/>
        </w:rPr>
      </w:pPr>
      <w:r w:rsidRPr="00037041">
        <w:rPr>
          <w:sz w:val="20"/>
          <w:lang w:val="fr-CA"/>
        </w:rPr>
        <w:lastRenderedPageBreak/>
        <w:t>La décision de rejeter la requête en annulation du procès constituait-elle une erreur de droit?</w:t>
      </w:r>
    </w:p>
    <w:p w:rsidR="00037041" w:rsidRPr="00037041" w:rsidRDefault="00037041" w:rsidP="0054539B">
      <w:pPr>
        <w:widowControl w:val="0"/>
        <w:jc w:val="both"/>
        <w:rPr>
          <w:sz w:val="20"/>
          <w:lang w:val="fr-CA"/>
        </w:rPr>
      </w:pPr>
    </w:p>
    <w:p w:rsidR="00037041" w:rsidRPr="00037041" w:rsidRDefault="00037041" w:rsidP="0054539B">
      <w:pPr>
        <w:widowControl w:val="0"/>
        <w:jc w:val="both"/>
        <w:rPr>
          <w:sz w:val="20"/>
          <w:lang w:val="fr-CA"/>
        </w:rPr>
      </w:pPr>
      <w:r w:rsidRPr="00037041">
        <w:rPr>
          <w:sz w:val="20"/>
          <w:lang w:val="fr-CA"/>
        </w:rPr>
        <w:t>Une cour martiale générale a déclaré l’intimé coupable de possession de pornographie juvénile et d’accès à la pornographie juvénile. La pornographie a été découverte sur le téléphone cellulaire de l’intimé par quelqu’un qui avait trouvé le téléphone et qui avait accédé à son contenu pour tenter d’en retrouver le propriétaire. L’intimé a admis avoir eu de la pornographie en sa possession, mais il a nié qu’il s’agissait de pornographie juvénile. La principale question en litige au procès était de savoir si l’intimé avait sciemment accédé à de la pornographie juvénile et eu de la pornographie juvénile en sa possession. L’intimé a interjeté appel de sa déclaration de culpabilité, plaidant notamment que le juge militaire avait commis une erreur en ne prononçant pas la nullité du procès après qu’un témoin du ministère public eut donné certains éléments de preuve inadmissibles. Les juges majoritaires de la Cour d’appel de la cour martiale ont accueilli l’appel et ordonné un nouveau procès. La juge Veit, dissidente, aurait rejeté l’appel.</w:t>
      </w:r>
    </w:p>
    <w:p w:rsidR="00037041" w:rsidRPr="00037041" w:rsidRDefault="00037041" w:rsidP="0054539B">
      <w:pPr>
        <w:widowControl w:val="0"/>
        <w:jc w:val="both"/>
        <w:rPr>
          <w:sz w:val="20"/>
          <w:lang w:val="fr-CA"/>
        </w:rPr>
      </w:pPr>
    </w:p>
    <w:p w:rsidR="00037041" w:rsidRPr="00037041" w:rsidRDefault="00037041" w:rsidP="0054539B">
      <w:pPr>
        <w:widowControl w:val="0"/>
        <w:jc w:val="both"/>
        <w:rPr>
          <w:sz w:val="20"/>
          <w:lang w:val="fr-CA"/>
        </w:rPr>
      </w:pPr>
      <w:r w:rsidRPr="00037041">
        <w:rPr>
          <w:sz w:val="20"/>
          <w:lang w:val="fr-CA"/>
        </w:rPr>
        <w:t xml:space="preserve">L’intimé a déposé une requête en annulation de l’avis d’appel au motif que le par. 245(2) de la </w:t>
      </w:r>
      <w:r w:rsidRPr="00037041">
        <w:rPr>
          <w:i/>
          <w:sz w:val="20"/>
          <w:lang w:val="fr-CA"/>
        </w:rPr>
        <w:t>Loi sur la défense nationale</w:t>
      </w:r>
      <w:r w:rsidRPr="00037041">
        <w:rPr>
          <w:sz w:val="20"/>
          <w:lang w:val="fr-CA"/>
        </w:rPr>
        <w:t xml:space="preserve"> enfreint l’art. 7 et l’al. 11d) de la </w:t>
      </w:r>
      <w:r w:rsidRPr="00037041">
        <w:rPr>
          <w:i/>
          <w:sz w:val="20"/>
          <w:lang w:val="fr-CA"/>
        </w:rPr>
        <w:t>Charte</w:t>
      </w:r>
      <w:r w:rsidRPr="00037041">
        <w:rPr>
          <w:sz w:val="20"/>
          <w:lang w:val="fr-CA"/>
        </w:rPr>
        <w:t>. Les questions constitutionnelles sont fondées sur l’argument selon lequel l’art. 245 porte atteinte au droit de l’accusé à un procès par un procureur indépendant, devant un tribunal indépendant, étant donné que le droit d’appel est conféré au ministre de la Défense nationale ou à l’avocat mandaté par le ministre.</w:t>
      </w:r>
    </w:p>
    <w:p w:rsidR="009334B7" w:rsidRPr="005C6A52" w:rsidRDefault="009334B7" w:rsidP="00340C6D">
      <w:pPr>
        <w:jc w:val="both"/>
        <w:rPr>
          <w:sz w:val="20"/>
        </w:rPr>
      </w:pPr>
    </w:p>
    <w:p w:rsidR="00037041" w:rsidRPr="00037041" w:rsidRDefault="00037041" w:rsidP="00340C6D">
      <w:pPr>
        <w:jc w:val="both"/>
        <w:rPr>
          <w:sz w:val="20"/>
        </w:rPr>
      </w:pPr>
    </w:p>
    <w:p w:rsidR="00037041" w:rsidRPr="00037041" w:rsidRDefault="00037041" w:rsidP="00C97D97">
      <w:pPr>
        <w:pStyle w:val="SCCLsocParty"/>
        <w:ind w:left="709" w:hanging="709"/>
        <w:rPr>
          <w:b/>
          <w:sz w:val="20"/>
          <w:szCs w:val="20"/>
          <w:lang w:val="en-CA"/>
        </w:rPr>
      </w:pPr>
      <w:r w:rsidRPr="00037041">
        <w:rPr>
          <w:b/>
          <w:i w:val="0"/>
          <w:sz w:val="20"/>
          <w:szCs w:val="20"/>
          <w:lang w:val="en-CA"/>
        </w:rPr>
        <w:fldChar w:fldCharType="begin"/>
      </w:r>
      <w:r w:rsidRPr="00037041">
        <w:rPr>
          <w:b/>
          <w:i w:val="0"/>
          <w:sz w:val="20"/>
          <w:szCs w:val="20"/>
          <w:lang w:val="en-CA"/>
        </w:rPr>
        <w:instrText xml:space="preserve"> SEQ CHAPTER \h \r 1</w:instrText>
      </w:r>
      <w:r w:rsidRPr="00037041">
        <w:rPr>
          <w:b/>
          <w:i w:val="0"/>
          <w:sz w:val="20"/>
          <w:szCs w:val="20"/>
          <w:lang w:val="en-CA"/>
        </w:rPr>
        <w:fldChar w:fldCharType="end"/>
      </w:r>
      <w:r w:rsidRPr="00037041">
        <w:rPr>
          <w:b/>
          <w:i w:val="0"/>
          <w:sz w:val="20"/>
          <w:szCs w:val="20"/>
          <w:lang w:val="en-CA"/>
        </w:rPr>
        <w:t>36844</w:t>
      </w:r>
      <w:r w:rsidRPr="00037041">
        <w:rPr>
          <w:b/>
          <w:i w:val="0"/>
          <w:sz w:val="20"/>
          <w:szCs w:val="20"/>
          <w:lang w:val="en-CA"/>
        </w:rPr>
        <w:tab/>
      </w:r>
      <w:r w:rsidRPr="00037041">
        <w:rPr>
          <w:b/>
          <w:sz w:val="20"/>
          <w:szCs w:val="20"/>
          <w:lang w:val="en-CA"/>
        </w:rPr>
        <w:t>Her Majesty the Queen v. J.G.A. Gagnon - and - Her Majesty the Queen v. A.J.R. Thibault</w:t>
      </w:r>
    </w:p>
    <w:p w:rsidR="00037041" w:rsidRPr="00037041" w:rsidRDefault="00037041">
      <w:pPr>
        <w:widowControl w:val="0"/>
        <w:jc w:val="both"/>
        <w:rPr>
          <w:sz w:val="20"/>
          <w:lang w:val="en-CA"/>
        </w:rPr>
      </w:pPr>
      <w:r>
        <w:rPr>
          <w:sz w:val="20"/>
          <w:lang w:val="en-CA"/>
        </w:rPr>
        <w:tab/>
      </w:r>
      <w:r>
        <w:rPr>
          <w:sz w:val="20"/>
          <w:lang w:val="en-CA"/>
        </w:rPr>
        <w:tab/>
      </w:r>
      <w:r w:rsidRPr="00037041">
        <w:rPr>
          <w:sz w:val="20"/>
          <w:lang w:val="en-CA"/>
        </w:rPr>
        <w:t>(CMAC) (Criminal) (By Leave)</w:t>
      </w:r>
    </w:p>
    <w:p w:rsidR="00037041" w:rsidRPr="00037041" w:rsidRDefault="00037041">
      <w:pPr>
        <w:widowControl w:val="0"/>
        <w:jc w:val="both"/>
        <w:rPr>
          <w:sz w:val="20"/>
          <w:lang w:val="en-CA"/>
        </w:rPr>
      </w:pPr>
    </w:p>
    <w:p w:rsidR="00037041" w:rsidRPr="00037041" w:rsidRDefault="00037041" w:rsidP="005B277A">
      <w:pPr>
        <w:jc w:val="both"/>
        <w:rPr>
          <w:sz w:val="20"/>
          <w:lang w:val="en-CA"/>
        </w:rPr>
      </w:pPr>
      <w:r w:rsidRPr="00037041">
        <w:rPr>
          <w:i/>
          <w:sz w:val="20"/>
          <w:lang w:val="en-CA"/>
        </w:rPr>
        <w:t xml:space="preserve">Charter of Rights </w:t>
      </w:r>
      <w:r w:rsidRPr="00037041">
        <w:rPr>
          <w:sz w:val="20"/>
          <w:lang w:val="en-CA"/>
        </w:rPr>
        <w:t>- Fundamental justice - Prosecutorial independence - Appeals - Courts - Jurisdiction</w:t>
      </w:r>
      <w:r w:rsidRPr="00037041">
        <w:rPr>
          <w:i/>
          <w:sz w:val="20"/>
          <w:lang w:val="en-CA"/>
        </w:rPr>
        <w:t xml:space="preserve"> </w:t>
      </w:r>
      <w:r w:rsidRPr="00037041">
        <w:rPr>
          <w:sz w:val="20"/>
          <w:lang w:val="en-CA"/>
        </w:rPr>
        <w:t xml:space="preserve">- Judgments and orders - Stay of execution - Whether s. 230.1 of </w:t>
      </w:r>
      <w:r w:rsidRPr="00037041">
        <w:rPr>
          <w:i/>
          <w:sz w:val="20"/>
          <w:lang w:val="en-CA"/>
        </w:rPr>
        <w:t>National Defence Act</w:t>
      </w:r>
      <w:r w:rsidRPr="00037041">
        <w:rPr>
          <w:sz w:val="20"/>
          <w:lang w:val="en-CA"/>
        </w:rPr>
        <w:t xml:space="preserve">, R.S.C. 1985, c. N-5, infringes s. 7 of </w:t>
      </w:r>
      <w:r w:rsidRPr="00037041">
        <w:rPr>
          <w:i/>
          <w:sz w:val="20"/>
          <w:lang w:val="en-CA"/>
        </w:rPr>
        <w:t>Canadian Charter of Rights and Freedoms</w:t>
      </w:r>
      <w:r w:rsidRPr="00037041">
        <w:rPr>
          <w:sz w:val="20"/>
          <w:lang w:val="en-CA"/>
        </w:rPr>
        <w:t xml:space="preserve"> - If so, whether infringement is reasonable limit prescribed by law that can be demonstrably justified in free and democratic society under s. 1 of </w:t>
      </w:r>
      <w:r w:rsidRPr="00037041">
        <w:rPr>
          <w:i/>
          <w:sz w:val="20"/>
          <w:lang w:val="en-CA"/>
        </w:rPr>
        <w:t>Charter</w:t>
      </w:r>
      <w:r w:rsidRPr="00037041">
        <w:rPr>
          <w:sz w:val="20"/>
          <w:lang w:val="en-CA"/>
        </w:rPr>
        <w:t xml:space="preserve"> - Whether s. 230.1 of </w:t>
      </w:r>
      <w:r w:rsidRPr="00037041">
        <w:rPr>
          <w:i/>
          <w:sz w:val="20"/>
          <w:lang w:val="en-CA"/>
        </w:rPr>
        <w:t>National Defence Act</w:t>
      </w:r>
      <w:r w:rsidRPr="00037041">
        <w:rPr>
          <w:sz w:val="20"/>
          <w:lang w:val="en-CA"/>
        </w:rPr>
        <w:t xml:space="preserve"> infringes s. 11(</w:t>
      </w:r>
      <w:r w:rsidRPr="00037041">
        <w:rPr>
          <w:i/>
          <w:sz w:val="20"/>
          <w:lang w:val="en-CA"/>
        </w:rPr>
        <w:t>d</w:t>
      </w:r>
      <w:r w:rsidRPr="00037041">
        <w:rPr>
          <w:sz w:val="20"/>
          <w:lang w:val="en-CA"/>
        </w:rPr>
        <w:t xml:space="preserve">) of </w:t>
      </w:r>
      <w:r w:rsidRPr="00037041">
        <w:rPr>
          <w:i/>
          <w:sz w:val="20"/>
          <w:lang w:val="en-CA"/>
        </w:rPr>
        <w:t>Charter</w:t>
      </w:r>
      <w:r w:rsidRPr="00037041">
        <w:rPr>
          <w:sz w:val="20"/>
          <w:lang w:val="en-CA"/>
        </w:rPr>
        <w:t xml:space="preserve"> - If so, whether infringement is reasonable limit prescribed by law that can be demonstrably justified in free and democratic society under s. 1 of </w:t>
      </w:r>
      <w:r w:rsidRPr="00037041">
        <w:rPr>
          <w:i/>
          <w:sz w:val="20"/>
          <w:lang w:val="en-CA"/>
        </w:rPr>
        <w:t>Charter</w:t>
      </w:r>
      <w:r w:rsidRPr="00037041">
        <w:rPr>
          <w:sz w:val="20"/>
          <w:lang w:val="en-CA"/>
        </w:rPr>
        <w:t xml:space="preserve"> - Whether stay of execution of Court of Appeal’s declaration of invalidity should be ordered pending this Court’s decision on constitutional questions raised in this case.</w:t>
      </w:r>
    </w:p>
    <w:p w:rsidR="00037041" w:rsidRPr="00037041" w:rsidRDefault="00037041" w:rsidP="005B277A">
      <w:pPr>
        <w:jc w:val="both"/>
        <w:rPr>
          <w:sz w:val="20"/>
          <w:lang w:val="en-CA"/>
        </w:rPr>
      </w:pPr>
    </w:p>
    <w:p w:rsidR="00037041" w:rsidRDefault="00037041" w:rsidP="00661046">
      <w:pPr>
        <w:widowControl w:val="0"/>
        <w:jc w:val="both"/>
        <w:rPr>
          <w:sz w:val="20"/>
          <w:lang w:val="en-CA"/>
        </w:rPr>
      </w:pPr>
      <w:r w:rsidRPr="00037041">
        <w:rPr>
          <w:sz w:val="20"/>
          <w:lang w:val="en-CA"/>
        </w:rPr>
        <w:t xml:space="preserve">The two respondents, who were members of the Canadian Forces, were charged with sexual assault in two separate cases and were successful at trial. When the appellant appealed the verdicts, the respondents brought motions to quash and dismiss the appeals on the basis that s. 230.1 of the </w:t>
      </w:r>
      <w:r w:rsidRPr="00037041">
        <w:rPr>
          <w:i/>
          <w:sz w:val="20"/>
          <w:lang w:val="en-CA"/>
        </w:rPr>
        <w:t xml:space="preserve">National Defence Act </w:t>
      </w:r>
      <w:r w:rsidRPr="00037041">
        <w:rPr>
          <w:sz w:val="20"/>
          <w:lang w:val="en-CA"/>
        </w:rPr>
        <w:t>is inconsistent with the constitutional requirement of prosecutorial independence. The Court Martial Appeal Court held that s. 230.1 is invalid. The declaration of invalidity was suspended for a six-month period ending on June 21, 2016. The respondents’ motions to quash and dismiss the appeals were dismissed, however, and the hearing of the appeals on the merits was adjourned to a date to be determined after the expiry of the period during which the effect of the declaration of invalidity was suspended.</w:t>
      </w:r>
    </w:p>
    <w:p w:rsidR="00037041" w:rsidRDefault="00037041" w:rsidP="00661046">
      <w:pPr>
        <w:widowControl w:val="0"/>
        <w:jc w:val="both"/>
        <w:rPr>
          <w:sz w:val="20"/>
          <w:lang w:val="en-CA"/>
        </w:rPr>
      </w:pPr>
    </w:p>
    <w:p w:rsidR="00037041" w:rsidRPr="00037041" w:rsidRDefault="00037041" w:rsidP="00661046">
      <w:pPr>
        <w:widowControl w:val="0"/>
        <w:jc w:val="both"/>
        <w:rPr>
          <w:sz w:val="20"/>
          <w:lang w:val="en-CA"/>
        </w:rPr>
      </w:pPr>
    </w:p>
    <w:p w:rsidR="00037041" w:rsidRPr="00037041" w:rsidRDefault="00037041" w:rsidP="00852C4C">
      <w:pPr>
        <w:pStyle w:val="SCCLsocParty"/>
        <w:rPr>
          <w:b/>
          <w:sz w:val="20"/>
          <w:szCs w:val="20"/>
        </w:rPr>
      </w:pPr>
      <w:r w:rsidRPr="00037041">
        <w:rPr>
          <w:b/>
          <w:i w:val="0"/>
          <w:sz w:val="20"/>
          <w:szCs w:val="20"/>
          <w:lang w:val="en-CA"/>
        </w:rPr>
        <w:fldChar w:fldCharType="begin"/>
      </w:r>
      <w:r w:rsidRPr="00037041">
        <w:rPr>
          <w:b/>
          <w:i w:val="0"/>
          <w:sz w:val="20"/>
          <w:szCs w:val="20"/>
        </w:rPr>
        <w:instrText xml:space="preserve"> SEQ CHAPTER \h \r 1</w:instrText>
      </w:r>
      <w:r w:rsidRPr="00037041">
        <w:rPr>
          <w:b/>
          <w:i w:val="0"/>
          <w:sz w:val="20"/>
          <w:szCs w:val="20"/>
        </w:rPr>
        <w:fldChar w:fldCharType="end"/>
      </w:r>
      <w:r w:rsidRPr="00037041">
        <w:rPr>
          <w:b/>
          <w:i w:val="0"/>
          <w:sz w:val="20"/>
          <w:szCs w:val="20"/>
        </w:rPr>
        <w:t>36844</w:t>
      </w:r>
      <w:r w:rsidRPr="00037041">
        <w:rPr>
          <w:b/>
          <w:i w:val="0"/>
          <w:sz w:val="20"/>
          <w:szCs w:val="20"/>
        </w:rPr>
        <w:tab/>
      </w:r>
      <w:r w:rsidRPr="00037041">
        <w:rPr>
          <w:b/>
          <w:sz w:val="20"/>
          <w:szCs w:val="20"/>
        </w:rPr>
        <w:t>Sa Majesté la Reine c. J.G.A. Gagnon - et - Sa Majesté la Reine c. A.J.R. Thibault</w:t>
      </w:r>
    </w:p>
    <w:p w:rsidR="00037041" w:rsidRPr="00037041" w:rsidRDefault="00037041">
      <w:pPr>
        <w:widowControl w:val="0"/>
        <w:jc w:val="both"/>
        <w:rPr>
          <w:sz w:val="20"/>
          <w:lang w:val="fr-CA"/>
        </w:rPr>
      </w:pPr>
      <w:r>
        <w:rPr>
          <w:sz w:val="20"/>
          <w:lang w:val="fr-CA"/>
        </w:rPr>
        <w:tab/>
      </w:r>
      <w:r w:rsidRPr="00037041">
        <w:rPr>
          <w:sz w:val="20"/>
          <w:lang w:val="fr-CA"/>
        </w:rPr>
        <w:tab/>
        <w:t>(CACM) (Criminelle) (Autorisation)</w:t>
      </w:r>
    </w:p>
    <w:p w:rsidR="00037041" w:rsidRPr="00037041" w:rsidRDefault="00037041">
      <w:pPr>
        <w:widowControl w:val="0"/>
        <w:jc w:val="both"/>
        <w:rPr>
          <w:sz w:val="20"/>
          <w:lang w:val="fr-CA"/>
        </w:rPr>
      </w:pPr>
    </w:p>
    <w:p w:rsidR="00037041" w:rsidRPr="00037041" w:rsidRDefault="00037041" w:rsidP="005B277A">
      <w:pPr>
        <w:jc w:val="both"/>
        <w:rPr>
          <w:sz w:val="20"/>
          <w:lang w:val="fr-CA"/>
        </w:rPr>
      </w:pPr>
      <w:r w:rsidRPr="00037041">
        <w:rPr>
          <w:i/>
          <w:sz w:val="20"/>
          <w:lang w:val="fr-CA"/>
        </w:rPr>
        <w:t>Charte des droits</w:t>
      </w:r>
      <w:r w:rsidRPr="00037041">
        <w:rPr>
          <w:sz w:val="20"/>
          <w:lang w:val="fr-CA"/>
        </w:rPr>
        <w:t xml:space="preserve"> - Justice fondamentale - Indépendance du poursuivant - Appels - Tribunaux - Compétence - Jugements et ordonnances - Sursis à l’exécution - L’article 230.1 de la </w:t>
      </w:r>
      <w:r w:rsidRPr="00037041">
        <w:rPr>
          <w:i/>
          <w:sz w:val="20"/>
          <w:lang w:val="fr-CA"/>
        </w:rPr>
        <w:t>Loi sur la défense nationale</w:t>
      </w:r>
      <w:r w:rsidRPr="00037041">
        <w:rPr>
          <w:sz w:val="20"/>
          <w:lang w:val="fr-CA"/>
        </w:rPr>
        <w:t xml:space="preserve">, L.R.C. 1985, c. N-5, viole-t-il l’art. 7 de la </w:t>
      </w:r>
      <w:r w:rsidRPr="00037041">
        <w:rPr>
          <w:i/>
          <w:sz w:val="20"/>
          <w:lang w:val="fr-CA"/>
        </w:rPr>
        <w:t>Charte canadienne des droits et libertés</w:t>
      </w:r>
      <w:r w:rsidRPr="00037041">
        <w:rPr>
          <w:sz w:val="20"/>
          <w:lang w:val="fr-CA"/>
        </w:rPr>
        <w:t xml:space="preserve">? - Dans l’affirmative, cette atteinte constitue-t-elle une limite raisonnable prescrite par une règle de droit dont la justification peut se démontrer dans le cadre d’une société libre et démocratique suivant l’article premier de la </w:t>
      </w:r>
      <w:r w:rsidRPr="00037041">
        <w:rPr>
          <w:i/>
          <w:sz w:val="20"/>
          <w:lang w:val="fr-CA"/>
        </w:rPr>
        <w:t>Charte</w:t>
      </w:r>
      <w:r w:rsidRPr="00037041">
        <w:rPr>
          <w:sz w:val="20"/>
          <w:lang w:val="fr-CA"/>
        </w:rPr>
        <w:t xml:space="preserve">? - L’article 230.1 de la </w:t>
      </w:r>
      <w:r w:rsidRPr="00037041">
        <w:rPr>
          <w:i/>
          <w:sz w:val="20"/>
          <w:lang w:val="fr-CA"/>
        </w:rPr>
        <w:t>Loi sur la défense nationale</w:t>
      </w:r>
      <w:r w:rsidRPr="00037041">
        <w:rPr>
          <w:sz w:val="20"/>
          <w:lang w:val="fr-CA"/>
        </w:rPr>
        <w:t xml:space="preserve"> viole-t-il l’al. 11</w:t>
      </w:r>
      <w:r w:rsidRPr="00037041">
        <w:rPr>
          <w:i/>
          <w:sz w:val="20"/>
          <w:lang w:val="fr-CA"/>
        </w:rPr>
        <w:t>d</w:t>
      </w:r>
      <w:r w:rsidRPr="00037041">
        <w:rPr>
          <w:sz w:val="20"/>
          <w:lang w:val="fr-CA"/>
        </w:rPr>
        <w:t xml:space="preserve">) de la </w:t>
      </w:r>
      <w:r w:rsidRPr="00037041">
        <w:rPr>
          <w:i/>
          <w:sz w:val="20"/>
          <w:lang w:val="fr-CA"/>
        </w:rPr>
        <w:t>Charte</w:t>
      </w:r>
      <w:r w:rsidRPr="00037041">
        <w:rPr>
          <w:sz w:val="20"/>
          <w:lang w:val="fr-CA"/>
        </w:rPr>
        <w:t xml:space="preserve">? - Dans l’affirmative, cette atteinte constitue-t-elle une limite raisonnable prescrite par une règle de droit dont la justification peut se démontrer dans le cadre d’une société libre et démocratique suivant l’article premier de la </w:t>
      </w:r>
      <w:r w:rsidRPr="00037041">
        <w:rPr>
          <w:i/>
          <w:sz w:val="20"/>
          <w:lang w:val="fr-CA"/>
        </w:rPr>
        <w:t>Charte</w:t>
      </w:r>
      <w:r w:rsidRPr="00037041">
        <w:rPr>
          <w:sz w:val="20"/>
          <w:lang w:val="fr-CA"/>
        </w:rPr>
        <w:t>? - Un sursis d’exécution de la déclaration d’invalidité prononcée par la Cour d’appel devrait-il être ordonné jusqu’à ce que cette Cour ait rendu son jugement sur les questions constitutionnelles soulevées dans ce dossier?</w:t>
      </w:r>
    </w:p>
    <w:p w:rsidR="00037041" w:rsidRPr="00037041" w:rsidRDefault="00037041" w:rsidP="005B277A">
      <w:pPr>
        <w:jc w:val="both"/>
        <w:rPr>
          <w:sz w:val="20"/>
          <w:lang w:val="fr-CA"/>
        </w:rPr>
      </w:pPr>
    </w:p>
    <w:p w:rsidR="00037041" w:rsidRPr="00037041" w:rsidRDefault="00037041" w:rsidP="00661046">
      <w:pPr>
        <w:widowControl w:val="0"/>
        <w:jc w:val="both"/>
        <w:rPr>
          <w:sz w:val="20"/>
          <w:lang w:val="fr-CA"/>
        </w:rPr>
      </w:pPr>
      <w:r w:rsidRPr="00037041">
        <w:rPr>
          <w:sz w:val="20"/>
          <w:lang w:val="fr-CA"/>
        </w:rPr>
        <w:t xml:space="preserve">Les deux intimés, membres des Forces canadiennes, ont été accusés d’agression sexuelle dans deux dossiers distincts et ont eu gain de cause en première instance. Lors des appels interjetés par l’appelante, les intimés ont présenté des requêtes en annulation et rejet des appels, se fondant sur la prétention que l’art. 230.1 </w:t>
      </w:r>
      <w:proofErr w:type="gramStart"/>
      <w:r w:rsidRPr="00037041">
        <w:rPr>
          <w:sz w:val="20"/>
          <w:lang w:val="fr-CA"/>
        </w:rPr>
        <w:t>de</w:t>
      </w:r>
      <w:proofErr w:type="gramEnd"/>
      <w:r w:rsidRPr="00037041">
        <w:rPr>
          <w:sz w:val="20"/>
          <w:lang w:val="fr-CA"/>
        </w:rPr>
        <w:t xml:space="preserve"> la </w:t>
      </w:r>
      <w:r w:rsidRPr="00037041">
        <w:rPr>
          <w:i/>
          <w:sz w:val="20"/>
          <w:lang w:val="fr-CA"/>
        </w:rPr>
        <w:t xml:space="preserve">Loi sur la défense nationale </w:t>
      </w:r>
      <w:r w:rsidRPr="00037041">
        <w:rPr>
          <w:sz w:val="20"/>
          <w:lang w:val="fr-CA"/>
        </w:rPr>
        <w:t xml:space="preserve">ne respectait pas l’exigence constitutionnelle d’indépendance du poursuivant. La Cour d’appel de la cour martiale a </w:t>
      </w:r>
      <w:r w:rsidRPr="00037041">
        <w:rPr>
          <w:sz w:val="20"/>
          <w:lang w:val="fr-CA"/>
        </w:rPr>
        <w:lastRenderedPageBreak/>
        <w:t>jugé que l’art. 230.1 était invalide. La déclaration d’invalidité a été suspendue pour une période de six mois, qui se termine le 21 juin 2016. Les requêtes des intimés en annulation et rejet des appels ont toutefois été rejetées et l’audition des appels au fond a été ajournée à une date à déterminer après la période de suspension de l’effet de la déclaration d’invalidité.</w:t>
      </w:r>
    </w:p>
    <w:p w:rsidR="009334B7" w:rsidRDefault="009334B7" w:rsidP="00340C6D">
      <w:pPr>
        <w:jc w:val="both"/>
        <w:rPr>
          <w:szCs w:val="24"/>
        </w:rPr>
      </w:pPr>
    </w:p>
    <w:p w:rsidR="009334B7" w:rsidRPr="005D27BB" w:rsidRDefault="009334B7" w:rsidP="00340C6D">
      <w:pPr>
        <w:jc w:val="both"/>
        <w:rPr>
          <w:szCs w:val="24"/>
        </w:rPr>
      </w:pPr>
    </w:p>
    <w:p w:rsidR="00072A63" w:rsidRPr="005D27BB" w:rsidRDefault="00072A63" w:rsidP="00EC79B0">
      <w:pPr>
        <w:jc w:val="both"/>
        <w:rPr>
          <w:szCs w:val="24"/>
        </w:rPr>
      </w:pPr>
    </w:p>
    <w:p w:rsidR="001C4415" w:rsidRPr="005D27BB" w:rsidRDefault="001C4415" w:rsidP="001C4415">
      <w:pPr>
        <w:widowControl w:val="0"/>
        <w:outlineLvl w:val="0"/>
      </w:pPr>
      <w:r w:rsidRPr="005D27BB">
        <w:t xml:space="preserve">Supreme Court of Canada / </w:t>
      </w:r>
      <w:proofErr w:type="spellStart"/>
      <w:r w:rsidRPr="005D27BB">
        <w:t>Cour</w:t>
      </w:r>
      <w:proofErr w:type="spellEnd"/>
      <w:r w:rsidRPr="005D27BB">
        <w:t xml:space="preserve"> </w:t>
      </w:r>
      <w:proofErr w:type="spellStart"/>
      <w:r w:rsidRPr="005D27BB">
        <w:t>suprême</w:t>
      </w:r>
      <w:proofErr w:type="spellEnd"/>
      <w:r w:rsidRPr="005D27BB">
        <w:t xml:space="preserve"> du Canada : </w:t>
      </w:r>
    </w:p>
    <w:p w:rsidR="001C4415" w:rsidRPr="005D27BB" w:rsidRDefault="005B6B38" w:rsidP="001C4415">
      <w:pPr>
        <w:widowControl w:val="0"/>
        <w:outlineLvl w:val="0"/>
        <w:rPr>
          <w:color w:val="0000FF"/>
          <w:u w:val="single"/>
        </w:rPr>
      </w:pPr>
      <w:hyperlink r:id="rId9" w:history="1">
        <w:r w:rsidR="001C4415" w:rsidRPr="005D27BB">
          <w:rPr>
            <w:rStyle w:val="Hyperlink"/>
          </w:rPr>
          <w:t>comments-commentaires@scc-csc.ca</w:t>
        </w:r>
      </w:hyperlink>
    </w:p>
    <w:p w:rsidR="001C4415" w:rsidRPr="005D27BB" w:rsidRDefault="001C4415" w:rsidP="001C4415">
      <w:pPr>
        <w:widowControl w:val="0"/>
        <w:outlineLvl w:val="0"/>
      </w:pPr>
      <w:r w:rsidRPr="005D27BB">
        <w:t>(613) 995-4330</w:t>
      </w:r>
    </w:p>
    <w:p w:rsidR="001C4415" w:rsidRPr="005D27BB" w:rsidRDefault="001C4415" w:rsidP="001C4415">
      <w:pPr>
        <w:widowControl w:val="0"/>
        <w:rPr>
          <w:sz w:val="20"/>
        </w:rPr>
      </w:pPr>
    </w:p>
    <w:p w:rsidR="0036476C" w:rsidRPr="005D27BB" w:rsidRDefault="001C4415" w:rsidP="0036476C">
      <w:pPr>
        <w:pStyle w:val="Footer"/>
        <w:jc w:val="center"/>
      </w:pPr>
      <w:r w:rsidRPr="005D27BB">
        <w:t xml:space="preserve">- 30 </w:t>
      </w:r>
      <w:r w:rsidR="0036476C" w:rsidRPr="005D27BB">
        <w:t xml:space="preserve">– </w:t>
      </w:r>
    </w:p>
    <w:p w:rsidR="0036476C" w:rsidRPr="005D27BB" w:rsidRDefault="0036476C" w:rsidP="0036476C">
      <w:pPr>
        <w:pStyle w:val="Footer"/>
        <w:jc w:val="center"/>
      </w:pPr>
    </w:p>
    <w:sectPr w:rsidR="0036476C" w:rsidRPr="005D27BB"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100BA"/>
    <w:rsid w:val="00010D78"/>
    <w:rsid w:val="0001212E"/>
    <w:rsid w:val="0001605B"/>
    <w:rsid w:val="0001634B"/>
    <w:rsid w:val="0002161B"/>
    <w:rsid w:val="00021901"/>
    <w:rsid w:val="000347C1"/>
    <w:rsid w:val="00035555"/>
    <w:rsid w:val="00035B99"/>
    <w:rsid w:val="0003611D"/>
    <w:rsid w:val="0003620E"/>
    <w:rsid w:val="00037041"/>
    <w:rsid w:val="00040E3C"/>
    <w:rsid w:val="00042B21"/>
    <w:rsid w:val="000446D3"/>
    <w:rsid w:val="000454BF"/>
    <w:rsid w:val="00053111"/>
    <w:rsid w:val="00060140"/>
    <w:rsid w:val="00060B39"/>
    <w:rsid w:val="00061A14"/>
    <w:rsid w:val="00072A63"/>
    <w:rsid w:val="0008116D"/>
    <w:rsid w:val="000855FD"/>
    <w:rsid w:val="00087122"/>
    <w:rsid w:val="0009615F"/>
    <w:rsid w:val="000A063C"/>
    <w:rsid w:val="000A33B2"/>
    <w:rsid w:val="000A401F"/>
    <w:rsid w:val="000A7900"/>
    <w:rsid w:val="000B0E38"/>
    <w:rsid w:val="000B216A"/>
    <w:rsid w:val="000C1225"/>
    <w:rsid w:val="000C466B"/>
    <w:rsid w:val="000C7C9D"/>
    <w:rsid w:val="000D25C5"/>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6CE5"/>
    <w:rsid w:val="001170D1"/>
    <w:rsid w:val="00127E76"/>
    <w:rsid w:val="00131418"/>
    <w:rsid w:val="001335A1"/>
    <w:rsid w:val="001364D9"/>
    <w:rsid w:val="0013792F"/>
    <w:rsid w:val="001439C6"/>
    <w:rsid w:val="00143A58"/>
    <w:rsid w:val="001448DF"/>
    <w:rsid w:val="00145925"/>
    <w:rsid w:val="001476BD"/>
    <w:rsid w:val="00150BC6"/>
    <w:rsid w:val="001563FF"/>
    <w:rsid w:val="001617F1"/>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A572B"/>
    <w:rsid w:val="001B092D"/>
    <w:rsid w:val="001B0D7E"/>
    <w:rsid w:val="001B4934"/>
    <w:rsid w:val="001B599A"/>
    <w:rsid w:val="001B71AA"/>
    <w:rsid w:val="001C0462"/>
    <w:rsid w:val="001C3E08"/>
    <w:rsid w:val="001C4415"/>
    <w:rsid w:val="001C6FEC"/>
    <w:rsid w:val="001E4A60"/>
    <w:rsid w:val="001E5E23"/>
    <w:rsid w:val="001E70CD"/>
    <w:rsid w:val="001F1643"/>
    <w:rsid w:val="001F27D7"/>
    <w:rsid w:val="001F37AC"/>
    <w:rsid w:val="001F57C9"/>
    <w:rsid w:val="001F5973"/>
    <w:rsid w:val="001F7F62"/>
    <w:rsid w:val="002029F5"/>
    <w:rsid w:val="00205278"/>
    <w:rsid w:val="00207BC4"/>
    <w:rsid w:val="00211F62"/>
    <w:rsid w:val="00214729"/>
    <w:rsid w:val="002160B0"/>
    <w:rsid w:val="00221703"/>
    <w:rsid w:val="00226AE8"/>
    <w:rsid w:val="00234B46"/>
    <w:rsid w:val="0023600D"/>
    <w:rsid w:val="002404C4"/>
    <w:rsid w:val="00241C35"/>
    <w:rsid w:val="00241F69"/>
    <w:rsid w:val="00242EC8"/>
    <w:rsid w:val="00243B49"/>
    <w:rsid w:val="00244461"/>
    <w:rsid w:val="00244D04"/>
    <w:rsid w:val="00245FBD"/>
    <w:rsid w:val="0024634F"/>
    <w:rsid w:val="002511EB"/>
    <w:rsid w:val="00251D1B"/>
    <w:rsid w:val="00253698"/>
    <w:rsid w:val="0025452B"/>
    <w:rsid w:val="002617BB"/>
    <w:rsid w:val="0026289A"/>
    <w:rsid w:val="00264AA1"/>
    <w:rsid w:val="002667BA"/>
    <w:rsid w:val="002667ED"/>
    <w:rsid w:val="00266A8B"/>
    <w:rsid w:val="002723AE"/>
    <w:rsid w:val="00272EAB"/>
    <w:rsid w:val="002768F6"/>
    <w:rsid w:val="00277DDF"/>
    <w:rsid w:val="00282563"/>
    <w:rsid w:val="0028630C"/>
    <w:rsid w:val="00290F21"/>
    <w:rsid w:val="00291F84"/>
    <w:rsid w:val="00297E1D"/>
    <w:rsid w:val="002A2F5A"/>
    <w:rsid w:val="002A3DD8"/>
    <w:rsid w:val="002A4252"/>
    <w:rsid w:val="002A5496"/>
    <w:rsid w:val="002A6BD5"/>
    <w:rsid w:val="002A7752"/>
    <w:rsid w:val="002B06A9"/>
    <w:rsid w:val="002B4D23"/>
    <w:rsid w:val="002B4F4E"/>
    <w:rsid w:val="002C23CB"/>
    <w:rsid w:val="002C5CA9"/>
    <w:rsid w:val="002C5FAF"/>
    <w:rsid w:val="002D62BE"/>
    <w:rsid w:val="002D631B"/>
    <w:rsid w:val="002D6424"/>
    <w:rsid w:val="002E3F05"/>
    <w:rsid w:val="002E5644"/>
    <w:rsid w:val="002F2E89"/>
    <w:rsid w:val="002F4212"/>
    <w:rsid w:val="003023B2"/>
    <w:rsid w:val="003054B8"/>
    <w:rsid w:val="003078A0"/>
    <w:rsid w:val="003112E4"/>
    <w:rsid w:val="00311F53"/>
    <w:rsid w:val="00317C58"/>
    <w:rsid w:val="00321B31"/>
    <w:rsid w:val="00324B83"/>
    <w:rsid w:val="003255C3"/>
    <w:rsid w:val="00334E40"/>
    <w:rsid w:val="00337D5F"/>
    <w:rsid w:val="00340C6D"/>
    <w:rsid w:val="00342E49"/>
    <w:rsid w:val="00346B6F"/>
    <w:rsid w:val="00346F0D"/>
    <w:rsid w:val="00350C6A"/>
    <w:rsid w:val="00350CE0"/>
    <w:rsid w:val="00352B94"/>
    <w:rsid w:val="00353AB0"/>
    <w:rsid w:val="00354620"/>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3AD5"/>
    <w:rsid w:val="003B4E7E"/>
    <w:rsid w:val="003C381F"/>
    <w:rsid w:val="003D4D2A"/>
    <w:rsid w:val="003D74E7"/>
    <w:rsid w:val="003E0326"/>
    <w:rsid w:val="003E1BBF"/>
    <w:rsid w:val="003E222C"/>
    <w:rsid w:val="003E31F8"/>
    <w:rsid w:val="003E5C8D"/>
    <w:rsid w:val="003F127B"/>
    <w:rsid w:val="003F2710"/>
    <w:rsid w:val="003F7920"/>
    <w:rsid w:val="004005FE"/>
    <w:rsid w:val="004016BB"/>
    <w:rsid w:val="004019D4"/>
    <w:rsid w:val="0040345E"/>
    <w:rsid w:val="00405F0F"/>
    <w:rsid w:val="00406D7D"/>
    <w:rsid w:val="004115B2"/>
    <w:rsid w:val="0041533E"/>
    <w:rsid w:val="00421CC7"/>
    <w:rsid w:val="0042330C"/>
    <w:rsid w:val="00424E50"/>
    <w:rsid w:val="00425FF3"/>
    <w:rsid w:val="00426675"/>
    <w:rsid w:val="00426798"/>
    <w:rsid w:val="00426F87"/>
    <w:rsid w:val="00427239"/>
    <w:rsid w:val="00432DE1"/>
    <w:rsid w:val="00434C8B"/>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40E1"/>
    <w:rsid w:val="004A4570"/>
    <w:rsid w:val="004A56AC"/>
    <w:rsid w:val="004A6F06"/>
    <w:rsid w:val="004B4821"/>
    <w:rsid w:val="004B6E20"/>
    <w:rsid w:val="004B6F3A"/>
    <w:rsid w:val="004D2539"/>
    <w:rsid w:val="004D4322"/>
    <w:rsid w:val="004D465A"/>
    <w:rsid w:val="004D488A"/>
    <w:rsid w:val="004E1B82"/>
    <w:rsid w:val="004E5455"/>
    <w:rsid w:val="004E605A"/>
    <w:rsid w:val="004E7227"/>
    <w:rsid w:val="004F0A44"/>
    <w:rsid w:val="004F215A"/>
    <w:rsid w:val="004F3FB9"/>
    <w:rsid w:val="00504582"/>
    <w:rsid w:val="0051320D"/>
    <w:rsid w:val="005167FC"/>
    <w:rsid w:val="00520A3C"/>
    <w:rsid w:val="00525362"/>
    <w:rsid w:val="00525B8E"/>
    <w:rsid w:val="00531567"/>
    <w:rsid w:val="005316A9"/>
    <w:rsid w:val="00534E1E"/>
    <w:rsid w:val="00537187"/>
    <w:rsid w:val="005400BA"/>
    <w:rsid w:val="0054378D"/>
    <w:rsid w:val="005511F1"/>
    <w:rsid w:val="00552278"/>
    <w:rsid w:val="0055520C"/>
    <w:rsid w:val="00560D32"/>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6B38"/>
    <w:rsid w:val="005B7E1A"/>
    <w:rsid w:val="005C3F3D"/>
    <w:rsid w:val="005C571B"/>
    <w:rsid w:val="005C6A52"/>
    <w:rsid w:val="005C7767"/>
    <w:rsid w:val="005C7A4F"/>
    <w:rsid w:val="005D1FAA"/>
    <w:rsid w:val="005D27BB"/>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277B"/>
    <w:rsid w:val="00676709"/>
    <w:rsid w:val="00680968"/>
    <w:rsid w:val="00682A71"/>
    <w:rsid w:val="00685A30"/>
    <w:rsid w:val="006942C4"/>
    <w:rsid w:val="006A3523"/>
    <w:rsid w:val="006A58E0"/>
    <w:rsid w:val="006A6C0C"/>
    <w:rsid w:val="006B4B4E"/>
    <w:rsid w:val="006B5529"/>
    <w:rsid w:val="006B5FEF"/>
    <w:rsid w:val="006C4A8F"/>
    <w:rsid w:val="006C5AA6"/>
    <w:rsid w:val="006C7633"/>
    <w:rsid w:val="006D2DF8"/>
    <w:rsid w:val="006E1781"/>
    <w:rsid w:val="006E3A6A"/>
    <w:rsid w:val="006E5414"/>
    <w:rsid w:val="006E6156"/>
    <w:rsid w:val="006E7CC3"/>
    <w:rsid w:val="006E7FD1"/>
    <w:rsid w:val="006F1899"/>
    <w:rsid w:val="006F1A6D"/>
    <w:rsid w:val="006F202E"/>
    <w:rsid w:val="006F3B04"/>
    <w:rsid w:val="006F636B"/>
    <w:rsid w:val="006F7FC8"/>
    <w:rsid w:val="00711DBC"/>
    <w:rsid w:val="0071224C"/>
    <w:rsid w:val="00713963"/>
    <w:rsid w:val="00714478"/>
    <w:rsid w:val="00716381"/>
    <w:rsid w:val="00724998"/>
    <w:rsid w:val="00727681"/>
    <w:rsid w:val="00731F00"/>
    <w:rsid w:val="00732616"/>
    <w:rsid w:val="00732764"/>
    <w:rsid w:val="00743AB2"/>
    <w:rsid w:val="00743CD0"/>
    <w:rsid w:val="007440A4"/>
    <w:rsid w:val="007464AD"/>
    <w:rsid w:val="007505FE"/>
    <w:rsid w:val="00753E0D"/>
    <w:rsid w:val="00756F46"/>
    <w:rsid w:val="00762239"/>
    <w:rsid w:val="00767B87"/>
    <w:rsid w:val="00777C18"/>
    <w:rsid w:val="0078318A"/>
    <w:rsid w:val="00793134"/>
    <w:rsid w:val="0079370B"/>
    <w:rsid w:val="00793A6C"/>
    <w:rsid w:val="00794A43"/>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6B10"/>
    <w:rsid w:val="007E7DF1"/>
    <w:rsid w:val="007F25C1"/>
    <w:rsid w:val="007F29FE"/>
    <w:rsid w:val="007F3D16"/>
    <w:rsid w:val="00800066"/>
    <w:rsid w:val="00807EAE"/>
    <w:rsid w:val="00811E14"/>
    <w:rsid w:val="00815249"/>
    <w:rsid w:val="00815E69"/>
    <w:rsid w:val="008203B9"/>
    <w:rsid w:val="00820A00"/>
    <w:rsid w:val="008227A7"/>
    <w:rsid w:val="00824336"/>
    <w:rsid w:val="0083044B"/>
    <w:rsid w:val="008313A9"/>
    <w:rsid w:val="00831AFC"/>
    <w:rsid w:val="00833B00"/>
    <w:rsid w:val="00843914"/>
    <w:rsid w:val="00844A0C"/>
    <w:rsid w:val="00845B97"/>
    <w:rsid w:val="00851B24"/>
    <w:rsid w:val="00857775"/>
    <w:rsid w:val="00861E1D"/>
    <w:rsid w:val="0086609D"/>
    <w:rsid w:val="00870608"/>
    <w:rsid w:val="008709FF"/>
    <w:rsid w:val="008716D8"/>
    <w:rsid w:val="00875923"/>
    <w:rsid w:val="008766B1"/>
    <w:rsid w:val="008814A0"/>
    <w:rsid w:val="0088190D"/>
    <w:rsid w:val="00893647"/>
    <w:rsid w:val="008B305D"/>
    <w:rsid w:val="008B5FA3"/>
    <w:rsid w:val="008B5FDB"/>
    <w:rsid w:val="008B6308"/>
    <w:rsid w:val="008C2F61"/>
    <w:rsid w:val="008C5D03"/>
    <w:rsid w:val="008D2829"/>
    <w:rsid w:val="008D3DE1"/>
    <w:rsid w:val="008D557C"/>
    <w:rsid w:val="008D5B1F"/>
    <w:rsid w:val="008D6BC4"/>
    <w:rsid w:val="008E0CF4"/>
    <w:rsid w:val="008E5108"/>
    <w:rsid w:val="008E7015"/>
    <w:rsid w:val="008F15CD"/>
    <w:rsid w:val="008F246A"/>
    <w:rsid w:val="008F6C55"/>
    <w:rsid w:val="0090380F"/>
    <w:rsid w:val="009062BF"/>
    <w:rsid w:val="009079AF"/>
    <w:rsid w:val="00911071"/>
    <w:rsid w:val="00916404"/>
    <w:rsid w:val="00916B9F"/>
    <w:rsid w:val="00921102"/>
    <w:rsid w:val="009214B3"/>
    <w:rsid w:val="0092264F"/>
    <w:rsid w:val="009234CE"/>
    <w:rsid w:val="009246D2"/>
    <w:rsid w:val="00931A3C"/>
    <w:rsid w:val="009334B7"/>
    <w:rsid w:val="009408A3"/>
    <w:rsid w:val="009421D0"/>
    <w:rsid w:val="0094519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72F4"/>
    <w:rsid w:val="009C2A17"/>
    <w:rsid w:val="009C643F"/>
    <w:rsid w:val="009C7B71"/>
    <w:rsid w:val="009D109B"/>
    <w:rsid w:val="009D30BC"/>
    <w:rsid w:val="009E23BF"/>
    <w:rsid w:val="009E478A"/>
    <w:rsid w:val="009E6E2B"/>
    <w:rsid w:val="009E7F8F"/>
    <w:rsid w:val="009F18D7"/>
    <w:rsid w:val="009F1E2B"/>
    <w:rsid w:val="009F4739"/>
    <w:rsid w:val="009F5F96"/>
    <w:rsid w:val="00A06BFF"/>
    <w:rsid w:val="00A129AE"/>
    <w:rsid w:val="00A12B84"/>
    <w:rsid w:val="00A13112"/>
    <w:rsid w:val="00A17FF7"/>
    <w:rsid w:val="00A20D09"/>
    <w:rsid w:val="00A21A0F"/>
    <w:rsid w:val="00A253E7"/>
    <w:rsid w:val="00A2764E"/>
    <w:rsid w:val="00A40505"/>
    <w:rsid w:val="00A45E77"/>
    <w:rsid w:val="00A47417"/>
    <w:rsid w:val="00A52FC3"/>
    <w:rsid w:val="00A539FF"/>
    <w:rsid w:val="00A60F48"/>
    <w:rsid w:val="00A64DFD"/>
    <w:rsid w:val="00A709E8"/>
    <w:rsid w:val="00A86226"/>
    <w:rsid w:val="00A86D9C"/>
    <w:rsid w:val="00A9462E"/>
    <w:rsid w:val="00A96F68"/>
    <w:rsid w:val="00AA6478"/>
    <w:rsid w:val="00AB4EFD"/>
    <w:rsid w:val="00AB6E49"/>
    <w:rsid w:val="00AB7298"/>
    <w:rsid w:val="00AB76F5"/>
    <w:rsid w:val="00AC1EBB"/>
    <w:rsid w:val="00AC29C3"/>
    <w:rsid w:val="00AD28E3"/>
    <w:rsid w:val="00AE57A4"/>
    <w:rsid w:val="00AE77AE"/>
    <w:rsid w:val="00AF291D"/>
    <w:rsid w:val="00AF51A0"/>
    <w:rsid w:val="00AF5D67"/>
    <w:rsid w:val="00B00765"/>
    <w:rsid w:val="00B0252F"/>
    <w:rsid w:val="00B02858"/>
    <w:rsid w:val="00B10539"/>
    <w:rsid w:val="00B1057A"/>
    <w:rsid w:val="00B10F2E"/>
    <w:rsid w:val="00B11D20"/>
    <w:rsid w:val="00B11D74"/>
    <w:rsid w:val="00B15276"/>
    <w:rsid w:val="00B17303"/>
    <w:rsid w:val="00B26A2D"/>
    <w:rsid w:val="00B2787A"/>
    <w:rsid w:val="00B348B0"/>
    <w:rsid w:val="00B435C2"/>
    <w:rsid w:val="00B46448"/>
    <w:rsid w:val="00B46917"/>
    <w:rsid w:val="00B50803"/>
    <w:rsid w:val="00B57CEE"/>
    <w:rsid w:val="00B622BC"/>
    <w:rsid w:val="00B67B8C"/>
    <w:rsid w:val="00B7734D"/>
    <w:rsid w:val="00B80672"/>
    <w:rsid w:val="00B8086C"/>
    <w:rsid w:val="00B809D3"/>
    <w:rsid w:val="00B80A40"/>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1E18"/>
    <w:rsid w:val="00BF4B52"/>
    <w:rsid w:val="00BF5E12"/>
    <w:rsid w:val="00C02565"/>
    <w:rsid w:val="00C02A35"/>
    <w:rsid w:val="00C05DB6"/>
    <w:rsid w:val="00C06CDF"/>
    <w:rsid w:val="00C07D18"/>
    <w:rsid w:val="00C103A9"/>
    <w:rsid w:val="00C14970"/>
    <w:rsid w:val="00C173E2"/>
    <w:rsid w:val="00C210C3"/>
    <w:rsid w:val="00C23E02"/>
    <w:rsid w:val="00C26855"/>
    <w:rsid w:val="00C26ED7"/>
    <w:rsid w:val="00C343BF"/>
    <w:rsid w:val="00C34DBC"/>
    <w:rsid w:val="00C3754A"/>
    <w:rsid w:val="00C415BB"/>
    <w:rsid w:val="00C50BF1"/>
    <w:rsid w:val="00C51144"/>
    <w:rsid w:val="00C54C7F"/>
    <w:rsid w:val="00C55365"/>
    <w:rsid w:val="00C56B06"/>
    <w:rsid w:val="00C65E58"/>
    <w:rsid w:val="00C724D2"/>
    <w:rsid w:val="00C7692E"/>
    <w:rsid w:val="00C76C3D"/>
    <w:rsid w:val="00C77D60"/>
    <w:rsid w:val="00C80CEE"/>
    <w:rsid w:val="00C86395"/>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4667"/>
    <w:rsid w:val="00D75A2B"/>
    <w:rsid w:val="00D8474E"/>
    <w:rsid w:val="00D86814"/>
    <w:rsid w:val="00D8701B"/>
    <w:rsid w:val="00D93AE3"/>
    <w:rsid w:val="00D94FA0"/>
    <w:rsid w:val="00DA1A84"/>
    <w:rsid w:val="00DA2EAA"/>
    <w:rsid w:val="00DA6A86"/>
    <w:rsid w:val="00DB2F91"/>
    <w:rsid w:val="00DB531C"/>
    <w:rsid w:val="00DC32EB"/>
    <w:rsid w:val="00DC4734"/>
    <w:rsid w:val="00DC4E25"/>
    <w:rsid w:val="00DC6C1E"/>
    <w:rsid w:val="00DD4383"/>
    <w:rsid w:val="00DE04BB"/>
    <w:rsid w:val="00DE3506"/>
    <w:rsid w:val="00DE746A"/>
    <w:rsid w:val="00DF349B"/>
    <w:rsid w:val="00DF42A7"/>
    <w:rsid w:val="00DF44C2"/>
    <w:rsid w:val="00DF4A3F"/>
    <w:rsid w:val="00DF54E7"/>
    <w:rsid w:val="00DF614F"/>
    <w:rsid w:val="00E046A3"/>
    <w:rsid w:val="00E07FAA"/>
    <w:rsid w:val="00E128DB"/>
    <w:rsid w:val="00E12E0B"/>
    <w:rsid w:val="00E14E68"/>
    <w:rsid w:val="00E16926"/>
    <w:rsid w:val="00E21239"/>
    <w:rsid w:val="00E228C8"/>
    <w:rsid w:val="00E363C5"/>
    <w:rsid w:val="00E36DE8"/>
    <w:rsid w:val="00E40153"/>
    <w:rsid w:val="00E41DF4"/>
    <w:rsid w:val="00E450FF"/>
    <w:rsid w:val="00E47A93"/>
    <w:rsid w:val="00E51DCC"/>
    <w:rsid w:val="00E575D4"/>
    <w:rsid w:val="00E602CC"/>
    <w:rsid w:val="00E60BCF"/>
    <w:rsid w:val="00E63199"/>
    <w:rsid w:val="00E631BB"/>
    <w:rsid w:val="00E66FC2"/>
    <w:rsid w:val="00E67858"/>
    <w:rsid w:val="00E701AC"/>
    <w:rsid w:val="00E71B6C"/>
    <w:rsid w:val="00E71F47"/>
    <w:rsid w:val="00E738B3"/>
    <w:rsid w:val="00E7552C"/>
    <w:rsid w:val="00E75EDC"/>
    <w:rsid w:val="00E76F19"/>
    <w:rsid w:val="00E77DF7"/>
    <w:rsid w:val="00E802FE"/>
    <w:rsid w:val="00E82DB5"/>
    <w:rsid w:val="00E8450A"/>
    <w:rsid w:val="00E93DBE"/>
    <w:rsid w:val="00E9584F"/>
    <w:rsid w:val="00EA2FA7"/>
    <w:rsid w:val="00EA389B"/>
    <w:rsid w:val="00EB1B1D"/>
    <w:rsid w:val="00EB6CB3"/>
    <w:rsid w:val="00EC0B90"/>
    <w:rsid w:val="00EC103C"/>
    <w:rsid w:val="00EC79B0"/>
    <w:rsid w:val="00ED1C3A"/>
    <w:rsid w:val="00ED2D18"/>
    <w:rsid w:val="00ED4D5F"/>
    <w:rsid w:val="00ED67B7"/>
    <w:rsid w:val="00EE1079"/>
    <w:rsid w:val="00EE1D6B"/>
    <w:rsid w:val="00EE677E"/>
    <w:rsid w:val="00EE75B1"/>
    <w:rsid w:val="00EE77E0"/>
    <w:rsid w:val="00EF0BD7"/>
    <w:rsid w:val="00EF778F"/>
    <w:rsid w:val="00EF7999"/>
    <w:rsid w:val="00F006DA"/>
    <w:rsid w:val="00F020DF"/>
    <w:rsid w:val="00F118D3"/>
    <w:rsid w:val="00F1242C"/>
    <w:rsid w:val="00F128C3"/>
    <w:rsid w:val="00F1711D"/>
    <w:rsid w:val="00F223F4"/>
    <w:rsid w:val="00F23EAF"/>
    <w:rsid w:val="00F269BB"/>
    <w:rsid w:val="00F317F9"/>
    <w:rsid w:val="00F33A4A"/>
    <w:rsid w:val="00F344A1"/>
    <w:rsid w:val="00F353AE"/>
    <w:rsid w:val="00F36D46"/>
    <w:rsid w:val="00F43DC9"/>
    <w:rsid w:val="00F441EF"/>
    <w:rsid w:val="00F443E2"/>
    <w:rsid w:val="00F52595"/>
    <w:rsid w:val="00F530EE"/>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B7E"/>
    <w:rsid w:val="00FB709E"/>
    <w:rsid w:val="00FC2E02"/>
    <w:rsid w:val="00FC57AE"/>
    <w:rsid w:val="00FC6C27"/>
    <w:rsid w:val="00FE3585"/>
    <w:rsid w:val="00FF16A1"/>
    <w:rsid w:val="00FF330A"/>
    <w:rsid w:val="00FF3AC2"/>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fra.aspx?cas=3684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cc-csc.ca/case-dossier/info/sum-som-eng.aspx?cas=3646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8346</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2016-07-15T17:38:00Z</dcterms:created>
  <dcterms:modified xsi:type="dcterms:W3CDTF">2016-07-18T17:57:00Z</dcterms:modified>
</cp:coreProperties>
</file>