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5363B2" w:rsidRDefault="001C4415" w:rsidP="001C4415">
      <w:pPr>
        <w:pStyle w:val="Header"/>
        <w:jc w:val="center"/>
        <w:rPr>
          <w:b/>
          <w:sz w:val="32"/>
        </w:rPr>
      </w:pPr>
      <w:r w:rsidRPr="005363B2">
        <w:rPr>
          <w:b/>
          <w:sz w:val="32"/>
        </w:rPr>
        <w:t xml:space="preserve">Supreme Court of Canada / </w:t>
      </w:r>
      <w:proofErr w:type="spellStart"/>
      <w:r w:rsidRPr="005363B2">
        <w:rPr>
          <w:b/>
          <w:sz w:val="32"/>
        </w:rPr>
        <w:t>Cour</w:t>
      </w:r>
      <w:proofErr w:type="spellEnd"/>
      <w:r w:rsidRPr="005363B2">
        <w:rPr>
          <w:b/>
          <w:sz w:val="32"/>
        </w:rPr>
        <w:t xml:space="preserve"> </w:t>
      </w:r>
      <w:proofErr w:type="spellStart"/>
      <w:r w:rsidRPr="005363B2">
        <w:rPr>
          <w:b/>
          <w:sz w:val="32"/>
        </w:rPr>
        <w:t>suprême</w:t>
      </w:r>
      <w:proofErr w:type="spellEnd"/>
      <w:r w:rsidRPr="005363B2">
        <w:rPr>
          <w:b/>
          <w:sz w:val="32"/>
        </w:rPr>
        <w:t xml:space="preserve"> du Canada</w:t>
      </w:r>
    </w:p>
    <w:p w:rsidR="001C4415" w:rsidRPr="005363B2" w:rsidRDefault="001C4415" w:rsidP="001C4415">
      <w:pPr>
        <w:widowControl w:val="0"/>
        <w:rPr>
          <w:i/>
        </w:rPr>
      </w:pPr>
    </w:p>
    <w:p w:rsidR="001C4415" w:rsidRPr="005363B2" w:rsidRDefault="001C4415" w:rsidP="001C4415">
      <w:pPr>
        <w:widowControl w:val="0"/>
        <w:rPr>
          <w:i/>
        </w:rPr>
      </w:pPr>
    </w:p>
    <w:p w:rsidR="001C4415" w:rsidRPr="005363B2" w:rsidRDefault="001C4415" w:rsidP="001C4415">
      <w:pPr>
        <w:widowControl w:val="0"/>
        <w:rPr>
          <w:i/>
        </w:rPr>
      </w:pPr>
      <w:r w:rsidRPr="005363B2">
        <w:rPr>
          <w:i/>
        </w:rPr>
        <w:t xml:space="preserve">(le </w:t>
      </w:r>
      <w:proofErr w:type="spellStart"/>
      <w:r w:rsidRPr="005363B2">
        <w:rPr>
          <w:i/>
        </w:rPr>
        <w:t>français</w:t>
      </w:r>
      <w:proofErr w:type="spellEnd"/>
      <w:r w:rsidRPr="005363B2">
        <w:rPr>
          <w:i/>
        </w:rPr>
        <w:t xml:space="preserve"> suit)</w:t>
      </w:r>
    </w:p>
    <w:p w:rsidR="001C4415" w:rsidRPr="005363B2" w:rsidRDefault="001C4415" w:rsidP="001C4415">
      <w:pPr>
        <w:widowControl w:val="0"/>
      </w:pPr>
    </w:p>
    <w:p w:rsidR="001C4415" w:rsidRPr="005363B2" w:rsidRDefault="000347C1" w:rsidP="00214729">
      <w:pPr>
        <w:widowControl w:val="0"/>
        <w:jc w:val="center"/>
        <w:rPr>
          <w:b/>
        </w:rPr>
      </w:pPr>
      <w:r w:rsidRPr="005363B2">
        <w:fldChar w:fldCharType="begin"/>
      </w:r>
      <w:r w:rsidR="00FA7412" w:rsidRPr="005363B2">
        <w:instrText xml:space="preserve"> SEQ CHAPTER \h \r 1</w:instrText>
      </w:r>
      <w:r w:rsidRPr="005363B2">
        <w:fldChar w:fldCharType="end"/>
      </w:r>
      <w:r w:rsidR="00455BB9" w:rsidRPr="005363B2">
        <w:rPr>
          <w:b/>
        </w:rPr>
        <w:t>JUDGMENT</w:t>
      </w:r>
      <w:r w:rsidR="00E738B3" w:rsidRPr="005363B2">
        <w:rPr>
          <w:b/>
        </w:rPr>
        <w:t>S</w:t>
      </w:r>
      <w:r w:rsidR="00FA7412" w:rsidRPr="005363B2">
        <w:rPr>
          <w:b/>
        </w:rPr>
        <w:t xml:space="preserve"> TO BE RENDERED IN APPEA</w:t>
      </w:r>
      <w:r w:rsidR="00342E49" w:rsidRPr="005363B2">
        <w:rPr>
          <w:b/>
        </w:rPr>
        <w:t>L</w:t>
      </w:r>
      <w:r w:rsidR="006B5FEF" w:rsidRPr="005363B2">
        <w:rPr>
          <w:b/>
        </w:rPr>
        <w:t>S</w:t>
      </w:r>
    </w:p>
    <w:p w:rsidR="005A7C1B" w:rsidRPr="005363B2" w:rsidRDefault="005A7C1B" w:rsidP="005A7C1B">
      <w:pPr>
        <w:widowControl w:val="0"/>
        <w:rPr>
          <w:b/>
        </w:rPr>
      </w:pPr>
    </w:p>
    <w:p w:rsidR="00EC79B0" w:rsidRPr="005363B2" w:rsidRDefault="00C86395" w:rsidP="00EC79B0">
      <w:pPr>
        <w:widowControl w:val="0"/>
        <w:rPr>
          <w:b/>
        </w:rPr>
      </w:pPr>
      <w:r w:rsidRPr="005363B2">
        <w:rPr>
          <w:b/>
        </w:rPr>
        <w:t>Ju</w:t>
      </w:r>
      <w:r w:rsidR="007F25C1" w:rsidRPr="005363B2">
        <w:rPr>
          <w:b/>
        </w:rPr>
        <w:t>ly</w:t>
      </w:r>
      <w:r w:rsidRPr="005363B2">
        <w:rPr>
          <w:b/>
        </w:rPr>
        <w:t xml:space="preserve"> </w:t>
      </w:r>
      <w:r w:rsidR="00D91512">
        <w:rPr>
          <w:b/>
        </w:rPr>
        <w:t>25</w:t>
      </w:r>
      <w:r w:rsidR="00EC79B0" w:rsidRPr="005363B2">
        <w:rPr>
          <w:b/>
        </w:rPr>
        <w:t>, 201</w:t>
      </w:r>
      <w:r w:rsidR="006E5414" w:rsidRPr="005363B2">
        <w:rPr>
          <w:b/>
        </w:rPr>
        <w:t>6</w:t>
      </w:r>
    </w:p>
    <w:p w:rsidR="00EC79B0" w:rsidRPr="005363B2" w:rsidRDefault="00EC79B0" w:rsidP="00EC79B0">
      <w:pPr>
        <w:widowControl w:val="0"/>
        <w:rPr>
          <w:b/>
        </w:rPr>
      </w:pPr>
      <w:r w:rsidRPr="005363B2">
        <w:rPr>
          <w:b/>
        </w:rPr>
        <w:t>For immediate release</w:t>
      </w:r>
    </w:p>
    <w:p w:rsidR="00EC79B0" w:rsidRPr="005363B2" w:rsidRDefault="00EC79B0" w:rsidP="00EC79B0">
      <w:pPr>
        <w:widowControl w:val="0"/>
      </w:pPr>
    </w:p>
    <w:p w:rsidR="00EC79B0" w:rsidRPr="005363B2" w:rsidRDefault="00EC79B0" w:rsidP="00EC79B0">
      <w:pPr>
        <w:widowControl w:val="0"/>
      </w:pPr>
      <w:r w:rsidRPr="005363B2">
        <w:rPr>
          <w:b/>
        </w:rPr>
        <w:t>OTTAWA</w:t>
      </w:r>
      <w:r w:rsidRPr="005363B2">
        <w:t xml:space="preserve"> – The Supreme Court of Canad</w:t>
      </w:r>
      <w:r w:rsidR="00455BB9" w:rsidRPr="005363B2">
        <w:t>a announced today that judgment</w:t>
      </w:r>
      <w:r w:rsidR="00434C8B" w:rsidRPr="005363B2">
        <w:t>s</w:t>
      </w:r>
      <w:r w:rsidRPr="005363B2">
        <w:t xml:space="preserve"> in the following appeal</w:t>
      </w:r>
      <w:r w:rsidR="00E738B3" w:rsidRPr="005363B2">
        <w:t>s</w:t>
      </w:r>
      <w:r w:rsidRPr="005363B2">
        <w:t xml:space="preserve"> will be delivered at 9:45 a.m. E</w:t>
      </w:r>
      <w:r w:rsidR="004E605A" w:rsidRPr="005363B2">
        <w:t>D</w:t>
      </w:r>
      <w:r w:rsidR="00DC6C1E" w:rsidRPr="005363B2">
        <w:t>T</w:t>
      </w:r>
      <w:r w:rsidR="00D74667" w:rsidRPr="005363B2">
        <w:t xml:space="preserve"> on</w:t>
      </w:r>
      <w:r w:rsidR="00DC6C1E" w:rsidRPr="005363B2">
        <w:t xml:space="preserve"> </w:t>
      </w:r>
      <w:r w:rsidR="00E738B3" w:rsidRPr="005363B2">
        <w:t>Friday, Ju</w:t>
      </w:r>
      <w:r w:rsidR="00833B00" w:rsidRPr="005363B2">
        <w:t>ly</w:t>
      </w:r>
      <w:r w:rsidR="00E738B3" w:rsidRPr="005363B2">
        <w:t xml:space="preserve"> </w:t>
      </w:r>
      <w:r w:rsidR="00793A6C" w:rsidRPr="005363B2">
        <w:t>2</w:t>
      </w:r>
      <w:r w:rsidR="00D91512">
        <w:t>9</w:t>
      </w:r>
      <w:r w:rsidR="00E738B3" w:rsidRPr="005363B2">
        <w:t>,</w:t>
      </w:r>
      <w:r w:rsidR="00E63199" w:rsidRPr="005363B2">
        <w:t xml:space="preserve"> 2</w:t>
      </w:r>
      <w:r w:rsidR="0086609D" w:rsidRPr="005363B2">
        <w:t>01</w:t>
      </w:r>
      <w:r w:rsidR="006E5414" w:rsidRPr="005363B2">
        <w:t>6</w:t>
      </w:r>
      <w:r w:rsidR="00455BB9" w:rsidRPr="005363B2">
        <w:t>.  This</w:t>
      </w:r>
      <w:r w:rsidRPr="005363B2">
        <w:t xml:space="preserve"> list is subject to change.</w:t>
      </w:r>
    </w:p>
    <w:p w:rsidR="001C4415" w:rsidRPr="005363B2" w:rsidRDefault="001C4415" w:rsidP="001C4415">
      <w:pPr>
        <w:widowControl w:val="0"/>
      </w:pPr>
    </w:p>
    <w:p w:rsidR="001C4415" w:rsidRPr="005363B2" w:rsidRDefault="001C4415" w:rsidP="001C4415">
      <w:pPr>
        <w:widowControl w:val="0"/>
      </w:pPr>
    </w:p>
    <w:p w:rsidR="001335A1" w:rsidRPr="005363B2" w:rsidRDefault="001335A1" w:rsidP="001335A1">
      <w:pPr>
        <w:widowControl w:val="0"/>
        <w:jc w:val="center"/>
        <w:rPr>
          <w:b/>
          <w:lang w:val="fr-CA"/>
        </w:rPr>
      </w:pPr>
      <w:r w:rsidRPr="005363B2">
        <w:rPr>
          <w:b/>
          <w:lang w:val="fr-CA"/>
        </w:rPr>
        <w:t>PROCHAIN</w:t>
      </w:r>
      <w:r w:rsidR="00E738B3" w:rsidRPr="005363B2">
        <w:rPr>
          <w:b/>
          <w:lang w:val="fr-CA"/>
        </w:rPr>
        <w:t>S</w:t>
      </w:r>
      <w:r w:rsidRPr="005363B2">
        <w:rPr>
          <w:b/>
          <w:lang w:val="fr-CA"/>
        </w:rPr>
        <w:t xml:space="preserve"> JUGEMENT</w:t>
      </w:r>
      <w:r w:rsidR="00E738B3" w:rsidRPr="005363B2">
        <w:rPr>
          <w:b/>
          <w:lang w:val="fr-CA"/>
        </w:rPr>
        <w:t>S</w:t>
      </w:r>
      <w:r w:rsidR="00455BB9" w:rsidRPr="005363B2">
        <w:rPr>
          <w:b/>
          <w:lang w:val="fr-CA"/>
        </w:rPr>
        <w:t xml:space="preserve"> SUR APPEL</w:t>
      </w:r>
      <w:r w:rsidR="00EE75B1" w:rsidRPr="005363B2">
        <w:rPr>
          <w:b/>
          <w:lang w:val="fr-CA"/>
        </w:rPr>
        <w:t>S</w:t>
      </w:r>
    </w:p>
    <w:p w:rsidR="001335A1" w:rsidRPr="005363B2" w:rsidRDefault="001335A1" w:rsidP="001335A1">
      <w:pPr>
        <w:widowControl w:val="0"/>
        <w:rPr>
          <w:lang w:val="fr-CA"/>
        </w:rPr>
      </w:pPr>
    </w:p>
    <w:p w:rsidR="00EC79B0" w:rsidRPr="005363B2" w:rsidRDefault="00EC79B0" w:rsidP="00EC79B0">
      <w:pPr>
        <w:widowControl w:val="0"/>
        <w:rPr>
          <w:b/>
          <w:lang w:val="fr-CA"/>
        </w:rPr>
      </w:pPr>
      <w:r w:rsidRPr="005363B2">
        <w:rPr>
          <w:b/>
          <w:lang w:val="fr-CA"/>
        </w:rPr>
        <w:t xml:space="preserve">Le </w:t>
      </w:r>
      <w:r w:rsidR="00D91512">
        <w:rPr>
          <w:b/>
          <w:lang w:val="fr-CA"/>
        </w:rPr>
        <w:t>25</w:t>
      </w:r>
      <w:r w:rsidR="004E605A" w:rsidRPr="005363B2">
        <w:rPr>
          <w:b/>
          <w:lang w:val="fr-CA"/>
        </w:rPr>
        <w:t xml:space="preserve"> </w:t>
      </w:r>
      <w:r w:rsidR="00C86395" w:rsidRPr="005363B2">
        <w:rPr>
          <w:b/>
          <w:lang w:val="fr-CA"/>
        </w:rPr>
        <w:t>jui</w:t>
      </w:r>
      <w:r w:rsidR="007F25C1" w:rsidRPr="005363B2">
        <w:rPr>
          <w:b/>
          <w:lang w:val="fr-CA"/>
        </w:rPr>
        <w:t>llet</w:t>
      </w:r>
      <w:r w:rsidR="00C86395" w:rsidRPr="005363B2">
        <w:rPr>
          <w:b/>
          <w:lang w:val="fr-CA"/>
        </w:rPr>
        <w:t xml:space="preserve"> </w:t>
      </w:r>
      <w:r w:rsidR="0086609D" w:rsidRPr="005363B2">
        <w:rPr>
          <w:b/>
          <w:lang w:val="fr-CA"/>
        </w:rPr>
        <w:t>201</w:t>
      </w:r>
      <w:r w:rsidR="006E5414" w:rsidRPr="005363B2">
        <w:rPr>
          <w:b/>
          <w:lang w:val="fr-CA"/>
        </w:rPr>
        <w:t>6</w:t>
      </w:r>
    </w:p>
    <w:p w:rsidR="00EC79B0" w:rsidRPr="005363B2" w:rsidRDefault="00EC79B0" w:rsidP="00EC79B0">
      <w:pPr>
        <w:widowControl w:val="0"/>
        <w:rPr>
          <w:b/>
          <w:lang w:val="fr-CA"/>
        </w:rPr>
      </w:pPr>
      <w:r w:rsidRPr="005363B2">
        <w:rPr>
          <w:b/>
          <w:lang w:val="fr-CA"/>
        </w:rPr>
        <w:t>Pour diffusion immédiate</w:t>
      </w:r>
    </w:p>
    <w:p w:rsidR="00EC79B0" w:rsidRPr="005363B2" w:rsidRDefault="00EC79B0" w:rsidP="00EC79B0">
      <w:pPr>
        <w:widowControl w:val="0"/>
        <w:rPr>
          <w:b/>
          <w:lang w:val="fr-CA"/>
        </w:rPr>
      </w:pPr>
    </w:p>
    <w:p w:rsidR="007440A4" w:rsidRPr="005363B2" w:rsidRDefault="007440A4" w:rsidP="007440A4">
      <w:pPr>
        <w:widowControl w:val="0"/>
        <w:rPr>
          <w:lang w:val="fr-CA"/>
        </w:rPr>
      </w:pPr>
      <w:r w:rsidRPr="005363B2">
        <w:rPr>
          <w:b/>
          <w:lang w:val="fr-CA"/>
        </w:rPr>
        <w:t>OTTAWA</w:t>
      </w:r>
      <w:r w:rsidRPr="005363B2">
        <w:rPr>
          <w:lang w:val="fr-CA"/>
        </w:rPr>
        <w:t xml:space="preserve"> – La Cour suprême du Canada annonce que jugement</w:t>
      </w:r>
      <w:r w:rsidR="00434C8B" w:rsidRPr="005363B2">
        <w:rPr>
          <w:lang w:val="fr-CA"/>
        </w:rPr>
        <w:t>s</w:t>
      </w:r>
      <w:r w:rsidRPr="005363B2">
        <w:rPr>
          <w:lang w:val="fr-CA"/>
        </w:rPr>
        <w:t xml:space="preserve"> ser</w:t>
      </w:r>
      <w:r w:rsidR="00434C8B" w:rsidRPr="005363B2">
        <w:rPr>
          <w:lang w:val="fr-CA"/>
        </w:rPr>
        <w:t>ont</w:t>
      </w:r>
      <w:r w:rsidRPr="005363B2">
        <w:rPr>
          <w:lang w:val="fr-CA"/>
        </w:rPr>
        <w:t xml:space="preserve"> rendu</w:t>
      </w:r>
      <w:r w:rsidR="00434C8B" w:rsidRPr="005363B2">
        <w:rPr>
          <w:lang w:val="fr-CA"/>
        </w:rPr>
        <w:t>s</w:t>
      </w:r>
      <w:r w:rsidRPr="005363B2">
        <w:rPr>
          <w:lang w:val="fr-CA"/>
        </w:rPr>
        <w:t xml:space="preserve"> dans les appels suivants </w:t>
      </w:r>
      <w:r w:rsidR="00833B00" w:rsidRPr="005363B2">
        <w:rPr>
          <w:lang w:val="fr-CA"/>
        </w:rPr>
        <w:t xml:space="preserve">le </w:t>
      </w:r>
      <w:r w:rsidRPr="005363B2">
        <w:rPr>
          <w:lang w:val="fr-CA"/>
        </w:rPr>
        <w:t xml:space="preserve">vendredi </w:t>
      </w:r>
      <w:r w:rsidR="00793A6C" w:rsidRPr="005363B2">
        <w:rPr>
          <w:lang w:val="fr-CA"/>
        </w:rPr>
        <w:t>2</w:t>
      </w:r>
      <w:r w:rsidR="00D91512">
        <w:rPr>
          <w:lang w:val="fr-CA"/>
        </w:rPr>
        <w:t>9</w:t>
      </w:r>
      <w:r w:rsidRPr="005363B2">
        <w:rPr>
          <w:lang w:val="fr-CA"/>
        </w:rPr>
        <w:t xml:space="preserve"> jui</w:t>
      </w:r>
      <w:r w:rsidR="00833B00" w:rsidRPr="005363B2">
        <w:rPr>
          <w:lang w:val="fr-CA"/>
        </w:rPr>
        <w:t>llet</w:t>
      </w:r>
      <w:r w:rsidRPr="005363B2">
        <w:rPr>
          <w:lang w:val="fr-CA"/>
        </w:rPr>
        <w:t xml:space="preserve"> 2016, à 9 h 45 HAE.  Cette liste est sujette à modifications.</w:t>
      </w:r>
    </w:p>
    <w:p w:rsidR="001335A1" w:rsidRPr="005363B2" w:rsidRDefault="001335A1" w:rsidP="001335A1">
      <w:pPr>
        <w:widowControl w:val="0"/>
        <w:rPr>
          <w:sz w:val="20"/>
          <w:lang w:val="fr-CA"/>
        </w:rPr>
      </w:pPr>
    </w:p>
    <w:p w:rsidR="001335A1" w:rsidRPr="005363B2" w:rsidRDefault="005C7A4F" w:rsidP="001335A1">
      <w:pPr>
        <w:widowControl w:val="0"/>
        <w:rPr>
          <w:sz w:val="20"/>
          <w:lang w:val="fr-CA"/>
        </w:rPr>
      </w:pPr>
      <w:r w:rsidRPr="005363B2">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8B6C2A" w:rsidRDefault="008B6C2A" w:rsidP="00340C6D">
      <w:pPr>
        <w:jc w:val="both"/>
        <w:rPr>
          <w:i/>
        </w:rPr>
      </w:pPr>
    </w:p>
    <w:p w:rsidR="008B6C2A" w:rsidRDefault="008B6C2A" w:rsidP="00340C6D">
      <w:pPr>
        <w:jc w:val="both"/>
        <w:rPr>
          <w:lang w:val="fr-FR"/>
        </w:rPr>
      </w:pPr>
      <w:r>
        <w:rPr>
          <w:i/>
          <w:lang w:val="fr-FR"/>
        </w:rPr>
        <w:t xml:space="preserve">Ferme Vi-Ber </w:t>
      </w:r>
      <w:proofErr w:type="spellStart"/>
      <w:r>
        <w:rPr>
          <w:i/>
          <w:lang w:val="fr-FR"/>
        </w:rPr>
        <w:t>i</w:t>
      </w:r>
      <w:r w:rsidRPr="00ED48E7">
        <w:rPr>
          <w:i/>
          <w:lang w:val="fr-FR"/>
        </w:rPr>
        <w:t>nc.</w:t>
      </w:r>
      <w:proofErr w:type="spellEnd"/>
      <w:r w:rsidRPr="00ED48E7">
        <w:rPr>
          <w:i/>
          <w:lang w:val="fr-FR"/>
        </w:rPr>
        <w:t xml:space="preserve"> et a</w:t>
      </w:r>
      <w:r>
        <w:rPr>
          <w:i/>
          <w:lang w:val="fr-FR"/>
        </w:rPr>
        <w:t>utres</w:t>
      </w:r>
      <w:r w:rsidRPr="00ED48E7">
        <w:rPr>
          <w:i/>
          <w:lang w:val="fr-FR"/>
        </w:rPr>
        <w:t xml:space="preserve"> </w:t>
      </w:r>
      <w:r>
        <w:rPr>
          <w:i/>
          <w:lang w:val="fr-FR"/>
        </w:rPr>
        <w:t>c</w:t>
      </w:r>
      <w:r>
        <w:rPr>
          <w:i/>
          <w:lang w:val="fr-FR"/>
        </w:rPr>
        <w:t>. Financière a</w:t>
      </w:r>
      <w:r w:rsidRPr="00ED48E7">
        <w:rPr>
          <w:i/>
          <w:lang w:val="fr-FR"/>
        </w:rPr>
        <w:t>gricole du Québec</w:t>
      </w:r>
      <w:r>
        <w:rPr>
          <w:i/>
          <w:lang w:val="fr-FR"/>
        </w:rPr>
        <w:t xml:space="preserve"> </w:t>
      </w:r>
      <w:r>
        <w:rPr>
          <w:lang w:val="fr-FR"/>
        </w:rPr>
        <w:t>(Qc)</w:t>
      </w:r>
      <w:r>
        <w:rPr>
          <w:lang w:val="fr-FR"/>
        </w:rPr>
        <w:t xml:space="preserve"> (</w:t>
      </w:r>
      <w:hyperlink r:id="rId7" w:history="1">
        <w:r w:rsidRPr="008B6C2A">
          <w:rPr>
            <w:rStyle w:val="Hyperlink"/>
            <w:lang w:val="fr-CA"/>
          </w:rPr>
          <w:t>36</w:t>
        </w:r>
        <w:r w:rsidRPr="008B6C2A">
          <w:rPr>
            <w:rStyle w:val="Hyperlink"/>
            <w:lang w:val="fr-CA"/>
          </w:rPr>
          <w:t>20</w:t>
        </w:r>
        <w:r w:rsidRPr="008B6C2A">
          <w:rPr>
            <w:rStyle w:val="Hyperlink"/>
            <w:lang w:val="fr-CA"/>
          </w:rPr>
          <w:t>5</w:t>
        </w:r>
      </w:hyperlink>
      <w:r>
        <w:rPr>
          <w:lang w:val="fr-FR"/>
        </w:rPr>
        <w:t>)</w:t>
      </w:r>
    </w:p>
    <w:p w:rsidR="008B6C2A" w:rsidRDefault="008B6C2A" w:rsidP="00340C6D">
      <w:pPr>
        <w:jc w:val="both"/>
        <w:rPr>
          <w:lang w:val="fr-FR"/>
        </w:rPr>
      </w:pPr>
    </w:p>
    <w:p w:rsidR="008B6C2A" w:rsidRDefault="008B6C2A" w:rsidP="008B6C2A">
      <w:pPr>
        <w:tabs>
          <w:tab w:val="center" w:pos="4680"/>
        </w:tabs>
        <w:rPr>
          <w:lang w:val="fr-FR"/>
        </w:rPr>
      </w:pPr>
      <w:r>
        <w:rPr>
          <w:i/>
          <w:lang w:val="fr-FR"/>
        </w:rPr>
        <w:t>Michel Lafortune</w:t>
      </w:r>
      <w:r>
        <w:rPr>
          <w:i/>
          <w:lang w:val="fr-FR"/>
        </w:rPr>
        <w:t xml:space="preserve"> </w:t>
      </w:r>
      <w:r>
        <w:rPr>
          <w:i/>
          <w:lang w:val="fr-FR"/>
        </w:rPr>
        <w:t xml:space="preserve">et </w:t>
      </w:r>
      <w:r>
        <w:rPr>
          <w:i/>
          <w:lang w:val="fr-FR"/>
        </w:rPr>
        <w:t>autres</w:t>
      </w:r>
      <w:r>
        <w:rPr>
          <w:i/>
          <w:lang w:val="fr-FR"/>
        </w:rPr>
        <w:t xml:space="preserve"> c</w:t>
      </w:r>
      <w:r w:rsidRPr="00ED48E7">
        <w:rPr>
          <w:i/>
          <w:lang w:val="fr-FR"/>
        </w:rPr>
        <w:t>. Financière agricole du Québec</w:t>
      </w:r>
      <w:r>
        <w:rPr>
          <w:i/>
          <w:lang w:val="fr-FR"/>
        </w:rPr>
        <w:t xml:space="preserve"> </w:t>
      </w:r>
      <w:r>
        <w:rPr>
          <w:lang w:val="fr-FR"/>
        </w:rPr>
        <w:t>(Qc)</w:t>
      </w:r>
      <w:r>
        <w:rPr>
          <w:lang w:val="fr-FR"/>
        </w:rPr>
        <w:t xml:space="preserve"> (</w:t>
      </w:r>
      <w:hyperlink r:id="rId8" w:history="1">
        <w:r w:rsidRPr="008B6C2A">
          <w:rPr>
            <w:rStyle w:val="Hyperlink"/>
            <w:lang w:val="fr-CA"/>
          </w:rPr>
          <w:t>36</w:t>
        </w:r>
        <w:r>
          <w:rPr>
            <w:rStyle w:val="Hyperlink"/>
            <w:lang w:val="fr-CA"/>
          </w:rPr>
          <w:t>2</w:t>
        </w:r>
        <w:r>
          <w:rPr>
            <w:rStyle w:val="Hyperlink"/>
            <w:lang w:val="fr-CA"/>
          </w:rPr>
          <w:t>10</w:t>
        </w:r>
      </w:hyperlink>
      <w:r>
        <w:rPr>
          <w:lang w:val="fr-FR"/>
        </w:rPr>
        <w:t>)</w:t>
      </w:r>
    </w:p>
    <w:p w:rsidR="008B6C2A" w:rsidRDefault="008B6C2A" w:rsidP="008B6C2A">
      <w:pPr>
        <w:tabs>
          <w:tab w:val="center" w:pos="4680"/>
        </w:tabs>
        <w:rPr>
          <w:lang w:val="fr-FR"/>
        </w:rPr>
      </w:pPr>
    </w:p>
    <w:p w:rsidR="008B6C2A" w:rsidRPr="009B13F5" w:rsidRDefault="008B6C2A" w:rsidP="008B6C2A">
      <w:pPr>
        <w:tabs>
          <w:tab w:val="center" w:pos="4680"/>
        </w:tabs>
        <w:rPr>
          <w:lang w:val="en-CA"/>
        </w:rPr>
      </w:pPr>
      <w:r w:rsidRPr="009B13F5">
        <w:rPr>
          <w:i/>
          <w:lang w:val="en-CA"/>
        </w:rPr>
        <w:t>Her Majesty the Queen v. Oswald Oliver Villaroman</w:t>
      </w:r>
      <w:r>
        <w:rPr>
          <w:lang w:val="en-CA"/>
        </w:rPr>
        <w:t xml:space="preserve"> (Alta.)</w:t>
      </w:r>
      <w:r>
        <w:rPr>
          <w:lang w:val="en-CA"/>
        </w:rPr>
        <w:t xml:space="preserve"> (</w:t>
      </w:r>
      <w:hyperlink r:id="rId9" w:history="1">
        <w:r w:rsidRPr="005363B2">
          <w:rPr>
            <w:rStyle w:val="Hyperlink"/>
          </w:rPr>
          <w:t>36</w:t>
        </w:r>
        <w:r>
          <w:rPr>
            <w:rStyle w:val="Hyperlink"/>
          </w:rPr>
          <w:t>4</w:t>
        </w:r>
        <w:r>
          <w:rPr>
            <w:rStyle w:val="Hyperlink"/>
          </w:rPr>
          <w:t>3</w:t>
        </w:r>
        <w:r>
          <w:rPr>
            <w:rStyle w:val="Hyperlink"/>
          </w:rPr>
          <w:t>5</w:t>
        </w:r>
      </w:hyperlink>
      <w:r>
        <w:rPr>
          <w:lang w:val="en-CA"/>
        </w:rPr>
        <w:t>)</w:t>
      </w:r>
    </w:p>
    <w:p w:rsidR="00E738B3" w:rsidRPr="005363B2" w:rsidRDefault="00E738B3" w:rsidP="00340C6D">
      <w:pPr>
        <w:jc w:val="both"/>
        <w:rPr>
          <w:szCs w:val="24"/>
        </w:rPr>
      </w:pPr>
    </w:p>
    <w:p w:rsidR="00E738B3" w:rsidRPr="005363B2" w:rsidRDefault="00E738B3" w:rsidP="00340C6D">
      <w:pPr>
        <w:jc w:val="both"/>
        <w:rPr>
          <w:szCs w:val="24"/>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B9636D" w:rsidRPr="00B9636D" w:rsidTr="00631997">
        <w:tc>
          <w:tcPr>
            <w:tcW w:w="543" w:type="pct"/>
          </w:tcPr>
          <w:p w:rsidR="00B9636D" w:rsidRPr="00B9636D" w:rsidRDefault="00B9636D" w:rsidP="00631997">
            <w:pPr>
              <w:rPr>
                <w:sz w:val="20"/>
                <w:lang w:val="en-CA"/>
              </w:rPr>
            </w:pPr>
            <w:r w:rsidRPr="00B9636D">
              <w:rPr>
                <w:rStyle w:val="SCCFileNumberChar"/>
                <w:rFonts w:cs="Times New Roman"/>
                <w:sz w:val="20"/>
                <w:szCs w:val="20"/>
                <w:lang w:val="en-CA"/>
              </w:rPr>
              <w:t>36205</w:t>
            </w:r>
          </w:p>
        </w:tc>
        <w:tc>
          <w:tcPr>
            <w:tcW w:w="4457" w:type="pct"/>
          </w:tcPr>
          <w:p w:rsidR="00B9636D" w:rsidRPr="000B74B9" w:rsidRDefault="00B9636D" w:rsidP="00631997">
            <w:pPr>
              <w:pStyle w:val="SCCLsocParty"/>
              <w:rPr>
                <w:b/>
                <w:i w:val="0"/>
                <w:sz w:val="20"/>
                <w:szCs w:val="20"/>
              </w:rPr>
            </w:pPr>
            <w:r w:rsidRPr="000B74B9">
              <w:rPr>
                <w:b/>
                <w:sz w:val="20"/>
                <w:szCs w:val="20"/>
              </w:rPr>
              <w:t>Ferme Vi</w:t>
            </w:r>
            <w:r w:rsidRPr="000B74B9">
              <w:rPr>
                <w:b/>
                <w:sz w:val="20"/>
                <w:szCs w:val="20"/>
              </w:rPr>
              <w:noBreakHyphen/>
              <w:t>Ber Inc. v. Financière agricole du Québec - and - Simon Cloutier, et al. v. Financière agricole du Québec</w:t>
            </w:r>
          </w:p>
          <w:p w:rsidR="00B9636D" w:rsidRPr="00B9636D" w:rsidRDefault="00B9636D" w:rsidP="001B01D1">
            <w:pPr>
              <w:rPr>
                <w:sz w:val="20"/>
                <w:lang w:val="en-CA"/>
              </w:rPr>
            </w:pPr>
            <w:r w:rsidRPr="00B9636D">
              <w:rPr>
                <w:sz w:val="20"/>
                <w:lang w:val="en-CA"/>
              </w:rPr>
              <w:t>(Que.) (Civil) (By Leave)</w:t>
            </w:r>
          </w:p>
        </w:tc>
      </w:tr>
      <w:tr w:rsidR="00B9636D" w:rsidRPr="00B9636D" w:rsidTr="00631997">
        <w:tc>
          <w:tcPr>
            <w:tcW w:w="5000" w:type="pct"/>
            <w:gridSpan w:val="2"/>
          </w:tcPr>
          <w:p w:rsidR="00B9636D" w:rsidRPr="00B9636D" w:rsidRDefault="00B9636D" w:rsidP="00631997">
            <w:pPr>
              <w:rPr>
                <w:sz w:val="20"/>
                <w:lang w:val="en-CA"/>
              </w:rPr>
            </w:pPr>
          </w:p>
          <w:p w:rsidR="00B9636D" w:rsidRPr="00B9636D" w:rsidRDefault="00B9636D" w:rsidP="00464C42">
            <w:pPr>
              <w:rPr>
                <w:sz w:val="20"/>
                <w:lang w:val="en-CA"/>
              </w:rPr>
            </w:pPr>
            <w:r w:rsidRPr="00B9636D">
              <w:rPr>
                <w:sz w:val="20"/>
                <w:lang w:val="en-CA"/>
              </w:rPr>
              <w:t xml:space="preserve">Agriculture - Contracts - Insurance - Administrative law - Farm income stabilization - Appellants participating in Farm Income Stabilization Insurance Program administered by respondent under </w:t>
            </w:r>
            <w:r w:rsidRPr="00B9636D">
              <w:rPr>
                <w:i/>
                <w:sz w:val="20"/>
                <w:lang w:val="en-CA"/>
              </w:rPr>
              <w:t>Act respecting La Financière agricole du Québec</w:t>
            </w:r>
            <w:r w:rsidRPr="00B9636D">
              <w:rPr>
                <w:sz w:val="20"/>
                <w:lang w:val="en-CA"/>
              </w:rPr>
              <w:t>, R.S.Q., c. L</w:t>
            </w:r>
            <w:r w:rsidRPr="00B9636D">
              <w:rPr>
                <w:sz w:val="20"/>
                <w:lang w:val="en-CA"/>
              </w:rPr>
              <w:noBreakHyphen/>
              <w:t xml:space="preserve">0.1 - Whether Farm Income Stabilization Insurance Program (ASRA) offered to farm producers in Quebec by Financière agricole can be exempted from rules applicable to insurance contracts or to contracts more generally because of its administrative and social nature - Whether </w:t>
            </w:r>
            <w:proofErr w:type="spellStart"/>
            <w:r w:rsidRPr="00B9636D">
              <w:rPr>
                <w:sz w:val="20"/>
                <w:lang w:val="en-CA"/>
              </w:rPr>
              <w:t>Financière</w:t>
            </w:r>
            <w:proofErr w:type="spellEnd"/>
            <w:r w:rsidRPr="00B9636D">
              <w:rPr>
                <w:sz w:val="20"/>
                <w:lang w:val="en-CA"/>
              </w:rPr>
              <w:t xml:space="preserve"> </w:t>
            </w:r>
            <w:proofErr w:type="spellStart"/>
            <w:r w:rsidRPr="00B9636D">
              <w:rPr>
                <w:sz w:val="20"/>
                <w:lang w:val="en-CA"/>
              </w:rPr>
              <w:t>agricole</w:t>
            </w:r>
            <w:proofErr w:type="spellEnd"/>
            <w:r w:rsidRPr="00B9636D">
              <w:rPr>
                <w:sz w:val="20"/>
                <w:lang w:val="en-CA"/>
              </w:rPr>
              <w:t xml:space="preserve"> can, without abusing its contractual rights, adopt mode of compensation that deprives producers of personalized indemnity to which they would otherwise have been entitled based on their situation, because of payment of subsidy by federal government.</w:t>
            </w:r>
          </w:p>
        </w:tc>
      </w:tr>
      <w:tr w:rsidR="00B9636D" w:rsidRPr="00B9636D" w:rsidTr="00631997">
        <w:tc>
          <w:tcPr>
            <w:tcW w:w="5000" w:type="pct"/>
            <w:gridSpan w:val="2"/>
          </w:tcPr>
          <w:p w:rsidR="00B9636D" w:rsidRPr="00B9636D" w:rsidRDefault="00B9636D" w:rsidP="00631997">
            <w:pPr>
              <w:rPr>
                <w:sz w:val="20"/>
                <w:lang w:val="en-CA"/>
              </w:rPr>
            </w:pPr>
          </w:p>
        </w:tc>
      </w:tr>
      <w:tr w:rsidR="00B9636D" w:rsidRPr="00B9636D" w:rsidTr="00631997">
        <w:tc>
          <w:tcPr>
            <w:tcW w:w="5000" w:type="pct"/>
            <w:gridSpan w:val="2"/>
          </w:tcPr>
          <w:p w:rsidR="00B9636D" w:rsidRPr="00B9636D" w:rsidRDefault="00B9636D" w:rsidP="00EA2D2D">
            <w:pPr>
              <w:rPr>
                <w:sz w:val="20"/>
                <w:lang w:val="en-CA"/>
              </w:rPr>
            </w:pPr>
            <w:r w:rsidRPr="00B9636D">
              <w:rPr>
                <w:sz w:val="20"/>
                <w:lang w:val="en-CA"/>
              </w:rPr>
              <w:t xml:space="preserve">The appellants are farm businesses that participated in the Farm Income Stabilization Insurance Program (the “ASRA Program”) administered by the respondent, the Financière agricole du Québec, under the </w:t>
            </w:r>
            <w:r w:rsidRPr="00B9636D">
              <w:rPr>
                <w:i/>
                <w:sz w:val="20"/>
                <w:lang w:val="en-CA"/>
              </w:rPr>
              <w:t>Act respecting La Financière agricole du Québec</w:t>
            </w:r>
            <w:r w:rsidRPr="00B9636D">
              <w:rPr>
                <w:sz w:val="20"/>
                <w:lang w:val="en-CA"/>
              </w:rPr>
              <w:t>, R.S.Q., c. L</w:t>
            </w:r>
            <w:r w:rsidRPr="00B9636D">
              <w:rPr>
                <w:sz w:val="20"/>
                <w:lang w:val="en-CA"/>
              </w:rPr>
              <w:noBreakHyphen/>
              <w:t>0.1. The goal of the ASRA Program is essentially to provide program participants with a positive annual income regardless of market fluctuations. When the market price is lower than the production costs, the Financière pays participants compensation the amount of which is based on the parameters of a typical farm. The appellants sought over $15 million in compensation from the respondent for the year 2007. The Superior Court allowed the appellants’ actions, but the Court of Appeal set aside this decision.</w:t>
            </w:r>
          </w:p>
        </w:tc>
      </w:tr>
    </w:tbl>
    <w:p w:rsidR="00B9636D" w:rsidRPr="00B9636D" w:rsidRDefault="00B9636D">
      <w:pPr>
        <w:rPr>
          <w:sz w:val="20"/>
          <w:lang w:val="en-CA"/>
        </w:rPr>
      </w:pPr>
    </w:p>
    <w:p w:rsidR="000D7425" w:rsidRPr="00B9636D" w:rsidRDefault="000D7425" w:rsidP="00EC79B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B9636D" w:rsidRPr="00B9636D" w:rsidTr="00631997">
        <w:tc>
          <w:tcPr>
            <w:tcW w:w="543" w:type="pct"/>
          </w:tcPr>
          <w:p w:rsidR="00B9636D" w:rsidRPr="00B9636D" w:rsidRDefault="00B9636D" w:rsidP="00631997">
            <w:pPr>
              <w:rPr>
                <w:sz w:val="20"/>
              </w:rPr>
            </w:pPr>
            <w:r w:rsidRPr="00B9636D">
              <w:rPr>
                <w:rStyle w:val="SCCFileNumberChar"/>
                <w:rFonts w:cs="Times New Roman"/>
                <w:sz w:val="20"/>
                <w:szCs w:val="20"/>
              </w:rPr>
              <w:t>36205</w:t>
            </w:r>
          </w:p>
        </w:tc>
        <w:tc>
          <w:tcPr>
            <w:tcW w:w="4457" w:type="pct"/>
          </w:tcPr>
          <w:p w:rsidR="00B9636D" w:rsidRPr="000B74B9" w:rsidRDefault="00B9636D" w:rsidP="00631997">
            <w:pPr>
              <w:pStyle w:val="SCCLsocParty"/>
              <w:rPr>
                <w:b/>
                <w:i w:val="0"/>
                <w:sz w:val="20"/>
                <w:szCs w:val="20"/>
              </w:rPr>
            </w:pPr>
            <w:r w:rsidRPr="000B74B9">
              <w:rPr>
                <w:b/>
                <w:sz w:val="20"/>
                <w:szCs w:val="20"/>
              </w:rPr>
              <w:t>Ferme Vi-Ber Inc. c. Financière Agricole du Québec - et entre - Simon Cloutier, et al. c. Financière Agricole du Québec</w:t>
            </w:r>
          </w:p>
          <w:p w:rsidR="00B9636D" w:rsidRPr="00B9636D" w:rsidRDefault="00B9636D" w:rsidP="00631997">
            <w:pPr>
              <w:rPr>
                <w:sz w:val="20"/>
              </w:rPr>
            </w:pPr>
            <w:r w:rsidRPr="00B9636D">
              <w:rPr>
                <w:sz w:val="20"/>
              </w:rPr>
              <w:t>(Qc) (</w:t>
            </w:r>
            <w:proofErr w:type="spellStart"/>
            <w:r w:rsidRPr="00B9636D">
              <w:rPr>
                <w:sz w:val="20"/>
              </w:rPr>
              <w:t>Civile</w:t>
            </w:r>
            <w:proofErr w:type="spellEnd"/>
            <w:r w:rsidRPr="00B9636D">
              <w:rPr>
                <w:sz w:val="20"/>
              </w:rPr>
              <w:t>) (</w:t>
            </w:r>
            <w:proofErr w:type="spellStart"/>
            <w:r w:rsidRPr="00B9636D">
              <w:rPr>
                <w:sz w:val="20"/>
              </w:rPr>
              <w:t>Autorisation</w:t>
            </w:r>
            <w:proofErr w:type="spellEnd"/>
            <w:r w:rsidRPr="00B9636D">
              <w:rPr>
                <w:sz w:val="20"/>
              </w:rPr>
              <w:t>)</w:t>
            </w:r>
          </w:p>
        </w:tc>
      </w:tr>
      <w:tr w:rsidR="00B9636D" w:rsidRPr="00B9636D" w:rsidTr="00631997">
        <w:tc>
          <w:tcPr>
            <w:tcW w:w="5000" w:type="pct"/>
            <w:gridSpan w:val="2"/>
          </w:tcPr>
          <w:p w:rsidR="00B9636D" w:rsidRPr="00B9636D" w:rsidRDefault="00B9636D" w:rsidP="00631997">
            <w:pPr>
              <w:rPr>
                <w:sz w:val="20"/>
                <w:lang w:val="fr-CA"/>
              </w:rPr>
            </w:pPr>
          </w:p>
          <w:p w:rsidR="00B9636D" w:rsidRPr="00B9636D" w:rsidRDefault="00B9636D" w:rsidP="00074FC5">
            <w:pPr>
              <w:rPr>
                <w:sz w:val="20"/>
                <w:lang w:val="fr-FR"/>
              </w:rPr>
            </w:pPr>
            <w:r w:rsidRPr="00B9636D">
              <w:rPr>
                <w:sz w:val="20"/>
                <w:lang w:val="fr-FR"/>
              </w:rPr>
              <w:t xml:space="preserve">Agriculture - Contrats - Assurance - Droit administratif - Stabilisation des revenus agricoles - Appelants adhérant au Programme d’assurance stabilisation des revenus agricoles administré par l’intimée en vertu de la </w:t>
            </w:r>
            <w:r w:rsidRPr="00B9636D">
              <w:rPr>
                <w:i/>
                <w:sz w:val="20"/>
                <w:lang w:val="fr-FR"/>
              </w:rPr>
              <w:t>Loi sur la Financière agricole du Québec</w:t>
            </w:r>
            <w:r w:rsidRPr="00B9636D">
              <w:rPr>
                <w:sz w:val="20"/>
                <w:lang w:val="fr-FR"/>
              </w:rPr>
              <w:t>, L.R.Q., c. L-0.1 - Le Programme d’assurance stabilisation des revenus agricoles (ASRA), offert aux producteurs agricoles du Québec par la Financière agricole, peut-il être soustrait, en raison de son caractère administratif et social, aux règles applicables en matière de contrat d’assurance ou plus généralement en matière de contrat? - La Financière agricole peut-elle, sans abuser de ses droits contractuels, adopter un mode de compensation qui prive le producteur de l’indemnisation personnalisée à laquelle il aurait eu autrement droit en tenant compte de sa situation et ce, en raison du versement d’une subvention par le gouvernement fédéral?</w:t>
            </w:r>
          </w:p>
          <w:p w:rsidR="00B9636D" w:rsidRPr="00B9636D" w:rsidRDefault="00B9636D" w:rsidP="00631997">
            <w:pPr>
              <w:rPr>
                <w:sz w:val="20"/>
                <w:lang w:val="fr-FR"/>
              </w:rPr>
            </w:pPr>
          </w:p>
        </w:tc>
      </w:tr>
      <w:tr w:rsidR="00B9636D" w:rsidRPr="00B9636D" w:rsidTr="00631997">
        <w:tc>
          <w:tcPr>
            <w:tcW w:w="5000" w:type="pct"/>
            <w:gridSpan w:val="2"/>
          </w:tcPr>
          <w:p w:rsidR="00B9636D" w:rsidRPr="00B9636D" w:rsidRDefault="00B9636D" w:rsidP="00C0487F">
            <w:pPr>
              <w:rPr>
                <w:sz w:val="20"/>
                <w:lang w:val="fr-CA"/>
              </w:rPr>
            </w:pPr>
            <w:r w:rsidRPr="00B9636D">
              <w:rPr>
                <w:sz w:val="20"/>
                <w:lang w:val="fr-CA"/>
              </w:rPr>
              <w:t xml:space="preserve">Les appelants sont des entreprises agricoles qui ont adhéré au Programme d’assurance stabilisation des revenus agricoles (le « Programme ASRA ») administré par l’intimée la Financière agricole du Québec en vertu de la </w:t>
            </w:r>
            <w:r w:rsidRPr="00B9636D">
              <w:rPr>
                <w:i/>
                <w:sz w:val="20"/>
                <w:lang w:val="fr-CA"/>
              </w:rPr>
              <w:t>Loi sur la Financière agricole du Québec</w:t>
            </w:r>
            <w:r w:rsidRPr="00B9636D">
              <w:rPr>
                <w:sz w:val="20"/>
                <w:lang w:val="fr-CA"/>
              </w:rPr>
              <w:t>, L.R.Q., c. L-0.1. Le Programme ASRA vise essentiellement à garantir un revenu annuel positif aux adhérents du programme, et ce malgré les fluctuations des marchés. Lorsque le prix du marché est inférieur aux coûts de production, la Financière verse aux adhérents une compensation dont le calcul repose sur les paramètres d’une ferme-type. Les appelants réclament de l’intimée pour l’année 2007 plus de 15 millions de dollars en compensation. La Cour supérieure a accueilli les actions des appelants, mais la Cour d’appel a infirmé cette décision.</w:t>
            </w:r>
          </w:p>
        </w:tc>
      </w:tr>
    </w:tbl>
    <w:p w:rsidR="00B9636D" w:rsidRPr="00B9636D" w:rsidRDefault="00B9636D">
      <w:pPr>
        <w:rPr>
          <w:sz w:val="20"/>
          <w:lang w:val="fr-CA"/>
        </w:rPr>
      </w:pPr>
    </w:p>
    <w:p w:rsidR="00B9636D" w:rsidRPr="00B9636D" w:rsidRDefault="00B9636D" w:rsidP="00EC79B0">
      <w:pPr>
        <w:jc w:val="both"/>
        <w:rPr>
          <w:sz w:val="20"/>
          <w:lang w:val="fr-CA"/>
        </w:rPr>
      </w:pPr>
    </w:p>
    <w:p w:rsidR="00B9636D" w:rsidRPr="00B9636D" w:rsidRDefault="00B9636D" w:rsidP="00952286">
      <w:pPr>
        <w:widowControl w:val="0"/>
        <w:ind w:left="720" w:hanging="720"/>
        <w:jc w:val="both"/>
        <w:rPr>
          <w:b/>
          <w:i/>
          <w:sz w:val="20"/>
          <w:lang w:val="fr-CA"/>
        </w:rPr>
      </w:pPr>
      <w:bookmarkStart w:id="0" w:name="1"/>
      <w:bookmarkEnd w:id="0"/>
      <w:r w:rsidRPr="00B9636D">
        <w:rPr>
          <w:b/>
          <w:sz w:val="20"/>
          <w:lang w:val="fr-CA"/>
        </w:rPr>
        <w:t>36210</w:t>
      </w:r>
      <w:r w:rsidRPr="00B9636D">
        <w:rPr>
          <w:sz w:val="20"/>
          <w:lang w:val="en-CA"/>
        </w:rPr>
        <w:fldChar w:fldCharType="begin"/>
      </w:r>
      <w:r w:rsidRPr="00B9636D">
        <w:rPr>
          <w:sz w:val="20"/>
          <w:lang w:val="fr-CA"/>
        </w:rPr>
        <w:instrText xml:space="preserve"> SEQ CHAPTER \h \r 1</w:instrText>
      </w:r>
      <w:r w:rsidRPr="00B9636D">
        <w:rPr>
          <w:sz w:val="20"/>
          <w:lang w:val="en-CA"/>
        </w:rPr>
        <w:fldChar w:fldCharType="end"/>
      </w:r>
      <w:r w:rsidRPr="00B9636D">
        <w:rPr>
          <w:sz w:val="20"/>
          <w:lang w:val="fr-CA"/>
        </w:rPr>
        <w:tab/>
      </w:r>
      <w:bookmarkStart w:id="1" w:name="3"/>
      <w:bookmarkEnd w:id="1"/>
      <w:r w:rsidRPr="00B9636D">
        <w:rPr>
          <w:b/>
          <w:i/>
          <w:sz w:val="20"/>
          <w:lang w:val="fr-CA"/>
        </w:rPr>
        <w:t xml:space="preserve">Michel </w:t>
      </w:r>
      <w:proofErr w:type="spellStart"/>
      <w:r w:rsidRPr="00B9636D">
        <w:rPr>
          <w:b/>
          <w:i/>
          <w:sz w:val="20"/>
          <w:lang w:val="fr-CA"/>
        </w:rPr>
        <w:t>Lafortune</w:t>
      </w:r>
      <w:proofErr w:type="spellEnd"/>
      <w:r w:rsidRPr="00B9636D">
        <w:rPr>
          <w:b/>
          <w:i/>
          <w:sz w:val="20"/>
          <w:lang w:val="fr-CA"/>
        </w:rPr>
        <w:t xml:space="preserve">, et al. </w:t>
      </w:r>
      <w:proofErr w:type="gramStart"/>
      <w:r w:rsidRPr="00B9636D">
        <w:rPr>
          <w:b/>
          <w:i/>
          <w:sz w:val="20"/>
          <w:lang w:val="fr-CA"/>
        </w:rPr>
        <w:t>v</w:t>
      </w:r>
      <w:proofErr w:type="gramEnd"/>
      <w:r w:rsidRPr="00B9636D">
        <w:rPr>
          <w:b/>
          <w:i/>
          <w:sz w:val="20"/>
          <w:lang w:val="fr-CA"/>
        </w:rPr>
        <w:t>. Financière agricole du Québec</w:t>
      </w:r>
    </w:p>
    <w:p w:rsidR="00B9636D" w:rsidRPr="00B9636D" w:rsidRDefault="00B9636D" w:rsidP="00952286">
      <w:pPr>
        <w:widowControl w:val="0"/>
        <w:ind w:left="720" w:hanging="720"/>
        <w:jc w:val="both"/>
        <w:rPr>
          <w:sz w:val="20"/>
          <w:lang w:val="en-CA"/>
        </w:rPr>
      </w:pPr>
      <w:r w:rsidRPr="00B9636D">
        <w:rPr>
          <w:b/>
          <w:sz w:val="20"/>
          <w:lang w:val="fr-CA"/>
        </w:rPr>
        <w:tab/>
      </w:r>
      <w:r w:rsidRPr="00B9636D">
        <w:rPr>
          <w:sz w:val="20"/>
          <w:lang w:val="en-CA"/>
        </w:rPr>
        <w:t>(Que.) (Civil) (By Leave)</w:t>
      </w:r>
    </w:p>
    <w:p w:rsidR="00B9636D" w:rsidRPr="00B9636D" w:rsidRDefault="00B9636D" w:rsidP="00CF5E68">
      <w:pPr>
        <w:jc w:val="both"/>
        <w:rPr>
          <w:sz w:val="20"/>
          <w:lang w:val="en-CA"/>
        </w:rPr>
      </w:pPr>
      <w:bookmarkStart w:id="2" w:name="QuickMark_1"/>
      <w:bookmarkEnd w:id="2"/>
    </w:p>
    <w:p w:rsidR="00B9636D" w:rsidRPr="00B9636D" w:rsidRDefault="00B9636D" w:rsidP="00CF5E68">
      <w:pPr>
        <w:jc w:val="both"/>
        <w:rPr>
          <w:sz w:val="20"/>
          <w:lang w:val="en-CA"/>
        </w:rPr>
      </w:pPr>
      <w:r w:rsidRPr="00B9636D">
        <w:rPr>
          <w:sz w:val="20"/>
          <w:lang w:val="en-CA"/>
        </w:rPr>
        <w:t xml:space="preserve">Agriculture - Contracts - Insurance - Administrative law - Farm income stabilization - Appellants participating in Farm Income Stabilization Insurance Program administered by respondent under </w:t>
      </w:r>
      <w:r w:rsidRPr="00B9636D">
        <w:rPr>
          <w:i/>
          <w:sz w:val="20"/>
          <w:lang w:val="en-CA"/>
        </w:rPr>
        <w:t>Act respecting La Financière agricole du Québec</w:t>
      </w:r>
      <w:r w:rsidRPr="00B9636D">
        <w:rPr>
          <w:sz w:val="20"/>
          <w:lang w:val="en-CA"/>
        </w:rPr>
        <w:t>, R.S.Q., c. L</w:t>
      </w:r>
      <w:r w:rsidRPr="00B9636D">
        <w:rPr>
          <w:sz w:val="20"/>
          <w:lang w:val="en-CA"/>
        </w:rPr>
        <w:noBreakHyphen/>
        <w:t xml:space="preserve">0.1 - Whether Program constitutes insurance contract or administrative contract </w:t>
      </w:r>
      <w:r w:rsidRPr="00B9636D">
        <w:rPr>
          <w:i/>
          <w:sz w:val="20"/>
          <w:lang w:val="en-CA"/>
        </w:rPr>
        <w:t>sui generis</w:t>
      </w:r>
      <w:r w:rsidRPr="00B9636D">
        <w:rPr>
          <w:sz w:val="20"/>
          <w:lang w:val="en-CA"/>
        </w:rPr>
        <w:t xml:space="preserve"> - Whether lower courts erred in refusing to award damages to appellants.</w:t>
      </w:r>
    </w:p>
    <w:p w:rsidR="00B9636D" w:rsidRPr="00B9636D" w:rsidRDefault="00B9636D" w:rsidP="00CF5E68">
      <w:pPr>
        <w:widowControl w:val="0"/>
        <w:jc w:val="both"/>
        <w:rPr>
          <w:sz w:val="20"/>
          <w:lang w:val="en-CA"/>
        </w:rPr>
      </w:pPr>
    </w:p>
    <w:p w:rsidR="00B9636D" w:rsidRPr="00B9636D" w:rsidRDefault="00B9636D" w:rsidP="00B46324">
      <w:pPr>
        <w:jc w:val="both"/>
        <w:rPr>
          <w:sz w:val="20"/>
          <w:lang w:val="en-CA"/>
        </w:rPr>
      </w:pPr>
      <w:r w:rsidRPr="00B9636D">
        <w:rPr>
          <w:sz w:val="20"/>
          <w:lang w:val="en-CA"/>
        </w:rPr>
        <w:t xml:space="preserve">The appellants are hog and piglet producers that participated in the Farm Income Stabilization Insurance Program (the “ASRA Program”) administered by the respondent, the Financière agricole du Québec, under the </w:t>
      </w:r>
      <w:r w:rsidRPr="00B9636D">
        <w:rPr>
          <w:i/>
          <w:sz w:val="20"/>
          <w:lang w:val="en-CA"/>
        </w:rPr>
        <w:t>Act respecting La Financière agricole du Québec</w:t>
      </w:r>
      <w:r w:rsidRPr="00B9636D">
        <w:rPr>
          <w:sz w:val="20"/>
          <w:lang w:val="en-CA"/>
        </w:rPr>
        <w:t>, R.S.Q., c. L</w:t>
      </w:r>
      <w:r w:rsidRPr="00B9636D">
        <w:rPr>
          <w:sz w:val="20"/>
          <w:lang w:val="en-CA"/>
        </w:rPr>
        <w:noBreakHyphen/>
        <w:t>0.1.  The goal of the ASRA Program is essentially to provide program participants with a positive annual income regardless of market fluctuations.  When the market price is lower than the production costs, the Financière pays participants compensation the amount of which is based on the parameters of a typical farm.  The appellants are claiming over $77 million, which represents the compensation to which they consider to be entitled for the years 2006, 2007 and 2008.  The Superior Court dismissed the appellants’ action, and the Court of Appeal upheld this decision.</w:t>
      </w:r>
    </w:p>
    <w:p w:rsidR="00B9636D" w:rsidRPr="00B9636D" w:rsidRDefault="00B9636D" w:rsidP="003F609A">
      <w:pPr>
        <w:widowControl w:val="0"/>
        <w:ind w:left="720" w:hanging="720"/>
        <w:jc w:val="both"/>
        <w:rPr>
          <w:b/>
          <w:sz w:val="20"/>
          <w:lang w:val="fr-CA"/>
        </w:rPr>
      </w:pPr>
    </w:p>
    <w:p w:rsidR="00B9636D" w:rsidRPr="00B9636D" w:rsidRDefault="00B9636D" w:rsidP="003F609A">
      <w:pPr>
        <w:widowControl w:val="0"/>
        <w:ind w:left="720" w:hanging="720"/>
        <w:jc w:val="both"/>
        <w:rPr>
          <w:b/>
          <w:sz w:val="20"/>
          <w:lang w:val="fr-CA"/>
        </w:rPr>
      </w:pPr>
    </w:p>
    <w:p w:rsidR="00B9636D" w:rsidRPr="00B9636D" w:rsidRDefault="00B9636D" w:rsidP="003F609A">
      <w:pPr>
        <w:widowControl w:val="0"/>
        <w:ind w:left="720" w:hanging="720"/>
        <w:jc w:val="both"/>
        <w:rPr>
          <w:b/>
          <w:i/>
          <w:sz w:val="20"/>
          <w:lang w:val="fr-FR"/>
        </w:rPr>
      </w:pPr>
      <w:r w:rsidRPr="00B9636D">
        <w:rPr>
          <w:b/>
          <w:sz w:val="20"/>
          <w:lang w:val="fr-CA"/>
        </w:rPr>
        <w:t>36210</w:t>
      </w:r>
      <w:r w:rsidRPr="00B9636D">
        <w:rPr>
          <w:sz w:val="20"/>
        </w:rPr>
        <w:fldChar w:fldCharType="begin"/>
      </w:r>
      <w:r w:rsidRPr="00B9636D">
        <w:rPr>
          <w:sz w:val="20"/>
          <w:lang w:val="fr-CA"/>
        </w:rPr>
        <w:instrText xml:space="preserve"> SEQ CHAPTER \h \r 1</w:instrText>
      </w:r>
      <w:r w:rsidRPr="00B9636D">
        <w:rPr>
          <w:sz w:val="20"/>
          <w:lang w:val="fr-CA"/>
        </w:rPr>
        <w:fldChar w:fldCharType="end"/>
      </w:r>
      <w:r w:rsidRPr="00B9636D">
        <w:rPr>
          <w:sz w:val="20"/>
          <w:lang w:val="fr-CA"/>
        </w:rPr>
        <w:tab/>
      </w:r>
      <w:r w:rsidRPr="00B9636D">
        <w:rPr>
          <w:b/>
          <w:i/>
          <w:sz w:val="20"/>
          <w:lang w:val="fr-FR"/>
        </w:rPr>
        <w:t>Michel Lafortune, et autres c.</w:t>
      </w:r>
      <w:r w:rsidRPr="00B9636D">
        <w:rPr>
          <w:b/>
          <w:i/>
          <w:sz w:val="20"/>
          <w:lang w:val="fr-CA"/>
        </w:rPr>
        <w:t xml:space="preserve"> </w:t>
      </w:r>
      <w:r w:rsidRPr="00B9636D">
        <w:rPr>
          <w:b/>
          <w:i/>
          <w:sz w:val="20"/>
          <w:lang w:val="fr-FR"/>
        </w:rPr>
        <w:t>Financière agricole du Québec</w:t>
      </w:r>
    </w:p>
    <w:p w:rsidR="00B9636D" w:rsidRPr="00B9636D" w:rsidRDefault="00B9636D" w:rsidP="003F609A">
      <w:pPr>
        <w:widowControl w:val="0"/>
        <w:ind w:left="720" w:hanging="720"/>
        <w:jc w:val="both"/>
        <w:rPr>
          <w:sz w:val="20"/>
          <w:lang w:val="fr-CA"/>
        </w:rPr>
      </w:pPr>
      <w:r w:rsidRPr="00B9636D">
        <w:rPr>
          <w:b/>
          <w:sz w:val="20"/>
          <w:lang w:val="fr-CA"/>
        </w:rPr>
        <w:tab/>
      </w:r>
      <w:r w:rsidRPr="00B9636D">
        <w:rPr>
          <w:sz w:val="20"/>
          <w:lang w:val="fr-CA"/>
        </w:rPr>
        <w:t>(Qc) (Civile) (Autorisation)</w:t>
      </w:r>
    </w:p>
    <w:p w:rsidR="00B9636D" w:rsidRPr="00B9636D" w:rsidRDefault="00B9636D" w:rsidP="003F609A">
      <w:pPr>
        <w:jc w:val="both"/>
        <w:rPr>
          <w:sz w:val="20"/>
          <w:lang w:val="fr-CA"/>
        </w:rPr>
      </w:pPr>
    </w:p>
    <w:p w:rsidR="00B9636D" w:rsidRPr="00B9636D" w:rsidRDefault="00B9636D" w:rsidP="003F609A">
      <w:pPr>
        <w:jc w:val="both"/>
        <w:rPr>
          <w:rFonts w:eastAsiaTheme="minorHAnsi"/>
          <w:sz w:val="20"/>
          <w:lang w:val="fr-FR"/>
        </w:rPr>
      </w:pPr>
      <w:r w:rsidRPr="00B9636D">
        <w:rPr>
          <w:sz w:val="20"/>
          <w:lang w:val="fr-FR"/>
        </w:rPr>
        <w:t xml:space="preserve">Agriculture - Contrats - Assurance - Droit administratif - Stabilisation des revenus agricoles - Appelants adhérant au Programme d’assurance stabilisation des revenus agricoles administré par l’intimée en vertu de la </w:t>
      </w:r>
      <w:r w:rsidRPr="00B9636D">
        <w:rPr>
          <w:i/>
          <w:sz w:val="20"/>
          <w:lang w:val="fr-FR"/>
        </w:rPr>
        <w:t>Loi sur la Financière agricole du Québec</w:t>
      </w:r>
      <w:r w:rsidRPr="00B9636D">
        <w:rPr>
          <w:sz w:val="20"/>
          <w:lang w:val="fr-FR"/>
        </w:rPr>
        <w:t xml:space="preserve">, L.R.Q., c. L-0.1 - Le Programme constitue-t-il un contrat d’assurance ou un contrat administratif </w:t>
      </w:r>
      <w:r w:rsidRPr="00B9636D">
        <w:rPr>
          <w:i/>
          <w:sz w:val="20"/>
          <w:lang w:val="fr-FR"/>
        </w:rPr>
        <w:t>sui generis</w:t>
      </w:r>
      <w:r w:rsidRPr="00B9636D">
        <w:rPr>
          <w:sz w:val="20"/>
          <w:lang w:val="fr-FR"/>
        </w:rPr>
        <w:t xml:space="preserve">? - Les cours inférieures </w:t>
      </w:r>
      <w:proofErr w:type="spellStart"/>
      <w:r w:rsidRPr="00B9636D">
        <w:rPr>
          <w:sz w:val="20"/>
          <w:lang w:val="fr-FR"/>
        </w:rPr>
        <w:t>ont-elles</w:t>
      </w:r>
      <w:proofErr w:type="spellEnd"/>
      <w:r w:rsidRPr="00B9636D">
        <w:rPr>
          <w:sz w:val="20"/>
          <w:lang w:val="fr-FR"/>
        </w:rPr>
        <w:t xml:space="preserve"> fait une erreur en refusant d’octroyer des dommages-intérêts aux appelants?</w:t>
      </w:r>
    </w:p>
    <w:p w:rsidR="00B9636D" w:rsidRPr="00B9636D" w:rsidRDefault="00B9636D" w:rsidP="003F609A">
      <w:pPr>
        <w:widowControl w:val="0"/>
        <w:jc w:val="both"/>
        <w:rPr>
          <w:sz w:val="20"/>
          <w:lang w:val="fr-FR"/>
        </w:rPr>
      </w:pPr>
    </w:p>
    <w:p w:rsidR="00B9636D" w:rsidRPr="00B9636D" w:rsidRDefault="00B9636D" w:rsidP="003F609A">
      <w:pPr>
        <w:jc w:val="both"/>
        <w:rPr>
          <w:sz w:val="20"/>
          <w:lang w:val="fr-CA"/>
        </w:rPr>
      </w:pPr>
      <w:r w:rsidRPr="00B9636D">
        <w:rPr>
          <w:sz w:val="20"/>
          <w:lang w:val="fr-FR"/>
        </w:rPr>
        <w:t xml:space="preserve">Les appelants sont des producteurs de porcs et de porcelets qui ont adhéré au Programme d’assurance stabilisation des revenus agricoles (le « Programme ASRA ») administré par l’intimée la Financière agricole du Québec en vertu de la </w:t>
      </w:r>
      <w:r w:rsidRPr="00B9636D">
        <w:rPr>
          <w:i/>
          <w:sz w:val="20"/>
          <w:lang w:val="fr-FR"/>
        </w:rPr>
        <w:t>Loi sur la Financière agricole du Québec</w:t>
      </w:r>
      <w:r w:rsidRPr="00B9636D">
        <w:rPr>
          <w:sz w:val="20"/>
          <w:lang w:val="fr-FR"/>
        </w:rPr>
        <w:t>, L.R.Q., c. L-0.1. Le Programme ASRA vise essentiellement à garantir un revenu annuel positif aux adhérents du programme, et ce malgré les fluctuations des marchés. Lorsque le prix du marché est inférieur aux coûts de production, la Financière verse aux adhérents une compensation dont le calcul repose sur les paramètres d’une ferme-type. Les appelants réclament plus de 77 millions de dollars, somme qui représente la compensation à laquelle ils estiment avoir droit pour les années 2006, 2007 et 2008. La Cour supérieure a rejeté l’action des appelants et la Cour d’appel a confirmé cette décision.</w:t>
      </w:r>
    </w:p>
    <w:p w:rsidR="000D7425" w:rsidRPr="00B9636D" w:rsidRDefault="000D7425" w:rsidP="00EC79B0">
      <w:pPr>
        <w:jc w:val="both"/>
        <w:rPr>
          <w:sz w:val="20"/>
          <w:lang w:val="fr-CA"/>
        </w:rPr>
      </w:pPr>
    </w:p>
    <w:p w:rsidR="000D7425" w:rsidRPr="00B9636D" w:rsidRDefault="000D7425" w:rsidP="00EC79B0">
      <w:pPr>
        <w:jc w:val="both"/>
        <w:rPr>
          <w:sz w:val="20"/>
          <w:lang w:val="fr-CA"/>
        </w:rPr>
      </w:pPr>
    </w:p>
    <w:p w:rsidR="00B9636D" w:rsidRPr="00B9636D" w:rsidRDefault="00B9636D" w:rsidP="00D86A73">
      <w:pPr>
        <w:widowControl w:val="0"/>
        <w:ind w:left="720" w:hanging="720"/>
        <w:jc w:val="both"/>
        <w:rPr>
          <w:sz w:val="20"/>
          <w:lang w:val="en-CA"/>
        </w:rPr>
      </w:pPr>
      <w:r w:rsidRPr="00B9636D">
        <w:rPr>
          <w:b/>
          <w:sz w:val="20"/>
          <w:lang w:val="en-CA"/>
        </w:rPr>
        <w:fldChar w:fldCharType="begin"/>
      </w:r>
      <w:r w:rsidRPr="00B9636D">
        <w:rPr>
          <w:b/>
          <w:sz w:val="20"/>
        </w:rPr>
        <w:instrText xml:space="preserve"> SEQ CHAPTER \h \r 1</w:instrText>
      </w:r>
      <w:r w:rsidRPr="00B9636D">
        <w:rPr>
          <w:b/>
          <w:sz w:val="20"/>
        </w:rPr>
        <w:fldChar w:fldCharType="end"/>
      </w:r>
      <w:r w:rsidRPr="00B9636D">
        <w:rPr>
          <w:b/>
          <w:sz w:val="20"/>
          <w:lang w:val="en-CA"/>
        </w:rPr>
        <w:t>36435</w:t>
      </w:r>
      <w:r w:rsidRPr="00B9636D">
        <w:rPr>
          <w:sz w:val="20"/>
          <w:lang w:val="en-CA"/>
        </w:rPr>
        <w:tab/>
      </w:r>
      <w:r w:rsidRPr="00B9636D">
        <w:rPr>
          <w:b/>
          <w:i/>
          <w:sz w:val="20"/>
          <w:lang w:val="en-CA"/>
        </w:rPr>
        <w:t xml:space="preserve">Her </w:t>
      </w:r>
      <w:r w:rsidRPr="00B9636D">
        <w:rPr>
          <w:b/>
          <w:i/>
          <w:sz w:val="20"/>
        </w:rPr>
        <w:t>Majesty</w:t>
      </w:r>
      <w:r w:rsidRPr="00B9636D">
        <w:rPr>
          <w:b/>
          <w:i/>
          <w:sz w:val="20"/>
          <w:lang w:val="en-CA"/>
        </w:rPr>
        <w:t xml:space="preserve"> the Queen v. Oswald Oliver Villaroman</w:t>
      </w:r>
    </w:p>
    <w:p w:rsidR="00B9636D" w:rsidRPr="00B9636D" w:rsidRDefault="00B9636D" w:rsidP="006A0502">
      <w:pPr>
        <w:tabs>
          <w:tab w:val="center" w:pos="4680"/>
        </w:tabs>
        <w:rPr>
          <w:sz w:val="20"/>
          <w:lang w:val="en-CA"/>
        </w:rPr>
      </w:pPr>
    </w:p>
    <w:p w:rsidR="00B9636D" w:rsidRPr="00B9636D" w:rsidRDefault="00B9636D" w:rsidP="006A0502">
      <w:pPr>
        <w:jc w:val="both"/>
        <w:rPr>
          <w:sz w:val="20"/>
          <w:lang w:val="en-CA"/>
        </w:rPr>
      </w:pPr>
      <w:r w:rsidRPr="00B9636D">
        <w:rPr>
          <w:sz w:val="20"/>
        </w:rPr>
        <w:t>Criminal law - Evidence - Circumstantial evidence - Offence - Elements of Offence - Possession of child pornography - Whether the Court of Appeal’s decision creates a checklist for proving digital child pornography possession that is unique to Alberta, creating inconsistency in the law across the country - Whether this checklist places a standard of proof on the Crown that is literally unattainable - Whether there is a conflict in the case law regarding when guilt may be found in a circumstantial case - According to the court below, the jurisprudence can be interpreted as holding that an unreasonable verdict must result where a circumstantial case permits any innocent explanation, even one with no foundation in the evidence - Whether there are unresolved grounds of appeal.</w:t>
      </w:r>
    </w:p>
    <w:p w:rsidR="00B9636D" w:rsidRPr="00B9636D" w:rsidRDefault="00B9636D" w:rsidP="006A0502">
      <w:pPr>
        <w:tabs>
          <w:tab w:val="center" w:pos="4680"/>
        </w:tabs>
        <w:rPr>
          <w:sz w:val="20"/>
          <w:lang w:val="en-CA"/>
        </w:rPr>
      </w:pPr>
    </w:p>
    <w:p w:rsidR="00B9636D" w:rsidRPr="00B9636D" w:rsidRDefault="00B9636D" w:rsidP="006A0502">
      <w:pPr>
        <w:rPr>
          <w:sz w:val="20"/>
          <w:lang w:val="en-CA"/>
        </w:rPr>
      </w:pPr>
    </w:p>
    <w:p w:rsidR="00B9636D" w:rsidRPr="00B9636D" w:rsidRDefault="00B9636D">
      <w:pPr>
        <w:widowControl w:val="0"/>
        <w:ind w:left="1440" w:hanging="1440"/>
        <w:jc w:val="both"/>
        <w:rPr>
          <w:sz w:val="20"/>
          <w:lang w:val="en-CA"/>
        </w:rPr>
      </w:pPr>
      <w:r w:rsidRPr="00B9636D">
        <w:rPr>
          <w:sz w:val="20"/>
          <w:lang w:val="en-CA"/>
        </w:rPr>
        <w:t>Origin of the case:</w:t>
      </w:r>
      <w:r w:rsidRPr="00B9636D">
        <w:rPr>
          <w:sz w:val="20"/>
          <w:lang w:val="en-CA"/>
        </w:rPr>
        <w:tab/>
      </w:r>
      <w:r w:rsidRPr="00B9636D">
        <w:rPr>
          <w:sz w:val="20"/>
          <w:lang w:val="en-CA"/>
        </w:rPr>
        <w:tab/>
      </w:r>
      <w:r w:rsidRPr="00B9636D">
        <w:rPr>
          <w:sz w:val="20"/>
          <w:lang w:val="en-CA"/>
        </w:rPr>
        <w:tab/>
      </w:r>
      <w:r w:rsidR="00690765">
        <w:rPr>
          <w:sz w:val="20"/>
          <w:lang w:val="en-CA"/>
        </w:rPr>
        <w:tab/>
      </w:r>
      <w:r w:rsidRPr="00B9636D">
        <w:rPr>
          <w:sz w:val="20"/>
          <w:lang w:val="en-CA"/>
        </w:rPr>
        <w:t>Court of Appeal of Alberta</w:t>
      </w:r>
    </w:p>
    <w:p w:rsidR="00B9636D" w:rsidRPr="00B9636D" w:rsidRDefault="00B9636D">
      <w:pPr>
        <w:widowControl w:val="0"/>
        <w:ind w:left="1440" w:hanging="1440"/>
        <w:jc w:val="both"/>
        <w:rPr>
          <w:sz w:val="20"/>
          <w:lang w:val="en-CA"/>
        </w:rPr>
      </w:pPr>
    </w:p>
    <w:p w:rsidR="00B9636D" w:rsidRPr="00B9636D" w:rsidRDefault="00B9636D">
      <w:pPr>
        <w:widowControl w:val="0"/>
        <w:ind w:left="1440" w:hanging="1440"/>
        <w:jc w:val="both"/>
        <w:rPr>
          <w:sz w:val="20"/>
          <w:lang w:val="en-CA"/>
        </w:rPr>
      </w:pPr>
      <w:r w:rsidRPr="00B9636D">
        <w:rPr>
          <w:sz w:val="20"/>
          <w:lang w:val="en-CA"/>
        </w:rPr>
        <w:t>File No.:</w:t>
      </w:r>
      <w:r w:rsidRPr="00B9636D">
        <w:rPr>
          <w:sz w:val="20"/>
          <w:lang w:val="en-CA"/>
        </w:rPr>
        <w:tab/>
      </w:r>
      <w:r w:rsidRPr="00B9636D">
        <w:rPr>
          <w:sz w:val="20"/>
          <w:lang w:val="en-CA"/>
        </w:rPr>
        <w:tab/>
      </w:r>
      <w:r w:rsidRPr="00B9636D">
        <w:rPr>
          <w:sz w:val="20"/>
          <w:lang w:val="en-CA"/>
        </w:rPr>
        <w:tab/>
      </w:r>
      <w:r w:rsidRPr="00B9636D">
        <w:rPr>
          <w:sz w:val="20"/>
          <w:lang w:val="en-CA"/>
        </w:rPr>
        <w:tab/>
      </w:r>
      <w:r w:rsidR="00690765">
        <w:rPr>
          <w:sz w:val="20"/>
          <w:lang w:val="en-CA"/>
        </w:rPr>
        <w:tab/>
      </w:r>
      <w:r w:rsidRPr="00B9636D">
        <w:rPr>
          <w:sz w:val="20"/>
          <w:lang w:val="en-CA"/>
        </w:rPr>
        <w:t>36435</w:t>
      </w:r>
    </w:p>
    <w:p w:rsidR="00B9636D" w:rsidRPr="00B9636D" w:rsidRDefault="00B9636D">
      <w:pPr>
        <w:widowControl w:val="0"/>
        <w:ind w:left="1440" w:hanging="1440"/>
        <w:jc w:val="both"/>
        <w:rPr>
          <w:sz w:val="20"/>
          <w:lang w:val="en-CA"/>
        </w:rPr>
      </w:pPr>
    </w:p>
    <w:p w:rsidR="00B9636D" w:rsidRPr="00B9636D" w:rsidRDefault="00B9636D">
      <w:pPr>
        <w:widowControl w:val="0"/>
        <w:ind w:left="1440" w:hanging="1440"/>
        <w:jc w:val="both"/>
        <w:rPr>
          <w:sz w:val="20"/>
          <w:lang w:val="en-CA"/>
        </w:rPr>
      </w:pPr>
      <w:r w:rsidRPr="00B9636D">
        <w:rPr>
          <w:sz w:val="20"/>
          <w:lang w:val="en-CA"/>
        </w:rPr>
        <w:t>Judgment of the Court of Appeal:</w:t>
      </w:r>
      <w:r w:rsidRPr="00B9636D">
        <w:rPr>
          <w:sz w:val="20"/>
          <w:lang w:val="en-CA"/>
        </w:rPr>
        <w:tab/>
        <w:t>March 18, 2015</w:t>
      </w:r>
    </w:p>
    <w:p w:rsidR="00B9636D" w:rsidRPr="00B9636D" w:rsidRDefault="00B9636D">
      <w:pPr>
        <w:widowControl w:val="0"/>
        <w:ind w:left="1440" w:hanging="1440"/>
        <w:jc w:val="both"/>
        <w:rPr>
          <w:sz w:val="20"/>
          <w:lang w:val="en-CA"/>
        </w:rPr>
      </w:pPr>
    </w:p>
    <w:p w:rsidR="00B9636D" w:rsidRPr="00B9636D" w:rsidRDefault="00B9636D">
      <w:pPr>
        <w:widowControl w:val="0"/>
        <w:ind w:left="1440" w:hanging="1440"/>
        <w:jc w:val="both"/>
        <w:rPr>
          <w:sz w:val="20"/>
          <w:lang w:val="en-CA"/>
        </w:rPr>
      </w:pPr>
      <w:r w:rsidRPr="00B9636D">
        <w:rPr>
          <w:sz w:val="20"/>
          <w:lang w:val="en-CA"/>
        </w:rPr>
        <w:t>Counsel:</w:t>
      </w:r>
      <w:r w:rsidRPr="00B9636D">
        <w:rPr>
          <w:sz w:val="20"/>
          <w:lang w:val="en-CA"/>
        </w:rPr>
        <w:tab/>
      </w:r>
      <w:r w:rsidRPr="00B9636D">
        <w:rPr>
          <w:sz w:val="20"/>
          <w:lang w:val="en-CA"/>
        </w:rPr>
        <w:tab/>
      </w:r>
      <w:r w:rsidRPr="00B9636D">
        <w:rPr>
          <w:sz w:val="20"/>
          <w:lang w:val="en-CA"/>
        </w:rPr>
        <w:tab/>
      </w:r>
      <w:r w:rsidRPr="00B9636D">
        <w:rPr>
          <w:sz w:val="20"/>
          <w:lang w:val="en-CA"/>
        </w:rPr>
        <w:tab/>
      </w:r>
      <w:r w:rsidR="00690765">
        <w:rPr>
          <w:sz w:val="20"/>
          <w:lang w:val="en-CA"/>
        </w:rPr>
        <w:tab/>
      </w:r>
      <w:proofErr w:type="spellStart"/>
      <w:r w:rsidRPr="00B9636D">
        <w:rPr>
          <w:sz w:val="20"/>
          <w:lang w:val="en-CA"/>
        </w:rPr>
        <w:t>Jolaine</w:t>
      </w:r>
      <w:proofErr w:type="spellEnd"/>
      <w:r w:rsidRPr="00B9636D">
        <w:rPr>
          <w:sz w:val="20"/>
          <w:lang w:val="en-CA"/>
        </w:rPr>
        <w:t xml:space="preserve"> Antonio and Jason </w:t>
      </w:r>
      <w:proofErr w:type="spellStart"/>
      <w:r w:rsidRPr="00B9636D">
        <w:rPr>
          <w:sz w:val="20"/>
          <w:lang w:val="en-CA"/>
        </w:rPr>
        <w:t>Wuttunee</w:t>
      </w:r>
      <w:proofErr w:type="spellEnd"/>
      <w:r w:rsidRPr="00B9636D">
        <w:rPr>
          <w:sz w:val="20"/>
          <w:lang w:val="en-CA"/>
        </w:rPr>
        <w:t xml:space="preserve"> for the Appellant</w:t>
      </w:r>
    </w:p>
    <w:p w:rsidR="00B9636D" w:rsidRPr="00B9636D" w:rsidRDefault="00B9636D" w:rsidP="000D575A">
      <w:pPr>
        <w:widowControl w:val="0"/>
        <w:ind w:left="1440" w:hanging="1440"/>
        <w:jc w:val="both"/>
        <w:rPr>
          <w:sz w:val="20"/>
          <w:lang w:val="en-CA"/>
        </w:rPr>
      </w:pPr>
      <w:r w:rsidRPr="00B9636D">
        <w:rPr>
          <w:sz w:val="20"/>
          <w:lang w:val="en-CA"/>
        </w:rPr>
        <w:tab/>
      </w:r>
      <w:r w:rsidRPr="00B9636D">
        <w:rPr>
          <w:sz w:val="20"/>
          <w:lang w:val="en-CA"/>
        </w:rPr>
        <w:tab/>
      </w:r>
      <w:r w:rsidRPr="00B9636D">
        <w:rPr>
          <w:sz w:val="20"/>
          <w:lang w:val="en-CA"/>
        </w:rPr>
        <w:tab/>
      </w:r>
      <w:r w:rsidRPr="00B9636D">
        <w:rPr>
          <w:sz w:val="20"/>
          <w:lang w:val="en-CA"/>
        </w:rPr>
        <w:tab/>
      </w:r>
      <w:r w:rsidR="00690765">
        <w:rPr>
          <w:sz w:val="20"/>
          <w:lang w:val="en-CA"/>
        </w:rPr>
        <w:tab/>
      </w:r>
      <w:r w:rsidRPr="00B9636D">
        <w:rPr>
          <w:sz w:val="20"/>
          <w:lang w:val="en-CA"/>
        </w:rPr>
        <w:t>Ian D. McKay for the Respondent</w:t>
      </w:r>
    </w:p>
    <w:p w:rsidR="00B9636D" w:rsidRPr="00B9636D" w:rsidRDefault="00B9636D" w:rsidP="00D86A73">
      <w:pPr>
        <w:widowControl w:val="0"/>
        <w:ind w:left="720" w:hanging="720"/>
        <w:jc w:val="both"/>
        <w:rPr>
          <w:b/>
          <w:sz w:val="20"/>
          <w:lang w:val="en-CA"/>
        </w:rPr>
      </w:pPr>
    </w:p>
    <w:p w:rsidR="00B9636D" w:rsidRPr="00B9636D" w:rsidRDefault="00B9636D" w:rsidP="00D86A73">
      <w:pPr>
        <w:widowControl w:val="0"/>
        <w:ind w:left="720" w:hanging="720"/>
        <w:jc w:val="both"/>
        <w:rPr>
          <w:b/>
          <w:sz w:val="20"/>
          <w:lang w:val="en-CA"/>
        </w:rPr>
      </w:pPr>
    </w:p>
    <w:p w:rsidR="00B9636D" w:rsidRPr="00B9636D" w:rsidRDefault="00B9636D" w:rsidP="00D86A73">
      <w:pPr>
        <w:widowControl w:val="0"/>
        <w:ind w:left="720" w:hanging="720"/>
        <w:jc w:val="both"/>
        <w:rPr>
          <w:sz w:val="20"/>
          <w:lang w:val="fr-CA"/>
        </w:rPr>
      </w:pPr>
      <w:r w:rsidRPr="00B9636D">
        <w:rPr>
          <w:b/>
          <w:sz w:val="20"/>
          <w:lang w:val="en-CA"/>
        </w:rPr>
        <w:fldChar w:fldCharType="begin"/>
      </w:r>
      <w:r w:rsidRPr="00B9636D">
        <w:rPr>
          <w:b/>
          <w:sz w:val="20"/>
          <w:lang w:val="fr-CA"/>
        </w:rPr>
        <w:instrText xml:space="preserve"> SEQ CHAPTER \h \r 1</w:instrText>
      </w:r>
      <w:r w:rsidRPr="00B9636D">
        <w:rPr>
          <w:b/>
          <w:sz w:val="20"/>
        </w:rPr>
        <w:fldChar w:fldCharType="end"/>
      </w:r>
      <w:r w:rsidRPr="00B9636D">
        <w:rPr>
          <w:b/>
          <w:sz w:val="20"/>
          <w:lang w:val="fr-CA"/>
        </w:rPr>
        <w:t>36435</w:t>
      </w:r>
      <w:r w:rsidRPr="00B9636D">
        <w:rPr>
          <w:sz w:val="20"/>
          <w:lang w:val="fr-CA"/>
        </w:rPr>
        <w:tab/>
      </w:r>
      <w:r w:rsidRPr="00B9636D">
        <w:rPr>
          <w:b/>
          <w:i/>
          <w:sz w:val="20"/>
          <w:lang w:val="fr-CA"/>
        </w:rPr>
        <w:t>Sa Majesté la Reine c. Oswald Oliver Villaroman</w:t>
      </w:r>
    </w:p>
    <w:p w:rsidR="00B9636D" w:rsidRPr="00B9636D" w:rsidRDefault="00B9636D" w:rsidP="006A0502">
      <w:pPr>
        <w:tabs>
          <w:tab w:val="center" w:pos="4680"/>
        </w:tabs>
        <w:rPr>
          <w:sz w:val="20"/>
          <w:lang w:val="fr-CA"/>
        </w:rPr>
      </w:pPr>
    </w:p>
    <w:p w:rsidR="00B9636D" w:rsidRPr="00B9636D" w:rsidRDefault="00B9636D" w:rsidP="006A0502">
      <w:pPr>
        <w:jc w:val="both"/>
        <w:rPr>
          <w:sz w:val="20"/>
          <w:lang w:val="fr-CA"/>
        </w:rPr>
      </w:pPr>
      <w:r w:rsidRPr="00B9636D">
        <w:rPr>
          <w:sz w:val="20"/>
          <w:lang w:val="fr-CA"/>
        </w:rPr>
        <w:t xml:space="preserve">Droit criminel - Preuve - Preuve circonstancielle - Infraction - Éléments de l’infraction - Possession de pornographie juvénile - L’arrêt de la Cour d’appel </w:t>
      </w:r>
      <w:proofErr w:type="spellStart"/>
      <w:r w:rsidRPr="00B9636D">
        <w:rPr>
          <w:sz w:val="20"/>
          <w:lang w:val="fr-CA"/>
        </w:rPr>
        <w:t>a-t-il</w:t>
      </w:r>
      <w:proofErr w:type="spellEnd"/>
      <w:r w:rsidRPr="00B9636D">
        <w:rPr>
          <w:sz w:val="20"/>
          <w:lang w:val="fr-CA"/>
        </w:rPr>
        <w:t xml:space="preserve"> pour effet de créer une liste de contrôle servant à établir la possession de pornographie juvénile numérique qui est unique à l’Alberta, créant une incohérence dans les règles de droit à l’échelle du pays? - Cette liste de contrôle impose-t-elle au ministère public une norme de preuve qui est littéralement impossible à satisfaire? - La jurisprudence est-elle contradictoire en ce qui concerne les cas de preuve circonstancielle où il peut y avoir un verdict de culpabilité? - Selon la juridiction inférieure, la jurisprudence permet de conclure que dans un cas où la preuve est circonstancielle et permet de donner n’importe quelle explication qui innocenterait l’accusé, même si elle n’est pas appuyée par la preuve, le verdict est forcément déraisonnable. - Subsiste-t-il des moyens d’appel non tranchés? </w:t>
      </w:r>
    </w:p>
    <w:p w:rsidR="00B9636D" w:rsidRPr="00B9636D" w:rsidRDefault="00B9636D" w:rsidP="006A0502">
      <w:pPr>
        <w:tabs>
          <w:tab w:val="center" w:pos="4680"/>
        </w:tabs>
        <w:rPr>
          <w:sz w:val="20"/>
          <w:lang w:val="fr-CA"/>
        </w:rPr>
      </w:pPr>
    </w:p>
    <w:p w:rsidR="00B9636D" w:rsidRPr="00B9636D" w:rsidRDefault="00B9636D" w:rsidP="006A0502">
      <w:pPr>
        <w:rPr>
          <w:sz w:val="20"/>
          <w:lang w:val="fr-CA"/>
        </w:rPr>
      </w:pPr>
    </w:p>
    <w:p w:rsidR="00B9636D" w:rsidRPr="00B9636D" w:rsidRDefault="00B9636D">
      <w:pPr>
        <w:widowControl w:val="0"/>
        <w:ind w:left="1440" w:hanging="1440"/>
        <w:jc w:val="both"/>
        <w:rPr>
          <w:sz w:val="20"/>
          <w:lang w:val="fr-CA"/>
        </w:rPr>
      </w:pPr>
      <w:r w:rsidRPr="00B9636D">
        <w:rPr>
          <w:sz w:val="20"/>
          <w:lang w:val="fr-CA"/>
        </w:rPr>
        <w:t>Origine :</w:t>
      </w:r>
      <w:r w:rsidRPr="00B9636D">
        <w:rPr>
          <w:sz w:val="20"/>
          <w:lang w:val="fr-CA"/>
        </w:rPr>
        <w:tab/>
      </w:r>
      <w:r w:rsidRPr="00B9636D">
        <w:rPr>
          <w:sz w:val="20"/>
          <w:lang w:val="fr-CA"/>
        </w:rPr>
        <w:tab/>
      </w:r>
      <w:r w:rsidRPr="00B9636D">
        <w:rPr>
          <w:sz w:val="20"/>
          <w:lang w:val="fr-CA"/>
        </w:rPr>
        <w:tab/>
      </w:r>
      <w:r w:rsidRPr="00B9636D">
        <w:rPr>
          <w:sz w:val="20"/>
          <w:lang w:val="fr-CA"/>
        </w:rPr>
        <w:tab/>
      </w:r>
      <w:r w:rsidR="00690765">
        <w:rPr>
          <w:sz w:val="20"/>
          <w:lang w:val="fr-CA"/>
        </w:rPr>
        <w:tab/>
      </w:r>
      <w:r w:rsidRPr="00B9636D">
        <w:rPr>
          <w:sz w:val="20"/>
          <w:lang w:val="fr-CA"/>
        </w:rPr>
        <w:t>Cour d’appel de l’Alberta</w:t>
      </w:r>
    </w:p>
    <w:p w:rsidR="00B9636D" w:rsidRPr="00B9636D" w:rsidRDefault="00B9636D">
      <w:pPr>
        <w:widowControl w:val="0"/>
        <w:ind w:left="1440" w:hanging="1440"/>
        <w:jc w:val="both"/>
        <w:rPr>
          <w:sz w:val="20"/>
          <w:lang w:val="fr-CA"/>
        </w:rPr>
      </w:pPr>
    </w:p>
    <w:p w:rsidR="00B9636D" w:rsidRPr="00B9636D" w:rsidRDefault="00B9636D">
      <w:pPr>
        <w:widowControl w:val="0"/>
        <w:ind w:left="1440" w:hanging="1440"/>
        <w:jc w:val="both"/>
        <w:rPr>
          <w:sz w:val="20"/>
          <w:lang w:val="fr-CA"/>
        </w:rPr>
      </w:pPr>
      <w:r w:rsidRPr="00B9636D">
        <w:rPr>
          <w:sz w:val="20"/>
          <w:lang w:val="fr-CA"/>
        </w:rPr>
        <w:t>N</w:t>
      </w:r>
      <w:r w:rsidRPr="00B9636D">
        <w:rPr>
          <w:sz w:val="20"/>
          <w:vertAlign w:val="superscript"/>
          <w:lang w:val="fr-CA"/>
        </w:rPr>
        <w:t xml:space="preserve">o </w:t>
      </w:r>
      <w:r w:rsidRPr="00B9636D">
        <w:rPr>
          <w:sz w:val="20"/>
          <w:lang w:val="fr-CA"/>
        </w:rPr>
        <w:t>du greffe :</w:t>
      </w:r>
      <w:r w:rsidRPr="00B9636D">
        <w:rPr>
          <w:sz w:val="20"/>
          <w:lang w:val="fr-CA"/>
        </w:rPr>
        <w:tab/>
      </w:r>
      <w:r w:rsidRPr="00B9636D">
        <w:rPr>
          <w:sz w:val="20"/>
          <w:lang w:val="fr-CA"/>
        </w:rPr>
        <w:tab/>
      </w:r>
      <w:r w:rsidRPr="00B9636D">
        <w:rPr>
          <w:sz w:val="20"/>
          <w:lang w:val="fr-CA"/>
        </w:rPr>
        <w:tab/>
      </w:r>
      <w:r w:rsidRPr="00B9636D">
        <w:rPr>
          <w:sz w:val="20"/>
          <w:lang w:val="fr-CA"/>
        </w:rPr>
        <w:tab/>
      </w:r>
      <w:r w:rsidR="00690765">
        <w:rPr>
          <w:sz w:val="20"/>
          <w:lang w:val="fr-CA"/>
        </w:rPr>
        <w:tab/>
      </w:r>
      <w:r w:rsidRPr="00B9636D">
        <w:rPr>
          <w:sz w:val="20"/>
          <w:lang w:val="fr-CA"/>
        </w:rPr>
        <w:t>36435</w:t>
      </w:r>
    </w:p>
    <w:p w:rsidR="00B9636D" w:rsidRPr="00B9636D" w:rsidRDefault="00B9636D">
      <w:pPr>
        <w:widowControl w:val="0"/>
        <w:ind w:left="1440" w:hanging="1440"/>
        <w:jc w:val="both"/>
        <w:rPr>
          <w:sz w:val="20"/>
          <w:lang w:val="fr-CA"/>
        </w:rPr>
      </w:pPr>
    </w:p>
    <w:p w:rsidR="00B9636D" w:rsidRPr="00B9636D" w:rsidRDefault="00B9636D">
      <w:pPr>
        <w:widowControl w:val="0"/>
        <w:ind w:left="1440" w:hanging="1440"/>
        <w:jc w:val="both"/>
        <w:rPr>
          <w:sz w:val="20"/>
          <w:lang w:val="fr-CA"/>
        </w:rPr>
      </w:pPr>
      <w:r w:rsidRPr="00B9636D">
        <w:rPr>
          <w:sz w:val="20"/>
          <w:lang w:val="fr-CA"/>
        </w:rPr>
        <w:t>Arrêt de la Cour d’appel :</w:t>
      </w:r>
      <w:r w:rsidRPr="00B9636D">
        <w:rPr>
          <w:sz w:val="20"/>
          <w:lang w:val="fr-CA"/>
        </w:rPr>
        <w:tab/>
      </w:r>
      <w:r w:rsidRPr="00B9636D">
        <w:rPr>
          <w:sz w:val="20"/>
          <w:lang w:val="fr-CA"/>
        </w:rPr>
        <w:tab/>
      </w:r>
      <w:r w:rsidR="00690765">
        <w:rPr>
          <w:sz w:val="20"/>
          <w:lang w:val="fr-CA"/>
        </w:rPr>
        <w:tab/>
      </w:r>
      <w:r w:rsidRPr="00B9636D">
        <w:rPr>
          <w:sz w:val="20"/>
          <w:lang w:val="fr-CA"/>
        </w:rPr>
        <w:t>le 18 mars 2015</w:t>
      </w:r>
    </w:p>
    <w:p w:rsidR="00B9636D" w:rsidRPr="00B9636D" w:rsidRDefault="00B9636D">
      <w:pPr>
        <w:widowControl w:val="0"/>
        <w:ind w:left="1440" w:hanging="1440"/>
        <w:jc w:val="both"/>
        <w:rPr>
          <w:sz w:val="20"/>
          <w:lang w:val="fr-CA"/>
        </w:rPr>
      </w:pPr>
    </w:p>
    <w:p w:rsidR="00B9636D" w:rsidRPr="00B9636D" w:rsidRDefault="00B9636D">
      <w:pPr>
        <w:widowControl w:val="0"/>
        <w:ind w:left="1440" w:hanging="1440"/>
        <w:jc w:val="both"/>
        <w:rPr>
          <w:sz w:val="20"/>
          <w:lang w:val="fr-CA"/>
        </w:rPr>
      </w:pPr>
      <w:r w:rsidRPr="00B9636D">
        <w:rPr>
          <w:sz w:val="20"/>
          <w:lang w:val="fr-CA"/>
        </w:rPr>
        <w:t>Avocats :</w:t>
      </w:r>
      <w:r w:rsidRPr="00B9636D">
        <w:rPr>
          <w:sz w:val="20"/>
          <w:lang w:val="fr-CA"/>
        </w:rPr>
        <w:tab/>
      </w:r>
      <w:r w:rsidRPr="00B9636D">
        <w:rPr>
          <w:sz w:val="20"/>
          <w:lang w:val="fr-CA"/>
        </w:rPr>
        <w:tab/>
      </w:r>
      <w:r w:rsidRPr="00B9636D">
        <w:rPr>
          <w:sz w:val="20"/>
          <w:lang w:val="fr-CA"/>
        </w:rPr>
        <w:tab/>
      </w:r>
      <w:r w:rsidRPr="00B9636D">
        <w:rPr>
          <w:sz w:val="20"/>
          <w:lang w:val="fr-CA"/>
        </w:rPr>
        <w:tab/>
      </w:r>
      <w:r w:rsidR="00690765">
        <w:rPr>
          <w:sz w:val="20"/>
          <w:lang w:val="fr-CA"/>
        </w:rPr>
        <w:tab/>
      </w:r>
      <w:proofErr w:type="spellStart"/>
      <w:r w:rsidRPr="00B9636D">
        <w:rPr>
          <w:sz w:val="20"/>
          <w:lang w:val="fr-CA"/>
        </w:rPr>
        <w:t>Jolaine</w:t>
      </w:r>
      <w:proofErr w:type="spellEnd"/>
      <w:r w:rsidRPr="00B9636D">
        <w:rPr>
          <w:sz w:val="20"/>
          <w:lang w:val="fr-CA"/>
        </w:rPr>
        <w:t xml:space="preserve"> Antonio et Jason </w:t>
      </w:r>
      <w:proofErr w:type="spellStart"/>
      <w:r w:rsidRPr="00B9636D">
        <w:rPr>
          <w:sz w:val="20"/>
          <w:lang w:val="fr-CA"/>
        </w:rPr>
        <w:t>Wuttunee</w:t>
      </w:r>
      <w:proofErr w:type="spellEnd"/>
      <w:r w:rsidRPr="00B9636D">
        <w:rPr>
          <w:sz w:val="20"/>
          <w:lang w:val="fr-CA"/>
        </w:rPr>
        <w:t xml:space="preserve"> pour l’appelante</w:t>
      </w:r>
    </w:p>
    <w:p w:rsidR="00B9636D" w:rsidRPr="00690765" w:rsidRDefault="00B9636D" w:rsidP="000D575A">
      <w:pPr>
        <w:widowControl w:val="0"/>
        <w:ind w:left="1440" w:hanging="1440"/>
        <w:jc w:val="both"/>
        <w:rPr>
          <w:sz w:val="20"/>
          <w:lang w:val="fr-CA"/>
        </w:rPr>
      </w:pPr>
      <w:r w:rsidRPr="00B9636D">
        <w:rPr>
          <w:sz w:val="20"/>
          <w:lang w:val="fr-CA"/>
        </w:rPr>
        <w:tab/>
      </w:r>
      <w:r w:rsidRPr="00B9636D">
        <w:rPr>
          <w:sz w:val="20"/>
          <w:lang w:val="fr-CA"/>
        </w:rPr>
        <w:tab/>
      </w:r>
      <w:r w:rsidRPr="00B9636D">
        <w:rPr>
          <w:sz w:val="20"/>
          <w:lang w:val="fr-CA"/>
        </w:rPr>
        <w:tab/>
      </w:r>
      <w:r w:rsidRPr="00B9636D">
        <w:rPr>
          <w:sz w:val="20"/>
          <w:lang w:val="fr-CA"/>
        </w:rPr>
        <w:tab/>
      </w:r>
      <w:r w:rsidR="00690765">
        <w:rPr>
          <w:sz w:val="20"/>
          <w:lang w:val="fr-CA"/>
        </w:rPr>
        <w:tab/>
      </w:r>
      <w:r w:rsidRPr="00690765">
        <w:rPr>
          <w:sz w:val="20"/>
          <w:lang w:val="fr-CA"/>
        </w:rPr>
        <w:t>Ian D. McKay pour l’intimé</w:t>
      </w:r>
    </w:p>
    <w:p w:rsidR="00B9636D" w:rsidRPr="00B9636D" w:rsidRDefault="00B9636D" w:rsidP="00EC79B0">
      <w:pPr>
        <w:jc w:val="both"/>
        <w:rPr>
          <w:sz w:val="20"/>
          <w:lang w:val="fr-CA"/>
        </w:rPr>
      </w:pPr>
    </w:p>
    <w:p w:rsidR="000D7425" w:rsidRPr="00B9636D" w:rsidRDefault="000D7425" w:rsidP="00EC79B0">
      <w:pPr>
        <w:jc w:val="both"/>
        <w:rPr>
          <w:sz w:val="20"/>
          <w:lang w:val="fr-CA"/>
        </w:rPr>
      </w:pPr>
    </w:p>
    <w:p w:rsidR="000D7425" w:rsidRPr="00B9636D" w:rsidRDefault="000D7425" w:rsidP="00EC79B0">
      <w:pPr>
        <w:jc w:val="both"/>
        <w:rPr>
          <w:szCs w:val="24"/>
          <w:lang w:val="fr-CA"/>
        </w:rPr>
      </w:pPr>
    </w:p>
    <w:p w:rsidR="001C4415" w:rsidRPr="005363B2" w:rsidRDefault="001C4415" w:rsidP="001C4415">
      <w:pPr>
        <w:widowControl w:val="0"/>
        <w:outlineLvl w:val="0"/>
      </w:pPr>
      <w:proofErr w:type="spellStart"/>
      <w:r w:rsidRPr="00690765">
        <w:rPr>
          <w:lang w:val="fr-CA"/>
        </w:rPr>
        <w:t>Supreme</w:t>
      </w:r>
      <w:proofErr w:type="spellEnd"/>
      <w:r w:rsidRPr="00690765">
        <w:rPr>
          <w:lang w:val="fr-CA"/>
        </w:rPr>
        <w:t xml:space="preserve"> Court of Canada / C</w:t>
      </w:r>
      <w:r w:rsidRPr="005363B2">
        <w:t xml:space="preserve">our </w:t>
      </w:r>
      <w:proofErr w:type="spellStart"/>
      <w:r w:rsidRPr="005363B2">
        <w:t>suprême</w:t>
      </w:r>
      <w:proofErr w:type="spellEnd"/>
      <w:r w:rsidRPr="005363B2">
        <w:t xml:space="preserve"> du Canada : </w:t>
      </w:r>
    </w:p>
    <w:p w:rsidR="001C4415" w:rsidRPr="005363B2" w:rsidRDefault="005E031D" w:rsidP="001C4415">
      <w:pPr>
        <w:widowControl w:val="0"/>
        <w:outlineLvl w:val="0"/>
        <w:rPr>
          <w:color w:val="0000FF"/>
          <w:u w:val="single"/>
        </w:rPr>
      </w:pPr>
      <w:hyperlink r:id="rId10" w:history="1">
        <w:r w:rsidR="001C4415" w:rsidRPr="005363B2">
          <w:rPr>
            <w:rStyle w:val="Hyperlink"/>
          </w:rPr>
          <w:t>comments-commentaires@scc-csc.ca</w:t>
        </w:r>
      </w:hyperlink>
    </w:p>
    <w:p w:rsidR="001C4415" w:rsidRDefault="001C4415" w:rsidP="001C4415">
      <w:pPr>
        <w:widowControl w:val="0"/>
        <w:outlineLvl w:val="0"/>
      </w:pPr>
      <w:r w:rsidRPr="005363B2">
        <w:t>(613) 995-4330</w:t>
      </w:r>
    </w:p>
    <w:p w:rsidR="005E031D" w:rsidRDefault="005E031D" w:rsidP="001C4415">
      <w:pPr>
        <w:widowControl w:val="0"/>
        <w:outlineLvl w:val="0"/>
      </w:pPr>
    </w:p>
    <w:p w:rsidR="00406D7D" w:rsidRDefault="005E031D" w:rsidP="005E031D">
      <w:pPr>
        <w:widowControl w:val="0"/>
        <w:jc w:val="center"/>
        <w:outlineLvl w:val="0"/>
        <w:rPr>
          <w:color w:val="A6A6A6"/>
          <w:sz w:val="16"/>
          <w:szCs w:val="16"/>
          <w:lang w:val="fr-CA"/>
        </w:rPr>
      </w:pPr>
      <w:r>
        <w:t>- 30 -</w:t>
      </w:r>
      <w:bookmarkStart w:id="3" w:name="_GoBack"/>
      <w:bookmarkEnd w:id="3"/>
    </w:p>
    <w:p w:rsidR="005E031D" w:rsidRPr="00346B6F" w:rsidRDefault="005E031D">
      <w:pPr>
        <w:pStyle w:val="Footer"/>
        <w:ind w:left="2160"/>
        <w:rPr>
          <w:color w:val="A6A6A6"/>
          <w:sz w:val="16"/>
          <w:szCs w:val="16"/>
          <w:lang w:val="fr-CA"/>
        </w:rPr>
      </w:pPr>
    </w:p>
    <w:sectPr w:rsidR="005E031D" w:rsidRPr="00346B6F" w:rsidSect="00D362A2">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47C1"/>
    <w:rsid w:val="00035555"/>
    <w:rsid w:val="00035B99"/>
    <w:rsid w:val="0003611D"/>
    <w:rsid w:val="0003620E"/>
    <w:rsid w:val="00040E3C"/>
    <w:rsid w:val="00042B21"/>
    <w:rsid w:val="000446D3"/>
    <w:rsid w:val="000454BF"/>
    <w:rsid w:val="00053111"/>
    <w:rsid w:val="00060140"/>
    <w:rsid w:val="00060B39"/>
    <w:rsid w:val="00061A14"/>
    <w:rsid w:val="00072A63"/>
    <w:rsid w:val="0008116D"/>
    <w:rsid w:val="000855FD"/>
    <w:rsid w:val="00087122"/>
    <w:rsid w:val="0009615F"/>
    <w:rsid w:val="000A063C"/>
    <w:rsid w:val="000A33B2"/>
    <w:rsid w:val="000A401F"/>
    <w:rsid w:val="000A7900"/>
    <w:rsid w:val="000B0E38"/>
    <w:rsid w:val="000B216A"/>
    <w:rsid w:val="000B74B9"/>
    <w:rsid w:val="000C1225"/>
    <w:rsid w:val="000C466B"/>
    <w:rsid w:val="000C7C9D"/>
    <w:rsid w:val="000D25C5"/>
    <w:rsid w:val="000D413D"/>
    <w:rsid w:val="000D682D"/>
    <w:rsid w:val="000D7425"/>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3798B"/>
    <w:rsid w:val="001439C6"/>
    <w:rsid w:val="00143A58"/>
    <w:rsid w:val="001448DF"/>
    <w:rsid w:val="00145925"/>
    <w:rsid w:val="001476BD"/>
    <w:rsid w:val="00150BC6"/>
    <w:rsid w:val="001563FF"/>
    <w:rsid w:val="001617F1"/>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A572B"/>
    <w:rsid w:val="001B092D"/>
    <w:rsid w:val="001B0D7E"/>
    <w:rsid w:val="001B4934"/>
    <w:rsid w:val="001B599A"/>
    <w:rsid w:val="001B71AA"/>
    <w:rsid w:val="001C0462"/>
    <w:rsid w:val="001C3E08"/>
    <w:rsid w:val="001C4415"/>
    <w:rsid w:val="001C6FEC"/>
    <w:rsid w:val="001E4A60"/>
    <w:rsid w:val="001E5E23"/>
    <w:rsid w:val="001E70CD"/>
    <w:rsid w:val="001F1643"/>
    <w:rsid w:val="001F27D7"/>
    <w:rsid w:val="001F37AC"/>
    <w:rsid w:val="001F57C9"/>
    <w:rsid w:val="001F5973"/>
    <w:rsid w:val="001F7F62"/>
    <w:rsid w:val="002029F5"/>
    <w:rsid w:val="00205278"/>
    <w:rsid w:val="00207BC4"/>
    <w:rsid w:val="00211F62"/>
    <w:rsid w:val="00214729"/>
    <w:rsid w:val="002160B0"/>
    <w:rsid w:val="00221703"/>
    <w:rsid w:val="00226AE8"/>
    <w:rsid w:val="00234B46"/>
    <w:rsid w:val="0023600D"/>
    <w:rsid w:val="002404C4"/>
    <w:rsid w:val="00241C35"/>
    <w:rsid w:val="00241F69"/>
    <w:rsid w:val="00242642"/>
    <w:rsid w:val="00242EC8"/>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F5A"/>
    <w:rsid w:val="002A3DD8"/>
    <w:rsid w:val="002A4252"/>
    <w:rsid w:val="002A5496"/>
    <w:rsid w:val="002A6BD5"/>
    <w:rsid w:val="002A7752"/>
    <w:rsid w:val="002B06A9"/>
    <w:rsid w:val="002B4D23"/>
    <w:rsid w:val="002B4F4E"/>
    <w:rsid w:val="002C23CB"/>
    <w:rsid w:val="002C5CA9"/>
    <w:rsid w:val="002C5FAF"/>
    <w:rsid w:val="002D62BE"/>
    <w:rsid w:val="002D631B"/>
    <w:rsid w:val="002D6424"/>
    <w:rsid w:val="002E3F05"/>
    <w:rsid w:val="002E5644"/>
    <w:rsid w:val="002F2E89"/>
    <w:rsid w:val="002F4212"/>
    <w:rsid w:val="003023B2"/>
    <w:rsid w:val="003054B8"/>
    <w:rsid w:val="003078A0"/>
    <w:rsid w:val="003112E4"/>
    <w:rsid w:val="00311F53"/>
    <w:rsid w:val="00317C58"/>
    <w:rsid w:val="00321B31"/>
    <w:rsid w:val="00324B83"/>
    <w:rsid w:val="003255C3"/>
    <w:rsid w:val="00334E40"/>
    <w:rsid w:val="00337D5F"/>
    <w:rsid w:val="00340C6D"/>
    <w:rsid w:val="00342E49"/>
    <w:rsid w:val="00346B6F"/>
    <w:rsid w:val="00346F0D"/>
    <w:rsid w:val="00350C6A"/>
    <w:rsid w:val="00350CE0"/>
    <w:rsid w:val="00352B94"/>
    <w:rsid w:val="00353AB0"/>
    <w:rsid w:val="0035462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381F"/>
    <w:rsid w:val="003D4D2A"/>
    <w:rsid w:val="003D74E7"/>
    <w:rsid w:val="003E0326"/>
    <w:rsid w:val="003E1BBF"/>
    <w:rsid w:val="003E222C"/>
    <w:rsid w:val="003E31F8"/>
    <w:rsid w:val="003E5C8D"/>
    <w:rsid w:val="003F127B"/>
    <w:rsid w:val="003F2710"/>
    <w:rsid w:val="003F7920"/>
    <w:rsid w:val="003F7A9C"/>
    <w:rsid w:val="004005FE"/>
    <w:rsid w:val="004016BB"/>
    <w:rsid w:val="004019D4"/>
    <w:rsid w:val="0040345E"/>
    <w:rsid w:val="00405F0F"/>
    <w:rsid w:val="00406D7D"/>
    <w:rsid w:val="004115B2"/>
    <w:rsid w:val="0041533E"/>
    <w:rsid w:val="00421CC7"/>
    <w:rsid w:val="0042330C"/>
    <w:rsid w:val="00424E50"/>
    <w:rsid w:val="00425FF3"/>
    <w:rsid w:val="00426675"/>
    <w:rsid w:val="00426798"/>
    <w:rsid w:val="00426F87"/>
    <w:rsid w:val="00427239"/>
    <w:rsid w:val="00432DE1"/>
    <w:rsid w:val="00434C8B"/>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40E1"/>
    <w:rsid w:val="004A4570"/>
    <w:rsid w:val="004A56AC"/>
    <w:rsid w:val="004A6F06"/>
    <w:rsid w:val="004B4821"/>
    <w:rsid w:val="004B6E20"/>
    <w:rsid w:val="004B6F3A"/>
    <w:rsid w:val="004C7C1B"/>
    <w:rsid w:val="004D2539"/>
    <w:rsid w:val="004D4322"/>
    <w:rsid w:val="004D465A"/>
    <w:rsid w:val="004D488A"/>
    <w:rsid w:val="004E1B82"/>
    <w:rsid w:val="004E5455"/>
    <w:rsid w:val="004E605A"/>
    <w:rsid w:val="004E7227"/>
    <w:rsid w:val="004F0A44"/>
    <w:rsid w:val="004F215A"/>
    <w:rsid w:val="004F3FB9"/>
    <w:rsid w:val="00504582"/>
    <w:rsid w:val="0051320D"/>
    <w:rsid w:val="005167FC"/>
    <w:rsid w:val="00520A3C"/>
    <w:rsid w:val="00525362"/>
    <w:rsid w:val="00525B8E"/>
    <w:rsid w:val="00531567"/>
    <w:rsid w:val="00534E1E"/>
    <w:rsid w:val="005363B2"/>
    <w:rsid w:val="00537187"/>
    <w:rsid w:val="005400BA"/>
    <w:rsid w:val="0054378D"/>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3F3D"/>
    <w:rsid w:val="005C571B"/>
    <w:rsid w:val="005C7767"/>
    <w:rsid w:val="005C7A4F"/>
    <w:rsid w:val="005D1FAA"/>
    <w:rsid w:val="005D27BB"/>
    <w:rsid w:val="005D4151"/>
    <w:rsid w:val="005E031D"/>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277B"/>
    <w:rsid w:val="00676709"/>
    <w:rsid w:val="00680968"/>
    <w:rsid w:val="00682A71"/>
    <w:rsid w:val="00685A30"/>
    <w:rsid w:val="00690765"/>
    <w:rsid w:val="006942C4"/>
    <w:rsid w:val="006A3523"/>
    <w:rsid w:val="006A58E0"/>
    <w:rsid w:val="006A6C0C"/>
    <w:rsid w:val="006B4B4E"/>
    <w:rsid w:val="006B5529"/>
    <w:rsid w:val="006B5FEF"/>
    <w:rsid w:val="006C4A8F"/>
    <w:rsid w:val="006C5AA6"/>
    <w:rsid w:val="006C7633"/>
    <w:rsid w:val="006D2DF8"/>
    <w:rsid w:val="006E1781"/>
    <w:rsid w:val="006E3A6A"/>
    <w:rsid w:val="006E5414"/>
    <w:rsid w:val="006E6156"/>
    <w:rsid w:val="006E7CC3"/>
    <w:rsid w:val="006E7FD1"/>
    <w:rsid w:val="006F1899"/>
    <w:rsid w:val="006F1A6D"/>
    <w:rsid w:val="006F202E"/>
    <w:rsid w:val="006F3B04"/>
    <w:rsid w:val="006F636B"/>
    <w:rsid w:val="006F7FC8"/>
    <w:rsid w:val="00711DBC"/>
    <w:rsid w:val="0071224C"/>
    <w:rsid w:val="00713963"/>
    <w:rsid w:val="00714478"/>
    <w:rsid w:val="00716381"/>
    <w:rsid w:val="00724998"/>
    <w:rsid w:val="00727681"/>
    <w:rsid w:val="00731F00"/>
    <w:rsid w:val="00732616"/>
    <w:rsid w:val="00732764"/>
    <w:rsid w:val="00743AB2"/>
    <w:rsid w:val="00743CD0"/>
    <w:rsid w:val="007440A4"/>
    <w:rsid w:val="007464AD"/>
    <w:rsid w:val="007505FE"/>
    <w:rsid w:val="00753E0D"/>
    <w:rsid w:val="00756F46"/>
    <w:rsid w:val="00762239"/>
    <w:rsid w:val="00767B87"/>
    <w:rsid w:val="00777C18"/>
    <w:rsid w:val="0078318A"/>
    <w:rsid w:val="00784A06"/>
    <w:rsid w:val="00793134"/>
    <w:rsid w:val="0079370B"/>
    <w:rsid w:val="00793A6C"/>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7DF1"/>
    <w:rsid w:val="007F25C1"/>
    <w:rsid w:val="007F29FE"/>
    <w:rsid w:val="007F3D16"/>
    <w:rsid w:val="00800066"/>
    <w:rsid w:val="00807EAE"/>
    <w:rsid w:val="00811E14"/>
    <w:rsid w:val="00815249"/>
    <w:rsid w:val="00815E69"/>
    <w:rsid w:val="008203B9"/>
    <w:rsid w:val="00820A00"/>
    <w:rsid w:val="008227A7"/>
    <w:rsid w:val="0083044B"/>
    <w:rsid w:val="008313A9"/>
    <w:rsid w:val="00831AFC"/>
    <w:rsid w:val="00833B00"/>
    <w:rsid w:val="00843914"/>
    <w:rsid w:val="00844A0C"/>
    <w:rsid w:val="00845B97"/>
    <w:rsid w:val="00851B24"/>
    <w:rsid w:val="00857775"/>
    <w:rsid w:val="00861E1D"/>
    <w:rsid w:val="0086609D"/>
    <w:rsid w:val="00870608"/>
    <w:rsid w:val="008709FF"/>
    <w:rsid w:val="008716D8"/>
    <w:rsid w:val="00875923"/>
    <w:rsid w:val="008766B1"/>
    <w:rsid w:val="008814A0"/>
    <w:rsid w:val="0088190D"/>
    <w:rsid w:val="00893647"/>
    <w:rsid w:val="008B305D"/>
    <w:rsid w:val="008B5FA3"/>
    <w:rsid w:val="008B5FDB"/>
    <w:rsid w:val="008B6308"/>
    <w:rsid w:val="008B6C2A"/>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1102"/>
    <w:rsid w:val="009214B3"/>
    <w:rsid w:val="0092264F"/>
    <w:rsid w:val="009234CE"/>
    <w:rsid w:val="009246D2"/>
    <w:rsid w:val="00931A3C"/>
    <w:rsid w:val="009408A3"/>
    <w:rsid w:val="009421D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72F4"/>
    <w:rsid w:val="009C2A17"/>
    <w:rsid w:val="009C643F"/>
    <w:rsid w:val="009C7B71"/>
    <w:rsid w:val="009D109B"/>
    <w:rsid w:val="009D30BC"/>
    <w:rsid w:val="009E23BF"/>
    <w:rsid w:val="009E478A"/>
    <w:rsid w:val="009E6E2B"/>
    <w:rsid w:val="009E7F8F"/>
    <w:rsid w:val="009F18D7"/>
    <w:rsid w:val="009F1E2B"/>
    <w:rsid w:val="009F4739"/>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4DFD"/>
    <w:rsid w:val="00A709E8"/>
    <w:rsid w:val="00A86226"/>
    <w:rsid w:val="00A86D9C"/>
    <w:rsid w:val="00A9462E"/>
    <w:rsid w:val="00A96F68"/>
    <w:rsid w:val="00AA6478"/>
    <w:rsid w:val="00AB4EFD"/>
    <w:rsid w:val="00AB6E49"/>
    <w:rsid w:val="00AB7298"/>
    <w:rsid w:val="00AB76F5"/>
    <w:rsid w:val="00AC1EBB"/>
    <w:rsid w:val="00AC29C3"/>
    <w:rsid w:val="00AD28E3"/>
    <w:rsid w:val="00AE57A4"/>
    <w:rsid w:val="00AE77AE"/>
    <w:rsid w:val="00AF291D"/>
    <w:rsid w:val="00AF51A0"/>
    <w:rsid w:val="00AF5D67"/>
    <w:rsid w:val="00B00765"/>
    <w:rsid w:val="00B0252F"/>
    <w:rsid w:val="00B02858"/>
    <w:rsid w:val="00B10539"/>
    <w:rsid w:val="00B1057A"/>
    <w:rsid w:val="00B10F2E"/>
    <w:rsid w:val="00B11D20"/>
    <w:rsid w:val="00B11D74"/>
    <w:rsid w:val="00B15276"/>
    <w:rsid w:val="00B17303"/>
    <w:rsid w:val="00B26A2D"/>
    <w:rsid w:val="00B2787A"/>
    <w:rsid w:val="00B348B0"/>
    <w:rsid w:val="00B435C2"/>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9636D"/>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CDF"/>
    <w:rsid w:val="00C07D18"/>
    <w:rsid w:val="00C103A9"/>
    <w:rsid w:val="00C14970"/>
    <w:rsid w:val="00C173E2"/>
    <w:rsid w:val="00C210C3"/>
    <w:rsid w:val="00C23E02"/>
    <w:rsid w:val="00C26855"/>
    <w:rsid w:val="00C26ED7"/>
    <w:rsid w:val="00C343BF"/>
    <w:rsid w:val="00C34DBC"/>
    <w:rsid w:val="00C3754A"/>
    <w:rsid w:val="00C415BB"/>
    <w:rsid w:val="00C50BF1"/>
    <w:rsid w:val="00C51144"/>
    <w:rsid w:val="00C54C7F"/>
    <w:rsid w:val="00C55365"/>
    <w:rsid w:val="00C56B06"/>
    <w:rsid w:val="00C65E58"/>
    <w:rsid w:val="00C724D2"/>
    <w:rsid w:val="00C7692E"/>
    <w:rsid w:val="00C76C3D"/>
    <w:rsid w:val="00C77D60"/>
    <w:rsid w:val="00C80CEE"/>
    <w:rsid w:val="00C86395"/>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77C1C"/>
    <w:rsid w:val="00D8474E"/>
    <w:rsid w:val="00D86814"/>
    <w:rsid w:val="00D8701B"/>
    <w:rsid w:val="00D91512"/>
    <w:rsid w:val="00D93AE3"/>
    <w:rsid w:val="00D94FA0"/>
    <w:rsid w:val="00DA1907"/>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1239"/>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38B3"/>
    <w:rsid w:val="00E7552C"/>
    <w:rsid w:val="00E75EDC"/>
    <w:rsid w:val="00E76F19"/>
    <w:rsid w:val="00E77DF7"/>
    <w:rsid w:val="00E802FE"/>
    <w:rsid w:val="00E82DB5"/>
    <w:rsid w:val="00E8450A"/>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677E"/>
    <w:rsid w:val="00EE75B1"/>
    <w:rsid w:val="00EE77E0"/>
    <w:rsid w:val="00EF0BD7"/>
    <w:rsid w:val="00EF778F"/>
    <w:rsid w:val="00EF7999"/>
    <w:rsid w:val="00F006DA"/>
    <w:rsid w:val="00F020DF"/>
    <w:rsid w:val="00F118D3"/>
    <w:rsid w:val="00F1242C"/>
    <w:rsid w:val="00F128C3"/>
    <w:rsid w:val="00F14202"/>
    <w:rsid w:val="00F1711D"/>
    <w:rsid w:val="00F223F4"/>
    <w:rsid w:val="00F23EAF"/>
    <w:rsid w:val="00F269BB"/>
    <w:rsid w:val="00F317F9"/>
    <w:rsid w:val="00F33A4A"/>
    <w:rsid w:val="00F353AE"/>
    <w:rsid w:val="00F36D46"/>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B7E"/>
    <w:rsid w:val="00FB709E"/>
    <w:rsid w:val="00FC2E02"/>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FileNumber">
    <w:name w:val="SCC.FileNumber"/>
    <w:basedOn w:val="Normal"/>
    <w:next w:val="Normal"/>
    <w:link w:val="SCCFileNumberChar"/>
    <w:rsid w:val="00B9636D"/>
    <w:pPr>
      <w:jc w:val="both"/>
    </w:pPr>
    <w:rPr>
      <w:rFonts w:eastAsiaTheme="minorHAnsi" w:cstheme="minorBidi"/>
      <w:b/>
      <w:szCs w:val="22"/>
      <w:lang w:val="fr-CA"/>
    </w:rPr>
  </w:style>
  <w:style w:type="character" w:customStyle="1" w:styleId="SCCFileNumberChar">
    <w:name w:val="SCC.FileNumber Char"/>
    <w:basedOn w:val="DefaultParagraphFont"/>
    <w:link w:val="SCCFileNumber"/>
    <w:rsid w:val="00B9636D"/>
    <w:rPr>
      <w:rFonts w:eastAsiaTheme="minorHAnsi" w:cstheme="minorBidi"/>
      <w:b/>
      <w:sz w:val="24"/>
      <w:szCs w:val="22"/>
      <w:lang w:val="fr-CA"/>
    </w:rPr>
  </w:style>
  <w:style w:type="paragraph" w:styleId="BalloonText">
    <w:name w:val="Balloon Text"/>
    <w:basedOn w:val="Normal"/>
    <w:link w:val="BalloonTextChar"/>
    <w:uiPriority w:val="99"/>
    <w:semiHidden/>
    <w:unhideWhenUsed/>
    <w:rsid w:val="000B7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4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fra.aspx?cas=3621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c-csc.ca/case-dossier/info/sum-som-fra.aspx?cas=36205"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omments-commentaires@scc-csc.ca" TargetMode="External"/><Relationship Id="rId4" Type="http://schemas.openxmlformats.org/officeDocument/2006/relationships/webSettings" Target="webSettings.xml"/><Relationship Id="rId9" Type="http://schemas.openxmlformats.org/officeDocument/2006/relationships/hyperlink" Target="http://www.scc-csc.ca/case-dossier/info/sum-som-eng.aspx?cas=3643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1473</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10049</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2016-07-25T15:56:00Z</dcterms:created>
  <dcterms:modified xsi:type="dcterms:W3CDTF">2016-07-25T17:16:00Z</dcterms:modified>
</cp:coreProperties>
</file>