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55E2C" w:rsidRDefault="003F43E6" w:rsidP="00122CE1">
      <w:pPr>
        <w:pStyle w:val="Header"/>
        <w:tabs>
          <w:tab w:val="left" w:pos="1620"/>
          <w:tab w:val="left" w:pos="1710"/>
        </w:tabs>
        <w:jc w:val="center"/>
        <w:rPr>
          <w:b/>
          <w:sz w:val="32"/>
        </w:rPr>
      </w:pPr>
      <w:r w:rsidRPr="00355E2C">
        <w:rPr>
          <w:b/>
          <w:sz w:val="32"/>
        </w:rPr>
        <w:t>Supreme Court of Canada / Cour suprême du Canada</w:t>
      </w:r>
    </w:p>
    <w:p w:rsidR="003F43E6" w:rsidRPr="00355E2C" w:rsidRDefault="003F43E6" w:rsidP="006F2579">
      <w:pPr>
        <w:widowControl w:val="0"/>
        <w:rPr>
          <w:i/>
        </w:rPr>
      </w:pPr>
    </w:p>
    <w:p w:rsidR="006F2579" w:rsidRPr="00355E2C" w:rsidRDefault="006F2579" w:rsidP="006F2579">
      <w:pPr>
        <w:widowControl w:val="0"/>
        <w:rPr>
          <w:i/>
        </w:rPr>
      </w:pPr>
      <w:r w:rsidRPr="00355E2C">
        <w:rPr>
          <w:i/>
        </w:rPr>
        <w:t>(le français suit)</w:t>
      </w:r>
    </w:p>
    <w:p w:rsidR="006F2579" w:rsidRPr="00355E2C" w:rsidRDefault="006F2579" w:rsidP="006F2579">
      <w:pPr>
        <w:widowControl w:val="0"/>
      </w:pPr>
    </w:p>
    <w:p w:rsidR="006F2579" w:rsidRPr="00355E2C" w:rsidRDefault="00B07908" w:rsidP="006F2579">
      <w:pPr>
        <w:widowControl w:val="0"/>
        <w:jc w:val="center"/>
        <w:rPr>
          <w:b/>
        </w:rPr>
      </w:pPr>
      <w:r w:rsidRPr="00355E2C">
        <w:fldChar w:fldCharType="begin"/>
      </w:r>
      <w:r w:rsidR="006F2579" w:rsidRPr="00355E2C">
        <w:instrText xml:space="preserve"> SEQ CHAPTER \h \r 1</w:instrText>
      </w:r>
      <w:r w:rsidRPr="00355E2C">
        <w:fldChar w:fldCharType="end"/>
      </w:r>
      <w:r w:rsidR="006F2579" w:rsidRPr="00355E2C">
        <w:rPr>
          <w:b/>
        </w:rPr>
        <w:t>JUDGMENT TO B</w:t>
      </w:r>
      <w:r w:rsidR="00001846" w:rsidRPr="00355E2C">
        <w:rPr>
          <w:b/>
        </w:rPr>
        <w:t>E RENDERED IN LEAVE APPLICATION</w:t>
      </w:r>
    </w:p>
    <w:p w:rsidR="006F2579" w:rsidRPr="00355E2C" w:rsidRDefault="006F2579" w:rsidP="006F2579">
      <w:pPr>
        <w:widowControl w:val="0"/>
        <w:rPr>
          <w:b/>
        </w:rPr>
      </w:pPr>
    </w:p>
    <w:p w:rsidR="006F2579" w:rsidRPr="00355E2C" w:rsidRDefault="00131FF2" w:rsidP="006F2579">
      <w:pPr>
        <w:widowControl w:val="0"/>
        <w:rPr>
          <w:b/>
        </w:rPr>
      </w:pPr>
      <w:r>
        <w:rPr>
          <w:b/>
        </w:rPr>
        <w:t>August 2</w:t>
      </w:r>
      <w:r w:rsidR="00AB5538" w:rsidRPr="00355E2C">
        <w:rPr>
          <w:b/>
        </w:rPr>
        <w:t>,</w:t>
      </w:r>
      <w:r w:rsidR="006F2579" w:rsidRPr="00355E2C">
        <w:rPr>
          <w:b/>
        </w:rPr>
        <w:t xml:space="preserve"> </w:t>
      </w:r>
      <w:r w:rsidR="0054689F" w:rsidRPr="00355E2C">
        <w:rPr>
          <w:b/>
        </w:rPr>
        <w:t>201</w:t>
      </w:r>
      <w:r w:rsidR="00674329" w:rsidRPr="00355E2C">
        <w:rPr>
          <w:b/>
        </w:rPr>
        <w:t>6</w:t>
      </w:r>
    </w:p>
    <w:p w:rsidR="006F2579" w:rsidRPr="00355E2C" w:rsidRDefault="006F2579" w:rsidP="006F2579">
      <w:pPr>
        <w:widowControl w:val="0"/>
        <w:rPr>
          <w:b/>
        </w:rPr>
      </w:pPr>
      <w:r w:rsidRPr="00355E2C">
        <w:rPr>
          <w:b/>
        </w:rPr>
        <w:t>For immediate release</w:t>
      </w:r>
    </w:p>
    <w:p w:rsidR="006F2579" w:rsidRPr="00355E2C" w:rsidRDefault="006F2579" w:rsidP="006F2579">
      <w:pPr>
        <w:widowControl w:val="0"/>
      </w:pPr>
    </w:p>
    <w:p w:rsidR="006F2579" w:rsidRPr="000B0DB7" w:rsidRDefault="006F2579" w:rsidP="006F2579">
      <w:pPr>
        <w:widowControl w:val="0"/>
        <w:rPr>
          <w:lang w:val="fr-CA"/>
        </w:rPr>
      </w:pPr>
      <w:r w:rsidRPr="00355E2C">
        <w:rPr>
          <w:b/>
        </w:rPr>
        <w:t>OTTAWA</w:t>
      </w:r>
      <w:r w:rsidRPr="00355E2C">
        <w:t xml:space="preserve"> – The Supreme Court of Canada announced today that judgment in the following application for leave to appeal will be delivered at 9:45 a.m. E</w:t>
      </w:r>
      <w:r w:rsidR="003817A9" w:rsidRPr="00355E2C">
        <w:t>D</w:t>
      </w:r>
      <w:r w:rsidRPr="00355E2C">
        <w:t xml:space="preserve">T on Thursday, </w:t>
      </w:r>
      <w:r w:rsidR="00131FF2">
        <w:t>August 4</w:t>
      </w:r>
      <w:r w:rsidR="007E112F" w:rsidRPr="00355E2C">
        <w:t>,</w:t>
      </w:r>
      <w:r w:rsidR="002F38D7" w:rsidRPr="00355E2C">
        <w:t xml:space="preserve"> </w:t>
      </w:r>
      <w:r w:rsidR="006648D1" w:rsidRPr="00355E2C">
        <w:t>201</w:t>
      </w:r>
      <w:r w:rsidR="00674329" w:rsidRPr="00355E2C">
        <w:t>6</w:t>
      </w:r>
      <w:r w:rsidRPr="00355E2C">
        <w:t xml:space="preserve">.  </w:t>
      </w:r>
      <w:r w:rsidRPr="000B0DB7">
        <w:rPr>
          <w:lang w:val="fr-CA"/>
        </w:rPr>
        <w:t>This list is subject to change.</w:t>
      </w:r>
    </w:p>
    <w:p w:rsidR="00B43418" w:rsidRPr="000B0DB7" w:rsidRDefault="00B43418" w:rsidP="006F2579">
      <w:pPr>
        <w:widowControl w:val="0"/>
        <w:rPr>
          <w:lang w:val="fr-CA"/>
        </w:rPr>
      </w:pPr>
    </w:p>
    <w:p w:rsidR="005C3563" w:rsidRPr="000B0DB7" w:rsidRDefault="005C3563" w:rsidP="006F2579">
      <w:pPr>
        <w:widowControl w:val="0"/>
        <w:rPr>
          <w:lang w:val="fr-CA"/>
        </w:rPr>
      </w:pPr>
    </w:p>
    <w:p w:rsidR="006F2579" w:rsidRPr="00355E2C" w:rsidRDefault="006F2579" w:rsidP="006F2579">
      <w:pPr>
        <w:widowControl w:val="0"/>
        <w:jc w:val="center"/>
        <w:rPr>
          <w:lang w:val="fr-CA"/>
        </w:rPr>
      </w:pPr>
      <w:r w:rsidRPr="00355E2C">
        <w:rPr>
          <w:b/>
          <w:lang w:val="fr-CA"/>
        </w:rPr>
        <w:t>PROCHAIN JUGEMENT</w:t>
      </w:r>
      <w:r w:rsidR="00001846" w:rsidRPr="00355E2C">
        <w:rPr>
          <w:b/>
          <w:lang w:val="fr-CA"/>
        </w:rPr>
        <w:t xml:space="preserve"> SUR DEMANDE</w:t>
      </w:r>
      <w:r w:rsidRPr="00355E2C">
        <w:rPr>
          <w:b/>
          <w:lang w:val="fr-CA"/>
        </w:rPr>
        <w:t xml:space="preserve"> D’AUTORISATION</w:t>
      </w:r>
    </w:p>
    <w:p w:rsidR="006F2579" w:rsidRPr="00355E2C" w:rsidRDefault="006F2579" w:rsidP="006F2579">
      <w:pPr>
        <w:widowControl w:val="0"/>
        <w:rPr>
          <w:lang w:val="fr-CA"/>
        </w:rPr>
      </w:pPr>
    </w:p>
    <w:p w:rsidR="006F2579" w:rsidRPr="00355E2C" w:rsidRDefault="006F2579" w:rsidP="006F2579">
      <w:pPr>
        <w:widowControl w:val="0"/>
        <w:rPr>
          <w:b/>
          <w:lang w:val="fr-CA"/>
        </w:rPr>
      </w:pPr>
      <w:r w:rsidRPr="00355E2C">
        <w:rPr>
          <w:b/>
          <w:lang w:val="fr-CA"/>
        </w:rPr>
        <w:t>Le</w:t>
      </w:r>
      <w:r w:rsidR="00957A76" w:rsidRPr="00355E2C">
        <w:rPr>
          <w:b/>
          <w:lang w:val="fr-CA"/>
        </w:rPr>
        <w:t xml:space="preserve"> </w:t>
      </w:r>
      <w:r w:rsidR="00A40A77">
        <w:rPr>
          <w:b/>
          <w:lang w:val="fr-CA"/>
        </w:rPr>
        <w:t>2</w:t>
      </w:r>
      <w:r w:rsidR="00131FF2">
        <w:rPr>
          <w:b/>
          <w:lang w:val="fr-CA"/>
        </w:rPr>
        <w:t xml:space="preserve"> août</w:t>
      </w:r>
      <w:r w:rsidR="00674329" w:rsidRPr="00355E2C">
        <w:rPr>
          <w:b/>
          <w:lang w:val="fr-CA"/>
        </w:rPr>
        <w:t xml:space="preserve"> 2016</w:t>
      </w:r>
    </w:p>
    <w:p w:rsidR="006F2579" w:rsidRPr="00355E2C" w:rsidRDefault="006F2579" w:rsidP="006F2579">
      <w:pPr>
        <w:widowControl w:val="0"/>
        <w:rPr>
          <w:b/>
          <w:lang w:val="fr-CA"/>
        </w:rPr>
      </w:pPr>
      <w:r w:rsidRPr="00355E2C">
        <w:rPr>
          <w:b/>
          <w:lang w:val="fr-CA"/>
        </w:rPr>
        <w:t>Pour diffusion immédiate</w:t>
      </w:r>
    </w:p>
    <w:p w:rsidR="006F2579" w:rsidRPr="00355E2C" w:rsidRDefault="006F2579" w:rsidP="006F2579">
      <w:pPr>
        <w:widowControl w:val="0"/>
        <w:rPr>
          <w:b/>
          <w:lang w:val="fr-CA"/>
        </w:rPr>
      </w:pPr>
    </w:p>
    <w:p w:rsidR="006F2579" w:rsidRPr="00355E2C" w:rsidRDefault="006F2579" w:rsidP="006F2579">
      <w:pPr>
        <w:widowControl w:val="0"/>
        <w:rPr>
          <w:lang w:val="fr-CA"/>
        </w:rPr>
      </w:pPr>
      <w:r w:rsidRPr="00355E2C">
        <w:rPr>
          <w:b/>
          <w:lang w:val="fr-CA"/>
        </w:rPr>
        <w:t>OTTAWA</w:t>
      </w:r>
      <w:r w:rsidRPr="00355E2C">
        <w:rPr>
          <w:lang w:val="fr-CA"/>
        </w:rPr>
        <w:t xml:space="preserve"> – La Cour suprême du Canada annonce que jugement ser</w:t>
      </w:r>
      <w:r w:rsidR="004259F9" w:rsidRPr="00355E2C">
        <w:rPr>
          <w:lang w:val="fr-CA"/>
        </w:rPr>
        <w:t>a</w:t>
      </w:r>
      <w:r w:rsidRPr="00355E2C">
        <w:rPr>
          <w:lang w:val="fr-CA"/>
        </w:rPr>
        <w:t xml:space="preserve"> rendu dans l</w:t>
      </w:r>
      <w:r w:rsidR="00131FF2">
        <w:rPr>
          <w:lang w:val="fr-CA"/>
        </w:rPr>
        <w:t>a</w:t>
      </w:r>
      <w:r w:rsidRPr="00355E2C">
        <w:rPr>
          <w:lang w:val="fr-CA"/>
        </w:rPr>
        <w:t xml:space="preserve"> demande d</w:t>
      </w:r>
      <w:r w:rsidR="00001846" w:rsidRPr="00355E2C">
        <w:rPr>
          <w:lang w:val="fr-CA"/>
        </w:rPr>
        <w:t>’autorisation d’appel suivante</w:t>
      </w:r>
      <w:r w:rsidRPr="00355E2C">
        <w:rPr>
          <w:lang w:val="fr-CA"/>
        </w:rPr>
        <w:t xml:space="preserve"> le jeudi </w:t>
      </w:r>
      <w:r w:rsidR="00131FF2">
        <w:rPr>
          <w:lang w:val="fr-CA"/>
        </w:rPr>
        <w:t>4 août</w:t>
      </w:r>
      <w:r w:rsidR="00674329" w:rsidRPr="00355E2C">
        <w:rPr>
          <w:lang w:val="fr-CA"/>
        </w:rPr>
        <w:t xml:space="preserve"> </w:t>
      </w:r>
      <w:r w:rsidR="006648D1" w:rsidRPr="00355E2C">
        <w:rPr>
          <w:lang w:val="fr-CA"/>
        </w:rPr>
        <w:t>201</w:t>
      </w:r>
      <w:r w:rsidR="00674329" w:rsidRPr="00355E2C">
        <w:rPr>
          <w:lang w:val="fr-CA"/>
        </w:rPr>
        <w:t>6</w:t>
      </w:r>
      <w:r w:rsidRPr="00355E2C">
        <w:rPr>
          <w:lang w:val="fr-CA"/>
        </w:rPr>
        <w:t xml:space="preserve">, à 9 h 45 </w:t>
      </w:r>
      <w:r w:rsidR="000627A2" w:rsidRPr="00355E2C">
        <w:rPr>
          <w:lang w:val="fr-CA"/>
        </w:rPr>
        <w:t>H</w:t>
      </w:r>
      <w:r w:rsidR="003817A9" w:rsidRPr="00355E2C">
        <w:rPr>
          <w:lang w:val="fr-CA"/>
        </w:rPr>
        <w:t>A</w:t>
      </w:r>
      <w:r w:rsidRPr="00355E2C">
        <w:rPr>
          <w:lang w:val="fr-CA"/>
        </w:rPr>
        <w:t>E.  Cette liste est sujette à modifications.</w:t>
      </w:r>
    </w:p>
    <w:p w:rsidR="006F2579" w:rsidRPr="00355E2C" w:rsidRDefault="006F2579" w:rsidP="006F2579">
      <w:pPr>
        <w:widowControl w:val="0"/>
        <w:outlineLvl w:val="0"/>
        <w:rPr>
          <w:szCs w:val="24"/>
          <w:lang w:val="fr-CA"/>
        </w:rPr>
      </w:pPr>
    </w:p>
    <w:p w:rsidR="0080556B" w:rsidRPr="00355E2C" w:rsidRDefault="0080556B" w:rsidP="009B14F4">
      <w:pPr>
        <w:widowControl w:val="0"/>
        <w:jc w:val="both"/>
        <w:rPr>
          <w:sz w:val="20"/>
          <w:lang w:val="fr-CA"/>
        </w:rPr>
      </w:pPr>
    </w:p>
    <w:p w:rsidR="001838E0" w:rsidRPr="00355E2C" w:rsidRDefault="003D353C" w:rsidP="009B14F4">
      <w:pPr>
        <w:widowControl w:val="0"/>
        <w:jc w:val="both"/>
        <w:rPr>
          <w:sz w:val="20"/>
          <w:lang w:val="fr-CA"/>
        </w:rPr>
      </w:pPr>
      <w:r w:rsidRPr="00355E2C">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Pr="00715CA4" w:rsidRDefault="00BE2C4B" w:rsidP="009A5F3F">
      <w:pPr>
        <w:widowControl w:val="0"/>
        <w:autoSpaceDE w:val="0"/>
        <w:autoSpaceDN w:val="0"/>
        <w:adjustRightInd w:val="0"/>
        <w:ind w:left="360" w:hanging="360"/>
        <w:rPr>
          <w:rFonts w:eastAsiaTheme="minorEastAsia"/>
          <w:sz w:val="20"/>
          <w:lang w:val="fr-CA" w:eastAsia="en-CA"/>
        </w:rPr>
      </w:pPr>
    </w:p>
    <w:p w:rsidR="00A40A77" w:rsidRPr="008106E3" w:rsidRDefault="00A40A77" w:rsidP="008106E3">
      <w:pPr>
        <w:widowControl w:val="0"/>
        <w:autoSpaceDE w:val="0"/>
        <w:autoSpaceDN w:val="0"/>
        <w:adjustRightInd w:val="0"/>
        <w:ind w:left="360" w:hanging="360"/>
        <w:rPr>
          <w:rFonts w:eastAsiaTheme="minorEastAsia"/>
          <w:sz w:val="20"/>
          <w:lang w:val="en-CA" w:eastAsia="en-CA"/>
        </w:rPr>
      </w:pPr>
    </w:p>
    <w:p w:rsidR="008106E3" w:rsidRPr="002C089C" w:rsidRDefault="00131FF2" w:rsidP="002C089C">
      <w:pPr>
        <w:pStyle w:val="ListParagraph"/>
        <w:numPr>
          <w:ilvl w:val="0"/>
          <w:numId w:val="49"/>
        </w:numPr>
        <w:ind w:left="360"/>
        <w:rPr>
          <w:sz w:val="20"/>
          <w:lang w:val="en-CA"/>
        </w:rPr>
      </w:pPr>
      <w:r w:rsidRPr="002C089C">
        <w:rPr>
          <w:i/>
          <w:sz w:val="20"/>
          <w:lang w:val="en-CA"/>
        </w:rPr>
        <w:t xml:space="preserve">Keith Gregory </w:t>
      </w:r>
      <w:proofErr w:type="gramStart"/>
      <w:r w:rsidRPr="002C089C">
        <w:rPr>
          <w:i/>
          <w:sz w:val="20"/>
          <w:lang w:val="en-CA"/>
        </w:rPr>
        <w:t>Wiens</w:t>
      </w:r>
      <w:proofErr w:type="gramEnd"/>
      <w:r w:rsidRPr="002C089C">
        <w:rPr>
          <w:i/>
          <w:sz w:val="20"/>
          <w:lang w:val="en-CA"/>
        </w:rPr>
        <w:t xml:space="preserve"> v. Her Majesty the Queen </w:t>
      </w:r>
      <w:r w:rsidRPr="002C089C">
        <w:rPr>
          <w:sz w:val="20"/>
          <w:lang w:val="en-CA"/>
        </w:rPr>
        <w:t>(B.C.) (Criminal) (By Leave) (</w:t>
      </w:r>
      <w:r w:rsidR="000B0DB7">
        <w:fldChar w:fldCharType="begin"/>
      </w:r>
      <w:r w:rsidR="000B0DB7">
        <w:instrText xml:space="preserve"> HYPERLINK "http://www.scc-csc.ca/case-dossier/info/sum-som-eng.aspx?cas=36960" </w:instrText>
      </w:r>
      <w:bookmarkStart w:id="0" w:name="_GoBack"/>
      <w:bookmarkEnd w:id="0"/>
      <w:r w:rsidR="000B0DB7">
        <w:fldChar w:fldCharType="separate"/>
      </w:r>
      <w:r w:rsidRPr="002C089C">
        <w:rPr>
          <w:rStyle w:val="Hyperlink"/>
          <w:sz w:val="20"/>
          <w:szCs w:val="20"/>
          <w:lang w:val="en-CA"/>
        </w:rPr>
        <w:t>36960</w:t>
      </w:r>
      <w:r w:rsidR="000B0DB7">
        <w:rPr>
          <w:rStyle w:val="Hyperlink"/>
          <w:sz w:val="20"/>
          <w:szCs w:val="20"/>
          <w:lang w:val="en-CA"/>
        </w:rPr>
        <w:fldChar w:fldCharType="end"/>
      </w:r>
      <w:r w:rsidRPr="002C089C">
        <w:rPr>
          <w:sz w:val="20"/>
          <w:lang w:val="en-CA"/>
        </w:rPr>
        <w:t>)</w:t>
      </w:r>
    </w:p>
    <w:p w:rsidR="008106E3" w:rsidRPr="008106E3" w:rsidRDefault="008106E3" w:rsidP="008106E3">
      <w:pPr>
        <w:widowControl w:val="0"/>
        <w:ind w:left="360" w:hanging="360"/>
        <w:rPr>
          <w:sz w:val="20"/>
          <w:lang w:val="en-CA"/>
        </w:rPr>
      </w:pPr>
    </w:p>
    <w:p w:rsidR="002B61A8" w:rsidRPr="00A644A6" w:rsidRDefault="002B61A8" w:rsidP="00A644A6">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3563" w:rsidRPr="00A644A6" w:rsidTr="00E95A6A">
        <w:tc>
          <w:tcPr>
            <w:tcW w:w="543" w:type="pct"/>
          </w:tcPr>
          <w:p w:rsidR="005C3563" w:rsidRPr="00A644A6" w:rsidRDefault="005C3563" w:rsidP="00A644A6">
            <w:pPr>
              <w:jc w:val="both"/>
              <w:rPr>
                <w:sz w:val="20"/>
              </w:rPr>
            </w:pPr>
            <w:r w:rsidRPr="00A644A6">
              <w:rPr>
                <w:rStyle w:val="SCCFileNumberChar"/>
                <w:sz w:val="20"/>
                <w:szCs w:val="20"/>
              </w:rPr>
              <w:t>36960</w:t>
            </w:r>
          </w:p>
        </w:tc>
        <w:tc>
          <w:tcPr>
            <w:tcW w:w="4457" w:type="pct"/>
            <w:gridSpan w:val="3"/>
          </w:tcPr>
          <w:p w:rsidR="005C3563" w:rsidRPr="00A644A6" w:rsidRDefault="005C3563" w:rsidP="00A644A6">
            <w:pPr>
              <w:pStyle w:val="SCCLsocParty"/>
              <w:jc w:val="both"/>
              <w:rPr>
                <w:b/>
                <w:sz w:val="20"/>
                <w:szCs w:val="20"/>
                <w:lang w:val="en-US"/>
              </w:rPr>
            </w:pPr>
            <w:r w:rsidRPr="00A644A6">
              <w:rPr>
                <w:b/>
                <w:sz w:val="20"/>
                <w:szCs w:val="20"/>
                <w:lang w:val="en-US"/>
              </w:rPr>
              <w:t xml:space="preserve">Keith Gregory </w:t>
            </w:r>
            <w:proofErr w:type="gramStart"/>
            <w:r w:rsidRPr="00A644A6">
              <w:rPr>
                <w:b/>
                <w:sz w:val="20"/>
                <w:szCs w:val="20"/>
                <w:lang w:val="en-US"/>
              </w:rPr>
              <w:t>Wiens</w:t>
            </w:r>
            <w:proofErr w:type="gramEnd"/>
            <w:r w:rsidRPr="00A644A6">
              <w:rPr>
                <w:b/>
                <w:sz w:val="20"/>
                <w:szCs w:val="20"/>
                <w:lang w:val="en-US"/>
              </w:rPr>
              <w:t xml:space="preserve"> v. Her Majesty the Queen</w:t>
            </w:r>
          </w:p>
          <w:p w:rsidR="005C3563" w:rsidRPr="00A644A6" w:rsidRDefault="005C3563" w:rsidP="00A644A6">
            <w:pPr>
              <w:jc w:val="both"/>
              <w:rPr>
                <w:sz w:val="20"/>
              </w:rPr>
            </w:pPr>
            <w:r w:rsidRPr="00A644A6">
              <w:rPr>
                <w:sz w:val="20"/>
              </w:rPr>
              <w:t>(B.C.) (Criminal) (By Leave)</w:t>
            </w:r>
          </w:p>
        </w:tc>
      </w:tr>
      <w:tr w:rsidR="005C3563" w:rsidRPr="00A644A6" w:rsidTr="00E95A6A">
        <w:tc>
          <w:tcPr>
            <w:tcW w:w="5000" w:type="pct"/>
            <w:gridSpan w:val="4"/>
          </w:tcPr>
          <w:p w:rsidR="005C3563" w:rsidRPr="00A644A6" w:rsidRDefault="005C3563" w:rsidP="00A644A6">
            <w:pPr>
              <w:jc w:val="both"/>
              <w:rPr>
                <w:sz w:val="20"/>
              </w:rPr>
            </w:pPr>
          </w:p>
          <w:p w:rsidR="005C3563" w:rsidRPr="00A644A6" w:rsidRDefault="005C3563" w:rsidP="00A644A6">
            <w:pPr>
              <w:jc w:val="both"/>
              <w:rPr>
                <w:sz w:val="20"/>
              </w:rPr>
            </w:pPr>
            <w:r w:rsidRPr="00A644A6">
              <w:rPr>
                <w:sz w:val="20"/>
              </w:rPr>
              <w:t>Criminal law – Evidence – Expert Evidence – Fresh Evidence – Whether the trial judge allowed expert evidence testimony prior to declaring the witness an expert – Whether the expert witness was portrayed as a forensic pathologist when in fact he was a general pathologist without the proper qualifications to be a forensic pathologist – Whether the Crown mislead the court and jury – Whether the expert witness testified to matters that were well beyond his area of expertise – Whether the trial judge erred in qualifying the Crown’s expert witness – Whether this decision brings the administration of justice into disrepute – Whether the expert witnesses was not qualified – Whether fresh evidence should be admitted.</w:t>
            </w:r>
          </w:p>
        </w:tc>
      </w:tr>
      <w:tr w:rsidR="005C3563" w:rsidRPr="00A644A6" w:rsidTr="00E95A6A">
        <w:tc>
          <w:tcPr>
            <w:tcW w:w="5000" w:type="pct"/>
            <w:gridSpan w:val="4"/>
          </w:tcPr>
          <w:p w:rsidR="005C3563" w:rsidRPr="00A644A6" w:rsidRDefault="005C3563" w:rsidP="00A644A6">
            <w:pPr>
              <w:jc w:val="both"/>
              <w:rPr>
                <w:sz w:val="20"/>
              </w:rPr>
            </w:pPr>
          </w:p>
        </w:tc>
      </w:tr>
      <w:tr w:rsidR="005C3563" w:rsidRPr="00A644A6" w:rsidTr="00E95A6A">
        <w:tc>
          <w:tcPr>
            <w:tcW w:w="5000" w:type="pct"/>
            <w:gridSpan w:val="4"/>
          </w:tcPr>
          <w:p w:rsidR="005C3563" w:rsidRPr="00A644A6" w:rsidRDefault="005C3563" w:rsidP="00A644A6">
            <w:pPr>
              <w:jc w:val="both"/>
              <w:rPr>
                <w:sz w:val="20"/>
              </w:rPr>
            </w:pPr>
            <w:r w:rsidRPr="00A644A6">
              <w:rPr>
                <w:sz w:val="20"/>
              </w:rPr>
              <w:t>The applicant called 9-1-1. The police arrived and found the applicant’s common-law wife lying on her back having been shot once in the face. She had large knife in her left hand. The applicant testified at trial that he shot her in self-defence. After a trial by judge and jury, the applicant was convicted of second degree murder.</w:t>
            </w:r>
            <w:r w:rsidRPr="00A644A6">
              <w:rPr>
                <w:iCs/>
                <w:sz w:val="20"/>
              </w:rPr>
              <w:t xml:space="preserve"> The Court of Appeal dismissed the conviction appeal.</w:t>
            </w:r>
          </w:p>
          <w:p w:rsidR="005C3563" w:rsidRPr="00A644A6" w:rsidRDefault="005C3563" w:rsidP="00A644A6">
            <w:pPr>
              <w:jc w:val="both"/>
              <w:rPr>
                <w:sz w:val="20"/>
              </w:rPr>
            </w:pPr>
          </w:p>
        </w:tc>
      </w:tr>
      <w:tr w:rsidR="005C3563" w:rsidRPr="00A644A6" w:rsidTr="00E95A6A">
        <w:tc>
          <w:tcPr>
            <w:tcW w:w="2427" w:type="pct"/>
            <w:gridSpan w:val="2"/>
          </w:tcPr>
          <w:p w:rsidR="005C3563" w:rsidRPr="00A644A6" w:rsidRDefault="005C3563" w:rsidP="00A644A6">
            <w:pPr>
              <w:jc w:val="both"/>
              <w:rPr>
                <w:sz w:val="20"/>
              </w:rPr>
            </w:pPr>
            <w:r w:rsidRPr="00A644A6">
              <w:rPr>
                <w:sz w:val="20"/>
              </w:rPr>
              <w:t>July 23, 2013</w:t>
            </w:r>
          </w:p>
          <w:p w:rsidR="005C3563" w:rsidRPr="00A644A6" w:rsidRDefault="005C3563" w:rsidP="00A644A6">
            <w:pPr>
              <w:jc w:val="both"/>
              <w:rPr>
                <w:sz w:val="20"/>
              </w:rPr>
            </w:pPr>
            <w:r w:rsidRPr="00A644A6">
              <w:rPr>
                <w:sz w:val="20"/>
              </w:rPr>
              <w:t>Supreme Court of British Columbia</w:t>
            </w:r>
          </w:p>
          <w:p w:rsidR="005C3563" w:rsidRPr="00A644A6" w:rsidRDefault="005C3563" w:rsidP="00A644A6">
            <w:pPr>
              <w:jc w:val="both"/>
              <w:rPr>
                <w:sz w:val="20"/>
              </w:rPr>
            </w:pPr>
            <w:r w:rsidRPr="00A644A6">
              <w:rPr>
                <w:sz w:val="20"/>
              </w:rPr>
              <w:t>(Barrow J.)</w:t>
            </w:r>
          </w:p>
          <w:p w:rsidR="005C3563" w:rsidRPr="00A644A6" w:rsidRDefault="005C3563" w:rsidP="00A644A6">
            <w:pPr>
              <w:jc w:val="both"/>
              <w:rPr>
                <w:sz w:val="20"/>
              </w:rPr>
            </w:pPr>
          </w:p>
        </w:tc>
        <w:tc>
          <w:tcPr>
            <w:tcW w:w="243" w:type="pct"/>
          </w:tcPr>
          <w:p w:rsidR="005C3563" w:rsidRPr="00A644A6" w:rsidRDefault="005C3563" w:rsidP="00A644A6">
            <w:pPr>
              <w:jc w:val="both"/>
              <w:rPr>
                <w:sz w:val="20"/>
              </w:rPr>
            </w:pPr>
          </w:p>
        </w:tc>
        <w:tc>
          <w:tcPr>
            <w:tcW w:w="2330" w:type="pct"/>
          </w:tcPr>
          <w:p w:rsidR="005C3563" w:rsidRPr="00A644A6" w:rsidRDefault="005C3563" w:rsidP="00A644A6">
            <w:pPr>
              <w:jc w:val="both"/>
              <w:rPr>
                <w:sz w:val="20"/>
              </w:rPr>
            </w:pPr>
            <w:r w:rsidRPr="00A644A6">
              <w:rPr>
                <w:sz w:val="20"/>
              </w:rPr>
              <w:t>Conviction for second degree murder</w:t>
            </w:r>
          </w:p>
          <w:p w:rsidR="005C3563" w:rsidRPr="00A644A6" w:rsidRDefault="005C3563" w:rsidP="00A644A6">
            <w:pPr>
              <w:jc w:val="both"/>
              <w:rPr>
                <w:sz w:val="20"/>
              </w:rPr>
            </w:pPr>
          </w:p>
        </w:tc>
      </w:tr>
      <w:tr w:rsidR="005C3563" w:rsidRPr="00A644A6" w:rsidTr="00E95A6A">
        <w:tc>
          <w:tcPr>
            <w:tcW w:w="2427" w:type="pct"/>
            <w:gridSpan w:val="2"/>
          </w:tcPr>
          <w:p w:rsidR="005C3563" w:rsidRPr="00A644A6" w:rsidRDefault="005C3563" w:rsidP="00A644A6">
            <w:pPr>
              <w:jc w:val="both"/>
              <w:rPr>
                <w:sz w:val="20"/>
              </w:rPr>
            </w:pPr>
            <w:r w:rsidRPr="00A644A6">
              <w:rPr>
                <w:sz w:val="20"/>
              </w:rPr>
              <w:t>January 26, 2016</w:t>
            </w:r>
          </w:p>
          <w:p w:rsidR="005C3563" w:rsidRPr="00A644A6" w:rsidRDefault="005C3563" w:rsidP="00A644A6">
            <w:pPr>
              <w:jc w:val="both"/>
              <w:rPr>
                <w:sz w:val="20"/>
              </w:rPr>
            </w:pPr>
            <w:r w:rsidRPr="00A644A6">
              <w:rPr>
                <w:sz w:val="20"/>
              </w:rPr>
              <w:t xml:space="preserve">Court of Appeal for British Columbia </w:t>
            </w:r>
          </w:p>
          <w:p w:rsidR="005C3563" w:rsidRPr="00A644A6" w:rsidRDefault="005C3563" w:rsidP="00A644A6">
            <w:pPr>
              <w:jc w:val="both"/>
              <w:rPr>
                <w:sz w:val="20"/>
              </w:rPr>
            </w:pPr>
            <w:r w:rsidRPr="00A644A6">
              <w:rPr>
                <w:sz w:val="20"/>
              </w:rPr>
              <w:t>(Vancouver)</w:t>
            </w:r>
          </w:p>
          <w:p w:rsidR="005C3563" w:rsidRPr="00A644A6" w:rsidRDefault="005C3563" w:rsidP="00A644A6">
            <w:pPr>
              <w:jc w:val="both"/>
              <w:rPr>
                <w:sz w:val="20"/>
              </w:rPr>
            </w:pPr>
            <w:r w:rsidRPr="00A644A6">
              <w:rPr>
                <w:sz w:val="20"/>
              </w:rPr>
              <w:t>(Frankel, Smith, Savage JJ.A.)</w:t>
            </w:r>
          </w:p>
          <w:p w:rsidR="005C3563" w:rsidRPr="00A644A6" w:rsidRDefault="005C3563" w:rsidP="00A644A6">
            <w:pPr>
              <w:jc w:val="both"/>
              <w:rPr>
                <w:sz w:val="20"/>
              </w:rPr>
            </w:pPr>
            <w:r w:rsidRPr="00A644A6">
              <w:rPr>
                <w:sz w:val="20"/>
              </w:rPr>
              <w:t>2016 BCCA 34, CA41140</w:t>
            </w:r>
          </w:p>
          <w:p w:rsidR="005C3563" w:rsidRPr="00A644A6" w:rsidRDefault="000B0DB7" w:rsidP="00A644A6">
            <w:pPr>
              <w:jc w:val="both"/>
              <w:rPr>
                <w:sz w:val="20"/>
              </w:rPr>
            </w:pPr>
            <w:hyperlink r:id="rId7" w:history="1">
              <w:r w:rsidR="005C3563" w:rsidRPr="00A644A6">
                <w:rPr>
                  <w:rStyle w:val="Hyperlink"/>
                  <w:rFonts w:eastAsiaTheme="majorEastAsia"/>
                  <w:sz w:val="20"/>
                </w:rPr>
                <w:t>http://canlii.ca/t/gn2h5</w:t>
              </w:r>
            </w:hyperlink>
          </w:p>
          <w:p w:rsidR="005C3563" w:rsidRPr="00A644A6" w:rsidRDefault="005C3563" w:rsidP="00A644A6">
            <w:pPr>
              <w:jc w:val="both"/>
              <w:rPr>
                <w:sz w:val="20"/>
              </w:rPr>
            </w:pPr>
          </w:p>
        </w:tc>
        <w:tc>
          <w:tcPr>
            <w:tcW w:w="243" w:type="pct"/>
          </w:tcPr>
          <w:p w:rsidR="005C3563" w:rsidRPr="00A644A6" w:rsidRDefault="005C3563" w:rsidP="00A644A6">
            <w:pPr>
              <w:jc w:val="both"/>
              <w:rPr>
                <w:sz w:val="20"/>
              </w:rPr>
            </w:pPr>
          </w:p>
        </w:tc>
        <w:tc>
          <w:tcPr>
            <w:tcW w:w="2330" w:type="pct"/>
          </w:tcPr>
          <w:p w:rsidR="005C3563" w:rsidRPr="00A644A6" w:rsidRDefault="005C3563" w:rsidP="00A644A6">
            <w:pPr>
              <w:jc w:val="both"/>
              <w:rPr>
                <w:sz w:val="20"/>
              </w:rPr>
            </w:pPr>
            <w:r w:rsidRPr="00A644A6">
              <w:rPr>
                <w:sz w:val="20"/>
              </w:rPr>
              <w:t>Conviction appeal dismissed</w:t>
            </w:r>
          </w:p>
          <w:p w:rsidR="005C3563" w:rsidRPr="00A644A6" w:rsidRDefault="005C3563" w:rsidP="00A644A6">
            <w:pPr>
              <w:jc w:val="both"/>
              <w:rPr>
                <w:sz w:val="20"/>
              </w:rPr>
            </w:pPr>
          </w:p>
        </w:tc>
      </w:tr>
      <w:tr w:rsidR="005C3563" w:rsidRPr="00A644A6" w:rsidTr="00E95A6A">
        <w:tc>
          <w:tcPr>
            <w:tcW w:w="2427" w:type="pct"/>
            <w:gridSpan w:val="2"/>
          </w:tcPr>
          <w:p w:rsidR="005C3563" w:rsidRPr="00A644A6" w:rsidRDefault="005C3563" w:rsidP="00A644A6">
            <w:pPr>
              <w:jc w:val="both"/>
              <w:rPr>
                <w:sz w:val="20"/>
              </w:rPr>
            </w:pPr>
            <w:r w:rsidRPr="00A644A6">
              <w:rPr>
                <w:sz w:val="20"/>
              </w:rPr>
              <w:t>April 6, 2016</w:t>
            </w:r>
          </w:p>
          <w:p w:rsidR="005C3563" w:rsidRPr="00A644A6" w:rsidRDefault="005C3563" w:rsidP="00A644A6">
            <w:pPr>
              <w:jc w:val="both"/>
              <w:rPr>
                <w:sz w:val="20"/>
              </w:rPr>
            </w:pPr>
            <w:r w:rsidRPr="00A644A6">
              <w:rPr>
                <w:sz w:val="20"/>
              </w:rPr>
              <w:t>Supreme Court of Canada</w:t>
            </w:r>
          </w:p>
          <w:p w:rsidR="005C3563" w:rsidRPr="00A644A6" w:rsidRDefault="005C3563" w:rsidP="00A644A6">
            <w:pPr>
              <w:jc w:val="both"/>
              <w:rPr>
                <w:sz w:val="20"/>
              </w:rPr>
            </w:pPr>
          </w:p>
        </w:tc>
        <w:tc>
          <w:tcPr>
            <w:tcW w:w="243" w:type="pct"/>
          </w:tcPr>
          <w:p w:rsidR="005C3563" w:rsidRPr="00A644A6" w:rsidRDefault="005C3563" w:rsidP="00A644A6">
            <w:pPr>
              <w:jc w:val="both"/>
              <w:rPr>
                <w:sz w:val="20"/>
              </w:rPr>
            </w:pPr>
          </w:p>
        </w:tc>
        <w:tc>
          <w:tcPr>
            <w:tcW w:w="2330" w:type="pct"/>
          </w:tcPr>
          <w:p w:rsidR="005C3563" w:rsidRPr="00A644A6" w:rsidRDefault="005C3563" w:rsidP="00A644A6">
            <w:pPr>
              <w:jc w:val="both"/>
              <w:rPr>
                <w:sz w:val="20"/>
              </w:rPr>
            </w:pPr>
            <w:r w:rsidRPr="00A644A6">
              <w:rPr>
                <w:sz w:val="20"/>
              </w:rPr>
              <w:t>Motion for an extension of time to serve and file the application for leave to appeal and motion to adduce fresh evidence and application for leave to appeal filed</w:t>
            </w:r>
          </w:p>
          <w:p w:rsidR="005C3563" w:rsidRPr="00A644A6" w:rsidRDefault="005C3563" w:rsidP="00A644A6">
            <w:pPr>
              <w:jc w:val="both"/>
              <w:rPr>
                <w:sz w:val="20"/>
              </w:rPr>
            </w:pPr>
          </w:p>
        </w:tc>
      </w:tr>
      <w:tr w:rsidR="005C3563" w:rsidRPr="00A644A6" w:rsidTr="00E95A6A">
        <w:tc>
          <w:tcPr>
            <w:tcW w:w="2427" w:type="pct"/>
            <w:gridSpan w:val="2"/>
          </w:tcPr>
          <w:p w:rsidR="005C3563" w:rsidRPr="00A644A6" w:rsidRDefault="005C3563" w:rsidP="00A644A6">
            <w:pPr>
              <w:jc w:val="both"/>
              <w:rPr>
                <w:sz w:val="20"/>
              </w:rPr>
            </w:pPr>
            <w:r w:rsidRPr="00A644A6">
              <w:rPr>
                <w:sz w:val="20"/>
              </w:rPr>
              <w:t>June 23, 2016</w:t>
            </w:r>
          </w:p>
          <w:p w:rsidR="005C3563" w:rsidRPr="00A644A6" w:rsidRDefault="005C3563" w:rsidP="00A644A6">
            <w:pPr>
              <w:jc w:val="both"/>
              <w:rPr>
                <w:sz w:val="20"/>
              </w:rPr>
            </w:pPr>
            <w:r w:rsidRPr="00A644A6">
              <w:rPr>
                <w:sz w:val="20"/>
              </w:rPr>
              <w:t>Supreme Court of Canada</w:t>
            </w:r>
          </w:p>
        </w:tc>
        <w:tc>
          <w:tcPr>
            <w:tcW w:w="243" w:type="pct"/>
          </w:tcPr>
          <w:p w:rsidR="005C3563" w:rsidRPr="00A644A6" w:rsidRDefault="005C3563" w:rsidP="00A644A6">
            <w:pPr>
              <w:jc w:val="both"/>
              <w:rPr>
                <w:sz w:val="20"/>
              </w:rPr>
            </w:pPr>
          </w:p>
        </w:tc>
        <w:tc>
          <w:tcPr>
            <w:tcW w:w="2330" w:type="pct"/>
          </w:tcPr>
          <w:p w:rsidR="005C3563" w:rsidRPr="00A644A6" w:rsidRDefault="005C3563" w:rsidP="00A644A6">
            <w:pPr>
              <w:jc w:val="both"/>
              <w:rPr>
                <w:sz w:val="20"/>
              </w:rPr>
            </w:pPr>
            <w:r w:rsidRPr="00A644A6">
              <w:rPr>
                <w:sz w:val="20"/>
              </w:rPr>
              <w:t>Motion for an extension of time to serve and file the reply</w:t>
            </w:r>
          </w:p>
          <w:p w:rsidR="005C3563" w:rsidRPr="00A644A6" w:rsidRDefault="005C3563" w:rsidP="00A644A6">
            <w:pPr>
              <w:jc w:val="both"/>
              <w:rPr>
                <w:sz w:val="20"/>
              </w:rPr>
            </w:pPr>
          </w:p>
        </w:tc>
      </w:tr>
    </w:tbl>
    <w:p w:rsidR="005C3563" w:rsidRPr="00A644A6" w:rsidRDefault="005C3563" w:rsidP="00A644A6">
      <w:pPr>
        <w:jc w:val="both"/>
        <w:rPr>
          <w:sz w:val="20"/>
        </w:rPr>
      </w:pPr>
    </w:p>
    <w:p w:rsidR="005C3563" w:rsidRPr="00A644A6" w:rsidRDefault="005C3563" w:rsidP="00A644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3563" w:rsidRPr="000B0DB7" w:rsidTr="00E95A6A">
        <w:tc>
          <w:tcPr>
            <w:tcW w:w="543" w:type="pct"/>
          </w:tcPr>
          <w:p w:rsidR="005C3563" w:rsidRPr="00A644A6" w:rsidRDefault="005C3563" w:rsidP="00A644A6">
            <w:pPr>
              <w:jc w:val="both"/>
              <w:rPr>
                <w:sz w:val="20"/>
                <w:lang w:val="fr-CA"/>
              </w:rPr>
            </w:pPr>
            <w:r w:rsidRPr="00A644A6">
              <w:rPr>
                <w:rStyle w:val="SCCFileNumberChar"/>
                <w:sz w:val="20"/>
                <w:szCs w:val="20"/>
                <w:lang w:val="fr-CA"/>
              </w:rPr>
              <w:t>36960</w:t>
            </w:r>
          </w:p>
        </w:tc>
        <w:tc>
          <w:tcPr>
            <w:tcW w:w="4457" w:type="pct"/>
            <w:gridSpan w:val="3"/>
          </w:tcPr>
          <w:p w:rsidR="005C3563" w:rsidRPr="00A644A6" w:rsidRDefault="005C3563" w:rsidP="00A644A6">
            <w:pPr>
              <w:pStyle w:val="SCCLsocParty"/>
              <w:jc w:val="both"/>
              <w:rPr>
                <w:b/>
                <w:sz w:val="20"/>
                <w:szCs w:val="20"/>
              </w:rPr>
            </w:pPr>
            <w:r w:rsidRPr="00A644A6">
              <w:rPr>
                <w:b/>
                <w:sz w:val="20"/>
                <w:szCs w:val="20"/>
              </w:rPr>
              <w:t xml:space="preserve">Keith Gregory </w:t>
            </w:r>
            <w:proofErr w:type="spellStart"/>
            <w:r w:rsidRPr="00A644A6">
              <w:rPr>
                <w:b/>
                <w:sz w:val="20"/>
                <w:szCs w:val="20"/>
              </w:rPr>
              <w:t>Wiens</w:t>
            </w:r>
            <w:proofErr w:type="spellEnd"/>
            <w:r w:rsidRPr="00A644A6">
              <w:rPr>
                <w:b/>
                <w:sz w:val="20"/>
                <w:szCs w:val="20"/>
              </w:rPr>
              <w:t xml:space="preserve"> c. Sa Majesté la Reine</w:t>
            </w:r>
          </w:p>
          <w:p w:rsidR="005C3563" w:rsidRPr="00A644A6" w:rsidRDefault="005C3563" w:rsidP="00A644A6">
            <w:pPr>
              <w:jc w:val="both"/>
              <w:rPr>
                <w:sz w:val="20"/>
                <w:lang w:val="fr-CA"/>
              </w:rPr>
            </w:pPr>
            <w:r w:rsidRPr="00A644A6">
              <w:rPr>
                <w:sz w:val="20"/>
                <w:lang w:val="fr-CA"/>
              </w:rPr>
              <w:t>(C.</w:t>
            </w:r>
            <w:r w:rsidR="00A644A6">
              <w:rPr>
                <w:sz w:val="20"/>
                <w:lang w:val="fr-CA"/>
              </w:rPr>
              <w:t>-</w:t>
            </w:r>
            <w:r w:rsidRPr="00A644A6">
              <w:rPr>
                <w:sz w:val="20"/>
                <w:lang w:val="fr-CA"/>
              </w:rPr>
              <w:t>B.) (Criminelle) (Sur autorisation)</w:t>
            </w:r>
          </w:p>
        </w:tc>
      </w:tr>
      <w:tr w:rsidR="005C3563" w:rsidRPr="000B0DB7" w:rsidTr="00E95A6A">
        <w:tc>
          <w:tcPr>
            <w:tcW w:w="5000" w:type="pct"/>
            <w:gridSpan w:val="4"/>
          </w:tcPr>
          <w:p w:rsidR="005C3563" w:rsidRPr="00A644A6" w:rsidRDefault="005C3563" w:rsidP="00A644A6">
            <w:pPr>
              <w:jc w:val="both"/>
              <w:rPr>
                <w:sz w:val="20"/>
                <w:lang w:val="fr-CA"/>
              </w:rPr>
            </w:pPr>
          </w:p>
          <w:p w:rsidR="005C3563" w:rsidRPr="00A644A6" w:rsidRDefault="005C3563" w:rsidP="00A644A6">
            <w:pPr>
              <w:jc w:val="both"/>
              <w:rPr>
                <w:sz w:val="20"/>
                <w:lang w:val="fr-CA"/>
              </w:rPr>
            </w:pPr>
            <w:r w:rsidRPr="00A644A6">
              <w:rPr>
                <w:sz w:val="20"/>
                <w:lang w:val="fr-CA"/>
              </w:rPr>
              <w:t xml:space="preserve">Droit criminel – Preuve – Preuve d’expert – Nouvel élément de preuve – Le juge du procès </w:t>
            </w:r>
            <w:proofErr w:type="spellStart"/>
            <w:r w:rsidRPr="00A644A6">
              <w:rPr>
                <w:sz w:val="20"/>
                <w:lang w:val="fr-CA"/>
              </w:rPr>
              <w:t>a-t-il</w:t>
            </w:r>
            <w:proofErr w:type="spellEnd"/>
            <w:r w:rsidRPr="00A644A6">
              <w:rPr>
                <w:sz w:val="20"/>
                <w:lang w:val="fr-CA"/>
              </w:rPr>
              <w:t xml:space="preserve"> autorisé un témoignage pour valoir comme preuve d’expert avant de déclarer que le témoin était expert? – Le témoin expert </w:t>
            </w:r>
            <w:proofErr w:type="spellStart"/>
            <w:r w:rsidRPr="00A644A6">
              <w:rPr>
                <w:sz w:val="20"/>
                <w:lang w:val="fr-CA"/>
              </w:rPr>
              <w:t>a-t-il</w:t>
            </w:r>
            <w:proofErr w:type="spellEnd"/>
            <w:r w:rsidRPr="00A644A6">
              <w:rPr>
                <w:sz w:val="20"/>
                <w:lang w:val="fr-CA"/>
              </w:rPr>
              <w:t xml:space="preserve"> été présenté comme un pathologiste judiciaire alors qu’il était en fait un pathologiste généraliste qui ne possédait pas les qualifications voulues pour être considéré comme pathologiste judiciaire? – Le ministère public </w:t>
            </w:r>
            <w:proofErr w:type="spellStart"/>
            <w:r w:rsidRPr="00A644A6">
              <w:rPr>
                <w:sz w:val="20"/>
                <w:lang w:val="fr-CA"/>
              </w:rPr>
              <w:t>a-t-il</w:t>
            </w:r>
            <w:proofErr w:type="spellEnd"/>
            <w:r w:rsidRPr="00A644A6">
              <w:rPr>
                <w:sz w:val="20"/>
                <w:lang w:val="fr-CA"/>
              </w:rPr>
              <w:t xml:space="preserve"> induit le tribunal et le jury en erreur? – Le témoin expert </w:t>
            </w:r>
            <w:proofErr w:type="spellStart"/>
            <w:r w:rsidRPr="00A644A6">
              <w:rPr>
                <w:sz w:val="20"/>
                <w:lang w:val="fr-CA"/>
              </w:rPr>
              <w:t>a-t-il</w:t>
            </w:r>
            <w:proofErr w:type="spellEnd"/>
            <w:r w:rsidRPr="00A644A6">
              <w:rPr>
                <w:sz w:val="20"/>
                <w:lang w:val="fr-CA"/>
              </w:rPr>
              <w:t xml:space="preserve"> témoigné sur des questions qui dépassaient de loin son domaine d’expertise? - Le juge du procès </w:t>
            </w:r>
            <w:proofErr w:type="spellStart"/>
            <w:r w:rsidRPr="00A644A6">
              <w:rPr>
                <w:sz w:val="20"/>
                <w:lang w:val="fr-CA"/>
              </w:rPr>
              <w:t>a-t-il</w:t>
            </w:r>
            <w:proofErr w:type="spellEnd"/>
            <w:r w:rsidRPr="00A644A6">
              <w:rPr>
                <w:sz w:val="20"/>
                <w:lang w:val="fr-CA"/>
              </w:rPr>
              <w:t xml:space="preserve"> commis une erreur dans sa façon de qualifier le témoin expert du ministère public? – Cette décision a-t-elle pour effet de déconsidérer l’administration de la justice? – Est-il exact de dire que le témoin expert n’était pas qualifié? – Le nouvel élément de preuve devrait-il être admis?</w:t>
            </w:r>
          </w:p>
        </w:tc>
      </w:tr>
      <w:tr w:rsidR="005C3563" w:rsidRPr="000B0DB7" w:rsidTr="00E95A6A">
        <w:tc>
          <w:tcPr>
            <w:tcW w:w="5000" w:type="pct"/>
            <w:gridSpan w:val="4"/>
          </w:tcPr>
          <w:p w:rsidR="005C3563" w:rsidRPr="00A644A6" w:rsidRDefault="005C3563" w:rsidP="00A644A6">
            <w:pPr>
              <w:jc w:val="both"/>
              <w:rPr>
                <w:sz w:val="20"/>
                <w:lang w:val="fr-CA"/>
              </w:rPr>
            </w:pPr>
          </w:p>
        </w:tc>
      </w:tr>
      <w:tr w:rsidR="005C3563" w:rsidRPr="000B0DB7" w:rsidTr="00E95A6A">
        <w:tc>
          <w:tcPr>
            <w:tcW w:w="5000" w:type="pct"/>
            <w:gridSpan w:val="4"/>
          </w:tcPr>
          <w:p w:rsidR="005C3563" w:rsidRPr="00A644A6" w:rsidRDefault="005C3563" w:rsidP="00A644A6">
            <w:pPr>
              <w:jc w:val="both"/>
              <w:rPr>
                <w:sz w:val="20"/>
                <w:lang w:val="fr-CA"/>
              </w:rPr>
            </w:pPr>
            <w:r w:rsidRPr="00A644A6">
              <w:rPr>
                <w:sz w:val="20"/>
                <w:lang w:val="fr-CA"/>
              </w:rPr>
              <w:t>Le demandeur a composé le 9-1-1. Les policiers sont arrivés sur les lieux et ont trouvé la conjointe de fait du demandeur étendue sur le dos, ayant été atteinte d’un coup de feu au visage. Elle portait un grand couteau dans la main gauche. À son procès, le demandeur a affirmé qu’il l’avait abattue en légitime défense. Au terme d’un procès devant juge et jury, le demandeur a été déclaré coupable de meurtre au deuxième degré. La Cour d’appel a rejeté l’appel de la déclaration de culpabilité.</w:t>
            </w:r>
          </w:p>
          <w:p w:rsidR="005C3563" w:rsidRPr="00A644A6" w:rsidRDefault="005C3563" w:rsidP="00A644A6">
            <w:pPr>
              <w:jc w:val="both"/>
              <w:rPr>
                <w:sz w:val="20"/>
                <w:lang w:val="fr-CA"/>
              </w:rPr>
            </w:pPr>
          </w:p>
          <w:p w:rsidR="005C3563" w:rsidRPr="00A644A6" w:rsidRDefault="005C3563" w:rsidP="00A644A6">
            <w:pPr>
              <w:jc w:val="both"/>
              <w:rPr>
                <w:sz w:val="20"/>
                <w:lang w:val="fr-CA"/>
              </w:rPr>
            </w:pPr>
          </w:p>
        </w:tc>
      </w:tr>
      <w:tr w:rsidR="005C3563" w:rsidRPr="000B0DB7" w:rsidTr="00E95A6A">
        <w:tc>
          <w:tcPr>
            <w:tcW w:w="2427" w:type="pct"/>
            <w:gridSpan w:val="2"/>
          </w:tcPr>
          <w:p w:rsidR="005C3563" w:rsidRPr="00A644A6" w:rsidRDefault="005C3563" w:rsidP="00A644A6">
            <w:pPr>
              <w:jc w:val="both"/>
              <w:rPr>
                <w:sz w:val="20"/>
                <w:lang w:val="fr-CA"/>
              </w:rPr>
            </w:pPr>
            <w:r w:rsidRPr="00A644A6">
              <w:rPr>
                <w:sz w:val="20"/>
                <w:lang w:val="fr-CA"/>
              </w:rPr>
              <w:t>23 juillet 2013</w:t>
            </w:r>
          </w:p>
          <w:p w:rsidR="005C3563" w:rsidRPr="00A644A6" w:rsidRDefault="005C3563" w:rsidP="00A644A6">
            <w:pPr>
              <w:jc w:val="both"/>
              <w:rPr>
                <w:sz w:val="20"/>
                <w:lang w:val="fr-CA"/>
              </w:rPr>
            </w:pPr>
            <w:r w:rsidRPr="00A644A6">
              <w:rPr>
                <w:sz w:val="20"/>
                <w:lang w:val="fr-CA"/>
              </w:rPr>
              <w:t xml:space="preserve">Cour suprême de la Colombie-Britannique </w:t>
            </w:r>
          </w:p>
          <w:p w:rsidR="005C3563" w:rsidRPr="00A644A6" w:rsidRDefault="005C3563" w:rsidP="00A644A6">
            <w:pPr>
              <w:jc w:val="both"/>
              <w:rPr>
                <w:sz w:val="20"/>
                <w:lang w:val="fr-CA"/>
              </w:rPr>
            </w:pPr>
            <w:r w:rsidRPr="00A644A6">
              <w:rPr>
                <w:sz w:val="20"/>
                <w:lang w:val="fr-CA"/>
              </w:rPr>
              <w:t>(Juge Barrow)</w:t>
            </w:r>
          </w:p>
          <w:p w:rsidR="005C3563" w:rsidRPr="00A644A6" w:rsidRDefault="005C3563" w:rsidP="00A644A6">
            <w:pPr>
              <w:jc w:val="both"/>
              <w:rPr>
                <w:sz w:val="20"/>
                <w:lang w:val="fr-CA"/>
              </w:rPr>
            </w:pPr>
          </w:p>
        </w:tc>
        <w:tc>
          <w:tcPr>
            <w:tcW w:w="243" w:type="pct"/>
          </w:tcPr>
          <w:p w:rsidR="005C3563" w:rsidRPr="00A644A6" w:rsidRDefault="005C3563" w:rsidP="00A644A6">
            <w:pPr>
              <w:jc w:val="both"/>
              <w:rPr>
                <w:sz w:val="20"/>
                <w:lang w:val="fr-CA"/>
              </w:rPr>
            </w:pPr>
          </w:p>
        </w:tc>
        <w:tc>
          <w:tcPr>
            <w:tcW w:w="2330" w:type="pct"/>
          </w:tcPr>
          <w:p w:rsidR="005C3563" w:rsidRPr="00A644A6" w:rsidRDefault="005C3563" w:rsidP="00A644A6">
            <w:pPr>
              <w:jc w:val="both"/>
              <w:rPr>
                <w:sz w:val="20"/>
                <w:lang w:val="fr-CA"/>
              </w:rPr>
            </w:pPr>
            <w:r w:rsidRPr="00A644A6">
              <w:rPr>
                <w:sz w:val="20"/>
                <w:lang w:val="fr-CA"/>
              </w:rPr>
              <w:t>Déclaration de culpabilité de meurtre au deuxième degré</w:t>
            </w:r>
          </w:p>
          <w:p w:rsidR="005C3563" w:rsidRPr="00A644A6" w:rsidRDefault="005C3563" w:rsidP="00A644A6">
            <w:pPr>
              <w:jc w:val="both"/>
              <w:rPr>
                <w:sz w:val="20"/>
                <w:lang w:val="fr-CA"/>
              </w:rPr>
            </w:pPr>
          </w:p>
        </w:tc>
      </w:tr>
      <w:tr w:rsidR="005C3563" w:rsidRPr="000B0DB7" w:rsidTr="00E95A6A">
        <w:tc>
          <w:tcPr>
            <w:tcW w:w="2427" w:type="pct"/>
            <w:gridSpan w:val="2"/>
          </w:tcPr>
          <w:p w:rsidR="005C3563" w:rsidRPr="00A644A6" w:rsidRDefault="005C3563" w:rsidP="00A644A6">
            <w:pPr>
              <w:jc w:val="both"/>
              <w:rPr>
                <w:sz w:val="20"/>
                <w:lang w:val="fr-CA"/>
              </w:rPr>
            </w:pPr>
            <w:r w:rsidRPr="00A644A6">
              <w:rPr>
                <w:sz w:val="20"/>
                <w:lang w:val="fr-CA"/>
              </w:rPr>
              <w:t>26 janvier 2016</w:t>
            </w:r>
          </w:p>
          <w:p w:rsidR="005C3563" w:rsidRPr="00A644A6" w:rsidRDefault="005C3563" w:rsidP="00A644A6">
            <w:pPr>
              <w:jc w:val="both"/>
              <w:rPr>
                <w:sz w:val="20"/>
                <w:lang w:val="fr-CA"/>
              </w:rPr>
            </w:pPr>
            <w:r w:rsidRPr="00A644A6">
              <w:rPr>
                <w:sz w:val="20"/>
                <w:lang w:val="fr-CA"/>
              </w:rPr>
              <w:t xml:space="preserve">Cour d’appel de la Colombie-Britannique </w:t>
            </w:r>
          </w:p>
          <w:p w:rsidR="005C3563" w:rsidRPr="00A644A6" w:rsidRDefault="005C3563" w:rsidP="00A644A6">
            <w:pPr>
              <w:jc w:val="both"/>
              <w:rPr>
                <w:sz w:val="20"/>
                <w:lang w:val="fr-CA"/>
              </w:rPr>
            </w:pPr>
            <w:r w:rsidRPr="00A644A6">
              <w:rPr>
                <w:sz w:val="20"/>
                <w:lang w:val="fr-CA"/>
              </w:rPr>
              <w:t>(Vancouver)</w:t>
            </w:r>
          </w:p>
          <w:p w:rsidR="005C3563" w:rsidRPr="00A644A6" w:rsidRDefault="005C3563" w:rsidP="00A644A6">
            <w:pPr>
              <w:jc w:val="both"/>
              <w:rPr>
                <w:sz w:val="20"/>
                <w:lang w:val="fr-CA"/>
              </w:rPr>
            </w:pPr>
            <w:r w:rsidRPr="00A644A6">
              <w:rPr>
                <w:sz w:val="20"/>
                <w:lang w:val="fr-CA"/>
              </w:rPr>
              <w:t xml:space="preserve">(Juges </w:t>
            </w:r>
            <w:proofErr w:type="spellStart"/>
            <w:r w:rsidRPr="00A644A6">
              <w:rPr>
                <w:sz w:val="20"/>
                <w:lang w:val="fr-CA"/>
              </w:rPr>
              <w:t>Frankel</w:t>
            </w:r>
            <w:proofErr w:type="spellEnd"/>
            <w:r w:rsidRPr="00A644A6">
              <w:rPr>
                <w:sz w:val="20"/>
                <w:lang w:val="fr-CA"/>
              </w:rPr>
              <w:t>, Smith et Savage)</w:t>
            </w:r>
          </w:p>
          <w:p w:rsidR="005C3563" w:rsidRPr="00A644A6" w:rsidRDefault="005C3563" w:rsidP="00A644A6">
            <w:pPr>
              <w:jc w:val="both"/>
              <w:rPr>
                <w:sz w:val="20"/>
              </w:rPr>
            </w:pPr>
            <w:r w:rsidRPr="00A644A6">
              <w:rPr>
                <w:sz w:val="20"/>
              </w:rPr>
              <w:t>2016 BCCA 34, CA41140</w:t>
            </w:r>
          </w:p>
          <w:p w:rsidR="005C3563" w:rsidRPr="00A644A6" w:rsidRDefault="000B0DB7" w:rsidP="00A644A6">
            <w:pPr>
              <w:jc w:val="both"/>
              <w:rPr>
                <w:sz w:val="20"/>
              </w:rPr>
            </w:pPr>
            <w:hyperlink r:id="rId8" w:history="1">
              <w:r w:rsidR="005C3563" w:rsidRPr="00A644A6">
                <w:rPr>
                  <w:rStyle w:val="Hyperlink"/>
                  <w:rFonts w:eastAsiaTheme="majorEastAsia"/>
                  <w:sz w:val="20"/>
                </w:rPr>
                <w:t>http://canlii.ca/t/gn2h5</w:t>
              </w:r>
            </w:hyperlink>
          </w:p>
          <w:p w:rsidR="005C3563" w:rsidRPr="00A644A6" w:rsidRDefault="005C3563" w:rsidP="00A644A6">
            <w:pPr>
              <w:jc w:val="both"/>
              <w:rPr>
                <w:sz w:val="20"/>
              </w:rPr>
            </w:pPr>
          </w:p>
        </w:tc>
        <w:tc>
          <w:tcPr>
            <w:tcW w:w="243" w:type="pct"/>
          </w:tcPr>
          <w:p w:rsidR="005C3563" w:rsidRPr="00A644A6" w:rsidRDefault="005C3563" w:rsidP="00A644A6">
            <w:pPr>
              <w:jc w:val="both"/>
              <w:rPr>
                <w:sz w:val="20"/>
              </w:rPr>
            </w:pPr>
          </w:p>
        </w:tc>
        <w:tc>
          <w:tcPr>
            <w:tcW w:w="2330" w:type="pct"/>
          </w:tcPr>
          <w:p w:rsidR="005C3563" w:rsidRPr="00A644A6" w:rsidRDefault="005C3563" w:rsidP="00A644A6">
            <w:pPr>
              <w:jc w:val="both"/>
              <w:rPr>
                <w:sz w:val="20"/>
                <w:lang w:val="fr-CA"/>
              </w:rPr>
            </w:pPr>
            <w:r w:rsidRPr="00A644A6">
              <w:rPr>
                <w:sz w:val="20"/>
                <w:lang w:val="fr-CA"/>
              </w:rPr>
              <w:t>Rejet de l’appel de la déclaration de culpabilité</w:t>
            </w:r>
          </w:p>
          <w:p w:rsidR="005C3563" w:rsidRPr="00A644A6" w:rsidRDefault="005C3563" w:rsidP="00A644A6">
            <w:pPr>
              <w:jc w:val="both"/>
              <w:rPr>
                <w:sz w:val="20"/>
                <w:lang w:val="fr-CA"/>
              </w:rPr>
            </w:pPr>
          </w:p>
        </w:tc>
      </w:tr>
      <w:tr w:rsidR="005C3563" w:rsidRPr="000B0DB7" w:rsidTr="00A644A6">
        <w:trPr>
          <w:cantSplit/>
        </w:trPr>
        <w:tc>
          <w:tcPr>
            <w:tcW w:w="2427" w:type="pct"/>
            <w:gridSpan w:val="2"/>
          </w:tcPr>
          <w:p w:rsidR="005C3563" w:rsidRPr="00A644A6" w:rsidRDefault="005C3563" w:rsidP="00A644A6">
            <w:pPr>
              <w:jc w:val="both"/>
              <w:rPr>
                <w:sz w:val="20"/>
                <w:lang w:val="fr-CA"/>
              </w:rPr>
            </w:pPr>
            <w:r w:rsidRPr="00A644A6">
              <w:rPr>
                <w:sz w:val="20"/>
                <w:lang w:val="fr-CA"/>
              </w:rPr>
              <w:lastRenderedPageBreak/>
              <w:t>6 avril 2016</w:t>
            </w:r>
          </w:p>
          <w:p w:rsidR="005C3563" w:rsidRPr="00A644A6" w:rsidRDefault="005C3563" w:rsidP="00A644A6">
            <w:pPr>
              <w:jc w:val="both"/>
              <w:rPr>
                <w:sz w:val="20"/>
                <w:lang w:val="fr-CA"/>
              </w:rPr>
            </w:pPr>
            <w:r w:rsidRPr="00A644A6">
              <w:rPr>
                <w:sz w:val="20"/>
                <w:lang w:val="fr-CA"/>
              </w:rPr>
              <w:t>Cour suprême du Canada</w:t>
            </w:r>
          </w:p>
          <w:p w:rsidR="005C3563" w:rsidRPr="00A644A6" w:rsidRDefault="005C3563" w:rsidP="00A644A6">
            <w:pPr>
              <w:jc w:val="both"/>
              <w:rPr>
                <w:sz w:val="20"/>
                <w:lang w:val="fr-CA"/>
              </w:rPr>
            </w:pPr>
          </w:p>
        </w:tc>
        <w:tc>
          <w:tcPr>
            <w:tcW w:w="243" w:type="pct"/>
          </w:tcPr>
          <w:p w:rsidR="005C3563" w:rsidRPr="00A644A6" w:rsidRDefault="005C3563" w:rsidP="00A644A6">
            <w:pPr>
              <w:jc w:val="both"/>
              <w:rPr>
                <w:sz w:val="20"/>
                <w:lang w:val="fr-CA"/>
              </w:rPr>
            </w:pPr>
          </w:p>
        </w:tc>
        <w:tc>
          <w:tcPr>
            <w:tcW w:w="2330" w:type="pct"/>
          </w:tcPr>
          <w:p w:rsidR="005C3563" w:rsidRPr="00A644A6" w:rsidRDefault="005C3563" w:rsidP="00A644A6">
            <w:pPr>
              <w:jc w:val="both"/>
              <w:rPr>
                <w:sz w:val="20"/>
                <w:lang w:val="fr-CA"/>
              </w:rPr>
            </w:pPr>
            <w:r w:rsidRPr="00A644A6">
              <w:rPr>
                <w:sz w:val="20"/>
                <w:lang w:val="fr-CA"/>
              </w:rPr>
              <w:t>Dépôt de la requête en prorogation du délai de signification et de dépôt de la demande d’autorisation d’appel et de la requête en vue de produire de nouveaux éléments de preuve et de la demande d’autorisation d’appel</w:t>
            </w:r>
          </w:p>
          <w:p w:rsidR="005C3563" w:rsidRPr="00A644A6" w:rsidRDefault="005C3563" w:rsidP="00A644A6">
            <w:pPr>
              <w:jc w:val="both"/>
              <w:rPr>
                <w:sz w:val="20"/>
                <w:lang w:val="fr-CA"/>
              </w:rPr>
            </w:pPr>
          </w:p>
        </w:tc>
      </w:tr>
      <w:tr w:rsidR="005C3563" w:rsidRPr="000B0DB7" w:rsidTr="00E95A6A">
        <w:tc>
          <w:tcPr>
            <w:tcW w:w="2427" w:type="pct"/>
            <w:gridSpan w:val="2"/>
          </w:tcPr>
          <w:p w:rsidR="005C3563" w:rsidRPr="00A644A6" w:rsidRDefault="005C3563" w:rsidP="00A644A6">
            <w:pPr>
              <w:jc w:val="both"/>
              <w:rPr>
                <w:sz w:val="20"/>
                <w:lang w:val="fr-CA"/>
              </w:rPr>
            </w:pPr>
            <w:r w:rsidRPr="00A644A6">
              <w:rPr>
                <w:sz w:val="20"/>
                <w:lang w:val="fr-CA"/>
              </w:rPr>
              <w:t>23 juin 2016</w:t>
            </w:r>
          </w:p>
          <w:p w:rsidR="005C3563" w:rsidRPr="00A644A6" w:rsidRDefault="005C3563" w:rsidP="00A644A6">
            <w:pPr>
              <w:jc w:val="both"/>
              <w:rPr>
                <w:sz w:val="20"/>
                <w:lang w:val="fr-CA"/>
              </w:rPr>
            </w:pPr>
            <w:r w:rsidRPr="00A644A6">
              <w:rPr>
                <w:sz w:val="20"/>
                <w:lang w:val="fr-CA"/>
              </w:rPr>
              <w:t>Cour suprême du Canada</w:t>
            </w:r>
          </w:p>
        </w:tc>
        <w:tc>
          <w:tcPr>
            <w:tcW w:w="243" w:type="pct"/>
          </w:tcPr>
          <w:p w:rsidR="005C3563" w:rsidRPr="00A644A6" w:rsidRDefault="005C3563" w:rsidP="00A644A6">
            <w:pPr>
              <w:jc w:val="both"/>
              <w:rPr>
                <w:sz w:val="20"/>
                <w:lang w:val="fr-CA"/>
              </w:rPr>
            </w:pPr>
          </w:p>
        </w:tc>
        <w:tc>
          <w:tcPr>
            <w:tcW w:w="2330" w:type="pct"/>
          </w:tcPr>
          <w:p w:rsidR="005C3563" w:rsidRPr="00A644A6" w:rsidRDefault="005C3563" w:rsidP="00A644A6">
            <w:pPr>
              <w:jc w:val="both"/>
              <w:rPr>
                <w:sz w:val="20"/>
                <w:lang w:val="fr-CA"/>
              </w:rPr>
            </w:pPr>
            <w:r w:rsidRPr="00A644A6">
              <w:rPr>
                <w:sz w:val="20"/>
                <w:lang w:val="fr-CA"/>
              </w:rPr>
              <w:t>Dépôt de la requête en prorogation du délai de signification et de dépôt de la réplique</w:t>
            </w:r>
          </w:p>
          <w:p w:rsidR="005C3563" w:rsidRPr="00A644A6" w:rsidRDefault="005C3563" w:rsidP="00A644A6">
            <w:pPr>
              <w:jc w:val="both"/>
              <w:rPr>
                <w:sz w:val="20"/>
                <w:lang w:val="fr-CA"/>
              </w:rPr>
            </w:pPr>
          </w:p>
        </w:tc>
      </w:tr>
    </w:tbl>
    <w:p w:rsidR="005C3563" w:rsidRPr="00BA4F80" w:rsidRDefault="005C3563" w:rsidP="00AF0386">
      <w:pPr>
        <w:rPr>
          <w:lang w:val="fr-CA"/>
        </w:rPr>
      </w:pPr>
    </w:p>
    <w:p w:rsidR="008106E3" w:rsidRPr="005C3563" w:rsidRDefault="008106E3" w:rsidP="009A5F3F">
      <w:pPr>
        <w:widowControl w:val="0"/>
        <w:autoSpaceDE w:val="0"/>
        <w:autoSpaceDN w:val="0"/>
        <w:adjustRightInd w:val="0"/>
        <w:ind w:left="360" w:hanging="360"/>
        <w:rPr>
          <w:rFonts w:eastAsiaTheme="minorEastAsia"/>
          <w:sz w:val="20"/>
          <w:lang w:val="fr-CA" w:eastAsia="en-CA"/>
        </w:rPr>
      </w:pPr>
    </w:p>
    <w:p w:rsidR="006F2855" w:rsidRPr="005C3563" w:rsidRDefault="006F2855" w:rsidP="009A5F3F">
      <w:pPr>
        <w:widowControl w:val="0"/>
        <w:autoSpaceDE w:val="0"/>
        <w:autoSpaceDN w:val="0"/>
        <w:adjustRightInd w:val="0"/>
        <w:ind w:left="360" w:hanging="360"/>
        <w:rPr>
          <w:rFonts w:eastAsiaTheme="minorEastAsia"/>
          <w:sz w:val="20"/>
          <w:lang w:val="fr-CA" w:eastAsia="en-CA"/>
        </w:rPr>
      </w:pPr>
    </w:p>
    <w:p w:rsidR="00D3344A" w:rsidRPr="00355E2C" w:rsidRDefault="00D3344A" w:rsidP="00D3344A">
      <w:pPr>
        <w:widowControl w:val="0"/>
        <w:outlineLvl w:val="0"/>
      </w:pPr>
      <w:r w:rsidRPr="00355E2C">
        <w:t xml:space="preserve">Supreme Court of Canada / </w:t>
      </w:r>
      <w:proofErr w:type="spellStart"/>
      <w:r w:rsidRPr="00355E2C">
        <w:t>Cour</w:t>
      </w:r>
      <w:proofErr w:type="spellEnd"/>
      <w:r w:rsidRPr="00355E2C">
        <w:t xml:space="preserve"> </w:t>
      </w:r>
      <w:proofErr w:type="spellStart"/>
      <w:r w:rsidRPr="00355E2C">
        <w:t>suprême</w:t>
      </w:r>
      <w:proofErr w:type="spellEnd"/>
      <w:r w:rsidRPr="00355E2C">
        <w:t xml:space="preserve"> du </w:t>
      </w:r>
      <w:proofErr w:type="gramStart"/>
      <w:r w:rsidRPr="00355E2C">
        <w:t>Canad</w:t>
      </w:r>
      <w:r w:rsidR="00EE289F" w:rsidRPr="00355E2C">
        <w:t>a</w:t>
      </w:r>
      <w:r w:rsidRPr="00355E2C">
        <w:t xml:space="preserve"> :</w:t>
      </w:r>
      <w:proofErr w:type="gramEnd"/>
      <w:r w:rsidRPr="00355E2C">
        <w:t xml:space="preserve"> </w:t>
      </w:r>
    </w:p>
    <w:p w:rsidR="00D3344A" w:rsidRPr="00355E2C" w:rsidRDefault="000B0DB7" w:rsidP="00D3344A">
      <w:pPr>
        <w:widowControl w:val="0"/>
        <w:outlineLvl w:val="0"/>
        <w:rPr>
          <w:u w:val="single"/>
        </w:rPr>
      </w:pPr>
      <w:hyperlink r:id="rId9" w:history="1">
        <w:r w:rsidR="00D3344A" w:rsidRPr="00355E2C">
          <w:rPr>
            <w:rStyle w:val="Hyperlink"/>
          </w:rPr>
          <w:t>comments-commentaires@scc-csc.ca</w:t>
        </w:r>
      </w:hyperlink>
    </w:p>
    <w:p w:rsidR="00D3344A" w:rsidRPr="00355E2C" w:rsidRDefault="0065588C" w:rsidP="00D3344A">
      <w:pPr>
        <w:widowControl w:val="0"/>
        <w:outlineLvl w:val="0"/>
      </w:pPr>
      <w:r w:rsidRPr="00355E2C">
        <w:t>613-</w:t>
      </w:r>
      <w:r w:rsidR="00D3344A" w:rsidRPr="00355E2C">
        <w:t>995-4330</w:t>
      </w:r>
    </w:p>
    <w:p w:rsidR="00497B5E" w:rsidRPr="00355E2C" w:rsidRDefault="00497B5E" w:rsidP="00497B5E">
      <w:pPr>
        <w:widowControl w:val="0"/>
        <w:rPr>
          <w:sz w:val="20"/>
        </w:rPr>
      </w:pPr>
    </w:p>
    <w:p w:rsidR="00F6251B" w:rsidRPr="00355E2C" w:rsidRDefault="003F43E6" w:rsidP="00F6251B">
      <w:pPr>
        <w:pStyle w:val="Footer"/>
        <w:jc w:val="center"/>
      </w:pPr>
      <w:r w:rsidRPr="00355E2C">
        <w:t>- 30 -</w:t>
      </w:r>
    </w:p>
    <w:p w:rsidR="00F6251B" w:rsidRPr="004B4D42" w:rsidRDefault="00F6251B" w:rsidP="005C1453">
      <w:pPr>
        <w:pStyle w:val="Footer"/>
        <w:ind w:left="2160"/>
        <w:rPr>
          <w:sz w:val="20"/>
          <w:lang w:val="fr-CA"/>
        </w:rPr>
      </w:pPr>
      <w:r w:rsidRPr="004B4D42">
        <w:rPr>
          <w:color w:val="A6A6A6"/>
          <w:sz w:val="16"/>
          <w:szCs w:val="16"/>
          <w:lang w:val="fr-CA"/>
        </w:rPr>
        <w:t xml:space="preserve"> </w:t>
      </w:r>
    </w:p>
    <w:sectPr w:rsidR="00F6251B" w:rsidRPr="004B4D42" w:rsidSect="005248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701378"/>
    <w:multiLevelType w:val="hybridMultilevel"/>
    <w:tmpl w:val="737482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BA84D01"/>
    <w:multiLevelType w:val="hybridMultilevel"/>
    <w:tmpl w:val="592E8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F460C4"/>
    <w:multiLevelType w:val="hybridMultilevel"/>
    <w:tmpl w:val="F0904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75066CB"/>
    <w:multiLevelType w:val="hybridMultilevel"/>
    <w:tmpl w:val="1EFAB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B834807"/>
    <w:multiLevelType w:val="hybridMultilevel"/>
    <w:tmpl w:val="9AFA1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CE61185"/>
    <w:multiLevelType w:val="hybridMultilevel"/>
    <w:tmpl w:val="9FE6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42E4FF5"/>
    <w:multiLevelType w:val="hybridMultilevel"/>
    <w:tmpl w:val="60E240E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81419C"/>
    <w:multiLevelType w:val="hybridMultilevel"/>
    <w:tmpl w:val="77965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5"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8"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9"/>
  </w:num>
  <w:num w:numId="13">
    <w:abstractNumId w:val="36"/>
  </w:num>
  <w:num w:numId="14">
    <w:abstractNumId w:val="3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3"/>
  </w:num>
  <w:num w:numId="19">
    <w:abstractNumId w:val="32"/>
  </w:num>
  <w:num w:numId="20">
    <w:abstractNumId w:val="26"/>
  </w:num>
  <w:num w:numId="21">
    <w:abstractNumId w:val="35"/>
  </w:num>
  <w:num w:numId="22">
    <w:abstractNumId w:val="0"/>
  </w:num>
  <w:num w:numId="23">
    <w:abstractNumId w:val="46"/>
  </w:num>
  <w:num w:numId="24">
    <w:abstractNumId w:val="18"/>
  </w:num>
  <w:num w:numId="25">
    <w:abstractNumId w:val="1"/>
  </w:num>
  <w:num w:numId="26">
    <w:abstractNumId w:val="22"/>
  </w:num>
  <w:num w:numId="27">
    <w:abstractNumId w:val="48"/>
  </w:num>
  <w:num w:numId="28">
    <w:abstractNumId w:val="31"/>
  </w:num>
  <w:num w:numId="29">
    <w:abstractNumId w:val="44"/>
  </w:num>
  <w:num w:numId="30">
    <w:abstractNumId w:val="34"/>
  </w:num>
  <w:num w:numId="31">
    <w:abstractNumId w:val="23"/>
  </w:num>
  <w:num w:numId="32">
    <w:abstractNumId w:val="8"/>
  </w:num>
  <w:num w:numId="33">
    <w:abstractNumId w:val="2"/>
  </w:num>
  <w:num w:numId="34">
    <w:abstractNumId w:val="45"/>
  </w:num>
  <w:num w:numId="35">
    <w:abstractNumId w:val="41"/>
  </w:num>
  <w:num w:numId="36">
    <w:abstractNumId w:val="10"/>
  </w:num>
  <w:num w:numId="37">
    <w:abstractNumId w:val="5"/>
  </w:num>
  <w:num w:numId="38">
    <w:abstractNumId w:val="12"/>
  </w:num>
  <w:num w:numId="39">
    <w:abstractNumId w:val="30"/>
  </w:num>
  <w:num w:numId="40">
    <w:abstractNumId w:val="27"/>
  </w:num>
  <w:num w:numId="41">
    <w:abstractNumId w:val="20"/>
  </w:num>
  <w:num w:numId="42">
    <w:abstractNumId w:val="1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9"/>
  </w:num>
  <w:num w:numId="46">
    <w:abstractNumId w:val="43"/>
  </w:num>
  <w:num w:numId="47">
    <w:abstractNumId w:val="25"/>
  </w:num>
  <w:num w:numId="48">
    <w:abstractNumId w:val="42"/>
  </w:num>
  <w:num w:numId="49">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935"/>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152E"/>
    <w:rsid w:val="000A20B0"/>
    <w:rsid w:val="000A245A"/>
    <w:rsid w:val="000A4311"/>
    <w:rsid w:val="000A50F9"/>
    <w:rsid w:val="000A6C60"/>
    <w:rsid w:val="000A78FC"/>
    <w:rsid w:val="000A7C00"/>
    <w:rsid w:val="000B07FB"/>
    <w:rsid w:val="000B0DB7"/>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1FF2"/>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1A8"/>
    <w:rsid w:val="002B678E"/>
    <w:rsid w:val="002C089C"/>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3911"/>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515E"/>
    <w:rsid w:val="00355E2C"/>
    <w:rsid w:val="00357828"/>
    <w:rsid w:val="00357895"/>
    <w:rsid w:val="00357916"/>
    <w:rsid w:val="00357B15"/>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39D8"/>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28F"/>
    <w:rsid w:val="004C2585"/>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F000D"/>
    <w:rsid w:val="004F0EC9"/>
    <w:rsid w:val="004F27DD"/>
    <w:rsid w:val="004F40AB"/>
    <w:rsid w:val="004F47F7"/>
    <w:rsid w:val="004F76D2"/>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2ED"/>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563"/>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D6E"/>
    <w:rsid w:val="006A7FA7"/>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CA4"/>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06E3"/>
    <w:rsid w:val="00810F07"/>
    <w:rsid w:val="008115B8"/>
    <w:rsid w:val="008115CF"/>
    <w:rsid w:val="00812315"/>
    <w:rsid w:val="00813018"/>
    <w:rsid w:val="00814DCA"/>
    <w:rsid w:val="0081539C"/>
    <w:rsid w:val="00815D1B"/>
    <w:rsid w:val="00816C1F"/>
    <w:rsid w:val="00820876"/>
    <w:rsid w:val="0082143F"/>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0C01"/>
    <w:rsid w:val="00881457"/>
    <w:rsid w:val="00882802"/>
    <w:rsid w:val="00882B0F"/>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3DCC"/>
    <w:rsid w:val="00917B21"/>
    <w:rsid w:val="00922101"/>
    <w:rsid w:val="009241BB"/>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4C5A"/>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44A6"/>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05F"/>
    <w:rsid w:val="00A92AC2"/>
    <w:rsid w:val="00A948B2"/>
    <w:rsid w:val="00A95355"/>
    <w:rsid w:val="00A960E9"/>
    <w:rsid w:val="00A97B41"/>
    <w:rsid w:val="00A97F0C"/>
    <w:rsid w:val="00A97F93"/>
    <w:rsid w:val="00AA0E4D"/>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32"/>
    <w:rsid w:val="00B23A60"/>
    <w:rsid w:val="00B23D80"/>
    <w:rsid w:val="00B243A4"/>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BF7494"/>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08FA"/>
    <w:rsid w:val="00C72D39"/>
    <w:rsid w:val="00C7351D"/>
    <w:rsid w:val="00C747F2"/>
    <w:rsid w:val="00C752EB"/>
    <w:rsid w:val="00C75878"/>
    <w:rsid w:val="00C75BD1"/>
    <w:rsid w:val="00C76BBB"/>
    <w:rsid w:val="00C779D4"/>
    <w:rsid w:val="00C77C0E"/>
    <w:rsid w:val="00C80125"/>
    <w:rsid w:val="00C809C6"/>
    <w:rsid w:val="00C81430"/>
    <w:rsid w:val="00C86829"/>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E7D02"/>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4545"/>
    <w:rsid w:val="00FB478F"/>
    <w:rsid w:val="00FB5045"/>
    <w:rsid w:val="00FB56BD"/>
    <w:rsid w:val="00FB578C"/>
    <w:rsid w:val="00FB58BB"/>
    <w:rsid w:val="00FB597D"/>
    <w:rsid w:val="00FB634D"/>
    <w:rsid w:val="00FC0D59"/>
    <w:rsid w:val="00FC1A5C"/>
    <w:rsid w:val="00FC2D4C"/>
    <w:rsid w:val="00FC39EA"/>
    <w:rsid w:val="00FC469C"/>
    <w:rsid w:val="00FC4943"/>
    <w:rsid w:val="00FC56B8"/>
    <w:rsid w:val="00FC60B8"/>
    <w:rsid w:val="00FC6DE6"/>
    <w:rsid w:val="00FD0A9E"/>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1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lii.ca/t/gn2h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nlii.ca/t/gn2h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2016-07-29T14:57:00Z</dcterms:created>
  <dcterms:modified xsi:type="dcterms:W3CDTF">2016-08-02T12:28:00Z</dcterms:modified>
</cp:coreProperties>
</file>