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5823F5" w:rsidRDefault="003F43E6" w:rsidP="00122CE1">
      <w:pPr>
        <w:pStyle w:val="Header"/>
        <w:tabs>
          <w:tab w:val="left" w:pos="1620"/>
          <w:tab w:val="left" w:pos="1710"/>
        </w:tabs>
        <w:jc w:val="center"/>
        <w:rPr>
          <w:b/>
          <w:sz w:val="32"/>
        </w:rPr>
      </w:pPr>
      <w:r w:rsidRPr="005823F5">
        <w:rPr>
          <w:b/>
          <w:sz w:val="32"/>
        </w:rPr>
        <w:t>Supreme Court of Canada / Cour suprême du Canada</w:t>
      </w:r>
    </w:p>
    <w:p w:rsidR="003F43E6" w:rsidRPr="005823F5" w:rsidRDefault="003F43E6" w:rsidP="006F2579">
      <w:pPr>
        <w:widowControl w:val="0"/>
        <w:rPr>
          <w:i/>
        </w:rPr>
      </w:pPr>
    </w:p>
    <w:p w:rsidR="006F2579" w:rsidRPr="005823F5" w:rsidRDefault="006F2579" w:rsidP="006F2579">
      <w:pPr>
        <w:widowControl w:val="0"/>
        <w:rPr>
          <w:i/>
        </w:rPr>
      </w:pPr>
      <w:r w:rsidRPr="005823F5">
        <w:rPr>
          <w:i/>
        </w:rPr>
        <w:t xml:space="preserve">(le </w:t>
      </w:r>
      <w:proofErr w:type="spellStart"/>
      <w:r w:rsidRPr="005823F5">
        <w:rPr>
          <w:i/>
        </w:rPr>
        <w:t>français</w:t>
      </w:r>
      <w:proofErr w:type="spellEnd"/>
      <w:r w:rsidRPr="005823F5">
        <w:rPr>
          <w:i/>
        </w:rPr>
        <w:t xml:space="preserve"> suit)</w:t>
      </w:r>
    </w:p>
    <w:p w:rsidR="006F2579" w:rsidRPr="005823F5" w:rsidRDefault="006F2579" w:rsidP="006F2579">
      <w:pPr>
        <w:widowControl w:val="0"/>
      </w:pPr>
    </w:p>
    <w:p w:rsidR="006F2579" w:rsidRPr="005823F5" w:rsidRDefault="00B07908" w:rsidP="006F2579">
      <w:pPr>
        <w:widowControl w:val="0"/>
        <w:jc w:val="center"/>
        <w:rPr>
          <w:b/>
        </w:rPr>
      </w:pPr>
      <w:r w:rsidRPr="005823F5">
        <w:fldChar w:fldCharType="begin"/>
      </w:r>
      <w:r w:rsidR="006F2579" w:rsidRPr="005823F5">
        <w:instrText xml:space="preserve"> SEQ CHAPTER \h \r 1</w:instrText>
      </w:r>
      <w:r w:rsidRPr="005823F5">
        <w:fldChar w:fldCharType="end"/>
      </w:r>
      <w:r w:rsidR="006F2579" w:rsidRPr="005823F5">
        <w:rPr>
          <w:b/>
        </w:rPr>
        <w:t>JUDGMENT</w:t>
      </w:r>
      <w:r w:rsidR="00B17AAC" w:rsidRPr="005823F5">
        <w:rPr>
          <w:b/>
        </w:rPr>
        <w:t>S</w:t>
      </w:r>
      <w:r w:rsidR="006F2579" w:rsidRPr="005823F5">
        <w:rPr>
          <w:b/>
        </w:rPr>
        <w:t xml:space="preserve"> TO B</w:t>
      </w:r>
      <w:r w:rsidR="00001846" w:rsidRPr="005823F5">
        <w:rPr>
          <w:b/>
        </w:rPr>
        <w:t>E RENDERED IN LEAVE APPLICATION</w:t>
      </w:r>
      <w:r w:rsidR="00AE4C09" w:rsidRPr="005823F5">
        <w:rPr>
          <w:b/>
        </w:rPr>
        <w:t>S</w:t>
      </w:r>
    </w:p>
    <w:p w:rsidR="006F2579" w:rsidRPr="005823F5" w:rsidRDefault="006F2579" w:rsidP="006F2579">
      <w:pPr>
        <w:widowControl w:val="0"/>
        <w:rPr>
          <w:b/>
        </w:rPr>
      </w:pPr>
    </w:p>
    <w:p w:rsidR="006F2579" w:rsidRPr="005823F5" w:rsidRDefault="00A64A9B" w:rsidP="006F2579">
      <w:pPr>
        <w:widowControl w:val="0"/>
        <w:rPr>
          <w:b/>
        </w:rPr>
      </w:pPr>
      <w:r w:rsidRPr="005823F5">
        <w:rPr>
          <w:b/>
        </w:rPr>
        <w:t>November</w:t>
      </w:r>
      <w:r w:rsidR="00FD37D0" w:rsidRPr="005823F5">
        <w:rPr>
          <w:b/>
        </w:rPr>
        <w:t xml:space="preserve"> </w:t>
      </w:r>
      <w:r w:rsidR="00B27A36" w:rsidRPr="005823F5">
        <w:rPr>
          <w:b/>
        </w:rPr>
        <w:t>14</w:t>
      </w:r>
      <w:r w:rsidR="00AB5538" w:rsidRPr="005823F5">
        <w:rPr>
          <w:b/>
        </w:rPr>
        <w:t>,</w:t>
      </w:r>
      <w:r w:rsidR="006F2579" w:rsidRPr="005823F5">
        <w:rPr>
          <w:b/>
        </w:rPr>
        <w:t xml:space="preserve"> </w:t>
      </w:r>
      <w:r w:rsidR="0054689F" w:rsidRPr="005823F5">
        <w:rPr>
          <w:b/>
        </w:rPr>
        <w:t>201</w:t>
      </w:r>
      <w:r w:rsidR="00674329" w:rsidRPr="005823F5">
        <w:rPr>
          <w:b/>
        </w:rPr>
        <w:t>6</w:t>
      </w:r>
    </w:p>
    <w:p w:rsidR="006F2579" w:rsidRPr="005823F5" w:rsidRDefault="006F2579" w:rsidP="006F2579">
      <w:pPr>
        <w:widowControl w:val="0"/>
        <w:rPr>
          <w:b/>
        </w:rPr>
      </w:pPr>
      <w:r w:rsidRPr="005823F5">
        <w:rPr>
          <w:b/>
        </w:rPr>
        <w:t>For immediate release</w:t>
      </w:r>
    </w:p>
    <w:p w:rsidR="006F2579" w:rsidRPr="005823F5" w:rsidRDefault="006F2579" w:rsidP="006F2579">
      <w:pPr>
        <w:widowControl w:val="0"/>
      </w:pPr>
    </w:p>
    <w:p w:rsidR="006F2579" w:rsidRPr="00ED7686" w:rsidRDefault="006F2579" w:rsidP="006F2579">
      <w:pPr>
        <w:widowControl w:val="0"/>
        <w:rPr>
          <w:lang w:val="fr-CA"/>
        </w:rPr>
      </w:pPr>
      <w:r w:rsidRPr="005823F5">
        <w:rPr>
          <w:b/>
        </w:rPr>
        <w:t>OTTAWA</w:t>
      </w:r>
      <w:r w:rsidRPr="005823F5">
        <w:t xml:space="preserve"> – The Supreme Court of Canada announced today that judgment in the following application</w:t>
      </w:r>
      <w:r w:rsidR="008600ED" w:rsidRPr="005823F5">
        <w:t>s</w:t>
      </w:r>
      <w:r w:rsidRPr="005823F5">
        <w:t xml:space="preserve"> for leave to appeal will be delivered at 9:45 a.m. E</w:t>
      </w:r>
      <w:r w:rsidR="00A64A9B" w:rsidRPr="005823F5">
        <w:t>S</w:t>
      </w:r>
      <w:r w:rsidRPr="005823F5">
        <w:t xml:space="preserve">T on Thursday, </w:t>
      </w:r>
      <w:r w:rsidR="001F15CD" w:rsidRPr="005823F5">
        <w:t>November</w:t>
      </w:r>
      <w:r w:rsidR="00FD37D0" w:rsidRPr="005823F5">
        <w:t xml:space="preserve"> </w:t>
      </w:r>
      <w:r w:rsidR="00A64A9B" w:rsidRPr="005823F5">
        <w:t>1</w:t>
      </w:r>
      <w:r w:rsidR="00B27A36" w:rsidRPr="005823F5">
        <w:t>7</w:t>
      </w:r>
      <w:r w:rsidR="007E112F" w:rsidRPr="005823F5">
        <w:t>,</w:t>
      </w:r>
      <w:r w:rsidR="002F38D7" w:rsidRPr="005823F5">
        <w:t xml:space="preserve"> </w:t>
      </w:r>
      <w:r w:rsidR="006648D1" w:rsidRPr="005823F5">
        <w:t>201</w:t>
      </w:r>
      <w:r w:rsidR="00674329" w:rsidRPr="005823F5">
        <w:t>6</w:t>
      </w:r>
      <w:r w:rsidRPr="005823F5">
        <w:t xml:space="preserve">. </w:t>
      </w:r>
      <w:r w:rsidRPr="00ED7686">
        <w:rPr>
          <w:lang w:val="fr-CA"/>
        </w:rPr>
        <w:t>This list is subject to change.</w:t>
      </w:r>
    </w:p>
    <w:p w:rsidR="00FF5AA4" w:rsidRPr="00ED7686" w:rsidRDefault="00FF5AA4" w:rsidP="006F2579">
      <w:pPr>
        <w:widowControl w:val="0"/>
        <w:rPr>
          <w:lang w:val="fr-CA"/>
        </w:rPr>
      </w:pPr>
    </w:p>
    <w:p w:rsidR="00B43418" w:rsidRPr="00ED7686" w:rsidRDefault="00B43418" w:rsidP="006F2579">
      <w:pPr>
        <w:widowControl w:val="0"/>
        <w:rPr>
          <w:lang w:val="fr-CA"/>
        </w:rPr>
      </w:pPr>
    </w:p>
    <w:p w:rsidR="006F2579" w:rsidRPr="005823F5" w:rsidRDefault="006F2579" w:rsidP="006F2579">
      <w:pPr>
        <w:widowControl w:val="0"/>
        <w:jc w:val="center"/>
        <w:rPr>
          <w:lang w:val="fr-CA"/>
        </w:rPr>
      </w:pPr>
      <w:r w:rsidRPr="005823F5">
        <w:rPr>
          <w:b/>
          <w:lang w:val="fr-CA"/>
        </w:rPr>
        <w:t>PROCHAIN</w:t>
      </w:r>
      <w:r w:rsidR="00B17AAC" w:rsidRPr="005823F5">
        <w:rPr>
          <w:b/>
          <w:lang w:val="fr-CA"/>
        </w:rPr>
        <w:t>S</w:t>
      </w:r>
      <w:r w:rsidRPr="005823F5">
        <w:rPr>
          <w:b/>
          <w:lang w:val="fr-CA"/>
        </w:rPr>
        <w:t xml:space="preserve"> JUGEMENT</w:t>
      </w:r>
      <w:r w:rsidR="00B17AAC" w:rsidRPr="005823F5">
        <w:rPr>
          <w:b/>
          <w:lang w:val="fr-CA"/>
        </w:rPr>
        <w:t>S</w:t>
      </w:r>
      <w:r w:rsidR="00001846" w:rsidRPr="005823F5">
        <w:rPr>
          <w:b/>
          <w:lang w:val="fr-CA"/>
        </w:rPr>
        <w:t xml:space="preserve"> SUR DEMANDE</w:t>
      </w:r>
      <w:r w:rsidR="00B17AAC" w:rsidRPr="005823F5">
        <w:rPr>
          <w:b/>
          <w:lang w:val="fr-CA"/>
        </w:rPr>
        <w:t>S</w:t>
      </w:r>
      <w:r w:rsidRPr="005823F5">
        <w:rPr>
          <w:b/>
          <w:lang w:val="fr-CA"/>
        </w:rPr>
        <w:t xml:space="preserve"> D’AUTORISATION</w:t>
      </w:r>
    </w:p>
    <w:p w:rsidR="006F2579" w:rsidRPr="005823F5" w:rsidRDefault="006F2579" w:rsidP="006F2579">
      <w:pPr>
        <w:widowControl w:val="0"/>
        <w:rPr>
          <w:lang w:val="fr-CA"/>
        </w:rPr>
      </w:pPr>
    </w:p>
    <w:p w:rsidR="006F2579" w:rsidRPr="005823F5" w:rsidRDefault="006F2579" w:rsidP="006F2579">
      <w:pPr>
        <w:widowControl w:val="0"/>
        <w:rPr>
          <w:b/>
          <w:lang w:val="fr-CA"/>
        </w:rPr>
      </w:pPr>
      <w:r w:rsidRPr="005823F5">
        <w:rPr>
          <w:b/>
          <w:lang w:val="fr-CA"/>
        </w:rPr>
        <w:t>Le</w:t>
      </w:r>
      <w:r w:rsidR="00957A76" w:rsidRPr="005823F5">
        <w:rPr>
          <w:b/>
          <w:lang w:val="fr-CA"/>
        </w:rPr>
        <w:t xml:space="preserve"> </w:t>
      </w:r>
      <w:r w:rsidR="00B27A36" w:rsidRPr="005823F5">
        <w:rPr>
          <w:b/>
          <w:lang w:val="fr-CA"/>
        </w:rPr>
        <w:t>14</w:t>
      </w:r>
      <w:r w:rsidR="00FD37D0" w:rsidRPr="005823F5">
        <w:rPr>
          <w:b/>
          <w:lang w:val="fr-CA"/>
        </w:rPr>
        <w:t xml:space="preserve"> </w:t>
      </w:r>
      <w:r w:rsidR="00A64A9B" w:rsidRPr="005823F5">
        <w:rPr>
          <w:b/>
          <w:lang w:val="fr-CA"/>
        </w:rPr>
        <w:t>novem</w:t>
      </w:r>
      <w:r w:rsidR="00E31DD1" w:rsidRPr="005823F5">
        <w:rPr>
          <w:b/>
          <w:lang w:val="fr-CA"/>
        </w:rPr>
        <w:t>bre</w:t>
      </w:r>
      <w:r w:rsidR="00674329" w:rsidRPr="005823F5">
        <w:rPr>
          <w:b/>
          <w:lang w:val="fr-CA"/>
        </w:rPr>
        <w:t xml:space="preserve"> 2016</w:t>
      </w:r>
    </w:p>
    <w:p w:rsidR="006F2579" w:rsidRPr="005823F5" w:rsidRDefault="006F2579" w:rsidP="006F2579">
      <w:pPr>
        <w:widowControl w:val="0"/>
        <w:rPr>
          <w:b/>
          <w:lang w:val="fr-CA"/>
        </w:rPr>
      </w:pPr>
      <w:r w:rsidRPr="005823F5">
        <w:rPr>
          <w:b/>
          <w:lang w:val="fr-CA"/>
        </w:rPr>
        <w:t>Pour diffusion immédiate</w:t>
      </w:r>
    </w:p>
    <w:p w:rsidR="006F2579" w:rsidRPr="005823F5" w:rsidRDefault="006F2579" w:rsidP="006F2579">
      <w:pPr>
        <w:widowControl w:val="0"/>
        <w:rPr>
          <w:b/>
          <w:lang w:val="fr-CA"/>
        </w:rPr>
      </w:pPr>
    </w:p>
    <w:p w:rsidR="006F2579" w:rsidRPr="005823F5" w:rsidRDefault="006F2579" w:rsidP="006F2579">
      <w:pPr>
        <w:widowControl w:val="0"/>
        <w:rPr>
          <w:lang w:val="fr-CA"/>
        </w:rPr>
      </w:pPr>
      <w:r w:rsidRPr="005823F5">
        <w:rPr>
          <w:b/>
          <w:lang w:val="fr-CA"/>
        </w:rPr>
        <w:t>OTTAWA</w:t>
      </w:r>
      <w:r w:rsidRPr="005823F5">
        <w:rPr>
          <w:lang w:val="fr-CA"/>
        </w:rPr>
        <w:t xml:space="preserve"> – La Cour suprême du Canada annonce que jugement ser</w:t>
      </w:r>
      <w:r w:rsidR="004259F9" w:rsidRPr="005823F5">
        <w:rPr>
          <w:lang w:val="fr-CA"/>
        </w:rPr>
        <w:t>a</w:t>
      </w:r>
      <w:r w:rsidRPr="005823F5">
        <w:rPr>
          <w:lang w:val="fr-CA"/>
        </w:rPr>
        <w:t xml:space="preserve"> rendu dans l</w:t>
      </w:r>
      <w:r w:rsidR="008600ED" w:rsidRPr="005823F5">
        <w:rPr>
          <w:lang w:val="fr-CA"/>
        </w:rPr>
        <w:t>es</w:t>
      </w:r>
      <w:r w:rsidRPr="005823F5">
        <w:rPr>
          <w:lang w:val="fr-CA"/>
        </w:rPr>
        <w:t xml:space="preserve"> demande</w:t>
      </w:r>
      <w:r w:rsidR="008600ED" w:rsidRPr="005823F5">
        <w:rPr>
          <w:lang w:val="fr-CA"/>
        </w:rPr>
        <w:t>s</w:t>
      </w:r>
      <w:r w:rsidRPr="005823F5">
        <w:rPr>
          <w:lang w:val="fr-CA"/>
        </w:rPr>
        <w:t xml:space="preserve"> d</w:t>
      </w:r>
      <w:r w:rsidR="00001846" w:rsidRPr="005823F5">
        <w:rPr>
          <w:lang w:val="fr-CA"/>
        </w:rPr>
        <w:t>’autorisation d’appel suivante</w:t>
      </w:r>
      <w:r w:rsidR="008600ED" w:rsidRPr="005823F5">
        <w:rPr>
          <w:lang w:val="fr-CA"/>
        </w:rPr>
        <w:t>s</w:t>
      </w:r>
      <w:r w:rsidRPr="005823F5">
        <w:rPr>
          <w:lang w:val="fr-CA"/>
        </w:rPr>
        <w:t xml:space="preserve"> le jeudi </w:t>
      </w:r>
      <w:r w:rsidR="00A64A9B" w:rsidRPr="005823F5">
        <w:rPr>
          <w:lang w:val="fr-CA"/>
        </w:rPr>
        <w:t>1</w:t>
      </w:r>
      <w:r w:rsidR="00B27A36" w:rsidRPr="005823F5">
        <w:rPr>
          <w:lang w:val="fr-CA"/>
        </w:rPr>
        <w:t>7</w:t>
      </w:r>
      <w:r w:rsidR="0025030E" w:rsidRPr="005823F5">
        <w:rPr>
          <w:lang w:val="fr-CA"/>
        </w:rPr>
        <w:t xml:space="preserve"> </w:t>
      </w:r>
      <w:r w:rsidR="001F15CD" w:rsidRPr="005823F5">
        <w:rPr>
          <w:lang w:val="fr-CA"/>
        </w:rPr>
        <w:t>novem</w:t>
      </w:r>
      <w:r w:rsidR="00E31DD1" w:rsidRPr="005823F5">
        <w:rPr>
          <w:lang w:val="fr-CA"/>
        </w:rPr>
        <w:t>bre</w:t>
      </w:r>
      <w:r w:rsidR="00674329" w:rsidRPr="005823F5">
        <w:rPr>
          <w:lang w:val="fr-CA"/>
        </w:rPr>
        <w:t xml:space="preserve"> </w:t>
      </w:r>
      <w:r w:rsidR="006648D1" w:rsidRPr="005823F5">
        <w:rPr>
          <w:lang w:val="fr-CA"/>
        </w:rPr>
        <w:t>201</w:t>
      </w:r>
      <w:r w:rsidR="00674329" w:rsidRPr="005823F5">
        <w:rPr>
          <w:lang w:val="fr-CA"/>
        </w:rPr>
        <w:t>6</w:t>
      </w:r>
      <w:r w:rsidRPr="005823F5">
        <w:rPr>
          <w:lang w:val="fr-CA"/>
        </w:rPr>
        <w:t xml:space="preserve">, à 9 h 45 </w:t>
      </w:r>
      <w:r w:rsidR="000627A2" w:rsidRPr="005823F5">
        <w:rPr>
          <w:lang w:val="fr-CA"/>
        </w:rPr>
        <w:t>H</w:t>
      </w:r>
      <w:r w:rsidR="00A64A9B" w:rsidRPr="005823F5">
        <w:rPr>
          <w:lang w:val="fr-CA"/>
        </w:rPr>
        <w:t>N</w:t>
      </w:r>
      <w:r w:rsidRPr="005823F5">
        <w:rPr>
          <w:lang w:val="fr-CA"/>
        </w:rPr>
        <w:t>E. Cette liste est sujette à modifications.</w:t>
      </w:r>
    </w:p>
    <w:p w:rsidR="0080556B" w:rsidRPr="005823F5" w:rsidRDefault="0080556B" w:rsidP="009B14F4">
      <w:pPr>
        <w:widowControl w:val="0"/>
        <w:jc w:val="both"/>
        <w:rPr>
          <w:sz w:val="20"/>
          <w:lang w:val="fr-CA"/>
        </w:rPr>
      </w:pPr>
    </w:p>
    <w:p w:rsidR="001838E0" w:rsidRPr="005823F5" w:rsidRDefault="003D353C" w:rsidP="009B14F4">
      <w:pPr>
        <w:widowControl w:val="0"/>
        <w:jc w:val="both"/>
        <w:rPr>
          <w:sz w:val="20"/>
          <w:lang w:val="fr-CA"/>
        </w:rPr>
      </w:pPr>
      <w:r w:rsidRPr="005823F5">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8164A8" w:rsidRPr="005823F5" w:rsidRDefault="008164A8" w:rsidP="005256BB">
      <w:pPr>
        <w:ind w:left="360" w:hanging="360"/>
        <w:jc w:val="both"/>
        <w:rPr>
          <w:sz w:val="20"/>
          <w:lang w:val="en-CA" w:eastAsia="en-CA"/>
        </w:rPr>
      </w:pPr>
    </w:p>
    <w:p w:rsidR="00B27A36" w:rsidRPr="005823F5" w:rsidRDefault="00B27A36" w:rsidP="00B27A36">
      <w:pPr>
        <w:pStyle w:val="ListParagraph"/>
        <w:numPr>
          <w:ilvl w:val="0"/>
          <w:numId w:val="33"/>
        </w:numPr>
        <w:ind w:left="360"/>
        <w:jc w:val="both"/>
        <w:rPr>
          <w:sz w:val="20"/>
          <w:lang w:val="en-CA" w:eastAsia="en-CA"/>
        </w:rPr>
      </w:pPr>
      <w:r w:rsidRPr="005823F5">
        <w:rPr>
          <w:i/>
          <w:sz w:val="20"/>
          <w:lang w:val="en-CA" w:eastAsia="en-CA"/>
        </w:rPr>
        <w:t>Orville John Gustavson v. The Warden, Mission Institution</w:t>
      </w:r>
      <w:r w:rsidRPr="005823F5">
        <w:rPr>
          <w:sz w:val="20"/>
          <w:lang w:val="en-CA" w:eastAsia="en-CA"/>
        </w:rPr>
        <w:t xml:space="preserve"> (B.C.) (Criminal) (By Leave)</w:t>
      </w:r>
      <w:r w:rsidR="00632281" w:rsidRPr="005823F5">
        <w:rPr>
          <w:sz w:val="20"/>
          <w:lang w:val="en-CA" w:eastAsia="en-CA"/>
        </w:rPr>
        <w:t xml:space="preserve"> </w:t>
      </w:r>
      <w:r w:rsidR="00632281" w:rsidRPr="005823F5">
        <w:rPr>
          <w:sz w:val="20"/>
        </w:rPr>
        <w:t>(</w:t>
      </w:r>
      <w:hyperlink r:id="rId8" w:history="1">
        <w:r w:rsidR="00632281" w:rsidRPr="005823F5">
          <w:rPr>
            <w:rStyle w:val="Hyperlink"/>
            <w:sz w:val="20"/>
          </w:rPr>
          <w:t>37147</w:t>
        </w:r>
      </w:hyperlink>
      <w:r w:rsidR="00632281" w:rsidRPr="005823F5">
        <w:rPr>
          <w:sz w:val="20"/>
        </w:rPr>
        <w:t>)</w:t>
      </w:r>
    </w:p>
    <w:p w:rsidR="00B27A36" w:rsidRPr="005823F5" w:rsidRDefault="00B27A36" w:rsidP="00B27A36">
      <w:pPr>
        <w:ind w:left="360" w:hanging="360"/>
        <w:jc w:val="both"/>
        <w:rPr>
          <w:sz w:val="20"/>
          <w:lang w:val="en-CA" w:eastAsia="en-CA"/>
        </w:rPr>
      </w:pPr>
    </w:p>
    <w:p w:rsidR="00B27A36" w:rsidRPr="005823F5" w:rsidRDefault="00B27A36" w:rsidP="00B27A36">
      <w:pPr>
        <w:pStyle w:val="ListParagraph"/>
        <w:numPr>
          <w:ilvl w:val="0"/>
          <w:numId w:val="33"/>
        </w:numPr>
        <w:ind w:left="360"/>
        <w:jc w:val="both"/>
        <w:rPr>
          <w:sz w:val="20"/>
          <w:lang w:val="fr-FR" w:eastAsia="en-CA"/>
        </w:rPr>
      </w:pPr>
      <w:r w:rsidRPr="005823F5">
        <w:rPr>
          <w:i/>
          <w:sz w:val="20"/>
          <w:lang w:val="fr-FR" w:eastAsia="en-CA"/>
        </w:rPr>
        <w:t>Benoit Beauchamp et a</w:t>
      </w:r>
      <w:r w:rsidR="00185483" w:rsidRPr="005823F5">
        <w:rPr>
          <w:i/>
          <w:sz w:val="20"/>
          <w:lang w:val="fr-FR" w:eastAsia="en-CA"/>
        </w:rPr>
        <w:t>utre</w:t>
      </w:r>
      <w:r w:rsidRPr="005823F5">
        <w:rPr>
          <w:i/>
          <w:sz w:val="20"/>
          <w:lang w:val="fr-FR" w:eastAsia="en-CA"/>
        </w:rPr>
        <w:t xml:space="preserve"> c. Balayage Blainville inc.</w:t>
      </w:r>
      <w:r w:rsidRPr="005823F5">
        <w:rPr>
          <w:sz w:val="20"/>
          <w:lang w:val="fr-FR" w:eastAsia="en-CA"/>
        </w:rPr>
        <w:t xml:space="preserve"> (Qc) (Civile) (Autorisation)</w:t>
      </w:r>
      <w:r w:rsidR="00185483" w:rsidRPr="005823F5">
        <w:rPr>
          <w:sz w:val="20"/>
          <w:lang w:val="fr-FR" w:eastAsia="en-CA"/>
        </w:rPr>
        <w:t xml:space="preserve"> </w:t>
      </w:r>
      <w:r w:rsidR="00185483" w:rsidRPr="005823F5">
        <w:rPr>
          <w:sz w:val="20"/>
        </w:rPr>
        <w:t>(</w:t>
      </w:r>
      <w:hyperlink r:id="rId9" w:history="1">
        <w:r w:rsidR="00185483" w:rsidRPr="005823F5">
          <w:rPr>
            <w:rStyle w:val="Hyperlink"/>
            <w:sz w:val="20"/>
          </w:rPr>
          <w:t>37073</w:t>
        </w:r>
      </w:hyperlink>
      <w:r w:rsidR="00185483" w:rsidRPr="005823F5">
        <w:rPr>
          <w:sz w:val="20"/>
        </w:rPr>
        <w:t>)</w:t>
      </w:r>
    </w:p>
    <w:p w:rsidR="00B27A36" w:rsidRPr="005823F5" w:rsidRDefault="00B27A36" w:rsidP="00B27A36">
      <w:pPr>
        <w:ind w:left="360" w:hanging="360"/>
        <w:jc w:val="both"/>
        <w:rPr>
          <w:sz w:val="20"/>
          <w:lang w:val="fr-FR" w:eastAsia="en-CA"/>
        </w:rPr>
      </w:pPr>
    </w:p>
    <w:p w:rsidR="00B27A36" w:rsidRPr="005823F5" w:rsidRDefault="00B27A36" w:rsidP="00B27A36">
      <w:pPr>
        <w:pStyle w:val="ListParagraph"/>
        <w:numPr>
          <w:ilvl w:val="0"/>
          <w:numId w:val="33"/>
        </w:numPr>
        <w:tabs>
          <w:tab w:val="center" w:pos="720"/>
        </w:tabs>
        <w:ind w:left="360"/>
        <w:rPr>
          <w:sz w:val="20"/>
          <w:lang w:val="fr-FR"/>
        </w:rPr>
      </w:pPr>
      <w:r w:rsidRPr="005823F5">
        <w:rPr>
          <w:i/>
          <w:sz w:val="20"/>
          <w:lang w:val="fr-FR" w:eastAsia="en-CA"/>
        </w:rPr>
        <w:t>Fédération des producteurs acéri</w:t>
      </w:r>
      <w:r w:rsidR="00ED7686">
        <w:rPr>
          <w:i/>
          <w:sz w:val="20"/>
          <w:lang w:val="fr-FR" w:eastAsia="en-CA"/>
        </w:rPr>
        <w:t>c</w:t>
      </w:r>
      <w:bookmarkStart w:id="0" w:name="_GoBack"/>
      <w:bookmarkEnd w:id="0"/>
      <w:r w:rsidRPr="005823F5">
        <w:rPr>
          <w:i/>
          <w:sz w:val="20"/>
          <w:lang w:val="fr-FR" w:eastAsia="en-CA"/>
        </w:rPr>
        <w:t>oles du Québec c. Unique assurances générales inc. et a</w:t>
      </w:r>
      <w:r w:rsidR="00C54C93" w:rsidRPr="005823F5">
        <w:rPr>
          <w:i/>
          <w:sz w:val="20"/>
          <w:lang w:val="fr-FR" w:eastAsia="en-CA"/>
        </w:rPr>
        <w:t xml:space="preserve">utres </w:t>
      </w:r>
      <w:r w:rsidRPr="005823F5">
        <w:rPr>
          <w:sz w:val="20"/>
          <w:lang w:val="fr-FR" w:eastAsia="en-CA"/>
        </w:rPr>
        <w:t xml:space="preserve">(Qc) (Civile) (Autorisation) </w:t>
      </w:r>
      <w:r w:rsidR="00C54C93" w:rsidRPr="00ED7686">
        <w:rPr>
          <w:sz w:val="20"/>
          <w:lang w:val="fr-CA"/>
        </w:rPr>
        <w:t>(</w:t>
      </w:r>
      <w:hyperlink r:id="rId10" w:history="1">
        <w:r w:rsidR="00C54C93" w:rsidRPr="00ED7686">
          <w:rPr>
            <w:rStyle w:val="Hyperlink"/>
            <w:sz w:val="20"/>
            <w:lang w:val="fr-CA"/>
          </w:rPr>
          <w:t>3704</w:t>
        </w:r>
      </w:hyperlink>
      <w:r w:rsidR="00C54C93" w:rsidRPr="00ED7686">
        <w:rPr>
          <w:rStyle w:val="Hyperlink"/>
          <w:sz w:val="20"/>
          <w:lang w:val="fr-CA"/>
        </w:rPr>
        <w:t>7</w:t>
      </w:r>
      <w:r w:rsidR="00C54C93" w:rsidRPr="00ED7686">
        <w:rPr>
          <w:sz w:val="20"/>
          <w:lang w:val="fr-CA"/>
        </w:rPr>
        <w:t>)</w:t>
      </w:r>
    </w:p>
    <w:p w:rsidR="00B27A36" w:rsidRPr="005823F5" w:rsidRDefault="00B27A36" w:rsidP="00B27A36">
      <w:pPr>
        <w:tabs>
          <w:tab w:val="center" w:pos="720"/>
        </w:tabs>
        <w:ind w:left="360" w:hanging="360"/>
        <w:rPr>
          <w:sz w:val="20"/>
          <w:lang w:val="fr-FR"/>
        </w:rPr>
      </w:pPr>
    </w:p>
    <w:p w:rsidR="00B27A36" w:rsidRPr="005823F5" w:rsidRDefault="00B27A36" w:rsidP="00B27A36">
      <w:pPr>
        <w:pStyle w:val="ListParagraph"/>
        <w:numPr>
          <w:ilvl w:val="0"/>
          <w:numId w:val="33"/>
        </w:numPr>
        <w:ind w:left="360"/>
        <w:jc w:val="both"/>
        <w:rPr>
          <w:sz w:val="20"/>
          <w:lang w:val="en-CA" w:eastAsia="en-CA"/>
        </w:rPr>
      </w:pPr>
      <w:r w:rsidRPr="005823F5">
        <w:rPr>
          <w:i/>
          <w:sz w:val="20"/>
          <w:lang w:val="en-CA" w:eastAsia="en-CA"/>
        </w:rPr>
        <w:t>Tristin Jones v. Her Majesty the Queen</w:t>
      </w:r>
      <w:r w:rsidR="00147CDB" w:rsidRPr="005823F5">
        <w:rPr>
          <w:i/>
          <w:sz w:val="20"/>
          <w:lang w:val="en-CA" w:eastAsia="en-CA"/>
        </w:rPr>
        <w:t xml:space="preserve"> in Right of Ontario</w:t>
      </w:r>
      <w:r w:rsidRPr="005823F5">
        <w:rPr>
          <w:i/>
          <w:sz w:val="20"/>
          <w:lang w:val="en-CA" w:eastAsia="en-CA"/>
        </w:rPr>
        <w:t xml:space="preserve"> et al. </w:t>
      </w:r>
      <w:r w:rsidRPr="005823F5">
        <w:rPr>
          <w:sz w:val="20"/>
          <w:lang w:val="en-CA" w:eastAsia="en-CA"/>
        </w:rPr>
        <w:t>(Ont.) (Criminal) (By Leave)</w:t>
      </w:r>
      <w:r w:rsidR="00C54C93" w:rsidRPr="005823F5">
        <w:rPr>
          <w:sz w:val="20"/>
          <w:lang w:val="en-CA" w:eastAsia="en-CA"/>
        </w:rPr>
        <w:t xml:space="preserve"> </w:t>
      </w:r>
      <w:r w:rsidR="00C54C93" w:rsidRPr="005823F5">
        <w:rPr>
          <w:sz w:val="20"/>
        </w:rPr>
        <w:t>(</w:t>
      </w:r>
      <w:hyperlink r:id="rId11" w:history="1">
        <w:r w:rsidR="00C54C93" w:rsidRPr="005823F5">
          <w:rPr>
            <w:rStyle w:val="Hyperlink"/>
            <w:sz w:val="20"/>
          </w:rPr>
          <w:t>37194</w:t>
        </w:r>
      </w:hyperlink>
      <w:r w:rsidR="00C54C93" w:rsidRPr="005823F5">
        <w:rPr>
          <w:sz w:val="20"/>
        </w:rPr>
        <w:t>)</w:t>
      </w:r>
    </w:p>
    <w:p w:rsidR="00B27A36" w:rsidRPr="005823F5" w:rsidRDefault="00B27A36" w:rsidP="00DC6E65">
      <w:pPr>
        <w:ind w:left="360" w:hanging="360"/>
        <w:jc w:val="both"/>
        <w:rPr>
          <w:sz w:val="20"/>
          <w:lang w:val="en-CA" w:eastAsia="en-CA"/>
        </w:rPr>
      </w:pPr>
    </w:p>
    <w:p w:rsidR="0092501B" w:rsidRPr="005823F5" w:rsidRDefault="0092501B" w:rsidP="00DC6E65">
      <w:pPr>
        <w:jc w:val="both"/>
        <w:rPr>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C6E65" w:rsidRPr="005823F5" w:rsidTr="00E95A6A">
        <w:tc>
          <w:tcPr>
            <w:tcW w:w="543" w:type="pct"/>
          </w:tcPr>
          <w:p w:rsidR="00DC6E65" w:rsidRPr="005823F5" w:rsidRDefault="00DC6E65" w:rsidP="00DC6E65">
            <w:pPr>
              <w:jc w:val="both"/>
              <w:rPr>
                <w:sz w:val="20"/>
              </w:rPr>
            </w:pPr>
            <w:r w:rsidRPr="005823F5">
              <w:rPr>
                <w:rStyle w:val="SCCFileNumberChar"/>
                <w:sz w:val="20"/>
                <w:szCs w:val="20"/>
              </w:rPr>
              <w:t>37147</w:t>
            </w:r>
          </w:p>
        </w:tc>
        <w:tc>
          <w:tcPr>
            <w:tcW w:w="4457" w:type="pct"/>
            <w:gridSpan w:val="3"/>
          </w:tcPr>
          <w:p w:rsidR="00DC6E65" w:rsidRPr="00ED7686" w:rsidRDefault="00DC6E65" w:rsidP="00DC6E65">
            <w:pPr>
              <w:pStyle w:val="SCCLsocParty"/>
              <w:jc w:val="both"/>
              <w:rPr>
                <w:b/>
                <w:sz w:val="20"/>
                <w:szCs w:val="20"/>
                <w:lang w:val="en-US"/>
              </w:rPr>
            </w:pPr>
            <w:r w:rsidRPr="00ED7686">
              <w:rPr>
                <w:b/>
                <w:sz w:val="20"/>
                <w:szCs w:val="20"/>
                <w:lang w:val="en-US"/>
              </w:rPr>
              <w:t>Orville John Gustavson v. The Warden, Mission Institution</w:t>
            </w:r>
          </w:p>
          <w:p w:rsidR="00DC6E65" w:rsidRPr="005823F5" w:rsidRDefault="00DC6E65" w:rsidP="00DC6E65">
            <w:pPr>
              <w:jc w:val="both"/>
              <w:rPr>
                <w:sz w:val="20"/>
              </w:rPr>
            </w:pPr>
            <w:r w:rsidRPr="005823F5">
              <w:rPr>
                <w:sz w:val="20"/>
              </w:rPr>
              <w:t>(B.C.) (Criminal) (By Leave)</w:t>
            </w:r>
          </w:p>
        </w:tc>
      </w:tr>
      <w:tr w:rsidR="00DC6E65" w:rsidRPr="005823F5" w:rsidTr="00E95A6A">
        <w:tc>
          <w:tcPr>
            <w:tcW w:w="5000" w:type="pct"/>
            <w:gridSpan w:val="4"/>
          </w:tcPr>
          <w:p w:rsidR="00DC6E65" w:rsidRPr="005823F5" w:rsidRDefault="00DC6E65" w:rsidP="00DC6E65">
            <w:pPr>
              <w:jc w:val="both"/>
              <w:rPr>
                <w:sz w:val="20"/>
              </w:rPr>
            </w:pPr>
            <w:r w:rsidRPr="005823F5">
              <w:rPr>
                <w:sz w:val="20"/>
              </w:rPr>
              <w:t xml:space="preserve">Criminal law </w:t>
            </w:r>
            <w:r w:rsidRPr="005823F5">
              <w:rPr>
                <w:i/>
                <w:sz w:val="20"/>
              </w:rPr>
              <w:t>–</w:t>
            </w:r>
            <w:r w:rsidRPr="005823F5">
              <w:rPr>
                <w:sz w:val="20"/>
              </w:rPr>
              <w:t xml:space="preserve"> Appeal – Applicant sentenced to an indeterminate term of imprisonment – Whether the applicant’s continued detention is unlawful – Applicant’s application for </w:t>
            </w:r>
            <w:r w:rsidRPr="005823F5">
              <w:rPr>
                <w:i/>
                <w:sz w:val="20"/>
              </w:rPr>
              <w:t>habeas corpus</w:t>
            </w:r>
            <w:r w:rsidRPr="005823F5">
              <w:rPr>
                <w:sz w:val="20"/>
              </w:rPr>
              <w:t xml:space="preserve"> dismissed – Applicant’s application for leave to appeal to the Court of Appeal dismissed – Whether the lower courts erred.</w:t>
            </w:r>
          </w:p>
        </w:tc>
      </w:tr>
      <w:tr w:rsidR="00DC6E65" w:rsidRPr="005823F5" w:rsidTr="00E95A6A">
        <w:tc>
          <w:tcPr>
            <w:tcW w:w="5000" w:type="pct"/>
            <w:gridSpan w:val="4"/>
          </w:tcPr>
          <w:p w:rsidR="00DC6E65" w:rsidRPr="005823F5" w:rsidRDefault="00DC6E65" w:rsidP="00DC6E65">
            <w:pPr>
              <w:jc w:val="both"/>
              <w:rPr>
                <w:sz w:val="20"/>
              </w:rPr>
            </w:pPr>
          </w:p>
        </w:tc>
      </w:tr>
      <w:tr w:rsidR="00DC6E65" w:rsidRPr="005823F5" w:rsidTr="00E95A6A">
        <w:tc>
          <w:tcPr>
            <w:tcW w:w="5000" w:type="pct"/>
            <w:gridSpan w:val="4"/>
          </w:tcPr>
          <w:p w:rsidR="00DC6E65" w:rsidRPr="005823F5" w:rsidRDefault="00DC6E65" w:rsidP="00DC6E65">
            <w:pPr>
              <w:jc w:val="both"/>
              <w:rPr>
                <w:sz w:val="20"/>
              </w:rPr>
            </w:pPr>
            <w:r w:rsidRPr="005823F5">
              <w:rPr>
                <w:sz w:val="20"/>
              </w:rPr>
              <w:t xml:space="preserve">The applicant remains incarcerated in Mission Institution, a federal penitentiary in British Columbia, pursuant to a warrant dated January 11, 1983 imposing a sentence of an indeterminate period following a finding that he was a dangerous offender. The applicant’s application for </w:t>
            </w:r>
            <w:r w:rsidRPr="005823F5">
              <w:rPr>
                <w:i/>
                <w:sz w:val="20"/>
              </w:rPr>
              <w:t>habeas corpus</w:t>
            </w:r>
            <w:r w:rsidRPr="005823F5">
              <w:rPr>
                <w:sz w:val="20"/>
              </w:rPr>
              <w:t xml:space="preserve"> was dismissed by the British Columbia Supreme Court. His application for leave to appeal was dismissed by a single judge of the British Columbia Court of Appeal. The applicant’s application to vary the order of the single judge was dismissed by a three-judge panel of the Court of Appeal.</w:t>
            </w:r>
          </w:p>
          <w:p w:rsidR="00DC6E65" w:rsidRPr="005823F5" w:rsidRDefault="00DC6E65" w:rsidP="00DC6E65">
            <w:pPr>
              <w:jc w:val="both"/>
              <w:rPr>
                <w:sz w:val="20"/>
              </w:rPr>
            </w:pPr>
          </w:p>
        </w:tc>
      </w:tr>
      <w:tr w:rsidR="00DC6E65" w:rsidRPr="005823F5" w:rsidTr="00E95A6A">
        <w:tc>
          <w:tcPr>
            <w:tcW w:w="2427" w:type="pct"/>
            <w:gridSpan w:val="2"/>
          </w:tcPr>
          <w:p w:rsidR="00DC6E65" w:rsidRPr="005823F5" w:rsidRDefault="00DC6E65" w:rsidP="00DC6E65">
            <w:pPr>
              <w:jc w:val="both"/>
              <w:rPr>
                <w:sz w:val="20"/>
              </w:rPr>
            </w:pPr>
            <w:r w:rsidRPr="005823F5">
              <w:rPr>
                <w:sz w:val="20"/>
              </w:rPr>
              <w:t>November 18, 2013</w:t>
            </w:r>
          </w:p>
          <w:p w:rsidR="00DC6E65" w:rsidRPr="005823F5" w:rsidRDefault="00DC6E65" w:rsidP="00DC6E65">
            <w:pPr>
              <w:jc w:val="both"/>
              <w:rPr>
                <w:sz w:val="20"/>
              </w:rPr>
            </w:pPr>
            <w:r w:rsidRPr="005823F5">
              <w:rPr>
                <w:sz w:val="20"/>
              </w:rPr>
              <w:lastRenderedPageBreak/>
              <w:t>Supreme Court of British Columbia</w:t>
            </w:r>
          </w:p>
          <w:p w:rsidR="00DC6E65" w:rsidRPr="005823F5" w:rsidRDefault="00DC6E65" w:rsidP="00DC6E65">
            <w:pPr>
              <w:jc w:val="both"/>
              <w:rPr>
                <w:sz w:val="20"/>
              </w:rPr>
            </w:pPr>
            <w:r w:rsidRPr="005823F5">
              <w:rPr>
                <w:sz w:val="20"/>
              </w:rPr>
              <w:t>(</w:t>
            </w:r>
            <w:proofErr w:type="spellStart"/>
            <w:r w:rsidRPr="005823F5">
              <w:rPr>
                <w:sz w:val="20"/>
              </w:rPr>
              <w:t>Romilly</w:t>
            </w:r>
            <w:proofErr w:type="spellEnd"/>
            <w:r w:rsidRPr="005823F5">
              <w:rPr>
                <w:sz w:val="20"/>
              </w:rPr>
              <w:t xml:space="preserve"> J.)</w:t>
            </w:r>
          </w:p>
          <w:p w:rsidR="00DC6E65" w:rsidRPr="005823F5" w:rsidRDefault="00DC6E65" w:rsidP="00DC6E65">
            <w:pPr>
              <w:jc w:val="both"/>
              <w:rPr>
                <w:sz w:val="20"/>
              </w:rPr>
            </w:pPr>
          </w:p>
        </w:tc>
        <w:tc>
          <w:tcPr>
            <w:tcW w:w="243" w:type="pct"/>
          </w:tcPr>
          <w:p w:rsidR="00DC6E65" w:rsidRPr="005823F5" w:rsidRDefault="00DC6E65" w:rsidP="00DC6E65">
            <w:pPr>
              <w:jc w:val="both"/>
              <w:rPr>
                <w:sz w:val="20"/>
              </w:rPr>
            </w:pPr>
          </w:p>
        </w:tc>
        <w:tc>
          <w:tcPr>
            <w:tcW w:w="2330" w:type="pct"/>
          </w:tcPr>
          <w:p w:rsidR="00DC6E65" w:rsidRPr="005823F5" w:rsidRDefault="00DC6E65" w:rsidP="00DC6E65">
            <w:pPr>
              <w:jc w:val="both"/>
              <w:rPr>
                <w:sz w:val="20"/>
              </w:rPr>
            </w:pPr>
            <w:r w:rsidRPr="005823F5">
              <w:rPr>
                <w:sz w:val="20"/>
              </w:rPr>
              <w:t xml:space="preserve">Applicant’s application for </w:t>
            </w:r>
            <w:r w:rsidRPr="005823F5">
              <w:rPr>
                <w:i/>
                <w:sz w:val="20"/>
              </w:rPr>
              <w:t>habeas corpus</w:t>
            </w:r>
            <w:r w:rsidRPr="005823F5">
              <w:rPr>
                <w:sz w:val="20"/>
              </w:rPr>
              <w:t xml:space="preserve"> dismissed</w:t>
            </w:r>
          </w:p>
          <w:p w:rsidR="00DC6E65" w:rsidRPr="005823F5" w:rsidRDefault="00DC6E65" w:rsidP="00DC6E65">
            <w:pPr>
              <w:jc w:val="both"/>
              <w:rPr>
                <w:sz w:val="20"/>
              </w:rPr>
            </w:pPr>
          </w:p>
        </w:tc>
      </w:tr>
      <w:tr w:rsidR="00DC6E65" w:rsidRPr="005823F5" w:rsidTr="00E95A6A">
        <w:tc>
          <w:tcPr>
            <w:tcW w:w="2427" w:type="pct"/>
            <w:gridSpan w:val="2"/>
          </w:tcPr>
          <w:p w:rsidR="00DC6E65" w:rsidRPr="005823F5" w:rsidRDefault="00DC6E65" w:rsidP="00DC6E65">
            <w:pPr>
              <w:jc w:val="both"/>
              <w:rPr>
                <w:sz w:val="20"/>
              </w:rPr>
            </w:pPr>
            <w:r w:rsidRPr="005823F5">
              <w:rPr>
                <w:sz w:val="20"/>
              </w:rPr>
              <w:lastRenderedPageBreak/>
              <w:t>July 30, 2015</w:t>
            </w:r>
          </w:p>
          <w:p w:rsidR="00DC6E65" w:rsidRPr="005823F5" w:rsidRDefault="00DC6E65" w:rsidP="00DC6E65">
            <w:pPr>
              <w:jc w:val="both"/>
              <w:rPr>
                <w:sz w:val="20"/>
              </w:rPr>
            </w:pPr>
            <w:r w:rsidRPr="005823F5">
              <w:rPr>
                <w:sz w:val="20"/>
              </w:rPr>
              <w:t xml:space="preserve">Court of Appeal for British Columbia </w:t>
            </w:r>
          </w:p>
          <w:p w:rsidR="00DC6E65" w:rsidRPr="005823F5" w:rsidRDefault="00DC6E65" w:rsidP="00DC6E65">
            <w:pPr>
              <w:jc w:val="both"/>
              <w:rPr>
                <w:sz w:val="20"/>
              </w:rPr>
            </w:pPr>
            <w:r w:rsidRPr="005823F5">
              <w:rPr>
                <w:sz w:val="20"/>
              </w:rPr>
              <w:t>(Vancouver)</w:t>
            </w:r>
          </w:p>
          <w:p w:rsidR="00DC6E65" w:rsidRPr="005823F5" w:rsidRDefault="00DC6E65" w:rsidP="00DC6E65">
            <w:pPr>
              <w:jc w:val="both"/>
              <w:rPr>
                <w:sz w:val="20"/>
              </w:rPr>
            </w:pPr>
            <w:r w:rsidRPr="005823F5">
              <w:rPr>
                <w:sz w:val="20"/>
              </w:rPr>
              <w:t>(Frankel J.A.)</w:t>
            </w:r>
          </w:p>
          <w:p w:rsidR="00DC6E65" w:rsidRPr="005823F5" w:rsidRDefault="00DC6E65" w:rsidP="00DC6E65">
            <w:pPr>
              <w:jc w:val="both"/>
              <w:rPr>
                <w:sz w:val="20"/>
              </w:rPr>
            </w:pPr>
          </w:p>
        </w:tc>
        <w:tc>
          <w:tcPr>
            <w:tcW w:w="243" w:type="pct"/>
          </w:tcPr>
          <w:p w:rsidR="00DC6E65" w:rsidRPr="005823F5" w:rsidRDefault="00DC6E65" w:rsidP="00DC6E65">
            <w:pPr>
              <w:jc w:val="both"/>
              <w:rPr>
                <w:sz w:val="20"/>
              </w:rPr>
            </w:pPr>
          </w:p>
        </w:tc>
        <w:tc>
          <w:tcPr>
            <w:tcW w:w="2330" w:type="pct"/>
          </w:tcPr>
          <w:p w:rsidR="00DC6E65" w:rsidRPr="005823F5" w:rsidRDefault="00DC6E65" w:rsidP="00DC6E65">
            <w:pPr>
              <w:jc w:val="both"/>
              <w:rPr>
                <w:sz w:val="20"/>
              </w:rPr>
            </w:pPr>
            <w:r w:rsidRPr="005823F5">
              <w:rPr>
                <w:sz w:val="20"/>
              </w:rPr>
              <w:t>Applicant’s application for leave to appeal dismissed</w:t>
            </w:r>
          </w:p>
          <w:p w:rsidR="00DC6E65" w:rsidRPr="005823F5" w:rsidRDefault="00DC6E65" w:rsidP="00DC6E65">
            <w:pPr>
              <w:jc w:val="both"/>
              <w:rPr>
                <w:sz w:val="20"/>
              </w:rPr>
            </w:pPr>
          </w:p>
        </w:tc>
      </w:tr>
      <w:tr w:rsidR="00DC6E65" w:rsidRPr="005823F5" w:rsidTr="00E95A6A">
        <w:tc>
          <w:tcPr>
            <w:tcW w:w="2427" w:type="pct"/>
            <w:gridSpan w:val="2"/>
          </w:tcPr>
          <w:p w:rsidR="00DC6E65" w:rsidRPr="005823F5" w:rsidRDefault="00DC6E65" w:rsidP="00DC6E65">
            <w:pPr>
              <w:jc w:val="both"/>
              <w:rPr>
                <w:sz w:val="20"/>
              </w:rPr>
            </w:pPr>
            <w:r w:rsidRPr="005823F5">
              <w:rPr>
                <w:sz w:val="20"/>
              </w:rPr>
              <w:t>January 19, 2016</w:t>
            </w:r>
          </w:p>
          <w:p w:rsidR="00DC6E65" w:rsidRPr="005823F5" w:rsidRDefault="00DC6E65" w:rsidP="00DC6E65">
            <w:pPr>
              <w:jc w:val="both"/>
              <w:rPr>
                <w:sz w:val="20"/>
              </w:rPr>
            </w:pPr>
            <w:r w:rsidRPr="005823F5">
              <w:rPr>
                <w:sz w:val="20"/>
              </w:rPr>
              <w:t xml:space="preserve">Court of Appeal for British Columbia </w:t>
            </w:r>
          </w:p>
          <w:p w:rsidR="00DC6E65" w:rsidRPr="005823F5" w:rsidRDefault="00DC6E65" w:rsidP="00DC6E65">
            <w:pPr>
              <w:jc w:val="both"/>
              <w:rPr>
                <w:sz w:val="20"/>
                <w:lang w:val="fr-CA"/>
              </w:rPr>
            </w:pPr>
            <w:r w:rsidRPr="005823F5">
              <w:rPr>
                <w:sz w:val="20"/>
                <w:lang w:val="fr-CA"/>
              </w:rPr>
              <w:t>(Vancouver)</w:t>
            </w:r>
          </w:p>
          <w:p w:rsidR="00DC6E65" w:rsidRPr="005823F5" w:rsidRDefault="00DC6E65" w:rsidP="00DC6E65">
            <w:pPr>
              <w:jc w:val="both"/>
              <w:rPr>
                <w:sz w:val="20"/>
                <w:lang w:val="fr-CA"/>
              </w:rPr>
            </w:pPr>
            <w:r w:rsidRPr="005823F5">
              <w:rPr>
                <w:sz w:val="20"/>
                <w:lang w:val="fr-CA"/>
              </w:rPr>
              <w:t>(</w:t>
            </w:r>
            <w:proofErr w:type="spellStart"/>
            <w:r w:rsidRPr="005823F5">
              <w:rPr>
                <w:sz w:val="20"/>
                <w:lang w:val="fr-CA"/>
              </w:rPr>
              <w:t>Tysoe</w:t>
            </w:r>
            <w:proofErr w:type="spellEnd"/>
            <w:r w:rsidRPr="005823F5">
              <w:rPr>
                <w:sz w:val="20"/>
                <w:lang w:val="fr-CA"/>
              </w:rPr>
              <w:t>, Harris, Savage JJ.A.)</w:t>
            </w:r>
          </w:p>
          <w:p w:rsidR="00DC6E65" w:rsidRPr="005823F5" w:rsidRDefault="00DC6E65" w:rsidP="00DC6E65">
            <w:pPr>
              <w:jc w:val="both"/>
              <w:rPr>
                <w:sz w:val="20"/>
              </w:rPr>
            </w:pPr>
            <w:r w:rsidRPr="005823F5">
              <w:rPr>
                <w:sz w:val="20"/>
              </w:rPr>
              <w:t>2016 BCCA 40; CA41456</w:t>
            </w:r>
          </w:p>
          <w:p w:rsidR="00DC6E65" w:rsidRPr="005823F5" w:rsidRDefault="00ED7686" w:rsidP="00DC6E65">
            <w:pPr>
              <w:jc w:val="both"/>
              <w:rPr>
                <w:sz w:val="20"/>
              </w:rPr>
            </w:pPr>
            <w:hyperlink r:id="rId12" w:history="1">
              <w:r w:rsidR="00DC6E65" w:rsidRPr="005823F5">
                <w:rPr>
                  <w:rStyle w:val="Hyperlink"/>
                  <w:sz w:val="20"/>
                </w:rPr>
                <w:t>http://canlii.ca/t/gncqk</w:t>
              </w:r>
            </w:hyperlink>
          </w:p>
          <w:p w:rsidR="00DC6E65" w:rsidRPr="005823F5" w:rsidRDefault="00DC6E65" w:rsidP="00DC6E65">
            <w:pPr>
              <w:jc w:val="both"/>
              <w:rPr>
                <w:sz w:val="20"/>
              </w:rPr>
            </w:pPr>
          </w:p>
        </w:tc>
        <w:tc>
          <w:tcPr>
            <w:tcW w:w="243" w:type="pct"/>
          </w:tcPr>
          <w:p w:rsidR="00DC6E65" w:rsidRPr="005823F5" w:rsidRDefault="00DC6E65" w:rsidP="00DC6E65">
            <w:pPr>
              <w:jc w:val="both"/>
              <w:rPr>
                <w:sz w:val="20"/>
              </w:rPr>
            </w:pPr>
          </w:p>
        </w:tc>
        <w:tc>
          <w:tcPr>
            <w:tcW w:w="2330" w:type="pct"/>
          </w:tcPr>
          <w:p w:rsidR="00DC6E65" w:rsidRPr="005823F5" w:rsidRDefault="00DC6E65" w:rsidP="00DC6E65">
            <w:pPr>
              <w:jc w:val="both"/>
              <w:rPr>
                <w:sz w:val="20"/>
              </w:rPr>
            </w:pPr>
            <w:r w:rsidRPr="005823F5">
              <w:rPr>
                <w:sz w:val="20"/>
              </w:rPr>
              <w:t>Applicant’s application to vary the order of Frankel J.A. dismissed</w:t>
            </w:r>
          </w:p>
          <w:p w:rsidR="00DC6E65" w:rsidRPr="005823F5" w:rsidRDefault="00DC6E65" w:rsidP="00DC6E65">
            <w:pPr>
              <w:jc w:val="both"/>
              <w:rPr>
                <w:sz w:val="20"/>
              </w:rPr>
            </w:pPr>
          </w:p>
        </w:tc>
      </w:tr>
      <w:tr w:rsidR="00DC6E65" w:rsidRPr="005823F5" w:rsidTr="00E95A6A">
        <w:tc>
          <w:tcPr>
            <w:tcW w:w="2427" w:type="pct"/>
            <w:gridSpan w:val="2"/>
          </w:tcPr>
          <w:p w:rsidR="00DC6E65" w:rsidRPr="005823F5" w:rsidRDefault="00DC6E65" w:rsidP="00DC6E65">
            <w:pPr>
              <w:jc w:val="both"/>
              <w:rPr>
                <w:sz w:val="20"/>
              </w:rPr>
            </w:pPr>
            <w:r w:rsidRPr="005823F5">
              <w:rPr>
                <w:sz w:val="20"/>
              </w:rPr>
              <w:t>February 9, 2016</w:t>
            </w:r>
          </w:p>
          <w:p w:rsidR="00DC6E65" w:rsidRPr="005823F5" w:rsidRDefault="00DC6E65" w:rsidP="00DC6E65">
            <w:pPr>
              <w:jc w:val="both"/>
              <w:rPr>
                <w:sz w:val="20"/>
              </w:rPr>
            </w:pPr>
            <w:r w:rsidRPr="005823F5">
              <w:rPr>
                <w:sz w:val="20"/>
              </w:rPr>
              <w:t>Supreme Court of Canada</w:t>
            </w:r>
          </w:p>
          <w:p w:rsidR="00DC6E65" w:rsidRPr="005823F5" w:rsidRDefault="00DC6E65" w:rsidP="00DC6E65">
            <w:pPr>
              <w:jc w:val="both"/>
              <w:rPr>
                <w:sz w:val="20"/>
              </w:rPr>
            </w:pPr>
          </w:p>
        </w:tc>
        <w:tc>
          <w:tcPr>
            <w:tcW w:w="243" w:type="pct"/>
          </w:tcPr>
          <w:p w:rsidR="00DC6E65" w:rsidRPr="005823F5" w:rsidRDefault="00DC6E65" w:rsidP="00DC6E65">
            <w:pPr>
              <w:jc w:val="both"/>
              <w:rPr>
                <w:sz w:val="20"/>
              </w:rPr>
            </w:pPr>
          </w:p>
        </w:tc>
        <w:tc>
          <w:tcPr>
            <w:tcW w:w="2330" w:type="pct"/>
          </w:tcPr>
          <w:p w:rsidR="00DC6E65" w:rsidRPr="005823F5" w:rsidRDefault="00DC6E65" w:rsidP="00DC6E65">
            <w:pPr>
              <w:jc w:val="both"/>
              <w:rPr>
                <w:sz w:val="20"/>
              </w:rPr>
            </w:pPr>
            <w:r w:rsidRPr="005823F5">
              <w:rPr>
                <w:sz w:val="20"/>
              </w:rPr>
              <w:t>Motion for an extension of time to serve and file the application for leave to appeal and application for leave to appeal filed</w:t>
            </w:r>
          </w:p>
          <w:p w:rsidR="00DC6E65" w:rsidRPr="005823F5" w:rsidRDefault="00DC6E65" w:rsidP="00DC6E65">
            <w:pPr>
              <w:jc w:val="both"/>
              <w:rPr>
                <w:sz w:val="20"/>
              </w:rPr>
            </w:pPr>
          </w:p>
        </w:tc>
      </w:tr>
      <w:tr w:rsidR="00DC6E65" w:rsidRPr="005823F5" w:rsidTr="00E95A6A">
        <w:tc>
          <w:tcPr>
            <w:tcW w:w="2427" w:type="pct"/>
            <w:gridSpan w:val="2"/>
          </w:tcPr>
          <w:p w:rsidR="00DC6E65" w:rsidRPr="005823F5" w:rsidRDefault="00DC6E65" w:rsidP="00DC6E65">
            <w:pPr>
              <w:jc w:val="both"/>
              <w:rPr>
                <w:sz w:val="20"/>
              </w:rPr>
            </w:pPr>
            <w:r w:rsidRPr="005823F5">
              <w:rPr>
                <w:sz w:val="20"/>
              </w:rPr>
              <w:t>July 11, 2016</w:t>
            </w:r>
          </w:p>
          <w:p w:rsidR="00DC6E65" w:rsidRPr="005823F5" w:rsidRDefault="00DC6E65" w:rsidP="00DC6E65">
            <w:pPr>
              <w:jc w:val="both"/>
              <w:rPr>
                <w:sz w:val="20"/>
              </w:rPr>
            </w:pPr>
            <w:r w:rsidRPr="005823F5">
              <w:rPr>
                <w:sz w:val="20"/>
              </w:rPr>
              <w:t xml:space="preserve">Supreme Court of Canada </w:t>
            </w:r>
          </w:p>
        </w:tc>
        <w:tc>
          <w:tcPr>
            <w:tcW w:w="243" w:type="pct"/>
          </w:tcPr>
          <w:p w:rsidR="00DC6E65" w:rsidRPr="005823F5" w:rsidRDefault="00DC6E65" w:rsidP="00DC6E65">
            <w:pPr>
              <w:jc w:val="both"/>
              <w:rPr>
                <w:sz w:val="20"/>
              </w:rPr>
            </w:pPr>
          </w:p>
        </w:tc>
        <w:tc>
          <w:tcPr>
            <w:tcW w:w="2330" w:type="pct"/>
          </w:tcPr>
          <w:p w:rsidR="00DC6E65" w:rsidRPr="005823F5" w:rsidRDefault="00DC6E65" w:rsidP="00DC6E65">
            <w:pPr>
              <w:jc w:val="both"/>
              <w:rPr>
                <w:sz w:val="20"/>
              </w:rPr>
            </w:pPr>
            <w:r w:rsidRPr="005823F5">
              <w:rPr>
                <w:sz w:val="20"/>
              </w:rPr>
              <w:t>Motion to appoint counsel filed</w:t>
            </w:r>
          </w:p>
        </w:tc>
      </w:tr>
    </w:tbl>
    <w:p w:rsidR="00DC6E65" w:rsidRPr="005823F5" w:rsidRDefault="00DC6E65" w:rsidP="00DC6E65">
      <w:pPr>
        <w:jc w:val="both"/>
        <w:rPr>
          <w:sz w:val="20"/>
        </w:rPr>
      </w:pPr>
    </w:p>
    <w:p w:rsidR="00DC6E65" w:rsidRPr="005823F5" w:rsidRDefault="00DC6E65" w:rsidP="00DC6E6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C6E65" w:rsidRPr="00ED7686" w:rsidTr="00E95A6A">
        <w:tc>
          <w:tcPr>
            <w:tcW w:w="543" w:type="pct"/>
          </w:tcPr>
          <w:p w:rsidR="00DC6E65" w:rsidRPr="005823F5" w:rsidRDefault="00DC6E65" w:rsidP="00DC6E65">
            <w:pPr>
              <w:jc w:val="both"/>
              <w:rPr>
                <w:sz w:val="20"/>
              </w:rPr>
            </w:pPr>
            <w:r w:rsidRPr="005823F5">
              <w:rPr>
                <w:rStyle w:val="SCCFileNumberChar"/>
                <w:sz w:val="20"/>
                <w:szCs w:val="20"/>
              </w:rPr>
              <w:t>37147</w:t>
            </w:r>
          </w:p>
        </w:tc>
        <w:tc>
          <w:tcPr>
            <w:tcW w:w="4457" w:type="pct"/>
            <w:gridSpan w:val="3"/>
          </w:tcPr>
          <w:p w:rsidR="00DC6E65" w:rsidRPr="005823F5" w:rsidRDefault="00DC6E65" w:rsidP="00DC6E65">
            <w:pPr>
              <w:pStyle w:val="SCCLsocParty"/>
              <w:jc w:val="both"/>
              <w:rPr>
                <w:b/>
                <w:sz w:val="20"/>
                <w:szCs w:val="20"/>
              </w:rPr>
            </w:pPr>
            <w:r w:rsidRPr="005823F5">
              <w:rPr>
                <w:b/>
                <w:sz w:val="20"/>
                <w:szCs w:val="20"/>
              </w:rPr>
              <w:t>Orville John Gustavson c. Directeur de l’Établissement de Mission</w:t>
            </w:r>
          </w:p>
          <w:p w:rsidR="00DC6E65" w:rsidRPr="005823F5" w:rsidRDefault="00DC6E65" w:rsidP="00DC6E65">
            <w:pPr>
              <w:jc w:val="both"/>
              <w:rPr>
                <w:sz w:val="20"/>
                <w:lang w:val="fr-CA"/>
              </w:rPr>
            </w:pPr>
            <w:r w:rsidRPr="005823F5">
              <w:rPr>
                <w:sz w:val="20"/>
                <w:lang w:val="fr-CA"/>
              </w:rPr>
              <w:t>(C.-B.) (Criminelle) (Sur autorisation)</w:t>
            </w:r>
          </w:p>
        </w:tc>
      </w:tr>
      <w:tr w:rsidR="00DC6E65" w:rsidRPr="00ED7686" w:rsidTr="00E95A6A">
        <w:tc>
          <w:tcPr>
            <w:tcW w:w="5000" w:type="pct"/>
            <w:gridSpan w:val="4"/>
          </w:tcPr>
          <w:p w:rsidR="00DC6E65" w:rsidRPr="005823F5" w:rsidRDefault="00DC6E65" w:rsidP="00DC6E65">
            <w:pPr>
              <w:jc w:val="both"/>
              <w:rPr>
                <w:sz w:val="20"/>
                <w:lang w:val="fr-CA"/>
              </w:rPr>
            </w:pPr>
            <w:r w:rsidRPr="005823F5">
              <w:rPr>
                <w:sz w:val="20"/>
                <w:lang w:val="fr-CA"/>
              </w:rPr>
              <w:t xml:space="preserve">Droit criminel </w:t>
            </w:r>
            <w:r w:rsidRPr="005823F5">
              <w:rPr>
                <w:i/>
                <w:sz w:val="20"/>
                <w:lang w:val="fr-CA"/>
              </w:rPr>
              <w:t>–</w:t>
            </w:r>
            <w:r w:rsidRPr="005823F5">
              <w:rPr>
                <w:sz w:val="20"/>
                <w:lang w:val="fr-CA"/>
              </w:rPr>
              <w:t xml:space="preserve"> Appel – Demandeur condamné à une peine d’emprisonnement pour une durée indéterminée – La détention continue du demandeur est-elle illégale? – Demande d’</w:t>
            </w:r>
            <w:r w:rsidRPr="005823F5">
              <w:rPr>
                <w:i/>
                <w:sz w:val="20"/>
                <w:lang w:val="fr-CA"/>
              </w:rPr>
              <w:t>habeas corpus</w:t>
            </w:r>
            <w:r w:rsidRPr="005823F5">
              <w:rPr>
                <w:sz w:val="20"/>
                <w:lang w:val="fr-CA"/>
              </w:rPr>
              <w:t xml:space="preserve"> du demandeur rejetée – Rejet de la demande présentée par le demandeur pour obtenir l’autorisation de se pourvoir en appel à la Cour d’appel – Les juridictions inférieures ont-elles fait erreur? </w:t>
            </w:r>
          </w:p>
        </w:tc>
      </w:tr>
      <w:tr w:rsidR="00DC6E65" w:rsidRPr="00ED7686" w:rsidTr="00E95A6A">
        <w:tc>
          <w:tcPr>
            <w:tcW w:w="5000" w:type="pct"/>
            <w:gridSpan w:val="4"/>
          </w:tcPr>
          <w:p w:rsidR="00DC6E65" w:rsidRPr="005823F5" w:rsidRDefault="00DC6E65" w:rsidP="00DC6E65">
            <w:pPr>
              <w:jc w:val="both"/>
              <w:rPr>
                <w:sz w:val="20"/>
                <w:lang w:val="fr-CA"/>
              </w:rPr>
            </w:pPr>
          </w:p>
        </w:tc>
      </w:tr>
      <w:tr w:rsidR="00DC6E65" w:rsidRPr="00ED7686" w:rsidTr="00E95A6A">
        <w:tc>
          <w:tcPr>
            <w:tcW w:w="5000" w:type="pct"/>
            <w:gridSpan w:val="4"/>
          </w:tcPr>
          <w:p w:rsidR="00DC6E65" w:rsidRPr="005823F5" w:rsidRDefault="00DC6E65" w:rsidP="00DC6E65">
            <w:pPr>
              <w:jc w:val="both"/>
              <w:rPr>
                <w:sz w:val="20"/>
                <w:lang w:val="fr-CA"/>
              </w:rPr>
            </w:pPr>
            <w:r w:rsidRPr="005823F5">
              <w:rPr>
                <w:sz w:val="20"/>
                <w:lang w:val="fr-CA"/>
              </w:rPr>
              <w:t>Le demandeur est toujours incarcéré à l’Établissement de Mission, un pénitencier fédéral situé en Colombie-Britannique, conformément à un mandat daté du 11 janvier 1983 par lequel on lui a infligé une peine d’emprisonnement pour une durée indéterminée après avoir conclu qu’il était un délinquant dangereux. La demande d’</w:t>
            </w:r>
            <w:r w:rsidRPr="005823F5">
              <w:rPr>
                <w:i/>
                <w:sz w:val="20"/>
                <w:lang w:val="fr-CA"/>
              </w:rPr>
              <w:t>habeas corpus</w:t>
            </w:r>
            <w:r w:rsidRPr="005823F5">
              <w:rPr>
                <w:sz w:val="20"/>
                <w:lang w:val="fr-CA"/>
              </w:rPr>
              <w:t xml:space="preserve"> du demandeur a été rejetée par la Cour suprême de la Colombie-Britannique. Sa demande d’autorisation d’appel a été rejetée par un juge seul de la Cour d’appel de la Colombie-Britannique. Une formation de trois juges de la Cour d’appel a rejeté la demande présentée par le demandeur pour faire modifier l’ordonnance du juge.</w:t>
            </w:r>
          </w:p>
          <w:p w:rsidR="00DC6E65" w:rsidRPr="005823F5" w:rsidRDefault="00DC6E65" w:rsidP="00DC6E65">
            <w:pPr>
              <w:jc w:val="both"/>
              <w:rPr>
                <w:sz w:val="20"/>
                <w:lang w:val="fr-CA"/>
              </w:rPr>
            </w:pPr>
          </w:p>
        </w:tc>
      </w:tr>
      <w:tr w:rsidR="00DC6E65" w:rsidRPr="00ED7686" w:rsidTr="00E95A6A">
        <w:tc>
          <w:tcPr>
            <w:tcW w:w="2427" w:type="pct"/>
            <w:gridSpan w:val="2"/>
          </w:tcPr>
          <w:p w:rsidR="00DC6E65" w:rsidRPr="005823F5" w:rsidRDefault="00DC6E65" w:rsidP="00DC6E65">
            <w:pPr>
              <w:jc w:val="both"/>
              <w:rPr>
                <w:sz w:val="20"/>
                <w:lang w:val="fr-CA"/>
              </w:rPr>
            </w:pPr>
            <w:r w:rsidRPr="005823F5">
              <w:rPr>
                <w:sz w:val="20"/>
                <w:lang w:val="fr-CA"/>
              </w:rPr>
              <w:t>18 novembre 2013</w:t>
            </w:r>
          </w:p>
          <w:p w:rsidR="00DC6E65" w:rsidRPr="005823F5" w:rsidRDefault="00DC6E65" w:rsidP="00DC6E65">
            <w:pPr>
              <w:jc w:val="both"/>
              <w:rPr>
                <w:sz w:val="20"/>
                <w:lang w:val="fr-CA"/>
              </w:rPr>
            </w:pPr>
            <w:r w:rsidRPr="005823F5">
              <w:rPr>
                <w:sz w:val="20"/>
                <w:lang w:val="fr-CA"/>
              </w:rPr>
              <w:t>Cour suprême de la Colombie-Britannique</w:t>
            </w:r>
          </w:p>
          <w:p w:rsidR="00DC6E65" w:rsidRPr="005823F5" w:rsidRDefault="00DC6E65" w:rsidP="00DC6E65">
            <w:pPr>
              <w:jc w:val="both"/>
              <w:rPr>
                <w:sz w:val="20"/>
              </w:rPr>
            </w:pPr>
            <w:r w:rsidRPr="005823F5">
              <w:rPr>
                <w:sz w:val="20"/>
              </w:rPr>
              <w:t>(Juge Romilly)</w:t>
            </w:r>
          </w:p>
          <w:p w:rsidR="00DC6E65" w:rsidRPr="005823F5" w:rsidRDefault="00DC6E65" w:rsidP="00DC6E65">
            <w:pPr>
              <w:jc w:val="both"/>
              <w:rPr>
                <w:sz w:val="20"/>
              </w:rPr>
            </w:pPr>
          </w:p>
        </w:tc>
        <w:tc>
          <w:tcPr>
            <w:tcW w:w="243" w:type="pct"/>
          </w:tcPr>
          <w:p w:rsidR="00DC6E65" w:rsidRPr="005823F5" w:rsidRDefault="00DC6E65" w:rsidP="00DC6E65">
            <w:pPr>
              <w:jc w:val="both"/>
              <w:rPr>
                <w:sz w:val="20"/>
              </w:rPr>
            </w:pPr>
          </w:p>
        </w:tc>
        <w:tc>
          <w:tcPr>
            <w:tcW w:w="2330" w:type="pct"/>
          </w:tcPr>
          <w:p w:rsidR="00DC6E65" w:rsidRPr="005823F5" w:rsidRDefault="00DC6E65" w:rsidP="00DC6E65">
            <w:pPr>
              <w:jc w:val="both"/>
              <w:rPr>
                <w:sz w:val="20"/>
                <w:lang w:val="fr-CA"/>
              </w:rPr>
            </w:pPr>
            <w:r w:rsidRPr="005823F5">
              <w:rPr>
                <w:sz w:val="20"/>
                <w:lang w:val="fr-CA"/>
              </w:rPr>
              <w:t>Rejet de la demande d’</w:t>
            </w:r>
            <w:r w:rsidRPr="005823F5">
              <w:rPr>
                <w:i/>
                <w:sz w:val="20"/>
                <w:lang w:val="fr-CA"/>
              </w:rPr>
              <w:t>habeas corpus</w:t>
            </w:r>
            <w:r w:rsidRPr="005823F5">
              <w:rPr>
                <w:sz w:val="20"/>
                <w:lang w:val="fr-CA"/>
              </w:rPr>
              <w:t xml:space="preserve"> présentée par le demandeur</w:t>
            </w:r>
          </w:p>
          <w:p w:rsidR="00DC6E65" w:rsidRPr="005823F5" w:rsidRDefault="00DC6E65" w:rsidP="00DC6E65">
            <w:pPr>
              <w:jc w:val="both"/>
              <w:rPr>
                <w:sz w:val="20"/>
                <w:lang w:val="fr-CA"/>
              </w:rPr>
            </w:pPr>
          </w:p>
        </w:tc>
      </w:tr>
      <w:tr w:rsidR="00DC6E65" w:rsidRPr="00ED7686" w:rsidTr="00E95A6A">
        <w:tc>
          <w:tcPr>
            <w:tcW w:w="2427" w:type="pct"/>
            <w:gridSpan w:val="2"/>
          </w:tcPr>
          <w:p w:rsidR="00DC6E65" w:rsidRPr="005823F5" w:rsidRDefault="00DC6E65" w:rsidP="00DC6E65">
            <w:pPr>
              <w:jc w:val="both"/>
              <w:rPr>
                <w:sz w:val="20"/>
                <w:lang w:val="fr-CA"/>
              </w:rPr>
            </w:pPr>
            <w:r w:rsidRPr="005823F5">
              <w:rPr>
                <w:sz w:val="20"/>
                <w:lang w:val="fr-CA"/>
              </w:rPr>
              <w:t>30 juillet 2015</w:t>
            </w:r>
          </w:p>
          <w:p w:rsidR="00DC6E65" w:rsidRPr="005823F5" w:rsidRDefault="00DC6E65" w:rsidP="00DC6E65">
            <w:pPr>
              <w:jc w:val="both"/>
              <w:rPr>
                <w:sz w:val="20"/>
                <w:lang w:val="fr-CA"/>
              </w:rPr>
            </w:pPr>
            <w:r w:rsidRPr="005823F5">
              <w:rPr>
                <w:sz w:val="20"/>
                <w:lang w:val="fr-CA"/>
              </w:rPr>
              <w:t xml:space="preserve">Cour d’appel de la Colombie-Britannique  </w:t>
            </w:r>
          </w:p>
          <w:p w:rsidR="00DC6E65" w:rsidRPr="005823F5" w:rsidRDefault="00DC6E65" w:rsidP="00DC6E65">
            <w:pPr>
              <w:jc w:val="both"/>
              <w:rPr>
                <w:sz w:val="20"/>
              </w:rPr>
            </w:pPr>
            <w:r w:rsidRPr="005823F5">
              <w:rPr>
                <w:sz w:val="20"/>
              </w:rPr>
              <w:t>(Vancouver)</w:t>
            </w:r>
          </w:p>
          <w:p w:rsidR="00DC6E65" w:rsidRPr="005823F5" w:rsidRDefault="00DC6E65" w:rsidP="00DC6E65">
            <w:pPr>
              <w:jc w:val="both"/>
              <w:rPr>
                <w:sz w:val="20"/>
              </w:rPr>
            </w:pPr>
            <w:r w:rsidRPr="005823F5">
              <w:rPr>
                <w:sz w:val="20"/>
              </w:rPr>
              <w:t>(Juge Frankel)</w:t>
            </w:r>
          </w:p>
          <w:p w:rsidR="00DC6E65" w:rsidRPr="005823F5" w:rsidRDefault="00DC6E65" w:rsidP="00DC6E65">
            <w:pPr>
              <w:jc w:val="both"/>
              <w:rPr>
                <w:sz w:val="20"/>
              </w:rPr>
            </w:pPr>
          </w:p>
        </w:tc>
        <w:tc>
          <w:tcPr>
            <w:tcW w:w="243" w:type="pct"/>
          </w:tcPr>
          <w:p w:rsidR="00DC6E65" w:rsidRPr="005823F5" w:rsidRDefault="00DC6E65" w:rsidP="00DC6E65">
            <w:pPr>
              <w:jc w:val="both"/>
              <w:rPr>
                <w:sz w:val="20"/>
              </w:rPr>
            </w:pPr>
          </w:p>
        </w:tc>
        <w:tc>
          <w:tcPr>
            <w:tcW w:w="2330" w:type="pct"/>
          </w:tcPr>
          <w:p w:rsidR="00DC6E65" w:rsidRPr="005823F5" w:rsidRDefault="00DC6E65" w:rsidP="00DC6E65">
            <w:pPr>
              <w:jc w:val="both"/>
              <w:rPr>
                <w:sz w:val="20"/>
                <w:lang w:val="fr-CA"/>
              </w:rPr>
            </w:pPr>
            <w:r w:rsidRPr="005823F5">
              <w:rPr>
                <w:sz w:val="20"/>
                <w:lang w:val="fr-CA"/>
              </w:rPr>
              <w:t>Rejet de la demande d’autorisation d’appel présentée par le demandeur</w:t>
            </w:r>
          </w:p>
          <w:p w:rsidR="00DC6E65" w:rsidRPr="005823F5" w:rsidRDefault="00DC6E65" w:rsidP="00DC6E65">
            <w:pPr>
              <w:jc w:val="both"/>
              <w:rPr>
                <w:sz w:val="20"/>
                <w:lang w:val="fr-CA"/>
              </w:rPr>
            </w:pPr>
          </w:p>
        </w:tc>
      </w:tr>
      <w:tr w:rsidR="00DC6E65" w:rsidRPr="00ED7686" w:rsidTr="00E95A6A">
        <w:tc>
          <w:tcPr>
            <w:tcW w:w="2427" w:type="pct"/>
            <w:gridSpan w:val="2"/>
          </w:tcPr>
          <w:p w:rsidR="00DC6E65" w:rsidRPr="005823F5" w:rsidRDefault="00DC6E65" w:rsidP="00DC6E65">
            <w:pPr>
              <w:jc w:val="both"/>
              <w:rPr>
                <w:sz w:val="20"/>
                <w:lang w:val="fr-CA"/>
              </w:rPr>
            </w:pPr>
            <w:r w:rsidRPr="005823F5">
              <w:rPr>
                <w:sz w:val="20"/>
                <w:lang w:val="fr-CA"/>
              </w:rPr>
              <w:t>19 janvier 2016</w:t>
            </w:r>
          </w:p>
          <w:p w:rsidR="00DC6E65" w:rsidRPr="005823F5" w:rsidRDefault="00DC6E65" w:rsidP="00DC6E65">
            <w:pPr>
              <w:jc w:val="both"/>
              <w:rPr>
                <w:sz w:val="20"/>
                <w:lang w:val="fr-CA"/>
              </w:rPr>
            </w:pPr>
            <w:r w:rsidRPr="005823F5">
              <w:rPr>
                <w:sz w:val="20"/>
                <w:lang w:val="fr-CA"/>
              </w:rPr>
              <w:t xml:space="preserve">Cour d’appel de la Colombie-Britannique  </w:t>
            </w:r>
          </w:p>
          <w:p w:rsidR="00DC6E65" w:rsidRPr="005823F5" w:rsidRDefault="00DC6E65" w:rsidP="00DC6E65">
            <w:pPr>
              <w:jc w:val="both"/>
              <w:rPr>
                <w:sz w:val="20"/>
                <w:lang w:val="fr-CA"/>
              </w:rPr>
            </w:pPr>
            <w:r w:rsidRPr="005823F5">
              <w:rPr>
                <w:sz w:val="20"/>
                <w:lang w:val="fr-CA"/>
              </w:rPr>
              <w:t>(Vancouver)</w:t>
            </w:r>
          </w:p>
          <w:p w:rsidR="00DC6E65" w:rsidRPr="005823F5" w:rsidRDefault="00DC6E65" w:rsidP="00DC6E65">
            <w:pPr>
              <w:jc w:val="both"/>
              <w:rPr>
                <w:sz w:val="20"/>
                <w:lang w:val="fr-CA"/>
              </w:rPr>
            </w:pPr>
            <w:r w:rsidRPr="005823F5">
              <w:rPr>
                <w:sz w:val="20"/>
                <w:lang w:val="fr-CA"/>
              </w:rPr>
              <w:t>(Juges Tysoe, Harris et Savage)</w:t>
            </w:r>
          </w:p>
          <w:p w:rsidR="00DC6E65" w:rsidRPr="005823F5" w:rsidRDefault="00DC6E65" w:rsidP="00DC6E65">
            <w:pPr>
              <w:jc w:val="both"/>
              <w:rPr>
                <w:sz w:val="20"/>
              </w:rPr>
            </w:pPr>
            <w:r w:rsidRPr="005823F5">
              <w:rPr>
                <w:sz w:val="20"/>
              </w:rPr>
              <w:lastRenderedPageBreak/>
              <w:t>2016 BCCA 40; CA41456</w:t>
            </w:r>
          </w:p>
          <w:p w:rsidR="00DC6E65" w:rsidRPr="005823F5" w:rsidRDefault="00ED7686" w:rsidP="00DC6E65">
            <w:pPr>
              <w:jc w:val="both"/>
              <w:rPr>
                <w:sz w:val="20"/>
              </w:rPr>
            </w:pPr>
            <w:hyperlink r:id="rId13" w:history="1">
              <w:r w:rsidR="00DC6E65" w:rsidRPr="005823F5">
                <w:rPr>
                  <w:rStyle w:val="Hyperlink"/>
                  <w:sz w:val="20"/>
                </w:rPr>
                <w:t>http://canlii.ca/t/gncqk</w:t>
              </w:r>
            </w:hyperlink>
          </w:p>
          <w:p w:rsidR="00DC6E65" w:rsidRPr="005823F5" w:rsidRDefault="00DC6E65" w:rsidP="00DC6E65">
            <w:pPr>
              <w:jc w:val="both"/>
              <w:rPr>
                <w:sz w:val="20"/>
              </w:rPr>
            </w:pPr>
          </w:p>
        </w:tc>
        <w:tc>
          <w:tcPr>
            <w:tcW w:w="243" w:type="pct"/>
          </w:tcPr>
          <w:p w:rsidR="00DC6E65" w:rsidRPr="005823F5" w:rsidRDefault="00DC6E65" w:rsidP="00DC6E65">
            <w:pPr>
              <w:jc w:val="both"/>
              <w:rPr>
                <w:sz w:val="20"/>
              </w:rPr>
            </w:pPr>
          </w:p>
        </w:tc>
        <w:tc>
          <w:tcPr>
            <w:tcW w:w="2330" w:type="pct"/>
          </w:tcPr>
          <w:p w:rsidR="00DC6E65" w:rsidRPr="005823F5" w:rsidRDefault="00DC6E65" w:rsidP="00DC6E65">
            <w:pPr>
              <w:jc w:val="both"/>
              <w:rPr>
                <w:sz w:val="20"/>
                <w:lang w:val="fr-CA"/>
              </w:rPr>
            </w:pPr>
            <w:r w:rsidRPr="005823F5">
              <w:rPr>
                <w:sz w:val="20"/>
                <w:lang w:val="fr-CA"/>
              </w:rPr>
              <w:t>Rejet de la demande présentée par le demandeur en vue de faire modifier l’ordonnance du juge Frankel</w:t>
            </w:r>
          </w:p>
          <w:p w:rsidR="00DC6E65" w:rsidRPr="005823F5" w:rsidRDefault="00DC6E65" w:rsidP="00DC6E65">
            <w:pPr>
              <w:jc w:val="both"/>
              <w:rPr>
                <w:sz w:val="20"/>
                <w:lang w:val="fr-CA"/>
              </w:rPr>
            </w:pPr>
          </w:p>
        </w:tc>
      </w:tr>
      <w:tr w:rsidR="00DC6E65" w:rsidRPr="00ED7686" w:rsidTr="00E95A6A">
        <w:tc>
          <w:tcPr>
            <w:tcW w:w="2427" w:type="pct"/>
            <w:gridSpan w:val="2"/>
          </w:tcPr>
          <w:p w:rsidR="00DC6E65" w:rsidRPr="005823F5" w:rsidRDefault="00DC6E65" w:rsidP="00DC6E65">
            <w:pPr>
              <w:jc w:val="both"/>
              <w:rPr>
                <w:sz w:val="20"/>
              </w:rPr>
            </w:pPr>
            <w:r w:rsidRPr="005823F5">
              <w:rPr>
                <w:sz w:val="20"/>
              </w:rPr>
              <w:t xml:space="preserve">9 </w:t>
            </w:r>
            <w:proofErr w:type="spellStart"/>
            <w:r w:rsidRPr="005823F5">
              <w:rPr>
                <w:sz w:val="20"/>
              </w:rPr>
              <w:t>février</w:t>
            </w:r>
            <w:proofErr w:type="spellEnd"/>
            <w:r w:rsidRPr="005823F5">
              <w:rPr>
                <w:sz w:val="20"/>
              </w:rPr>
              <w:t xml:space="preserve"> 2016</w:t>
            </w:r>
          </w:p>
          <w:p w:rsidR="00DC6E65" w:rsidRPr="005823F5" w:rsidRDefault="00DC6E65" w:rsidP="00DC6E65">
            <w:pPr>
              <w:jc w:val="both"/>
              <w:rPr>
                <w:sz w:val="20"/>
              </w:rPr>
            </w:pPr>
            <w:proofErr w:type="spellStart"/>
            <w:r w:rsidRPr="005823F5">
              <w:rPr>
                <w:sz w:val="20"/>
              </w:rPr>
              <w:t>Cour</w:t>
            </w:r>
            <w:proofErr w:type="spellEnd"/>
            <w:r w:rsidRPr="005823F5">
              <w:rPr>
                <w:sz w:val="20"/>
              </w:rPr>
              <w:t xml:space="preserve"> </w:t>
            </w:r>
            <w:proofErr w:type="spellStart"/>
            <w:r w:rsidRPr="005823F5">
              <w:rPr>
                <w:sz w:val="20"/>
              </w:rPr>
              <w:t>suprême</w:t>
            </w:r>
            <w:proofErr w:type="spellEnd"/>
            <w:r w:rsidRPr="005823F5">
              <w:rPr>
                <w:sz w:val="20"/>
              </w:rPr>
              <w:t xml:space="preserve"> du Canada</w:t>
            </w:r>
          </w:p>
          <w:p w:rsidR="00DC6E65" w:rsidRPr="005823F5" w:rsidRDefault="00DC6E65" w:rsidP="00DC6E65">
            <w:pPr>
              <w:jc w:val="both"/>
              <w:rPr>
                <w:sz w:val="20"/>
              </w:rPr>
            </w:pPr>
          </w:p>
        </w:tc>
        <w:tc>
          <w:tcPr>
            <w:tcW w:w="243" w:type="pct"/>
          </w:tcPr>
          <w:p w:rsidR="00DC6E65" w:rsidRPr="005823F5" w:rsidRDefault="00DC6E65" w:rsidP="00DC6E65">
            <w:pPr>
              <w:jc w:val="both"/>
              <w:rPr>
                <w:sz w:val="20"/>
              </w:rPr>
            </w:pPr>
          </w:p>
        </w:tc>
        <w:tc>
          <w:tcPr>
            <w:tcW w:w="2330" w:type="pct"/>
          </w:tcPr>
          <w:p w:rsidR="00DC6E65" w:rsidRPr="005823F5" w:rsidRDefault="00DC6E65" w:rsidP="00DC6E65">
            <w:pPr>
              <w:jc w:val="both"/>
              <w:rPr>
                <w:sz w:val="20"/>
                <w:lang w:val="fr-CA"/>
              </w:rPr>
            </w:pPr>
            <w:r w:rsidRPr="005823F5">
              <w:rPr>
                <w:sz w:val="20"/>
                <w:lang w:val="fr-CA"/>
              </w:rPr>
              <w:t xml:space="preserve">Dépôt de la requête en prorogation du délai pour signifier et déposer la demande d’autorisation d’appel ainsi que de la demande d’autorisation d’appel </w:t>
            </w:r>
          </w:p>
          <w:p w:rsidR="00DC6E65" w:rsidRPr="005823F5" w:rsidRDefault="00DC6E65" w:rsidP="00DC6E65">
            <w:pPr>
              <w:jc w:val="both"/>
              <w:rPr>
                <w:sz w:val="20"/>
                <w:lang w:val="fr-CA"/>
              </w:rPr>
            </w:pPr>
          </w:p>
        </w:tc>
      </w:tr>
      <w:tr w:rsidR="00DC6E65" w:rsidRPr="00ED7686" w:rsidTr="00E95A6A">
        <w:tc>
          <w:tcPr>
            <w:tcW w:w="2427" w:type="pct"/>
            <w:gridSpan w:val="2"/>
          </w:tcPr>
          <w:p w:rsidR="00DC6E65" w:rsidRPr="005823F5" w:rsidRDefault="00DC6E65" w:rsidP="00DC6E65">
            <w:pPr>
              <w:jc w:val="both"/>
              <w:rPr>
                <w:sz w:val="20"/>
                <w:lang w:val="fr-CA"/>
              </w:rPr>
            </w:pPr>
            <w:r w:rsidRPr="005823F5">
              <w:rPr>
                <w:sz w:val="20"/>
                <w:lang w:val="fr-CA"/>
              </w:rPr>
              <w:t>11 juillet 2016</w:t>
            </w:r>
          </w:p>
          <w:p w:rsidR="00DC6E65" w:rsidRPr="005823F5" w:rsidRDefault="00DC6E65" w:rsidP="00DC6E65">
            <w:pPr>
              <w:jc w:val="both"/>
              <w:rPr>
                <w:sz w:val="20"/>
                <w:lang w:val="fr-CA"/>
              </w:rPr>
            </w:pPr>
            <w:r w:rsidRPr="005823F5">
              <w:rPr>
                <w:sz w:val="20"/>
                <w:lang w:val="fr-CA"/>
              </w:rPr>
              <w:t xml:space="preserve">Cour suprême du Canada  </w:t>
            </w:r>
          </w:p>
        </w:tc>
        <w:tc>
          <w:tcPr>
            <w:tcW w:w="243" w:type="pct"/>
          </w:tcPr>
          <w:p w:rsidR="00DC6E65" w:rsidRPr="005823F5" w:rsidRDefault="00DC6E65" w:rsidP="00DC6E65">
            <w:pPr>
              <w:jc w:val="both"/>
              <w:rPr>
                <w:sz w:val="20"/>
                <w:lang w:val="fr-CA"/>
              </w:rPr>
            </w:pPr>
          </w:p>
        </w:tc>
        <w:tc>
          <w:tcPr>
            <w:tcW w:w="2330" w:type="pct"/>
          </w:tcPr>
          <w:p w:rsidR="00DC6E65" w:rsidRPr="005823F5" w:rsidRDefault="00DC6E65" w:rsidP="00DC6E65">
            <w:pPr>
              <w:jc w:val="both"/>
              <w:rPr>
                <w:sz w:val="20"/>
                <w:lang w:val="fr-CA"/>
              </w:rPr>
            </w:pPr>
            <w:r w:rsidRPr="005823F5">
              <w:rPr>
                <w:sz w:val="20"/>
                <w:lang w:val="fr-CA"/>
              </w:rPr>
              <w:t>Dépôt de la requête en nomination d’un procureur</w:t>
            </w:r>
          </w:p>
        </w:tc>
      </w:tr>
    </w:tbl>
    <w:p w:rsidR="00DC6E65" w:rsidRPr="005823F5" w:rsidRDefault="00DC6E65" w:rsidP="00E36085">
      <w:pPr>
        <w:jc w:val="both"/>
        <w:rPr>
          <w:sz w:val="20"/>
          <w:lang w:val="fr-CA"/>
        </w:rPr>
      </w:pPr>
    </w:p>
    <w:p w:rsidR="00E76DD0" w:rsidRPr="00ED7686" w:rsidRDefault="00E76DD0" w:rsidP="00E36085">
      <w:pPr>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36085" w:rsidRPr="005823F5" w:rsidTr="00E95A6A">
        <w:tc>
          <w:tcPr>
            <w:tcW w:w="543" w:type="pct"/>
          </w:tcPr>
          <w:p w:rsidR="00E36085" w:rsidRPr="005823F5" w:rsidRDefault="00E36085" w:rsidP="00E36085">
            <w:pPr>
              <w:jc w:val="both"/>
              <w:rPr>
                <w:sz w:val="20"/>
                <w:lang w:val="en-CA"/>
              </w:rPr>
            </w:pPr>
            <w:r w:rsidRPr="005823F5">
              <w:rPr>
                <w:rStyle w:val="SCCFileNumberChar"/>
                <w:sz w:val="20"/>
                <w:szCs w:val="20"/>
              </w:rPr>
              <w:t>37073</w:t>
            </w:r>
          </w:p>
        </w:tc>
        <w:tc>
          <w:tcPr>
            <w:tcW w:w="4457" w:type="pct"/>
            <w:gridSpan w:val="3"/>
          </w:tcPr>
          <w:p w:rsidR="00E36085" w:rsidRPr="005823F5" w:rsidRDefault="00E36085" w:rsidP="00E36085">
            <w:pPr>
              <w:pStyle w:val="SCCLsocParty"/>
              <w:jc w:val="both"/>
              <w:rPr>
                <w:b/>
                <w:sz w:val="20"/>
                <w:szCs w:val="20"/>
                <w:lang w:val="en-CA"/>
              </w:rPr>
            </w:pPr>
            <w:r w:rsidRPr="005823F5">
              <w:rPr>
                <w:b/>
                <w:sz w:val="20"/>
                <w:szCs w:val="20"/>
                <w:lang w:val="en-CA"/>
              </w:rPr>
              <w:t>Benoit Beauchamp</w:t>
            </w:r>
            <w:r w:rsidR="00EB4C7A" w:rsidRPr="005823F5">
              <w:rPr>
                <w:b/>
                <w:sz w:val="20"/>
                <w:szCs w:val="20"/>
                <w:lang w:val="en-CA"/>
              </w:rPr>
              <w:t xml:space="preserve"> and</w:t>
            </w:r>
            <w:r w:rsidRPr="005823F5">
              <w:rPr>
                <w:b/>
                <w:sz w:val="20"/>
                <w:szCs w:val="20"/>
                <w:lang w:val="en-CA"/>
              </w:rPr>
              <w:t xml:space="preserve"> </w:t>
            </w:r>
            <w:proofErr w:type="spellStart"/>
            <w:r w:rsidRPr="005823F5">
              <w:rPr>
                <w:b/>
                <w:sz w:val="20"/>
                <w:szCs w:val="20"/>
                <w:lang w:val="en-CA"/>
              </w:rPr>
              <w:t>Anick</w:t>
            </w:r>
            <w:proofErr w:type="spellEnd"/>
            <w:r w:rsidRPr="005823F5">
              <w:rPr>
                <w:b/>
                <w:sz w:val="20"/>
                <w:szCs w:val="20"/>
                <w:lang w:val="en-CA"/>
              </w:rPr>
              <w:t xml:space="preserve"> </w:t>
            </w:r>
            <w:proofErr w:type="spellStart"/>
            <w:r w:rsidRPr="005823F5">
              <w:rPr>
                <w:b/>
                <w:sz w:val="20"/>
                <w:szCs w:val="20"/>
                <w:lang w:val="en-CA"/>
              </w:rPr>
              <w:t>Plouffe</w:t>
            </w:r>
            <w:proofErr w:type="spellEnd"/>
            <w:r w:rsidRPr="005823F5">
              <w:rPr>
                <w:b/>
                <w:sz w:val="20"/>
                <w:szCs w:val="20"/>
                <w:lang w:val="en-CA"/>
              </w:rPr>
              <w:t xml:space="preserve"> v. </w:t>
            </w:r>
            <w:proofErr w:type="spellStart"/>
            <w:r w:rsidRPr="005823F5">
              <w:rPr>
                <w:b/>
                <w:sz w:val="20"/>
                <w:szCs w:val="20"/>
                <w:lang w:val="en-CA"/>
              </w:rPr>
              <w:t>Balayage</w:t>
            </w:r>
            <w:proofErr w:type="spellEnd"/>
            <w:r w:rsidRPr="005823F5">
              <w:rPr>
                <w:b/>
                <w:sz w:val="20"/>
                <w:szCs w:val="20"/>
                <w:lang w:val="en-CA"/>
              </w:rPr>
              <w:t xml:space="preserve"> </w:t>
            </w:r>
            <w:proofErr w:type="spellStart"/>
            <w:r w:rsidRPr="005823F5">
              <w:rPr>
                <w:b/>
                <w:sz w:val="20"/>
                <w:szCs w:val="20"/>
                <w:lang w:val="en-CA"/>
              </w:rPr>
              <w:t>Blainville</w:t>
            </w:r>
            <w:proofErr w:type="spellEnd"/>
            <w:r w:rsidRPr="005823F5">
              <w:rPr>
                <w:b/>
                <w:sz w:val="20"/>
                <w:szCs w:val="20"/>
                <w:lang w:val="en-CA"/>
              </w:rPr>
              <w:t xml:space="preserve"> </w:t>
            </w:r>
            <w:proofErr w:type="spellStart"/>
            <w:r w:rsidR="00EB4C7A" w:rsidRPr="005823F5">
              <w:rPr>
                <w:b/>
                <w:sz w:val="20"/>
                <w:szCs w:val="20"/>
                <w:lang w:val="en-CA"/>
              </w:rPr>
              <w:t>i</w:t>
            </w:r>
            <w:r w:rsidRPr="005823F5">
              <w:rPr>
                <w:b/>
                <w:sz w:val="20"/>
                <w:szCs w:val="20"/>
                <w:lang w:val="en-CA"/>
              </w:rPr>
              <w:t>nc.</w:t>
            </w:r>
            <w:proofErr w:type="spellEnd"/>
          </w:p>
          <w:p w:rsidR="00E36085" w:rsidRPr="005823F5" w:rsidRDefault="00E36085" w:rsidP="00E36085">
            <w:pPr>
              <w:jc w:val="both"/>
              <w:rPr>
                <w:sz w:val="20"/>
                <w:lang w:val="en-CA"/>
              </w:rPr>
            </w:pPr>
            <w:r w:rsidRPr="005823F5">
              <w:rPr>
                <w:sz w:val="20"/>
                <w:lang w:val="en-CA"/>
              </w:rPr>
              <w:t>(Que.) (Civil) (By Leave)</w:t>
            </w:r>
          </w:p>
        </w:tc>
      </w:tr>
      <w:tr w:rsidR="00E36085" w:rsidRPr="005823F5" w:rsidTr="00E95A6A">
        <w:tc>
          <w:tcPr>
            <w:tcW w:w="5000" w:type="pct"/>
            <w:gridSpan w:val="4"/>
          </w:tcPr>
          <w:p w:rsidR="00E36085" w:rsidRPr="005823F5" w:rsidRDefault="00E36085" w:rsidP="00E36085">
            <w:pPr>
              <w:jc w:val="both"/>
              <w:rPr>
                <w:sz w:val="20"/>
                <w:lang w:val="en-CA"/>
              </w:rPr>
            </w:pPr>
            <w:r w:rsidRPr="005823F5">
              <w:rPr>
                <w:sz w:val="20"/>
                <w:lang w:val="en-CA"/>
              </w:rPr>
              <w:t xml:space="preserve">Property — </w:t>
            </w:r>
            <w:proofErr w:type="spellStart"/>
            <w:r w:rsidRPr="005823F5">
              <w:rPr>
                <w:sz w:val="20"/>
                <w:lang w:val="en-CA"/>
              </w:rPr>
              <w:t>Immovables</w:t>
            </w:r>
            <w:proofErr w:type="spellEnd"/>
            <w:r w:rsidRPr="005823F5">
              <w:rPr>
                <w:sz w:val="20"/>
                <w:lang w:val="en-CA"/>
              </w:rPr>
              <w:t xml:space="preserve"> — Servitudes — Enclosed land — Right of way — Owner of land to which there was no access from public road seeking right of way on existing road — Alternative road considered unfit for intended use by owner of enclosed land — Whether Court of Appeal and Superior Court erred in law in applying arts. 997 and 998 of </w:t>
            </w:r>
            <w:r w:rsidRPr="005823F5">
              <w:rPr>
                <w:i/>
                <w:sz w:val="20"/>
                <w:lang w:val="en-CA"/>
              </w:rPr>
              <w:t>Civil Code of Québec</w:t>
            </w:r>
            <w:r w:rsidRPr="005823F5">
              <w:rPr>
                <w:sz w:val="20"/>
                <w:lang w:val="en-CA"/>
              </w:rPr>
              <w:t xml:space="preserve"> with regard to burden of proving that land enclosed, in terms of inadequate, difficult or impassable nature of access from public road, and in presence of allowance road — Whether Court of Appeal and Superior Court erred in law in not considering limits imposed by </w:t>
            </w:r>
            <w:r w:rsidRPr="005823F5">
              <w:rPr>
                <w:i/>
                <w:sz w:val="20"/>
                <w:lang w:val="en-CA"/>
              </w:rPr>
              <w:t>Charter of human rights and freedoms</w:t>
            </w:r>
            <w:r w:rsidRPr="005823F5">
              <w:rPr>
                <w:sz w:val="20"/>
                <w:lang w:val="en-CA"/>
              </w:rPr>
              <w:t xml:space="preserve"> — </w:t>
            </w:r>
            <w:r w:rsidRPr="005823F5">
              <w:rPr>
                <w:i/>
                <w:sz w:val="20"/>
                <w:lang w:val="en-CA"/>
              </w:rPr>
              <w:t>Civil Code of Québec</w:t>
            </w:r>
            <w:r w:rsidRPr="005823F5">
              <w:rPr>
                <w:sz w:val="20"/>
                <w:lang w:val="en-CA"/>
              </w:rPr>
              <w:t xml:space="preserve">, CQLR c. C-1991, arts. 997, 998 — </w:t>
            </w:r>
            <w:r w:rsidRPr="005823F5">
              <w:rPr>
                <w:i/>
                <w:sz w:val="20"/>
                <w:lang w:val="en-CA"/>
              </w:rPr>
              <w:t>Charter of human rights and freedoms</w:t>
            </w:r>
            <w:r w:rsidRPr="005823F5">
              <w:rPr>
                <w:sz w:val="20"/>
                <w:lang w:val="en-CA"/>
              </w:rPr>
              <w:t>, CQLR c. C-12, s. 6.</w:t>
            </w:r>
          </w:p>
        </w:tc>
      </w:tr>
      <w:tr w:rsidR="00E36085" w:rsidRPr="005823F5" w:rsidTr="00E95A6A">
        <w:tc>
          <w:tcPr>
            <w:tcW w:w="5000" w:type="pct"/>
            <w:gridSpan w:val="4"/>
          </w:tcPr>
          <w:p w:rsidR="00E36085" w:rsidRPr="005823F5" w:rsidRDefault="00E36085" w:rsidP="00E36085">
            <w:pPr>
              <w:jc w:val="both"/>
              <w:rPr>
                <w:sz w:val="20"/>
                <w:lang w:val="en-CA"/>
              </w:rPr>
            </w:pPr>
          </w:p>
        </w:tc>
      </w:tr>
      <w:tr w:rsidR="00E36085" w:rsidRPr="005823F5" w:rsidTr="00E95A6A">
        <w:tc>
          <w:tcPr>
            <w:tcW w:w="5000" w:type="pct"/>
            <w:gridSpan w:val="4"/>
          </w:tcPr>
          <w:p w:rsidR="00E36085" w:rsidRPr="005823F5" w:rsidRDefault="00E36085" w:rsidP="00E36085">
            <w:pPr>
              <w:jc w:val="both"/>
              <w:rPr>
                <w:sz w:val="20"/>
                <w:lang w:val="en-CA"/>
              </w:rPr>
            </w:pPr>
            <w:r w:rsidRPr="005823F5">
              <w:rPr>
                <w:sz w:val="20"/>
                <w:lang w:val="en-CA"/>
              </w:rPr>
              <w:t xml:space="preserve">Under arts. 997 and 998 of the </w:t>
            </w:r>
            <w:r w:rsidRPr="005823F5">
              <w:rPr>
                <w:i/>
                <w:sz w:val="20"/>
                <w:lang w:val="en-CA"/>
              </w:rPr>
              <w:t>C.C.Q.</w:t>
            </w:r>
            <w:r w:rsidRPr="005823F5">
              <w:rPr>
                <w:sz w:val="20"/>
                <w:lang w:val="en-CA"/>
              </w:rPr>
              <w:t>, the owner of land to which there was no access from the public road sought a right of way on an existing road that wound across a series of neighbouring properties. Some neighbouring owners contested the right of way, arguing that there was an alternative access road. However, the owner of the land to which there was no access argued that the alternative road was unfit for its use of the land, which included driving heavy-duty trucks. The owner therefore sought a declaration that its land was “enclosed land” and a servitude of right of way on the existing road.</w:t>
            </w:r>
          </w:p>
          <w:p w:rsidR="00E36085" w:rsidRPr="005823F5" w:rsidRDefault="00E36085" w:rsidP="00E36085">
            <w:pPr>
              <w:jc w:val="both"/>
              <w:rPr>
                <w:sz w:val="20"/>
                <w:lang w:val="en-CA"/>
              </w:rPr>
            </w:pPr>
          </w:p>
          <w:p w:rsidR="00E36085" w:rsidRPr="005823F5" w:rsidRDefault="00E36085" w:rsidP="00E36085">
            <w:pPr>
              <w:jc w:val="both"/>
              <w:rPr>
                <w:sz w:val="20"/>
                <w:lang w:val="en-CA"/>
              </w:rPr>
            </w:pPr>
            <w:r w:rsidRPr="005823F5">
              <w:rPr>
                <w:sz w:val="20"/>
                <w:lang w:val="en-CA"/>
              </w:rPr>
              <w:t>The trial judge declared that the lot in question was enclosed, recognized a right of way on the existing road and ordered compensation for the neighbouring owners. The Court of Appeal dismissed the appeal of two owners who contested the right of way. It stated that, since the proposed alternative road was inadequate, difficult and impassable based on the intended use, it was clear that the lot in question was enclosed. The existing road was the most appropriate way out in light of the condition of the place, the benefit to the owner of the enclosed land and the lack of inconvenience to the owners of the servient land.</w:t>
            </w:r>
          </w:p>
          <w:p w:rsidR="00E36085" w:rsidRPr="005823F5" w:rsidRDefault="00E36085" w:rsidP="00E36085">
            <w:pPr>
              <w:jc w:val="both"/>
              <w:rPr>
                <w:sz w:val="20"/>
                <w:lang w:val="en-CA"/>
              </w:rPr>
            </w:pPr>
          </w:p>
        </w:tc>
      </w:tr>
      <w:tr w:rsidR="00E36085" w:rsidRPr="005823F5" w:rsidTr="00E95A6A">
        <w:tc>
          <w:tcPr>
            <w:tcW w:w="2427" w:type="pct"/>
            <w:gridSpan w:val="2"/>
          </w:tcPr>
          <w:p w:rsidR="00E36085" w:rsidRPr="005823F5" w:rsidRDefault="00E36085" w:rsidP="00E36085">
            <w:pPr>
              <w:jc w:val="both"/>
              <w:rPr>
                <w:sz w:val="20"/>
                <w:lang w:val="en-CA"/>
              </w:rPr>
            </w:pPr>
            <w:r w:rsidRPr="005823F5">
              <w:rPr>
                <w:sz w:val="20"/>
                <w:lang w:val="en-CA"/>
              </w:rPr>
              <w:t>January 12, 2015</w:t>
            </w:r>
          </w:p>
          <w:p w:rsidR="00E36085" w:rsidRPr="005823F5" w:rsidRDefault="00E36085" w:rsidP="00E36085">
            <w:pPr>
              <w:jc w:val="both"/>
              <w:rPr>
                <w:sz w:val="20"/>
                <w:lang w:val="en-CA"/>
              </w:rPr>
            </w:pPr>
            <w:r w:rsidRPr="005823F5">
              <w:rPr>
                <w:sz w:val="20"/>
                <w:lang w:val="en-CA"/>
              </w:rPr>
              <w:t>Quebec Superior Court</w:t>
            </w:r>
          </w:p>
          <w:p w:rsidR="00E36085" w:rsidRPr="005823F5" w:rsidRDefault="00E36085" w:rsidP="00E36085">
            <w:pPr>
              <w:jc w:val="both"/>
              <w:rPr>
                <w:sz w:val="20"/>
                <w:lang w:val="en-CA"/>
              </w:rPr>
            </w:pPr>
            <w:r w:rsidRPr="005823F5">
              <w:rPr>
                <w:sz w:val="20"/>
                <w:lang w:val="en-CA"/>
              </w:rPr>
              <w:t>(Roy J.)</w:t>
            </w:r>
          </w:p>
          <w:p w:rsidR="00E36085" w:rsidRPr="005823F5" w:rsidRDefault="00ED7686" w:rsidP="00E36085">
            <w:pPr>
              <w:jc w:val="both"/>
              <w:rPr>
                <w:sz w:val="20"/>
                <w:lang w:val="en-CA"/>
              </w:rPr>
            </w:pPr>
            <w:hyperlink r:id="rId14" w:history="1">
              <w:r w:rsidR="00E36085" w:rsidRPr="005823F5">
                <w:rPr>
                  <w:rStyle w:val="Hyperlink"/>
                  <w:sz w:val="20"/>
                  <w:lang w:val="en-CA"/>
                </w:rPr>
                <w:t>2015 QCCS 135</w:t>
              </w:r>
            </w:hyperlink>
          </w:p>
          <w:p w:rsidR="00E36085" w:rsidRPr="005823F5" w:rsidRDefault="00E36085" w:rsidP="00E36085">
            <w:pPr>
              <w:jc w:val="both"/>
              <w:rPr>
                <w:sz w:val="20"/>
                <w:lang w:val="en-CA"/>
              </w:rPr>
            </w:pPr>
          </w:p>
        </w:tc>
        <w:tc>
          <w:tcPr>
            <w:tcW w:w="243" w:type="pct"/>
          </w:tcPr>
          <w:p w:rsidR="00E36085" w:rsidRPr="005823F5" w:rsidRDefault="00E36085" w:rsidP="00E36085">
            <w:pPr>
              <w:jc w:val="both"/>
              <w:rPr>
                <w:sz w:val="20"/>
                <w:lang w:val="en-CA"/>
              </w:rPr>
            </w:pPr>
          </w:p>
        </w:tc>
        <w:tc>
          <w:tcPr>
            <w:tcW w:w="2330" w:type="pct"/>
          </w:tcPr>
          <w:p w:rsidR="00E36085" w:rsidRPr="005823F5" w:rsidRDefault="00E36085" w:rsidP="00E36085">
            <w:pPr>
              <w:jc w:val="both"/>
              <w:rPr>
                <w:sz w:val="20"/>
                <w:lang w:val="en-CA"/>
              </w:rPr>
            </w:pPr>
            <w:r w:rsidRPr="005823F5">
              <w:rPr>
                <w:sz w:val="20"/>
                <w:lang w:val="en-CA"/>
              </w:rPr>
              <w:t>Motion by Balayage Blainville Inc. to institute proceedings allowed — lot in question declared enclosed and servitude of right of way recognized</w:t>
            </w:r>
          </w:p>
          <w:p w:rsidR="00E36085" w:rsidRPr="005823F5" w:rsidRDefault="00E36085" w:rsidP="00E36085">
            <w:pPr>
              <w:jc w:val="both"/>
              <w:rPr>
                <w:sz w:val="20"/>
                <w:lang w:val="en-CA"/>
              </w:rPr>
            </w:pPr>
          </w:p>
        </w:tc>
      </w:tr>
      <w:tr w:rsidR="00E36085" w:rsidRPr="005823F5" w:rsidTr="00E95A6A">
        <w:tc>
          <w:tcPr>
            <w:tcW w:w="2427" w:type="pct"/>
            <w:gridSpan w:val="2"/>
          </w:tcPr>
          <w:p w:rsidR="00E36085" w:rsidRPr="005823F5" w:rsidRDefault="00E36085" w:rsidP="00E36085">
            <w:pPr>
              <w:jc w:val="both"/>
              <w:rPr>
                <w:sz w:val="20"/>
                <w:lang w:val="en-CA"/>
              </w:rPr>
            </w:pPr>
            <w:r w:rsidRPr="005823F5">
              <w:rPr>
                <w:sz w:val="20"/>
                <w:lang w:val="en-CA"/>
              </w:rPr>
              <w:t>April 7, 2016</w:t>
            </w:r>
          </w:p>
          <w:p w:rsidR="00E36085" w:rsidRPr="005823F5" w:rsidRDefault="00E36085" w:rsidP="00E36085">
            <w:pPr>
              <w:jc w:val="both"/>
              <w:rPr>
                <w:sz w:val="20"/>
                <w:lang w:val="en-CA"/>
              </w:rPr>
            </w:pPr>
            <w:r w:rsidRPr="005823F5">
              <w:rPr>
                <w:sz w:val="20"/>
                <w:lang w:val="en-CA"/>
              </w:rPr>
              <w:t>Quebec Court of Appeal (Montréal)</w:t>
            </w:r>
          </w:p>
          <w:p w:rsidR="00E36085" w:rsidRPr="005823F5" w:rsidRDefault="00E36085" w:rsidP="00E36085">
            <w:pPr>
              <w:jc w:val="both"/>
              <w:rPr>
                <w:sz w:val="20"/>
                <w:lang w:val="en-CA"/>
              </w:rPr>
            </w:pPr>
            <w:r w:rsidRPr="005823F5">
              <w:rPr>
                <w:sz w:val="20"/>
                <w:lang w:val="en-CA"/>
              </w:rPr>
              <w:t>(Bich, Lévesque and Savard JJ.A.)</w:t>
            </w:r>
          </w:p>
          <w:p w:rsidR="00E36085" w:rsidRPr="005823F5" w:rsidRDefault="00ED7686" w:rsidP="00E36085">
            <w:pPr>
              <w:jc w:val="both"/>
              <w:rPr>
                <w:sz w:val="20"/>
                <w:lang w:val="en-CA"/>
              </w:rPr>
            </w:pPr>
            <w:hyperlink r:id="rId15" w:history="1">
              <w:r w:rsidR="00E36085" w:rsidRPr="005823F5">
                <w:rPr>
                  <w:rStyle w:val="Hyperlink"/>
                  <w:sz w:val="20"/>
                  <w:lang w:val="en-CA"/>
                </w:rPr>
                <w:t>2016 QCCA 599</w:t>
              </w:r>
            </w:hyperlink>
          </w:p>
          <w:p w:rsidR="00E36085" w:rsidRPr="005823F5" w:rsidRDefault="00E36085" w:rsidP="00E36085">
            <w:pPr>
              <w:jc w:val="both"/>
              <w:rPr>
                <w:sz w:val="20"/>
                <w:lang w:val="en-CA"/>
              </w:rPr>
            </w:pPr>
          </w:p>
        </w:tc>
        <w:tc>
          <w:tcPr>
            <w:tcW w:w="243" w:type="pct"/>
          </w:tcPr>
          <w:p w:rsidR="00E36085" w:rsidRPr="005823F5" w:rsidRDefault="00E36085" w:rsidP="00E36085">
            <w:pPr>
              <w:jc w:val="both"/>
              <w:rPr>
                <w:sz w:val="20"/>
                <w:lang w:val="en-CA"/>
              </w:rPr>
            </w:pPr>
          </w:p>
        </w:tc>
        <w:tc>
          <w:tcPr>
            <w:tcW w:w="2330" w:type="pct"/>
          </w:tcPr>
          <w:p w:rsidR="00E36085" w:rsidRPr="005823F5" w:rsidRDefault="00E36085" w:rsidP="00E36085">
            <w:pPr>
              <w:jc w:val="both"/>
              <w:rPr>
                <w:sz w:val="20"/>
                <w:lang w:val="en-CA"/>
              </w:rPr>
            </w:pPr>
            <w:r w:rsidRPr="005823F5">
              <w:rPr>
                <w:sz w:val="20"/>
                <w:lang w:val="en-CA"/>
              </w:rPr>
              <w:t>Appeal by Benoit Beauchamp and Anick Plouffe dismissed</w:t>
            </w:r>
          </w:p>
          <w:p w:rsidR="00E36085" w:rsidRPr="005823F5" w:rsidRDefault="00E36085" w:rsidP="00E36085">
            <w:pPr>
              <w:jc w:val="both"/>
              <w:rPr>
                <w:sz w:val="20"/>
                <w:lang w:val="en-CA"/>
              </w:rPr>
            </w:pPr>
          </w:p>
        </w:tc>
      </w:tr>
      <w:tr w:rsidR="00E36085" w:rsidRPr="005823F5" w:rsidTr="00E95A6A">
        <w:tc>
          <w:tcPr>
            <w:tcW w:w="2427" w:type="pct"/>
            <w:gridSpan w:val="2"/>
          </w:tcPr>
          <w:p w:rsidR="00E36085" w:rsidRPr="005823F5" w:rsidRDefault="00E36085" w:rsidP="00E36085">
            <w:pPr>
              <w:jc w:val="both"/>
              <w:rPr>
                <w:sz w:val="20"/>
                <w:lang w:val="en-CA"/>
              </w:rPr>
            </w:pPr>
            <w:r w:rsidRPr="005823F5">
              <w:rPr>
                <w:sz w:val="20"/>
                <w:lang w:val="en-CA"/>
              </w:rPr>
              <w:t>June 16, 2016</w:t>
            </w:r>
          </w:p>
          <w:p w:rsidR="00E36085" w:rsidRPr="005823F5" w:rsidRDefault="00E36085" w:rsidP="00E36085">
            <w:pPr>
              <w:jc w:val="both"/>
              <w:rPr>
                <w:sz w:val="20"/>
                <w:lang w:val="en-CA"/>
              </w:rPr>
            </w:pPr>
            <w:r w:rsidRPr="005823F5">
              <w:rPr>
                <w:sz w:val="20"/>
                <w:lang w:val="en-CA"/>
              </w:rPr>
              <w:t>Supreme Court of Canada</w:t>
            </w:r>
          </w:p>
        </w:tc>
        <w:tc>
          <w:tcPr>
            <w:tcW w:w="243" w:type="pct"/>
          </w:tcPr>
          <w:p w:rsidR="00E36085" w:rsidRPr="005823F5" w:rsidRDefault="00E36085" w:rsidP="00E36085">
            <w:pPr>
              <w:jc w:val="both"/>
              <w:rPr>
                <w:sz w:val="20"/>
                <w:lang w:val="en-CA"/>
              </w:rPr>
            </w:pPr>
          </w:p>
        </w:tc>
        <w:tc>
          <w:tcPr>
            <w:tcW w:w="2330" w:type="pct"/>
          </w:tcPr>
          <w:p w:rsidR="00E36085" w:rsidRPr="005823F5" w:rsidRDefault="00E36085" w:rsidP="00E36085">
            <w:pPr>
              <w:jc w:val="both"/>
              <w:rPr>
                <w:sz w:val="20"/>
                <w:lang w:val="en-CA"/>
              </w:rPr>
            </w:pPr>
            <w:r w:rsidRPr="005823F5">
              <w:rPr>
                <w:sz w:val="20"/>
                <w:lang w:val="en-CA"/>
              </w:rPr>
              <w:t>Motion to extend time to serve and file application for leave to appeal and application for leave to appeal filed by Benoit Beauchamp and Anick Plouffe</w:t>
            </w:r>
          </w:p>
        </w:tc>
      </w:tr>
    </w:tbl>
    <w:p w:rsidR="00E36085" w:rsidRPr="005823F5" w:rsidRDefault="00E36085" w:rsidP="00E36085">
      <w:pPr>
        <w:jc w:val="both"/>
        <w:rPr>
          <w:sz w:val="20"/>
          <w:lang w:val="en-CA"/>
        </w:rPr>
      </w:pPr>
    </w:p>
    <w:p w:rsidR="00E36085" w:rsidRPr="005823F5" w:rsidRDefault="00E36085" w:rsidP="00E36085">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36085" w:rsidRPr="005823F5" w:rsidTr="00E95A6A">
        <w:tc>
          <w:tcPr>
            <w:tcW w:w="543" w:type="pct"/>
          </w:tcPr>
          <w:p w:rsidR="00E36085" w:rsidRPr="005823F5" w:rsidRDefault="00E36085" w:rsidP="00E36085">
            <w:pPr>
              <w:jc w:val="both"/>
              <w:rPr>
                <w:sz w:val="20"/>
              </w:rPr>
            </w:pPr>
            <w:r w:rsidRPr="005823F5">
              <w:rPr>
                <w:rStyle w:val="SCCFileNumberChar"/>
                <w:sz w:val="20"/>
                <w:szCs w:val="20"/>
              </w:rPr>
              <w:t>37073</w:t>
            </w:r>
          </w:p>
        </w:tc>
        <w:tc>
          <w:tcPr>
            <w:tcW w:w="4457" w:type="pct"/>
            <w:gridSpan w:val="3"/>
          </w:tcPr>
          <w:p w:rsidR="00E36085" w:rsidRPr="005823F5" w:rsidRDefault="00E36085" w:rsidP="00E36085">
            <w:pPr>
              <w:pStyle w:val="SCCLsocParty"/>
              <w:jc w:val="both"/>
              <w:rPr>
                <w:b/>
                <w:sz w:val="20"/>
                <w:szCs w:val="20"/>
              </w:rPr>
            </w:pPr>
            <w:r w:rsidRPr="005823F5">
              <w:rPr>
                <w:b/>
                <w:sz w:val="20"/>
                <w:szCs w:val="20"/>
              </w:rPr>
              <w:t>Benoit Beauchamp</w:t>
            </w:r>
            <w:r w:rsidR="00EB4C7A" w:rsidRPr="005823F5">
              <w:rPr>
                <w:b/>
                <w:sz w:val="20"/>
                <w:szCs w:val="20"/>
              </w:rPr>
              <w:t xml:space="preserve"> et</w:t>
            </w:r>
            <w:r w:rsidRPr="005823F5">
              <w:rPr>
                <w:b/>
                <w:sz w:val="20"/>
                <w:szCs w:val="20"/>
              </w:rPr>
              <w:t xml:space="preserve"> Anick Plouffe c. Balayage Blainville </w:t>
            </w:r>
            <w:r w:rsidR="00EB4C7A" w:rsidRPr="005823F5">
              <w:rPr>
                <w:b/>
                <w:sz w:val="20"/>
                <w:szCs w:val="20"/>
              </w:rPr>
              <w:t>i</w:t>
            </w:r>
            <w:r w:rsidRPr="005823F5">
              <w:rPr>
                <w:b/>
                <w:sz w:val="20"/>
                <w:szCs w:val="20"/>
              </w:rPr>
              <w:t>nc.</w:t>
            </w:r>
          </w:p>
          <w:p w:rsidR="00E36085" w:rsidRPr="005823F5" w:rsidRDefault="00E36085" w:rsidP="00E36085">
            <w:pPr>
              <w:jc w:val="both"/>
              <w:rPr>
                <w:sz w:val="20"/>
              </w:rPr>
            </w:pPr>
            <w:r w:rsidRPr="005823F5">
              <w:rPr>
                <w:sz w:val="20"/>
              </w:rPr>
              <w:lastRenderedPageBreak/>
              <w:t>(Qc) (</w:t>
            </w:r>
            <w:proofErr w:type="spellStart"/>
            <w:r w:rsidRPr="005823F5">
              <w:rPr>
                <w:sz w:val="20"/>
              </w:rPr>
              <w:t>Civile</w:t>
            </w:r>
            <w:proofErr w:type="spellEnd"/>
            <w:r w:rsidRPr="005823F5">
              <w:rPr>
                <w:sz w:val="20"/>
              </w:rPr>
              <w:t>) (</w:t>
            </w:r>
            <w:proofErr w:type="spellStart"/>
            <w:r w:rsidRPr="005823F5">
              <w:rPr>
                <w:sz w:val="20"/>
              </w:rPr>
              <w:t>Autorisation</w:t>
            </w:r>
            <w:proofErr w:type="spellEnd"/>
            <w:r w:rsidRPr="005823F5">
              <w:rPr>
                <w:sz w:val="20"/>
              </w:rPr>
              <w:t>)</w:t>
            </w:r>
          </w:p>
        </w:tc>
      </w:tr>
      <w:tr w:rsidR="00E36085" w:rsidRPr="005823F5" w:rsidTr="00E95A6A">
        <w:tc>
          <w:tcPr>
            <w:tcW w:w="5000" w:type="pct"/>
            <w:gridSpan w:val="4"/>
          </w:tcPr>
          <w:p w:rsidR="00E36085" w:rsidRPr="005823F5" w:rsidRDefault="00E36085" w:rsidP="00E36085">
            <w:pPr>
              <w:jc w:val="both"/>
              <w:rPr>
                <w:sz w:val="20"/>
              </w:rPr>
            </w:pPr>
            <w:r w:rsidRPr="00ED7686">
              <w:rPr>
                <w:sz w:val="20"/>
                <w:lang w:val="fr-CA"/>
              </w:rPr>
              <w:lastRenderedPageBreak/>
              <w:t xml:space="preserve">Biens — Biens immeubles — Servitudes — Enclaves — Droit de passage — Propriétaire d’un fonds sans issue sur la voie publique recherchant un droit de passage sur un chemin existant — Chemin alternatif jugé impropre compte tenu de l’utilisation prévue par le propriétaire du fonds enclavé — La Cour d’appel et la Cour supérieure </w:t>
            </w:r>
            <w:proofErr w:type="spellStart"/>
            <w:r w:rsidRPr="00ED7686">
              <w:rPr>
                <w:sz w:val="20"/>
                <w:lang w:val="fr-CA"/>
              </w:rPr>
              <w:t>ont-elles</w:t>
            </w:r>
            <w:proofErr w:type="spellEnd"/>
            <w:r w:rsidRPr="00ED7686">
              <w:rPr>
                <w:sz w:val="20"/>
                <w:lang w:val="fr-CA"/>
              </w:rPr>
              <w:t xml:space="preserve"> erré en droit dans l’application des articles 997 et 998 du </w:t>
            </w:r>
            <w:r w:rsidRPr="00ED7686">
              <w:rPr>
                <w:i/>
                <w:sz w:val="20"/>
                <w:lang w:val="fr-CA"/>
              </w:rPr>
              <w:t>Code civil du Québec</w:t>
            </w:r>
            <w:r w:rsidRPr="00ED7686">
              <w:rPr>
                <w:sz w:val="20"/>
                <w:lang w:val="fr-CA"/>
              </w:rPr>
              <w:t xml:space="preserve"> relativement au fardeau de la preuve d’enclave, quant au caractère insuffisant, difficile ou impraticable de l’issue sur la voie publique, et en présence d’un chemin de tolérance? — La Cour d’appel et la Cour supérieure </w:t>
            </w:r>
            <w:proofErr w:type="spellStart"/>
            <w:r w:rsidRPr="00ED7686">
              <w:rPr>
                <w:sz w:val="20"/>
                <w:lang w:val="fr-CA"/>
              </w:rPr>
              <w:t>ont-elles</w:t>
            </w:r>
            <w:proofErr w:type="spellEnd"/>
            <w:r w:rsidRPr="00ED7686">
              <w:rPr>
                <w:sz w:val="20"/>
                <w:lang w:val="fr-CA"/>
              </w:rPr>
              <w:t xml:space="preserve"> erré en droit en ne tenant pas compte des limites imposées par la </w:t>
            </w:r>
            <w:r w:rsidRPr="00ED7686">
              <w:rPr>
                <w:i/>
                <w:sz w:val="20"/>
                <w:lang w:val="fr-CA"/>
              </w:rPr>
              <w:t>Charte des droits et libertés de la personne</w:t>
            </w:r>
            <w:r w:rsidRPr="00ED7686">
              <w:rPr>
                <w:sz w:val="20"/>
                <w:lang w:val="fr-CA"/>
              </w:rPr>
              <w:t xml:space="preserve">? — </w:t>
            </w:r>
            <w:r w:rsidRPr="00ED7686">
              <w:rPr>
                <w:i/>
                <w:sz w:val="20"/>
                <w:lang w:val="fr-CA"/>
              </w:rPr>
              <w:t>Code civil du Québec</w:t>
            </w:r>
            <w:r w:rsidRPr="00ED7686">
              <w:rPr>
                <w:sz w:val="20"/>
                <w:lang w:val="fr-CA"/>
              </w:rPr>
              <w:t xml:space="preserve">, RLRQ ch. C-1991, articles 997, 998 — </w:t>
            </w:r>
            <w:r w:rsidRPr="00ED7686">
              <w:rPr>
                <w:i/>
                <w:sz w:val="20"/>
                <w:lang w:val="fr-CA"/>
              </w:rPr>
              <w:t>Charte des droits et libertés de la personne</w:t>
            </w:r>
            <w:r w:rsidRPr="00ED7686">
              <w:rPr>
                <w:sz w:val="20"/>
                <w:lang w:val="fr-CA"/>
              </w:rPr>
              <w:t>, RLRQ ch. </w:t>
            </w:r>
            <w:r w:rsidRPr="005823F5">
              <w:rPr>
                <w:sz w:val="20"/>
              </w:rPr>
              <w:t>C-12, article 6.</w:t>
            </w:r>
          </w:p>
        </w:tc>
      </w:tr>
      <w:tr w:rsidR="00E36085" w:rsidRPr="005823F5" w:rsidTr="00E95A6A">
        <w:tc>
          <w:tcPr>
            <w:tcW w:w="5000" w:type="pct"/>
            <w:gridSpan w:val="4"/>
          </w:tcPr>
          <w:p w:rsidR="00E36085" w:rsidRPr="005823F5" w:rsidRDefault="00E36085" w:rsidP="00E36085">
            <w:pPr>
              <w:jc w:val="both"/>
              <w:rPr>
                <w:sz w:val="20"/>
              </w:rPr>
            </w:pPr>
          </w:p>
        </w:tc>
      </w:tr>
      <w:tr w:rsidR="00E36085" w:rsidRPr="00ED7686" w:rsidTr="00E95A6A">
        <w:tc>
          <w:tcPr>
            <w:tcW w:w="5000" w:type="pct"/>
            <w:gridSpan w:val="4"/>
          </w:tcPr>
          <w:p w:rsidR="00E36085" w:rsidRPr="00ED7686" w:rsidRDefault="00E36085" w:rsidP="00E36085">
            <w:pPr>
              <w:jc w:val="both"/>
              <w:rPr>
                <w:sz w:val="20"/>
                <w:lang w:val="fr-CA"/>
              </w:rPr>
            </w:pPr>
            <w:r w:rsidRPr="00ED7686">
              <w:rPr>
                <w:sz w:val="20"/>
                <w:lang w:val="fr-CA"/>
              </w:rPr>
              <w:t xml:space="preserve">Le propriétaire d’un fonds sans issue sur la voie publique recherche, en vertu des articles 997 et 998 du </w:t>
            </w:r>
            <w:r w:rsidRPr="00ED7686">
              <w:rPr>
                <w:i/>
                <w:sz w:val="20"/>
                <w:lang w:val="fr-CA"/>
              </w:rPr>
              <w:t>C.c.Q.</w:t>
            </w:r>
            <w:r w:rsidRPr="00ED7686">
              <w:rPr>
                <w:sz w:val="20"/>
                <w:lang w:val="fr-CA"/>
              </w:rPr>
              <w:t>, le droit de passer sur un chemin existant qui serpente à travers une série de fonds avoisinants. Des propriétaires avoisinants contestent ce droit de passage, et prétendent qu’il existe un chemin d’accès alternatif. Le propriétaire du fonds sans issue prétend cependant que ce chemin alternatif est impropre à son utilisation du terrain, qui comprend la circulation de camions lourds. Le propriétaire recherche donc une déclaration que son fonds constitue une « enclave », ainsi qu’une servitude de droit de passage sur le chemin existant.</w:t>
            </w:r>
          </w:p>
          <w:p w:rsidR="00E36085" w:rsidRPr="00ED7686" w:rsidRDefault="00E36085" w:rsidP="00E36085">
            <w:pPr>
              <w:jc w:val="both"/>
              <w:rPr>
                <w:sz w:val="20"/>
                <w:lang w:val="fr-CA"/>
              </w:rPr>
            </w:pPr>
          </w:p>
          <w:p w:rsidR="00E36085" w:rsidRPr="00ED7686" w:rsidRDefault="00E36085" w:rsidP="00E36085">
            <w:pPr>
              <w:jc w:val="both"/>
              <w:rPr>
                <w:sz w:val="20"/>
                <w:lang w:val="fr-CA"/>
              </w:rPr>
            </w:pPr>
            <w:r w:rsidRPr="00ED7686">
              <w:rPr>
                <w:sz w:val="20"/>
                <w:lang w:val="fr-CA"/>
              </w:rPr>
              <w:t>Le juge de première instance déclare le lot en question en état d’enclave, reconnaît un droit de passage sur le chemin existant, et ordonne une indemnisation aux propriétaires voisins. La Cour d’appel rejette l’appel de deux propriétaires contestant le droit de passage. Elle affirme qu’en raison du caractère insuffisant, difficile et impraticable du chemin alternatif proposé en fonction de l’exploitation prévue, il est clair que le lot en question est en état d’enclave. Le chemin existant constitue le passage le plus approprié en fonction de l’état des lieux, de l’avantage au propriétaire du fonds enclavé, et de l’absence d’inconvénients pour les propriétaires des fonds servants.</w:t>
            </w:r>
          </w:p>
          <w:p w:rsidR="00E36085" w:rsidRPr="00ED7686" w:rsidRDefault="00E36085" w:rsidP="00E36085">
            <w:pPr>
              <w:jc w:val="both"/>
              <w:rPr>
                <w:sz w:val="20"/>
                <w:lang w:val="fr-CA"/>
              </w:rPr>
            </w:pPr>
          </w:p>
        </w:tc>
      </w:tr>
      <w:tr w:rsidR="00E36085" w:rsidRPr="00ED7686" w:rsidTr="00E95A6A">
        <w:tc>
          <w:tcPr>
            <w:tcW w:w="2427" w:type="pct"/>
            <w:gridSpan w:val="2"/>
          </w:tcPr>
          <w:p w:rsidR="00E36085" w:rsidRPr="00ED7686" w:rsidRDefault="00E36085" w:rsidP="00E36085">
            <w:pPr>
              <w:jc w:val="both"/>
              <w:rPr>
                <w:sz w:val="20"/>
                <w:lang w:val="fr-CA"/>
              </w:rPr>
            </w:pPr>
            <w:r w:rsidRPr="00ED7686">
              <w:rPr>
                <w:sz w:val="20"/>
                <w:lang w:val="fr-CA"/>
              </w:rPr>
              <w:t>Le 12 janvier 2015</w:t>
            </w:r>
          </w:p>
          <w:p w:rsidR="00E36085" w:rsidRPr="00ED7686" w:rsidRDefault="00E36085" w:rsidP="00E36085">
            <w:pPr>
              <w:jc w:val="both"/>
              <w:rPr>
                <w:sz w:val="20"/>
                <w:lang w:val="fr-CA"/>
              </w:rPr>
            </w:pPr>
            <w:r w:rsidRPr="00ED7686">
              <w:rPr>
                <w:sz w:val="20"/>
                <w:lang w:val="fr-CA"/>
              </w:rPr>
              <w:t>Cour supérieure du Québec</w:t>
            </w:r>
          </w:p>
          <w:p w:rsidR="00E36085" w:rsidRPr="005823F5" w:rsidRDefault="00E36085" w:rsidP="00E36085">
            <w:pPr>
              <w:jc w:val="both"/>
              <w:rPr>
                <w:sz w:val="20"/>
              </w:rPr>
            </w:pPr>
            <w:r w:rsidRPr="005823F5">
              <w:rPr>
                <w:sz w:val="20"/>
              </w:rPr>
              <w:t>(Le juge Roy)</w:t>
            </w:r>
          </w:p>
          <w:p w:rsidR="00E36085" w:rsidRPr="005823F5" w:rsidRDefault="00ED7686" w:rsidP="00E36085">
            <w:pPr>
              <w:jc w:val="both"/>
              <w:rPr>
                <w:sz w:val="20"/>
              </w:rPr>
            </w:pPr>
            <w:hyperlink r:id="rId16" w:history="1">
              <w:r w:rsidR="00E36085" w:rsidRPr="005823F5">
                <w:rPr>
                  <w:rStyle w:val="Hyperlink"/>
                  <w:sz w:val="20"/>
                </w:rPr>
                <w:t>2015 QCCS 135</w:t>
              </w:r>
            </w:hyperlink>
          </w:p>
          <w:p w:rsidR="00E36085" w:rsidRPr="005823F5" w:rsidRDefault="00E36085" w:rsidP="00E36085">
            <w:pPr>
              <w:jc w:val="both"/>
              <w:rPr>
                <w:sz w:val="20"/>
              </w:rPr>
            </w:pPr>
          </w:p>
        </w:tc>
        <w:tc>
          <w:tcPr>
            <w:tcW w:w="243" w:type="pct"/>
          </w:tcPr>
          <w:p w:rsidR="00E36085" w:rsidRPr="005823F5" w:rsidRDefault="00E36085" w:rsidP="00E36085">
            <w:pPr>
              <w:jc w:val="both"/>
              <w:rPr>
                <w:sz w:val="20"/>
              </w:rPr>
            </w:pPr>
          </w:p>
        </w:tc>
        <w:tc>
          <w:tcPr>
            <w:tcW w:w="2330" w:type="pct"/>
          </w:tcPr>
          <w:p w:rsidR="00E36085" w:rsidRPr="00ED7686" w:rsidRDefault="00E36085" w:rsidP="00E36085">
            <w:pPr>
              <w:jc w:val="both"/>
              <w:rPr>
                <w:sz w:val="20"/>
                <w:lang w:val="fr-CA"/>
              </w:rPr>
            </w:pPr>
            <w:r w:rsidRPr="00ED7686">
              <w:rPr>
                <w:sz w:val="20"/>
                <w:lang w:val="fr-CA"/>
              </w:rPr>
              <w:t>Requête introductive d’instance de Balayage Blainville Inc. accueillie — déclaration que le lot en question est enclavé, et reconnaissance d’une servitude de passage</w:t>
            </w:r>
          </w:p>
          <w:p w:rsidR="00E36085" w:rsidRPr="00ED7686" w:rsidRDefault="00E36085" w:rsidP="00E36085">
            <w:pPr>
              <w:jc w:val="both"/>
              <w:rPr>
                <w:sz w:val="20"/>
                <w:lang w:val="fr-CA"/>
              </w:rPr>
            </w:pPr>
          </w:p>
        </w:tc>
      </w:tr>
      <w:tr w:rsidR="00E36085" w:rsidRPr="00ED7686" w:rsidTr="00E95A6A">
        <w:tc>
          <w:tcPr>
            <w:tcW w:w="2427" w:type="pct"/>
            <w:gridSpan w:val="2"/>
          </w:tcPr>
          <w:p w:rsidR="00E36085" w:rsidRPr="00ED7686" w:rsidRDefault="00E36085" w:rsidP="00E36085">
            <w:pPr>
              <w:jc w:val="both"/>
              <w:rPr>
                <w:sz w:val="20"/>
                <w:lang w:val="fr-CA"/>
              </w:rPr>
            </w:pPr>
            <w:r w:rsidRPr="00ED7686">
              <w:rPr>
                <w:sz w:val="20"/>
                <w:lang w:val="fr-CA"/>
              </w:rPr>
              <w:t>Le 7 avril 2016</w:t>
            </w:r>
          </w:p>
          <w:p w:rsidR="00E36085" w:rsidRPr="00ED7686" w:rsidRDefault="00E36085" w:rsidP="00E36085">
            <w:pPr>
              <w:jc w:val="both"/>
              <w:rPr>
                <w:sz w:val="20"/>
                <w:lang w:val="fr-CA"/>
              </w:rPr>
            </w:pPr>
            <w:r w:rsidRPr="00ED7686">
              <w:rPr>
                <w:sz w:val="20"/>
                <w:lang w:val="fr-CA"/>
              </w:rPr>
              <w:t>Cour d’appel du Québec (Montréal)</w:t>
            </w:r>
          </w:p>
          <w:p w:rsidR="00E36085" w:rsidRPr="00ED7686" w:rsidRDefault="00E36085" w:rsidP="00E36085">
            <w:pPr>
              <w:jc w:val="both"/>
              <w:rPr>
                <w:sz w:val="20"/>
                <w:lang w:val="fr-CA"/>
              </w:rPr>
            </w:pPr>
            <w:r w:rsidRPr="00ED7686">
              <w:rPr>
                <w:sz w:val="20"/>
                <w:lang w:val="fr-CA"/>
              </w:rPr>
              <w:t>(Les juges Bich, Lévesque et Savard)</w:t>
            </w:r>
          </w:p>
          <w:p w:rsidR="00E36085" w:rsidRPr="005823F5" w:rsidRDefault="00ED7686" w:rsidP="00E36085">
            <w:pPr>
              <w:jc w:val="both"/>
              <w:rPr>
                <w:sz w:val="20"/>
              </w:rPr>
            </w:pPr>
            <w:r>
              <w:fldChar w:fldCharType="begin"/>
            </w:r>
            <w:r>
              <w:instrText xml:space="preserve"> HYPERLINK "http://www.canlii.org/fr/qc/qcca/doc/2016/2016qcca599/2016qcca599.html?autocompleteStr=2016%20QCCA%</w:instrText>
            </w:r>
            <w:r>
              <w:instrText xml:space="preserve">20599&amp;autocompletePos=1" </w:instrText>
            </w:r>
            <w:r>
              <w:fldChar w:fldCharType="separate"/>
            </w:r>
            <w:r w:rsidR="00E36085" w:rsidRPr="005823F5">
              <w:rPr>
                <w:rStyle w:val="Hyperlink"/>
                <w:sz w:val="20"/>
              </w:rPr>
              <w:t>2016 QCCA 599</w:t>
            </w:r>
            <w:r>
              <w:rPr>
                <w:rStyle w:val="Hyperlink"/>
                <w:sz w:val="20"/>
              </w:rPr>
              <w:fldChar w:fldCharType="end"/>
            </w:r>
          </w:p>
          <w:p w:rsidR="00E36085" w:rsidRPr="005823F5" w:rsidRDefault="00E36085" w:rsidP="00E36085">
            <w:pPr>
              <w:jc w:val="both"/>
              <w:rPr>
                <w:sz w:val="20"/>
              </w:rPr>
            </w:pPr>
          </w:p>
        </w:tc>
        <w:tc>
          <w:tcPr>
            <w:tcW w:w="243" w:type="pct"/>
          </w:tcPr>
          <w:p w:rsidR="00E36085" w:rsidRPr="005823F5" w:rsidRDefault="00E36085" w:rsidP="00E36085">
            <w:pPr>
              <w:jc w:val="both"/>
              <w:rPr>
                <w:sz w:val="20"/>
              </w:rPr>
            </w:pPr>
          </w:p>
        </w:tc>
        <w:tc>
          <w:tcPr>
            <w:tcW w:w="2330" w:type="pct"/>
          </w:tcPr>
          <w:p w:rsidR="00E36085" w:rsidRPr="00ED7686" w:rsidRDefault="00E36085" w:rsidP="00E36085">
            <w:pPr>
              <w:jc w:val="both"/>
              <w:rPr>
                <w:sz w:val="20"/>
                <w:lang w:val="fr-CA"/>
              </w:rPr>
            </w:pPr>
            <w:r w:rsidRPr="00ED7686">
              <w:rPr>
                <w:sz w:val="20"/>
                <w:lang w:val="fr-CA"/>
              </w:rPr>
              <w:t>Appel interjeté par Benoit Beauchamp et Anick Plouffe — rejeté</w:t>
            </w:r>
          </w:p>
          <w:p w:rsidR="00E36085" w:rsidRPr="00ED7686" w:rsidRDefault="00E36085" w:rsidP="00E36085">
            <w:pPr>
              <w:jc w:val="both"/>
              <w:rPr>
                <w:sz w:val="20"/>
                <w:lang w:val="fr-CA"/>
              </w:rPr>
            </w:pPr>
          </w:p>
        </w:tc>
      </w:tr>
      <w:tr w:rsidR="00E36085" w:rsidRPr="00ED7686" w:rsidTr="00E95A6A">
        <w:tc>
          <w:tcPr>
            <w:tcW w:w="2427" w:type="pct"/>
            <w:gridSpan w:val="2"/>
          </w:tcPr>
          <w:p w:rsidR="00E36085" w:rsidRPr="00ED7686" w:rsidRDefault="00E36085" w:rsidP="00E36085">
            <w:pPr>
              <w:jc w:val="both"/>
              <w:rPr>
                <w:sz w:val="20"/>
                <w:lang w:val="fr-CA"/>
              </w:rPr>
            </w:pPr>
            <w:r w:rsidRPr="00ED7686">
              <w:rPr>
                <w:sz w:val="20"/>
                <w:lang w:val="fr-CA"/>
              </w:rPr>
              <w:t>Le 16 juin 2016</w:t>
            </w:r>
          </w:p>
          <w:p w:rsidR="00E36085" w:rsidRPr="00ED7686" w:rsidRDefault="00E36085" w:rsidP="00E36085">
            <w:pPr>
              <w:jc w:val="both"/>
              <w:rPr>
                <w:sz w:val="20"/>
                <w:lang w:val="fr-CA"/>
              </w:rPr>
            </w:pPr>
            <w:r w:rsidRPr="00ED7686">
              <w:rPr>
                <w:sz w:val="20"/>
                <w:lang w:val="fr-CA"/>
              </w:rPr>
              <w:t>Cour suprême du Canada</w:t>
            </w:r>
          </w:p>
        </w:tc>
        <w:tc>
          <w:tcPr>
            <w:tcW w:w="243" w:type="pct"/>
          </w:tcPr>
          <w:p w:rsidR="00E36085" w:rsidRPr="00ED7686" w:rsidRDefault="00E36085" w:rsidP="00E36085">
            <w:pPr>
              <w:jc w:val="both"/>
              <w:rPr>
                <w:sz w:val="20"/>
                <w:lang w:val="fr-CA"/>
              </w:rPr>
            </w:pPr>
          </w:p>
        </w:tc>
        <w:tc>
          <w:tcPr>
            <w:tcW w:w="2330" w:type="pct"/>
          </w:tcPr>
          <w:p w:rsidR="00E36085" w:rsidRPr="00ED7686" w:rsidRDefault="00E36085" w:rsidP="00E36085">
            <w:pPr>
              <w:jc w:val="both"/>
              <w:rPr>
                <w:sz w:val="20"/>
                <w:lang w:val="fr-CA"/>
              </w:rPr>
            </w:pPr>
            <w:r w:rsidRPr="00ED7686">
              <w:rPr>
                <w:sz w:val="20"/>
                <w:lang w:val="fr-CA"/>
              </w:rPr>
              <w:t>Requête en prorogation du délai pour signifier et déposer une demande d’autorisation d’appel et demande d’autorisation d’appel déposées par Benoit Beauchamp et Anick Plouffe</w:t>
            </w:r>
          </w:p>
        </w:tc>
      </w:tr>
    </w:tbl>
    <w:p w:rsidR="00E36085" w:rsidRPr="00ED7686" w:rsidRDefault="00E36085" w:rsidP="00E36085">
      <w:pPr>
        <w:jc w:val="both"/>
        <w:rPr>
          <w:sz w:val="20"/>
          <w:lang w:val="fr-CA"/>
        </w:rPr>
      </w:pPr>
    </w:p>
    <w:p w:rsidR="00E76DD0" w:rsidRPr="00ED7686" w:rsidRDefault="00E76DD0" w:rsidP="00E36085">
      <w:pPr>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E36085" w:rsidRPr="005823F5" w:rsidTr="00E95A6A">
        <w:tc>
          <w:tcPr>
            <w:tcW w:w="543" w:type="pct"/>
          </w:tcPr>
          <w:p w:rsidR="00E36085" w:rsidRPr="005823F5" w:rsidRDefault="00E36085" w:rsidP="00E36085">
            <w:pPr>
              <w:jc w:val="both"/>
              <w:rPr>
                <w:sz w:val="20"/>
                <w:lang w:val="en-CA"/>
              </w:rPr>
            </w:pPr>
            <w:r w:rsidRPr="005823F5">
              <w:rPr>
                <w:rStyle w:val="SCCFileNumberChar"/>
                <w:sz w:val="20"/>
                <w:szCs w:val="20"/>
              </w:rPr>
              <w:t>37047</w:t>
            </w:r>
          </w:p>
        </w:tc>
        <w:tc>
          <w:tcPr>
            <w:tcW w:w="4457" w:type="pct"/>
          </w:tcPr>
          <w:p w:rsidR="00E36085" w:rsidRPr="005823F5" w:rsidRDefault="00E36085" w:rsidP="00E36085">
            <w:pPr>
              <w:pStyle w:val="SCCLsocParty"/>
              <w:jc w:val="both"/>
              <w:rPr>
                <w:b/>
                <w:sz w:val="20"/>
                <w:szCs w:val="20"/>
              </w:rPr>
            </w:pPr>
            <w:r w:rsidRPr="005823F5">
              <w:rPr>
                <w:b/>
                <w:sz w:val="20"/>
                <w:szCs w:val="20"/>
              </w:rPr>
              <w:t>Fédération des producteurs acéricoles du Québec v. Unique General Insurance Inc., O.P.M. Investments Inc.</w:t>
            </w:r>
            <w:r w:rsidR="002A55AA" w:rsidRPr="005823F5">
              <w:rPr>
                <w:b/>
                <w:sz w:val="20"/>
                <w:szCs w:val="20"/>
              </w:rPr>
              <w:t xml:space="preserve"> and</w:t>
            </w:r>
            <w:r w:rsidRPr="005823F5">
              <w:rPr>
                <w:b/>
                <w:sz w:val="20"/>
                <w:szCs w:val="20"/>
              </w:rPr>
              <w:t xml:space="preserve"> Pierre Habib and Graciana André</w:t>
            </w:r>
          </w:p>
          <w:p w:rsidR="00E36085" w:rsidRPr="005823F5" w:rsidRDefault="00E36085" w:rsidP="00E36085">
            <w:pPr>
              <w:jc w:val="both"/>
              <w:rPr>
                <w:sz w:val="20"/>
                <w:lang w:val="en-CA"/>
              </w:rPr>
            </w:pPr>
            <w:r w:rsidRPr="005823F5">
              <w:rPr>
                <w:sz w:val="20"/>
                <w:lang w:val="en-CA"/>
              </w:rPr>
              <w:t>(Que.) (Civil) (By Leave)</w:t>
            </w:r>
          </w:p>
        </w:tc>
      </w:tr>
      <w:tr w:rsidR="00E36085" w:rsidRPr="005823F5" w:rsidTr="00E95A6A">
        <w:tc>
          <w:tcPr>
            <w:tcW w:w="5000" w:type="pct"/>
            <w:gridSpan w:val="2"/>
          </w:tcPr>
          <w:p w:rsidR="00E36085" w:rsidRPr="005823F5" w:rsidRDefault="00E36085" w:rsidP="00E36085">
            <w:pPr>
              <w:jc w:val="both"/>
              <w:rPr>
                <w:sz w:val="20"/>
                <w:lang w:val="en-CA"/>
              </w:rPr>
            </w:pPr>
            <w:r w:rsidRPr="005823F5">
              <w:rPr>
                <w:sz w:val="20"/>
                <w:lang w:val="en-CA"/>
              </w:rPr>
              <w:t>Contracts – Suretyship – Failure of action to enforce suretyship – Bankruptcy of maple syrup producer resulting in losses for applicant – Date on which debt exigible – Claim under suretyship found to have been made late – Whether Court of Appeal erred in determining date of debt – Whether Court of Appeal erred in holding that claim had been made late and in refusing to give full effect to act of suretyship.</w:t>
            </w:r>
          </w:p>
        </w:tc>
      </w:tr>
      <w:tr w:rsidR="00E36085" w:rsidRPr="005823F5" w:rsidTr="00E95A6A">
        <w:tc>
          <w:tcPr>
            <w:tcW w:w="5000" w:type="pct"/>
            <w:gridSpan w:val="2"/>
          </w:tcPr>
          <w:p w:rsidR="00E36085" w:rsidRPr="005823F5" w:rsidRDefault="00E36085" w:rsidP="00E36085">
            <w:pPr>
              <w:jc w:val="both"/>
              <w:rPr>
                <w:sz w:val="20"/>
                <w:lang w:val="en-CA"/>
              </w:rPr>
            </w:pPr>
          </w:p>
        </w:tc>
      </w:tr>
      <w:tr w:rsidR="00E36085" w:rsidRPr="005823F5" w:rsidTr="00E95A6A">
        <w:tc>
          <w:tcPr>
            <w:tcW w:w="5000" w:type="pct"/>
            <w:gridSpan w:val="2"/>
          </w:tcPr>
          <w:p w:rsidR="00E36085" w:rsidRPr="005823F5" w:rsidRDefault="00E36085" w:rsidP="00E36085">
            <w:pPr>
              <w:jc w:val="both"/>
              <w:rPr>
                <w:sz w:val="20"/>
                <w:lang w:val="en-CA"/>
              </w:rPr>
            </w:pPr>
            <w:r w:rsidRPr="005823F5">
              <w:rPr>
                <w:sz w:val="20"/>
                <w:lang w:val="en-CA"/>
              </w:rPr>
              <w:t xml:space="preserve">After a company that produced maple syrup defaulted on payment, the applicant Fédération des producteurs acéricoles du Québec made a claim for payment under a suretyship contracted by the respondent Unique General </w:t>
            </w:r>
            <w:r w:rsidRPr="005823F5">
              <w:rPr>
                <w:sz w:val="20"/>
                <w:lang w:val="en-CA"/>
              </w:rPr>
              <w:lastRenderedPageBreak/>
              <w:t>Insurance Inc. as security for the company’s obligations. Unique General Insurance Inc. in turn called O.P.M. Investments Inc. and Pierre Habib in warranty.</w:t>
            </w:r>
          </w:p>
          <w:p w:rsidR="00E36085" w:rsidRPr="005823F5" w:rsidRDefault="00E36085" w:rsidP="00E36085">
            <w:pPr>
              <w:jc w:val="both"/>
              <w:rPr>
                <w:sz w:val="20"/>
                <w:lang w:val="en-CA"/>
              </w:rPr>
            </w:pPr>
          </w:p>
          <w:p w:rsidR="00E36085" w:rsidRPr="005823F5" w:rsidRDefault="00E36085" w:rsidP="00E36085">
            <w:pPr>
              <w:jc w:val="both"/>
              <w:rPr>
                <w:sz w:val="20"/>
                <w:lang w:val="en-CA"/>
              </w:rPr>
            </w:pPr>
            <w:r w:rsidRPr="005823F5">
              <w:rPr>
                <w:sz w:val="20"/>
                <w:lang w:val="en-CA"/>
              </w:rPr>
              <w:t xml:space="preserve">The suretyship contract provided that a claim was to be made within thirty (30) working days after the date the debt became exigible under the maple syrup marketing agreement issued by the Régie des marchés agricoles et alimentaires du Québec. The courts below dismissed the action to enforce suretyship and held that the Fédération des producteurs acéricoles du Québec had made its claim outside the mandatory time limit of thirty (30) days. </w:t>
            </w:r>
          </w:p>
          <w:p w:rsidR="00E36085" w:rsidRPr="005823F5" w:rsidRDefault="00E36085" w:rsidP="00E36085">
            <w:pPr>
              <w:jc w:val="both"/>
              <w:rPr>
                <w:sz w:val="20"/>
                <w:lang w:val="en-CA"/>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36085" w:rsidRPr="005823F5" w:rsidTr="00B22EB0">
        <w:tc>
          <w:tcPr>
            <w:tcW w:w="4675" w:type="dxa"/>
          </w:tcPr>
          <w:p w:rsidR="00E36085" w:rsidRPr="005823F5" w:rsidRDefault="00E36085" w:rsidP="00E36085">
            <w:pPr>
              <w:tabs>
                <w:tab w:val="left" w:pos="6733"/>
              </w:tabs>
              <w:ind w:left="-108" w:firstLine="108"/>
              <w:jc w:val="both"/>
              <w:rPr>
                <w:sz w:val="20"/>
                <w:szCs w:val="20"/>
                <w:lang w:val="en-CA"/>
              </w:rPr>
            </w:pPr>
            <w:r w:rsidRPr="005823F5">
              <w:rPr>
                <w:sz w:val="20"/>
                <w:szCs w:val="20"/>
                <w:lang w:val="en-CA"/>
              </w:rPr>
              <w:lastRenderedPageBreak/>
              <w:t>September 10, 2014</w:t>
            </w:r>
          </w:p>
          <w:p w:rsidR="00E36085" w:rsidRPr="005823F5" w:rsidRDefault="00E36085" w:rsidP="00E36085">
            <w:pPr>
              <w:tabs>
                <w:tab w:val="left" w:pos="6733"/>
              </w:tabs>
              <w:ind w:left="-108" w:firstLine="108"/>
              <w:jc w:val="both"/>
              <w:rPr>
                <w:sz w:val="20"/>
                <w:szCs w:val="20"/>
                <w:lang w:val="en-CA"/>
              </w:rPr>
            </w:pPr>
            <w:r w:rsidRPr="005823F5">
              <w:rPr>
                <w:sz w:val="20"/>
                <w:szCs w:val="20"/>
                <w:lang w:val="en-CA"/>
              </w:rPr>
              <w:t>Quebec Superior Court (Montréal)</w:t>
            </w:r>
          </w:p>
          <w:p w:rsidR="00E36085" w:rsidRPr="005823F5" w:rsidRDefault="00E36085" w:rsidP="00E36085">
            <w:pPr>
              <w:jc w:val="both"/>
              <w:rPr>
                <w:sz w:val="20"/>
                <w:szCs w:val="20"/>
                <w:lang w:val="en-CA"/>
              </w:rPr>
            </w:pPr>
            <w:r w:rsidRPr="005823F5">
              <w:rPr>
                <w:sz w:val="20"/>
                <w:szCs w:val="20"/>
                <w:lang w:val="en-CA"/>
              </w:rPr>
              <w:t>(Beaugé J.)</w:t>
            </w:r>
          </w:p>
          <w:p w:rsidR="00E36085" w:rsidRPr="005823F5" w:rsidRDefault="00ED7686" w:rsidP="00E36085">
            <w:pPr>
              <w:jc w:val="both"/>
              <w:rPr>
                <w:rStyle w:val="Hyperlink"/>
                <w:sz w:val="20"/>
                <w:szCs w:val="20"/>
                <w:lang w:val="en-CA"/>
              </w:rPr>
            </w:pPr>
            <w:hyperlink r:id="rId17" w:anchor="showHeadnotes" w:history="1">
              <w:r w:rsidR="00E36085" w:rsidRPr="005823F5">
                <w:rPr>
                  <w:rStyle w:val="Hyperlink"/>
                  <w:sz w:val="20"/>
                  <w:szCs w:val="20"/>
                  <w:lang w:val="en-CA"/>
                </w:rPr>
                <w:t>2014 QCCS 4377</w:t>
              </w:r>
            </w:hyperlink>
          </w:p>
          <w:p w:rsidR="00E36085" w:rsidRPr="005823F5" w:rsidRDefault="00E36085" w:rsidP="00E36085">
            <w:pPr>
              <w:jc w:val="both"/>
              <w:rPr>
                <w:sz w:val="20"/>
                <w:szCs w:val="20"/>
                <w:lang w:val="en-CA"/>
              </w:rPr>
            </w:pPr>
            <w:r w:rsidRPr="005823F5">
              <w:rPr>
                <w:sz w:val="20"/>
                <w:szCs w:val="20"/>
                <w:lang w:val="en-CA"/>
              </w:rPr>
              <w:t>(File 500-17-057246-103)</w:t>
            </w:r>
          </w:p>
          <w:p w:rsidR="00E36085" w:rsidRPr="005823F5" w:rsidRDefault="00E36085" w:rsidP="00E36085">
            <w:pPr>
              <w:jc w:val="both"/>
              <w:rPr>
                <w:sz w:val="20"/>
                <w:szCs w:val="20"/>
                <w:lang w:val="en-CA"/>
              </w:rPr>
            </w:pPr>
          </w:p>
        </w:tc>
        <w:tc>
          <w:tcPr>
            <w:tcW w:w="4675" w:type="dxa"/>
          </w:tcPr>
          <w:p w:rsidR="00E36085" w:rsidRPr="005823F5" w:rsidRDefault="00E36085" w:rsidP="00E36085">
            <w:pPr>
              <w:jc w:val="both"/>
              <w:rPr>
                <w:sz w:val="20"/>
                <w:szCs w:val="20"/>
                <w:lang w:val="en-CA"/>
              </w:rPr>
            </w:pPr>
            <w:r w:rsidRPr="005823F5">
              <w:rPr>
                <w:sz w:val="20"/>
                <w:szCs w:val="20"/>
                <w:lang w:val="en-CA"/>
              </w:rPr>
              <w:t>Motion to institute proceedings for payment under suretyship dismissed; action in warranty allowed in part</w:t>
            </w:r>
          </w:p>
        </w:tc>
      </w:tr>
      <w:tr w:rsidR="00E36085" w:rsidRPr="005823F5" w:rsidTr="00B22EB0">
        <w:tc>
          <w:tcPr>
            <w:tcW w:w="4675" w:type="dxa"/>
          </w:tcPr>
          <w:p w:rsidR="00E36085" w:rsidRPr="005823F5" w:rsidRDefault="00E36085" w:rsidP="00E36085">
            <w:pPr>
              <w:jc w:val="both"/>
              <w:rPr>
                <w:sz w:val="20"/>
                <w:szCs w:val="20"/>
                <w:lang w:val="en-CA"/>
              </w:rPr>
            </w:pPr>
            <w:r w:rsidRPr="005823F5">
              <w:rPr>
                <w:sz w:val="20"/>
                <w:szCs w:val="20"/>
                <w:lang w:val="en-CA"/>
              </w:rPr>
              <w:t>April 8, 2016</w:t>
            </w:r>
          </w:p>
          <w:p w:rsidR="00E36085" w:rsidRPr="005823F5" w:rsidRDefault="00E36085" w:rsidP="00E36085">
            <w:pPr>
              <w:jc w:val="both"/>
              <w:rPr>
                <w:sz w:val="20"/>
                <w:szCs w:val="20"/>
                <w:lang w:val="en-CA"/>
              </w:rPr>
            </w:pPr>
            <w:r w:rsidRPr="005823F5">
              <w:rPr>
                <w:sz w:val="20"/>
                <w:szCs w:val="20"/>
                <w:lang w:val="en-CA"/>
              </w:rPr>
              <w:t>Quebec Court of Appeal (Montréal)</w:t>
            </w:r>
          </w:p>
          <w:p w:rsidR="00E36085" w:rsidRPr="005823F5" w:rsidRDefault="00E36085" w:rsidP="00E36085">
            <w:pPr>
              <w:jc w:val="both"/>
              <w:rPr>
                <w:sz w:val="20"/>
                <w:szCs w:val="20"/>
                <w:lang w:val="en-CA"/>
              </w:rPr>
            </w:pPr>
            <w:r w:rsidRPr="005823F5">
              <w:rPr>
                <w:sz w:val="20"/>
                <w:szCs w:val="20"/>
                <w:lang w:val="en-CA"/>
              </w:rPr>
              <w:t>(Morissette, Bouchard and Schrager JJ.A.)</w:t>
            </w:r>
          </w:p>
          <w:p w:rsidR="00E36085" w:rsidRPr="005823F5" w:rsidRDefault="00ED7686" w:rsidP="00E36085">
            <w:pPr>
              <w:jc w:val="both"/>
              <w:rPr>
                <w:sz w:val="20"/>
                <w:szCs w:val="20"/>
                <w:lang w:val="en-CA"/>
              </w:rPr>
            </w:pPr>
            <w:hyperlink r:id="rId18" w:history="1">
              <w:r w:rsidR="00E36085" w:rsidRPr="005823F5">
                <w:rPr>
                  <w:rStyle w:val="Hyperlink"/>
                  <w:sz w:val="20"/>
                  <w:szCs w:val="20"/>
                  <w:lang w:val="en-CA"/>
                </w:rPr>
                <w:t>2016 QCCA 644</w:t>
              </w:r>
            </w:hyperlink>
          </w:p>
          <w:p w:rsidR="00E36085" w:rsidRPr="005823F5" w:rsidRDefault="00E36085" w:rsidP="00E36085">
            <w:pPr>
              <w:jc w:val="both"/>
              <w:rPr>
                <w:sz w:val="20"/>
                <w:szCs w:val="20"/>
                <w:lang w:val="en-CA"/>
              </w:rPr>
            </w:pPr>
          </w:p>
        </w:tc>
        <w:tc>
          <w:tcPr>
            <w:tcW w:w="4675" w:type="dxa"/>
          </w:tcPr>
          <w:p w:rsidR="00E36085" w:rsidRPr="005823F5" w:rsidRDefault="00E36085" w:rsidP="00E36085">
            <w:pPr>
              <w:jc w:val="both"/>
              <w:rPr>
                <w:sz w:val="20"/>
                <w:szCs w:val="20"/>
                <w:lang w:val="en-CA"/>
              </w:rPr>
            </w:pPr>
            <w:r w:rsidRPr="005823F5">
              <w:rPr>
                <w:sz w:val="20"/>
                <w:szCs w:val="20"/>
                <w:lang w:val="en-CA"/>
              </w:rPr>
              <w:t>Appeal dismissed</w:t>
            </w:r>
          </w:p>
        </w:tc>
      </w:tr>
      <w:tr w:rsidR="00E36085" w:rsidRPr="005823F5" w:rsidTr="00B22EB0">
        <w:tc>
          <w:tcPr>
            <w:tcW w:w="4675" w:type="dxa"/>
          </w:tcPr>
          <w:p w:rsidR="00E36085" w:rsidRPr="005823F5" w:rsidRDefault="00E36085" w:rsidP="00E36085">
            <w:pPr>
              <w:jc w:val="both"/>
              <w:rPr>
                <w:sz w:val="20"/>
                <w:szCs w:val="20"/>
                <w:lang w:val="en-CA"/>
              </w:rPr>
            </w:pPr>
            <w:r w:rsidRPr="005823F5">
              <w:rPr>
                <w:sz w:val="20"/>
                <w:szCs w:val="20"/>
                <w:lang w:val="en-CA"/>
              </w:rPr>
              <w:t>June 3, 2016</w:t>
            </w:r>
          </w:p>
          <w:p w:rsidR="00E36085" w:rsidRPr="005823F5" w:rsidRDefault="00E36085" w:rsidP="00E36085">
            <w:pPr>
              <w:jc w:val="both"/>
              <w:rPr>
                <w:sz w:val="20"/>
                <w:szCs w:val="20"/>
                <w:lang w:val="en-CA"/>
              </w:rPr>
            </w:pPr>
            <w:r w:rsidRPr="005823F5">
              <w:rPr>
                <w:sz w:val="20"/>
                <w:szCs w:val="20"/>
                <w:lang w:val="en-CA"/>
              </w:rPr>
              <w:t>Supreme Court of Canada</w:t>
            </w:r>
          </w:p>
        </w:tc>
        <w:tc>
          <w:tcPr>
            <w:tcW w:w="4675" w:type="dxa"/>
          </w:tcPr>
          <w:p w:rsidR="00E36085" w:rsidRPr="005823F5" w:rsidRDefault="00E36085" w:rsidP="00E36085">
            <w:pPr>
              <w:jc w:val="both"/>
              <w:rPr>
                <w:sz w:val="20"/>
                <w:szCs w:val="20"/>
                <w:lang w:val="en-CA"/>
              </w:rPr>
            </w:pPr>
            <w:r w:rsidRPr="005823F5">
              <w:rPr>
                <w:sz w:val="20"/>
                <w:szCs w:val="20"/>
                <w:lang w:val="en-CA"/>
              </w:rPr>
              <w:t>Application for leave to appeal filed</w:t>
            </w:r>
          </w:p>
        </w:tc>
      </w:tr>
    </w:tbl>
    <w:p w:rsidR="00E36085" w:rsidRPr="005823F5" w:rsidRDefault="00E36085" w:rsidP="00E36085">
      <w:pPr>
        <w:jc w:val="both"/>
        <w:rPr>
          <w:sz w:val="20"/>
          <w:lang w:val="en-CA"/>
        </w:rPr>
      </w:pPr>
    </w:p>
    <w:p w:rsidR="00E36085" w:rsidRPr="005823F5" w:rsidRDefault="00E36085" w:rsidP="00E36085">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E36085" w:rsidRPr="005823F5" w:rsidTr="00E95A6A">
        <w:tc>
          <w:tcPr>
            <w:tcW w:w="543" w:type="pct"/>
          </w:tcPr>
          <w:p w:rsidR="00E36085" w:rsidRPr="005823F5" w:rsidRDefault="00E36085" w:rsidP="00E36085">
            <w:pPr>
              <w:jc w:val="both"/>
              <w:rPr>
                <w:sz w:val="20"/>
              </w:rPr>
            </w:pPr>
            <w:r w:rsidRPr="005823F5">
              <w:rPr>
                <w:rStyle w:val="SCCFileNumberChar"/>
                <w:sz w:val="20"/>
                <w:szCs w:val="20"/>
              </w:rPr>
              <w:t>37047</w:t>
            </w:r>
          </w:p>
        </w:tc>
        <w:tc>
          <w:tcPr>
            <w:tcW w:w="4457" w:type="pct"/>
          </w:tcPr>
          <w:p w:rsidR="00E36085" w:rsidRPr="005823F5" w:rsidRDefault="00E36085" w:rsidP="00E36085">
            <w:pPr>
              <w:pStyle w:val="SCCLsocParty"/>
              <w:jc w:val="both"/>
              <w:rPr>
                <w:b/>
                <w:sz w:val="20"/>
                <w:szCs w:val="20"/>
              </w:rPr>
            </w:pPr>
            <w:r w:rsidRPr="005823F5">
              <w:rPr>
                <w:b/>
                <w:sz w:val="20"/>
                <w:szCs w:val="20"/>
              </w:rPr>
              <w:t xml:space="preserve">Fédération des producteurs acéricoles du Québec c. Unique </w:t>
            </w:r>
            <w:r w:rsidR="002A55AA" w:rsidRPr="005823F5">
              <w:rPr>
                <w:b/>
                <w:sz w:val="20"/>
                <w:szCs w:val="20"/>
              </w:rPr>
              <w:t>a</w:t>
            </w:r>
            <w:r w:rsidRPr="005823F5">
              <w:rPr>
                <w:b/>
                <w:sz w:val="20"/>
                <w:szCs w:val="20"/>
              </w:rPr>
              <w:t xml:space="preserve">ssurances </w:t>
            </w:r>
            <w:r w:rsidR="002A55AA" w:rsidRPr="005823F5">
              <w:rPr>
                <w:b/>
                <w:sz w:val="20"/>
                <w:szCs w:val="20"/>
              </w:rPr>
              <w:t>g</w:t>
            </w:r>
            <w:r w:rsidRPr="005823F5">
              <w:rPr>
                <w:b/>
                <w:sz w:val="20"/>
                <w:szCs w:val="20"/>
              </w:rPr>
              <w:t xml:space="preserve">énérales </w:t>
            </w:r>
            <w:r w:rsidR="002A55AA" w:rsidRPr="005823F5">
              <w:rPr>
                <w:b/>
                <w:sz w:val="20"/>
                <w:szCs w:val="20"/>
              </w:rPr>
              <w:t>i</w:t>
            </w:r>
            <w:r w:rsidRPr="005823F5">
              <w:rPr>
                <w:b/>
                <w:sz w:val="20"/>
                <w:szCs w:val="20"/>
              </w:rPr>
              <w:t xml:space="preserve">nc., Investissements O.P.M. Inc., Pierre Habib </w:t>
            </w:r>
            <w:r w:rsidR="002A55AA" w:rsidRPr="005823F5">
              <w:rPr>
                <w:b/>
                <w:sz w:val="20"/>
                <w:szCs w:val="20"/>
              </w:rPr>
              <w:t>et</w:t>
            </w:r>
            <w:r w:rsidRPr="005823F5">
              <w:rPr>
                <w:b/>
                <w:sz w:val="20"/>
                <w:szCs w:val="20"/>
              </w:rPr>
              <w:t xml:space="preserve"> </w:t>
            </w:r>
            <w:proofErr w:type="spellStart"/>
            <w:r w:rsidRPr="005823F5">
              <w:rPr>
                <w:b/>
                <w:sz w:val="20"/>
                <w:szCs w:val="20"/>
              </w:rPr>
              <w:t>Graciana</w:t>
            </w:r>
            <w:proofErr w:type="spellEnd"/>
            <w:r w:rsidRPr="005823F5">
              <w:rPr>
                <w:b/>
                <w:sz w:val="20"/>
                <w:szCs w:val="20"/>
              </w:rPr>
              <w:t xml:space="preserve"> André</w:t>
            </w:r>
          </w:p>
          <w:p w:rsidR="00E36085" w:rsidRPr="005823F5" w:rsidRDefault="00E36085" w:rsidP="00E36085">
            <w:pPr>
              <w:jc w:val="both"/>
              <w:rPr>
                <w:sz w:val="20"/>
              </w:rPr>
            </w:pPr>
            <w:r w:rsidRPr="005823F5">
              <w:rPr>
                <w:sz w:val="20"/>
              </w:rPr>
              <w:t>(Qc) (</w:t>
            </w:r>
            <w:proofErr w:type="spellStart"/>
            <w:r w:rsidRPr="005823F5">
              <w:rPr>
                <w:sz w:val="20"/>
              </w:rPr>
              <w:t>Civile</w:t>
            </w:r>
            <w:proofErr w:type="spellEnd"/>
            <w:r w:rsidRPr="005823F5">
              <w:rPr>
                <w:sz w:val="20"/>
              </w:rPr>
              <w:t>) (</w:t>
            </w:r>
            <w:proofErr w:type="spellStart"/>
            <w:r w:rsidRPr="005823F5">
              <w:rPr>
                <w:sz w:val="20"/>
              </w:rPr>
              <w:t>Autorisation</w:t>
            </w:r>
            <w:proofErr w:type="spellEnd"/>
            <w:r w:rsidRPr="005823F5">
              <w:rPr>
                <w:sz w:val="20"/>
              </w:rPr>
              <w:t>)</w:t>
            </w:r>
          </w:p>
        </w:tc>
      </w:tr>
      <w:tr w:rsidR="00E36085" w:rsidRPr="00ED7686" w:rsidTr="00E95A6A">
        <w:tc>
          <w:tcPr>
            <w:tcW w:w="5000" w:type="pct"/>
            <w:gridSpan w:val="2"/>
          </w:tcPr>
          <w:p w:rsidR="00E36085" w:rsidRPr="00ED7686" w:rsidRDefault="00E36085" w:rsidP="00E36085">
            <w:pPr>
              <w:jc w:val="both"/>
              <w:rPr>
                <w:sz w:val="20"/>
                <w:lang w:val="fr-CA"/>
              </w:rPr>
            </w:pPr>
            <w:r w:rsidRPr="00ED7686">
              <w:rPr>
                <w:sz w:val="20"/>
                <w:lang w:val="fr-CA"/>
              </w:rPr>
              <w:t>Contrats – Cautionnement – Échec du recours en cautionnement – Faillite d’un producteur de sirop d’érable entrainant des pertes à la demanderesse – Date d’exigibilité de la créance –  Réclamation du cautionnement jugée tardive – La Cour d’appel a-t-elle erré dans la détermination de la date de la créance ? – La Cour d’appel a-t-elle erré en décidant que la réclamation avait été faite tardivement et en refusant de donner son plein effet à un acte de cautionnement?</w:t>
            </w:r>
          </w:p>
        </w:tc>
      </w:tr>
      <w:tr w:rsidR="00E36085" w:rsidRPr="00ED7686" w:rsidTr="00E95A6A">
        <w:tc>
          <w:tcPr>
            <w:tcW w:w="5000" w:type="pct"/>
            <w:gridSpan w:val="2"/>
          </w:tcPr>
          <w:p w:rsidR="00E36085" w:rsidRPr="00ED7686" w:rsidRDefault="00E36085" w:rsidP="00E36085">
            <w:pPr>
              <w:jc w:val="both"/>
              <w:rPr>
                <w:sz w:val="20"/>
                <w:lang w:val="fr-CA"/>
              </w:rPr>
            </w:pPr>
          </w:p>
        </w:tc>
      </w:tr>
      <w:tr w:rsidR="00E36085" w:rsidRPr="00ED7686" w:rsidTr="00E95A6A">
        <w:tc>
          <w:tcPr>
            <w:tcW w:w="5000" w:type="pct"/>
            <w:gridSpan w:val="2"/>
          </w:tcPr>
          <w:p w:rsidR="00E36085" w:rsidRPr="00ED7686" w:rsidRDefault="00E36085" w:rsidP="00E36085">
            <w:pPr>
              <w:jc w:val="both"/>
              <w:rPr>
                <w:sz w:val="20"/>
                <w:lang w:val="fr-CA"/>
              </w:rPr>
            </w:pPr>
            <w:r w:rsidRPr="00ED7686">
              <w:rPr>
                <w:sz w:val="20"/>
                <w:lang w:val="fr-CA"/>
              </w:rPr>
              <w:t>À la suite du défaut de paiement d’une société productrice de sirop d’érable, la demanderesse la Fédération des producteurs acéricoles du Québec émet une réclamation pour le paiement d’un cautionnement souscrit en garantie des obligations à l’intimée Unique Assurances Générales inc. En retour, Unique Assurances Générales inc. appelle en garantie Investissements O.P.M. Inc et M. Pierre Habib.</w:t>
            </w:r>
          </w:p>
          <w:p w:rsidR="00E36085" w:rsidRPr="00ED7686" w:rsidRDefault="00E36085" w:rsidP="00E36085">
            <w:pPr>
              <w:jc w:val="both"/>
              <w:rPr>
                <w:sz w:val="20"/>
                <w:lang w:val="fr-CA"/>
              </w:rPr>
            </w:pPr>
          </w:p>
          <w:p w:rsidR="00E36085" w:rsidRPr="00ED7686" w:rsidRDefault="00E36085" w:rsidP="00E36085">
            <w:pPr>
              <w:jc w:val="both"/>
              <w:rPr>
                <w:sz w:val="20"/>
                <w:lang w:val="fr-CA"/>
              </w:rPr>
            </w:pPr>
            <w:r w:rsidRPr="00ED7686">
              <w:rPr>
                <w:sz w:val="20"/>
                <w:lang w:val="fr-CA"/>
              </w:rPr>
              <w:t xml:space="preserve">Le contrat de cautionnement prévoit qu’une réclamation sera produite dans les trente (30) jours ouvrables de la date à laquelle la dette devient exigible en vertu de la Convention de mise en marché du sirop d’érable, émise par la Régie des marchés agricoles et alimentaires du Québec. Les tribunaux inférieurs rejettent l’action en cautionnement et jugent que la réclamation de la Fédération des producteurs acéricoles du Québec a été produite à l’extérieur du délai de rigueur de trente (30) jours. </w:t>
            </w:r>
          </w:p>
          <w:p w:rsidR="00E36085" w:rsidRPr="00ED7686" w:rsidRDefault="00E36085" w:rsidP="00E36085">
            <w:pPr>
              <w:jc w:val="both"/>
              <w:rPr>
                <w:sz w:val="20"/>
                <w:lang w:val="fr-CA"/>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36085" w:rsidRPr="00ED7686" w:rsidTr="00B22EB0">
        <w:tc>
          <w:tcPr>
            <w:tcW w:w="4675" w:type="dxa"/>
          </w:tcPr>
          <w:p w:rsidR="00E36085" w:rsidRPr="00ED7686" w:rsidRDefault="00E36085" w:rsidP="00E36085">
            <w:pPr>
              <w:tabs>
                <w:tab w:val="left" w:pos="6733"/>
              </w:tabs>
              <w:ind w:left="-108" w:firstLine="108"/>
              <w:jc w:val="both"/>
              <w:rPr>
                <w:sz w:val="20"/>
                <w:szCs w:val="20"/>
                <w:lang w:val="fr-CA"/>
              </w:rPr>
            </w:pPr>
            <w:r w:rsidRPr="00ED7686">
              <w:rPr>
                <w:sz w:val="20"/>
                <w:szCs w:val="20"/>
                <w:lang w:val="fr-CA"/>
              </w:rPr>
              <w:t>Le 10 septembre 2014</w:t>
            </w:r>
          </w:p>
          <w:p w:rsidR="00E36085" w:rsidRPr="00ED7686" w:rsidRDefault="00E36085" w:rsidP="00E36085">
            <w:pPr>
              <w:tabs>
                <w:tab w:val="left" w:pos="6733"/>
              </w:tabs>
              <w:ind w:left="-108" w:firstLine="108"/>
              <w:jc w:val="both"/>
              <w:rPr>
                <w:sz w:val="20"/>
                <w:szCs w:val="20"/>
                <w:lang w:val="fr-CA"/>
              </w:rPr>
            </w:pPr>
            <w:r w:rsidRPr="00ED7686">
              <w:rPr>
                <w:sz w:val="20"/>
                <w:szCs w:val="20"/>
                <w:lang w:val="fr-CA"/>
              </w:rPr>
              <w:t>Cour supérieure du Québec (Montréal)</w:t>
            </w:r>
          </w:p>
          <w:p w:rsidR="00E36085" w:rsidRPr="00ED7686" w:rsidRDefault="00E36085" w:rsidP="00E36085">
            <w:pPr>
              <w:jc w:val="both"/>
              <w:rPr>
                <w:sz w:val="20"/>
                <w:szCs w:val="20"/>
                <w:lang w:val="fr-CA"/>
              </w:rPr>
            </w:pPr>
            <w:r w:rsidRPr="00ED7686">
              <w:rPr>
                <w:sz w:val="20"/>
                <w:szCs w:val="20"/>
                <w:lang w:val="fr-CA"/>
              </w:rPr>
              <w:t>(La juge Beaugé)</w:t>
            </w:r>
          </w:p>
          <w:p w:rsidR="00E36085" w:rsidRPr="00ED7686" w:rsidRDefault="00ED7686" w:rsidP="00E36085">
            <w:pPr>
              <w:jc w:val="both"/>
              <w:rPr>
                <w:rStyle w:val="Hyperlink"/>
                <w:sz w:val="20"/>
                <w:szCs w:val="20"/>
                <w:lang w:val="fr-CA"/>
              </w:rPr>
            </w:pPr>
            <w:r>
              <w:fldChar w:fldCharType="begin"/>
            </w:r>
            <w:r w:rsidRPr="00ED7686">
              <w:rPr>
                <w:lang w:val="fr-CA"/>
              </w:rPr>
              <w:instrText xml:space="preserve"> HYPERLINK "http://www.canlii.org/fr/qc/qccs/doc</w:instrText>
            </w:r>
            <w:r w:rsidRPr="00ED7686">
              <w:rPr>
                <w:lang w:val="fr-CA"/>
              </w:rPr>
              <w:instrText xml:space="preserve">/2014/2014qccs4377/2014qccs4377.html?autocompleteStr=aliment%20mopu&amp;autocompletePos=5" \l "showHeadnotes" </w:instrText>
            </w:r>
            <w:r>
              <w:fldChar w:fldCharType="separate"/>
            </w:r>
            <w:r w:rsidR="00E36085" w:rsidRPr="00ED7686">
              <w:rPr>
                <w:rStyle w:val="Hyperlink"/>
                <w:sz w:val="20"/>
                <w:szCs w:val="20"/>
                <w:lang w:val="fr-CA"/>
              </w:rPr>
              <w:t>2014 QCCS 4377</w:t>
            </w:r>
            <w:r>
              <w:rPr>
                <w:rStyle w:val="Hyperlink"/>
                <w:sz w:val="20"/>
              </w:rPr>
              <w:fldChar w:fldCharType="end"/>
            </w:r>
          </w:p>
          <w:p w:rsidR="00E36085" w:rsidRPr="00ED7686" w:rsidRDefault="00E36085" w:rsidP="00E36085">
            <w:pPr>
              <w:jc w:val="both"/>
              <w:rPr>
                <w:sz w:val="20"/>
                <w:szCs w:val="20"/>
                <w:lang w:val="fr-CA"/>
              </w:rPr>
            </w:pPr>
            <w:r w:rsidRPr="00ED7686">
              <w:rPr>
                <w:sz w:val="20"/>
                <w:szCs w:val="20"/>
                <w:lang w:val="fr-CA"/>
              </w:rPr>
              <w:t>(Dossier 500-17-057246-103)</w:t>
            </w:r>
          </w:p>
          <w:p w:rsidR="00E36085" w:rsidRPr="00ED7686" w:rsidRDefault="00E36085" w:rsidP="00E36085">
            <w:pPr>
              <w:jc w:val="both"/>
              <w:rPr>
                <w:sz w:val="20"/>
                <w:szCs w:val="20"/>
                <w:lang w:val="fr-CA"/>
              </w:rPr>
            </w:pPr>
          </w:p>
        </w:tc>
        <w:tc>
          <w:tcPr>
            <w:tcW w:w="4675" w:type="dxa"/>
          </w:tcPr>
          <w:p w:rsidR="00E36085" w:rsidRPr="00ED7686" w:rsidRDefault="00E36085" w:rsidP="00E36085">
            <w:pPr>
              <w:jc w:val="both"/>
              <w:rPr>
                <w:sz w:val="20"/>
                <w:szCs w:val="20"/>
                <w:lang w:val="fr-CA"/>
              </w:rPr>
            </w:pPr>
            <w:r w:rsidRPr="00ED7686">
              <w:rPr>
                <w:sz w:val="20"/>
                <w:szCs w:val="20"/>
                <w:lang w:val="fr-CA"/>
              </w:rPr>
              <w:t>Requête introductive d’instance pour paiement de cautionnement rejetée; Action en garantie accueillie en partie</w:t>
            </w:r>
          </w:p>
        </w:tc>
      </w:tr>
      <w:tr w:rsidR="00E36085" w:rsidRPr="005823F5" w:rsidTr="00B22EB0">
        <w:tc>
          <w:tcPr>
            <w:tcW w:w="4675" w:type="dxa"/>
          </w:tcPr>
          <w:p w:rsidR="00E36085" w:rsidRPr="00ED7686" w:rsidRDefault="00E36085" w:rsidP="00E36085">
            <w:pPr>
              <w:jc w:val="both"/>
              <w:rPr>
                <w:sz w:val="20"/>
                <w:szCs w:val="20"/>
                <w:lang w:val="fr-CA"/>
              </w:rPr>
            </w:pPr>
            <w:r w:rsidRPr="00ED7686">
              <w:rPr>
                <w:sz w:val="20"/>
                <w:szCs w:val="20"/>
                <w:lang w:val="fr-CA"/>
              </w:rPr>
              <w:t>Le 8 avril 2016</w:t>
            </w:r>
          </w:p>
          <w:p w:rsidR="00E36085" w:rsidRPr="00ED7686" w:rsidRDefault="00E36085" w:rsidP="00E36085">
            <w:pPr>
              <w:jc w:val="both"/>
              <w:rPr>
                <w:sz w:val="20"/>
                <w:szCs w:val="20"/>
                <w:lang w:val="fr-CA"/>
              </w:rPr>
            </w:pPr>
            <w:r w:rsidRPr="00ED7686">
              <w:rPr>
                <w:sz w:val="20"/>
                <w:szCs w:val="20"/>
                <w:lang w:val="fr-CA"/>
              </w:rPr>
              <w:t>Cour d’appel du Québec (Montréal)</w:t>
            </w:r>
          </w:p>
          <w:p w:rsidR="00E36085" w:rsidRPr="00ED7686" w:rsidRDefault="00E36085" w:rsidP="00E36085">
            <w:pPr>
              <w:jc w:val="both"/>
              <w:rPr>
                <w:sz w:val="20"/>
                <w:szCs w:val="20"/>
                <w:lang w:val="fr-CA"/>
              </w:rPr>
            </w:pPr>
            <w:r w:rsidRPr="00ED7686">
              <w:rPr>
                <w:sz w:val="20"/>
                <w:szCs w:val="20"/>
                <w:lang w:val="fr-CA"/>
              </w:rPr>
              <w:t>(Les juges Morissette, Bouchard et</w:t>
            </w:r>
          </w:p>
          <w:p w:rsidR="00E36085" w:rsidRPr="00ED7686" w:rsidRDefault="00E36085" w:rsidP="00E36085">
            <w:pPr>
              <w:jc w:val="both"/>
              <w:rPr>
                <w:sz w:val="20"/>
                <w:szCs w:val="20"/>
                <w:lang w:val="fr-CA"/>
              </w:rPr>
            </w:pPr>
            <w:r w:rsidRPr="00ED7686">
              <w:rPr>
                <w:sz w:val="20"/>
                <w:szCs w:val="20"/>
                <w:lang w:val="fr-CA"/>
              </w:rPr>
              <w:t>Schrager)</w:t>
            </w:r>
          </w:p>
          <w:p w:rsidR="00E36085" w:rsidRPr="005823F5" w:rsidRDefault="00ED7686" w:rsidP="00E36085">
            <w:pPr>
              <w:jc w:val="both"/>
              <w:rPr>
                <w:sz w:val="20"/>
                <w:szCs w:val="20"/>
              </w:rPr>
            </w:pPr>
            <w:r>
              <w:fldChar w:fldCharType="begin"/>
            </w:r>
            <w:r>
              <w:instrText xml:space="preserve"> HYPERLINK "http://www.canlii.org/fr/qc/qcca/doc/2016/2016qcca644/2016qcca644.html" </w:instrText>
            </w:r>
            <w:r>
              <w:fldChar w:fldCharType="separate"/>
            </w:r>
            <w:r w:rsidR="00E36085" w:rsidRPr="005823F5">
              <w:rPr>
                <w:rStyle w:val="Hyperlink"/>
                <w:sz w:val="20"/>
                <w:szCs w:val="20"/>
              </w:rPr>
              <w:t>2016 QCCA 644</w:t>
            </w:r>
            <w:r>
              <w:rPr>
                <w:rStyle w:val="Hyperlink"/>
                <w:sz w:val="20"/>
              </w:rPr>
              <w:fldChar w:fldCharType="end"/>
            </w:r>
          </w:p>
          <w:p w:rsidR="00E36085" w:rsidRPr="005823F5" w:rsidRDefault="00E36085" w:rsidP="00E36085">
            <w:pPr>
              <w:jc w:val="both"/>
              <w:rPr>
                <w:sz w:val="20"/>
                <w:szCs w:val="20"/>
              </w:rPr>
            </w:pPr>
          </w:p>
        </w:tc>
        <w:tc>
          <w:tcPr>
            <w:tcW w:w="4675" w:type="dxa"/>
          </w:tcPr>
          <w:p w:rsidR="00E36085" w:rsidRPr="005823F5" w:rsidRDefault="00E36085" w:rsidP="00E36085">
            <w:pPr>
              <w:jc w:val="both"/>
              <w:rPr>
                <w:sz w:val="20"/>
                <w:szCs w:val="20"/>
              </w:rPr>
            </w:pPr>
            <w:r w:rsidRPr="005823F5">
              <w:rPr>
                <w:sz w:val="20"/>
                <w:szCs w:val="20"/>
              </w:rPr>
              <w:lastRenderedPageBreak/>
              <w:t>Appel rejeté</w:t>
            </w:r>
          </w:p>
        </w:tc>
      </w:tr>
      <w:tr w:rsidR="00E36085" w:rsidRPr="005823F5" w:rsidTr="00B22EB0">
        <w:tc>
          <w:tcPr>
            <w:tcW w:w="4675" w:type="dxa"/>
          </w:tcPr>
          <w:p w:rsidR="00E36085" w:rsidRPr="00ED7686" w:rsidRDefault="00E36085" w:rsidP="00E36085">
            <w:pPr>
              <w:jc w:val="both"/>
              <w:rPr>
                <w:sz w:val="20"/>
                <w:szCs w:val="20"/>
                <w:lang w:val="fr-CA"/>
              </w:rPr>
            </w:pPr>
            <w:r w:rsidRPr="00ED7686">
              <w:rPr>
                <w:sz w:val="20"/>
                <w:szCs w:val="20"/>
                <w:lang w:val="fr-CA"/>
              </w:rPr>
              <w:t>Le 3 juin 2016</w:t>
            </w:r>
          </w:p>
          <w:p w:rsidR="00E36085" w:rsidRPr="00ED7686" w:rsidRDefault="00E36085" w:rsidP="00E36085">
            <w:pPr>
              <w:jc w:val="both"/>
              <w:rPr>
                <w:sz w:val="20"/>
                <w:szCs w:val="20"/>
                <w:lang w:val="fr-CA"/>
              </w:rPr>
            </w:pPr>
            <w:r w:rsidRPr="00ED7686">
              <w:rPr>
                <w:sz w:val="20"/>
                <w:szCs w:val="20"/>
                <w:lang w:val="fr-CA"/>
              </w:rPr>
              <w:t>Cour suprême du Canada</w:t>
            </w:r>
          </w:p>
        </w:tc>
        <w:tc>
          <w:tcPr>
            <w:tcW w:w="4675" w:type="dxa"/>
          </w:tcPr>
          <w:p w:rsidR="00E36085" w:rsidRPr="005823F5" w:rsidRDefault="00E36085" w:rsidP="00E36085">
            <w:pPr>
              <w:jc w:val="both"/>
              <w:rPr>
                <w:sz w:val="20"/>
                <w:szCs w:val="20"/>
              </w:rPr>
            </w:pPr>
            <w:r w:rsidRPr="005823F5">
              <w:rPr>
                <w:sz w:val="20"/>
                <w:szCs w:val="20"/>
              </w:rPr>
              <w:t>Demande d’autorisation d’appel déposée</w:t>
            </w:r>
          </w:p>
        </w:tc>
      </w:tr>
    </w:tbl>
    <w:p w:rsidR="00E36085" w:rsidRPr="005823F5" w:rsidRDefault="00E36085" w:rsidP="00E36085">
      <w:pPr>
        <w:jc w:val="both"/>
        <w:rPr>
          <w:sz w:val="20"/>
        </w:rPr>
      </w:pPr>
    </w:p>
    <w:p w:rsidR="00E76DD0" w:rsidRPr="005823F5" w:rsidRDefault="00E76DD0" w:rsidP="00E36085">
      <w:pPr>
        <w:jc w:val="both"/>
        <w:rPr>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36085" w:rsidRPr="005823F5" w:rsidTr="00E95A6A">
        <w:tc>
          <w:tcPr>
            <w:tcW w:w="543" w:type="pct"/>
          </w:tcPr>
          <w:p w:rsidR="00E36085" w:rsidRPr="005823F5" w:rsidRDefault="00E36085" w:rsidP="00E36085">
            <w:pPr>
              <w:jc w:val="both"/>
              <w:rPr>
                <w:sz w:val="20"/>
              </w:rPr>
            </w:pPr>
            <w:r w:rsidRPr="005823F5">
              <w:rPr>
                <w:rStyle w:val="SCCFileNumberChar"/>
                <w:sz w:val="20"/>
                <w:szCs w:val="20"/>
              </w:rPr>
              <w:t>37194</w:t>
            </w:r>
          </w:p>
        </w:tc>
        <w:tc>
          <w:tcPr>
            <w:tcW w:w="4457" w:type="pct"/>
            <w:gridSpan w:val="3"/>
          </w:tcPr>
          <w:p w:rsidR="00E36085" w:rsidRPr="00ED7686" w:rsidRDefault="00E36085" w:rsidP="00E36085">
            <w:pPr>
              <w:pStyle w:val="SCCLsocParty"/>
              <w:jc w:val="both"/>
              <w:rPr>
                <w:b/>
                <w:sz w:val="20"/>
                <w:szCs w:val="20"/>
                <w:lang w:val="en-US"/>
              </w:rPr>
            </w:pPr>
            <w:r w:rsidRPr="00ED7686">
              <w:rPr>
                <w:b/>
                <w:sz w:val="20"/>
                <w:szCs w:val="20"/>
                <w:lang w:val="en-US"/>
              </w:rPr>
              <w:t>Tristin Jones v. Her Majesty the Queen (Ontario)</w:t>
            </w:r>
            <w:r w:rsidR="00F519C0" w:rsidRPr="00ED7686">
              <w:rPr>
                <w:b/>
                <w:sz w:val="20"/>
                <w:szCs w:val="20"/>
                <w:lang w:val="en-US"/>
              </w:rPr>
              <w:t xml:space="preserve"> and</w:t>
            </w:r>
            <w:r w:rsidRPr="00ED7686">
              <w:rPr>
                <w:b/>
                <w:sz w:val="20"/>
                <w:szCs w:val="20"/>
                <w:lang w:val="en-US"/>
              </w:rPr>
              <w:t xml:space="preserve"> Her Majesty the Queen (Canada)</w:t>
            </w:r>
          </w:p>
          <w:p w:rsidR="00E36085" w:rsidRPr="005823F5" w:rsidRDefault="00E36085" w:rsidP="00E36085">
            <w:pPr>
              <w:jc w:val="both"/>
              <w:rPr>
                <w:sz w:val="20"/>
              </w:rPr>
            </w:pPr>
            <w:r w:rsidRPr="005823F5">
              <w:rPr>
                <w:sz w:val="20"/>
              </w:rPr>
              <w:t>(Ont.) (Criminal) (By Leave)</w:t>
            </w:r>
          </w:p>
        </w:tc>
      </w:tr>
      <w:tr w:rsidR="00E36085" w:rsidRPr="005823F5" w:rsidTr="00E95A6A">
        <w:tc>
          <w:tcPr>
            <w:tcW w:w="5000" w:type="pct"/>
            <w:gridSpan w:val="4"/>
          </w:tcPr>
          <w:p w:rsidR="00E36085" w:rsidRPr="005823F5" w:rsidRDefault="00E36085" w:rsidP="00E36085">
            <w:pPr>
              <w:jc w:val="both"/>
              <w:rPr>
                <w:sz w:val="20"/>
              </w:rPr>
            </w:pPr>
            <w:r w:rsidRPr="005823F5">
              <w:rPr>
                <w:i/>
                <w:sz w:val="20"/>
              </w:rPr>
              <w:t>Charter</w:t>
            </w:r>
            <w:r w:rsidRPr="005823F5">
              <w:rPr>
                <w:sz w:val="20"/>
              </w:rPr>
              <w:t xml:space="preserve"> – Criminal law – Search and seizure – Standing to challenge – Search and seizure of historical text messages – Police obtained a Production Order pursuant to s. 487.012 of Part XV of the </w:t>
            </w:r>
            <w:r w:rsidRPr="005823F5">
              <w:rPr>
                <w:i/>
                <w:sz w:val="20"/>
              </w:rPr>
              <w:t>Criminal Code</w:t>
            </w:r>
            <w:r w:rsidRPr="005823F5">
              <w:rPr>
                <w:sz w:val="20"/>
              </w:rPr>
              <w:t xml:space="preserve">, R.S.C. 1985, c. C-46 for records and text messages from a cell phone account – Whether the Court of Appeal erred in upholding the trial judge's ruling that a Part VI authorization was not required for police to seize text messages temporarily stored in the course of providing service by a service provider – Whether the majority of the Court of Appeal erred in upholding the trial judge's ruling that the applicant did not have standing to challenge the admissibility of text message conversations in which he was an alleged participant he was not the holder of the cellular telephone account from which the messages were seized – </w:t>
            </w:r>
            <w:r w:rsidRPr="005823F5">
              <w:rPr>
                <w:i/>
                <w:sz w:val="20"/>
              </w:rPr>
              <w:t>Charter</w:t>
            </w:r>
            <w:r w:rsidRPr="005823F5">
              <w:rPr>
                <w:sz w:val="20"/>
              </w:rPr>
              <w:t xml:space="preserve"> s. 8.</w:t>
            </w:r>
          </w:p>
        </w:tc>
      </w:tr>
      <w:tr w:rsidR="00E36085" w:rsidRPr="005823F5" w:rsidTr="00E95A6A">
        <w:tc>
          <w:tcPr>
            <w:tcW w:w="5000" w:type="pct"/>
            <w:gridSpan w:val="4"/>
          </w:tcPr>
          <w:p w:rsidR="00E36085" w:rsidRPr="005823F5" w:rsidRDefault="00E36085" w:rsidP="00E36085">
            <w:pPr>
              <w:jc w:val="both"/>
              <w:rPr>
                <w:sz w:val="20"/>
              </w:rPr>
            </w:pPr>
          </w:p>
        </w:tc>
      </w:tr>
      <w:tr w:rsidR="00E36085" w:rsidRPr="005823F5" w:rsidTr="00E95A6A">
        <w:tc>
          <w:tcPr>
            <w:tcW w:w="5000" w:type="pct"/>
            <w:gridSpan w:val="4"/>
          </w:tcPr>
          <w:p w:rsidR="00E36085" w:rsidRPr="005823F5" w:rsidRDefault="00E36085" w:rsidP="00E36085">
            <w:pPr>
              <w:jc w:val="both"/>
              <w:rPr>
                <w:sz w:val="20"/>
              </w:rPr>
            </w:pPr>
            <w:r w:rsidRPr="005823F5">
              <w:rPr>
                <w:sz w:val="20"/>
              </w:rPr>
              <w:t xml:space="preserve">There was a police investigation in Ottawa into the possession and trafficking of firearms. In the course of its investigation, the police obtained a Production Order pursuant to s. 487.012 of Part XV of the </w:t>
            </w:r>
            <w:r w:rsidRPr="005823F5">
              <w:rPr>
                <w:i/>
                <w:sz w:val="20"/>
              </w:rPr>
              <w:t>Criminal Code</w:t>
            </w:r>
            <w:r w:rsidRPr="005823F5">
              <w:rPr>
                <w:sz w:val="20"/>
              </w:rPr>
              <w:t xml:space="preserve">, R.S.C. 1985, c. C-46 for records and text messages from a cell phone number associated with </w:t>
            </w:r>
            <w:proofErr w:type="spellStart"/>
            <w:r w:rsidRPr="005823F5">
              <w:rPr>
                <w:sz w:val="20"/>
              </w:rPr>
              <w:t>Jafari</w:t>
            </w:r>
            <w:proofErr w:type="spellEnd"/>
            <w:r w:rsidRPr="005823F5">
              <w:rPr>
                <w:sz w:val="20"/>
              </w:rPr>
              <w:t xml:space="preserve"> Waldron. Telus was the only provider to retain historical text messaging information, which it provided to the police. Of particular interest was an exchange about the potential sale of a handgun between two phones – one associated with Waldron and one allegedly used by the applicant. Both phones were listed under other names. The applicant was convicted of: trafficking a firearm; conspiracy to traffic marihuana; possession of marihuana for the purpose of trafficking; possession of proceeds obtained by crime. The applicant’s conviction appeal was dismissed.</w:t>
            </w:r>
          </w:p>
          <w:p w:rsidR="00E36085" w:rsidRPr="005823F5" w:rsidRDefault="00E36085" w:rsidP="00E36085">
            <w:pPr>
              <w:jc w:val="both"/>
              <w:rPr>
                <w:sz w:val="20"/>
              </w:rPr>
            </w:pPr>
          </w:p>
        </w:tc>
      </w:tr>
      <w:tr w:rsidR="00E36085" w:rsidRPr="005823F5" w:rsidTr="00E95A6A">
        <w:tc>
          <w:tcPr>
            <w:tcW w:w="2427" w:type="pct"/>
            <w:gridSpan w:val="2"/>
          </w:tcPr>
          <w:p w:rsidR="00E36085" w:rsidRPr="005823F5" w:rsidRDefault="00E36085" w:rsidP="00E36085">
            <w:pPr>
              <w:jc w:val="both"/>
              <w:rPr>
                <w:sz w:val="20"/>
              </w:rPr>
            </w:pPr>
            <w:r w:rsidRPr="005823F5">
              <w:rPr>
                <w:sz w:val="20"/>
              </w:rPr>
              <w:t>September 25, 2013</w:t>
            </w:r>
          </w:p>
          <w:p w:rsidR="00E36085" w:rsidRPr="005823F5" w:rsidRDefault="00E36085" w:rsidP="00E36085">
            <w:pPr>
              <w:jc w:val="both"/>
              <w:rPr>
                <w:sz w:val="20"/>
              </w:rPr>
            </w:pPr>
            <w:r w:rsidRPr="005823F5">
              <w:rPr>
                <w:sz w:val="20"/>
              </w:rPr>
              <w:t>Ontario Court of Justice</w:t>
            </w:r>
          </w:p>
          <w:p w:rsidR="00E36085" w:rsidRPr="005823F5" w:rsidRDefault="00E36085" w:rsidP="00E36085">
            <w:pPr>
              <w:jc w:val="both"/>
              <w:rPr>
                <w:sz w:val="20"/>
              </w:rPr>
            </w:pPr>
            <w:r w:rsidRPr="005823F5">
              <w:rPr>
                <w:sz w:val="20"/>
              </w:rPr>
              <w:t>(</w:t>
            </w:r>
            <w:proofErr w:type="spellStart"/>
            <w:r w:rsidRPr="005823F5">
              <w:rPr>
                <w:sz w:val="20"/>
              </w:rPr>
              <w:t>Loignon</w:t>
            </w:r>
            <w:proofErr w:type="spellEnd"/>
            <w:r w:rsidRPr="005823F5">
              <w:rPr>
                <w:sz w:val="20"/>
              </w:rPr>
              <w:t xml:space="preserve"> J.)</w:t>
            </w:r>
          </w:p>
          <w:p w:rsidR="00E36085" w:rsidRPr="005823F5" w:rsidRDefault="00E36085" w:rsidP="00E36085">
            <w:pPr>
              <w:jc w:val="both"/>
              <w:rPr>
                <w:sz w:val="20"/>
              </w:rPr>
            </w:pPr>
          </w:p>
        </w:tc>
        <w:tc>
          <w:tcPr>
            <w:tcW w:w="243" w:type="pct"/>
          </w:tcPr>
          <w:p w:rsidR="00E36085" w:rsidRPr="005823F5" w:rsidRDefault="00E36085" w:rsidP="00E36085">
            <w:pPr>
              <w:jc w:val="both"/>
              <w:rPr>
                <w:sz w:val="20"/>
              </w:rPr>
            </w:pPr>
          </w:p>
        </w:tc>
        <w:tc>
          <w:tcPr>
            <w:tcW w:w="2330" w:type="pct"/>
          </w:tcPr>
          <w:p w:rsidR="00E36085" w:rsidRPr="005823F5" w:rsidRDefault="00E36085" w:rsidP="00E36085">
            <w:pPr>
              <w:jc w:val="both"/>
              <w:rPr>
                <w:sz w:val="20"/>
              </w:rPr>
            </w:pPr>
            <w:r w:rsidRPr="005823F5">
              <w:rPr>
                <w:sz w:val="20"/>
              </w:rPr>
              <w:t>Convictions: trafficking a firearm; conspiracy to traffic marihuana; possession of marihuana for the purpose of trafficking; possession of proceeds obtained by crime</w:t>
            </w:r>
          </w:p>
          <w:p w:rsidR="00E36085" w:rsidRPr="005823F5" w:rsidRDefault="00E36085" w:rsidP="00E36085">
            <w:pPr>
              <w:jc w:val="both"/>
              <w:rPr>
                <w:sz w:val="20"/>
              </w:rPr>
            </w:pPr>
          </w:p>
        </w:tc>
      </w:tr>
      <w:tr w:rsidR="00E36085" w:rsidRPr="005823F5" w:rsidTr="00E95A6A">
        <w:tc>
          <w:tcPr>
            <w:tcW w:w="2427" w:type="pct"/>
            <w:gridSpan w:val="2"/>
          </w:tcPr>
          <w:p w:rsidR="00E36085" w:rsidRPr="005823F5" w:rsidRDefault="00E36085" w:rsidP="00E36085">
            <w:pPr>
              <w:jc w:val="both"/>
              <w:rPr>
                <w:sz w:val="20"/>
              </w:rPr>
            </w:pPr>
            <w:r w:rsidRPr="005823F5">
              <w:rPr>
                <w:sz w:val="20"/>
              </w:rPr>
              <w:t>July 8, 2016</w:t>
            </w:r>
          </w:p>
          <w:p w:rsidR="00E36085" w:rsidRPr="005823F5" w:rsidRDefault="00E36085" w:rsidP="00E36085">
            <w:pPr>
              <w:jc w:val="both"/>
              <w:rPr>
                <w:sz w:val="20"/>
              </w:rPr>
            </w:pPr>
            <w:r w:rsidRPr="005823F5">
              <w:rPr>
                <w:sz w:val="20"/>
              </w:rPr>
              <w:t>Court of Appeal for Ontario</w:t>
            </w:r>
          </w:p>
          <w:p w:rsidR="00E36085" w:rsidRPr="005823F5" w:rsidRDefault="00E36085" w:rsidP="00E36085">
            <w:pPr>
              <w:jc w:val="both"/>
              <w:rPr>
                <w:sz w:val="20"/>
              </w:rPr>
            </w:pPr>
            <w:r w:rsidRPr="005823F5">
              <w:rPr>
                <w:sz w:val="20"/>
              </w:rPr>
              <w:t xml:space="preserve">(MacPherson and </w:t>
            </w:r>
            <w:proofErr w:type="spellStart"/>
            <w:r w:rsidRPr="005823F5">
              <w:rPr>
                <w:sz w:val="20"/>
              </w:rPr>
              <w:t>MacFarland</w:t>
            </w:r>
            <w:proofErr w:type="spellEnd"/>
            <w:r w:rsidRPr="005823F5">
              <w:rPr>
                <w:sz w:val="20"/>
              </w:rPr>
              <w:t xml:space="preserve"> JJ.A. and </w:t>
            </w:r>
          </w:p>
          <w:p w:rsidR="00E36085" w:rsidRPr="005823F5" w:rsidRDefault="00E36085" w:rsidP="00E36085">
            <w:pPr>
              <w:jc w:val="both"/>
              <w:rPr>
                <w:sz w:val="20"/>
              </w:rPr>
            </w:pPr>
            <w:proofErr w:type="spellStart"/>
            <w:r w:rsidRPr="005823F5">
              <w:rPr>
                <w:sz w:val="20"/>
                <w:lang w:val="fr-FR"/>
              </w:rPr>
              <w:t>LaForme</w:t>
            </w:r>
            <w:proofErr w:type="spellEnd"/>
            <w:r w:rsidRPr="005823F5">
              <w:rPr>
                <w:sz w:val="20"/>
                <w:lang w:val="fr-FR"/>
              </w:rPr>
              <w:t xml:space="preserve"> J.A. (</w:t>
            </w:r>
            <w:proofErr w:type="spellStart"/>
            <w:r w:rsidRPr="005823F5">
              <w:rPr>
                <w:sz w:val="20"/>
                <w:lang w:val="fr-FR"/>
              </w:rPr>
              <w:t>concurring</w:t>
            </w:r>
            <w:proofErr w:type="spellEnd"/>
            <w:r w:rsidRPr="005823F5">
              <w:rPr>
                <w:sz w:val="20"/>
                <w:lang w:val="fr-FR"/>
              </w:rPr>
              <w:t>))</w:t>
            </w:r>
          </w:p>
          <w:p w:rsidR="00E36085" w:rsidRPr="005823F5" w:rsidRDefault="00E36085" w:rsidP="00E36085">
            <w:pPr>
              <w:jc w:val="both"/>
              <w:rPr>
                <w:sz w:val="20"/>
              </w:rPr>
            </w:pPr>
            <w:r w:rsidRPr="005823F5">
              <w:rPr>
                <w:sz w:val="20"/>
              </w:rPr>
              <w:t>2016 ONCA 543; C60011</w:t>
            </w:r>
          </w:p>
          <w:p w:rsidR="00E36085" w:rsidRPr="005823F5" w:rsidRDefault="00ED7686" w:rsidP="00E36085">
            <w:pPr>
              <w:jc w:val="both"/>
              <w:rPr>
                <w:sz w:val="20"/>
              </w:rPr>
            </w:pPr>
            <w:hyperlink r:id="rId19" w:history="1">
              <w:r w:rsidR="00E36085" w:rsidRPr="005823F5">
                <w:rPr>
                  <w:rStyle w:val="Hyperlink"/>
                  <w:rFonts w:eastAsiaTheme="majorEastAsia"/>
                  <w:sz w:val="20"/>
                </w:rPr>
                <w:t>http://canlii.ca/t/gsg05</w:t>
              </w:r>
            </w:hyperlink>
          </w:p>
          <w:p w:rsidR="00E36085" w:rsidRPr="005823F5" w:rsidRDefault="00E36085" w:rsidP="00E36085">
            <w:pPr>
              <w:jc w:val="both"/>
              <w:rPr>
                <w:sz w:val="20"/>
              </w:rPr>
            </w:pPr>
          </w:p>
        </w:tc>
        <w:tc>
          <w:tcPr>
            <w:tcW w:w="243" w:type="pct"/>
          </w:tcPr>
          <w:p w:rsidR="00E36085" w:rsidRPr="005823F5" w:rsidRDefault="00E36085" w:rsidP="00E36085">
            <w:pPr>
              <w:jc w:val="both"/>
              <w:rPr>
                <w:sz w:val="20"/>
              </w:rPr>
            </w:pPr>
          </w:p>
        </w:tc>
        <w:tc>
          <w:tcPr>
            <w:tcW w:w="2330" w:type="pct"/>
          </w:tcPr>
          <w:p w:rsidR="00E36085" w:rsidRPr="005823F5" w:rsidRDefault="00E36085" w:rsidP="00E36085">
            <w:pPr>
              <w:jc w:val="both"/>
              <w:rPr>
                <w:sz w:val="20"/>
              </w:rPr>
            </w:pPr>
            <w:r w:rsidRPr="005823F5">
              <w:rPr>
                <w:sz w:val="20"/>
              </w:rPr>
              <w:t xml:space="preserve">Conviction appeal dismissed </w:t>
            </w:r>
          </w:p>
          <w:p w:rsidR="00E36085" w:rsidRPr="005823F5" w:rsidRDefault="00E36085" w:rsidP="00E36085">
            <w:pPr>
              <w:jc w:val="both"/>
              <w:rPr>
                <w:sz w:val="20"/>
              </w:rPr>
            </w:pPr>
          </w:p>
        </w:tc>
      </w:tr>
      <w:tr w:rsidR="00E36085" w:rsidRPr="005823F5" w:rsidTr="00E95A6A">
        <w:tc>
          <w:tcPr>
            <w:tcW w:w="2427" w:type="pct"/>
            <w:gridSpan w:val="2"/>
          </w:tcPr>
          <w:p w:rsidR="00E36085" w:rsidRPr="005823F5" w:rsidRDefault="00E36085" w:rsidP="00E36085">
            <w:pPr>
              <w:jc w:val="both"/>
              <w:rPr>
                <w:sz w:val="20"/>
              </w:rPr>
            </w:pPr>
            <w:r w:rsidRPr="005823F5">
              <w:rPr>
                <w:sz w:val="20"/>
              </w:rPr>
              <w:t>September 14, 2016</w:t>
            </w:r>
          </w:p>
          <w:p w:rsidR="00E36085" w:rsidRPr="005823F5" w:rsidRDefault="00E36085" w:rsidP="00E36085">
            <w:pPr>
              <w:jc w:val="both"/>
              <w:rPr>
                <w:sz w:val="20"/>
              </w:rPr>
            </w:pPr>
            <w:r w:rsidRPr="005823F5">
              <w:rPr>
                <w:sz w:val="20"/>
              </w:rPr>
              <w:t>Supreme Court of Canada</w:t>
            </w:r>
          </w:p>
        </w:tc>
        <w:tc>
          <w:tcPr>
            <w:tcW w:w="243" w:type="pct"/>
          </w:tcPr>
          <w:p w:rsidR="00E36085" w:rsidRPr="005823F5" w:rsidRDefault="00E36085" w:rsidP="00E36085">
            <w:pPr>
              <w:jc w:val="both"/>
              <w:rPr>
                <w:sz w:val="20"/>
              </w:rPr>
            </w:pPr>
          </w:p>
        </w:tc>
        <w:tc>
          <w:tcPr>
            <w:tcW w:w="2330" w:type="pct"/>
          </w:tcPr>
          <w:p w:rsidR="00E36085" w:rsidRPr="005823F5" w:rsidRDefault="00E36085" w:rsidP="00E36085">
            <w:pPr>
              <w:jc w:val="both"/>
              <w:rPr>
                <w:sz w:val="20"/>
              </w:rPr>
            </w:pPr>
            <w:r w:rsidRPr="005823F5">
              <w:rPr>
                <w:sz w:val="20"/>
              </w:rPr>
              <w:t>Motion to appoint counsel and application for leave to appeal filed</w:t>
            </w:r>
          </w:p>
        </w:tc>
      </w:tr>
    </w:tbl>
    <w:p w:rsidR="00E36085" w:rsidRPr="005823F5" w:rsidRDefault="00E36085" w:rsidP="00E36085">
      <w:pPr>
        <w:jc w:val="both"/>
        <w:rPr>
          <w:sz w:val="20"/>
        </w:rPr>
      </w:pPr>
    </w:p>
    <w:p w:rsidR="00E36085" w:rsidRPr="005823F5" w:rsidRDefault="00E36085" w:rsidP="00E3608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36085" w:rsidRPr="005823F5" w:rsidTr="00E95A6A">
        <w:tc>
          <w:tcPr>
            <w:tcW w:w="543" w:type="pct"/>
          </w:tcPr>
          <w:p w:rsidR="00E36085" w:rsidRPr="005823F5" w:rsidRDefault="00E36085" w:rsidP="00E36085">
            <w:pPr>
              <w:jc w:val="both"/>
              <w:rPr>
                <w:sz w:val="20"/>
              </w:rPr>
            </w:pPr>
            <w:r w:rsidRPr="005823F5">
              <w:rPr>
                <w:rStyle w:val="SCCFileNumberChar"/>
                <w:sz w:val="20"/>
                <w:szCs w:val="20"/>
              </w:rPr>
              <w:t>37194</w:t>
            </w:r>
          </w:p>
        </w:tc>
        <w:tc>
          <w:tcPr>
            <w:tcW w:w="4457" w:type="pct"/>
            <w:gridSpan w:val="3"/>
          </w:tcPr>
          <w:p w:rsidR="00E36085" w:rsidRPr="005823F5" w:rsidRDefault="00E36085" w:rsidP="00E36085">
            <w:pPr>
              <w:pStyle w:val="SCCLsocParty"/>
              <w:jc w:val="both"/>
              <w:rPr>
                <w:b/>
                <w:sz w:val="20"/>
                <w:szCs w:val="20"/>
              </w:rPr>
            </w:pPr>
            <w:r w:rsidRPr="005823F5">
              <w:rPr>
                <w:b/>
                <w:sz w:val="20"/>
                <w:szCs w:val="20"/>
              </w:rPr>
              <w:t>Tristin Jones c. Sa Majesté la Reine (Ontario)</w:t>
            </w:r>
            <w:r w:rsidR="00F519C0" w:rsidRPr="005823F5">
              <w:rPr>
                <w:b/>
                <w:sz w:val="20"/>
                <w:szCs w:val="20"/>
              </w:rPr>
              <w:t xml:space="preserve"> et</w:t>
            </w:r>
            <w:r w:rsidRPr="005823F5">
              <w:rPr>
                <w:b/>
                <w:sz w:val="20"/>
                <w:szCs w:val="20"/>
              </w:rPr>
              <w:t xml:space="preserve"> Sa Majesté la Reine (Canada)</w:t>
            </w:r>
          </w:p>
          <w:p w:rsidR="00E36085" w:rsidRPr="005823F5" w:rsidRDefault="00E36085" w:rsidP="00E36085">
            <w:pPr>
              <w:jc w:val="both"/>
              <w:rPr>
                <w:sz w:val="20"/>
              </w:rPr>
            </w:pPr>
            <w:r w:rsidRPr="005823F5">
              <w:rPr>
                <w:sz w:val="20"/>
              </w:rPr>
              <w:t>(Ont.) (Criminelle) (Sur autorisation)</w:t>
            </w:r>
          </w:p>
        </w:tc>
      </w:tr>
      <w:tr w:rsidR="00E36085" w:rsidRPr="00ED7686" w:rsidTr="00E95A6A">
        <w:tc>
          <w:tcPr>
            <w:tcW w:w="5000" w:type="pct"/>
            <w:gridSpan w:val="4"/>
          </w:tcPr>
          <w:p w:rsidR="00E36085" w:rsidRPr="005823F5" w:rsidRDefault="00E36085" w:rsidP="00E36085">
            <w:pPr>
              <w:jc w:val="both"/>
              <w:rPr>
                <w:sz w:val="20"/>
                <w:lang w:val="fr-CA"/>
              </w:rPr>
            </w:pPr>
            <w:r w:rsidRPr="005823F5">
              <w:rPr>
                <w:i/>
                <w:sz w:val="20"/>
                <w:lang w:val="fr-CA"/>
              </w:rPr>
              <w:t>Charte</w:t>
            </w:r>
            <w:r w:rsidRPr="005823F5">
              <w:rPr>
                <w:sz w:val="20"/>
                <w:lang w:val="fr-CA"/>
              </w:rPr>
              <w:t xml:space="preserve"> – Droit criminel – Fouilles, perquisitions et saisies – Qualité pour contester – Fouille et saisie d’anciens textos – Ordonnance de production de documents et de textos provenant d’un compte de téléphone cellulaire obtenue par la police en vertu de l’art. 487.012 (partie XV) du </w:t>
            </w:r>
            <w:r w:rsidRPr="005823F5">
              <w:rPr>
                <w:i/>
                <w:sz w:val="20"/>
                <w:lang w:val="fr-CA"/>
              </w:rPr>
              <w:t>Code criminel</w:t>
            </w:r>
            <w:r w:rsidRPr="005823F5">
              <w:rPr>
                <w:sz w:val="20"/>
                <w:lang w:val="fr-CA"/>
              </w:rPr>
              <w:t xml:space="preserve">, L.R.C. 1985, c. C-46 – La Cour d’appel a-t-elle confirmé à tort la décision de la juge de première instance selon laquelle la police n’avait pas besoin d’obtenir une autorisation visée par la partie VI pour saisir des textos enregistrés temporairement lors de la prestation d’un service par un fournisseur? – Les juges majoritaires de la Cour d’appel ont-ils commis une erreur en confirmant la décision de la juge de première instance que le demandeur n’avait pas qualité pour contester la recevabilité des conversations par texto auxquelles il aurait participé car il n’était pas le titulaire du compte de cellulaire d’où ont été saisis les messages? – </w:t>
            </w:r>
            <w:r w:rsidRPr="005823F5">
              <w:rPr>
                <w:i/>
                <w:sz w:val="20"/>
                <w:lang w:val="fr-CA"/>
              </w:rPr>
              <w:t>Charte</w:t>
            </w:r>
            <w:r w:rsidRPr="005823F5">
              <w:rPr>
                <w:sz w:val="20"/>
                <w:lang w:val="fr-CA"/>
              </w:rPr>
              <w:t>, art. 8.</w:t>
            </w:r>
          </w:p>
        </w:tc>
      </w:tr>
      <w:tr w:rsidR="00E36085" w:rsidRPr="00ED7686" w:rsidTr="00E95A6A">
        <w:tc>
          <w:tcPr>
            <w:tcW w:w="5000" w:type="pct"/>
            <w:gridSpan w:val="4"/>
          </w:tcPr>
          <w:p w:rsidR="00E36085" w:rsidRPr="005823F5" w:rsidRDefault="00E36085" w:rsidP="00E36085">
            <w:pPr>
              <w:jc w:val="both"/>
              <w:rPr>
                <w:sz w:val="20"/>
                <w:lang w:val="fr-CA"/>
              </w:rPr>
            </w:pPr>
          </w:p>
        </w:tc>
      </w:tr>
      <w:tr w:rsidR="00E36085" w:rsidRPr="00ED7686" w:rsidTr="00E95A6A">
        <w:tc>
          <w:tcPr>
            <w:tcW w:w="5000" w:type="pct"/>
            <w:gridSpan w:val="4"/>
          </w:tcPr>
          <w:p w:rsidR="00E36085" w:rsidRPr="005823F5" w:rsidRDefault="00E36085" w:rsidP="00E36085">
            <w:pPr>
              <w:jc w:val="both"/>
              <w:rPr>
                <w:sz w:val="20"/>
                <w:lang w:val="fr-CA"/>
              </w:rPr>
            </w:pPr>
            <w:r w:rsidRPr="005823F5">
              <w:rPr>
                <w:sz w:val="20"/>
                <w:lang w:val="fr-CA"/>
              </w:rPr>
              <w:t xml:space="preserve">Les policiers ont mené à Ottawa une enquête sur la possession et le trafic d’armes à feu. Au cours de l’enquête, les policiers ont obtenu, en vertu de l’art. 487.012 (partie XV) du </w:t>
            </w:r>
            <w:r w:rsidRPr="005823F5">
              <w:rPr>
                <w:i/>
                <w:sz w:val="20"/>
                <w:lang w:val="fr-CA"/>
              </w:rPr>
              <w:t>Code criminel</w:t>
            </w:r>
            <w:r w:rsidRPr="005823F5">
              <w:rPr>
                <w:sz w:val="20"/>
                <w:lang w:val="fr-CA"/>
              </w:rPr>
              <w:t>, L.R.C. 1985, c. C-46, une ordonnance de production de documents et de textos provenant d’un numéro de cellulaire associé à Jafari Waldron. Telus était le seul fournisseur à conserver de l’information sur les anciens textos et il a transmis cette information à la police. Un échange entre deux téléphones au sujet de la vente possible d’une arme de poing présentait un intérêt particulier : un téléphone était lié à M. Waldron tandis que l’autre aurait été utilisé par le demandeur. Les deux téléphones étaient inscrits au nom d’autres personnes. Le demandeur a été reconnu coupable de : trafic d’une arme à feu, complot en vue de faire le trafic de marihuana, possession de marihuana en vue d’en faire le trafic et possession de produits de la criminalité. L’appel formé par le demandeur contre sa déclaration de culpabilité a été rejeté.</w:t>
            </w:r>
          </w:p>
          <w:p w:rsidR="00E36085" w:rsidRPr="005823F5" w:rsidRDefault="00E36085" w:rsidP="00E36085">
            <w:pPr>
              <w:jc w:val="both"/>
              <w:rPr>
                <w:sz w:val="20"/>
                <w:lang w:val="fr-CA"/>
              </w:rPr>
            </w:pPr>
          </w:p>
        </w:tc>
      </w:tr>
      <w:tr w:rsidR="00E36085" w:rsidRPr="00ED7686" w:rsidTr="00E95A6A">
        <w:tc>
          <w:tcPr>
            <w:tcW w:w="2427" w:type="pct"/>
            <w:gridSpan w:val="2"/>
          </w:tcPr>
          <w:p w:rsidR="00E36085" w:rsidRPr="005823F5" w:rsidRDefault="00E36085" w:rsidP="00E36085">
            <w:pPr>
              <w:jc w:val="both"/>
              <w:rPr>
                <w:sz w:val="20"/>
                <w:lang w:val="fr-CA"/>
              </w:rPr>
            </w:pPr>
            <w:r w:rsidRPr="005823F5">
              <w:rPr>
                <w:sz w:val="20"/>
                <w:lang w:val="fr-CA"/>
              </w:rPr>
              <w:t>25 septembre 2013</w:t>
            </w:r>
          </w:p>
          <w:p w:rsidR="00E36085" w:rsidRPr="005823F5" w:rsidRDefault="00E36085" w:rsidP="00E36085">
            <w:pPr>
              <w:jc w:val="both"/>
              <w:rPr>
                <w:sz w:val="20"/>
                <w:lang w:val="fr-CA"/>
              </w:rPr>
            </w:pPr>
            <w:r w:rsidRPr="005823F5">
              <w:rPr>
                <w:sz w:val="20"/>
                <w:lang w:val="fr-CA"/>
              </w:rPr>
              <w:t>Cour de justice de l’Ontario</w:t>
            </w:r>
          </w:p>
          <w:p w:rsidR="00E36085" w:rsidRPr="005823F5" w:rsidRDefault="00E36085" w:rsidP="00E36085">
            <w:pPr>
              <w:jc w:val="both"/>
              <w:rPr>
                <w:sz w:val="20"/>
              </w:rPr>
            </w:pPr>
            <w:r w:rsidRPr="005823F5">
              <w:rPr>
                <w:sz w:val="20"/>
              </w:rPr>
              <w:t>(Juge Loignon)</w:t>
            </w:r>
          </w:p>
          <w:p w:rsidR="00E36085" w:rsidRPr="005823F5" w:rsidRDefault="00E36085" w:rsidP="00E36085">
            <w:pPr>
              <w:jc w:val="both"/>
              <w:rPr>
                <w:sz w:val="20"/>
              </w:rPr>
            </w:pPr>
          </w:p>
          <w:p w:rsidR="00E36085" w:rsidRPr="005823F5" w:rsidRDefault="00E36085" w:rsidP="00E36085">
            <w:pPr>
              <w:jc w:val="both"/>
              <w:rPr>
                <w:sz w:val="20"/>
              </w:rPr>
            </w:pPr>
          </w:p>
        </w:tc>
        <w:tc>
          <w:tcPr>
            <w:tcW w:w="243" w:type="pct"/>
          </w:tcPr>
          <w:p w:rsidR="00E36085" w:rsidRPr="005823F5" w:rsidRDefault="00E36085" w:rsidP="00E36085">
            <w:pPr>
              <w:jc w:val="both"/>
              <w:rPr>
                <w:sz w:val="20"/>
              </w:rPr>
            </w:pPr>
          </w:p>
        </w:tc>
        <w:tc>
          <w:tcPr>
            <w:tcW w:w="2330" w:type="pct"/>
          </w:tcPr>
          <w:p w:rsidR="00E36085" w:rsidRPr="005823F5" w:rsidRDefault="00E36085" w:rsidP="00E36085">
            <w:pPr>
              <w:jc w:val="both"/>
              <w:rPr>
                <w:sz w:val="20"/>
                <w:lang w:val="fr-CA"/>
              </w:rPr>
            </w:pPr>
            <w:r w:rsidRPr="005823F5">
              <w:rPr>
                <w:sz w:val="20"/>
                <w:lang w:val="fr-CA"/>
              </w:rPr>
              <w:t>Déclaration de culpabilité pour : trafic d’une arme à feu; complot en vue de faire le trafic de marihuana; possession de marihuana en vue d’en faire le trafic; possession de produits de la criminalité</w:t>
            </w:r>
          </w:p>
          <w:p w:rsidR="00E36085" w:rsidRPr="005823F5" w:rsidRDefault="00E36085" w:rsidP="00E36085">
            <w:pPr>
              <w:jc w:val="both"/>
              <w:rPr>
                <w:sz w:val="20"/>
                <w:lang w:val="fr-CA"/>
              </w:rPr>
            </w:pPr>
          </w:p>
        </w:tc>
      </w:tr>
      <w:tr w:rsidR="00E36085" w:rsidRPr="00ED7686" w:rsidTr="00E95A6A">
        <w:tc>
          <w:tcPr>
            <w:tcW w:w="2427" w:type="pct"/>
            <w:gridSpan w:val="2"/>
          </w:tcPr>
          <w:p w:rsidR="00E36085" w:rsidRPr="005823F5" w:rsidRDefault="00E36085" w:rsidP="00E36085">
            <w:pPr>
              <w:jc w:val="both"/>
              <w:rPr>
                <w:sz w:val="20"/>
                <w:lang w:val="fr-CA"/>
              </w:rPr>
            </w:pPr>
            <w:r w:rsidRPr="005823F5">
              <w:rPr>
                <w:sz w:val="20"/>
                <w:lang w:val="fr-CA"/>
              </w:rPr>
              <w:t>8 juillet 2016</w:t>
            </w:r>
          </w:p>
          <w:p w:rsidR="00E36085" w:rsidRPr="005823F5" w:rsidRDefault="00E36085" w:rsidP="00E36085">
            <w:pPr>
              <w:jc w:val="both"/>
              <w:rPr>
                <w:sz w:val="20"/>
                <w:lang w:val="fr-CA"/>
              </w:rPr>
            </w:pPr>
            <w:r w:rsidRPr="005823F5">
              <w:rPr>
                <w:sz w:val="20"/>
                <w:lang w:val="fr-CA"/>
              </w:rPr>
              <w:t>Cour d’appel de l’Ontario</w:t>
            </w:r>
          </w:p>
          <w:p w:rsidR="00E36085" w:rsidRPr="005823F5" w:rsidRDefault="00E36085" w:rsidP="00E36085">
            <w:pPr>
              <w:jc w:val="both"/>
              <w:rPr>
                <w:sz w:val="20"/>
                <w:lang w:val="fr-CA"/>
              </w:rPr>
            </w:pPr>
            <w:r w:rsidRPr="005823F5">
              <w:rPr>
                <w:sz w:val="20"/>
                <w:lang w:val="fr-CA"/>
              </w:rPr>
              <w:t xml:space="preserve">(Juges MacPherson, MacFarland et </w:t>
            </w:r>
          </w:p>
          <w:p w:rsidR="00E36085" w:rsidRPr="005823F5" w:rsidRDefault="00E36085" w:rsidP="00E36085">
            <w:pPr>
              <w:jc w:val="both"/>
              <w:rPr>
                <w:sz w:val="20"/>
                <w:lang w:val="fr-CA"/>
              </w:rPr>
            </w:pPr>
            <w:r w:rsidRPr="005823F5">
              <w:rPr>
                <w:sz w:val="20"/>
                <w:lang w:val="fr-FR"/>
              </w:rPr>
              <w:t>LaForme (motifs concordants))</w:t>
            </w:r>
          </w:p>
          <w:p w:rsidR="00E36085" w:rsidRPr="005823F5" w:rsidRDefault="00E36085" w:rsidP="00E36085">
            <w:pPr>
              <w:jc w:val="both"/>
              <w:rPr>
                <w:sz w:val="20"/>
                <w:lang w:val="fr-CA"/>
              </w:rPr>
            </w:pPr>
            <w:r w:rsidRPr="005823F5">
              <w:rPr>
                <w:sz w:val="20"/>
                <w:lang w:val="fr-CA"/>
              </w:rPr>
              <w:t>2016 ONCA 543; C60011</w:t>
            </w:r>
          </w:p>
          <w:p w:rsidR="00E36085" w:rsidRPr="005823F5" w:rsidRDefault="00ED7686" w:rsidP="00E36085">
            <w:pPr>
              <w:jc w:val="both"/>
              <w:rPr>
                <w:sz w:val="20"/>
                <w:lang w:val="fr-CA"/>
              </w:rPr>
            </w:pPr>
            <w:hyperlink r:id="rId20" w:history="1">
              <w:r w:rsidR="00E36085" w:rsidRPr="005823F5">
                <w:rPr>
                  <w:rStyle w:val="Hyperlink"/>
                  <w:rFonts w:eastAsiaTheme="majorEastAsia"/>
                  <w:sz w:val="20"/>
                  <w:lang w:val="fr-CA"/>
                </w:rPr>
                <w:t>http://canlii.ca/t/gsg05</w:t>
              </w:r>
            </w:hyperlink>
          </w:p>
          <w:p w:rsidR="00E36085" w:rsidRPr="005823F5" w:rsidRDefault="00E36085" w:rsidP="00E36085">
            <w:pPr>
              <w:jc w:val="both"/>
              <w:rPr>
                <w:sz w:val="20"/>
                <w:lang w:val="fr-CA"/>
              </w:rPr>
            </w:pPr>
          </w:p>
        </w:tc>
        <w:tc>
          <w:tcPr>
            <w:tcW w:w="243" w:type="pct"/>
          </w:tcPr>
          <w:p w:rsidR="00E36085" w:rsidRPr="005823F5" w:rsidRDefault="00E36085" w:rsidP="00E36085">
            <w:pPr>
              <w:jc w:val="both"/>
              <w:rPr>
                <w:sz w:val="20"/>
                <w:lang w:val="fr-CA"/>
              </w:rPr>
            </w:pPr>
          </w:p>
        </w:tc>
        <w:tc>
          <w:tcPr>
            <w:tcW w:w="2330" w:type="pct"/>
          </w:tcPr>
          <w:p w:rsidR="00E36085" w:rsidRPr="005823F5" w:rsidRDefault="00E36085" w:rsidP="00E36085">
            <w:pPr>
              <w:jc w:val="both"/>
              <w:rPr>
                <w:sz w:val="20"/>
                <w:lang w:val="fr-CA"/>
              </w:rPr>
            </w:pPr>
            <w:r w:rsidRPr="005823F5">
              <w:rPr>
                <w:sz w:val="20"/>
                <w:lang w:val="fr-CA"/>
              </w:rPr>
              <w:t xml:space="preserve">Rejet de l’appel de la déclaration de culpabilité </w:t>
            </w:r>
          </w:p>
          <w:p w:rsidR="00E36085" w:rsidRPr="005823F5" w:rsidRDefault="00E36085" w:rsidP="00E36085">
            <w:pPr>
              <w:jc w:val="both"/>
              <w:rPr>
                <w:sz w:val="20"/>
                <w:lang w:val="fr-CA"/>
              </w:rPr>
            </w:pPr>
          </w:p>
        </w:tc>
      </w:tr>
      <w:tr w:rsidR="00E36085" w:rsidRPr="00ED7686" w:rsidTr="00E95A6A">
        <w:tc>
          <w:tcPr>
            <w:tcW w:w="2427" w:type="pct"/>
            <w:gridSpan w:val="2"/>
          </w:tcPr>
          <w:p w:rsidR="00E36085" w:rsidRPr="005823F5" w:rsidRDefault="00E36085" w:rsidP="00E36085">
            <w:pPr>
              <w:jc w:val="both"/>
              <w:rPr>
                <w:sz w:val="20"/>
                <w:lang w:val="fr-CA"/>
              </w:rPr>
            </w:pPr>
            <w:r w:rsidRPr="005823F5">
              <w:rPr>
                <w:sz w:val="20"/>
                <w:lang w:val="fr-CA"/>
              </w:rPr>
              <w:t>14 septembre 2016</w:t>
            </w:r>
          </w:p>
          <w:p w:rsidR="00E36085" w:rsidRPr="005823F5" w:rsidRDefault="00E36085" w:rsidP="00E36085">
            <w:pPr>
              <w:jc w:val="both"/>
              <w:rPr>
                <w:sz w:val="20"/>
                <w:lang w:val="fr-CA"/>
              </w:rPr>
            </w:pPr>
            <w:r w:rsidRPr="005823F5">
              <w:rPr>
                <w:sz w:val="20"/>
                <w:lang w:val="fr-CA"/>
              </w:rPr>
              <w:t>Cour suprême du Canada</w:t>
            </w:r>
          </w:p>
        </w:tc>
        <w:tc>
          <w:tcPr>
            <w:tcW w:w="243" w:type="pct"/>
          </w:tcPr>
          <w:p w:rsidR="00E36085" w:rsidRPr="005823F5" w:rsidRDefault="00E36085" w:rsidP="00E36085">
            <w:pPr>
              <w:jc w:val="both"/>
              <w:rPr>
                <w:sz w:val="20"/>
                <w:lang w:val="fr-CA"/>
              </w:rPr>
            </w:pPr>
          </w:p>
        </w:tc>
        <w:tc>
          <w:tcPr>
            <w:tcW w:w="2330" w:type="pct"/>
          </w:tcPr>
          <w:p w:rsidR="00E36085" w:rsidRPr="005823F5" w:rsidRDefault="00E36085" w:rsidP="00E36085">
            <w:pPr>
              <w:jc w:val="both"/>
              <w:rPr>
                <w:sz w:val="20"/>
                <w:lang w:val="fr-CA"/>
              </w:rPr>
            </w:pPr>
            <w:r w:rsidRPr="005823F5">
              <w:rPr>
                <w:sz w:val="20"/>
                <w:lang w:val="fr-CA"/>
              </w:rPr>
              <w:t>Requête en nomination d’un procureur et dépôt de la demande d’autorisation d’appel</w:t>
            </w:r>
          </w:p>
        </w:tc>
      </w:tr>
    </w:tbl>
    <w:p w:rsidR="00E76DD0" w:rsidRPr="00ED7686" w:rsidRDefault="00E76DD0" w:rsidP="008164A8">
      <w:pPr>
        <w:jc w:val="both"/>
        <w:rPr>
          <w:sz w:val="20"/>
          <w:lang w:val="fr-CA" w:eastAsia="en-CA"/>
        </w:rPr>
      </w:pPr>
    </w:p>
    <w:p w:rsidR="00E76DD0" w:rsidRPr="00ED7686" w:rsidRDefault="00E76DD0" w:rsidP="008164A8">
      <w:pPr>
        <w:jc w:val="both"/>
        <w:rPr>
          <w:sz w:val="20"/>
          <w:lang w:val="fr-CA" w:eastAsia="en-CA"/>
        </w:rPr>
      </w:pPr>
    </w:p>
    <w:p w:rsidR="0055024A" w:rsidRPr="005823F5" w:rsidRDefault="0055024A" w:rsidP="004167B1">
      <w:pPr>
        <w:ind w:left="360" w:hanging="360"/>
        <w:jc w:val="both"/>
        <w:rPr>
          <w:rFonts w:eastAsiaTheme="minorEastAsia"/>
          <w:sz w:val="20"/>
          <w:lang w:val="fr-CA" w:eastAsia="en-CA"/>
        </w:rPr>
      </w:pPr>
    </w:p>
    <w:p w:rsidR="00D3344A" w:rsidRPr="005823F5" w:rsidRDefault="00D3344A" w:rsidP="00D3344A">
      <w:pPr>
        <w:widowControl w:val="0"/>
        <w:outlineLvl w:val="0"/>
      </w:pPr>
      <w:r w:rsidRPr="005823F5">
        <w:t>Supreme Court of Canada / Cour suprême du Canad</w:t>
      </w:r>
      <w:r w:rsidR="00EE289F" w:rsidRPr="005823F5">
        <w:t>a</w:t>
      </w:r>
      <w:r w:rsidRPr="005823F5">
        <w:t xml:space="preserve"> :</w:t>
      </w:r>
    </w:p>
    <w:p w:rsidR="00D3344A" w:rsidRPr="005823F5" w:rsidRDefault="00ED7686" w:rsidP="00D3344A">
      <w:pPr>
        <w:widowControl w:val="0"/>
        <w:outlineLvl w:val="0"/>
        <w:rPr>
          <w:u w:val="single"/>
        </w:rPr>
      </w:pPr>
      <w:hyperlink r:id="rId21" w:history="1">
        <w:r w:rsidR="00D3344A" w:rsidRPr="005823F5">
          <w:rPr>
            <w:rStyle w:val="Hyperlink"/>
          </w:rPr>
          <w:t>comments-commentaires@scc-csc.ca</w:t>
        </w:r>
      </w:hyperlink>
    </w:p>
    <w:p w:rsidR="00D3344A" w:rsidRPr="005823F5" w:rsidRDefault="0065588C" w:rsidP="00D3344A">
      <w:pPr>
        <w:widowControl w:val="0"/>
        <w:outlineLvl w:val="0"/>
      </w:pPr>
      <w:r w:rsidRPr="005823F5">
        <w:t>613-</w:t>
      </w:r>
      <w:r w:rsidR="00D3344A" w:rsidRPr="005823F5">
        <w:t>995-4330</w:t>
      </w:r>
    </w:p>
    <w:p w:rsidR="00497B5E" w:rsidRPr="005823F5" w:rsidRDefault="00497B5E" w:rsidP="00497B5E">
      <w:pPr>
        <w:widowControl w:val="0"/>
        <w:rPr>
          <w:sz w:val="20"/>
        </w:rPr>
      </w:pPr>
    </w:p>
    <w:p w:rsidR="00F6251B" w:rsidRPr="00EC25BA" w:rsidRDefault="003F43E6" w:rsidP="00F6251B">
      <w:pPr>
        <w:pStyle w:val="Footer"/>
        <w:jc w:val="center"/>
      </w:pPr>
      <w:r w:rsidRPr="005823F5">
        <w:t>- 30 -</w:t>
      </w:r>
    </w:p>
    <w:p w:rsidR="00F6251B" w:rsidRPr="00EC25BA" w:rsidRDefault="00F6251B" w:rsidP="00F6251B">
      <w:pPr>
        <w:pStyle w:val="Footer"/>
        <w:jc w:val="center"/>
      </w:pPr>
    </w:p>
    <w:p w:rsidR="00F6251B" w:rsidRPr="00EC25BA" w:rsidRDefault="00F6251B" w:rsidP="00F6251B">
      <w:pPr>
        <w:pStyle w:val="Footer"/>
        <w:jc w:val="center"/>
      </w:pPr>
    </w:p>
    <w:sectPr w:rsidR="00F6251B" w:rsidRPr="00EC25BA" w:rsidSect="00524822">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391"/>
    <w:multiLevelType w:val="hybridMultilevel"/>
    <w:tmpl w:val="DF52C9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4E4304"/>
    <w:multiLevelType w:val="hybridMultilevel"/>
    <w:tmpl w:val="58F63C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C81553"/>
    <w:multiLevelType w:val="hybridMultilevel"/>
    <w:tmpl w:val="6994D5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58F5C7B"/>
    <w:multiLevelType w:val="hybridMultilevel"/>
    <w:tmpl w:val="04220D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05C04804"/>
    <w:multiLevelType w:val="hybridMultilevel"/>
    <w:tmpl w:val="982C53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9A94770"/>
    <w:multiLevelType w:val="hybridMultilevel"/>
    <w:tmpl w:val="C8D422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13490C2C"/>
    <w:multiLevelType w:val="hybridMultilevel"/>
    <w:tmpl w:val="56E271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51B6F07"/>
    <w:multiLevelType w:val="hybridMultilevel"/>
    <w:tmpl w:val="34E809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80E15F1"/>
    <w:multiLevelType w:val="hybridMultilevel"/>
    <w:tmpl w:val="CA9C61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36A4A7B"/>
    <w:multiLevelType w:val="hybridMultilevel"/>
    <w:tmpl w:val="A9CA4174"/>
    <w:lvl w:ilvl="0" w:tplc="88C2E4C2">
      <w:start w:val="2"/>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5783330"/>
    <w:multiLevelType w:val="hybridMultilevel"/>
    <w:tmpl w:val="B4E07F94"/>
    <w:lvl w:ilvl="0" w:tplc="D77AF63C">
      <w:start w:val="1"/>
      <w:numFmt w:val="decimal"/>
      <w:lvlText w:val="%1."/>
      <w:lvlJc w:val="left"/>
      <w:pPr>
        <w:ind w:left="720" w:hanging="360"/>
      </w:pPr>
      <w:rPr>
        <w:lang w:val="fr-FR"/>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2D3869A6"/>
    <w:multiLevelType w:val="hybridMultilevel"/>
    <w:tmpl w:val="077ECF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6756398"/>
    <w:multiLevelType w:val="hybridMultilevel"/>
    <w:tmpl w:val="C590994C"/>
    <w:lvl w:ilvl="0" w:tplc="9956F13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25A2FBB"/>
    <w:multiLevelType w:val="hybridMultilevel"/>
    <w:tmpl w:val="593AA2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DC2419F"/>
    <w:multiLevelType w:val="hybridMultilevel"/>
    <w:tmpl w:val="461ACAD8"/>
    <w:lvl w:ilvl="0" w:tplc="459CFB7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E6D77CF"/>
    <w:multiLevelType w:val="hybridMultilevel"/>
    <w:tmpl w:val="06E604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4895F3C"/>
    <w:multiLevelType w:val="hybridMultilevel"/>
    <w:tmpl w:val="3384AC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4CC553A"/>
    <w:multiLevelType w:val="hybridMultilevel"/>
    <w:tmpl w:val="8FFC62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E453A86"/>
    <w:multiLevelType w:val="hybridMultilevel"/>
    <w:tmpl w:val="AD4854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13E4F67"/>
    <w:multiLevelType w:val="hybridMultilevel"/>
    <w:tmpl w:val="29E6DD3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15:restartNumberingAfterBreak="0">
    <w:nsid w:val="629A67CF"/>
    <w:multiLevelType w:val="hybridMultilevel"/>
    <w:tmpl w:val="8EC0F2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54729E5"/>
    <w:multiLevelType w:val="hybridMultilevel"/>
    <w:tmpl w:val="34E809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5CD3373"/>
    <w:multiLevelType w:val="hybridMultilevel"/>
    <w:tmpl w:val="02B2EA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79A57BD"/>
    <w:multiLevelType w:val="hybridMultilevel"/>
    <w:tmpl w:val="486237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80252B7"/>
    <w:multiLevelType w:val="hybridMultilevel"/>
    <w:tmpl w:val="C8D422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8"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A1A0D76"/>
    <w:multiLevelType w:val="hybridMultilevel"/>
    <w:tmpl w:val="F04E77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B1F35A5"/>
    <w:multiLevelType w:val="hybridMultilevel"/>
    <w:tmpl w:val="41EC7F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CE11497"/>
    <w:multiLevelType w:val="hybridMultilevel"/>
    <w:tmpl w:val="2D5A45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18"/>
  </w:num>
  <w:num w:numId="3">
    <w:abstractNumId w:val="1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7"/>
  </w:num>
  <w:num w:numId="11">
    <w:abstractNumId w:val="17"/>
  </w:num>
  <w:num w:numId="12">
    <w:abstractNumId w:val="9"/>
  </w:num>
  <w:num w:numId="13">
    <w:abstractNumId w:val="26"/>
  </w:num>
  <w:num w:numId="14">
    <w:abstractNumId w:val="29"/>
  </w:num>
  <w:num w:numId="15">
    <w:abstractNumId w:val="22"/>
  </w:num>
  <w:num w:numId="16">
    <w:abstractNumId w:val="1"/>
  </w:num>
  <w:num w:numId="17">
    <w:abstractNumId w:val="8"/>
  </w:num>
  <w:num w:numId="18">
    <w:abstractNumId w:val="14"/>
  </w:num>
  <w:num w:numId="19">
    <w:abstractNumId w:val="0"/>
  </w:num>
  <w:num w:numId="20">
    <w:abstractNumId w:val="30"/>
  </w:num>
  <w:num w:numId="21">
    <w:abstractNumId w:val="20"/>
  </w:num>
  <w:num w:numId="22">
    <w:abstractNumId w:val="19"/>
  </w:num>
  <w:num w:numId="23">
    <w:abstractNumId w:val="1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31"/>
  </w:num>
  <w:num w:numId="27">
    <w:abstractNumId w:val="12"/>
  </w:num>
  <w:num w:numId="28">
    <w:abstractNumId w:val="2"/>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7"/>
  </w:num>
  <w:num w:numId="32">
    <w:abstractNumId w:val="24"/>
  </w:num>
  <w:num w:numId="33">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377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A2D"/>
    <w:rsid w:val="00003D1C"/>
    <w:rsid w:val="000043C3"/>
    <w:rsid w:val="00006868"/>
    <w:rsid w:val="000128A2"/>
    <w:rsid w:val="000136CC"/>
    <w:rsid w:val="0001374A"/>
    <w:rsid w:val="00014C19"/>
    <w:rsid w:val="000164DB"/>
    <w:rsid w:val="00016932"/>
    <w:rsid w:val="00016D65"/>
    <w:rsid w:val="00016D95"/>
    <w:rsid w:val="0001736B"/>
    <w:rsid w:val="00017D08"/>
    <w:rsid w:val="00020797"/>
    <w:rsid w:val="00020816"/>
    <w:rsid w:val="00020DAE"/>
    <w:rsid w:val="0002267C"/>
    <w:rsid w:val="00024962"/>
    <w:rsid w:val="000250B7"/>
    <w:rsid w:val="000276EE"/>
    <w:rsid w:val="000277E1"/>
    <w:rsid w:val="00032E02"/>
    <w:rsid w:val="00033257"/>
    <w:rsid w:val="00033935"/>
    <w:rsid w:val="00033D1E"/>
    <w:rsid w:val="00033D28"/>
    <w:rsid w:val="000343B3"/>
    <w:rsid w:val="0003496D"/>
    <w:rsid w:val="00034A7F"/>
    <w:rsid w:val="000352F8"/>
    <w:rsid w:val="00035790"/>
    <w:rsid w:val="000368C3"/>
    <w:rsid w:val="00040247"/>
    <w:rsid w:val="00041302"/>
    <w:rsid w:val="00041B58"/>
    <w:rsid w:val="00042069"/>
    <w:rsid w:val="00042390"/>
    <w:rsid w:val="0004298B"/>
    <w:rsid w:val="00043FDE"/>
    <w:rsid w:val="000467DE"/>
    <w:rsid w:val="00046CB2"/>
    <w:rsid w:val="00047188"/>
    <w:rsid w:val="00047CD6"/>
    <w:rsid w:val="00051DE6"/>
    <w:rsid w:val="00054F8E"/>
    <w:rsid w:val="000577D9"/>
    <w:rsid w:val="00060753"/>
    <w:rsid w:val="00060B62"/>
    <w:rsid w:val="00061283"/>
    <w:rsid w:val="000627A2"/>
    <w:rsid w:val="000629D7"/>
    <w:rsid w:val="0006417A"/>
    <w:rsid w:val="00065F8F"/>
    <w:rsid w:val="0006649C"/>
    <w:rsid w:val="00066B80"/>
    <w:rsid w:val="00067F50"/>
    <w:rsid w:val="00070830"/>
    <w:rsid w:val="00077CCC"/>
    <w:rsid w:val="00077E16"/>
    <w:rsid w:val="000809B3"/>
    <w:rsid w:val="00080EAB"/>
    <w:rsid w:val="00081C6A"/>
    <w:rsid w:val="00082444"/>
    <w:rsid w:val="000825A5"/>
    <w:rsid w:val="00082D8D"/>
    <w:rsid w:val="00083162"/>
    <w:rsid w:val="0008327A"/>
    <w:rsid w:val="000841F9"/>
    <w:rsid w:val="000843DB"/>
    <w:rsid w:val="000845AF"/>
    <w:rsid w:val="00085D13"/>
    <w:rsid w:val="00086629"/>
    <w:rsid w:val="00087808"/>
    <w:rsid w:val="000879BA"/>
    <w:rsid w:val="00091FFC"/>
    <w:rsid w:val="00093693"/>
    <w:rsid w:val="00095627"/>
    <w:rsid w:val="00096BDC"/>
    <w:rsid w:val="000975EC"/>
    <w:rsid w:val="000A0444"/>
    <w:rsid w:val="000A0472"/>
    <w:rsid w:val="000A152E"/>
    <w:rsid w:val="000A20B0"/>
    <w:rsid w:val="000A245A"/>
    <w:rsid w:val="000A4311"/>
    <w:rsid w:val="000A50F9"/>
    <w:rsid w:val="000A6C60"/>
    <w:rsid w:val="000A6F64"/>
    <w:rsid w:val="000A78FC"/>
    <w:rsid w:val="000A7C00"/>
    <w:rsid w:val="000B07FB"/>
    <w:rsid w:val="000B10DF"/>
    <w:rsid w:val="000B163F"/>
    <w:rsid w:val="000B46A2"/>
    <w:rsid w:val="000B6193"/>
    <w:rsid w:val="000B7258"/>
    <w:rsid w:val="000B754A"/>
    <w:rsid w:val="000B76DB"/>
    <w:rsid w:val="000B7CBE"/>
    <w:rsid w:val="000B7EF2"/>
    <w:rsid w:val="000C02C5"/>
    <w:rsid w:val="000C0E20"/>
    <w:rsid w:val="000C164B"/>
    <w:rsid w:val="000C182C"/>
    <w:rsid w:val="000C18B8"/>
    <w:rsid w:val="000C236F"/>
    <w:rsid w:val="000C2CA7"/>
    <w:rsid w:val="000C3667"/>
    <w:rsid w:val="000C41A6"/>
    <w:rsid w:val="000C41C9"/>
    <w:rsid w:val="000C4781"/>
    <w:rsid w:val="000C572E"/>
    <w:rsid w:val="000C61C7"/>
    <w:rsid w:val="000C6AA2"/>
    <w:rsid w:val="000C6C97"/>
    <w:rsid w:val="000C7BD5"/>
    <w:rsid w:val="000D1DDF"/>
    <w:rsid w:val="000D262B"/>
    <w:rsid w:val="000D2F5C"/>
    <w:rsid w:val="000D3129"/>
    <w:rsid w:val="000D4BBF"/>
    <w:rsid w:val="000D6FB8"/>
    <w:rsid w:val="000E0D38"/>
    <w:rsid w:val="000E1AEC"/>
    <w:rsid w:val="000E1FB7"/>
    <w:rsid w:val="000E3195"/>
    <w:rsid w:val="000E35CD"/>
    <w:rsid w:val="000E4F1E"/>
    <w:rsid w:val="000E50F2"/>
    <w:rsid w:val="000E514D"/>
    <w:rsid w:val="000E51E9"/>
    <w:rsid w:val="000E5407"/>
    <w:rsid w:val="000F0595"/>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FE1"/>
    <w:rsid w:val="00113F0C"/>
    <w:rsid w:val="001147A4"/>
    <w:rsid w:val="00115CF1"/>
    <w:rsid w:val="001170C6"/>
    <w:rsid w:val="00117137"/>
    <w:rsid w:val="00117AF3"/>
    <w:rsid w:val="001200D6"/>
    <w:rsid w:val="00120360"/>
    <w:rsid w:val="0012068C"/>
    <w:rsid w:val="00120CA0"/>
    <w:rsid w:val="0012101A"/>
    <w:rsid w:val="0012202C"/>
    <w:rsid w:val="00122CE1"/>
    <w:rsid w:val="00123976"/>
    <w:rsid w:val="00124629"/>
    <w:rsid w:val="00124DEC"/>
    <w:rsid w:val="00124EFD"/>
    <w:rsid w:val="0012577E"/>
    <w:rsid w:val="001262EF"/>
    <w:rsid w:val="0013159F"/>
    <w:rsid w:val="00131EB1"/>
    <w:rsid w:val="00132635"/>
    <w:rsid w:val="00134190"/>
    <w:rsid w:val="001354E7"/>
    <w:rsid w:val="00135A54"/>
    <w:rsid w:val="00136710"/>
    <w:rsid w:val="00140982"/>
    <w:rsid w:val="00141200"/>
    <w:rsid w:val="00141591"/>
    <w:rsid w:val="0014187A"/>
    <w:rsid w:val="00141FBC"/>
    <w:rsid w:val="0014243F"/>
    <w:rsid w:val="0014294E"/>
    <w:rsid w:val="00142C72"/>
    <w:rsid w:val="001432DF"/>
    <w:rsid w:val="00143447"/>
    <w:rsid w:val="00143519"/>
    <w:rsid w:val="00144111"/>
    <w:rsid w:val="00144A29"/>
    <w:rsid w:val="00147BE4"/>
    <w:rsid w:val="00147CDB"/>
    <w:rsid w:val="00147DE3"/>
    <w:rsid w:val="00150453"/>
    <w:rsid w:val="00150C10"/>
    <w:rsid w:val="00150D1B"/>
    <w:rsid w:val="00151336"/>
    <w:rsid w:val="00152366"/>
    <w:rsid w:val="00152EC0"/>
    <w:rsid w:val="00153B85"/>
    <w:rsid w:val="00155FD8"/>
    <w:rsid w:val="0015605D"/>
    <w:rsid w:val="001560EC"/>
    <w:rsid w:val="00156508"/>
    <w:rsid w:val="00157B04"/>
    <w:rsid w:val="00160866"/>
    <w:rsid w:val="00161F83"/>
    <w:rsid w:val="00165EAA"/>
    <w:rsid w:val="00167721"/>
    <w:rsid w:val="001708BE"/>
    <w:rsid w:val="0017098A"/>
    <w:rsid w:val="001716F7"/>
    <w:rsid w:val="001739C2"/>
    <w:rsid w:val="00173B3A"/>
    <w:rsid w:val="00174655"/>
    <w:rsid w:val="00174D90"/>
    <w:rsid w:val="0017656E"/>
    <w:rsid w:val="00176790"/>
    <w:rsid w:val="00176D8B"/>
    <w:rsid w:val="00181375"/>
    <w:rsid w:val="001813C3"/>
    <w:rsid w:val="001819DA"/>
    <w:rsid w:val="00182693"/>
    <w:rsid w:val="00182705"/>
    <w:rsid w:val="00182DFB"/>
    <w:rsid w:val="001838E0"/>
    <w:rsid w:val="00183A15"/>
    <w:rsid w:val="00185355"/>
    <w:rsid w:val="00185483"/>
    <w:rsid w:val="00185D52"/>
    <w:rsid w:val="001866BF"/>
    <w:rsid w:val="00186884"/>
    <w:rsid w:val="001878EB"/>
    <w:rsid w:val="0019000C"/>
    <w:rsid w:val="0019030D"/>
    <w:rsid w:val="0019092C"/>
    <w:rsid w:val="00190C7A"/>
    <w:rsid w:val="00190F7F"/>
    <w:rsid w:val="00194559"/>
    <w:rsid w:val="001947C1"/>
    <w:rsid w:val="001948EC"/>
    <w:rsid w:val="00194F2A"/>
    <w:rsid w:val="0019508F"/>
    <w:rsid w:val="001953F2"/>
    <w:rsid w:val="0019547E"/>
    <w:rsid w:val="001A06DE"/>
    <w:rsid w:val="001A08FF"/>
    <w:rsid w:val="001A1AE7"/>
    <w:rsid w:val="001A2314"/>
    <w:rsid w:val="001A3100"/>
    <w:rsid w:val="001A3A22"/>
    <w:rsid w:val="001A3AA1"/>
    <w:rsid w:val="001A4109"/>
    <w:rsid w:val="001A4547"/>
    <w:rsid w:val="001A48FB"/>
    <w:rsid w:val="001A4C89"/>
    <w:rsid w:val="001A562F"/>
    <w:rsid w:val="001A646C"/>
    <w:rsid w:val="001B1019"/>
    <w:rsid w:val="001B2704"/>
    <w:rsid w:val="001B3657"/>
    <w:rsid w:val="001B3EDD"/>
    <w:rsid w:val="001B4478"/>
    <w:rsid w:val="001B4569"/>
    <w:rsid w:val="001B4B99"/>
    <w:rsid w:val="001B5EB4"/>
    <w:rsid w:val="001B68D3"/>
    <w:rsid w:val="001B76EB"/>
    <w:rsid w:val="001C0C39"/>
    <w:rsid w:val="001C0E0C"/>
    <w:rsid w:val="001C2F21"/>
    <w:rsid w:val="001C321B"/>
    <w:rsid w:val="001C3C19"/>
    <w:rsid w:val="001C3ED4"/>
    <w:rsid w:val="001C5E6C"/>
    <w:rsid w:val="001C7591"/>
    <w:rsid w:val="001D0423"/>
    <w:rsid w:val="001D1020"/>
    <w:rsid w:val="001D1E16"/>
    <w:rsid w:val="001D235D"/>
    <w:rsid w:val="001D2555"/>
    <w:rsid w:val="001D337C"/>
    <w:rsid w:val="001D380D"/>
    <w:rsid w:val="001D65C6"/>
    <w:rsid w:val="001E1EE3"/>
    <w:rsid w:val="001E3BCD"/>
    <w:rsid w:val="001E7B18"/>
    <w:rsid w:val="001F15CD"/>
    <w:rsid w:val="001F1F3F"/>
    <w:rsid w:val="001F27B1"/>
    <w:rsid w:val="001F2F00"/>
    <w:rsid w:val="001F3AE7"/>
    <w:rsid w:val="001F5B11"/>
    <w:rsid w:val="00200F31"/>
    <w:rsid w:val="0020221F"/>
    <w:rsid w:val="00203AEA"/>
    <w:rsid w:val="00203D33"/>
    <w:rsid w:val="00205051"/>
    <w:rsid w:val="0020794A"/>
    <w:rsid w:val="00207A23"/>
    <w:rsid w:val="00207C7F"/>
    <w:rsid w:val="00210B48"/>
    <w:rsid w:val="0021175A"/>
    <w:rsid w:val="002120BD"/>
    <w:rsid w:val="00212962"/>
    <w:rsid w:val="00214F01"/>
    <w:rsid w:val="0021540E"/>
    <w:rsid w:val="00215C9A"/>
    <w:rsid w:val="002169FE"/>
    <w:rsid w:val="00217135"/>
    <w:rsid w:val="0022132D"/>
    <w:rsid w:val="00221D16"/>
    <w:rsid w:val="00222064"/>
    <w:rsid w:val="00222CAE"/>
    <w:rsid w:val="00223622"/>
    <w:rsid w:val="00223B83"/>
    <w:rsid w:val="00223DAB"/>
    <w:rsid w:val="00225A53"/>
    <w:rsid w:val="00225C88"/>
    <w:rsid w:val="002262C4"/>
    <w:rsid w:val="002264F4"/>
    <w:rsid w:val="00227A81"/>
    <w:rsid w:val="00231427"/>
    <w:rsid w:val="00231B27"/>
    <w:rsid w:val="00232934"/>
    <w:rsid w:val="00233057"/>
    <w:rsid w:val="00234A3D"/>
    <w:rsid w:val="00235ACB"/>
    <w:rsid w:val="00235DEC"/>
    <w:rsid w:val="00236B10"/>
    <w:rsid w:val="00236EEA"/>
    <w:rsid w:val="002372B2"/>
    <w:rsid w:val="002407C6"/>
    <w:rsid w:val="00241714"/>
    <w:rsid w:val="00243D06"/>
    <w:rsid w:val="00244CDD"/>
    <w:rsid w:val="00245302"/>
    <w:rsid w:val="00245D73"/>
    <w:rsid w:val="002460F2"/>
    <w:rsid w:val="002472FE"/>
    <w:rsid w:val="0025030E"/>
    <w:rsid w:val="00250F72"/>
    <w:rsid w:val="002514CA"/>
    <w:rsid w:val="00252FDB"/>
    <w:rsid w:val="00254AAA"/>
    <w:rsid w:val="00255E07"/>
    <w:rsid w:val="002567CD"/>
    <w:rsid w:val="00257322"/>
    <w:rsid w:val="0025785E"/>
    <w:rsid w:val="002613AC"/>
    <w:rsid w:val="00261D3C"/>
    <w:rsid w:val="00262C42"/>
    <w:rsid w:val="0026349D"/>
    <w:rsid w:val="00266E0E"/>
    <w:rsid w:val="00266FD4"/>
    <w:rsid w:val="002671CC"/>
    <w:rsid w:val="002676FA"/>
    <w:rsid w:val="0027099E"/>
    <w:rsid w:val="002709E7"/>
    <w:rsid w:val="0027369C"/>
    <w:rsid w:val="00274B8F"/>
    <w:rsid w:val="00274D9D"/>
    <w:rsid w:val="00276C42"/>
    <w:rsid w:val="002775A0"/>
    <w:rsid w:val="0027764C"/>
    <w:rsid w:val="00280E55"/>
    <w:rsid w:val="00282FEC"/>
    <w:rsid w:val="00282FF3"/>
    <w:rsid w:val="0028364E"/>
    <w:rsid w:val="002848CB"/>
    <w:rsid w:val="00285776"/>
    <w:rsid w:val="002858BA"/>
    <w:rsid w:val="0028661B"/>
    <w:rsid w:val="0028686B"/>
    <w:rsid w:val="0029235D"/>
    <w:rsid w:val="00292574"/>
    <w:rsid w:val="0029396A"/>
    <w:rsid w:val="00293DE2"/>
    <w:rsid w:val="0029649C"/>
    <w:rsid w:val="002A0621"/>
    <w:rsid w:val="002A17E0"/>
    <w:rsid w:val="002A21C3"/>
    <w:rsid w:val="002A4823"/>
    <w:rsid w:val="002A50D2"/>
    <w:rsid w:val="002A5245"/>
    <w:rsid w:val="002A55AA"/>
    <w:rsid w:val="002A55D1"/>
    <w:rsid w:val="002A5C41"/>
    <w:rsid w:val="002A5CF5"/>
    <w:rsid w:val="002A6EA4"/>
    <w:rsid w:val="002A7839"/>
    <w:rsid w:val="002A7B04"/>
    <w:rsid w:val="002A7E9D"/>
    <w:rsid w:val="002B15AC"/>
    <w:rsid w:val="002B19FB"/>
    <w:rsid w:val="002B36C3"/>
    <w:rsid w:val="002B532E"/>
    <w:rsid w:val="002B5525"/>
    <w:rsid w:val="002B5A2E"/>
    <w:rsid w:val="002B5A4B"/>
    <w:rsid w:val="002B61A8"/>
    <w:rsid w:val="002B678E"/>
    <w:rsid w:val="002C10D1"/>
    <w:rsid w:val="002C239C"/>
    <w:rsid w:val="002C3A5F"/>
    <w:rsid w:val="002C5754"/>
    <w:rsid w:val="002C6BF5"/>
    <w:rsid w:val="002D0C49"/>
    <w:rsid w:val="002D2553"/>
    <w:rsid w:val="002D43A1"/>
    <w:rsid w:val="002D63D6"/>
    <w:rsid w:val="002D6680"/>
    <w:rsid w:val="002E00CC"/>
    <w:rsid w:val="002E0473"/>
    <w:rsid w:val="002E1AF1"/>
    <w:rsid w:val="002E24D4"/>
    <w:rsid w:val="002E2A27"/>
    <w:rsid w:val="002E3911"/>
    <w:rsid w:val="002E527B"/>
    <w:rsid w:val="002F06D0"/>
    <w:rsid w:val="002F2CF2"/>
    <w:rsid w:val="002F3830"/>
    <w:rsid w:val="002F38D7"/>
    <w:rsid w:val="002F4929"/>
    <w:rsid w:val="002F5989"/>
    <w:rsid w:val="002F73F4"/>
    <w:rsid w:val="002F7DDE"/>
    <w:rsid w:val="002F7E97"/>
    <w:rsid w:val="003006A1"/>
    <w:rsid w:val="003012A2"/>
    <w:rsid w:val="003018B7"/>
    <w:rsid w:val="003020C6"/>
    <w:rsid w:val="00304ACA"/>
    <w:rsid w:val="003127F4"/>
    <w:rsid w:val="00313652"/>
    <w:rsid w:val="0031376D"/>
    <w:rsid w:val="003151B5"/>
    <w:rsid w:val="00315AF8"/>
    <w:rsid w:val="003175F3"/>
    <w:rsid w:val="00317835"/>
    <w:rsid w:val="00317C72"/>
    <w:rsid w:val="003225D9"/>
    <w:rsid w:val="003235CC"/>
    <w:rsid w:val="00324EC4"/>
    <w:rsid w:val="00325668"/>
    <w:rsid w:val="00325823"/>
    <w:rsid w:val="00325E60"/>
    <w:rsid w:val="0032752E"/>
    <w:rsid w:val="0033097A"/>
    <w:rsid w:val="00330C51"/>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B36"/>
    <w:rsid w:val="0034796D"/>
    <w:rsid w:val="003509E6"/>
    <w:rsid w:val="00351237"/>
    <w:rsid w:val="00351946"/>
    <w:rsid w:val="0035210E"/>
    <w:rsid w:val="003521FD"/>
    <w:rsid w:val="00352802"/>
    <w:rsid w:val="00353085"/>
    <w:rsid w:val="003535EF"/>
    <w:rsid w:val="003538EF"/>
    <w:rsid w:val="0035515E"/>
    <w:rsid w:val="00355868"/>
    <w:rsid w:val="00355E2C"/>
    <w:rsid w:val="003575B9"/>
    <w:rsid w:val="00357828"/>
    <w:rsid w:val="00357895"/>
    <w:rsid w:val="00357916"/>
    <w:rsid w:val="00357B15"/>
    <w:rsid w:val="00360B19"/>
    <w:rsid w:val="00360FCE"/>
    <w:rsid w:val="00362E82"/>
    <w:rsid w:val="00364001"/>
    <w:rsid w:val="00365DC3"/>
    <w:rsid w:val="0036633C"/>
    <w:rsid w:val="00366CA4"/>
    <w:rsid w:val="00366CC9"/>
    <w:rsid w:val="0036763E"/>
    <w:rsid w:val="00367C14"/>
    <w:rsid w:val="00367E02"/>
    <w:rsid w:val="0037013D"/>
    <w:rsid w:val="00370DA4"/>
    <w:rsid w:val="003710CD"/>
    <w:rsid w:val="00372E91"/>
    <w:rsid w:val="00372FAD"/>
    <w:rsid w:val="00372FD5"/>
    <w:rsid w:val="003739D8"/>
    <w:rsid w:val="0037552F"/>
    <w:rsid w:val="0037633B"/>
    <w:rsid w:val="00376958"/>
    <w:rsid w:val="00376C1A"/>
    <w:rsid w:val="0037769F"/>
    <w:rsid w:val="0037792A"/>
    <w:rsid w:val="00377C17"/>
    <w:rsid w:val="00377C46"/>
    <w:rsid w:val="003817A9"/>
    <w:rsid w:val="0038431A"/>
    <w:rsid w:val="0038547C"/>
    <w:rsid w:val="00385A88"/>
    <w:rsid w:val="00386E93"/>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23AF"/>
    <w:rsid w:val="003B2AC6"/>
    <w:rsid w:val="003B2F30"/>
    <w:rsid w:val="003B3019"/>
    <w:rsid w:val="003B34C2"/>
    <w:rsid w:val="003B39D7"/>
    <w:rsid w:val="003B4B2E"/>
    <w:rsid w:val="003B61F0"/>
    <w:rsid w:val="003B64B3"/>
    <w:rsid w:val="003B693A"/>
    <w:rsid w:val="003B6E18"/>
    <w:rsid w:val="003B7053"/>
    <w:rsid w:val="003B7102"/>
    <w:rsid w:val="003B7EA2"/>
    <w:rsid w:val="003C0C25"/>
    <w:rsid w:val="003C2D62"/>
    <w:rsid w:val="003C4234"/>
    <w:rsid w:val="003C5F5E"/>
    <w:rsid w:val="003C5FC2"/>
    <w:rsid w:val="003C6BB7"/>
    <w:rsid w:val="003C7603"/>
    <w:rsid w:val="003D0A88"/>
    <w:rsid w:val="003D19A0"/>
    <w:rsid w:val="003D27BD"/>
    <w:rsid w:val="003D353C"/>
    <w:rsid w:val="003E19E7"/>
    <w:rsid w:val="003E29B3"/>
    <w:rsid w:val="003E36C0"/>
    <w:rsid w:val="003E3724"/>
    <w:rsid w:val="003E3957"/>
    <w:rsid w:val="003E6A80"/>
    <w:rsid w:val="003E7F59"/>
    <w:rsid w:val="003F0D8B"/>
    <w:rsid w:val="003F1E6F"/>
    <w:rsid w:val="003F1F9E"/>
    <w:rsid w:val="003F3BC1"/>
    <w:rsid w:val="003F43E6"/>
    <w:rsid w:val="003F4894"/>
    <w:rsid w:val="003F704D"/>
    <w:rsid w:val="004000BE"/>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1DE"/>
    <w:rsid w:val="00416211"/>
    <w:rsid w:val="004167B1"/>
    <w:rsid w:val="0042035D"/>
    <w:rsid w:val="00420604"/>
    <w:rsid w:val="00420841"/>
    <w:rsid w:val="004226AA"/>
    <w:rsid w:val="00423732"/>
    <w:rsid w:val="0042396F"/>
    <w:rsid w:val="00423FCE"/>
    <w:rsid w:val="004259F9"/>
    <w:rsid w:val="00425B31"/>
    <w:rsid w:val="00425BAA"/>
    <w:rsid w:val="0042648D"/>
    <w:rsid w:val="00426957"/>
    <w:rsid w:val="00426976"/>
    <w:rsid w:val="00427722"/>
    <w:rsid w:val="00427F4F"/>
    <w:rsid w:val="00431731"/>
    <w:rsid w:val="00431779"/>
    <w:rsid w:val="00431A2A"/>
    <w:rsid w:val="00431CE6"/>
    <w:rsid w:val="00433C39"/>
    <w:rsid w:val="00433C3E"/>
    <w:rsid w:val="00434AC5"/>
    <w:rsid w:val="00437108"/>
    <w:rsid w:val="00440246"/>
    <w:rsid w:val="00441588"/>
    <w:rsid w:val="00441CF2"/>
    <w:rsid w:val="00443B1B"/>
    <w:rsid w:val="00444072"/>
    <w:rsid w:val="00444204"/>
    <w:rsid w:val="00446A46"/>
    <w:rsid w:val="00446BAE"/>
    <w:rsid w:val="004473E9"/>
    <w:rsid w:val="0045044A"/>
    <w:rsid w:val="004511AB"/>
    <w:rsid w:val="004511FA"/>
    <w:rsid w:val="0045235F"/>
    <w:rsid w:val="004533F1"/>
    <w:rsid w:val="00453797"/>
    <w:rsid w:val="00453ABE"/>
    <w:rsid w:val="004542A8"/>
    <w:rsid w:val="004576E8"/>
    <w:rsid w:val="00460794"/>
    <w:rsid w:val="00461DF1"/>
    <w:rsid w:val="00463731"/>
    <w:rsid w:val="00463A9F"/>
    <w:rsid w:val="00463CEF"/>
    <w:rsid w:val="00463DEF"/>
    <w:rsid w:val="00464FEE"/>
    <w:rsid w:val="004672B7"/>
    <w:rsid w:val="00467391"/>
    <w:rsid w:val="004706A0"/>
    <w:rsid w:val="00472190"/>
    <w:rsid w:val="004724BF"/>
    <w:rsid w:val="00472695"/>
    <w:rsid w:val="004729E0"/>
    <w:rsid w:val="00473E9C"/>
    <w:rsid w:val="00474AAA"/>
    <w:rsid w:val="00474BF7"/>
    <w:rsid w:val="00474D9B"/>
    <w:rsid w:val="00475E1A"/>
    <w:rsid w:val="004762ED"/>
    <w:rsid w:val="00477469"/>
    <w:rsid w:val="004774B6"/>
    <w:rsid w:val="004775E8"/>
    <w:rsid w:val="00481888"/>
    <w:rsid w:val="00482BE4"/>
    <w:rsid w:val="0048370B"/>
    <w:rsid w:val="00486750"/>
    <w:rsid w:val="00487EBC"/>
    <w:rsid w:val="00490DDC"/>
    <w:rsid w:val="00491D56"/>
    <w:rsid w:val="00491D60"/>
    <w:rsid w:val="00494CD1"/>
    <w:rsid w:val="004957BA"/>
    <w:rsid w:val="0049590A"/>
    <w:rsid w:val="00495CE9"/>
    <w:rsid w:val="004962C7"/>
    <w:rsid w:val="004963CC"/>
    <w:rsid w:val="004970C9"/>
    <w:rsid w:val="00497574"/>
    <w:rsid w:val="004978DC"/>
    <w:rsid w:val="00497B5E"/>
    <w:rsid w:val="004A224A"/>
    <w:rsid w:val="004A28DD"/>
    <w:rsid w:val="004A3074"/>
    <w:rsid w:val="004A570E"/>
    <w:rsid w:val="004A59B2"/>
    <w:rsid w:val="004A7CEC"/>
    <w:rsid w:val="004B06E1"/>
    <w:rsid w:val="004B129A"/>
    <w:rsid w:val="004B24F7"/>
    <w:rsid w:val="004B26C7"/>
    <w:rsid w:val="004B31C7"/>
    <w:rsid w:val="004B4BDC"/>
    <w:rsid w:val="004B4D42"/>
    <w:rsid w:val="004B4E10"/>
    <w:rsid w:val="004B612C"/>
    <w:rsid w:val="004B7E3E"/>
    <w:rsid w:val="004C0544"/>
    <w:rsid w:val="004C07ED"/>
    <w:rsid w:val="004C228F"/>
    <w:rsid w:val="004C2585"/>
    <w:rsid w:val="004C279B"/>
    <w:rsid w:val="004C281D"/>
    <w:rsid w:val="004C2E9D"/>
    <w:rsid w:val="004C4513"/>
    <w:rsid w:val="004C4BEC"/>
    <w:rsid w:val="004C5A9B"/>
    <w:rsid w:val="004C7663"/>
    <w:rsid w:val="004C7FC6"/>
    <w:rsid w:val="004D25B5"/>
    <w:rsid w:val="004D49C8"/>
    <w:rsid w:val="004D5428"/>
    <w:rsid w:val="004D6E67"/>
    <w:rsid w:val="004E00B4"/>
    <w:rsid w:val="004E0963"/>
    <w:rsid w:val="004E0B2F"/>
    <w:rsid w:val="004E1B3F"/>
    <w:rsid w:val="004E2A8E"/>
    <w:rsid w:val="004E458C"/>
    <w:rsid w:val="004F000D"/>
    <w:rsid w:val="004F0EC9"/>
    <w:rsid w:val="004F27DD"/>
    <w:rsid w:val="004F40AB"/>
    <w:rsid w:val="004F47F7"/>
    <w:rsid w:val="004F7CCB"/>
    <w:rsid w:val="0050050B"/>
    <w:rsid w:val="0050132A"/>
    <w:rsid w:val="00502F3E"/>
    <w:rsid w:val="00503196"/>
    <w:rsid w:val="00503967"/>
    <w:rsid w:val="00503ADE"/>
    <w:rsid w:val="00504706"/>
    <w:rsid w:val="00504E60"/>
    <w:rsid w:val="0050553B"/>
    <w:rsid w:val="0050674F"/>
    <w:rsid w:val="00506A2E"/>
    <w:rsid w:val="00510BE0"/>
    <w:rsid w:val="00510C5C"/>
    <w:rsid w:val="00511E62"/>
    <w:rsid w:val="005208AC"/>
    <w:rsid w:val="00520B14"/>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2EB0"/>
    <w:rsid w:val="00533CD5"/>
    <w:rsid w:val="00534871"/>
    <w:rsid w:val="00535069"/>
    <w:rsid w:val="00535A60"/>
    <w:rsid w:val="005368AB"/>
    <w:rsid w:val="005372AF"/>
    <w:rsid w:val="00540D5C"/>
    <w:rsid w:val="00541971"/>
    <w:rsid w:val="00541FF9"/>
    <w:rsid w:val="00544481"/>
    <w:rsid w:val="0054689F"/>
    <w:rsid w:val="00546DAD"/>
    <w:rsid w:val="0055024A"/>
    <w:rsid w:val="00550D90"/>
    <w:rsid w:val="005538CF"/>
    <w:rsid w:val="005542A1"/>
    <w:rsid w:val="005549AB"/>
    <w:rsid w:val="00555A0C"/>
    <w:rsid w:val="00555A17"/>
    <w:rsid w:val="00555EC7"/>
    <w:rsid w:val="00557DCC"/>
    <w:rsid w:val="00561169"/>
    <w:rsid w:val="005617DA"/>
    <w:rsid w:val="00561B18"/>
    <w:rsid w:val="0056339B"/>
    <w:rsid w:val="00563DF3"/>
    <w:rsid w:val="0056580C"/>
    <w:rsid w:val="00565B20"/>
    <w:rsid w:val="00566C79"/>
    <w:rsid w:val="00570169"/>
    <w:rsid w:val="00571FF4"/>
    <w:rsid w:val="005748A1"/>
    <w:rsid w:val="005757C3"/>
    <w:rsid w:val="005809B5"/>
    <w:rsid w:val="005812EF"/>
    <w:rsid w:val="00582010"/>
    <w:rsid w:val="005823F5"/>
    <w:rsid w:val="0058254B"/>
    <w:rsid w:val="0058351E"/>
    <w:rsid w:val="00587914"/>
    <w:rsid w:val="0059181C"/>
    <w:rsid w:val="005925EC"/>
    <w:rsid w:val="0059611F"/>
    <w:rsid w:val="005964F5"/>
    <w:rsid w:val="00597224"/>
    <w:rsid w:val="005A0727"/>
    <w:rsid w:val="005A1B7D"/>
    <w:rsid w:val="005A3592"/>
    <w:rsid w:val="005A4082"/>
    <w:rsid w:val="005A46DD"/>
    <w:rsid w:val="005B0AAB"/>
    <w:rsid w:val="005B3F91"/>
    <w:rsid w:val="005B4EB8"/>
    <w:rsid w:val="005B5497"/>
    <w:rsid w:val="005B5790"/>
    <w:rsid w:val="005B5E9D"/>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5D26"/>
    <w:rsid w:val="005D5EBA"/>
    <w:rsid w:val="005E0B86"/>
    <w:rsid w:val="005E2F89"/>
    <w:rsid w:val="005E374E"/>
    <w:rsid w:val="005E4545"/>
    <w:rsid w:val="005E4A75"/>
    <w:rsid w:val="005E4E13"/>
    <w:rsid w:val="005E5020"/>
    <w:rsid w:val="005E5730"/>
    <w:rsid w:val="005E73A1"/>
    <w:rsid w:val="005E7458"/>
    <w:rsid w:val="005E76FD"/>
    <w:rsid w:val="005F0547"/>
    <w:rsid w:val="005F19C6"/>
    <w:rsid w:val="005F4197"/>
    <w:rsid w:val="005F4C67"/>
    <w:rsid w:val="005F5163"/>
    <w:rsid w:val="005F52C6"/>
    <w:rsid w:val="005F541C"/>
    <w:rsid w:val="006055FE"/>
    <w:rsid w:val="006067DB"/>
    <w:rsid w:val="006073F9"/>
    <w:rsid w:val="00607F86"/>
    <w:rsid w:val="00610BC0"/>
    <w:rsid w:val="0061157C"/>
    <w:rsid w:val="0061282A"/>
    <w:rsid w:val="006131E5"/>
    <w:rsid w:val="006132AE"/>
    <w:rsid w:val="00615427"/>
    <w:rsid w:val="006167B8"/>
    <w:rsid w:val="00617C22"/>
    <w:rsid w:val="00621A6D"/>
    <w:rsid w:val="00621DB3"/>
    <w:rsid w:val="00621F03"/>
    <w:rsid w:val="0062265E"/>
    <w:rsid w:val="00622F11"/>
    <w:rsid w:val="00623213"/>
    <w:rsid w:val="006251DE"/>
    <w:rsid w:val="006254EE"/>
    <w:rsid w:val="00625B63"/>
    <w:rsid w:val="00627517"/>
    <w:rsid w:val="00630B1A"/>
    <w:rsid w:val="00632281"/>
    <w:rsid w:val="006327BE"/>
    <w:rsid w:val="00632A4A"/>
    <w:rsid w:val="00634573"/>
    <w:rsid w:val="00635A24"/>
    <w:rsid w:val="00635DDF"/>
    <w:rsid w:val="00636ADD"/>
    <w:rsid w:val="00640221"/>
    <w:rsid w:val="006406E5"/>
    <w:rsid w:val="00640B24"/>
    <w:rsid w:val="0064110A"/>
    <w:rsid w:val="006417BC"/>
    <w:rsid w:val="00641C9C"/>
    <w:rsid w:val="00641EE6"/>
    <w:rsid w:val="00642EB3"/>
    <w:rsid w:val="006441AD"/>
    <w:rsid w:val="006442C8"/>
    <w:rsid w:val="0064476C"/>
    <w:rsid w:val="00646E32"/>
    <w:rsid w:val="00647687"/>
    <w:rsid w:val="0065230F"/>
    <w:rsid w:val="0065353F"/>
    <w:rsid w:val="006546B9"/>
    <w:rsid w:val="00654B60"/>
    <w:rsid w:val="00655090"/>
    <w:rsid w:val="0065588C"/>
    <w:rsid w:val="00657727"/>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4329"/>
    <w:rsid w:val="00674808"/>
    <w:rsid w:val="00674CE6"/>
    <w:rsid w:val="00676BB6"/>
    <w:rsid w:val="00677279"/>
    <w:rsid w:val="00677979"/>
    <w:rsid w:val="00680316"/>
    <w:rsid w:val="006803A0"/>
    <w:rsid w:val="0068141A"/>
    <w:rsid w:val="00682088"/>
    <w:rsid w:val="00683770"/>
    <w:rsid w:val="00683B58"/>
    <w:rsid w:val="006849D2"/>
    <w:rsid w:val="00686A7E"/>
    <w:rsid w:val="00686CAE"/>
    <w:rsid w:val="00690509"/>
    <w:rsid w:val="00690963"/>
    <w:rsid w:val="00690B95"/>
    <w:rsid w:val="00691156"/>
    <w:rsid w:val="00691601"/>
    <w:rsid w:val="00691FAB"/>
    <w:rsid w:val="00693751"/>
    <w:rsid w:val="00693795"/>
    <w:rsid w:val="006937ED"/>
    <w:rsid w:val="00693CE6"/>
    <w:rsid w:val="006940D6"/>
    <w:rsid w:val="00695005"/>
    <w:rsid w:val="00696375"/>
    <w:rsid w:val="006965DF"/>
    <w:rsid w:val="00696CA3"/>
    <w:rsid w:val="006A09A4"/>
    <w:rsid w:val="006A21CC"/>
    <w:rsid w:val="006A3856"/>
    <w:rsid w:val="006A438F"/>
    <w:rsid w:val="006A503A"/>
    <w:rsid w:val="006A65A6"/>
    <w:rsid w:val="006A6750"/>
    <w:rsid w:val="006A7D6E"/>
    <w:rsid w:val="006A7FA7"/>
    <w:rsid w:val="006B0634"/>
    <w:rsid w:val="006B1C34"/>
    <w:rsid w:val="006B1FF1"/>
    <w:rsid w:val="006B293F"/>
    <w:rsid w:val="006B34DE"/>
    <w:rsid w:val="006B35F3"/>
    <w:rsid w:val="006B40C1"/>
    <w:rsid w:val="006B5F49"/>
    <w:rsid w:val="006B6A20"/>
    <w:rsid w:val="006C1EDD"/>
    <w:rsid w:val="006C22E4"/>
    <w:rsid w:val="006C2F5C"/>
    <w:rsid w:val="006C4010"/>
    <w:rsid w:val="006C477E"/>
    <w:rsid w:val="006C5AD3"/>
    <w:rsid w:val="006C6D7A"/>
    <w:rsid w:val="006C7F0A"/>
    <w:rsid w:val="006D0350"/>
    <w:rsid w:val="006D0C02"/>
    <w:rsid w:val="006D0F19"/>
    <w:rsid w:val="006D2B2B"/>
    <w:rsid w:val="006D2DE9"/>
    <w:rsid w:val="006D35F8"/>
    <w:rsid w:val="006D3FB0"/>
    <w:rsid w:val="006D443D"/>
    <w:rsid w:val="006D614A"/>
    <w:rsid w:val="006D6B5E"/>
    <w:rsid w:val="006D6CA1"/>
    <w:rsid w:val="006D7DA7"/>
    <w:rsid w:val="006E0FAD"/>
    <w:rsid w:val="006E27D1"/>
    <w:rsid w:val="006E2CD8"/>
    <w:rsid w:val="006E43D2"/>
    <w:rsid w:val="006E4462"/>
    <w:rsid w:val="006E465C"/>
    <w:rsid w:val="006E4B08"/>
    <w:rsid w:val="006E4EB7"/>
    <w:rsid w:val="006E7F81"/>
    <w:rsid w:val="006F1443"/>
    <w:rsid w:val="006F1C69"/>
    <w:rsid w:val="006F2579"/>
    <w:rsid w:val="006F2855"/>
    <w:rsid w:val="006F2887"/>
    <w:rsid w:val="006F5439"/>
    <w:rsid w:val="006F713E"/>
    <w:rsid w:val="006F750C"/>
    <w:rsid w:val="006F7EB1"/>
    <w:rsid w:val="00700AD5"/>
    <w:rsid w:val="00702B93"/>
    <w:rsid w:val="00702D4F"/>
    <w:rsid w:val="00703D5F"/>
    <w:rsid w:val="007045FC"/>
    <w:rsid w:val="0070488F"/>
    <w:rsid w:val="00704CDE"/>
    <w:rsid w:val="00704CF9"/>
    <w:rsid w:val="00704ECD"/>
    <w:rsid w:val="00705199"/>
    <w:rsid w:val="00705711"/>
    <w:rsid w:val="0070582E"/>
    <w:rsid w:val="007073E2"/>
    <w:rsid w:val="0070772C"/>
    <w:rsid w:val="00710713"/>
    <w:rsid w:val="007123C3"/>
    <w:rsid w:val="0071266E"/>
    <w:rsid w:val="007130F7"/>
    <w:rsid w:val="00714183"/>
    <w:rsid w:val="00715CA4"/>
    <w:rsid w:val="00715E75"/>
    <w:rsid w:val="0071691D"/>
    <w:rsid w:val="00720C6C"/>
    <w:rsid w:val="00721EC2"/>
    <w:rsid w:val="007226F3"/>
    <w:rsid w:val="0072344E"/>
    <w:rsid w:val="007237EE"/>
    <w:rsid w:val="007240C3"/>
    <w:rsid w:val="007243CC"/>
    <w:rsid w:val="0072530B"/>
    <w:rsid w:val="007263B7"/>
    <w:rsid w:val="00727632"/>
    <w:rsid w:val="007301CB"/>
    <w:rsid w:val="00731957"/>
    <w:rsid w:val="007323E0"/>
    <w:rsid w:val="00732BB6"/>
    <w:rsid w:val="00733697"/>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2121"/>
    <w:rsid w:val="0074467F"/>
    <w:rsid w:val="00744F24"/>
    <w:rsid w:val="0074501E"/>
    <w:rsid w:val="00745868"/>
    <w:rsid w:val="00746472"/>
    <w:rsid w:val="00746CD0"/>
    <w:rsid w:val="00747C5A"/>
    <w:rsid w:val="00751DE7"/>
    <w:rsid w:val="00752CE8"/>
    <w:rsid w:val="0075428A"/>
    <w:rsid w:val="0075561B"/>
    <w:rsid w:val="00760A78"/>
    <w:rsid w:val="00763C94"/>
    <w:rsid w:val="00764725"/>
    <w:rsid w:val="00764B6B"/>
    <w:rsid w:val="00764F0C"/>
    <w:rsid w:val="00766029"/>
    <w:rsid w:val="00766432"/>
    <w:rsid w:val="00766983"/>
    <w:rsid w:val="00767A28"/>
    <w:rsid w:val="00770893"/>
    <w:rsid w:val="007712C3"/>
    <w:rsid w:val="00771D33"/>
    <w:rsid w:val="00771F1C"/>
    <w:rsid w:val="007725DF"/>
    <w:rsid w:val="00772E1A"/>
    <w:rsid w:val="007736D0"/>
    <w:rsid w:val="007758CF"/>
    <w:rsid w:val="00775FEC"/>
    <w:rsid w:val="00776317"/>
    <w:rsid w:val="00776D06"/>
    <w:rsid w:val="007810BC"/>
    <w:rsid w:val="00781EB4"/>
    <w:rsid w:val="007823D7"/>
    <w:rsid w:val="00782E96"/>
    <w:rsid w:val="007844DE"/>
    <w:rsid w:val="007848DA"/>
    <w:rsid w:val="00785A39"/>
    <w:rsid w:val="007861AA"/>
    <w:rsid w:val="00787447"/>
    <w:rsid w:val="0078776F"/>
    <w:rsid w:val="007900EA"/>
    <w:rsid w:val="00790BDA"/>
    <w:rsid w:val="007918A1"/>
    <w:rsid w:val="00793091"/>
    <w:rsid w:val="007943A8"/>
    <w:rsid w:val="007947F4"/>
    <w:rsid w:val="00795FC0"/>
    <w:rsid w:val="007963D7"/>
    <w:rsid w:val="00796527"/>
    <w:rsid w:val="007975AC"/>
    <w:rsid w:val="00797CF6"/>
    <w:rsid w:val="007A0F7C"/>
    <w:rsid w:val="007A10D6"/>
    <w:rsid w:val="007A12A7"/>
    <w:rsid w:val="007A14FC"/>
    <w:rsid w:val="007A2BE6"/>
    <w:rsid w:val="007A340C"/>
    <w:rsid w:val="007A4A3D"/>
    <w:rsid w:val="007A5A11"/>
    <w:rsid w:val="007A6F16"/>
    <w:rsid w:val="007A752A"/>
    <w:rsid w:val="007A7B6E"/>
    <w:rsid w:val="007A7F7F"/>
    <w:rsid w:val="007A7FD6"/>
    <w:rsid w:val="007B09DF"/>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3B8"/>
    <w:rsid w:val="007C67EE"/>
    <w:rsid w:val="007C7A8C"/>
    <w:rsid w:val="007D05C7"/>
    <w:rsid w:val="007D07F8"/>
    <w:rsid w:val="007D0EE9"/>
    <w:rsid w:val="007D1707"/>
    <w:rsid w:val="007D24AB"/>
    <w:rsid w:val="007D3405"/>
    <w:rsid w:val="007D41C2"/>
    <w:rsid w:val="007D42D5"/>
    <w:rsid w:val="007D4BFC"/>
    <w:rsid w:val="007D6193"/>
    <w:rsid w:val="007D6B1C"/>
    <w:rsid w:val="007D7A92"/>
    <w:rsid w:val="007E0FAF"/>
    <w:rsid w:val="007E112F"/>
    <w:rsid w:val="007E1C60"/>
    <w:rsid w:val="007E450C"/>
    <w:rsid w:val="007E4A09"/>
    <w:rsid w:val="007E4C9C"/>
    <w:rsid w:val="007E5486"/>
    <w:rsid w:val="007E5B1C"/>
    <w:rsid w:val="007E5F2E"/>
    <w:rsid w:val="007E5FB5"/>
    <w:rsid w:val="007E6196"/>
    <w:rsid w:val="007E6656"/>
    <w:rsid w:val="007E70BF"/>
    <w:rsid w:val="007E735A"/>
    <w:rsid w:val="007F0085"/>
    <w:rsid w:val="007F080F"/>
    <w:rsid w:val="007F0F01"/>
    <w:rsid w:val="007F155F"/>
    <w:rsid w:val="007F1A99"/>
    <w:rsid w:val="007F22A7"/>
    <w:rsid w:val="007F22ED"/>
    <w:rsid w:val="007F24DA"/>
    <w:rsid w:val="007F3253"/>
    <w:rsid w:val="007F4DE5"/>
    <w:rsid w:val="007F4F42"/>
    <w:rsid w:val="007F536B"/>
    <w:rsid w:val="007F59CD"/>
    <w:rsid w:val="007F7F32"/>
    <w:rsid w:val="00800A70"/>
    <w:rsid w:val="00800DF8"/>
    <w:rsid w:val="00801E32"/>
    <w:rsid w:val="008021FD"/>
    <w:rsid w:val="008026FA"/>
    <w:rsid w:val="008036BE"/>
    <w:rsid w:val="00803B18"/>
    <w:rsid w:val="00803B2E"/>
    <w:rsid w:val="00804BA2"/>
    <w:rsid w:val="00804FE6"/>
    <w:rsid w:val="0080556B"/>
    <w:rsid w:val="00806ABD"/>
    <w:rsid w:val="00807D00"/>
    <w:rsid w:val="00807EA4"/>
    <w:rsid w:val="00807EB6"/>
    <w:rsid w:val="008106E3"/>
    <w:rsid w:val="00810F07"/>
    <w:rsid w:val="008115B8"/>
    <w:rsid w:val="008115CF"/>
    <w:rsid w:val="00811E77"/>
    <w:rsid w:val="00812315"/>
    <w:rsid w:val="00813018"/>
    <w:rsid w:val="00814DCA"/>
    <w:rsid w:val="0081539C"/>
    <w:rsid w:val="00815D1B"/>
    <w:rsid w:val="008164A8"/>
    <w:rsid w:val="00816C1F"/>
    <w:rsid w:val="008174AD"/>
    <w:rsid w:val="00820876"/>
    <w:rsid w:val="0082143F"/>
    <w:rsid w:val="0082159A"/>
    <w:rsid w:val="00822064"/>
    <w:rsid w:val="008220AD"/>
    <w:rsid w:val="00822969"/>
    <w:rsid w:val="00823196"/>
    <w:rsid w:val="00823610"/>
    <w:rsid w:val="00824E32"/>
    <w:rsid w:val="0083049A"/>
    <w:rsid w:val="008321A6"/>
    <w:rsid w:val="0083380F"/>
    <w:rsid w:val="00835FCE"/>
    <w:rsid w:val="008368DE"/>
    <w:rsid w:val="00840E25"/>
    <w:rsid w:val="0084161A"/>
    <w:rsid w:val="00841962"/>
    <w:rsid w:val="008424BB"/>
    <w:rsid w:val="0084456D"/>
    <w:rsid w:val="00844729"/>
    <w:rsid w:val="008465CB"/>
    <w:rsid w:val="0085127E"/>
    <w:rsid w:val="008517C6"/>
    <w:rsid w:val="00852898"/>
    <w:rsid w:val="00853308"/>
    <w:rsid w:val="008534CC"/>
    <w:rsid w:val="00853C98"/>
    <w:rsid w:val="00854103"/>
    <w:rsid w:val="008549B1"/>
    <w:rsid w:val="0085543E"/>
    <w:rsid w:val="008568B0"/>
    <w:rsid w:val="008578F2"/>
    <w:rsid w:val="008600ED"/>
    <w:rsid w:val="00860366"/>
    <w:rsid w:val="008614BF"/>
    <w:rsid w:val="00861CAB"/>
    <w:rsid w:val="008627A8"/>
    <w:rsid w:val="00862B21"/>
    <w:rsid w:val="00863E02"/>
    <w:rsid w:val="0086489A"/>
    <w:rsid w:val="00865274"/>
    <w:rsid w:val="00865940"/>
    <w:rsid w:val="00865EEC"/>
    <w:rsid w:val="00866A27"/>
    <w:rsid w:val="008701DC"/>
    <w:rsid w:val="0087081B"/>
    <w:rsid w:val="008714CD"/>
    <w:rsid w:val="008739F1"/>
    <w:rsid w:val="00874308"/>
    <w:rsid w:val="00877B13"/>
    <w:rsid w:val="00880AB5"/>
    <w:rsid w:val="00880AD5"/>
    <w:rsid w:val="00880C01"/>
    <w:rsid w:val="00881457"/>
    <w:rsid w:val="00882802"/>
    <w:rsid w:val="00882B0F"/>
    <w:rsid w:val="008836A7"/>
    <w:rsid w:val="00884467"/>
    <w:rsid w:val="008872D7"/>
    <w:rsid w:val="00887F03"/>
    <w:rsid w:val="00893B95"/>
    <w:rsid w:val="008941B2"/>
    <w:rsid w:val="008A1084"/>
    <w:rsid w:val="008A1DA7"/>
    <w:rsid w:val="008A3884"/>
    <w:rsid w:val="008A49EA"/>
    <w:rsid w:val="008A4ABF"/>
    <w:rsid w:val="008A739F"/>
    <w:rsid w:val="008B0108"/>
    <w:rsid w:val="008B18E3"/>
    <w:rsid w:val="008B3670"/>
    <w:rsid w:val="008B4157"/>
    <w:rsid w:val="008B4A24"/>
    <w:rsid w:val="008B5AFF"/>
    <w:rsid w:val="008B5E0B"/>
    <w:rsid w:val="008B758A"/>
    <w:rsid w:val="008B7CD2"/>
    <w:rsid w:val="008C053C"/>
    <w:rsid w:val="008C0C4F"/>
    <w:rsid w:val="008C0F75"/>
    <w:rsid w:val="008C12F3"/>
    <w:rsid w:val="008C277A"/>
    <w:rsid w:val="008C561D"/>
    <w:rsid w:val="008C62EC"/>
    <w:rsid w:val="008C7911"/>
    <w:rsid w:val="008C7FAF"/>
    <w:rsid w:val="008D0BE4"/>
    <w:rsid w:val="008D19DB"/>
    <w:rsid w:val="008D41B5"/>
    <w:rsid w:val="008D5BE0"/>
    <w:rsid w:val="008D7B10"/>
    <w:rsid w:val="008E04F6"/>
    <w:rsid w:val="008E0FD3"/>
    <w:rsid w:val="008E1DCB"/>
    <w:rsid w:val="008E5B3B"/>
    <w:rsid w:val="008E7C23"/>
    <w:rsid w:val="008E7F8D"/>
    <w:rsid w:val="008F06E9"/>
    <w:rsid w:val="008F2850"/>
    <w:rsid w:val="008F2FC2"/>
    <w:rsid w:val="008F302C"/>
    <w:rsid w:val="008F5D1E"/>
    <w:rsid w:val="008F7242"/>
    <w:rsid w:val="008F75F1"/>
    <w:rsid w:val="00901457"/>
    <w:rsid w:val="0090233F"/>
    <w:rsid w:val="009030B0"/>
    <w:rsid w:val="009035A2"/>
    <w:rsid w:val="00904BC9"/>
    <w:rsid w:val="009056CA"/>
    <w:rsid w:val="009062BB"/>
    <w:rsid w:val="0090688C"/>
    <w:rsid w:val="0090766E"/>
    <w:rsid w:val="009119D3"/>
    <w:rsid w:val="00913DCC"/>
    <w:rsid w:val="00917B21"/>
    <w:rsid w:val="00922101"/>
    <w:rsid w:val="00922A4B"/>
    <w:rsid w:val="009241BB"/>
    <w:rsid w:val="009244F7"/>
    <w:rsid w:val="00924C0D"/>
    <w:rsid w:val="0092501B"/>
    <w:rsid w:val="0092587F"/>
    <w:rsid w:val="00925AA4"/>
    <w:rsid w:val="00930FA6"/>
    <w:rsid w:val="009313BE"/>
    <w:rsid w:val="00932FE2"/>
    <w:rsid w:val="009340AB"/>
    <w:rsid w:val="00936192"/>
    <w:rsid w:val="00937516"/>
    <w:rsid w:val="0094066E"/>
    <w:rsid w:val="0094182D"/>
    <w:rsid w:val="0094245B"/>
    <w:rsid w:val="00942A08"/>
    <w:rsid w:val="00942CAD"/>
    <w:rsid w:val="00943363"/>
    <w:rsid w:val="009434CF"/>
    <w:rsid w:val="00946910"/>
    <w:rsid w:val="00947C38"/>
    <w:rsid w:val="00953BFE"/>
    <w:rsid w:val="009550BB"/>
    <w:rsid w:val="00956067"/>
    <w:rsid w:val="00957342"/>
    <w:rsid w:val="009574F2"/>
    <w:rsid w:val="00957921"/>
    <w:rsid w:val="00957A76"/>
    <w:rsid w:val="00957C00"/>
    <w:rsid w:val="00960719"/>
    <w:rsid w:val="009619CF"/>
    <w:rsid w:val="00962B2A"/>
    <w:rsid w:val="00963502"/>
    <w:rsid w:val="00963C96"/>
    <w:rsid w:val="009648EF"/>
    <w:rsid w:val="00966B53"/>
    <w:rsid w:val="00970F04"/>
    <w:rsid w:val="0097114B"/>
    <w:rsid w:val="00971F36"/>
    <w:rsid w:val="0097358B"/>
    <w:rsid w:val="00973A12"/>
    <w:rsid w:val="00974614"/>
    <w:rsid w:val="009754BC"/>
    <w:rsid w:val="0097588C"/>
    <w:rsid w:val="00975C3B"/>
    <w:rsid w:val="00976FE8"/>
    <w:rsid w:val="0097799A"/>
    <w:rsid w:val="00977C25"/>
    <w:rsid w:val="009807C9"/>
    <w:rsid w:val="00980CAF"/>
    <w:rsid w:val="0098122A"/>
    <w:rsid w:val="009816C8"/>
    <w:rsid w:val="00981FC9"/>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B12"/>
    <w:rsid w:val="00993DAC"/>
    <w:rsid w:val="00996373"/>
    <w:rsid w:val="00996A23"/>
    <w:rsid w:val="00997046"/>
    <w:rsid w:val="00997705"/>
    <w:rsid w:val="009A0E19"/>
    <w:rsid w:val="009A1215"/>
    <w:rsid w:val="009A1416"/>
    <w:rsid w:val="009A20E4"/>
    <w:rsid w:val="009A2440"/>
    <w:rsid w:val="009A2448"/>
    <w:rsid w:val="009A3D15"/>
    <w:rsid w:val="009A3FD3"/>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B"/>
    <w:rsid w:val="009B7407"/>
    <w:rsid w:val="009B7BAA"/>
    <w:rsid w:val="009C08E6"/>
    <w:rsid w:val="009C09D7"/>
    <w:rsid w:val="009C0D27"/>
    <w:rsid w:val="009C1B38"/>
    <w:rsid w:val="009C205F"/>
    <w:rsid w:val="009C2E0C"/>
    <w:rsid w:val="009C3B2A"/>
    <w:rsid w:val="009C44E4"/>
    <w:rsid w:val="009C477B"/>
    <w:rsid w:val="009C4918"/>
    <w:rsid w:val="009C4C78"/>
    <w:rsid w:val="009C5124"/>
    <w:rsid w:val="009C5C5F"/>
    <w:rsid w:val="009C5F2B"/>
    <w:rsid w:val="009C6454"/>
    <w:rsid w:val="009C6CF4"/>
    <w:rsid w:val="009C78E3"/>
    <w:rsid w:val="009C7FFB"/>
    <w:rsid w:val="009D2D62"/>
    <w:rsid w:val="009D31CD"/>
    <w:rsid w:val="009D7121"/>
    <w:rsid w:val="009E01B8"/>
    <w:rsid w:val="009E0843"/>
    <w:rsid w:val="009E1B79"/>
    <w:rsid w:val="009E38AF"/>
    <w:rsid w:val="009E52A8"/>
    <w:rsid w:val="009E673E"/>
    <w:rsid w:val="009E7AD8"/>
    <w:rsid w:val="009F0D41"/>
    <w:rsid w:val="009F161C"/>
    <w:rsid w:val="009F1BC2"/>
    <w:rsid w:val="009F29A4"/>
    <w:rsid w:val="009F2F18"/>
    <w:rsid w:val="009F4EF8"/>
    <w:rsid w:val="009F4F1B"/>
    <w:rsid w:val="009F5872"/>
    <w:rsid w:val="009F740D"/>
    <w:rsid w:val="009F77F0"/>
    <w:rsid w:val="00A00370"/>
    <w:rsid w:val="00A00F88"/>
    <w:rsid w:val="00A01AAA"/>
    <w:rsid w:val="00A02007"/>
    <w:rsid w:val="00A024F6"/>
    <w:rsid w:val="00A02A8B"/>
    <w:rsid w:val="00A030F3"/>
    <w:rsid w:val="00A041C7"/>
    <w:rsid w:val="00A04F4B"/>
    <w:rsid w:val="00A06B3C"/>
    <w:rsid w:val="00A1084E"/>
    <w:rsid w:val="00A11A74"/>
    <w:rsid w:val="00A12CC9"/>
    <w:rsid w:val="00A1467F"/>
    <w:rsid w:val="00A14921"/>
    <w:rsid w:val="00A20173"/>
    <w:rsid w:val="00A2060D"/>
    <w:rsid w:val="00A20B21"/>
    <w:rsid w:val="00A216B7"/>
    <w:rsid w:val="00A21708"/>
    <w:rsid w:val="00A23EF0"/>
    <w:rsid w:val="00A242AE"/>
    <w:rsid w:val="00A242EA"/>
    <w:rsid w:val="00A2504D"/>
    <w:rsid w:val="00A271B3"/>
    <w:rsid w:val="00A272BE"/>
    <w:rsid w:val="00A2797C"/>
    <w:rsid w:val="00A309B7"/>
    <w:rsid w:val="00A30B94"/>
    <w:rsid w:val="00A31D0C"/>
    <w:rsid w:val="00A322BE"/>
    <w:rsid w:val="00A33342"/>
    <w:rsid w:val="00A33719"/>
    <w:rsid w:val="00A33DF9"/>
    <w:rsid w:val="00A3529A"/>
    <w:rsid w:val="00A40262"/>
    <w:rsid w:val="00A40A77"/>
    <w:rsid w:val="00A41B5E"/>
    <w:rsid w:val="00A41E03"/>
    <w:rsid w:val="00A42042"/>
    <w:rsid w:val="00A422C2"/>
    <w:rsid w:val="00A4281A"/>
    <w:rsid w:val="00A44C41"/>
    <w:rsid w:val="00A45529"/>
    <w:rsid w:val="00A461E4"/>
    <w:rsid w:val="00A466AC"/>
    <w:rsid w:val="00A47031"/>
    <w:rsid w:val="00A4765E"/>
    <w:rsid w:val="00A50604"/>
    <w:rsid w:val="00A50E26"/>
    <w:rsid w:val="00A522C3"/>
    <w:rsid w:val="00A52331"/>
    <w:rsid w:val="00A524A6"/>
    <w:rsid w:val="00A54818"/>
    <w:rsid w:val="00A55DC6"/>
    <w:rsid w:val="00A55DD4"/>
    <w:rsid w:val="00A56859"/>
    <w:rsid w:val="00A569E0"/>
    <w:rsid w:val="00A60997"/>
    <w:rsid w:val="00A60CA4"/>
    <w:rsid w:val="00A61446"/>
    <w:rsid w:val="00A61D87"/>
    <w:rsid w:val="00A62285"/>
    <w:rsid w:val="00A64A9B"/>
    <w:rsid w:val="00A65A66"/>
    <w:rsid w:val="00A66EE4"/>
    <w:rsid w:val="00A70197"/>
    <w:rsid w:val="00A70585"/>
    <w:rsid w:val="00A715EF"/>
    <w:rsid w:val="00A71BDB"/>
    <w:rsid w:val="00A720B7"/>
    <w:rsid w:val="00A73387"/>
    <w:rsid w:val="00A73405"/>
    <w:rsid w:val="00A745D3"/>
    <w:rsid w:val="00A7462D"/>
    <w:rsid w:val="00A8029C"/>
    <w:rsid w:val="00A8033D"/>
    <w:rsid w:val="00A826B4"/>
    <w:rsid w:val="00A82E1A"/>
    <w:rsid w:val="00A8395A"/>
    <w:rsid w:val="00A83C7E"/>
    <w:rsid w:val="00A8418C"/>
    <w:rsid w:val="00A84DA1"/>
    <w:rsid w:val="00A856DD"/>
    <w:rsid w:val="00A85812"/>
    <w:rsid w:val="00A864D8"/>
    <w:rsid w:val="00A871C9"/>
    <w:rsid w:val="00A87FE2"/>
    <w:rsid w:val="00A915C6"/>
    <w:rsid w:val="00A9205F"/>
    <w:rsid w:val="00A92AC2"/>
    <w:rsid w:val="00A9456E"/>
    <w:rsid w:val="00A948B2"/>
    <w:rsid w:val="00A95355"/>
    <w:rsid w:val="00A960E9"/>
    <w:rsid w:val="00A97B41"/>
    <w:rsid w:val="00A97DC4"/>
    <w:rsid w:val="00A97F0C"/>
    <w:rsid w:val="00A97F93"/>
    <w:rsid w:val="00AA0E4D"/>
    <w:rsid w:val="00AA219A"/>
    <w:rsid w:val="00AA25C5"/>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C422A"/>
    <w:rsid w:val="00AD0097"/>
    <w:rsid w:val="00AD020B"/>
    <w:rsid w:val="00AD0D5C"/>
    <w:rsid w:val="00AD1A96"/>
    <w:rsid w:val="00AD2A29"/>
    <w:rsid w:val="00AD2FCF"/>
    <w:rsid w:val="00AD4CC2"/>
    <w:rsid w:val="00AD52A6"/>
    <w:rsid w:val="00AD5AEC"/>
    <w:rsid w:val="00AD6AD0"/>
    <w:rsid w:val="00AD6D0B"/>
    <w:rsid w:val="00AD7DC1"/>
    <w:rsid w:val="00AE2C85"/>
    <w:rsid w:val="00AE328A"/>
    <w:rsid w:val="00AE42F5"/>
    <w:rsid w:val="00AE4721"/>
    <w:rsid w:val="00AE4C09"/>
    <w:rsid w:val="00AE541B"/>
    <w:rsid w:val="00AE747B"/>
    <w:rsid w:val="00AE7DE5"/>
    <w:rsid w:val="00AF12DE"/>
    <w:rsid w:val="00AF1653"/>
    <w:rsid w:val="00AF3BF4"/>
    <w:rsid w:val="00AF3F93"/>
    <w:rsid w:val="00AF50BF"/>
    <w:rsid w:val="00AF71D2"/>
    <w:rsid w:val="00B02C5B"/>
    <w:rsid w:val="00B02DE3"/>
    <w:rsid w:val="00B037AA"/>
    <w:rsid w:val="00B054BA"/>
    <w:rsid w:val="00B06804"/>
    <w:rsid w:val="00B07908"/>
    <w:rsid w:val="00B122A0"/>
    <w:rsid w:val="00B1256E"/>
    <w:rsid w:val="00B13787"/>
    <w:rsid w:val="00B14007"/>
    <w:rsid w:val="00B1445B"/>
    <w:rsid w:val="00B15801"/>
    <w:rsid w:val="00B1644E"/>
    <w:rsid w:val="00B17AAC"/>
    <w:rsid w:val="00B215D0"/>
    <w:rsid w:val="00B21F73"/>
    <w:rsid w:val="00B22D7B"/>
    <w:rsid w:val="00B2329D"/>
    <w:rsid w:val="00B23A32"/>
    <w:rsid w:val="00B23A60"/>
    <w:rsid w:val="00B23D80"/>
    <w:rsid w:val="00B243A4"/>
    <w:rsid w:val="00B245B8"/>
    <w:rsid w:val="00B24ABA"/>
    <w:rsid w:val="00B255C5"/>
    <w:rsid w:val="00B25FB2"/>
    <w:rsid w:val="00B27374"/>
    <w:rsid w:val="00B274C7"/>
    <w:rsid w:val="00B27A36"/>
    <w:rsid w:val="00B27DB4"/>
    <w:rsid w:val="00B30861"/>
    <w:rsid w:val="00B33676"/>
    <w:rsid w:val="00B33FC9"/>
    <w:rsid w:val="00B34D05"/>
    <w:rsid w:val="00B34E1F"/>
    <w:rsid w:val="00B35194"/>
    <w:rsid w:val="00B36C97"/>
    <w:rsid w:val="00B37AAA"/>
    <w:rsid w:val="00B37AE6"/>
    <w:rsid w:val="00B37C41"/>
    <w:rsid w:val="00B4078C"/>
    <w:rsid w:val="00B40D0C"/>
    <w:rsid w:val="00B4191E"/>
    <w:rsid w:val="00B42C6D"/>
    <w:rsid w:val="00B43418"/>
    <w:rsid w:val="00B437D7"/>
    <w:rsid w:val="00B4516E"/>
    <w:rsid w:val="00B455D4"/>
    <w:rsid w:val="00B45B27"/>
    <w:rsid w:val="00B45D33"/>
    <w:rsid w:val="00B467ED"/>
    <w:rsid w:val="00B46CB0"/>
    <w:rsid w:val="00B5139A"/>
    <w:rsid w:val="00B52315"/>
    <w:rsid w:val="00B52DAB"/>
    <w:rsid w:val="00B539BE"/>
    <w:rsid w:val="00B5549D"/>
    <w:rsid w:val="00B56011"/>
    <w:rsid w:val="00B56EF5"/>
    <w:rsid w:val="00B6070A"/>
    <w:rsid w:val="00B60A02"/>
    <w:rsid w:val="00B62043"/>
    <w:rsid w:val="00B63682"/>
    <w:rsid w:val="00B6581A"/>
    <w:rsid w:val="00B6639E"/>
    <w:rsid w:val="00B670E5"/>
    <w:rsid w:val="00B70890"/>
    <w:rsid w:val="00B71CAF"/>
    <w:rsid w:val="00B7320C"/>
    <w:rsid w:val="00B73752"/>
    <w:rsid w:val="00B749EC"/>
    <w:rsid w:val="00B74DA0"/>
    <w:rsid w:val="00B7733B"/>
    <w:rsid w:val="00B809A7"/>
    <w:rsid w:val="00B80F85"/>
    <w:rsid w:val="00B824E7"/>
    <w:rsid w:val="00B829D3"/>
    <w:rsid w:val="00B83B7C"/>
    <w:rsid w:val="00B83EBF"/>
    <w:rsid w:val="00B84F90"/>
    <w:rsid w:val="00B85A66"/>
    <w:rsid w:val="00B86E92"/>
    <w:rsid w:val="00B90370"/>
    <w:rsid w:val="00B90F3B"/>
    <w:rsid w:val="00B916F3"/>
    <w:rsid w:val="00B92397"/>
    <w:rsid w:val="00B92EEB"/>
    <w:rsid w:val="00B9309E"/>
    <w:rsid w:val="00B93544"/>
    <w:rsid w:val="00B94A45"/>
    <w:rsid w:val="00B957C1"/>
    <w:rsid w:val="00B95A58"/>
    <w:rsid w:val="00B974A4"/>
    <w:rsid w:val="00B9752D"/>
    <w:rsid w:val="00B979F7"/>
    <w:rsid w:val="00BA01C1"/>
    <w:rsid w:val="00BA06FA"/>
    <w:rsid w:val="00BA0A23"/>
    <w:rsid w:val="00BA3460"/>
    <w:rsid w:val="00BA39C2"/>
    <w:rsid w:val="00BA5EB3"/>
    <w:rsid w:val="00BA5F1E"/>
    <w:rsid w:val="00BA6D44"/>
    <w:rsid w:val="00BA7782"/>
    <w:rsid w:val="00BB0472"/>
    <w:rsid w:val="00BB134D"/>
    <w:rsid w:val="00BB2F5F"/>
    <w:rsid w:val="00BB3D35"/>
    <w:rsid w:val="00BB3DB6"/>
    <w:rsid w:val="00BB4B53"/>
    <w:rsid w:val="00BC0A42"/>
    <w:rsid w:val="00BC286A"/>
    <w:rsid w:val="00BC45E1"/>
    <w:rsid w:val="00BC471A"/>
    <w:rsid w:val="00BC52D2"/>
    <w:rsid w:val="00BC5FEE"/>
    <w:rsid w:val="00BC6152"/>
    <w:rsid w:val="00BC6C9D"/>
    <w:rsid w:val="00BC6F58"/>
    <w:rsid w:val="00BD07C7"/>
    <w:rsid w:val="00BD1371"/>
    <w:rsid w:val="00BD14CE"/>
    <w:rsid w:val="00BD2421"/>
    <w:rsid w:val="00BD3541"/>
    <w:rsid w:val="00BD4652"/>
    <w:rsid w:val="00BD4A8F"/>
    <w:rsid w:val="00BD513D"/>
    <w:rsid w:val="00BD62A2"/>
    <w:rsid w:val="00BD6A96"/>
    <w:rsid w:val="00BD6BF0"/>
    <w:rsid w:val="00BD74B1"/>
    <w:rsid w:val="00BE0172"/>
    <w:rsid w:val="00BE037A"/>
    <w:rsid w:val="00BE112A"/>
    <w:rsid w:val="00BE17E6"/>
    <w:rsid w:val="00BE17EB"/>
    <w:rsid w:val="00BE1D6C"/>
    <w:rsid w:val="00BE27CF"/>
    <w:rsid w:val="00BE2C4B"/>
    <w:rsid w:val="00BE2D7E"/>
    <w:rsid w:val="00BE3EAD"/>
    <w:rsid w:val="00BE4084"/>
    <w:rsid w:val="00BE4426"/>
    <w:rsid w:val="00BE540B"/>
    <w:rsid w:val="00BE6364"/>
    <w:rsid w:val="00BE6576"/>
    <w:rsid w:val="00BE7CB6"/>
    <w:rsid w:val="00BF048F"/>
    <w:rsid w:val="00BF1EEF"/>
    <w:rsid w:val="00BF1FCA"/>
    <w:rsid w:val="00BF7494"/>
    <w:rsid w:val="00C00650"/>
    <w:rsid w:val="00C012C4"/>
    <w:rsid w:val="00C021BB"/>
    <w:rsid w:val="00C037A3"/>
    <w:rsid w:val="00C03932"/>
    <w:rsid w:val="00C06B98"/>
    <w:rsid w:val="00C06DE4"/>
    <w:rsid w:val="00C143CD"/>
    <w:rsid w:val="00C15480"/>
    <w:rsid w:val="00C204EF"/>
    <w:rsid w:val="00C21013"/>
    <w:rsid w:val="00C23824"/>
    <w:rsid w:val="00C23B84"/>
    <w:rsid w:val="00C24599"/>
    <w:rsid w:val="00C264D9"/>
    <w:rsid w:val="00C2655A"/>
    <w:rsid w:val="00C269D6"/>
    <w:rsid w:val="00C26F6A"/>
    <w:rsid w:val="00C31354"/>
    <w:rsid w:val="00C319FB"/>
    <w:rsid w:val="00C31C5A"/>
    <w:rsid w:val="00C31EAC"/>
    <w:rsid w:val="00C3269C"/>
    <w:rsid w:val="00C342CA"/>
    <w:rsid w:val="00C34515"/>
    <w:rsid w:val="00C34A03"/>
    <w:rsid w:val="00C34D9A"/>
    <w:rsid w:val="00C350DE"/>
    <w:rsid w:val="00C35A85"/>
    <w:rsid w:val="00C36C08"/>
    <w:rsid w:val="00C36CF8"/>
    <w:rsid w:val="00C36FF2"/>
    <w:rsid w:val="00C37183"/>
    <w:rsid w:val="00C373FF"/>
    <w:rsid w:val="00C412AD"/>
    <w:rsid w:val="00C418F0"/>
    <w:rsid w:val="00C419F7"/>
    <w:rsid w:val="00C42040"/>
    <w:rsid w:val="00C4313B"/>
    <w:rsid w:val="00C435AB"/>
    <w:rsid w:val="00C45F01"/>
    <w:rsid w:val="00C4698C"/>
    <w:rsid w:val="00C5207F"/>
    <w:rsid w:val="00C52D21"/>
    <w:rsid w:val="00C54C93"/>
    <w:rsid w:val="00C5543B"/>
    <w:rsid w:val="00C573B1"/>
    <w:rsid w:val="00C600EE"/>
    <w:rsid w:val="00C6294C"/>
    <w:rsid w:val="00C62E03"/>
    <w:rsid w:val="00C64192"/>
    <w:rsid w:val="00C647CB"/>
    <w:rsid w:val="00C67D33"/>
    <w:rsid w:val="00C72D39"/>
    <w:rsid w:val="00C7351D"/>
    <w:rsid w:val="00C73D60"/>
    <w:rsid w:val="00C747F2"/>
    <w:rsid w:val="00C752EB"/>
    <w:rsid w:val="00C75878"/>
    <w:rsid w:val="00C75BD1"/>
    <w:rsid w:val="00C76BBB"/>
    <w:rsid w:val="00C779D4"/>
    <w:rsid w:val="00C77C0E"/>
    <w:rsid w:val="00C80125"/>
    <w:rsid w:val="00C809C6"/>
    <w:rsid w:val="00C81430"/>
    <w:rsid w:val="00C83899"/>
    <w:rsid w:val="00C86829"/>
    <w:rsid w:val="00C86A4F"/>
    <w:rsid w:val="00C86DA3"/>
    <w:rsid w:val="00C871F5"/>
    <w:rsid w:val="00C914F8"/>
    <w:rsid w:val="00C935F6"/>
    <w:rsid w:val="00C95234"/>
    <w:rsid w:val="00C9788C"/>
    <w:rsid w:val="00C97C59"/>
    <w:rsid w:val="00CA0C2B"/>
    <w:rsid w:val="00CA418B"/>
    <w:rsid w:val="00CA42DE"/>
    <w:rsid w:val="00CA52C0"/>
    <w:rsid w:val="00CB1766"/>
    <w:rsid w:val="00CB1E90"/>
    <w:rsid w:val="00CB1EB4"/>
    <w:rsid w:val="00CB328F"/>
    <w:rsid w:val="00CB3A38"/>
    <w:rsid w:val="00CB3B10"/>
    <w:rsid w:val="00CB425D"/>
    <w:rsid w:val="00CB4831"/>
    <w:rsid w:val="00CB5DBA"/>
    <w:rsid w:val="00CB5FBD"/>
    <w:rsid w:val="00CB7F2D"/>
    <w:rsid w:val="00CC16EE"/>
    <w:rsid w:val="00CC1763"/>
    <w:rsid w:val="00CC21F6"/>
    <w:rsid w:val="00CC2600"/>
    <w:rsid w:val="00CC4B0F"/>
    <w:rsid w:val="00CC4B86"/>
    <w:rsid w:val="00CC5A1A"/>
    <w:rsid w:val="00CC5EA6"/>
    <w:rsid w:val="00CC70C2"/>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42F4"/>
    <w:rsid w:val="00CE6C1C"/>
    <w:rsid w:val="00CE7B3F"/>
    <w:rsid w:val="00CE7C81"/>
    <w:rsid w:val="00CF0D83"/>
    <w:rsid w:val="00CF0EF2"/>
    <w:rsid w:val="00CF47E5"/>
    <w:rsid w:val="00CF732A"/>
    <w:rsid w:val="00D00533"/>
    <w:rsid w:val="00D00540"/>
    <w:rsid w:val="00D00AA4"/>
    <w:rsid w:val="00D01406"/>
    <w:rsid w:val="00D015A7"/>
    <w:rsid w:val="00D0250E"/>
    <w:rsid w:val="00D0423A"/>
    <w:rsid w:val="00D04A90"/>
    <w:rsid w:val="00D06EF2"/>
    <w:rsid w:val="00D07131"/>
    <w:rsid w:val="00D07526"/>
    <w:rsid w:val="00D07E3B"/>
    <w:rsid w:val="00D1308F"/>
    <w:rsid w:val="00D1460D"/>
    <w:rsid w:val="00D14B1E"/>
    <w:rsid w:val="00D1550B"/>
    <w:rsid w:val="00D17E05"/>
    <w:rsid w:val="00D17F23"/>
    <w:rsid w:val="00D207B2"/>
    <w:rsid w:val="00D216CF"/>
    <w:rsid w:val="00D220F4"/>
    <w:rsid w:val="00D22B49"/>
    <w:rsid w:val="00D23F60"/>
    <w:rsid w:val="00D240C0"/>
    <w:rsid w:val="00D24A6C"/>
    <w:rsid w:val="00D24AC2"/>
    <w:rsid w:val="00D25A76"/>
    <w:rsid w:val="00D2692A"/>
    <w:rsid w:val="00D278F4"/>
    <w:rsid w:val="00D27E31"/>
    <w:rsid w:val="00D308D8"/>
    <w:rsid w:val="00D311F7"/>
    <w:rsid w:val="00D318AF"/>
    <w:rsid w:val="00D32350"/>
    <w:rsid w:val="00D3344A"/>
    <w:rsid w:val="00D3355A"/>
    <w:rsid w:val="00D34CA3"/>
    <w:rsid w:val="00D35AA2"/>
    <w:rsid w:val="00D362BE"/>
    <w:rsid w:val="00D36BE9"/>
    <w:rsid w:val="00D3722A"/>
    <w:rsid w:val="00D37579"/>
    <w:rsid w:val="00D40B0A"/>
    <w:rsid w:val="00D43F58"/>
    <w:rsid w:val="00D4457A"/>
    <w:rsid w:val="00D45734"/>
    <w:rsid w:val="00D46172"/>
    <w:rsid w:val="00D46D5A"/>
    <w:rsid w:val="00D47829"/>
    <w:rsid w:val="00D47E7C"/>
    <w:rsid w:val="00D50AD1"/>
    <w:rsid w:val="00D542A9"/>
    <w:rsid w:val="00D54789"/>
    <w:rsid w:val="00D5501F"/>
    <w:rsid w:val="00D55807"/>
    <w:rsid w:val="00D604C4"/>
    <w:rsid w:val="00D605E1"/>
    <w:rsid w:val="00D63645"/>
    <w:rsid w:val="00D63929"/>
    <w:rsid w:val="00D63C1C"/>
    <w:rsid w:val="00D63E1C"/>
    <w:rsid w:val="00D6421D"/>
    <w:rsid w:val="00D645E0"/>
    <w:rsid w:val="00D65124"/>
    <w:rsid w:val="00D65231"/>
    <w:rsid w:val="00D65507"/>
    <w:rsid w:val="00D6599A"/>
    <w:rsid w:val="00D669A4"/>
    <w:rsid w:val="00D66E91"/>
    <w:rsid w:val="00D66EFA"/>
    <w:rsid w:val="00D709B7"/>
    <w:rsid w:val="00D71211"/>
    <w:rsid w:val="00D7143F"/>
    <w:rsid w:val="00D72409"/>
    <w:rsid w:val="00D72A0C"/>
    <w:rsid w:val="00D73621"/>
    <w:rsid w:val="00D7507B"/>
    <w:rsid w:val="00D7557F"/>
    <w:rsid w:val="00D75794"/>
    <w:rsid w:val="00D75BC9"/>
    <w:rsid w:val="00D77016"/>
    <w:rsid w:val="00D77153"/>
    <w:rsid w:val="00D77D62"/>
    <w:rsid w:val="00D81BB1"/>
    <w:rsid w:val="00D84F6A"/>
    <w:rsid w:val="00D8506B"/>
    <w:rsid w:val="00D855D0"/>
    <w:rsid w:val="00D85A8B"/>
    <w:rsid w:val="00D86ADC"/>
    <w:rsid w:val="00D90791"/>
    <w:rsid w:val="00D90A08"/>
    <w:rsid w:val="00D90F27"/>
    <w:rsid w:val="00D90F8B"/>
    <w:rsid w:val="00D91524"/>
    <w:rsid w:val="00D928A3"/>
    <w:rsid w:val="00D93A74"/>
    <w:rsid w:val="00D9440E"/>
    <w:rsid w:val="00D95433"/>
    <w:rsid w:val="00D956B6"/>
    <w:rsid w:val="00D95F43"/>
    <w:rsid w:val="00D9772E"/>
    <w:rsid w:val="00DA0DC8"/>
    <w:rsid w:val="00DA17B0"/>
    <w:rsid w:val="00DA2C00"/>
    <w:rsid w:val="00DA33EC"/>
    <w:rsid w:val="00DA3F09"/>
    <w:rsid w:val="00DA48B0"/>
    <w:rsid w:val="00DA5E1F"/>
    <w:rsid w:val="00DA6D82"/>
    <w:rsid w:val="00DB06D2"/>
    <w:rsid w:val="00DB1330"/>
    <w:rsid w:val="00DB169C"/>
    <w:rsid w:val="00DB180E"/>
    <w:rsid w:val="00DB21E9"/>
    <w:rsid w:val="00DB27AF"/>
    <w:rsid w:val="00DB292F"/>
    <w:rsid w:val="00DB3608"/>
    <w:rsid w:val="00DB3966"/>
    <w:rsid w:val="00DB3F0F"/>
    <w:rsid w:val="00DB5A3F"/>
    <w:rsid w:val="00DB6496"/>
    <w:rsid w:val="00DB78EC"/>
    <w:rsid w:val="00DC124A"/>
    <w:rsid w:val="00DC2AD7"/>
    <w:rsid w:val="00DC2CDA"/>
    <w:rsid w:val="00DC6E65"/>
    <w:rsid w:val="00DC6EBF"/>
    <w:rsid w:val="00DD40A3"/>
    <w:rsid w:val="00DD4D17"/>
    <w:rsid w:val="00DD5846"/>
    <w:rsid w:val="00DD620A"/>
    <w:rsid w:val="00DD7392"/>
    <w:rsid w:val="00DE0462"/>
    <w:rsid w:val="00DE11D6"/>
    <w:rsid w:val="00DE1AEE"/>
    <w:rsid w:val="00DE2212"/>
    <w:rsid w:val="00DE2457"/>
    <w:rsid w:val="00DE2C8D"/>
    <w:rsid w:val="00DE5E69"/>
    <w:rsid w:val="00DE610C"/>
    <w:rsid w:val="00DE7B73"/>
    <w:rsid w:val="00DE7CEB"/>
    <w:rsid w:val="00DE7F13"/>
    <w:rsid w:val="00DF06C4"/>
    <w:rsid w:val="00DF234C"/>
    <w:rsid w:val="00DF2C09"/>
    <w:rsid w:val="00DF3A31"/>
    <w:rsid w:val="00DF3DDB"/>
    <w:rsid w:val="00DF563C"/>
    <w:rsid w:val="00DF631D"/>
    <w:rsid w:val="00DF6C2D"/>
    <w:rsid w:val="00DF6D88"/>
    <w:rsid w:val="00DF74F4"/>
    <w:rsid w:val="00E00415"/>
    <w:rsid w:val="00E010DC"/>
    <w:rsid w:val="00E02941"/>
    <w:rsid w:val="00E03081"/>
    <w:rsid w:val="00E04119"/>
    <w:rsid w:val="00E04A8B"/>
    <w:rsid w:val="00E0592D"/>
    <w:rsid w:val="00E05B90"/>
    <w:rsid w:val="00E06224"/>
    <w:rsid w:val="00E06B80"/>
    <w:rsid w:val="00E10F8D"/>
    <w:rsid w:val="00E114D9"/>
    <w:rsid w:val="00E126BB"/>
    <w:rsid w:val="00E134A9"/>
    <w:rsid w:val="00E135F9"/>
    <w:rsid w:val="00E14D31"/>
    <w:rsid w:val="00E150E0"/>
    <w:rsid w:val="00E155F6"/>
    <w:rsid w:val="00E2108D"/>
    <w:rsid w:val="00E214F0"/>
    <w:rsid w:val="00E21F9F"/>
    <w:rsid w:val="00E220EA"/>
    <w:rsid w:val="00E2262C"/>
    <w:rsid w:val="00E23054"/>
    <w:rsid w:val="00E237A8"/>
    <w:rsid w:val="00E24F7C"/>
    <w:rsid w:val="00E25852"/>
    <w:rsid w:val="00E25FDB"/>
    <w:rsid w:val="00E26DDA"/>
    <w:rsid w:val="00E30009"/>
    <w:rsid w:val="00E30B9B"/>
    <w:rsid w:val="00E30FF3"/>
    <w:rsid w:val="00E3151F"/>
    <w:rsid w:val="00E31BA9"/>
    <w:rsid w:val="00E31DD1"/>
    <w:rsid w:val="00E31E1C"/>
    <w:rsid w:val="00E337E8"/>
    <w:rsid w:val="00E33A8F"/>
    <w:rsid w:val="00E34AA2"/>
    <w:rsid w:val="00E36085"/>
    <w:rsid w:val="00E37FAF"/>
    <w:rsid w:val="00E4090B"/>
    <w:rsid w:val="00E41F06"/>
    <w:rsid w:val="00E41F95"/>
    <w:rsid w:val="00E422DC"/>
    <w:rsid w:val="00E42B30"/>
    <w:rsid w:val="00E42DA2"/>
    <w:rsid w:val="00E45E6B"/>
    <w:rsid w:val="00E47A35"/>
    <w:rsid w:val="00E50167"/>
    <w:rsid w:val="00E5097C"/>
    <w:rsid w:val="00E51DDA"/>
    <w:rsid w:val="00E52A08"/>
    <w:rsid w:val="00E5361B"/>
    <w:rsid w:val="00E54925"/>
    <w:rsid w:val="00E604A4"/>
    <w:rsid w:val="00E61C4E"/>
    <w:rsid w:val="00E63872"/>
    <w:rsid w:val="00E63C6C"/>
    <w:rsid w:val="00E63F87"/>
    <w:rsid w:val="00E6527E"/>
    <w:rsid w:val="00E65A41"/>
    <w:rsid w:val="00E70C65"/>
    <w:rsid w:val="00E710C9"/>
    <w:rsid w:val="00E71666"/>
    <w:rsid w:val="00E724E4"/>
    <w:rsid w:val="00E73155"/>
    <w:rsid w:val="00E73312"/>
    <w:rsid w:val="00E735D4"/>
    <w:rsid w:val="00E73AFD"/>
    <w:rsid w:val="00E7411D"/>
    <w:rsid w:val="00E7483A"/>
    <w:rsid w:val="00E76439"/>
    <w:rsid w:val="00E76CBC"/>
    <w:rsid w:val="00E76DD0"/>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B5E"/>
    <w:rsid w:val="00E92DE1"/>
    <w:rsid w:val="00E93717"/>
    <w:rsid w:val="00E944FD"/>
    <w:rsid w:val="00E9546A"/>
    <w:rsid w:val="00E95563"/>
    <w:rsid w:val="00E97E2B"/>
    <w:rsid w:val="00EA0D5B"/>
    <w:rsid w:val="00EA3FF6"/>
    <w:rsid w:val="00EA6DC0"/>
    <w:rsid w:val="00EB159B"/>
    <w:rsid w:val="00EB2033"/>
    <w:rsid w:val="00EB2481"/>
    <w:rsid w:val="00EB257B"/>
    <w:rsid w:val="00EB2D88"/>
    <w:rsid w:val="00EB404A"/>
    <w:rsid w:val="00EB4C7A"/>
    <w:rsid w:val="00EB5234"/>
    <w:rsid w:val="00EB610E"/>
    <w:rsid w:val="00EB722E"/>
    <w:rsid w:val="00EC0E72"/>
    <w:rsid w:val="00EC2028"/>
    <w:rsid w:val="00EC2317"/>
    <w:rsid w:val="00EC25BA"/>
    <w:rsid w:val="00EC2990"/>
    <w:rsid w:val="00EC2A4D"/>
    <w:rsid w:val="00EC43F0"/>
    <w:rsid w:val="00EC4BBD"/>
    <w:rsid w:val="00EC4FBB"/>
    <w:rsid w:val="00EC61E5"/>
    <w:rsid w:val="00EC63BD"/>
    <w:rsid w:val="00EC6654"/>
    <w:rsid w:val="00ED11BA"/>
    <w:rsid w:val="00ED1764"/>
    <w:rsid w:val="00ED200B"/>
    <w:rsid w:val="00ED2520"/>
    <w:rsid w:val="00ED2E12"/>
    <w:rsid w:val="00ED4F03"/>
    <w:rsid w:val="00ED52B2"/>
    <w:rsid w:val="00ED7686"/>
    <w:rsid w:val="00EE0ADC"/>
    <w:rsid w:val="00EE173D"/>
    <w:rsid w:val="00EE231A"/>
    <w:rsid w:val="00EE24D6"/>
    <w:rsid w:val="00EE289F"/>
    <w:rsid w:val="00EE59C6"/>
    <w:rsid w:val="00EE69B9"/>
    <w:rsid w:val="00EE75E5"/>
    <w:rsid w:val="00EF1864"/>
    <w:rsid w:val="00EF26B4"/>
    <w:rsid w:val="00EF33BF"/>
    <w:rsid w:val="00EF41F1"/>
    <w:rsid w:val="00EF6E6D"/>
    <w:rsid w:val="00EF775A"/>
    <w:rsid w:val="00F00020"/>
    <w:rsid w:val="00F01A7F"/>
    <w:rsid w:val="00F02E36"/>
    <w:rsid w:val="00F03426"/>
    <w:rsid w:val="00F04707"/>
    <w:rsid w:val="00F04ACD"/>
    <w:rsid w:val="00F0539D"/>
    <w:rsid w:val="00F0571B"/>
    <w:rsid w:val="00F07867"/>
    <w:rsid w:val="00F107A8"/>
    <w:rsid w:val="00F10F01"/>
    <w:rsid w:val="00F110F6"/>
    <w:rsid w:val="00F122E7"/>
    <w:rsid w:val="00F13D28"/>
    <w:rsid w:val="00F14BA7"/>
    <w:rsid w:val="00F152B2"/>
    <w:rsid w:val="00F16949"/>
    <w:rsid w:val="00F16D8C"/>
    <w:rsid w:val="00F17D2D"/>
    <w:rsid w:val="00F20894"/>
    <w:rsid w:val="00F20D34"/>
    <w:rsid w:val="00F22AFE"/>
    <w:rsid w:val="00F23754"/>
    <w:rsid w:val="00F237A4"/>
    <w:rsid w:val="00F23F6D"/>
    <w:rsid w:val="00F24087"/>
    <w:rsid w:val="00F24A5E"/>
    <w:rsid w:val="00F265F6"/>
    <w:rsid w:val="00F26653"/>
    <w:rsid w:val="00F27291"/>
    <w:rsid w:val="00F2770C"/>
    <w:rsid w:val="00F314C0"/>
    <w:rsid w:val="00F32457"/>
    <w:rsid w:val="00F32541"/>
    <w:rsid w:val="00F3254D"/>
    <w:rsid w:val="00F32569"/>
    <w:rsid w:val="00F33889"/>
    <w:rsid w:val="00F357FA"/>
    <w:rsid w:val="00F35C22"/>
    <w:rsid w:val="00F37FE3"/>
    <w:rsid w:val="00F41337"/>
    <w:rsid w:val="00F41940"/>
    <w:rsid w:val="00F44405"/>
    <w:rsid w:val="00F44796"/>
    <w:rsid w:val="00F44D8E"/>
    <w:rsid w:val="00F46255"/>
    <w:rsid w:val="00F47DC5"/>
    <w:rsid w:val="00F50A23"/>
    <w:rsid w:val="00F518F3"/>
    <w:rsid w:val="00F519C0"/>
    <w:rsid w:val="00F5367B"/>
    <w:rsid w:val="00F54B12"/>
    <w:rsid w:val="00F5608F"/>
    <w:rsid w:val="00F6027C"/>
    <w:rsid w:val="00F60DAD"/>
    <w:rsid w:val="00F60DE0"/>
    <w:rsid w:val="00F617DE"/>
    <w:rsid w:val="00F6194D"/>
    <w:rsid w:val="00F61F8E"/>
    <w:rsid w:val="00F62233"/>
    <w:rsid w:val="00F6251B"/>
    <w:rsid w:val="00F626C6"/>
    <w:rsid w:val="00F63405"/>
    <w:rsid w:val="00F64156"/>
    <w:rsid w:val="00F6576A"/>
    <w:rsid w:val="00F70C8A"/>
    <w:rsid w:val="00F71087"/>
    <w:rsid w:val="00F71242"/>
    <w:rsid w:val="00F7246A"/>
    <w:rsid w:val="00F73A04"/>
    <w:rsid w:val="00F74DE7"/>
    <w:rsid w:val="00F76A83"/>
    <w:rsid w:val="00F774C8"/>
    <w:rsid w:val="00F802C8"/>
    <w:rsid w:val="00F81D96"/>
    <w:rsid w:val="00F826E7"/>
    <w:rsid w:val="00F82C6C"/>
    <w:rsid w:val="00F83978"/>
    <w:rsid w:val="00F83ED3"/>
    <w:rsid w:val="00F857B4"/>
    <w:rsid w:val="00F85C44"/>
    <w:rsid w:val="00F86002"/>
    <w:rsid w:val="00F86C88"/>
    <w:rsid w:val="00F86D13"/>
    <w:rsid w:val="00F87535"/>
    <w:rsid w:val="00F91915"/>
    <w:rsid w:val="00F921C0"/>
    <w:rsid w:val="00F92282"/>
    <w:rsid w:val="00F9337A"/>
    <w:rsid w:val="00F962B4"/>
    <w:rsid w:val="00F972B0"/>
    <w:rsid w:val="00FA0210"/>
    <w:rsid w:val="00FA2BF8"/>
    <w:rsid w:val="00FA3AA3"/>
    <w:rsid w:val="00FA4324"/>
    <w:rsid w:val="00FA538C"/>
    <w:rsid w:val="00FA5C2C"/>
    <w:rsid w:val="00FA5D62"/>
    <w:rsid w:val="00FA6040"/>
    <w:rsid w:val="00FA6293"/>
    <w:rsid w:val="00FA6373"/>
    <w:rsid w:val="00FA686A"/>
    <w:rsid w:val="00FA6C96"/>
    <w:rsid w:val="00FB00F7"/>
    <w:rsid w:val="00FB08CC"/>
    <w:rsid w:val="00FB1304"/>
    <w:rsid w:val="00FB1514"/>
    <w:rsid w:val="00FB3686"/>
    <w:rsid w:val="00FB3CD7"/>
    <w:rsid w:val="00FB4545"/>
    <w:rsid w:val="00FB478F"/>
    <w:rsid w:val="00FB5045"/>
    <w:rsid w:val="00FB56BD"/>
    <w:rsid w:val="00FB578C"/>
    <w:rsid w:val="00FB58BB"/>
    <w:rsid w:val="00FB597D"/>
    <w:rsid w:val="00FB634D"/>
    <w:rsid w:val="00FC0D59"/>
    <w:rsid w:val="00FC1A5C"/>
    <w:rsid w:val="00FC1C53"/>
    <w:rsid w:val="00FC2D03"/>
    <w:rsid w:val="00FC2D4C"/>
    <w:rsid w:val="00FC39EA"/>
    <w:rsid w:val="00FC469C"/>
    <w:rsid w:val="00FC4943"/>
    <w:rsid w:val="00FC56B8"/>
    <w:rsid w:val="00FC60B8"/>
    <w:rsid w:val="00FC6DE6"/>
    <w:rsid w:val="00FD0A9E"/>
    <w:rsid w:val="00FD15AF"/>
    <w:rsid w:val="00FD2F1A"/>
    <w:rsid w:val="00FD37D0"/>
    <w:rsid w:val="00FD4EC8"/>
    <w:rsid w:val="00FD5E81"/>
    <w:rsid w:val="00FD7F01"/>
    <w:rsid w:val="00FE0775"/>
    <w:rsid w:val="00FE0F88"/>
    <w:rsid w:val="00FE3782"/>
    <w:rsid w:val="00FE3AC5"/>
    <w:rsid w:val="00FE44CF"/>
    <w:rsid w:val="00FE4721"/>
    <w:rsid w:val="00FE4D2A"/>
    <w:rsid w:val="00FE4FD0"/>
    <w:rsid w:val="00FE5051"/>
    <w:rsid w:val="00FE53DC"/>
    <w:rsid w:val="00FE5839"/>
    <w:rsid w:val="00FE5B58"/>
    <w:rsid w:val="00FE6E80"/>
    <w:rsid w:val="00FF2F3F"/>
    <w:rsid w:val="00FF58A5"/>
    <w:rsid w:val="00FF58F3"/>
    <w:rsid w:val="00FF5AA4"/>
    <w:rsid w:val="00FF6251"/>
    <w:rsid w:val="00FF7151"/>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78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E3608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7147" TargetMode="External"/><Relationship Id="rId13" Type="http://schemas.openxmlformats.org/officeDocument/2006/relationships/hyperlink" Target="http://canlii.ca/t/gncqk" TargetMode="External"/><Relationship Id="rId18" Type="http://schemas.openxmlformats.org/officeDocument/2006/relationships/hyperlink" Target="http://www.canlii.org/fr/qc/qcca/doc/2016/2016qcca644/2016qcca644.htm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comments-commentaires@scc-csc.ca" TargetMode="External"/><Relationship Id="rId7" Type="http://schemas.openxmlformats.org/officeDocument/2006/relationships/endnotes" Target="endnotes.xml"/><Relationship Id="rId12" Type="http://schemas.openxmlformats.org/officeDocument/2006/relationships/hyperlink" Target="http://canlii.ca/t/gncqk" TargetMode="External"/><Relationship Id="rId17" Type="http://schemas.openxmlformats.org/officeDocument/2006/relationships/hyperlink" Target="http://www.canlii.org/fr/qc/qccs/doc/2014/2014qccs4377/2014qccs4377.html?autocompleteStr=aliment%20mopu&amp;autocompletePos=5"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anlii.org/fr/qc/qccs/doc/2015/2015qccs135/2015qccs135.html?autocompleteStr=2015%20QCCS%20135&amp;autocompletePos=1" TargetMode="External"/><Relationship Id="rId20" Type="http://schemas.openxmlformats.org/officeDocument/2006/relationships/hyperlink" Target="http://canlii.ca/t/gsg0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719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anlii.org/fr/qc/qcca/doc/2016/2016qcca599/2016qcca599.html?autocompleteStr=2016%20QCCA%20599&amp;autocompletePos=1"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scc-csc.ca/case-dossier/info/sum-som-fra.aspx?cas=37047" TargetMode="External"/><Relationship Id="rId19" Type="http://schemas.openxmlformats.org/officeDocument/2006/relationships/hyperlink" Target="http://canlii.ca/t/gsg05" TargetMode="External"/><Relationship Id="rId4" Type="http://schemas.openxmlformats.org/officeDocument/2006/relationships/settings" Target="settings.xml"/><Relationship Id="rId9" Type="http://schemas.openxmlformats.org/officeDocument/2006/relationships/hyperlink" Target="http://www.scc-csc.ca/case-dossier/info/sum-som-fra.aspx?cas=37073" TargetMode="External"/><Relationship Id="rId14" Type="http://schemas.openxmlformats.org/officeDocument/2006/relationships/hyperlink" Target="http://www.canlii.org/fr/qc/qccs/doc/2015/2015qccs135/2015qccs135.html?autocompleteStr=2015%20QCCS%20135&amp;autocompletePos=1"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2D04F-45CA-4C0D-8FA2-804831D31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3151</Words>
  <Characters>17966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21075</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2016-11-10T16:09:00Z</dcterms:created>
  <dcterms:modified xsi:type="dcterms:W3CDTF">2016-11-16T13:58:00Z</dcterms:modified>
</cp:coreProperties>
</file>