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43A34" w:rsidRDefault="003F43E6" w:rsidP="003F43E6">
      <w:pPr>
        <w:pStyle w:val="Header"/>
        <w:jc w:val="center"/>
        <w:rPr>
          <w:b/>
          <w:sz w:val="32"/>
        </w:rPr>
      </w:pPr>
      <w:r w:rsidRPr="00743A34">
        <w:rPr>
          <w:b/>
          <w:sz w:val="32"/>
        </w:rPr>
        <w:t>Supreme Court of Canada / Cour suprême du Canada</w:t>
      </w:r>
    </w:p>
    <w:p w:rsidR="003F43E6" w:rsidRPr="00743A34" w:rsidRDefault="003F43E6" w:rsidP="006F2579">
      <w:pPr>
        <w:widowControl w:val="0"/>
        <w:rPr>
          <w:i/>
        </w:rPr>
      </w:pPr>
    </w:p>
    <w:p w:rsidR="003F43E6" w:rsidRPr="00743A34" w:rsidRDefault="003F43E6" w:rsidP="006F2579">
      <w:pPr>
        <w:widowControl w:val="0"/>
        <w:rPr>
          <w:i/>
        </w:rPr>
      </w:pPr>
    </w:p>
    <w:p w:rsidR="006F2579" w:rsidRPr="00743A34" w:rsidRDefault="006F2579" w:rsidP="006F2579">
      <w:pPr>
        <w:widowControl w:val="0"/>
        <w:rPr>
          <w:i/>
        </w:rPr>
      </w:pPr>
      <w:r w:rsidRPr="00743A34">
        <w:rPr>
          <w:i/>
        </w:rPr>
        <w:t>(le français suit)</w:t>
      </w:r>
    </w:p>
    <w:p w:rsidR="006F2579" w:rsidRPr="00743A34" w:rsidRDefault="006F2579" w:rsidP="006F2579">
      <w:pPr>
        <w:widowControl w:val="0"/>
      </w:pPr>
    </w:p>
    <w:p w:rsidR="006F2579" w:rsidRPr="00743A34" w:rsidRDefault="00D01D61" w:rsidP="006F2579">
      <w:pPr>
        <w:widowControl w:val="0"/>
        <w:jc w:val="center"/>
        <w:rPr>
          <w:b/>
        </w:rPr>
      </w:pPr>
      <w:r w:rsidRPr="00743A34">
        <w:fldChar w:fldCharType="begin"/>
      </w:r>
      <w:r w:rsidR="006F2579" w:rsidRPr="00743A34">
        <w:instrText xml:space="preserve"> SEQ CHAPTER \h \r 1</w:instrText>
      </w:r>
      <w:r w:rsidRPr="00743A34">
        <w:fldChar w:fldCharType="end"/>
      </w:r>
      <w:r w:rsidR="002767DF" w:rsidRPr="00743A34">
        <w:rPr>
          <w:b/>
        </w:rPr>
        <w:t xml:space="preserve">JUDGMENTS </w:t>
      </w:r>
      <w:r w:rsidR="004C4C26" w:rsidRPr="00743A34">
        <w:rPr>
          <w:b/>
        </w:rPr>
        <w:t>IN APPEAL AND LEAVE APPLICATION</w:t>
      </w:r>
      <w:r w:rsidR="00CC044F" w:rsidRPr="00743A34">
        <w:rPr>
          <w:b/>
        </w:rPr>
        <w:t>S</w:t>
      </w:r>
    </w:p>
    <w:p w:rsidR="006F2579" w:rsidRPr="00743A34" w:rsidRDefault="006F2579" w:rsidP="006F2579">
      <w:pPr>
        <w:widowControl w:val="0"/>
        <w:rPr>
          <w:b/>
        </w:rPr>
      </w:pPr>
    </w:p>
    <w:p w:rsidR="006F2579" w:rsidRPr="00743A34" w:rsidRDefault="00583F19" w:rsidP="006F2579">
      <w:pPr>
        <w:widowControl w:val="0"/>
        <w:rPr>
          <w:b/>
        </w:rPr>
      </w:pPr>
      <w:r w:rsidRPr="00743A34">
        <w:rPr>
          <w:b/>
        </w:rPr>
        <w:t>November</w:t>
      </w:r>
      <w:r w:rsidR="00372704" w:rsidRPr="00743A34">
        <w:rPr>
          <w:b/>
        </w:rPr>
        <w:t xml:space="preserve"> </w:t>
      </w:r>
      <w:r w:rsidR="00347EF8" w:rsidRPr="00743A34">
        <w:rPr>
          <w:b/>
        </w:rPr>
        <w:t>1</w:t>
      </w:r>
      <w:r w:rsidR="00D5081D" w:rsidRPr="00743A34">
        <w:rPr>
          <w:b/>
        </w:rPr>
        <w:t>7</w:t>
      </w:r>
      <w:r w:rsidR="002E4682" w:rsidRPr="00743A34">
        <w:rPr>
          <w:b/>
        </w:rPr>
        <w:t>, 201</w:t>
      </w:r>
      <w:r w:rsidR="00733432" w:rsidRPr="00743A34">
        <w:rPr>
          <w:b/>
        </w:rPr>
        <w:t>6</w:t>
      </w:r>
    </w:p>
    <w:p w:rsidR="006F2579" w:rsidRPr="00743A34" w:rsidRDefault="006F2579" w:rsidP="006F2579">
      <w:pPr>
        <w:widowControl w:val="0"/>
        <w:rPr>
          <w:b/>
        </w:rPr>
      </w:pPr>
      <w:r w:rsidRPr="00743A34">
        <w:rPr>
          <w:b/>
        </w:rPr>
        <w:t>For immediate release</w:t>
      </w:r>
    </w:p>
    <w:p w:rsidR="006F2579" w:rsidRPr="00743A34" w:rsidRDefault="006F2579" w:rsidP="006F2579">
      <w:pPr>
        <w:widowControl w:val="0"/>
      </w:pPr>
    </w:p>
    <w:p w:rsidR="002767DF" w:rsidRPr="00743A34" w:rsidRDefault="002767DF" w:rsidP="002767DF">
      <w:pPr>
        <w:widowControl w:val="0"/>
      </w:pPr>
      <w:r w:rsidRPr="00743A34">
        <w:rPr>
          <w:b/>
        </w:rPr>
        <w:t>OTTAWA</w:t>
      </w:r>
      <w:r w:rsidRPr="00743A34">
        <w:t xml:space="preserve"> – The Supreme Court of Canada has today deposited with the Registrar judgment in the following appeal and application</w:t>
      </w:r>
      <w:r w:rsidR="00CC044F" w:rsidRPr="00743A34">
        <w:t>s</w:t>
      </w:r>
      <w:r w:rsidRPr="00743A34">
        <w:t xml:space="preserve"> for leave to appeal.</w:t>
      </w:r>
    </w:p>
    <w:p w:rsidR="006F2579" w:rsidRPr="00743A34" w:rsidRDefault="006F2579" w:rsidP="006F2579">
      <w:pPr>
        <w:widowControl w:val="0"/>
      </w:pPr>
    </w:p>
    <w:p w:rsidR="006F2579" w:rsidRPr="00743A34" w:rsidRDefault="006F2579" w:rsidP="006F2579">
      <w:pPr>
        <w:widowControl w:val="0"/>
      </w:pPr>
    </w:p>
    <w:p w:rsidR="002767DF" w:rsidRPr="00743A34" w:rsidRDefault="002767DF" w:rsidP="002767DF">
      <w:pPr>
        <w:widowControl w:val="0"/>
        <w:jc w:val="center"/>
        <w:rPr>
          <w:lang w:val="fr-CA"/>
        </w:rPr>
      </w:pPr>
      <w:r w:rsidRPr="00743A34">
        <w:rPr>
          <w:b/>
          <w:lang w:val="fr-CA"/>
        </w:rPr>
        <w:t>JUGEMENT</w:t>
      </w:r>
      <w:r w:rsidR="004C4C26" w:rsidRPr="00743A34">
        <w:rPr>
          <w:b/>
          <w:lang w:val="fr-CA"/>
        </w:rPr>
        <w:t>S SUR APPEL ET DEMANDE</w:t>
      </w:r>
      <w:r w:rsidR="00CC044F" w:rsidRPr="00743A34">
        <w:rPr>
          <w:b/>
          <w:lang w:val="fr-CA"/>
        </w:rPr>
        <w:t>S</w:t>
      </w:r>
      <w:r w:rsidRPr="00743A34">
        <w:rPr>
          <w:b/>
          <w:lang w:val="fr-CA"/>
        </w:rPr>
        <w:t xml:space="preserve"> D’AUTORISATION</w:t>
      </w:r>
    </w:p>
    <w:p w:rsidR="006F2579" w:rsidRPr="00743A34" w:rsidRDefault="006F2579" w:rsidP="006F2579">
      <w:pPr>
        <w:widowControl w:val="0"/>
        <w:rPr>
          <w:lang w:val="fr-CA"/>
        </w:rPr>
      </w:pPr>
    </w:p>
    <w:p w:rsidR="006F2579" w:rsidRPr="00743A34" w:rsidRDefault="006F2579" w:rsidP="006F2579">
      <w:pPr>
        <w:widowControl w:val="0"/>
        <w:rPr>
          <w:b/>
          <w:lang w:val="fr-CA"/>
        </w:rPr>
      </w:pPr>
      <w:r w:rsidRPr="00743A34">
        <w:rPr>
          <w:b/>
          <w:lang w:val="fr-CA"/>
        </w:rPr>
        <w:t>Le</w:t>
      </w:r>
      <w:r w:rsidR="008825DB" w:rsidRPr="00743A34">
        <w:rPr>
          <w:b/>
          <w:lang w:val="fr-CA"/>
        </w:rPr>
        <w:t xml:space="preserve"> </w:t>
      </w:r>
      <w:r w:rsidR="00347EF8" w:rsidRPr="00743A34">
        <w:rPr>
          <w:b/>
          <w:lang w:val="fr-CA"/>
        </w:rPr>
        <w:t>1</w:t>
      </w:r>
      <w:r w:rsidR="00D5081D" w:rsidRPr="00743A34">
        <w:rPr>
          <w:b/>
          <w:lang w:val="fr-CA"/>
        </w:rPr>
        <w:t>7</w:t>
      </w:r>
      <w:r w:rsidR="00372704" w:rsidRPr="00743A34">
        <w:rPr>
          <w:b/>
          <w:lang w:val="fr-CA"/>
        </w:rPr>
        <w:t xml:space="preserve"> </w:t>
      </w:r>
      <w:r w:rsidR="00583F19" w:rsidRPr="00743A34">
        <w:rPr>
          <w:b/>
          <w:lang w:val="fr-CA"/>
        </w:rPr>
        <w:t>n</w:t>
      </w:r>
      <w:r w:rsidR="00733432" w:rsidRPr="00743A34">
        <w:rPr>
          <w:b/>
          <w:lang w:val="fr-CA"/>
        </w:rPr>
        <w:t>o</w:t>
      </w:r>
      <w:r w:rsidR="00583F19" w:rsidRPr="00743A34">
        <w:rPr>
          <w:b/>
          <w:lang w:val="fr-CA"/>
        </w:rPr>
        <w:t>vem</w:t>
      </w:r>
      <w:r w:rsidR="00733432" w:rsidRPr="00743A34">
        <w:rPr>
          <w:b/>
          <w:lang w:val="fr-CA"/>
        </w:rPr>
        <w:t>bre</w:t>
      </w:r>
      <w:r w:rsidR="002E4682" w:rsidRPr="00743A34">
        <w:rPr>
          <w:b/>
          <w:lang w:val="fr-CA"/>
        </w:rPr>
        <w:t xml:space="preserve"> </w:t>
      </w:r>
      <w:r w:rsidR="008825DB" w:rsidRPr="00743A34">
        <w:rPr>
          <w:b/>
          <w:lang w:val="fr-CA"/>
        </w:rPr>
        <w:t>201</w:t>
      </w:r>
      <w:r w:rsidR="00733432" w:rsidRPr="00743A34">
        <w:rPr>
          <w:b/>
          <w:lang w:val="fr-CA"/>
        </w:rPr>
        <w:t>6</w:t>
      </w:r>
    </w:p>
    <w:p w:rsidR="006F2579" w:rsidRPr="00743A34" w:rsidRDefault="006F2579" w:rsidP="006F2579">
      <w:pPr>
        <w:widowControl w:val="0"/>
        <w:rPr>
          <w:b/>
          <w:lang w:val="fr-CA"/>
        </w:rPr>
      </w:pPr>
      <w:r w:rsidRPr="00743A34">
        <w:rPr>
          <w:b/>
          <w:lang w:val="fr-CA"/>
        </w:rPr>
        <w:t>Pour diffusion immédiate</w:t>
      </w:r>
    </w:p>
    <w:p w:rsidR="006F2579" w:rsidRPr="00743A34" w:rsidRDefault="006F2579" w:rsidP="006F2579">
      <w:pPr>
        <w:widowControl w:val="0"/>
        <w:rPr>
          <w:b/>
          <w:lang w:val="fr-CA"/>
        </w:rPr>
      </w:pPr>
    </w:p>
    <w:p w:rsidR="002767DF" w:rsidRPr="00743A34" w:rsidRDefault="002767DF" w:rsidP="002767DF">
      <w:pPr>
        <w:widowControl w:val="0"/>
        <w:rPr>
          <w:lang w:val="fr-CA"/>
        </w:rPr>
      </w:pPr>
      <w:r w:rsidRPr="00743A34">
        <w:rPr>
          <w:b/>
          <w:lang w:val="fr-CA"/>
        </w:rPr>
        <w:t>OTTAWA</w:t>
      </w:r>
      <w:r w:rsidRPr="00743A34">
        <w:rPr>
          <w:lang w:val="fr-CA"/>
        </w:rPr>
        <w:t xml:space="preserve"> – La Cour suprême du Canada a déposé aujourd’hui auprès du registraire les jugements dans l</w:t>
      </w:r>
      <w:r w:rsidR="00DF6BD5" w:rsidRPr="00743A34">
        <w:rPr>
          <w:lang w:val="fr-CA"/>
        </w:rPr>
        <w:t>’</w:t>
      </w:r>
      <w:r w:rsidRPr="00743A34">
        <w:rPr>
          <w:lang w:val="fr-CA"/>
        </w:rPr>
        <w:t>appel</w:t>
      </w:r>
      <w:r w:rsidR="00DF6BD5" w:rsidRPr="00743A34">
        <w:rPr>
          <w:lang w:val="fr-CA"/>
        </w:rPr>
        <w:t xml:space="preserve"> </w:t>
      </w:r>
      <w:r w:rsidRPr="00743A34">
        <w:rPr>
          <w:lang w:val="fr-CA"/>
        </w:rPr>
        <w:t>et</w:t>
      </w:r>
      <w:r w:rsidR="00CC044F" w:rsidRPr="00743A34">
        <w:rPr>
          <w:lang w:val="fr-CA"/>
        </w:rPr>
        <w:t xml:space="preserve"> </w:t>
      </w:r>
      <w:r w:rsidR="004C4C26" w:rsidRPr="00743A34">
        <w:rPr>
          <w:lang w:val="fr-CA"/>
        </w:rPr>
        <w:t>demande</w:t>
      </w:r>
      <w:r w:rsidR="00CC044F" w:rsidRPr="00743A34">
        <w:rPr>
          <w:lang w:val="fr-CA"/>
        </w:rPr>
        <w:t>s</w:t>
      </w:r>
      <w:r w:rsidRPr="00743A34">
        <w:rPr>
          <w:lang w:val="fr-CA"/>
        </w:rPr>
        <w:t xml:space="preserve"> d’autorisation d’appel qui suivent.</w:t>
      </w:r>
    </w:p>
    <w:p w:rsidR="002767DF" w:rsidRPr="00743A34" w:rsidRDefault="002767DF" w:rsidP="002767DF">
      <w:pPr>
        <w:widowControl w:val="0"/>
        <w:rPr>
          <w:lang w:val="fr-CA"/>
        </w:rPr>
      </w:pPr>
    </w:p>
    <w:p w:rsidR="002767DF" w:rsidRPr="00743A34" w:rsidRDefault="00CC43A4" w:rsidP="002767DF">
      <w:pPr>
        <w:widowControl w:val="0"/>
        <w:rPr>
          <w:sz w:val="20"/>
          <w:lang w:val="fr-CA"/>
        </w:rPr>
      </w:pPr>
      <w:r w:rsidRPr="00743A3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743A34" w:rsidRDefault="002767DF" w:rsidP="002767DF">
      <w:pPr>
        <w:widowControl w:val="0"/>
        <w:jc w:val="both"/>
        <w:rPr>
          <w:sz w:val="20"/>
          <w:lang w:val="fr-CA"/>
        </w:rPr>
      </w:pPr>
    </w:p>
    <w:p w:rsidR="002767DF" w:rsidRPr="00743A34" w:rsidRDefault="002767DF" w:rsidP="002767DF">
      <w:pPr>
        <w:outlineLvl w:val="0"/>
        <w:rPr>
          <w:b/>
          <w:szCs w:val="24"/>
          <w:lang w:val="fr-CA"/>
        </w:rPr>
      </w:pPr>
      <w:r w:rsidRPr="00743A34">
        <w:rPr>
          <w:b/>
          <w:szCs w:val="24"/>
          <w:lang w:val="fr-CA"/>
        </w:rPr>
        <w:t>APPEAL / APPEL</w:t>
      </w:r>
    </w:p>
    <w:p w:rsidR="002767DF" w:rsidRPr="00743A34" w:rsidRDefault="002767DF" w:rsidP="002767DF">
      <w:pPr>
        <w:rPr>
          <w:b/>
          <w:szCs w:val="24"/>
          <w:lang w:val="fr-CA"/>
        </w:rPr>
      </w:pPr>
    </w:p>
    <w:p w:rsidR="002767DF" w:rsidRPr="00743A34" w:rsidRDefault="00347EF8" w:rsidP="002767DF">
      <w:pPr>
        <w:tabs>
          <w:tab w:val="left" w:pos="720"/>
          <w:tab w:val="left" w:pos="1296"/>
          <w:tab w:val="left" w:pos="2160"/>
          <w:tab w:val="left" w:pos="2880"/>
          <w:tab w:val="left" w:pos="4320"/>
          <w:tab w:val="left" w:pos="10224"/>
          <w:tab w:val="left" w:pos="11376"/>
        </w:tabs>
        <w:jc w:val="both"/>
        <w:rPr>
          <w:lang w:val="fr-CA"/>
        </w:rPr>
      </w:pPr>
      <w:r w:rsidRPr="00743A34">
        <w:rPr>
          <w:lang w:val="fr-CA"/>
        </w:rPr>
        <w:t>Reasons for j</w:t>
      </w:r>
      <w:r w:rsidR="002767DF" w:rsidRPr="00743A34">
        <w:rPr>
          <w:lang w:val="fr-CA"/>
        </w:rPr>
        <w:t xml:space="preserve">udgment will be available shortly at: / </w:t>
      </w:r>
      <w:r w:rsidRPr="00743A34">
        <w:rPr>
          <w:lang w:val="fr-CA"/>
        </w:rPr>
        <w:t>Motifs de</w:t>
      </w:r>
      <w:r w:rsidR="00623896" w:rsidRPr="00743A34">
        <w:rPr>
          <w:lang w:val="fr-CA"/>
        </w:rPr>
        <w:t xml:space="preserve"> jugement </w:t>
      </w:r>
      <w:r w:rsidR="003413DF" w:rsidRPr="00743A34">
        <w:rPr>
          <w:lang w:val="fr-CA"/>
        </w:rPr>
        <w:t>disponible</w:t>
      </w:r>
      <w:r w:rsidR="000D01C7" w:rsidRPr="00743A34">
        <w:rPr>
          <w:lang w:val="fr-CA"/>
        </w:rPr>
        <w:t>s</w:t>
      </w:r>
      <w:r w:rsidR="002767DF" w:rsidRPr="00743A34">
        <w:rPr>
          <w:lang w:val="fr-CA"/>
        </w:rPr>
        <w:t xml:space="preserve"> sous peu à: </w:t>
      </w:r>
    </w:p>
    <w:p w:rsidR="00B1256C" w:rsidRPr="00743A34" w:rsidRDefault="00743A34"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743A34">
          <w:rPr>
            <w:rStyle w:val="Hyperlink"/>
            <w:lang w:val="fr-CA"/>
          </w:rPr>
          <w:t>http://scc-csc.lexum.com/scc-csc/en/nav.do</w:t>
        </w:r>
      </w:hyperlink>
    </w:p>
    <w:p w:rsidR="00B1256C" w:rsidRPr="00743A34" w:rsidRDefault="00743A34"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743A34">
          <w:rPr>
            <w:rStyle w:val="Hyperlink"/>
            <w:lang w:val="fr-CA"/>
          </w:rPr>
          <w:t>http://scc-csc.lexum.com/scc-csc/fr/nav.do</w:t>
        </w:r>
      </w:hyperlink>
      <w:bookmarkStart w:id="0" w:name="_GoBack"/>
      <w:bookmarkEnd w:id="0"/>
    </w:p>
    <w:p w:rsidR="002767DF" w:rsidRPr="00743A34" w:rsidRDefault="002767DF" w:rsidP="002767DF">
      <w:pPr>
        <w:rPr>
          <w:lang w:val="fr-CA"/>
        </w:rPr>
      </w:pPr>
    </w:p>
    <w:p w:rsidR="002767DF" w:rsidRPr="00743A34" w:rsidRDefault="002767DF" w:rsidP="002767DF">
      <w:pPr>
        <w:rPr>
          <w:lang w:val="fr-CA"/>
        </w:rPr>
      </w:pPr>
    </w:p>
    <w:p w:rsidR="00EF7C06" w:rsidRPr="00743A34" w:rsidRDefault="00D01D61" w:rsidP="00EF7C06">
      <w:pPr>
        <w:ind w:left="1440" w:hanging="1440"/>
        <w:jc w:val="both"/>
        <w:rPr>
          <w:rFonts w:eastAsia="Calibri"/>
          <w:sz w:val="20"/>
          <w:szCs w:val="22"/>
        </w:rPr>
      </w:pPr>
      <w:r w:rsidRPr="00743A34">
        <w:rPr>
          <w:rFonts w:eastAsia="Calibri"/>
          <w:b/>
          <w:sz w:val="20"/>
          <w:szCs w:val="22"/>
          <w:lang w:val="en-CA"/>
        </w:rPr>
        <w:fldChar w:fldCharType="begin"/>
      </w:r>
      <w:r w:rsidR="00EF7C06" w:rsidRPr="00743A34">
        <w:rPr>
          <w:rFonts w:eastAsia="Calibri"/>
          <w:b/>
          <w:sz w:val="20"/>
          <w:szCs w:val="22"/>
        </w:rPr>
        <w:instrText xml:space="preserve"> SEQ CHAPTER \h \r 1</w:instrText>
      </w:r>
      <w:r w:rsidRPr="00743A34">
        <w:rPr>
          <w:rFonts w:eastAsia="Calibri"/>
          <w:b/>
          <w:sz w:val="20"/>
          <w:szCs w:val="22"/>
          <w:lang w:val="en-CA"/>
        </w:rPr>
        <w:fldChar w:fldCharType="end"/>
      </w:r>
      <w:r w:rsidR="00EF7C06" w:rsidRPr="00743A34">
        <w:rPr>
          <w:rFonts w:eastAsia="Calibri"/>
          <w:b/>
          <w:sz w:val="20"/>
          <w:szCs w:val="22"/>
        </w:rPr>
        <w:t>3</w:t>
      </w:r>
      <w:r w:rsidR="005360E7" w:rsidRPr="00743A34">
        <w:rPr>
          <w:rFonts w:eastAsia="Calibri"/>
          <w:b/>
          <w:sz w:val="20"/>
          <w:szCs w:val="22"/>
        </w:rPr>
        <w:t>6</w:t>
      </w:r>
      <w:r w:rsidR="00630890" w:rsidRPr="00743A34">
        <w:rPr>
          <w:rFonts w:eastAsia="Calibri"/>
          <w:b/>
          <w:sz w:val="20"/>
          <w:szCs w:val="22"/>
        </w:rPr>
        <w:t>296</w:t>
      </w:r>
      <w:r w:rsidR="003676FD" w:rsidRPr="00743A34">
        <w:rPr>
          <w:rFonts w:eastAsia="Calibri"/>
          <w:b/>
          <w:sz w:val="20"/>
          <w:szCs w:val="22"/>
        </w:rPr>
        <w:tab/>
      </w:r>
      <w:r w:rsidR="00083ACC" w:rsidRPr="00743A34">
        <w:rPr>
          <w:b/>
          <w:sz w:val="20"/>
          <w:u w:val="single"/>
        </w:rPr>
        <w:t>Royal Bank of Canada</w:t>
      </w:r>
      <w:r w:rsidR="00AC41BC" w:rsidRPr="00743A34">
        <w:rPr>
          <w:b/>
          <w:sz w:val="20"/>
          <w:u w:val="single"/>
        </w:rPr>
        <w:t xml:space="preserve"> v. </w:t>
      </w:r>
      <w:r w:rsidR="007D0A94" w:rsidRPr="00743A34">
        <w:rPr>
          <w:b/>
          <w:sz w:val="20"/>
          <w:u w:val="single"/>
        </w:rPr>
        <w:t>Phat Trang, Phuong Trang a.k.a. Phuong Thi Trang and Bank of Nova Scotia</w:t>
      </w:r>
      <w:r w:rsidR="005360E7" w:rsidRPr="00743A34">
        <w:rPr>
          <w:sz w:val="20"/>
        </w:rPr>
        <w:t xml:space="preserve"> </w:t>
      </w:r>
      <w:r w:rsidR="003676FD" w:rsidRPr="00743A34">
        <w:rPr>
          <w:sz w:val="20"/>
        </w:rPr>
        <w:t>(</w:t>
      </w:r>
      <w:r w:rsidR="00083ACC" w:rsidRPr="00743A34">
        <w:rPr>
          <w:sz w:val="20"/>
        </w:rPr>
        <w:t>Ont</w:t>
      </w:r>
      <w:r w:rsidR="00583F19" w:rsidRPr="00743A34">
        <w:rPr>
          <w:sz w:val="20"/>
        </w:rPr>
        <w:t>.</w:t>
      </w:r>
      <w:r w:rsidR="003676FD" w:rsidRPr="00743A34">
        <w:rPr>
          <w:sz w:val="20"/>
        </w:rPr>
        <w:t>)</w:t>
      </w:r>
    </w:p>
    <w:p w:rsidR="00EF7C06" w:rsidRPr="00743A34"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743A34">
        <w:rPr>
          <w:rFonts w:eastAsia="Calibri"/>
          <w:b/>
          <w:sz w:val="20"/>
          <w:szCs w:val="22"/>
        </w:rPr>
        <w:t>201</w:t>
      </w:r>
      <w:r w:rsidR="00091A43" w:rsidRPr="00743A34">
        <w:rPr>
          <w:rFonts w:eastAsia="Calibri"/>
          <w:b/>
          <w:sz w:val="20"/>
          <w:szCs w:val="22"/>
        </w:rPr>
        <w:t>6</w:t>
      </w:r>
      <w:r w:rsidRPr="00743A34">
        <w:rPr>
          <w:rFonts w:eastAsia="Calibri"/>
          <w:b/>
          <w:sz w:val="20"/>
          <w:szCs w:val="22"/>
        </w:rPr>
        <w:t xml:space="preserve"> SCC </w:t>
      </w:r>
      <w:r w:rsidR="00630890" w:rsidRPr="00743A34">
        <w:rPr>
          <w:rFonts w:eastAsia="Calibri"/>
          <w:b/>
          <w:sz w:val="20"/>
          <w:szCs w:val="22"/>
        </w:rPr>
        <w:t>50</w:t>
      </w:r>
      <w:r w:rsidR="00EF7C06" w:rsidRPr="00743A34">
        <w:rPr>
          <w:rFonts w:eastAsia="Calibri"/>
          <w:b/>
          <w:sz w:val="20"/>
          <w:szCs w:val="22"/>
        </w:rPr>
        <w:t xml:space="preserve"> / 201</w:t>
      </w:r>
      <w:r w:rsidR="00091A43" w:rsidRPr="00743A34">
        <w:rPr>
          <w:rFonts w:eastAsia="Calibri"/>
          <w:b/>
          <w:sz w:val="20"/>
          <w:szCs w:val="22"/>
        </w:rPr>
        <w:t>6</w:t>
      </w:r>
      <w:r w:rsidR="00EF7C06" w:rsidRPr="00743A34">
        <w:rPr>
          <w:rFonts w:eastAsia="Calibri"/>
          <w:b/>
          <w:sz w:val="20"/>
          <w:szCs w:val="22"/>
        </w:rPr>
        <w:t xml:space="preserve"> CSC </w:t>
      </w:r>
      <w:r w:rsidR="00630890" w:rsidRPr="00743A34">
        <w:rPr>
          <w:rFonts w:eastAsia="Calibri"/>
          <w:b/>
          <w:sz w:val="20"/>
          <w:szCs w:val="22"/>
        </w:rPr>
        <w:t>50</w:t>
      </w:r>
    </w:p>
    <w:p w:rsidR="00EF7C06" w:rsidRPr="00743A34"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743A34" w:rsidRDefault="00EF7C06" w:rsidP="003676FD">
      <w:pPr>
        <w:ind w:left="1440" w:hanging="1440"/>
        <w:jc w:val="both"/>
        <w:rPr>
          <w:rFonts w:eastAsia="Calibri"/>
          <w:sz w:val="20"/>
          <w:szCs w:val="22"/>
          <w:u w:val="single"/>
        </w:rPr>
      </w:pPr>
      <w:r w:rsidRPr="00743A34">
        <w:rPr>
          <w:rFonts w:eastAsia="Calibri"/>
          <w:sz w:val="20"/>
          <w:szCs w:val="22"/>
        </w:rPr>
        <w:t>Coram:</w:t>
      </w:r>
      <w:r w:rsidRPr="00743A34">
        <w:rPr>
          <w:rFonts w:eastAsia="Calibri"/>
          <w:sz w:val="20"/>
          <w:szCs w:val="22"/>
        </w:rPr>
        <w:tab/>
      </w:r>
      <w:r w:rsidR="004B0CC1" w:rsidRPr="00743A34">
        <w:rPr>
          <w:rFonts w:eastAsia="Calibri"/>
          <w:sz w:val="20"/>
          <w:szCs w:val="22"/>
          <w:u w:val="single"/>
        </w:rPr>
        <w:t xml:space="preserve">McLachlin C.J. and Abella, </w:t>
      </w:r>
      <w:r w:rsidR="00630890" w:rsidRPr="00743A34">
        <w:rPr>
          <w:rFonts w:eastAsia="Calibri"/>
          <w:sz w:val="20"/>
          <w:szCs w:val="22"/>
          <w:u w:val="single"/>
        </w:rPr>
        <w:t xml:space="preserve">Cromwell, Moldaver, </w:t>
      </w:r>
      <w:r w:rsidR="004B0CC1" w:rsidRPr="00743A34">
        <w:rPr>
          <w:rFonts w:eastAsia="Calibri"/>
          <w:sz w:val="20"/>
          <w:szCs w:val="22"/>
          <w:u w:val="single"/>
        </w:rPr>
        <w:t>K</w:t>
      </w:r>
      <w:r w:rsidR="00E21F53" w:rsidRPr="00743A34">
        <w:rPr>
          <w:rFonts w:eastAsia="Calibri"/>
          <w:sz w:val="20"/>
          <w:szCs w:val="22"/>
          <w:u w:val="single"/>
        </w:rPr>
        <w:t>arakatsanis, Wagner, Gascon</w:t>
      </w:r>
      <w:r w:rsidR="00627B2C" w:rsidRPr="00743A34">
        <w:rPr>
          <w:rFonts w:eastAsia="Calibri"/>
          <w:sz w:val="20"/>
          <w:szCs w:val="22"/>
          <w:u w:val="single"/>
        </w:rPr>
        <w:t>,</w:t>
      </w:r>
      <w:r w:rsidR="00E21F53" w:rsidRPr="00743A34">
        <w:rPr>
          <w:rFonts w:eastAsia="Calibri"/>
          <w:sz w:val="20"/>
          <w:szCs w:val="22"/>
          <w:u w:val="single"/>
        </w:rPr>
        <w:t xml:space="preserve"> Côté</w:t>
      </w:r>
      <w:r w:rsidR="00627B2C" w:rsidRPr="00743A34">
        <w:rPr>
          <w:rFonts w:eastAsia="Calibri"/>
          <w:sz w:val="20"/>
          <w:szCs w:val="22"/>
          <w:u w:val="single"/>
        </w:rPr>
        <w:t xml:space="preserve"> </w:t>
      </w:r>
      <w:r w:rsidR="00583F19" w:rsidRPr="00743A34">
        <w:rPr>
          <w:rFonts w:eastAsia="Calibri"/>
          <w:sz w:val="20"/>
          <w:szCs w:val="22"/>
          <w:u w:val="single"/>
        </w:rPr>
        <w:t>and</w:t>
      </w:r>
      <w:r w:rsidR="00627B2C" w:rsidRPr="00743A34">
        <w:rPr>
          <w:rFonts w:eastAsia="Calibri"/>
          <w:sz w:val="20"/>
          <w:szCs w:val="22"/>
          <w:u w:val="single"/>
        </w:rPr>
        <w:t xml:space="preserve"> Brown</w:t>
      </w:r>
      <w:r w:rsidR="00583F19" w:rsidRPr="00743A34">
        <w:rPr>
          <w:rFonts w:eastAsia="Calibri"/>
          <w:sz w:val="20"/>
          <w:szCs w:val="22"/>
          <w:u w:val="single"/>
        </w:rPr>
        <w:t xml:space="preserve"> JJ.</w:t>
      </w:r>
    </w:p>
    <w:p w:rsidR="005D29DE" w:rsidRPr="00743A34" w:rsidRDefault="005D29DE" w:rsidP="005D29DE">
      <w:pPr>
        <w:jc w:val="both"/>
        <w:rPr>
          <w:sz w:val="20"/>
        </w:rPr>
      </w:pPr>
    </w:p>
    <w:p w:rsidR="00F86B26" w:rsidRPr="00743A34" w:rsidRDefault="00111D39" w:rsidP="00F86B26">
      <w:pPr>
        <w:jc w:val="both"/>
        <w:rPr>
          <w:rFonts w:eastAsiaTheme="minorHAnsi" w:cstheme="minorBidi"/>
          <w:sz w:val="20"/>
        </w:rPr>
      </w:pPr>
      <w:r w:rsidRPr="00743A34">
        <w:rPr>
          <w:sz w:val="20"/>
        </w:rPr>
        <w:t xml:space="preserve">The appeal from the judgment </w:t>
      </w:r>
      <w:bookmarkStart w:id="1" w:name="BM_1_"/>
      <w:bookmarkEnd w:id="1"/>
      <w:r w:rsidRPr="00743A34">
        <w:rPr>
          <w:sz w:val="20"/>
        </w:rPr>
        <w:t>of the Court of Appeal for Ontario, Number C57306, 2014 ONCA 883, dated December 9, 2014, heard on April 27, 2016, is allowed. The Bank of Nova Scotia is ordered to produce the mortgage discharge statement to the Royal Bank of Canada.</w:t>
      </w:r>
    </w:p>
    <w:p w:rsidR="00634540" w:rsidRPr="00743A34" w:rsidRDefault="00634540" w:rsidP="00F86B26">
      <w:pPr>
        <w:jc w:val="both"/>
        <w:rPr>
          <w:rFonts w:eastAsiaTheme="minorHAnsi" w:cstheme="minorBidi"/>
          <w:smallCaps/>
          <w:sz w:val="20"/>
        </w:rPr>
      </w:pPr>
    </w:p>
    <w:p w:rsidR="00F86B26" w:rsidRPr="00743A34" w:rsidRDefault="00111D39" w:rsidP="00F86B26">
      <w:pPr>
        <w:jc w:val="both"/>
        <w:rPr>
          <w:rFonts w:eastAsiaTheme="minorHAnsi" w:cstheme="minorBidi"/>
          <w:sz w:val="20"/>
          <w:lang w:val="fr-CA"/>
        </w:rPr>
      </w:pPr>
      <w:r w:rsidRPr="00743A34">
        <w:rPr>
          <w:sz w:val="20"/>
          <w:lang w:val="fr-CA"/>
        </w:rPr>
        <w:t>L’appel interjeté contre l’arrêt de la Cour d’appel de l’Ontario, numéro C57306, 2014 ONCA 883, daté du 9 décembre 2014, entendu le 27 avril 2016, est accueilli. Il est ordonné à Banque de Nouvelle-Écosse de communiquer l’état de mainlevée d’hypothèque à Banque Royale du Canada.</w:t>
      </w:r>
    </w:p>
    <w:p w:rsidR="00F86B26" w:rsidRPr="00743A34" w:rsidRDefault="00F86B26" w:rsidP="00F86B26">
      <w:pPr>
        <w:jc w:val="both"/>
        <w:rPr>
          <w:rFonts w:eastAsiaTheme="minorHAnsi" w:cstheme="minorBidi"/>
          <w:sz w:val="20"/>
          <w:lang w:val="fr-CA"/>
        </w:rPr>
      </w:pPr>
    </w:p>
    <w:p w:rsidR="009D2AD9" w:rsidRPr="00743A34" w:rsidRDefault="00D01D61" w:rsidP="009D2AD9">
      <w:pPr>
        <w:rPr>
          <w:lang w:val="fr-CA"/>
        </w:rPr>
      </w:pPr>
      <w:r w:rsidRPr="00743A34">
        <w:rPr>
          <w:szCs w:val="24"/>
        </w:rPr>
        <w:fldChar w:fldCharType="begin"/>
      </w:r>
      <w:r w:rsidR="009D2AD9" w:rsidRPr="00743A34">
        <w:rPr>
          <w:szCs w:val="24"/>
          <w:lang w:val="fr-CA"/>
        </w:rPr>
        <w:instrText xml:space="preserve"> SEQ CHAPTER \h \r 1</w:instrText>
      </w:r>
      <w:r w:rsidRPr="00743A34">
        <w:rPr>
          <w:szCs w:val="24"/>
        </w:rPr>
        <w:fldChar w:fldCharType="end"/>
      </w:r>
      <w:r w:rsidR="009D2AD9" w:rsidRPr="00743A34">
        <w:rPr>
          <w:b/>
          <w:bCs/>
          <w:szCs w:val="24"/>
          <w:lang w:val="fr-CA"/>
        </w:rPr>
        <w:t>APPLICATION</w:t>
      </w:r>
      <w:r w:rsidR="0044099A" w:rsidRPr="00743A34">
        <w:rPr>
          <w:b/>
          <w:bCs/>
          <w:szCs w:val="24"/>
          <w:lang w:val="fr-CA"/>
        </w:rPr>
        <w:t>S</w:t>
      </w:r>
      <w:r w:rsidR="009D2AD9" w:rsidRPr="00743A34">
        <w:rPr>
          <w:b/>
          <w:bCs/>
          <w:szCs w:val="24"/>
          <w:lang w:val="fr-CA"/>
        </w:rPr>
        <w:t xml:space="preserve"> FOR LEAVE / DEMANDE</w:t>
      </w:r>
      <w:r w:rsidR="0044099A" w:rsidRPr="00743A34">
        <w:rPr>
          <w:b/>
          <w:bCs/>
          <w:szCs w:val="24"/>
          <w:lang w:val="fr-CA"/>
        </w:rPr>
        <w:t>S</w:t>
      </w:r>
      <w:r w:rsidR="009D2AD9" w:rsidRPr="00743A34">
        <w:rPr>
          <w:b/>
          <w:bCs/>
          <w:szCs w:val="24"/>
          <w:lang w:val="fr-CA"/>
        </w:rPr>
        <w:t xml:space="preserve"> D’AUTORISATION :</w:t>
      </w:r>
    </w:p>
    <w:p w:rsidR="009D2AD9" w:rsidRPr="00743A34" w:rsidRDefault="009D2AD9" w:rsidP="000627A2">
      <w:pPr>
        <w:widowControl w:val="0"/>
        <w:jc w:val="both"/>
        <w:rPr>
          <w:sz w:val="20"/>
          <w:lang w:val="fr-CA"/>
        </w:rPr>
      </w:pPr>
    </w:p>
    <w:p w:rsidR="007E5C9C" w:rsidRPr="00743A34" w:rsidRDefault="007E5C9C" w:rsidP="007E5C9C">
      <w:pPr>
        <w:widowControl w:val="0"/>
        <w:rPr>
          <w:szCs w:val="24"/>
        </w:rPr>
      </w:pPr>
      <w:r w:rsidRPr="00743A34">
        <w:rPr>
          <w:szCs w:val="24"/>
        </w:rPr>
        <w:t xml:space="preserve">Summaries of these cases are available at </w:t>
      </w:r>
      <w:hyperlink r:id="rId9" w:history="1">
        <w:r w:rsidR="003F25CB" w:rsidRPr="00743A34">
          <w:rPr>
            <w:rStyle w:val="Hyperlink"/>
            <w:szCs w:val="24"/>
          </w:rPr>
          <w:t>http://scc-csc.lexum.com/scc-csc/news/en/item/5365/index.do</w:t>
        </w:r>
      </w:hyperlink>
      <w:r w:rsidR="008C7834" w:rsidRPr="00743A34">
        <w:rPr>
          <w:szCs w:val="24"/>
        </w:rPr>
        <w:t>.</w:t>
      </w:r>
    </w:p>
    <w:p w:rsidR="0025713A" w:rsidRPr="00743A34" w:rsidRDefault="0025713A" w:rsidP="000627A2">
      <w:pPr>
        <w:widowControl w:val="0"/>
        <w:jc w:val="both"/>
        <w:rPr>
          <w:sz w:val="20"/>
        </w:rPr>
      </w:pPr>
    </w:p>
    <w:p w:rsidR="007E5C9C" w:rsidRPr="00743A34" w:rsidRDefault="007E5C9C" w:rsidP="007E5C9C">
      <w:pPr>
        <w:widowControl w:val="0"/>
        <w:rPr>
          <w:szCs w:val="24"/>
          <w:lang w:val="fr-CA"/>
        </w:rPr>
      </w:pPr>
      <w:r w:rsidRPr="00743A34">
        <w:rPr>
          <w:lang w:val="fr-CA"/>
        </w:rPr>
        <w:t xml:space="preserve">Les sommaires des causes peuvent être consultés à l'adresse </w:t>
      </w:r>
      <w:r w:rsidRPr="00743A34">
        <w:rPr>
          <w:szCs w:val="24"/>
          <w:lang w:val="fr-CA"/>
        </w:rPr>
        <w:t xml:space="preserve">suivante : </w:t>
      </w:r>
      <w:hyperlink r:id="rId10" w:history="1">
        <w:r w:rsidR="003F25CB" w:rsidRPr="00743A34">
          <w:rPr>
            <w:rStyle w:val="Hyperlink"/>
            <w:szCs w:val="24"/>
            <w:lang w:val="fr-CA"/>
          </w:rPr>
          <w:t>http://scc-</w:t>
        </w:r>
        <w:r w:rsidR="003F25CB" w:rsidRPr="00743A34">
          <w:rPr>
            <w:rStyle w:val="Hyperlink"/>
            <w:szCs w:val="24"/>
            <w:lang w:val="fr-CA"/>
          </w:rPr>
          <w:lastRenderedPageBreak/>
          <w:t>csc.lexum.com/scc-csc/news/fr/item/5365/index.do</w:t>
        </w:r>
      </w:hyperlink>
      <w:r w:rsidR="008C7834" w:rsidRPr="00743A34">
        <w:rPr>
          <w:rStyle w:val="Hyperlink"/>
          <w:color w:val="4F6228" w:themeColor="accent3" w:themeShade="80"/>
          <w:szCs w:val="24"/>
          <w:u w:val="none"/>
          <w:lang w:val="fr-CA"/>
        </w:rPr>
        <w:t>.</w:t>
      </w:r>
    </w:p>
    <w:p w:rsidR="008E30CD" w:rsidRPr="00743A34" w:rsidRDefault="008E30CD" w:rsidP="0027631F">
      <w:pPr>
        <w:jc w:val="both"/>
        <w:rPr>
          <w:sz w:val="20"/>
          <w:lang w:val="fr-CA"/>
        </w:rPr>
      </w:pPr>
    </w:p>
    <w:p w:rsidR="00214BA3" w:rsidRPr="00743A34" w:rsidRDefault="00214BA3" w:rsidP="009F09C0">
      <w:pPr>
        <w:jc w:val="both"/>
        <w:rPr>
          <w:sz w:val="20"/>
          <w:lang w:val="fr-CA"/>
        </w:rPr>
      </w:pPr>
    </w:p>
    <w:p w:rsidR="009F09C0" w:rsidRPr="00743A34" w:rsidRDefault="009F09C0" w:rsidP="009F09C0">
      <w:pPr>
        <w:jc w:val="both"/>
        <w:rPr>
          <w:b/>
        </w:rPr>
      </w:pPr>
      <w:r w:rsidRPr="00743A34">
        <w:rPr>
          <w:b/>
        </w:rPr>
        <w:t>GRANTED / ACCORDÉE</w:t>
      </w:r>
    </w:p>
    <w:p w:rsidR="009F09C0" w:rsidRPr="00743A34" w:rsidRDefault="009F09C0" w:rsidP="009F09C0">
      <w:pPr>
        <w:jc w:val="both"/>
        <w:rPr>
          <w:sz w:val="20"/>
        </w:rPr>
      </w:pPr>
    </w:p>
    <w:p w:rsidR="007C3D96" w:rsidRPr="00743A34" w:rsidRDefault="007C3D96" w:rsidP="007C3D96">
      <w:pPr>
        <w:jc w:val="both"/>
        <w:rPr>
          <w:sz w:val="22"/>
          <w:szCs w:val="22"/>
          <w:lang w:val="en-CA" w:eastAsia="en-CA"/>
        </w:rPr>
      </w:pPr>
      <w:r w:rsidRPr="00743A34">
        <w:rPr>
          <w:i/>
          <w:sz w:val="22"/>
          <w:szCs w:val="22"/>
          <w:lang w:val="en-CA" w:eastAsia="en-CA"/>
        </w:rPr>
        <w:t xml:space="preserve">Tristin Jones v. Her Majesty the Queen in Right of Ontario et al. </w:t>
      </w:r>
      <w:r w:rsidRPr="00743A34">
        <w:rPr>
          <w:sz w:val="22"/>
          <w:szCs w:val="22"/>
          <w:lang w:val="en-CA" w:eastAsia="en-CA"/>
        </w:rPr>
        <w:t xml:space="preserve">(Ont.) (Criminal) (By Leave) </w:t>
      </w:r>
      <w:r w:rsidRPr="00743A34">
        <w:rPr>
          <w:sz w:val="22"/>
          <w:szCs w:val="22"/>
        </w:rPr>
        <w:t>(</w:t>
      </w:r>
      <w:hyperlink r:id="rId11" w:history="1">
        <w:r w:rsidRPr="00743A34">
          <w:rPr>
            <w:rStyle w:val="Hyperlink"/>
            <w:sz w:val="22"/>
            <w:szCs w:val="22"/>
          </w:rPr>
          <w:t>37194</w:t>
        </w:r>
      </w:hyperlink>
      <w:r w:rsidRPr="00743A34">
        <w:rPr>
          <w:sz w:val="22"/>
          <w:szCs w:val="22"/>
        </w:rPr>
        <w:t>)</w:t>
      </w:r>
    </w:p>
    <w:p w:rsidR="007C3D96" w:rsidRPr="00743A34" w:rsidRDefault="007C3D96" w:rsidP="007C3D96">
      <w:pPr>
        <w:rPr>
          <w:sz w:val="20"/>
        </w:rPr>
      </w:pPr>
      <w:r w:rsidRPr="00743A34">
        <w:rPr>
          <w:sz w:val="20"/>
        </w:rPr>
        <w:t>(The motion to appoint counsel is granted. The application for leave to appeal is granted. The appeal will be heard with</w:t>
      </w:r>
      <w:r w:rsidRPr="00743A34">
        <w:rPr>
          <w:i/>
          <w:sz w:val="20"/>
        </w:rPr>
        <w:t xml:space="preserve"> Nour Marakah v. Her Majesty the Queen</w:t>
      </w:r>
      <w:r w:rsidRPr="00743A34">
        <w:rPr>
          <w:sz w:val="20"/>
        </w:rPr>
        <w:t xml:space="preserve"> (37118). The schedule for serving and filing materials will be set by the Registrar.</w:t>
      </w:r>
    </w:p>
    <w:p w:rsidR="007C3D96" w:rsidRPr="00743A34" w:rsidRDefault="007C3D96" w:rsidP="007C3D96">
      <w:pPr>
        <w:rPr>
          <w:sz w:val="20"/>
          <w:lang w:val="fr-CA"/>
        </w:rPr>
      </w:pPr>
      <w:r w:rsidRPr="00743A34">
        <w:rPr>
          <w:sz w:val="20"/>
          <w:lang w:val="fr-CA"/>
        </w:rPr>
        <w:t>La requête en nomination d’un procureur est accueillie.</w:t>
      </w:r>
      <w:r w:rsidRPr="00743A34">
        <w:rPr>
          <w:color w:val="1F497D"/>
          <w:sz w:val="20"/>
          <w:lang w:val="fr-CA"/>
        </w:rPr>
        <w:t xml:space="preserve"> </w:t>
      </w:r>
      <w:r w:rsidRPr="00743A34">
        <w:rPr>
          <w:sz w:val="20"/>
          <w:lang w:val="fr-CA"/>
        </w:rPr>
        <w:t xml:space="preserve">La demande d’autorisation d’appel est accueillie. Cet appel sera entendu avec l’affaire </w:t>
      </w:r>
      <w:r w:rsidRPr="00743A34">
        <w:rPr>
          <w:i/>
          <w:sz w:val="20"/>
          <w:lang w:val="fr-CA"/>
        </w:rPr>
        <w:t>Nour Marakah c. Sa Majesté la Reine</w:t>
      </w:r>
      <w:r w:rsidRPr="00743A34">
        <w:rPr>
          <w:sz w:val="20"/>
          <w:lang w:val="fr-CA"/>
        </w:rPr>
        <w:t xml:space="preserve"> (37118). L’échéancier pour le dépôt et la signification des documents sera fixé par le Registraire.)</w:t>
      </w:r>
    </w:p>
    <w:p w:rsidR="00E51833" w:rsidRPr="00743A34" w:rsidRDefault="00E51833" w:rsidP="009F09C0">
      <w:pPr>
        <w:jc w:val="both"/>
        <w:rPr>
          <w:sz w:val="20"/>
          <w:lang w:val="fr-CA"/>
        </w:rPr>
      </w:pPr>
    </w:p>
    <w:p w:rsidR="00E51833" w:rsidRPr="00743A34" w:rsidRDefault="00E51833" w:rsidP="00E51833">
      <w:pPr>
        <w:jc w:val="both"/>
        <w:rPr>
          <w:sz w:val="20"/>
        </w:rPr>
      </w:pPr>
      <w:r w:rsidRPr="00743A34">
        <w:rPr>
          <w:sz w:val="20"/>
        </w:rPr>
        <w:t>****</w:t>
      </w:r>
    </w:p>
    <w:p w:rsidR="00723025" w:rsidRPr="00743A34" w:rsidRDefault="00723025" w:rsidP="009F09C0">
      <w:pPr>
        <w:jc w:val="both"/>
        <w:rPr>
          <w:sz w:val="20"/>
        </w:rPr>
      </w:pPr>
    </w:p>
    <w:p w:rsidR="009F09C0" w:rsidRPr="00743A34" w:rsidRDefault="009F09C0" w:rsidP="009F09C0">
      <w:pPr>
        <w:jc w:val="both"/>
        <w:rPr>
          <w:b/>
        </w:rPr>
      </w:pPr>
      <w:r w:rsidRPr="00743A34">
        <w:rPr>
          <w:b/>
        </w:rPr>
        <w:t>DISMISSED / REJETÉES</w:t>
      </w:r>
    </w:p>
    <w:p w:rsidR="009F09C0" w:rsidRPr="00743A34" w:rsidRDefault="009F09C0" w:rsidP="009F09C0">
      <w:pPr>
        <w:widowControl w:val="0"/>
        <w:rPr>
          <w:sz w:val="20"/>
        </w:rPr>
      </w:pPr>
    </w:p>
    <w:p w:rsidR="00A33BD3" w:rsidRPr="00743A34" w:rsidRDefault="00A33BD3" w:rsidP="00A33BD3">
      <w:pPr>
        <w:jc w:val="both"/>
        <w:rPr>
          <w:sz w:val="22"/>
          <w:szCs w:val="22"/>
          <w:lang w:eastAsia="en-CA"/>
        </w:rPr>
      </w:pPr>
      <w:r w:rsidRPr="00743A34">
        <w:rPr>
          <w:i/>
          <w:sz w:val="22"/>
          <w:szCs w:val="22"/>
          <w:lang w:val="en-CA" w:eastAsia="en-CA"/>
        </w:rPr>
        <w:t>Orville John Gustavson v. The Warden, Mission Institution</w:t>
      </w:r>
      <w:r w:rsidRPr="00743A34">
        <w:rPr>
          <w:sz w:val="22"/>
          <w:szCs w:val="22"/>
          <w:lang w:val="en-CA" w:eastAsia="en-CA"/>
        </w:rPr>
        <w:t xml:space="preserve"> (B.C.) </w:t>
      </w:r>
      <w:r w:rsidRPr="00743A34">
        <w:rPr>
          <w:sz w:val="22"/>
          <w:szCs w:val="22"/>
          <w:lang w:eastAsia="en-CA"/>
        </w:rPr>
        <w:t xml:space="preserve">(Criminal) (By Leave) </w:t>
      </w:r>
      <w:r w:rsidRPr="00743A34">
        <w:rPr>
          <w:sz w:val="22"/>
          <w:szCs w:val="22"/>
        </w:rPr>
        <w:t>(</w:t>
      </w:r>
      <w:hyperlink r:id="rId12" w:history="1">
        <w:r w:rsidRPr="00743A34">
          <w:rPr>
            <w:rStyle w:val="Hyperlink"/>
            <w:sz w:val="22"/>
            <w:szCs w:val="22"/>
          </w:rPr>
          <w:t>37147</w:t>
        </w:r>
      </w:hyperlink>
      <w:r w:rsidRPr="00743A34">
        <w:rPr>
          <w:sz w:val="22"/>
          <w:szCs w:val="22"/>
        </w:rPr>
        <w:t>)</w:t>
      </w:r>
    </w:p>
    <w:p w:rsidR="00A33BD3" w:rsidRPr="00743A34" w:rsidRDefault="00A33BD3" w:rsidP="009F09C0">
      <w:pPr>
        <w:widowControl w:val="0"/>
        <w:rPr>
          <w:sz w:val="20"/>
        </w:rPr>
      </w:pPr>
      <w:r w:rsidRPr="00743A34">
        <w:rPr>
          <w:sz w:val="20"/>
        </w:rPr>
        <w:t xml:space="preserve">(The motion to appoint counsel is dismissed.  The application for leave to appeal is dismissed. / </w:t>
      </w:r>
    </w:p>
    <w:p w:rsidR="00A33BD3" w:rsidRPr="00743A34" w:rsidRDefault="00A33BD3" w:rsidP="009F09C0">
      <w:pPr>
        <w:widowControl w:val="0"/>
        <w:rPr>
          <w:sz w:val="20"/>
          <w:lang w:val="fr-CA"/>
        </w:rPr>
      </w:pPr>
      <w:r w:rsidRPr="00743A34">
        <w:rPr>
          <w:sz w:val="20"/>
          <w:lang w:val="fr-CA"/>
        </w:rPr>
        <w:t>La requête en nomination d'un procureur est rejetée.</w:t>
      </w:r>
      <w:r w:rsidRPr="00743A34">
        <w:rPr>
          <w:color w:val="1F497D"/>
          <w:sz w:val="20"/>
          <w:lang w:val="fr-CA"/>
        </w:rPr>
        <w:t xml:space="preserve">  </w:t>
      </w:r>
      <w:r w:rsidRPr="00743A34">
        <w:rPr>
          <w:sz w:val="20"/>
          <w:lang w:val="fr-CA"/>
        </w:rPr>
        <w:t>La demande d’autorisation d’appel est rejetée.)</w:t>
      </w:r>
    </w:p>
    <w:p w:rsidR="00A33BD3" w:rsidRPr="00743A34" w:rsidRDefault="00A33BD3" w:rsidP="009F09C0">
      <w:pPr>
        <w:widowControl w:val="0"/>
        <w:rPr>
          <w:sz w:val="20"/>
          <w:lang w:val="fr-CA"/>
        </w:rPr>
      </w:pPr>
    </w:p>
    <w:p w:rsidR="00723025" w:rsidRPr="00743A34" w:rsidRDefault="00723025" w:rsidP="00723025">
      <w:pPr>
        <w:jc w:val="both"/>
        <w:rPr>
          <w:sz w:val="20"/>
          <w:lang w:val="fr-CA"/>
        </w:rPr>
      </w:pPr>
      <w:r w:rsidRPr="00743A34">
        <w:rPr>
          <w:sz w:val="20"/>
          <w:lang w:val="fr-CA"/>
        </w:rPr>
        <w:t>****</w:t>
      </w:r>
    </w:p>
    <w:p w:rsidR="00723025" w:rsidRPr="00743A34" w:rsidRDefault="00723025" w:rsidP="009F09C0">
      <w:pPr>
        <w:widowControl w:val="0"/>
        <w:rPr>
          <w:sz w:val="20"/>
          <w:lang w:val="fr-CA"/>
        </w:rPr>
      </w:pPr>
    </w:p>
    <w:p w:rsidR="00F5158A" w:rsidRPr="00743A34" w:rsidRDefault="00F5158A" w:rsidP="00F5158A">
      <w:pPr>
        <w:jc w:val="both"/>
        <w:rPr>
          <w:sz w:val="22"/>
          <w:lang w:val="fr-FR" w:eastAsia="en-CA"/>
        </w:rPr>
      </w:pPr>
      <w:r w:rsidRPr="00743A34">
        <w:rPr>
          <w:i/>
          <w:sz w:val="22"/>
          <w:lang w:val="fr-FR" w:eastAsia="en-CA"/>
        </w:rPr>
        <w:t>Benoit Beauchamp et autre c. Balayage Blainville inc.</w:t>
      </w:r>
      <w:r w:rsidRPr="00743A34">
        <w:rPr>
          <w:sz w:val="22"/>
          <w:lang w:val="fr-FR" w:eastAsia="en-CA"/>
        </w:rPr>
        <w:t xml:space="preserve"> (Qc) (Civile) (Autorisation) </w:t>
      </w:r>
      <w:r w:rsidRPr="00743A34">
        <w:rPr>
          <w:sz w:val="22"/>
          <w:lang w:val="fr-CA"/>
        </w:rPr>
        <w:t>(</w:t>
      </w:r>
      <w:hyperlink r:id="rId13" w:history="1">
        <w:r w:rsidRPr="00743A34">
          <w:rPr>
            <w:rStyle w:val="Hyperlink"/>
            <w:sz w:val="22"/>
            <w:lang w:val="fr-CA"/>
          </w:rPr>
          <w:t>37073</w:t>
        </w:r>
      </w:hyperlink>
      <w:r w:rsidRPr="00743A34">
        <w:rPr>
          <w:sz w:val="22"/>
          <w:lang w:val="fr-CA"/>
        </w:rPr>
        <w:t>)</w:t>
      </w:r>
    </w:p>
    <w:p w:rsidR="00723025" w:rsidRPr="00743A34" w:rsidRDefault="00F5158A" w:rsidP="009F09C0">
      <w:pPr>
        <w:widowControl w:val="0"/>
        <w:rPr>
          <w:sz w:val="20"/>
          <w:lang w:val="fr-CA"/>
        </w:rPr>
      </w:pPr>
      <w:r w:rsidRPr="00743A34">
        <w:rPr>
          <w:sz w:val="16"/>
          <w:lang w:val="fr-CA"/>
        </w:rPr>
        <w:t>(</w:t>
      </w:r>
      <w:r w:rsidRPr="00743A34">
        <w:rPr>
          <w:sz w:val="20"/>
          <w:lang w:val="fr-CA"/>
        </w:rPr>
        <w:t xml:space="preserve">La requête en prorogation du délai de signification et de dépôt de la demande d’autorisation d’appel est rejetée sans dépens. Quoi qu’il en soit, même si la requête avait été accueillie, la demande d’autorisation d’appel aurait été rejetée sans dépens. / </w:t>
      </w:r>
    </w:p>
    <w:p w:rsidR="00F5158A" w:rsidRPr="00743A34" w:rsidRDefault="00F5158A" w:rsidP="009F09C0">
      <w:pPr>
        <w:widowControl w:val="0"/>
        <w:rPr>
          <w:sz w:val="16"/>
        </w:rPr>
      </w:pPr>
      <w:r w:rsidRPr="00743A34">
        <w:rPr>
          <w:sz w:val="20"/>
          <w:lang w:val="en-CA"/>
        </w:rPr>
        <w:t>The motion for an extension of time to serve and file the application for leave to appeal is dismissed without costs. In any event, had such motion been granted, the application for leave to appeal would have been dismissed without costs.)</w:t>
      </w:r>
    </w:p>
    <w:p w:rsidR="00723025" w:rsidRPr="00743A34" w:rsidRDefault="00723025" w:rsidP="009F09C0">
      <w:pPr>
        <w:widowControl w:val="0"/>
        <w:rPr>
          <w:sz w:val="20"/>
        </w:rPr>
      </w:pPr>
    </w:p>
    <w:p w:rsidR="00435BBE" w:rsidRPr="00743A34" w:rsidRDefault="00435BBE" w:rsidP="00435BBE">
      <w:pPr>
        <w:jc w:val="both"/>
        <w:rPr>
          <w:sz w:val="20"/>
          <w:lang w:val="fr-CA"/>
        </w:rPr>
      </w:pPr>
      <w:r w:rsidRPr="00743A34">
        <w:rPr>
          <w:sz w:val="20"/>
          <w:lang w:val="fr-CA"/>
        </w:rPr>
        <w:t>****</w:t>
      </w:r>
    </w:p>
    <w:p w:rsidR="009F51A9" w:rsidRPr="00743A34" w:rsidRDefault="009F51A9" w:rsidP="003B434B">
      <w:pPr>
        <w:jc w:val="both"/>
        <w:rPr>
          <w:sz w:val="20"/>
          <w:lang w:val="fr-CA"/>
        </w:rPr>
      </w:pPr>
    </w:p>
    <w:p w:rsidR="00C01B2C" w:rsidRPr="00743A34" w:rsidRDefault="00C01B2C" w:rsidP="00C01B2C">
      <w:pPr>
        <w:tabs>
          <w:tab w:val="center" w:pos="720"/>
        </w:tabs>
        <w:rPr>
          <w:sz w:val="22"/>
          <w:szCs w:val="22"/>
          <w:lang w:val="fr-FR"/>
        </w:rPr>
      </w:pPr>
      <w:r w:rsidRPr="00743A34">
        <w:rPr>
          <w:i/>
          <w:sz w:val="22"/>
          <w:szCs w:val="22"/>
          <w:lang w:val="fr-FR" w:eastAsia="en-CA"/>
        </w:rPr>
        <w:t>Fédération des producteurs acéri</w:t>
      </w:r>
      <w:r w:rsidR="007C3D96" w:rsidRPr="00743A34">
        <w:rPr>
          <w:i/>
          <w:sz w:val="22"/>
          <w:szCs w:val="22"/>
          <w:lang w:val="fr-FR" w:eastAsia="en-CA"/>
        </w:rPr>
        <w:t>c</w:t>
      </w:r>
      <w:r w:rsidRPr="00743A34">
        <w:rPr>
          <w:i/>
          <w:sz w:val="22"/>
          <w:szCs w:val="22"/>
          <w:lang w:val="fr-FR" w:eastAsia="en-CA"/>
        </w:rPr>
        <w:t xml:space="preserve">oles du Québec c. Unique assurances générales inc. et autres </w:t>
      </w:r>
      <w:r w:rsidRPr="00743A34">
        <w:rPr>
          <w:sz w:val="22"/>
          <w:szCs w:val="22"/>
          <w:lang w:val="fr-FR" w:eastAsia="en-CA"/>
        </w:rPr>
        <w:t xml:space="preserve">(Qc) (Civile) (Autorisation) </w:t>
      </w:r>
      <w:r w:rsidRPr="00743A34">
        <w:rPr>
          <w:sz w:val="22"/>
          <w:szCs w:val="22"/>
          <w:lang w:val="fr-CA"/>
        </w:rPr>
        <w:t>(</w:t>
      </w:r>
      <w:hyperlink r:id="rId14" w:history="1">
        <w:r w:rsidRPr="00743A34">
          <w:rPr>
            <w:rStyle w:val="Hyperlink"/>
            <w:sz w:val="22"/>
            <w:szCs w:val="22"/>
            <w:lang w:val="fr-CA"/>
          </w:rPr>
          <w:t>3704</w:t>
        </w:r>
      </w:hyperlink>
      <w:r w:rsidRPr="00743A34">
        <w:rPr>
          <w:rStyle w:val="Hyperlink"/>
          <w:sz w:val="22"/>
          <w:szCs w:val="22"/>
          <w:lang w:val="fr-CA"/>
        </w:rPr>
        <w:t>7</w:t>
      </w:r>
      <w:r w:rsidRPr="00743A34">
        <w:rPr>
          <w:sz w:val="22"/>
          <w:szCs w:val="22"/>
          <w:lang w:val="fr-CA"/>
        </w:rPr>
        <w:t>)</w:t>
      </w:r>
    </w:p>
    <w:p w:rsidR="00C01B2C" w:rsidRPr="00743A34" w:rsidRDefault="00C01B2C" w:rsidP="00C01B2C">
      <w:pPr>
        <w:rPr>
          <w:sz w:val="20"/>
          <w:lang w:val="fr-FR"/>
        </w:rPr>
      </w:pPr>
      <w:r w:rsidRPr="00743A34">
        <w:rPr>
          <w:sz w:val="20"/>
          <w:lang w:val="fr-FR"/>
        </w:rPr>
        <w:t>(</w:t>
      </w:r>
      <w:r w:rsidRPr="00743A34">
        <w:rPr>
          <w:sz w:val="20"/>
          <w:lang w:val="fr-CA"/>
        </w:rPr>
        <w:t xml:space="preserve">La demande d’autorisation d’appel est rejetée avec dépens. / </w:t>
      </w:r>
      <w:r w:rsidRPr="00743A34">
        <w:rPr>
          <w:sz w:val="20"/>
          <w:lang w:val="fr-FR"/>
        </w:rPr>
        <w:t>The application for leave to appeal is dismissed with costs.)</w:t>
      </w:r>
    </w:p>
    <w:p w:rsidR="00E51833" w:rsidRPr="00743A34" w:rsidRDefault="00E51833" w:rsidP="003B434B">
      <w:pPr>
        <w:jc w:val="both"/>
        <w:rPr>
          <w:sz w:val="20"/>
          <w:lang w:val="fr-FR"/>
        </w:rPr>
      </w:pPr>
    </w:p>
    <w:p w:rsidR="00C01B2C" w:rsidRPr="00743A34" w:rsidRDefault="00C01B2C" w:rsidP="00C01B2C">
      <w:pPr>
        <w:jc w:val="both"/>
        <w:rPr>
          <w:sz w:val="20"/>
          <w:lang w:val="fr-CA"/>
        </w:rPr>
      </w:pPr>
      <w:r w:rsidRPr="00743A34">
        <w:rPr>
          <w:sz w:val="20"/>
          <w:lang w:val="fr-CA"/>
        </w:rPr>
        <w:t>****</w:t>
      </w:r>
    </w:p>
    <w:p w:rsidR="003F25CB" w:rsidRPr="00743A34" w:rsidRDefault="003F25CB" w:rsidP="003B434B">
      <w:pPr>
        <w:jc w:val="both"/>
        <w:rPr>
          <w:sz w:val="20"/>
          <w:lang w:val="fr-FR"/>
        </w:rPr>
      </w:pPr>
    </w:p>
    <w:p w:rsidR="00036753" w:rsidRPr="00743A34" w:rsidRDefault="00036753" w:rsidP="003B434B">
      <w:pPr>
        <w:jc w:val="both"/>
        <w:rPr>
          <w:sz w:val="20"/>
          <w:lang w:val="fr-FR"/>
        </w:rPr>
      </w:pPr>
    </w:p>
    <w:p w:rsidR="00494283" w:rsidRPr="00743A34" w:rsidRDefault="00494283" w:rsidP="003B434B">
      <w:pPr>
        <w:jc w:val="both"/>
        <w:rPr>
          <w:sz w:val="20"/>
          <w:lang w:val="fr-FR"/>
        </w:rPr>
      </w:pPr>
    </w:p>
    <w:p w:rsidR="002E4682" w:rsidRPr="00743A34" w:rsidRDefault="002E4682" w:rsidP="002E4682">
      <w:pPr>
        <w:widowControl w:val="0"/>
        <w:outlineLvl w:val="0"/>
        <w:rPr>
          <w:lang w:val="fr-FR"/>
        </w:rPr>
      </w:pPr>
      <w:r w:rsidRPr="00743A34">
        <w:rPr>
          <w:lang w:val="fr-FR"/>
        </w:rPr>
        <w:t xml:space="preserve">Supreme Court of Canada / Cour suprême du Canada : </w:t>
      </w:r>
    </w:p>
    <w:p w:rsidR="002E4682" w:rsidRPr="00743A34" w:rsidRDefault="00743A34" w:rsidP="002E4682">
      <w:pPr>
        <w:widowControl w:val="0"/>
        <w:outlineLvl w:val="0"/>
        <w:rPr>
          <w:color w:val="0000FF"/>
          <w:u w:val="single"/>
          <w:lang w:val="fr-FR"/>
        </w:rPr>
      </w:pPr>
      <w:hyperlink r:id="rId15" w:history="1">
        <w:r w:rsidR="002E4682" w:rsidRPr="00743A34">
          <w:rPr>
            <w:rStyle w:val="Hyperlink"/>
            <w:lang w:val="fr-FR"/>
          </w:rPr>
          <w:t>comments-commentaires@scc-csc.ca</w:t>
        </w:r>
      </w:hyperlink>
    </w:p>
    <w:p w:rsidR="002E4682" w:rsidRPr="00743A34" w:rsidRDefault="002E4682" w:rsidP="002E4682">
      <w:pPr>
        <w:widowControl w:val="0"/>
        <w:outlineLvl w:val="0"/>
        <w:rPr>
          <w:lang w:val="fr-FR"/>
        </w:rPr>
      </w:pPr>
      <w:r w:rsidRPr="00743A34">
        <w:rPr>
          <w:lang w:val="fr-FR"/>
        </w:rPr>
        <w:t>(613) 995-4330</w:t>
      </w:r>
    </w:p>
    <w:p w:rsidR="002E4682" w:rsidRPr="00743A34" w:rsidRDefault="002E4682" w:rsidP="002E4682">
      <w:pPr>
        <w:widowControl w:val="0"/>
        <w:rPr>
          <w:sz w:val="20"/>
          <w:lang w:val="fr-FR"/>
        </w:rPr>
      </w:pPr>
    </w:p>
    <w:p w:rsidR="002E4682" w:rsidRPr="00743A34" w:rsidRDefault="002E4682" w:rsidP="002E4682">
      <w:pPr>
        <w:widowControl w:val="0"/>
        <w:rPr>
          <w:sz w:val="20"/>
          <w:lang w:val="fr-FR"/>
        </w:rPr>
      </w:pPr>
    </w:p>
    <w:p w:rsidR="002E4682" w:rsidRPr="0057289B" w:rsidRDefault="002E4682" w:rsidP="002E4682">
      <w:pPr>
        <w:pStyle w:val="Footer"/>
        <w:jc w:val="center"/>
      </w:pPr>
      <w:r w:rsidRPr="00743A34">
        <w:t>- 30 -</w:t>
      </w:r>
    </w:p>
    <w:p w:rsidR="002E4682" w:rsidRPr="0057289B" w:rsidRDefault="002E4682" w:rsidP="002E4682">
      <w:pPr>
        <w:pStyle w:val="Footer"/>
        <w:jc w:val="center"/>
      </w:pPr>
    </w:p>
    <w:sectPr w:rsidR="002E4682" w:rsidRPr="0057289B"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2" w:rsidRDefault="00641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2" w:rsidRDefault="0064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2" w:rsidRDefault="00641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2" w:rsidRDefault="00641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2" w:rsidRDefault="0064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7"/>
  </w:num>
  <w:num w:numId="6">
    <w:abstractNumId w:val="12"/>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5"/>
  </w:num>
  <w:num w:numId="13">
    <w:abstractNumId w:val="5"/>
  </w:num>
  <w:num w:numId="14">
    <w:abstractNumId w:val="3"/>
  </w:num>
  <w:num w:numId="15">
    <w:abstractNumId w:val="16"/>
  </w:num>
  <w:num w:numId="16">
    <w:abstractNumId w:val="8"/>
  </w:num>
  <w:num w:numId="17">
    <w:abstractNumId w:val="18"/>
  </w:num>
  <w:num w:numId="18">
    <w:abstractNumId w:val="9"/>
  </w:num>
  <w:num w:numId="19">
    <w:abstractNumId w:val="0"/>
  </w:num>
  <w:num w:numId="20">
    <w:abstractNumId w:val="1"/>
  </w:num>
  <w:num w:numId="21">
    <w:abstractNumId w:val="14"/>
  </w:num>
  <w:num w:numId="22">
    <w:abstractNumId w:val="2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DBB"/>
    <w:rsid w:val="00093AC1"/>
    <w:rsid w:val="00095627"/>
    <w:rsid w:val="000A0444"/>
    <w:rsid w:val="000A1461"/>
    <w:rsid w:val="000A245A"/>
    <w:rsid w:val="000A3622"/>
    <w:rsid w:val="000A4311"/>
    <w:rsid w:val="000A50F9"/>
    <w:rsid w:val="000A5484"/>
    <w:rsid w:val="000A5A04"/>
    <w:rsid w:val="000B01CD"/>
    <w:rsid w:val="000B0C32"/>
    <w:rsid w:val="000B163F"/>
    <w:rsid w:val="000B1B04"/>
    <w:rsid w:val="000B7258"/>
    <w:rsid w:val="000C014A"/>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68F5"/>
    <w:rsid w:val="00107219"/>
    <w:rsid w:val="00111D39"/>
    <w:rsid w:val="0011236E"/>
    <w:rsid w:val="00112997"/>
    <w:rsid w:val="00117AF3"/>
    <w:rsid w:val="0012101A"/>
    <w:rsid w:val="00121952"/>
    <w:rsid w:val="00123976"/>
    <w:rsid w:val="00124DEC"/>
    <w:rsid w:val="00127484"/>
    <w:rsid w:val="00132635"/>
    <w:rsid w:val="00132E67"/>
    <w:rsid w:val="001354E7"/>
    <w:rsid w:val="00137563"/>
    <w:rsid w:val="00141200"/>
    <w:rsid w:val="0014243F"/>
    <w:rsid w:val="00142C72"/>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35B0"/>
    <w:rsid w:val="001A4547"/>
    <w:rsid w:val="001A485B"/>
    <w:rsid w:val="001A48FB"/>
    <w:rsid w:val="001A562F"/>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076B"/>
    <w:rsid w:val="00300891"/>
    <w:rsid w:val="003012A2"/>
    <w:rsid w:val="00301A43"/>
    <w:rsid w:val="00304091"/>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12D2"/>
    <w:rsid w:val="006442C8"/>
    <w:rsid w:val="006445A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3A34"/>
    <w:rsid w:val="00744F24"/>
    <w:rsid w:val="007479FD"/>
    <w:rsid w:val="00747C5A"/>
    <w:rsid w:val="00751DE7"/>
    <w:rsid w:val="00755055"/>
    <w:rsid w:val="007626D3"/>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6193"/>
    <w:rsid w:val="007D6B1C"/>
    <w:rsid w:val="007D70C6"/>
    <w:rsid w:val="007E5C9C"/>
    <w:rsid w:val="007E6196"/>
    <w:rsid w:val="007E6535"/>
    <w:rsid w:val="007E6FE2"/>
    <w:rsid w:val="007E70BF"/>
    <w:rsid w:val="007E735A"/>
    <w:rsid w:val="007F0F01"/>
    <w:rsid w:val="007F22ED"/>
    <w:rsid w:val="007F4473"/>
    <w:rsid w:val="007F4F42"/>
    <w:rsid w:val="00800913"/>
    <w:rsid w:val="00800DF8"/>
    <w:rsid w:val="008010EA"/>
    <w:rsid w:val="00801F8E"/>
    <w:rsid w:val="008021FD"/>
    <w:rsid w:val="00802692"/>
    <w:rsid w:val="008036BE"/>
    <w:rsid w:val="00804E4B"/>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834"/>
    <w:rsid w:val="008C7CD9"/>
    <w:rsid w:val="008D3B18"/>
    <w:rsid w:val="008D428B"/>
    <w:rsid w:val="008D68D4"/>
    <w:rsid w:val="008D7908"/>
    <w:rsid w:val="008D7F59"/>
    <w:rsid w:val="008E10A7"/>
    <w:rsid w:val="008E30CD"/>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41BC"/>
    <w:rsid w:val="00AC5AEC"/>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5915"/>
    <w:rsid w:val="00C86AE1"/>
    <w:rsid w:val="00C935F6"/>
    <w:rsid w:val="00C9530B"/>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0DB"/>
    <w:rsid w:val="00CF732A"/>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507B"/>
    <w:rsid w:val="00D7557F"/>
    <w:rsid w:val="00D75BC9"/>
    <w:rsid w:val="00D75EE3"/>
    <w:rsid w:val="00D76168"/>
    <w:rsid w:val="00D77160"/>
    <w:rsid w:val="00D80E99"/>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3ED3"/>
    <w:rsid w:val="00F857B4"/>
    <w:rsid w:val="00F86B26"/>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707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14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194"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cc-csc.lexum.com/scc-csc/news/fr/item/5365/index.d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c-csc.lexum.com/scc-csc/news/en/item/5365/index.do" TargetMode="External"/><Relationship Id="rId14" Type="http://schemas.openxmlformats.org/officeDocument/2006/relationships/hyperlink" Target="http://www.scc-csc.ca/case-dossier/info/sum-som-fra.aspx?cas=370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2016-11-16T14:04:00Z</dcterms:created>
  <dcterms:modified xsi:type="dcterms:W3CDTF">2016-11-17T13:11:00Z</dcterms:modified>
</cp:coreProperties>
</file>