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13401" w:rsidRDefault="003F43E6" w:rsidP="00122CE1">
      <w:pPr>
        <w:pStyle w:val="Header"/>
        <w:tabs>
          <w:tab w:val="left" w:pos="1620"/>
          <w:tab w:val="left" w:pos="1710"/>
        </w:tabs>
        <w:jc w:val="center"/>
        <w:rPr>
          <w:b/>
          <w:sz w:val="32"/>
        </w:rPr>
      </w:pPr>
      <w:r w:rsidRPr="00813401">
        <w:rPr>
          <w:b/>
          <w:sz w:val="32"/>
        </w:rPr>
        <w:t>Supreme Court of Canada / Cour suprême du Canada</w:t>
      </w:r>
    </w:p>
    <w:p w:rsidR="003F43E6" w:rsidRPr="00813401" w:rsidRDefault="003F43E6" w:rsidP="006F2579">
      <w:pPr>
        <w:widowControl w:val="0"/>
        <w:rPr>
          <w:i/>
        </w:rPr>
      </w:pPr>
    </w:p>
    <w:p w:rsidR="006F2579" w:rsidRPr="00813401" w:rsidRDefault="006F2579" w:rsidP="006F2579">
      <w:pPr>
        <w:widowControl w:val="0"/>
        <w:rPr>
          <w:i/>
        </w:rPr>
      </w:pPr>
      <w:r w:rsidRPr="00813401">
        <w:rPr>
          <w:i/>
        </w:rPr>
        <w:t>(le français suit)</w:t>
      </w:r>
    </w:p>
    <w:p w:rsidR="006F2579" w:rsidRPr="00813401" w:rsidRDefault="006F2579" w:rsidP="006F2579">
      <w:pPr>
        <w:widowControl w:val="0"/>
      </w:pPr>
    </w:p>
    <w:p w:rsidR="006F2579" w:rsidRPr="00813401" w:rsidRDefault="00B07908" w:rsidP="006F2579">
      <w:pPr>
        <w:widowControl w:val="0"/>
        <w:jc w:val="center"/>
        <w:rPr>
          <w:b/>
        </w:rPr>
      </w:pPr>
      <w:r w:rsidRPr="00813401">
        <w:fldChar w:fldCharType="begin"/>
      </w:r>
      <w:r w:rsidR="006F2579" w:rsidRPr="00813401">
        <w:instrText xml:space="preserve"> SEQ CHAPTER \h \r 1</w:instrText>
      </w:r>
      <w:r w:rsidRPr="00813401">
        <w:fldChar w:fldCharType="end"/>
      </w:r>
      <w:r w:rsidR="006F2579" w:rsidRPr="00813401">
        <w:rPr>
          <w:b/>
        </w:rPr>
        <w:t>JUDGMENT</w:t>
      </w:r>
      <w:r w:rsidR="00B17AAC" w:rsidRPr="00813401">
        <w:rPr>
          <w:b/>
        </w:rPr>
        <w:t>S</w:t>
      </w:r>
      <w:r w:rsidR="006F2579" w:rsidRPr="00813401">
        <w:rPr>
          <w:b/>
        </w:rPr>
        <w:t xml:space="preserve"> TO B</w:t>
      </w:r>
      <w:r w:rsidR="00001846" w:rsidRPr="00813401">
        <w:rPr>
          <w:b/>
        </w:rPr>
        <w:t>E RENDERED IN LEAVE APPLICATION</w:t>
      </w:r>
      <w:r w:rsidR="00AE4C09" w:rsidRPr="00813401">
        <w:rPr>
          <w:b/>
        </w:rPr>
        <w:t>S</w:t>
      </w:r>
    </w:p>
    <w:p w:rsidR="006F2579" w:rsidRPr="00813401" w:rsidRDefault="006F2579" w:rsidP="006F2579">
      <w:pPr>
        <w:widowControl w:val="0"/>
      </w:pPr>
    </w:p>
    <w:p w:rsidR="006F2579" w:rsidRPr="00813401" w:rsidRDefault="00E57188" w:rsidP="006F2579">
      <w:pPr>
        <w:widowControl w:val="0"/>
        <w:rPr>
          <w:b/>
        </w:rPr>
      </w:pPr>
      <w:r w:rsidRPr="00813401">
        <w:rPr>
          <w:b/>
        </w:rPr>
        <w:t>February</w:t>
      </w:r>
      <w:r w:rsidR="00FD37D0" w:rsidRPr="00813401">
        <w:rPr>
          <w:b/>
        </w:rPr>
        <w:t xml:space="preserve"> </w:t>
      </w:r>
      <w:r w:rsidRPr="00813401">
        <w:rPr>
          <w:b/>
        </w:rPr>
        <w:t>6</w:t>
      </w:r>
      <w:r w:rsidR="00AB5538" w:rsidRPr="00813401">
        <w:rPr>
          <w:b/>
        </w:rPr>
        <w:t>,</w:t>
      </w:r>
      <w:r w:rsidR="006F2579" w:rsidRPr="00813401">
        <w:rPr>
          <w:b/>
        </w:rPr>
        <w:t xml:space="preserve"> </w:t>
      </w:r>
      <w:r w:rsidR="0054689F" w:rsidRPr="00813401">
        <w:rPr>
          <w:b/>
        </w:rPr>
        <w:t>201</w:t>
      </w:r>
      <w:r w:rsidR="00A151D1" w:rsidRPr="00813401">
        <w:rPr>
          <w:b/>
        </w:rPr>
        <w:t>7</w:t>
      </w:r>
    </w:p>
    <w:p w:rsidR="006F2579" w:rsidRPr="00813401" w:rsidRDefault="006F2579" w:rsidP="006F2579">
      <w:pPr>
        <w:widowControl w:val="0"/>
        <w:rPr>
          <w:b/>
        </w:rPr>
      </w:pPr>
      <w:r w:rsidRPr="00813401">
        <w:rPr>
          <w:b/>
        </w:rPr>
        <w:t>For immediate release</w:t>
      </w:r>
    </w:p>
    <w:p w:rsidR="006F2579" w:rsidRPr="00813401" w:rsidRDefault="006F2579" w:rsidP="006F2579">
      <w:pPr>
        <w:widowControl w:val="0"/>
      </w:pPr>
    </w:p>
    <w:p w:rsidR="006F2579" w:rsidRPr="00813401" w:rsidRDefault="006F2579" w:rsidP="006F2579">
      <w:pPr>
        <w:widowControl w:val="0"/>
      </w:pPr>
      <w:r w:rsidRPr="00813401">
        <w:rPr>
          <w:b/>
        </w:rPr>
        <w:t>OTTAWA</w:t>
      </w:r>
      <w:r w:rsidRPr="00813401">
        <w:t xml:space="preserve"> – The Supreme Court of Canada announced today that judgment in the following application</w:t>
      </w:r>
      <w:r w:rsidR="008600ED" w:rsidRPr="00813401">
        <w:t>s</w:t>
      </w:r>
      <w:r w:rsidRPr="00813401">
        <w:t xml:space="preserve"> for leave to appeal will be delivered at 9:45 a.m. E</w:t>
      </w:r>
      <w:r w:rsidR="00A64A9B" w:rsidRPr="00813401">
        <w:t>S</w:t>
      </w:r>
      <w:r w:rsidRPr="00813401">
        <w:t xml:space="preserve">T on Thursday, </w:t>
      </w:r>
      <w:r w:rsidR="00D27C28" w:rsidRPr="00813401">
        <w:t>February</w:t>
      </w:r>
      <w:r w:rsidR="00FD37D0" w:rsidRPr="00813401">
        <w:t xml:space="preserve"> </w:t>
      </w:r>
      <w:r w:rsidR="00E57188" w:rsidRPr="00813401">
        <w:t>9</w:t>
      </w:r>
      <w:r w:rsidR="007E112F" w:rsidRPr="00813401">
        <w:t>,</w:t>
      </w:r>
      <w:r w:rsidR="002F38D7" w:rsidRPr="00813401">
        <w:t xml:space="preserve"> </w:t>
      </w:r>
      <w:r w:rsidR="006648D1" w:rsidRPr="00813401">
        <w:t>201</w:t>
      </w:r>
      <w:r w:rsidR="00A151D1" w:rsidRPr="00813401">
        <w:t>7</w:t>
      </w:r>
      <w:r w:rsidRPr="00813401">
        <w:t>. This list is subject to change.</w:t>
      </w:r>
    </w:p>
    <w:p w:rsidR="00FF5AA4" w:rsidRPr="00813401" w:rsidRDefault="00FF5AA4" w:rsidP="006F2579">
      <w:pPr>
        <w:widowControl w:val="0"/>
      </w:pPr>
    </w:p>
    <w:p w:rsidR="00B43418" w:rsidRPr="00813401" w:rsidRDefault="00B43418" w:rsidP="006F2579">
      <w:pPr>
        <w:widowControl w:val="0"/>
      </w:pPr>
    </w:p>
    <w:p w:rsidR="006F2579" w:rsidRPr="00813401" w:rsidRDefault="006F2579" w:rsidP="006F2579">
      <w:pPr>
        <w:widowControl w:val="0"/>
        <w:jc w:val="center"/>
        <w:rPr>
          <w:lang w:val="fr-CA"/>
        </w:rPr>
      </w:pPr>
      <w:r w:rsidRPr="00813401">
        <w:rPr>
          <w:b/>
          <w:lang w:val="fr-CA"/>
        </w:rPr>
        <w:t>PROCHAIN</w:t>
      </w:r>
      <w:r w:rsidR="00B17AAC" w:rsidRPr="00813401">
        <w:rPr>
          <w:b/>
          <w:lang w:val="fr-CA"/>
        </w:rPr>
        <w:t>S</w:t>
      </w:r>
      <w:r w:rsidRPr="00813401">
        <w:rPr>
          <w:b/>
          <w:lang w:val="fr-CA"/>
        </w:rPr>
        <w:t xml:space="preserve"> JUGEMENT</w:t>
      </w:r>
      <w:r w:rsidR="00B17AAC" w:rsidRPr="00813401">
        <w:rPr>
          <w:b/>
          <w:lang w:val="fr-CA"/>
        </w:rPr>
        <w:t>S</w:t>
      </w:r>
      <w:r w:rsidR="00001846" w:rsidRPr="00813401">
        <w:rPr>
          <w:b/>
          <w:lang w:val="fr-CA"/>
        </w:rPr>
        <w:t xml:space="preserve"> SUR DEMANDE</w:t>
      </w:r>
      <w:r w:rsidR="00B17AAC" w:rsidRPr="00813401">
        <w:rPr>
          <w:b/>
          <w:lang w:val="fr-CA"/>
        </w:rPr>
        <w:t>S</w:t>
      </w:r>
      <w:r w:rsidRPr="00813401">
        <w:rPr>
          <w:b/>
          <w:lang w:val="fr-CA"/>
        </w:rPr>
        <w:t xml:space="preserve"> D’AUTORISATION</w:t>
      </w:r>
    </w:p>
    <w:p w:rsidR="006F2579" w:rsidRPr="00813401" w:rsidRDefault="006F2579" w:rsidP="006F2579">
      <w:pPr>
        <w:widowControl w:val="0"/>
        <w:rPr>
          <w:lang w:val="fr-CA"/>
        </w:rPr>
      </w:pPr>
    </w:p>
    <w:p w:rsidR="006F2579" w:rsidRPr="00813401" w:rsidRDefault="006F2579" w:rsidP="006F2579">
      <w:pPr>
        <w:widowControl w:val="0"/>
        <w:rPr>
          <w:b/>
          <w:lang w:val="fr-CA"/>
        </w:rPr>
      </w:pPr>
      <w:r w:rsidRPr="00813401">
        <w:rPr>
          <w:b/>
          <w:lang w:val="fr-CA"/>
        </w:rPr>
        <w:t>Le</w:t>
      </w:r>
      <w:r w:rsidR="00957A76" w:rsidRPr="00813401">
        <w:rPr>
          <w:b/>
          <w:lang w:val="fr-CA"/>
        </w:rPr>
        <w:t xml:space="preserve"> </w:t>
      </w:r>
      <w:r w:rsidR="00E57188" w:rsidRPr="00813401">
        <w:rPr>
          <w:b/>
          <w:lang w:val="fr-CA"/>
        </w:rPr>
        <w:t>6</w:t>
      </w:r>
      <w:r w:rsidR="00FD37D0" w:rsidRPr="00813401">
        <w:rPr>
          <w:b/>
          <w:lang w:val="fr-CA"/>
        </w:rPr>
        <w:t xml:space="preserve"> </w:t>
      </w:r>
      <w:r w:rsidR="00E57188" w:rsidRPr="00813401">
        <w:rPr>
          <w:b/>
          <w:lang w:val="fr-CA"/>
        </w:rPr>
        <w:t>février</w:t>
      </w:r>
      <w:r w:rsidR="00A151D1" w:rsidRPr="00813401">
        <w:rPr>
          <w:b/>
          <w:lang w:val="fr-CA"/>
        </w:rPr>
        <w:t xml:space="preserve"> 2017</w:t>
      </w:r>
    </w:p>
    <w:p w:rsidR="006F2579" w:rsidRPr="00813401" w:rsidRDefault="006F2579" w:rsidP="006F2579">
      <w:pPr>
        <w:widowControl w:val="0"/>
        <w:rPr>
          <w:b/>
          <w:lang w:val="fr-CA"/>
        </w:rPr>
      </w:pPr>
      <w:r w:rsidRPr="00813401">
        <w:rPr>
          <w:b/>
          <w:lang w:val="fr-CA"/>
        </w:rPr>
        <w:t>Pour diffusion immédiate</w:t>
      </w:r>
    </w:p>
    <w:p w:rsidR="006F2579" w:rsidRPr="00813401" w:rsidRDefault="006F2579" w:rsidP="006F2579">
      <w:pPr>
        <w:widowControl w:val="0"/>
        <w:rPr>
          <w:b/>
          <w:lang w:val="fr-CA"/>
        </w:rPr>
      </w:pPr>
    </w:p>
    <w:p w:rsidR="006F2579" w:rsidRPr="00813401" w:rsidRDefault="006F2579" w:rsidP="006F2579">
      <w:pPr>
        <w:widowControl w:val="0"/>
        <w:rPr>
          <w:lang w:val="fr-CA"/>
        </w:rPr>
      </w:pPr>
      <w:r w:rsidRPr="00813401">
        <w:rPr>
          <w:b/>
          <w:lang w:val="fr-CA"/>
        </w:rPr>
        <w:t>OTTAWA</w:t>
      </w:r>
      <w:r w:rsidRPr="00813401">
        <w:rPr>
          <w:lang w:val="fr-CA"/>
        </w:rPr>
        <w:t xml:space="preserve"> – La Cour suprême du Canada annonce que jugement ser</w:t>
      </w:r>
      <w:r w:rsidR="004259F9" w:rsidRPr="00813401">
        <w:rPr>
          <w:lang w:val="fr-CA"/>
        </w:rPr>
        <w:t>a</w:t>
      </w:r>
      <w:r w:rsidRPr="00813401">
        <w:rPr>
          <w:lang w:val="fr-CA"/>
        </w:rPr>
        <w:t xml:space="preserve"> rendu dans l</w:t>
      </w:r>
      <w:r w:rsidR="008600ED" w:rsidRPr="00813401">
        <w:rPr>
          <w:lang w:val="fr-CA"/>
        </w:rPr>
        <w:t>es</w:t>
      </w:r>
      <w:r w:rsidRPr="00813401">
        <w:rPr>
          <w:lang w:val="fr-CA"/>
        </w:rPr>
        <w:t xml:space="preserve"> demande</w:t>
      </w:r>
      <w:r w:rsidR="008600ED" w:rsidRPr="00813401">
        <w:rPr>
          <w:lang w:val="fr-CA"/>
        </w:rPr>
        <w:t>s</w:t>
      </w:r>
      <w:r w:rsidRPr="00813401">
        <w:rPr>
          <w:lang w:val="fr-CA"/>
        </w:rPr>
        <w:t xml:space="preserve"> d</w:t>
      </w:r>
      <w:r w:rsidR="00001846" w:rsidRPr="00813401">
        <w:rPr>
          <w:lang w:val="fr-CA"/>
        </w:rPr>
        <w:t>’autorisation d’appel suivante</w:t>
      </w:r>
      <w:r w:rsidR="008600ED" w:rsidRPr="00813401">
        <w:rPr>
          <w:lang w:val="fr-CA"/>
        </w:rPr>
        <w:t>s</w:t>
      </w:r>
      <w:r w:rsidRPr="00813401">
        <w:rPr>
          <w:lang w:val="fr-CA"/>
        </w:rPr>
        <w:t xml:space="preserve"> le jeudi </w:t>
      </w:r>
      <w:r w:rsidR="00E57188" w:rsidRPr="00813401">
        <w:rPr>
          <w:lang w:val="fr-CA"/>
        </w:rPr>
        <w:t>9</w:t>
      </w:r>
      <w:r w:rsidR="0025030E" w:rsidRPr="00813401">
        <w:rPr>
          <w:lang w:val="fr-CA"/>
        </w:rPr>
        <w:t xml:space="preserve"> </w:t>
      </w:r>
      <w:r w:rsidR="00D27C28" w:rsidRPr="00813401">
        <w:rPr>
          <w:lang w:val="fr-CA"/>
        </w:rPr>
        <w:t>février</w:t>
      </w:r>
      <w:r w:rsidR="00674329" w:rsidRPr="00813401">
        <w:rPr>
          <w:lang w:val="fr-CA"/>
        </w:rPr>
        <w:t xml:space="preserve"> </w:t>
      </w:r>
      <w:r w:rsidR="006648D1" w:rsidRPr="00813401">
        <w:rPr>
          <w:lang w:val="fr-CA"/>
        </w:rPr>
        <w:t>201</w:t>
      </w:r>
      <w:r w:rsidR="00A151D1" w:rsidRPr="00813401">
        <w:rPr>
          <w:lang w:val="fr-CA"/>
        </w:rPr>
        <w:t>7</w:t>
      </w:r>
      <w:r w:rsidRPr="00813401">
        <w:rPr>
          <w:lang w:val="fr-CA"/>
        </w:rPr>
        <w:t xml:space="preserve">, à 9 h 45 </w:t>
      </w:r>
      <w:r w:rsidR="000627A2" w:rsidRPr="00813401">
        <w:rPr>
          <w:lang w:val="fr-CA"/>
        </w:rPr>
        <w:t>H</w:t>
      </w:r>
      <w:r w:rsidR="00A64A9B" w:rsidRPr="00813401">
        <w:rPr>
          <w:lang w:val="fr-CA"/>
        </w:rPr>
        <w:t>N</w:t>
      </w:r>
      <w:r w:rsidRPr="00813401">
        <w:rPr>
          <w:lang w:val="fr-CA"/>
        </w:rPr>
        <w:t>E. Cette liste est sujette à modifications.</w:t>
      </w:r>
    </w:p>
    <w:p w:rsidR="0080556B" w:rsidRPr="00813401" w:rsidRDefault="0080556B" w:rsidP="009B14F4">
      <w:pPr>
        <w:widowControl w:val="0"/>
        <w:jc w:val="both"/>
        <w:rPr>
          <w:sz w:val="20"/>
          <w:lang w:val="fr-CA"/>
        </w:rPr>
      </w:pPr>
    </w:p>
    <w:p w:rsidR="001838E0" w:rsidRPr="00813401" w:rsidRDefault="003D353C" w:rsidP="009B14F4">
      <w:pPr>
        <w:widowControl w:val="0"/>
        <w:jc w:val="both"/>
        <w:rPr>
          <w:sz w:val="20"/>
          <w:lang w:val="fr-CA"/>
        </w:rPr>
      </w:pPr>
      <w:r w:rsidRPr="00813401">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F1A2A" w:rsidRPr="00813401" w:rsidRDefault="00BF1A2A" w:rsidP="00E167A2">
      <w:pPr>
        <w:ind w:left="360" w:hanging="360"/>
        <w:rPr>
          <w:sz w:val="20"/>
          <w:lang w:val="fr-CA" w:eastAsia="en-CA"/>
        </w:rPr>
      </w:pPr>
    </w:p>
    <w:p w:rsidR="00C7713E" w:rsidRPr="00813401" w:rsidRDefault="00C7713E" w:rsidP="00C7713E">
      <w:pPr>
        <w:pStyle w:val="ListParagraph"/>
        <w:numPr>
          <w:ilvl w:val="0"/>
          <w:numId w:val="2"/>
        </w:numPr>
        <w:ind w:left="360"/>
        <w:rPr>
          <w:rFonts w:eastAsiaTheme="minorEastAsia"/>
          <w:sz w:val="20"/>
          <w:lang w:val="en-CA" w:eastAsia="en-CA"/>
        </w:rPr>
      </w:pPr>
      <w:r w:rsidRPr="00813401">
        <w:rPr>
          <w:rFonts w:eastAsiaTheme="minorEastAsia"/>
          <w:i/>
          <w:sz w:val="20"/>
          <w:lang w:val="en-CA" w:eastAsia="en-CA"/>
        </w:rPr>
        <w:t xml:space="preserve">Jamie Gregory v. Her Majesty the Queen </w:t>
      </w:r>
      <w:r w:rsidRPr="00813401">
        <w:rPr>
          <w:rFonts w:eastAsiaTheme="minorEastAsia"/>
          <w:sz w:val="20"/>
          <w:lang w:val="en-CA" w:eastAsia="en-CA"/>
        </w:rPr>
        <w:t xml:space="preserve">(N.S.) (Criminal) (By Leave) </w:t>
      </w:r>
      <w:r w:rsidRPr="00813401">
        <w:rPr>
          <w:sz w:val="20"/>
        </w:rPr>
        <w:t>(</w:t>
      </w:r>
      <w:hyperlink r:id="rId8" w:history="1">
        <w:r w:rsidRPr="00813401">
          <w:rPr>
            <w:rStyle w:val="Hyperlink"/>
            <w:sz w:val="20"/>
          </w:rPr>
          <w:t>37170</w:t>
        </w:r>
      </w:hyperlink>
      <w:r w:rsidRPr="00813401">
        <w:rPr>
          <w:sz w:val="20"/>
        </w:rPr>
        <w:t>)</w:t>
      </w:r>
    </w:p>
    <w:p w:rsidR="00C7713E" w:rsidRPr="00813401" w:rsidRDefault="00C7713E" w:rsidP="00C7713E">
      <w:pPr>
        <w:ind w:left="360" w:hanging="360"/>
        <w:rPr>
          <w:rFonts w:eastAsiaTheme="minorEastAsia"/>
          <w:sz w:val="20"/>
          <w:lang w:val="en-CA" w:eastAsia="en-CA"/>
        </w:rPr>
      </w:pPr>
    </w:p>
    <w:p w:rsidR="00C7713E" w:rsidRPr="00813401" w:rsidRDefault="00C7713E" w:rsidP="00C7713E">
      <w:pPr>
        <w:pStyle w:val="ListParagraph"/>
        <w:numPr>
          <w:ilvl w:val="0"/>
          <w:numId w:val="2"/>
        </w:numPr>
        <w:ind w:left="360"/>
        <w:rPr>
          <w:sz w:val="20"/>
          <w:lang w:val="en-CA"/>
        </w:rPr>
      </w:pPr>
      <w:r w:rsidRPr="00813401">
        <w:rPr>
          <w:rFonts w:eastAsiaTheme="minorEastAsia"/>
          <w:i/>
          <w:sz w:val="20"/>
          <w:lang w:val="en-CA" w:eastAsia="en-CA"/>
        </w:rPr>
        <w:t xml:space="preserve">Hüseyin Arslan et al. v. Sekerbank T.A.S. </w:t>
      </w:r>
      <w:r w:rsidRPr="00813401">
        <w:rPr>
          <w:sz w:val="20"/>
          <w:lang w:val="en-CA"/>
        </w:rPr>
        <w:t>(Sask.) (Civ</w:t>
      </w:r>
      <w:r w:rsidR="00CC6CE2" w:rsidRPr="00813401">
        <w:rPr>
          <w:sz w:val="20"/>
          <w:lang w:val="en-CA"/>
        </w:rPr>
        <w:t>il</w:t>
      </w:r>
      <w:r w:rsidRPr="00813401">
        <w:rPr>
          <w:sz w:val="20"/>
          <w:lang w:val="en-CA"/>
        </w:rPr>
        <w:t>) (By Leave)</w:t>
      </w:r>
      <w:r w:rsidR="00CC6CE2" w:rsidRPr="00813401">
        <w:rPr>
          <w:sz w:val="20"/>
          <w:lang w:val="en-CA"/>
        </w:rPr>
        <w:t xml:space="preserve"> </w:t>
      </w:r>
      <w:r w:rsidR="00CC6CE2" w:rsidRPr="00813401">
        <w:rPr>
          <w:sz w:val="20"/>
        </w:rPr>
        <w:t>(</w:t>
      </w:r>
      <w:hyperlink r:id="rId9" w:history="1">
        <w:r w:rsidR="00CC6CE2" w:rsidRPr="00813401">
          <w:rPr>
            <w:rStyle w:val="Hyperlink"/>
            <w:sz w:val="20"/>
          </w:rPr>
          <w:t>37196</w:t>
        </w:r>
      </w:hyperlink>
      <w:r w:rsidR="00CC6CE2" w:rsidRPr="00813401">
        <w:rPr>
          <w:sz w:val="20"/>
        </w:rPr>
        <w:t>)</w:t>
      </w:r>
    </w:p>
    <w:p w:rsidR="00C7713E" w:rsidRPr="00813401" w:rsidRDefault="00C7713E" w:rsidP="00C7713E">
      <w:pPr>
        <w:ind w:left="360" w:hanging="360"/>
        <w:rPr>
          <w:sz w:val="20"/>
          <w:lang w:val="en-CA"/>
        </w:rPr>
      </w:pPr>
    </w:p>
    <w:p w:rsidR="00C7713E" w:rsidRPr="00813401" w:rsidRDefault="00C7713E" w:rsidP="00C7713E">
      <w:pPr>
        <w:pStyle w:val="ListParagraph"/>
        <w:numPr>
          <w:ilvl w:val="0"/>
          <w:numId w:val="2"/>
        </w:numPr>
        <w:ind w:left="360"/>
        <w:rPr>
          <w:sz w:val="20"/>
          <w:lang w:val="en-CA"/>
        </w:rPr>
      </w:pPr>
      <w:r w:rsidRPr="00813401">
        <w:rPr>
          <w:rFonts w:eastAsiaTheme="minorEastAsia"/>
          <w:i/>
          <w:sz w:val="20"/>
          <w:lang w:val="en-CA" w:eastAsia="en-CA"/>
        </w:rPr>
        <w:t>Elizabeth Bernard v. Canada Revenue Agency et al.</w:t>
      </w:r>
      <w:r w:rsidRPr="00813401">
        <w:rPr>
          <w:i/>
          <w:sz w:val="20"/>
          <w:lang w:val="en-CA"/>
        </w:rPr>
        <w:t xml:space="preserve"> </w:t>
      </w:r>
      <w:r w:rsidRPr="00813401">
        <w:rPr>
          <w:sz w:val="20"/>
          <w:lang w:val="en-CA"/>
        </w:rPr>
        <w:t>(F</w:t>
      </w:r>
      <w:r w:rsidR="009D4E10" w:rsidRPr="00813401">
        <w:rPr>
          <w:sz w:val="20"/>
          <w:lang w:val="en-CA"/>
        </w:rPr>
        <w:t>.</w:t>
      </w:r>
      <w:r w:rsidRPr="00813401">
        <w:rPr>
          <w:sz w:val="20"/>
          <w:lang w:val="en-CA"/>
        </w:rPr>
        <w:t>C</w:t>
      </w:r>
      <w:r w:rsidR="009D4E10" w:rsidRPr="00813401">
        <w:rPr>
          <w:sz w:val="20"/>
          <w:lang w:val="en-CA"/>
        </w:rPr>
        <w:t>.</w:t>
      </w:r>
      <w:r w:rsidRPr="00813401">
        <w:rPr>
          <w:sz w:val="20"/>
          <w:lang w:val="en-CA"/>
        </w:rPr>
        <w:t>) (Civil) (By Leave)</w:t>
      </w:r>
      <w:r w:rsidR="009D4E10" w:rsidRPr="00813401">
        <w:rPr>
          <w:sz w:val="20"/>
        </w:rPr>
        <w:t xml:space="preserve"> (</w:t>
      </w:r>
      <w:hyperlink r:id="rId10" w:history="1">
        <w:r w:rsidR="009D4E10" w:rsidRPr="00813401">
          <w:rPr>
            <w:rStyle w:val="Hyperlink"/>
            <w:sz w:val="20"/>
          </w:rPr>
          <w:t>36834</w:t>
        </w:r>
      </w:hyperlink>
      <w:r w:rsidR="009D4E10" w:rsidRPr="00813401">
        <w:rPr>
          <w:sz w:val="20"/>
        </w:rPr>
        <w:t>)</w:t>
      </w:r>
    </w:p>
    <w:p w:rsidR="00C7713E" w:rsidRPr="00813401" w:rsidRDefault="00C7713E" w:rsidP="00C7713E">
      <w:pPr>
        <w:ind w:left="360" w:hanging="360"/>
        <w:rPr>
          <w:sz w:val="20"/>
          <w:lang w:val="en-CA"/>
        </w:rPr>
      </w:pPr>
    </w:p>
    <w:p w:rsidR="00C7713E" w:rsidRPr="00813401" w:rsidRDefault="00C7713E" w:rsidP="00C7713E">
      <w:pPr>
        <w:pStyle w:val="ListParagraph"/>
        <w:numPr>
          <w:ilvl w:val="0"/>
          <w:numId w:val="2"/>
        </w:numPr>
        <w:ind w:left="360"/>
        <w:rPr>
          <w:rFonts w:eastAsiaTheme="minorEastAsia"/>
          <w:sz w:val="20"/>
          <w:lang w:val="en-CA" w:eastAsia="en-CA"/>
        </w:rPr>
      </w:pPr>
      <w:r w:rsidRPr="00813401">
        <w:rPr>
          <w:rFonts w:eastAsiaTheme="minorEastAsia"/>
          <w:i/>
          <w:sz w:val="20"/>
          <w:lang w:val="en-CA" w:eastAsia="en-CA"/>
        </w:rPr>
        <w:t xml:space="preserve">Arthur Elgasuani v. Corporation of the Municipality of Port Hope </w:t>
      </w:r>
      <w:r w:rsidRPr="00813401">
        <w:rPr>
          <w:rFonts w:eastAsiaTheme="minorEastAsia"/>
          <w:sz w:val="20"/>
          <w:lang w:val="en-CA" w:eastAsia="en-CA"/>
        </w:rPr>
        <w:t>(Ont.) (Civ</w:t>
      </w:r>
      <w:r w:rsidR="00FD3053" w:rsidRPr="00813401">
        <w:rPr>
          <w:rFonts w:eastAsiaTheme="minorEastAsia"/>
          <w:sz w:val="20"/>
          <w:lang w:val="en-CA" w:eastAsia="en-CA"/>
        </w:rPr>
        <w:t>il</w:t>
      </w:r>
      <w:r w:rsidRPr="00813401">
        <w:rPr>
          <w:rFonts w:eastAsiaTheme="minorEastAsia"/>
          <w:sz w:val="20"/>
          <w:lang w:val="en-CA" w:eastAsia="en-CA"/>
        </w:rPr>
        <w:t>) (By Leave)</w:t>
      </w:r>
      <w:r w:rsidR="00FD3053" w:rsidRPr="00813401">
        <w:rPr>
          <w:rFonts w:eastAsiaTheme="minorEastAsia"/>
          <w:sz w:val="20"/>
          <w:lang w:val="en-CA" w:eastAsia="en-CA"/>
        </w:rPr>
        <w:t xml:space="preserve"> </w:t>
      </w:r>
      <w:r w:rsidR="00FD3053" w:rsidRPr="00813401">
        <w:rPr>
          <w:sz w:val="20"/>
        </w:rPr>
        <w:t>(</w:t>
      </w:r>
      <w:hyperlink r:id="rId11" w:history="1">
        <w:r w:rsidR="00FD3053" w:rsidRPr="00813401">
          <w:rPr>
            <w:rStyle w:val="Hyperlink"/>
            <w:sz w:val="20"/>
          </w:rPr>
          <w:t>37262</w:t>
        </w:r>
      </w:hyperlink>
      <w:r w:rsidR="00FD3053" w:rsidRPr="00813401">
        <w:rPr>
          <w:sz w:val="20"/>
        </w:rPr>
        <w:t>)</w:t>
      </w:r>
    </w:p>
    <w:p w:rsidR="00C7713E" w:rsidRPr="00813401" w:rsidRDefault="00C7713E" w:rsidP="00C7713E">
      <w:pPr>
        <w:ind w:left="360" w:hanging="360"/>
        <w:rPr>
          <w:sz w:val="20"/>
          <w:lang w:val="en-CA"/>
        </w:rPr>
      </w:pPr>
    </w:p>
    <w:p w:rsidR="00C7713E" w:rsidRPr="00813401" w:rsidRDefault="00C7713E" w:rsidP="00C7713E">
      <w:pPr>
        <w:pStyle w:val="ListParagraph"/>
        <w:numPr>
          <w:ilvl w:val="0"/>
          <w:numId w:val="2"/>
        </w:numPr>
        <w:tabs>
          <w:tab w:val="left" w:pos="720"/>
        </w:tabs>
        <w:ind w:left="360"/>
        <w:rPr>
          <w:sz w:val="20"/>
        </w:rPr>
      </w:pPr>
      <w:r w:rsidRPr="00813401">
        <w:rPr>
          <w:rFonts w:eastAsiaTheme="minorEastAsia"/>
          <w:i/>
          <w:sz w:val="20"/>
          <w:lang w:val="en-CA" w:eastAsia="en-CA"/>
        </w:rPr>
        <w:t xml:space="preserve">Leo Kai Yen Wong v. Grant Mitchell Law Corporation et al. </w:t>
      </w:r>
      <w:r w:rsidRPr="00813401">
        <w:rPr>
          <w:rFonts w:eastAsiaTheme="minorEastAsia"/>
          <w:sz w:val="20"/>
          <w:lang w:val="en-CA" w:eastAsia="en-CA"/>
        </w:rPr>
        <w:t>(Man.) (Civ</w:t>
      </w:r>
      <w:r w:rsidR="00FD3053" w:rsidRPr="00813401">
        <w:rPr>
          <w:rFonts w:eastAsiaTheme="minorEastAsia"/>
          <w:sz w:val="20"/>
          <w:lang w:val="en-CA" w:eastAsia="en-CA"/>
        </w:rPr>
        <w:t>il</w:t>
      </w:r>
      <w:r w:rsidRPr="00813401">
        <w:rPr>
          <w:rFonts w:eastAsiaTheme="minorEastAsia"/>
          <w:sz w:val="20"/>
          <w:lang w:val="en-CA" w:eastAsia="en-CA"/>
        </w:rPr>
        <w:t>) (By Leave)</w:t>
      </w:r>
      <w:r w:rsidR="00FD3053" w:rsidRPr="00813401">
        <w:rPr>
          <w:rFonts w:eastAsiaTheme="minorEastAsia"/>
          <w:sz w:val="20"/>
          <w:lang w:val="en-CA" w:eastAsia="en-CA"/>
        </w:rPr>
        <w:t xml:space="preserve"> </w:t>
      </w:r>
      <w:r w:rsidR="00FD3053" w:rsidRPr="00813401">
        <w:rPr>
          <w:sz w:val="20"/>
        </w:rPr>
        <w:t>(</w:t>
      </w:r>
      <w:hyperlink r:id="rId12" w:history="1">
        <w:r w:rsidR="00FD3053" w:rsidRPr="00813401">
          <w:rPr>
            <w:rStyle w:val="Hyperlink"/>
            <w:sz w:val="20"/>
          </w:rPr>
          <w:t>37227</w:t>
        </w:r>
      </w:hyperlink>
      <w:r w:rsidR="00FD3053" w:rsidRPr="00813401">
        <w:rPr>
          <w:sz w:val="20"/>
        </w:rPr>
        <w:t>)</w:t>
      </w:r>
    </w:p>
    <w:p w:rsidR="00C7713E" w:rsidRPr="00813401" w:rsidRDefault="00C7713E" w:rsidP="00C7713E">
      <w:pPr>
        <w:ind w:left="360" w:hanging="360"/>
        <w:rPr>
          <w:sz w:val="20"/>
          <w:lang w:val="en-CA"/>
        </w:rPr>
      </w:pPr>
    </w:p>
    <w:p w:rsidR="00C7713E" w:rsidRPr="00813401" w:rsidRDefault="00C7713E" w:rsidP="00C7713E">
      <w:pPr>
        <w:pStyle w:val="ListParagraph"/>
        <w:numPr>
          <w:ilvl w:val="0"/>
          <w:numId w:val="2"/>
        </w:numPr>
        <w:ind w:left="360"/>
        <w:rPr>
          <w:sz w:val="20"/>
          <w:lang w:val="en-CA"/>
        </w:rPr>
      </w:pPr>
      <w:r w:rsidRPr="00813401">
        <w:rPr>
          <w:rFonts w:eastAsiaTheme="minorEastAsia"/>
          <w:i/>
          <w:sz w:val="20"/>
          <w:lang w:val="en-CA" w:eastAsia="en-CA"/>
        </w:rPr>
        <w:t xml:space="preserve">Krista Lena Borgfjord, an infant by her litigation guardian, John Borgfjord v. Mildred Eileen Boizard and Earl F. Boizard et al. </w:t>
      </w:r>
      <w:r w:rsidRPr="00813401">
        <w:rPr>
          <w:rFonts w:eastAsiaTheme="minorEastAsia"/>
          <w:sz w:val="20"/>
          <w:lang w:val="en-CA" w:eastAsia="en-CA"/>
        </w:rPr>
        <w:t>(B.C.) (Civ</w:t>
      </w:r>
      <w:r w:rsidR="00EB370F" w:rsidRPr="00813401">
        <w:rPr>
          <w:rFonts w:eastAsiaTheme="minorEastAsia"/>
          <w:sz w:val="20"/>
          <w:lang w:val="en-CA" w:eastAsia="en-CA"/>
        </w:rPr>
        <w:t>il</w:t>
      </w:r>
      <w:r w:rsidRPr="00813401">
        <w:rPr>
          <w:rFonts w:eastAsiaTheme="minorEastAsia"/>
          <w:sz w:val="20"/>
          <w:lang w:val="en-CA" w:eastAsia="en-CA"/>
        </w:rPr>
        <w:t>) (By Leave)</w:t>
      </w:r>
      <w:r w:rsidR="003C2377" w:rsidRPr="00813401">
        <w:rPr>
          <w:rFonts w:eastAsiaTheme="minorEastAsia"/>
          <w:sz w:val="20"/>
          <w:lang w:val="en-CA" w:eastAsia="en-CA"/>
        </w:rPr>
        <w:t xml:space="preserve"> </w:t>
      </w:r>
      <w:r w:rsidR="003C2377" w:rsidRPr="00813401">
        <w:rPr>
          <w:sz w:val="20"/>
        </w:rPr>
        <w:t>(</w:t>
      </w:r>
      <w:hyperlink r:id="rId13" w:history="1">
        <w:r w:rsidR="003C2377" w:rsidRPr="00813401">
          <w:rPr>
            <w:rStyle w:val="Hyperlink"/>
            <w:sz w:val="20"/>
          </w:rPr>
          <w:t>37210</w:t>
        </w:r>
      </w:hyperlink>
      <w:r w:rsidR="003C2377" w:rsidRPr="00813401">
        <w:rPr>
          <w:sz w:val="20"/>
        </w:rPr>
        <w:t>)</w:t>
      </w:r>
    </w:p>
    <w:p w:rsidR="00C7713E" w:rsidRPr="00813401" w:rsidRDefault="00C7713E" w:rsidP="00C7713E">
      <w:pPr>
        <w:ind w:left="360" w:hanging="360"/>
        <w:rPr>
          <w:sz w:val="20"/>
          <w:lang w:val="en-CA"/>
        </w:rPr>
      </w:pPr>
    </w:p>
    <w:p w:rsidR="00C7713E" w:rsidRPr="00813401" w:rsidRDefault="00C7713E" w:rsidP="00C7713E">
      <w:pPr>
        <w:pStyle w:val="ListParagraph"/>
        <w:numPr>
          <w:ilvl w:val="0"/>
          <w:numId w:val="2"/>
        </w:numPr>
        <w:ind w:left="360"/>
        <w:rPr>
          <w:rFonts w:eastAsiaTheme="minorEastAsia"/>
          <w:sz w:val="20"/>
          <w:lang w:val="en-CA" w:eastAsia="en-CA"/>
        </w:rPr>
      </w:pPr>
      <w:r w:rsidRPr="00813401">
        <w:rPr>
          <w:rFonts w:eastAsiaTheme="minorEastAsia"/>
          <w:i/>
          <w:sz w:val="20"/>
          <w:lang w:val="en-CA" w:eastAsia="en-CA"/>
        </w:rPr>
        <w:t xml:space="preserve">Allstate Insurance Company of Canada v. Intact Insurance Company </w:t>
      </w:r>
      <w:r w:rsidRPr="00813401">
        <w:rPr>
          <w:rFonts w:eastAsiaTheme="minorEastAsia"/>
          <w:sz w:val="20"/>
          <w:lang w:val="en-CA" w:eastAsia="en-CA"/>
        </w:rPr>
        <w:t>(Ont.) (Civ</w:t>
      </w:r>
      <w:r w:rsidR="00EB370F" w:rsidRPr="00813401">
        <w:rPr>
          <w:rFonts w:eastAsiaTheme="minorEastAsia"/>
          <w:sz w:val="20"/>
          <w:lang w:val="en-CA" w:eastAsia="en-CA"/>
        </w:rPr>
        <w:t>il</w:t>
      </w:r>
      <w:r w:rsidR="008D35E2" w:rsidRPr="00813401">
        <w:rPr>
          <w:rFonts w:eastAsiaTheme="minorEastAsia"/>
          <w:sz w:val="20"/>
          <w:lang w:val="en-CA" w:eastAsia="en-CA"/>
        </w:rPr>
        <w:t xml:space="preserve">) (By Leave) </w:t>
      </w:r>
      <w:r w:rsidR="008D35E2" w:rsidRPr="00813401">
        <w:rPr>
          <w:sz w:val="20"/>
        </w:rPr>
        <w:t>(</w:t>
      </w:r>
      <w:hyperlink r:id="rId14" w:history="1">
        <w:r w:rsidR="008D35E2" w:rsidRPr="00813401">
          <w:rPr>
            <w:rStyle w:val="Hyperlink"/>
            <w:sz w:val="20"/>
          </w:rPr>
          <w:t>37206</w:t>
        </w:r>
      </w:hyperlink>
      <w:r w:rsidR="008D35E2" w:rsidRPr="00813401">
        <w:rPr>
          <w:sz w:val="20"/>
        </w:rPr>
        <w:t>)</w:t>
      </w:r>
    </w:p>
    <w:p w:rsidR="00C7713E" w:rsidRPr="00813401" w:rsidRDefault="00C7713E" w:rsidP="00C7713E">
      <w:pPr>
        <w:ind w:left="360" w:hanging="360"/>
        <w:rPr>
          <w:sz w:val="20"/>
          <w:lang w:val="en-CA"/>
        </w:rPr>
      </w:pPr>
    </w:p>
    <w:p w:rsidR="00C7713E" w:rsidRPr="00813401" w:rsidRDefault="00C7713E" w:rsidP="00C7713E">
      <w:pPr>
        <w:pStyle w:val="ListParagraph"/>
        <w:numPr>
          <w:ilvl w:val="0"/>
          <w:numId w:val="2"/>
        </w:numPr>
        <w:ind w:left="360"/>
        <w:rPr>
          <w:sz w:val="20"/>
          <w:lang w:val="en-CA"/>
        </w:rPr>
      </w:pPr>
      <w:r w:rsidRPr="00813401">
        <w:rPr>
          <w:i/>
          <w:sz w:val="20"/>
        </w:rPr>
        <w:t xml:space="preserve">Jason Donald Nassr v. Laurie Ann Vermette </w:t>
      </w:r>
      <w:r w:rsidRPr="00813401">
        <w:rPr>
          <w:sz w:val="20"/>
        </w:rPr>
        <w:t xml:space="preserve">(Ont.) </w:t>
      </w:r>
      <w:r w:rsidRPr="00813401">
        <w:rPr>
          <w:sz w:val="20"/>
          <w:lang w:val="en-CA"/>
        </w:rPr>
        <w:t>(Civ</w:t>
      </w:r>
      <w:r w:rsidR="00EB370F" w:rsidRPr="00813401">
        <w:rPr>
          <w:sz w:val="20"/>
          <w:lang w:val="en-CA"/>
        </w:rPr>
        <w:t>il</w:t>
      </w:r>
      <w:r w:rsidR="00EA0177" w:rsidRPr="00813401">
        <w:rPr>
          <w:sz w:val="20"/>
          <w:lang w:val="en-CA"/>
        </w:rPr>
        <w:t xml:space="preserve">) (By Leave) </w:t>
      </w:r>
      <w:r w:rsidR="00EA0177" w:rsidRPr="00813401">
        <w:rPr>
          <w:sz w:val="20"/>
        </w:rPr>
        <w:t>(</w:t>
      </w:r>
      <w:hyperlink r:id="rId15" w:history="1">
        <w:r w:rsidR="00EA0177" w:rsidRPr="00813401">
          <w:rPr>
            <w:rStyle w:val="Hyperlink"/>
            <w:sz w:val="20"/>
          </w:rPr>
          <w:t>37308</w:t>
        </w:r>
      </w:hyperlink>
      <w:r w:rsidR="00EA0177" w:rsidRPr="00813401">
        <w:rPr>
          <w:sz w:val="20"/>
        </w:rPr>
        <w:t>)</w:t>
      </w:r>
    </w:p>
    <w:p w:rsidR="00C7713E" w:rsidRPr="00813401" w:rsidRDefault="00C7713E" w:rsidP="00C7713E">
      <w:pPr>
        <w:ind w:left="360" w:hanging="360"/>
        <w:rPr>
          <w:sz w:val="20"/>
          <w:lang w:val="en-CA"/>
        </w:rPr>
      </w:pPr>
    </w:p>
    <w:p w:rsidR="00C7713E" w:rsidRPr="00813401" w:rsidRDefault="00C7713E" w:rsidP="00C7713E">
      <w:pPr>
        <w:pStyle w:val="ListParagraph"/>
        <w:numPr>
          <w:ilvl w:val="0"/>
          <w:numId w:val="2"/>
        </w:numPr>
        <w:ind w:left="360"/>
        <w:rPr>
          <w:sz w:val="20"/>
          <w:lang w:val="en-CA"/>
        </w:rPr>
      </w:pPr>
      <w:r w:rsidRPr="00813401">
        <w:rPr>
          <w:i/>
          <w:sz w:val="20"/>
          <w:lang w:val="fr-CA"/>
        </w:rPr>
        <w:t xml:space="preserve">Jason Donald Nassr v. Laurie Ann Vermette </w:t>
      </w:r>
      <w:r w:rsidRPr="00813401">
        <w:rPr>
          <w:sz w:val="20"/>
          <w:lang w:val="fr-CA"/>
        </w:rPr>
        <w:t xml:space="preserve">(Ont.) </w:t>
      </w:r>
      <w:r w:rsidRPr="00813401">
        <w:rPr>
          <w:sz w:val="20"/>
          <w:lang w:val="en-CA"/>
        </w:rPr>
        <w:t>(Civ</w:t>
      </w:r>
      <w:r w:rsidR="00EB370F" w:rsidRPr="00813401">
        <w:rPr>
          <w:sz w:val="20"/>
          <w:lang w:val="en-CA"/>
        </w:rPr>
        <w:t>il</w:t>
      </w:r>
      <w:r w:rsidRPr="00813401">
        <w:rPr>
          <w:sz w:val="20"/>
          <w:lang w:val="en-CA"/>
        </w:rPr>
        <w:t>) (By Leave)</w:t>
      </w:r>
      <w:r w:rsidR="00EA0177" w:rsidRPr="00813401">
        <w:rPr>
          <w:sz w:val="20"/>
          <w:lang w:val="en-CA"/>
        </w:rPr>
        <w:t xml:space="preserve"> </w:t>
      </w:r>
      <w:r w:rsidR="00EA0177" w:rsidRPr="00813401">
        <w:rPr>
          <w:sz w:val="20"/>
        </w:rPr>
        <w:t>(</w:t>
      </w:r>
      <w:hyperlink r:id="rId16" w:history="1">
        <w:r w:rsidR="00EA0177" w:rsidRPr="00813401">
          <w:rPr>
            <w:rStyle w:val="Hyperlink"/>
            <w:sz w:val="20"/>
          </w:rPr>
          <w:t>37232</w:t>
        </w:r>
      </w:hyperlink>
      <w:r w:rsidR="00EA0177" w:rsidRPr="00813401">
        <w:rPr>
          <w:sz w:val="20"/>
        </w:rPr>
        <w:t>)</w:t>
      </w:r>
    </w:p>
    <w:p w:rsidR="00C7713E" w:rsidRPr="00813401" w:rsidRDefault="00C7713E" w:rsidP="00C7713E">
      <w:pPr>
        <w:ind w:left="360" w:hanging="360"/>
        <w:rPr>
          <w:sz w:val="20"/>
          <w:lang w:val="en-CA"/>
        </w:rPr>
      </w:pPr>
    </w:p>
    <w:p w:rsidR="00C7713E" w:rsidRPr="00813401" w:rsidRDefault="00C7713E" w:rsidP="00C7713E">
      <w:pPr>
        <w:pStyle w:val="ListParagraph"/>
        <w:numPr>
          <w:ilvl w:val="0"/>
          <w:numId w:val="2"/>
        </w:numPr>
        <w:ind w:left="360"/>
        <w:rPr>
          <w:sz w:val="20"/>
          <w:lang w:val="en-CA"/>
        </w:rPr>
      </w:pPr>
      <w:r w:rsidRPr="00813401">
        <w:rPr>
          <w:i/>
          <w:sz w:val="20"/>
          <w:lang w:val="en-CA"/>
        </w:rPr>
        <w:t xml:space="preserve">Erik Reid v. Her Majesty the Queen </w:t>
      </w:r>
      <w:r w:rsidRPr="00813401">
        <w:rPr>
          <w:sz w:val="20"/>
          <w:lang w:val="en-CA"/>
        </w:rPr>
        <w:t>(Ont.) (Crim</w:t>
      </w:r>
      <w:r w:rsidR="00EB370F" w:rsidRPr="00813401">
        <w:rPr>
          <w:sz w:val="20"/>
          <w:lang w:val="en-CA"/>
        </w:rPr>
        <w:t>inal</w:t>
      </w:r>
      <w:r w:rsidRPr="00813401">
        <w:rPr>
          <w:sz w:val="20"/>
          <w:lang w:val="en-CA"/>
        </w:rPr>
        <w:t>) (By Leave)</w:t>
      </w:r>
      <w:r w:rsidR="00006057" w:rsidRPr="00813401">
        <w:rPr>
          <w:sz w:val="20"/>
          <w:lang w:val="en-CA"/>
        </w:rPr>
        <w:t xml:space="preserve"> </w:t>
      </w:r>
      <w:r w:rsidR="00006057" w:rsidRPr="00813401">
        <w:rPr>
          <w:sz w:val="20"/>
        </w:rPr>
        <w:t>(</w:t>
      </w:r>
      <w:hyperlink r:id="rId17" w:history="1">
        <w:r w:rsidR="00006057" w:rsidRPr="00813401">
          <w:rPr>
            <w:rStyle w:val="Hyperlink"/>
            <w:sz w:val="20"/>
          </w:rPr>
          <w:t>37214</w:t>
        </w:r>
      </w:hyperlink>
      <w:r w:rsidR="00006057" w:rsidRPr="00813401">
        <w:rPr>
          <w:sz w:val="20"/>
        </w:rPr>
        <w:t>)</w:t>
      </w:r>
    </w:p>
    <w:p w:rsidR="00C7713E" w:rsidRPr="00813401" w:rsidRDefault="00C7713E" w:rsidP="00C7713E">
      <w:pPr>
        <w:ind w:left="360" w:hanging="360"/>
        <w:rPr>
          <w:sz w:val="20"/>
          <w:lang w:val="en-CA"/>
        </w:rPr>
      </w:pPr>
    </w:p>
    <w:p w:rsidR="00C7713E" w:rsidRPr="00813401" w:rsidRDefault="00C7713E" w:rsidP="00C7713E">
      <w:pPr>
        <w:pStyle w:val="ListParagraph"/>
        <w:numPr>
          <w:ilvl w:val="0"/>
          <w:numId w:val="2"/>
        </w:numPr>
        <w:ind w:left="360"/>
        <w:rPr>
          <w:sz w:val="20"/>
          <w:lang w:val="en-CA"/>
        </w:rPr>
      </w:pPr>
      <w:r w:rsidRPr="00813401">
        <w:rPr>
          <w:i/>
          <w:sz w:val="20"/>
          <w:lang w:val="en-CA"/>
        </w:rPr>
        <w:t xml:space="preserve">Raincoast Conservation Foundation v. Her Majesty the Queen et al. </w:t>
      </w:r>
      <w:r w:rsidRPr="00813401">
        <w:rPr>
          <w:sz w:val="20"/>
          <w:lang w:val="en-CA"/>
        </w:rPr>
        <w:t>(F</w:t>
      </w:r>
      <w:r w:rsidR="00EB370F" w:rsidRPr="00813401">
        <w:rPr>
          <w:sz w:val="20"/>
          <w:lang w:val="en-CA"/>
        </w:rPr>
        <w:t>.</w:t>
      </w:r>
      <w:r w:rsidRPr="00813401">
        <w:rPr>
          <w:sz w:val="20"/>
          <w:lang w:val="en-CA"/>
        </w:rPr>
        <w:t>C</w:t>
      </w:r>
      <w:r w:rsidR="00EB370F" w:rsidRPr="00813401">
        <w:rPr>
          <w:sz w:val="20"/>
          <w:lang w:val="en-CA"/>
        </w:rPr>
        <w:t>.</w:t>
      </w:r>
      <w:r w:rsidRPr="00813401">
        <w:rPr>
          <w:sz w:val="20"/>
          <w:lang w:val="en-CA"/>
        </w:rPr>
        <w:t>) (Civil) (By Leave)</w:t>
      </w:r>
      <w:r w:rsidR="00006057" w:rsidRPr="00813401">
        <w:rPr>
          <w:sz w:val="20"/>
          <w:lang w:val="en-CA"/>
        </w:rPr>
        <w:t xml:space="preserve"> </w:t>
      </w:r>
      <w:r w:rsidR="00006057" w:rsidRPr="00813401">
        <w:rPr>
          <w:sz w:val="20"/>
        </w:rPr>
        <w:t>(</w:t>
      </w:r>
      <w:hyperlink r:id="rId18" w:history="1">
        <w:r w:rsidR="00006057" w:rsidRPr="00813401">
          <w:rPr>
            <w:rStyle w:val="Hyperlink"/>
            <w:sz w:val="20"/>
          </w:rPr>
          <w:t>37201</w:t>
        </w:r>
      </w:hyperlink>
      <w:r w:rsidR="00006057" w:rsidRPr="00813401">
        <w:rPr>
          <w:sz w:val="20"/>
        </w:rPr>
        <w:t>)</w:t>
      </w:r>
    </w:p>
    <w:p w:rsidR="00C7713E" w:rsidRPr="00813401" w:rsidRDefault="00C7713E" w:rsidP="00C7713E">
      <w:pPr>
        <w:ind w:left="360" w:hanging="360"/>
        <w:rPr>
          <w:sz w:val="20"/>
          <w:lang w:val="en-CA"/>
        </w:rPr>
      </w:pPr>
    </w:p>
    <w:p w:rsidR="00C7713E" w:rsidRPr="00813401" w:rsidRDefault="00C7713E" w:rsidP="00C7713E">
      <w:pPr>
        <w:pStyle w:val="ListParagraph"/>
        <w:numPr>
          <w:ilvl w:val="0"/>
          <w:numId w:val="2"/>
        </w:numPr>
        <w:ind w:left="360"/>
        <w:rPr>
          <w:sz w:val="20"/>
          <w:lang w:val="en-CA"/>
        </w:rPr>
      </w:pPr>
      <w:r w:rsidRPr="00813401">
        <w:rPr>
          <w:i/>
          <w:sz w:val="20"/>
          <w:lang w:val="en-CA"/>
        </w:rPr>
        <w:t xml:space="preserve">Mark </w:t>
      </w:r>
      <w:r w:rsidR="00F85F4D" w:rsidRPr="00813401">
        <w:rPr>
          <w:i/>
          <w:sz w:val="20"/>
          <w:lang w:val="en-CA"/>
        </w:rPr>
        <w:t xml:space="preserve">Eldon </w:t>
      </w:r>
      <w:r w:rsidRPr="00813401">
        <w:rPr>
          <w:i/>
          <w:sz w:val="20"/>
          <w:lang w:val="en-CA"/>
        </w:rPr>
        <w:t xml:space="preserve">Wilson v. Minister of Justice et al. </w:t>
      </w:r>
      <w:r w:rsidRPr="00813401">
        <w:rPr>
          <w:sz w:val="20"/>
          <w:lang w:val="en-CA"/>
        </w:rPr>
        <w:t>(B.C.) (Crim</w:t>
      </w:r>
      <w:r w:rsidR="00EB370F" w:rsidRPr="00813401">
        <w:rPr>
          <w:sz w:val="20"/>
          <w:lang w:val="en-CA"/>
        </w:rPr>
        <w:t>inal</w:t>
      </w:r>
      <w:r w:rsidRPr="00813401">
        <w:rPr>
          <w:sz w:val="20"/>
          <w:lang w:val="en-CA"/>
        </w:rPr>
        <w:t>) (By Leave)</w:t>
      </w:r>
      <w:r w:rsidR="00F85F4D" w:rsidRPr="00813401">
        <w:rPr>
          <w:sz w:val="20"/>
          <w:lang w:val="en-CA"/>
        </w:rPr>
        <w:t xml:space="preserve"> </w:t>
      </w:r>
      <w:r w:rsidR="00F85F4D" w:rsidRPr="00813401">
        <w:rPr>
          <w:sz w:val="20"/>
        </w:rPr>
        <w:t>(</w:t>
      </w:r>
      <w:hyperlink r:id="rId19" w:history="1">
        <w:r w:rsidR="00F85F4D" w:rsidRPr="00813401">
          <w:rPr>
            <w:rStyle w:val="Hyperlink"/>
            <w:sz w:val="20"/>
          </w:rPr>
          <w:t>37107</w:t>
        </w:r>
      </w:hyperlink>
      <w:r w:rsidR="00F85F4D" w:rsidRPr="00813401">
        <w:rPr>
          <w:sz w:val="20"/>
        </w:rPr>
        <w:t>)</w:t>
      </w:r>
    </w:p>
    <w:p w:rsidR="00E57188" w:rsidRPr="00813401" w:rsidRDefault="00E57188" w:rsidP="00211174">
      <w:pPr>
        <w:ind w:left="360" w:hanging="360"/>
        <w:rPr>
          <w:sz w:val="20"/>
          <w:lang w:val="en-CA" w:eastAsia="en-CA"/>
        </w:rPr>
      </w:pPr>
    </w:p>
    <w:p w:rsidR="00975084" w:rsidRPr="00813401" w:rsidRDefault="00975084" w:rsidP="00AD651B">
      <w:pPr>
        <w:ind w:left="360" w:hanging="360"/>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rPr>
            </w:pPr>
            <w:r w:rsidRPr="00813401">
              <w:rPr>
                <w:rStyle w:val="SCCFileNumberChar"/>
                <w:sz w:val="20"/>
                <w:szCs w:val="20"/>
              </w:rPr>
              <w:lastRenderedPageBreak/>
              <w:t>37170</w:t>
            </w:r>
          </w:p>
        </w:tc>
        <w:tc>
          <w:tcPr>
            <w:tcW w:w="4457" w:type="pct"/>
            <w:gridSpan w:val="3"/>
          </w:tcPr>
          <w:p w:rsidR="00AD651B" w:rsidRPr="00813401" w:rsidRDefault="00AD651B" w:rsidP="00AD651B">
            <w:pPr>
              <w:pStyle w:val="SCCLsocParty"/>
              <w:jc w:val="both"/>
              <w:rPr>
                <w:b/>
                <w:sz w:val="20"/>
                <w:szCs w:val="20"/>
                <w:lang w:val="en-US"/>
              </w:rPr>
            </w:pPr>
            <w:r w:rsidRPr="00813401">
              <w:rPr>
                <w:b/>
                <w:sz w:val="20"/>
                <w:szCs w:val="20"/>
                <w:lang w:val="en-US"/>
              </w:rPr>
              <w:t>Jamie Gregory v. Her Majesty the Queen</w:t>
            </w:r>
          </w:p>
          <w:p w:rsidR="00AD651B" w:rsidRPr="00813401" w:rsidRDefault="00AD651B" w:rsidP="00AD651B">
            <w:pPr>
              <w:jc w:val="both"/>
              <w:rPr>
                <w:sz w:val="20"/>
              </w:rPr>
            </w:pPr>
            <w:r w:rsidRPr="00813401">
              <w:rPr>
                <w:sz w:val="20"/>
              </w:rPr>
              <w:t>(N.S.) (Criminal) (By Leave)</w:t>
            </w:r>
          </w:p>
        </w:tc>
      </w:tr>
      <w:tr w:rsidR="00AD651B" w:rsidRPr="00813401" w:rsidTr="00AD651B">
        <w:tc>
          <w:tcPr>
            <w:tcW w:w="5000" w:type="pct"/>
            <w:gridSpan w:val="4"/>
          </w:tcPr>
          <w:p w:rsidR="00AD651B" w:rsidRPr="00813401" w:rsidRDefault="00AD651B" w:rsidP="00AD651B">
            <w:pPr>
              <w:jc w:val="both"/>
              <w:rPr>
                <w:sz w:val="20"/>
              </w:rPr>
            </w:pPr>
            <w:r w:rsidRPr="00813401">
              <w:rPr>
                <w:sz w:val="20"/>
              </w:rPr>
              <w:t>Criminal Law – Appeal – Leave to Appeal – Whether applicant raises a legal issue – Whether issue is of public importance.</w:t>
            </w:r>
          </w:p>
        </w:tc>
      </w:tr>
      <w:tr w:rsidR="00AD651B" w:rsidRPr="00813401" w:rsidTr="00AD651B">
        <w:tc>
          <w:tcPr>
            <w:tcW w:w="5000" w:type="pct"/>
            <w:gridSpan w:val="4"/>
          </w:tcPr>
          <w:p w:rsidR="00AD651B" w:rsidRPr="00813401" w:rsidRDefault="00AD651B" w:rsidP="00AD651B">
            <w:pPr>
              <w:jc w:val="both"/>
              <w:rPr>
                <w:sz w:val="20"/>
              </w:rPr>
            </w:pPr>
          </w:p>
        </w:tc>
      </w:tr>
      <w:tr w:rsidR="00AD651B" w:rsidRPr="00813401" w:rsidTr="00AD651B">
        <w:tc>
          <w:tcPr>
            <w:tcW w:w="5000" w:type="pct"/>
            <w:gridSpan w:val="4"/>
          </w:tcPr>
          <w:p w:rsidR="00AD651B" w:rsidRPr="00813401" w:rsidRDefault="00AD651B" w:rsidP="00AD651B">
            <w:pPr>
              <w:jc w:val="both"/>
              <w:rPr>
                <w:sz w:val="20"/>
              </w:rPr>
            </w:pPr>
            <w:r w:rsidRPr="00813401">
              <w:rPr>
                <w:sz w:val="20"/>
              </w:rPr>
              <w:t xml:space="preserve">Mr. Gregory was convicted of second degree murder for killing a bartender at a Legion. He and the bartender argued when the bartender asked him to leave the premises. The bartender shoved Mr. Gregory off a stool. Mr. Gregory punched the bartender in the head, delivered further punches, and struck the bartender in the head three times with a fire extinguisher. At trial, defence counsel raised a defence of provocation. Neither defence counsel nor the trial judge addressed whether Mr. Gregory was incapable of forming the </w:t>
            </w:r>
            <w:proofErr w:type="spellStart"/>
            <w:r w:rsidRPr="00813401">
              <w:rPr>
                <w:i/>
                <w:sz w:val="20"/>
              </w:rPr>
              <w:t>mens</w:t>
            </w:r>
            <w:proofErr w:type="spellEnd"/>
            <w:r w:rsidRPr="00813401">
              <w:rPr>
                <w:i/>
                <w:sz w:val="20"/>
              </w:rPr>
              <w:t xml:space="preserve"> rea</w:t>
            </w:r>
            <w:r w:rsidRPr="00813401">
              <w:rPr>
                <w:sz w:val="20"/>
              </w:rPr>
              <w:t xml:space="preserve"> required to convict for murder because of intoxication.</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July 31, 2008</w:t>
            </w:r>
          </w:p>
          <w:p w:rsidR="00AD651B" w:rsidRPr="00813401" w:rsidRDefault="00AD651B" w:rsidP="00AD651B">
            <w:pPr>
              <w:jc w:val="both"/>
              <w:rPr>
                <w:sz w:val="20"/>
              </w:rPr>
            </w:pPr>
            <w:r w:rsidRPr="00813401">
              <w:rPr>
                <w:sz w:val="20"/>
              </w:rPr>
              <w:t>Supreme Court of Nova Scotia</w:t>
            </w:r>
          </w:p>
          <w:p w:rsidR="00AD651B" w:rsidRPr="00813401" w:rsidRDefault="00AD651B" w:rsidP="00AD651B">
            <w:pPr>
              <w:jc w:val="both"/>
              <w:rPr>
                <w:sz w:val="20"/>
              </w:rPr>
            </w:pPr>
            <w:r w:rsidRPr="00813401">
              <w:rPr>
                <w:sz w:val="20"/>
              </w:rPr>
              <w:t>Trial Division</w:t>
            </w:r>
          </w:p>
          <w:p w:rsidR="00AD651B" w:rsidRPr="00813401" w:rsidRDefault="00AD651B" w:rsidP="00AD651B">
            <w:pPr>
              <w:jc w:val="both"/>
              <w:rPr>
                <w:sz w:val="20"/>
              </w:rPr>
            </w:pPr>
            <w:r w:rsidRPr="00813401">
              <w:rPr>
                <w:sz w:val="20"/>
              </w:rPr>
              <w:t>(</w:t>
            </w:r>
            <w:proofErr w:type="spellStart"/>
            <w:r w:rsidRPr="00813401">
              <w:rPr>
                <w:sz w:val="20"/>
              </w:rPr>
              <w:t>Coady</w:t>
            </w:r>
            <w:proofErr w:type="spellEnd"/>
            <w:r w:rsidRPr="00813401">
              <w:rPr>
                <w:sz w:val="20"/>
              </w:rPr>
              <w:t xml:space="preserve"> J.)</w:t>
            </w:r>
          </w:p>
          <w:p w:rsidR="00AD651B" w:rsidRPr="00813401" w:rsidRDefault="00AD651B" w:rsidP="00AD651B">
            <w:pPr>
              <w:jc w:val="both"/>
              <w:rPr>
                <w:sz w:val="20"/>
              </w:rPr>
            </w:pPr>
            <w:hyperlink r:id="rId20" w:history="1">
              <w:r w:rsidRPr="00813401">
                <w:rPr>
                  <w:rStyle w:val="Hyperlink"/>
                  <w:sz w:val="20"/>
                </w:rPr>
                <w:t>2008 NSSC 239</w:t>
              </w:r>
            </w:hyperlink>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Conviction: second degree murder</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September 13, 2013</w:t>
            </w:r>
          </w:p>
          <w:p w:rsidR="00AD651B" w:rsidRPr="00813401" w:rsidRDefault="00AD651B" w:rsidP="00AD651B">
            <w:pPr>
              <w:jc w:val="both"/>
              <w:rPr>
                <w:sz w:val="20"/>
              </w:rPr>
            </w:pPr>
            <w:r w:rsidRPr="00813401">
              <w:rPr>
                <w:sz w:val="20"/>
              </w:rPr>
              <w:t>Nova Scotia Court of Appeal</w:t>
            </w:r>
          </w:p>
          <w:p w:rsidR="00AD651B" w:rsidRPr="00813401" w:rsidRDefault="00AD651B" w:rsidP="00AD651B">
            <w:pPr>
              <w:jc w:val="both"/>
              <w:rPr>
                <w:sz w:val="20"/>
              </w:rPr>
            </w:pPr>
            <w:r w:rsidRPr="00813401">
              <w:rPr>
                <w:sz w:val="20"/>
              </w:rPr>
              <w:t>(</w:t>
            </w:r>
            <w:proofErr w:type="spellStart"/>
            <w:r w:rsidRPr="00813401">
              <w:rPr>
                <w:sz w:val="20"/>
              </w:rPr>
              <w:t>Fichaud</w:t>
            </w:r>
            <w:proofErr w:type="spellEnd"/>
            <w:r w:rsidRPr="00813401">
              <w:rPr>
                <w:sz w:val="20"/>
              </w:rPr>
              <w:t>, Beveridge, Farrar JJ.A.)</w:t>
            </w:r>
          </w:p>
          <w:p w:rsidR="00AD651B" w:rsidRPr="00813401" w:rsidRDefault="00AD651B" w:rsidP="00AD651B">
            <w:pPr>
              <w:jc w:val="both"/>
              <w:rPr>
                <w:sz w:val="20"/>
              </w:rPr>
            </w:pPr>
            <w:r w:rsidRPr="00813401">
              <w:rPr>
                <w:sz w:val="20"/>
              </w:rPr>
              <w:t xml:space="preserve">CAC 300542; </w:t>
            </w:r>
            <w:hyperlink r:id="rId21" w:history="1">
              <w:r w:rsidRPr="00813401">
                <w:rPr>
                  <w:rStyle w:val="Hyperlink"/>
                  <w:sz w:val="20"/>
                </w:rPr>
                <w:t>2013 NSCA 102</w:t>
              </w:r>
            </w:hyperlink>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Appeal dismissed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August 18, 2016</w:t>
            </w:r>
          </w:p>
          <w:p w:rsidR="00AD651B" w:rsidRPr="00813401" w:rsidRDefault="00AD651B" w:rsidP="00AD651B">
            <w:pPr>
              <w:jc w:val="both"/>
              <w:rPr>
                <w:sz w:val="20"/>
              </w:rPr>
            </w:pPr>
            <w:r w:rsidRPr="00813401">
              <w:rPr>
                <w:sz w:val="20"/>
              </w:rPr>
              <w:t>Supreme Court of Canada</w:t>
            </w: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Application for extension of time to serve and file application for leave to appeal and Application for leave to appeal filed</w:t>
            </w:r>
          </w:p>
        </w:tc>
      </w:tr>
    </w:tbl>
    <w:p w:rsidR="00AD651B" w:rsidRPr="00813401" w:rsidRDefault="00AD651B" w:rsidP="00AD651B">
      <w:pPr>
        <w:jc w:val="both"/>
        <w:rPr>
          <w:sz w:val="20"/>
        </w:rPr>
      </w:pPr>
    </w:p>
    <w:p w:rsidR="00AD651B" w:rsidRPr="00813401" w:rsidRDefault="00AD651B" w:rsidP="00AD65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lang w:val="fr-CA"/>
              </w:rPr>
            </w:pPr>
            <w:r w:rsidRPr="00813401">
              <w:rPr>
                <w:rStyle w:val="SCCFileNumberChar"/>
                <w:sz w:val="20"/>
                <w:szCs w:val="20"/>
                <w:lang w:val="fr-CA"/>
              </w:rPr>
              <w:t>37170</w:t>
            </w:r>
          </w:p>
        </w:tc>
        <w:tc>
          <w:tcPr>
            <w:tcW w:w="4457" w:type="pct"/>
            <w:gridSpan w:val="3"/>
          </w:tcPr>
          <w:p w:rsidR="00AD651B" w:rsidRPr="00813401" w:rsidRDefault="00AD651B" w:rsidP="00AD651B">
            <w:pPr>
              <w:pStyle w:val="SCCLsocParty"/>
              <w:jc w:val="both"/>
              <w:rPr>
                <w:b/>
                <w:sz w:val="20"/>
                <w:szCs w:val="20"/>
              </w:rPr>
            </w:pPr>
            <w:r w:rsidRPr="00813401">
              <w:rPr>
                <w:b/>
                <w:sz w:val="20"/>
                <w:szCs w:val="20"/>
              </w:rPr>
              <w:t>Jamie Gregory c. Sa Majesté la Reine</w:t>
            </w:r>
          </w:p>
          <w:p w:rsidR="00AD651B" w:rsidRPr="00813401" w:rsidRDefault="00AD651B" w:rsidP="00AD651B">
            <w:pPr>
              <w:jc w:val="both"/>
              <w:rPr>
                <w:sz w:val="20"/>
                <w:lang w:val="fr-CA"/>
              </w:rPr>
            </w:pPr>
            <w:r w:rsidRPr="00813401">
              <w:rPr>
                <w:bCs/>
                <w:sz w:val="20"/>
                <w:lang w:val="fr-FR"/>
              </w:rPr>
              <w:t>(N.-É.) (Criminelle) (Sur autorisation)</w:t>
            </w:r>
            <w:r w:rsidRPr="00813401">
              <w:rPr>
                <w:sz w:val="20"/>
                <w:lang w:val="fr-CA"/>
              </w:rPr>
              <w:t xml:space="preserve"> </w:t>
            </w:r>
          </w:p>
        </w:tc>
      </w:tr>
      <w:tr w:rsidR="00AD651B" w:rsidRPr="00813401" w:rsidTr="00AD651B">
        <w:tc>
          <w:tcPr>
            <w:tcW w:w="5000" w:type="pct"/>
            <w:gridSpan w:val="4"/>
          </w:tcPr>
          <w:p w:rsidR="00AD651B" w:rsidRPr="00813401" w:rsidRDefault="00AD651B" w:rsidP="00AD651B">
            <w:pPr>
              <w:jc w:val="both"/>
              <w:rPr>
                <w:sz w:val="20"/>
                <w:lang w:val="fr-CA"/>
              </w:rPr>
            </w:pPr>
            <w:r w:rsidRPr="00813401">
              <w:rPr>
                <w:sz w:val="20"/>
                <w:lang w:val="fr-CA"/>
              </w:rPr>
              <w:t xml:space="preserve">Droit criminel – Appel – Autorisation d’appel – Le demandeur </w:t>
            </w:r>
            <w:proofErr w:type="spellStart"/>
            <w:r w:rsidRPr="00813401">
              <w:rPr>
                <w:sz w:val="20"/>
                <w:lang w:val="fr-CA"/>
              </w:rPr>
              <w:t>a-t-il</w:t>
            </w:r>
            <w:proofErr w:type="spellEnd"/>
            <w:r w:rsidRPr="00813401">
              <w:rPr>
                <w:sz w:val="20"/>
                <w:lang w:val="fr-CA"/>
              </w:rPr>
              <w:t xml:space="preserve"> soulevé une question de droit? – La question revêt-elle une importance pour le public?</w:t>
            </w:r>
          </w:p>
        </w:tc>
      </w:tr>
      <w:tr w:rsidR="00AD651B" w:rsidRPr="00813401" w:rsidTr="00AD651B">
        <w:tc>
          <w:tcPr>
            <w:tcW w:w="5000" w:type="pct"/>
            <w:gridSpan w:val="4"/>
          </w:tcPr>
          <w:p w:rsidR="00AD651B" w:rsidRPr="00813401" w:rsidRDefault="00AD651B" w:rsidP="00AD651B">
            <w:pPr>
              <w:jc w:val="both"/>
              <w:rPr>
                <w:sz w:val="20"/>
                <w:lang w:val="fr-CA"/>
              </w:rPr>
            </w:pPr>
          </w:p>
        </w:tc>
      </w:tr>
      <w:tr w:rsidR="00AD651B" w:rsidRPr="00813401" w:rsidTr="00AD651B">
        <w:tc>
          <w:tcPr>
            <w:tcW w:w="5000" w:type="pct"/>
            <w:gridSpan w:val="4"/>
          </w:tcPr>
          <w:p w:rsidR="00AD651B" w:rsidRPr="00813401" w:rsidRDefault="00AD651B" w:rsidP="00AD651B">
            <w:pPr>
              <w:jc w:val="both"/>
              <w:rPr>
                <w:sz w:val="20"/>
                <w:lang w:val="fr-CA"/>
              </w:rPr>
            </w:pPr>
            <w:r w:rsidRPr="00813401">
              <w:rPr>
                <w:sz w:val="20"/>
                <w:lang w:val="fr-CA"/>
              </w:rPr>
              <w:t xml:space="preserve">M. Gregory a été déclaré coupable du meurtre au second degré d’un barman de la Légion. Le barman lui avait demandé de quitter les lieux après qu’ils se furent disputés. Le barman a fait tomber M. Gregory de son tabouret. M. Gregory a donné un coup de poing au barman à la tête, lui a asséné d’autres coups, puis l’a frappé à la tête à trois reprises avec un extincteur. Au procès, l’avocat de la défense a invoqué la défense de provocation. Ni l’avocat de la défense ni le juge du procès n’ont abordé la question de savoir si M. Gregory était incapable d’avoir la </w:t>
            </w:r>
            <w:r w:rsidRPr="00813401">
              <w:rPr>
                <w:i/>
                <w:sz w:val="20"/>
                <w:lang w:val="fr-CA"/>
              </w:rPr>
              <w:t>mens </w:t>
            </w:r>
            <w:proofErr w:type="spellStart"/>
            <w:r w:rsidRPr="00813401">
              <w:rPr>
                <w:i/>
                <w:sz w:val="20"/>
                <w:lang w:val="fr-CA"/>
              </w:rPr>
              <w:t>rea</w:t>
            </w:r>
            <w:proofErr w:type="spellEnd"/>
            <w:r w:rsidRPr="00813401">
              <w:rPr>
                <w:sz w:val="20"/>
                <w:lang w:val="fr-CA"/>
              </w:rPr>
              <w:t xml:space="preserve"> requise pour pouvoir être condamné pour meurtre en raison de son intoxication.</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31 juillet 2008</w:t>
            </w:r>
          </w:p>
          <w:p w:rsidR="00AD651B" w:rsidRPr="00813401" w:rsidRDefault="00AD651B" w:rsidP="00AD651B">
            <w:pPr>
              <w:jc w:val="both"/>
              <w:rPr>
                <w:sz w:val="20"/>
                <w:lang w:val="fr-CA"/>
              </w:rPr>
            </w:pPr>
            <w:r w:rsidRPr="00813401">
              <w:rPr>
                <w:sz w:val="20"/>
                <w:lang w:val="fr-CA"/>
              </w:rPr>
              <w:t>Cour suprême de la Nouvelle-Écosse</w:t>
            </w:r>
          </w:p>
          <w:p w:rsidR="00AD651B" w:rsidRPr="00813401" w:rsidRDefault="00AD651B" w:rsidP="00AD651B">
            <w:pPr>
              <w:jc w:val="both"/>
              <w:rPr>
                <w:sz w:val="20"/>
                <w:lang w:val="fr-CA"/>
              </w:rPr>
            </w:pPr>
            <w:r w:rsidRPr="00813401">
              <w:rPr>
                <w:sz w:val="20"/>
                <w:lang w:val="fr-CA"/>
              </w:rPr>
              <w:t>Section de première instance</w:t>
            </w:r>
          </w:p>
          <w:p w:rsidR="00AD651B" w:rsidRPr="00813401" w:rsidRDefault="00AD651B" w:rsidP="00AD651B">
            <w:pPr>
              <w:jc w:val="both"/>
              <w:rPr>
                <w:sz w:val="20"/>
                <w:lang w:val="fr-CA"/>
              </w:rPr>
            </w:pPr>
            <w:r w:rsidRPr="00813401">
              <w:rPr>
                <w:sz w:val="20"/>
                <w:lang w:val="fr-CA"/>
              </w:rPr>
              <w:t xml:space="preserve">(juge </w:t>
            </w:r>
            <w:proofErr w:type="spellStart"/>
            <w:r w:rsidRPr="00813401">
              <w:rPr>
                <w:sz w:val="20"/>
                <w:lang w:val="fr-CA"/>
              </w:rPr>
              <w:t>Coady</w:t>
            </w:r>
            <w:proofErr w:type="spellEnd"/>
            <w:r w:rsidRPr="00813401">
              <w:rPr>
                <w:sz w:val="20"/>
                <w:lang w:val="fr-CA"/>
              </w:rPr>
              <w:t>)</w:t>
            </w:r>
          </w:p>
          <w:p w:rsidR="00AD651B" w:rsidRPr="00813401" w:rsidRDefault="00AD651B" w:rsidP="00AD651B">
            <w:pPr>
              <w:jc w:val="both"/>
              <w:rPr>
                <w:sz w:val="20"/>
                <w:lang w:val="fr-CA"/>
              </w:rPr>
            </w:pPr>
            <w:hyperlink r:id="rId22" w:history="1">
              <w:r w:rsidRPr="00813401">
                <w:rPr>
                  <w:rStyle w:val="Hyperlink"/>
                  <w:sz w:val="20"/>
                  <w:lang w:val="fr-CA"/>
                </w:rPr>
                <w:t>2008 NSSC 239</w:t>
              </w:r>
            </w:hyperlink>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Verdict : Coupable de meurtre au second degré</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13 septembre 2013</w:t>
            </w:r>
          </w:p>
          <w:p w:rsidR="00AD651B" w:rsidRPr="00813401" w:rsidRDefault="00AD651B" w:rsidP="00AD651B">
            <w:pPr>
              <w:jc w:val="both"/>
              <w:rPr>
                <w:sz w:val="20"/>
                <w:lang w:val="fr-CA"/>
              </w:rPr>
            </w:pPr>
            <w:r w:rsidRPr="00813401">
              <w:rPr>
                <w:sz w:val="20"/>
                <w:lang w:val="fr-CA"/>
              </w:rPr>
              <w:t>Cour d’appel de la Nouvelle-Écosse</w:t>
            </w:r>
          </w:p>
          <w:p w:rsidR="00AD651B" w:rsidRPr="00813401" w:rsidRDefault="00AD651B" w:rsidP="00AD651B">
            <w:pPr>
              <w:jc w:val="both"/>
              <w:rPr>
                <w:sz w:val="20"/>
                <w:lang w:val="fr-CA"/>
              </w:rPr>
            </w:pPr>
            <w:r w:rsidRPr="00813401">
              <w:rPr>
                <w:sz w:val="20"/>
                <w:lang w:val="fr-CA"/>
              </w:rPr>
              <w:t xml:space="preserve">(juges </w:t>
            </w:r>
            <w:proofErr w:type="spellStart"/>
            <w:r w:rsidRPr="00813401">
              <w:rPr>
                <w:sz w:val="20"/>
                <w:lang w:val="fr-CA"/>
              </w:rPr>
              <w:t>Fichaud</w:t>
            </w:r>
            <w:proofErr w:type="spellEnd"/>
            <w:r w:rsidRPr="00813401">
              <w:rPr>
                <w:sz w:val="20"/>
                <w:lang w:val="fr-CA"/>
              </w:rPr>
              <w:t xml:space="preserve">, Beveridge et </w:t>
            </w:r>
            <w:proofErr w:type="spellStart"/>
            <w:r w:rsidRPr="00813401">
              <w:rPr>
                <w:sz w:val="20"/>
                <w:lang w:val="fr-CA"/>
              </w:rPr>
              <w:t>Farrar</w:t>
            </w:r>
            <w:proofErr w:type="spellEnd"/>
            <w:r w:rsidRPr="00813401">
              <w:rPr>
                <w:sz w:val="20"/>
                <w:lang w:val="fr-CA"/>
              </w:rPr>
              <w:t>)</w:t>
            </w:r>
          </w:p>
          <w:p w:rsidR="00AD651B" w:rsidRPr="00813401" w:rsidRDefault="00AD651B" w:rsidP="00AD651B">
            <w:pPr>
              <w:jc w:val="both"/>
              <w:rPr>
                <w:sz w:val="20"/>
                <w:lang w:val="fr-CA"/>
              </w:rPr>
            </w:pPr>
            <w:r w:rsidRPr="00813401">
              <w:rPr>
                <w:sz w:val="20"/>
                <w:lang w:val="fr-CA"/>
              </w:rPr>
              <w:t xml:space="preserve">CAC 300542; </w:t>
            </w:r>
            <w:hyperlink r:id="rId23" w:history="1">
              <w:r w:rsidRPr="00813401">
                <w:rPr>
                  <w:rStyle w:val="Hyperlink"/>
                  <w:sz w:val="20"/>
                  <w:lang w:val="fr-CA"/>
                </w:rPr>
                <w:t>2013 NSCA 102</w:t>
              </w:r>
            </w:hyperlink>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Rejet de l’appel</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lastRenderedPageBreak/>
              <w:t>18 août 2016</w:t>
            </w:r>
          </w:p>
          <w:p w:rsidR="00AD651B" w:rsidRPr="00813401" w:rsidRDefault="00AD651B" w:rsidP="00AD651B">
            <w:pPr>
              <w:jc w:val="both"/>
              <w:rPr>
                <w:sz w:val="20"/>
                <w:lang w:val="fr-CA"/>
              </w:rPr>
            </w:pPr>
            <w:r w:rsidRPr="00813401">
              <w:rPr>
                <w:sz w:val="20"/>
                <w:lang w:val="fr-CA"/>
              </w:rPr>
              <w:t>Cour suprême du Canada</w:t>
            </w: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Dépôt de la demande de prorogation du délai de signification et de dépôt de la demande d’autorisation d’appel et dépôt de la demande d’autorisation d’appel</w:t>
            </w:r>
          </w:p>
        </w:tc>
      </w:tr>
    </w:tbl>
    <w:p w:rsidR="00AD651B" w:rsidRPr="00813401" w:rsidRDefault="00AD651B" w:rsidP="00AD651B">
      <w:pPr>
        <w:jc w:val="both"/>
        <w:rPr>
          <w:sz w:val="20"/>
          <w:lang w:val="fr-CA"/>
        </w:rPr>
      </w:pPr>
    </w:p>
    <w:p w:rsidR="00AD651B" w:rsidRPr="00813401" w:rsidRDefault="00AD651B" w:rsidP="00AD65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rPr>
            </w:pPr>
            <w:r w:rsidRPr="00813401">
              <w:rPr>
                <w:rStyle w:val="SCCFileNumberChar"/>
                <w:sz w:val="20"/>
                <w:szCs w:val="20"/>
              </w:rPr>
              <w:t>37196</w:t>
            </w:r>
          </w:p>
        </w:tc>
        <w:tc>
          <w:tcPr>
            <w:tcW w:w="4457" w:type="pct"/>
            <w:gridSpan w:val="3"/>
          </w:tcPr>
          <w:p w:rsidR="00AD651B" w:rsidRPr="00813401" w:rsidRDefault="00AD651B" w:rsidP="00AD651B">
            <w:pPr>
              <w:pStyle w:val="SCCLsocParty"/>
              <w:jc w:val="both"/>
              <w:rPr>
                <w:b/>
                <w:sz w:val="20"/>
                <w:szCs w:val="20"/>
                <w:lang w:val="en-US"/>
              </w:rPr>
            </w:pPr>
            <w:proofErr w:type="spellStart"/>
            <w:r w:rsidRPr="00813401">
              <w:rPr>
                <w:b/>
                <w:sz w:val="20"/>
                <w:szCs w:val="20"/>
                <w:lang w:val="en-US"/>
              </w:rPr>
              <w:t>Hüseyin</w:t>
            </w:r>
            <w:proofErr w:type="spellEnd"/>
            <w:r w:rsidRPr="00813401">
              <w:rPr>
                <w:b/>
                <w:sz w:val="20"/>
                <w:szCs w:val="20"/>
                <w:lang w:val="en-US"/>
              </w:rPr>
              <w:t xml:space="preserve"> </w:t>
            </w:r>
            <w:proofErr w:type="spellStart"/>
            <w:r w:rsidRPr="00813401">
              <w:rPr>
                <w:b/>
                <w:sz w:val="20"/>
                <w:szCs w:val="20"/>
                <w:lang w:val="en-US"/>
              </w:rPr>
              <w:t>Arslan</w:t>
            </w:r>
            <w:proofErr w:type="spellEnd"/>
            <w:r w:rsidRPr="00813401">
              <w:rPr>
                <w:b/>
                <w:sz w:val="20"/>
                <w:szCs w:val="20"/>
                <w:lang w:val="en-US"/>
              </w:rPr>
              <w:t xml:space="preserve"> and Murad Al-</w:t>
            </w:r>
            <w:proofErr w:type="spellStart"/>
            <w:r w:rsidRPr="00813401">
              <w:rPr>
                <w:b/>
                <w:sz w:val="20"/>
                <w:szCs w:val="20"/>
                <w:lang w:val="en-US"/>
              </w:rPr>
              <w:t>Katib</w:t>
            </w:r>
            <w:proofErr w:type="spellEnd"/>
            <w:r w:rsidRPr="00813401">
              <w:rPr>
                <w:b/>
                <w:sz w:val="20"/>
                <w:szCs w:val="20"/>
                <w:lang w:val="en-US"/>
              </w:rPr>
              <w:t xml:space="preserve"> v. </w:t>
            </w:r>
            <w:proofErr w:type="spellStart"/>
            <w:r w:rsidRPr="00813401">
              <w:rPr>
                <w:b/>
                <w:sz w:val="20"/>
                <w:szCs w:val="20"/>
                <w:lang w:val="en-US"/>
              </w:rPr>
              <w:t>Sekerbank</w:t>
            </w:r>
            <w:proofErr w:type="spellEnd"/>
            <w:r w:rsidRPr="00813401">
              <w:rPr>
                <w:b/>
                <w:sz w:val="20"/>
                <w:szCs w:val="20"/>
                <w:lang w:val="en-US"/>
              </w:rPr>
              <w:t xml:space="preserve"> T.A.S.</w:t>
            </w:r>
          </w:p>
          <w:p w:rsidR="00AD651B" w:rsidRPr="00813401" w:rsidRDefault="00AD651B" w:rsidP="00AD651B">
            <w:pPr>
              <w:jc w:val="both"/>
              <w:rPr>
                <w:sz w:val="20"/>
              </w:rPr>
            </w:pPr>
            <w:r w:rsidRPr="00813401">
              <w:rPr>
                <w:sz w:val="20"/>
              </w:rPr>
              <w:t>(Sask.) (Civil) (By Leave)</w:t>
            </w:r>
          </w:p>
        </w:tc>
      </w:tr>
      <w:tr w:rsidR="00AD651B" w:rsidRPr="00813401" w:rsidTr="00AD651B">
        <w:tc>
          <w:tcPr>
            <w:tcW w:w="5000" w:type="pct"/>
            <w:gridSpan w:val="4"/>
          </w:tcPr>
          <w:p w:rsidR="00AD651B" w:rsidRPr="00813401" w:rsidRDefault="00AD651B" w:rsidP="00AD651B">
            <w:pPr>
              <w:jc w:val="both"/>
              <w:rPr>
                <w:sz w:val="20"/>
              </w:rPr>
            </w:pPr>
            <w:r w:rsidRPr="00813401">
              <w:rPr>
                <w:sz w:val="20"/>
              </w:rPr>
              <w:t xml:space="preserve">Civil procedure – Consent orders – Issue estoppel – Whether consent orders are subject to issue estoppel without further analysis – </w:t>
            </w:r>
            <w:r w:rsidRPr="00813401">
              <w:rPr>
                <w:i/>
                <w:sz w:val="20"/>
              </w:rPr>
              <w:t>The Enforcement of Money Judgments Act</w:t>
            </w:r>
            <w:r w:rsidRPr="00813401">
              <w:rPr>
                <w:sz w:val="20"/>
              </w:rPr>
              <w:t>, S.S. 2010, c. E-9.22, ss. 5 and 8.</w:t>
            </w:r>
          </w:p>
        </w:tc>
      </w:tr>
      <w:tr w:rsidR="00AD651B" w:rsidRPr="00813401" w:rsidTr="00AD651B">
        <w:tc>
          <w:tcPr>
            <w:tcW w:w="5000" w:type="pct"/>
            <w:gridSpan w:val="4"/>
          </w:tcPr>
          <w:p w:rsidR="00AD651B" w:rsidRPr="00813401" w:rsidRDefault="00AD651B" w:rsidP="00AD651B">
            <w:pPr>
              <w:jc w:val="both"/>
              <w:rPr>
                <w:sz w:val="20"/>
              </w:rPr>
            </w:pPr>
          </w:p>
        </w:tc>
      </w:tr>
      <w:tr w:rsidR="00AD651B" w:rsidRPr="00813401" w:rsidTr="00AD651B">
        <w:tc>
          <w:tcPr>
            <w:tcW w:w="5000" w:type="pct"/>
            <w:gridSpan w:val="4"/>
          </w:tcPr>
          <w:p w:rsidR="00AD651B" w:rsidRPr="00813401" w:rsidRDefault="00AD651B" w:rsidP="00AD651B">
            <w:pPr>
              <w:jc w:val="both"/>
              <w:rPr>
                <w:sz w:val="20"/>
              </w:rPr>
            </w:pPr>
            <w:r w:rsidRPr="00813401">
              <w:rPr>
                <w:sz w:val="20"/>
              </w:rPr>
              <w:t xml:space="preserve">The Respondent, </w:t>
            </w:r>
            <w:proofErr w:type="spellStart"/>
            <w:r w:rsidRPr="00813401">
              <w:rPr>
                <w:sz w:val="20"/>
              </w:rPr>
              <w:t>Sekerbank</w:t>
            </w:r>
            <w:proofErr w:type="spellEnd"/>
            <w:r w:rsidRPr="00813401">
              <w:rPr>
                <w:sz w:val="20"/>
              </w:rPr>
              <w:t xml:space="preserve"> is a large national bank in Turkey and it alleges that the Applicant, Mr. </w:t>
            </w:r>
            <w:proofErr w:type="spellStart"/>
            <w:r w:rsidRPr="00813401">
              <w:rPr>
                <w:sz w:val="20"/>
              </w:rPr>
              <w:t>Arslan</w:t>
            </w:r>
            <w:proofErr w:type="spellEnd"/>
            <w:r w:rsidRPr="00813401">
              <w:rPr>
                <w:sz w:val="20"/>
              </w:rPr>
              <w:t xml:space="preserve"> defaulted on an obligation to pay to it approximately $13,813,544 pursuant to certain guarantees he has signed respecting the debts of certain Turkish companies which borrowed money from </w:t>
            </w:r>
            <w:proofErr w:type="spellStart"/>
            <w:r w:rsidRPr="00813401">
              <w:rPr>
                <w:sz w:val="20"/>
              </w:rPr>
              <w:t>Sekerbank</w:t>
            </w:r>
            <w:proofErr w:type="spellEnd"/>
            <w:r w:rsidRPr="00813401">
              <w:rPr>
                <w:sz w:val="20"/>
              </w:rPr>
              <w:t>. Mr. </w:t>
            </w:r>
            <w:proofErr w:type="spellStart"/>
            <w:r w:rsidRPr="00813401">
              <w:rPr>
                <w:sz w:val="20"/>
              </w:rPr>
              <w:t>Arslan</w:t>
            </w:r>
            <w:proofErr w:type="spellEnd"/>
            <w:r w:rsidRPr="00813401">
              <w:rPr>
                <w:sz w:val="20"/>
              </w:rPr>
              <w:t xml:space="preserve"> denies that the guarantees are binding and enforceable. </w:t>
            </w:r>
            <w:proofErr w:type="spellStart"/>
            <w:r w:rsidRPr="00813401">
              <w:rPr>
                <w:sz w:val="20"/>
              </w:rPr>
              <w:t>Sekerbank</w:t>
            </w:r>
            <w:proofErr w:type="spellEnd"/>
            <w:r w:rsidRPr="00813401">
              <w:rPr>
                <w:sz w:val="20"/>
              </w:rPr>
              <w:t xml:space="preserve"> has pursued various legal action in Turkey in an attempt to prove and enforce those guarantees. </w:t>
            </w:r>
          </w:p>
          <w:p w:rsidR="00AD651B" w:rsidRPr="00813401" w:rsidRDefault="00AD651B" w:rsidP="00AD651B">
            <w:pPr>
              <w:jc w:val="both"/>
              <w:rPr>
                <w:sz w:val="20"/>
              </w:rPr>
            </w:pPr>
          </w:p>
          <w:p w:rsidR="00AD651B" w:rsidRPr="00813401" w:rsidRDefault="00AD651B" w:rsidP="00AD651B">
            <w:pPr>
              <w:jc w:val="both"/>
              <w:rPr>
                <w:sz w:val="20"/>
              </w:rPr>
            </w:pPr>
            <w:r w:rsidRPr="00813401">
              <w:rPr>
                <w:sz w:val="20"/>
              </w:rPr>
              <w:t xml:space="preserve">The within action results from </w:t>
            </w:r>
            <w:proofErr w:type="spellStart"/>
            <w:r w:rsidRPr="00813401">
              <w:rPr>
                <w:sz w:val="20"/>
              </w:rPr>
              <w:t>Sekerbank’s</w:t>
            </w:r>
            <w:proofErr w:type="spellEnd"/>
            <w:r w:rsidRPr="00813401">
              <w:rPr>
                <w:sz w:val="20"/>
              </w:rPr>
              <w:t xml:space="preserve"> concern that it would be unable to realize on any judgment it may obtain in Turkey. </w:t>
            </w:r>
            <w:proofErr w:type="spellStart"/>
            <w:r w:rsidRPr="00813401">
              <w:rPr>
                <w:sz w:val="20"/>
              </w:rPr>
              <w:t>Sekerbank</w:t>
            </w:r>
            <w:proofErr w:type="spellEnd"/>
            <w:r w:rsidRPr="00813401">
              <w:rPr>
                <w:sz w:val="20"/>
              </w:rPr>
              <w:t xml:space="preserve"> further wanted to ensure that it would be able to enforce a judgment against shares in a Saskatchewan corporation that Mr. </w:t>
            </w:r>
            <w:proofErr w:type="spellStart"/>
            <w:r w:rsidRPr="00813401">
              <w:rPr>
                <w:sz w:val="20"/>
              </w:rPr>
              <w:t>Arslan</w:t>
            </w:r>
            <w:proofErr w:type="spellEnd"/>
            <w:r w:rsidRPr="00813401">
              <w:rPr>
                <w:sz w:val="20"/>
              </w:rPr>
              <w:t xml:space="preserve"> had transferred to the second Applicant, Mr. Al-</w:t>
            </w:r>
            <w:proofErr w:type="spellStart"/>
            <w:r w:rsidRPr="00813401">
              <w:rPr>
                <w:sz w:val="20"/>
              </w:rPr>
              <w:t>Katib</w:t>
            </w:r>
            <w:proofErr w:type="spellEnd"/>
            <w:r w:rsidRPr="00813401">
              <w:rPr>
                <w:sz w:val="20"/>
              </w:rPr>
              <w:t xml:space="preserve"> in trust. </w:t>
            </w:r>
            <w:proofErr w:type="spellStart"/>
            <w:r w:rsidRPr="00813401">
              <w:rPr>
                <w:sz w:val="20"/>
              </w:rPr>
              <w:t>Sekerbank</w:t>
            </w:r>
            <w:proofErr w:type="spellEnd"/>
            <w:r w:rsidRPr="00813401">
              <w:rPr>
                <w:sz w:val="20"/>
              </w:rPr>
              <w:t xml:space="preserve"> thus commenced an action in Saskatchewan attacking the transfer as a fraudulent preference or fraudulent conveyance and in the interim, sought a preservation order pursuant to </w:t>
            </w:r>
            <w:r w:rsidRPr="00813401">
              <w:rPr>
                <w:i/>
                <w:sz w:val="20"/>
              </w:rPr>
              <w:t>The Enforcement of Money Judgments Act</w:t>
            </w:r>
            <w:r w:rsidRPr="00813401">
              <w:rPr>
                <w:sz w:val="20"/>
              </w:rPr>
              <w:t xml:space="preserve"> (“</w:t>
            </w:r>
            <w:r w:rsidRPr="00813401">
              <w:rPr>
                <w:i/>
                <w:sz w:val="20"/>
              </w:rPr>
              <w:t>EMJA</w:t>
            </w:r>
            <w:r w:rsidRPr="00813401">
              <w:rPr>
                <w:sz w:val="20"/>
              </w:rPr>
              <w:t xml:space="preserve">”). In the fall of 2013, a preservation order had been granted </w:t>
            </w:r>
            <w:r w:rsidRPr="00813401">
              <w:rPr>
                <w:i/>
                <w:sz w:val="20"/>
              </w:rPr>
              <w:t xml:space="preserve">ex parte </w:t>
            </w:r>
            <w:r w:rsidRPr="00813401">
              <w:rPr>
                <w:sz w:val="20"/>
              </w:rPr>
              <w:t>and extended at various times with certain modifications to January 9, 2014. On that date, a preservation was granted by consent. In May, 2014, Mr. </w:t>
            </w:r>
            <w:proofErr w:type="spellStart"/>
            <w:r w:rsidRPr="00813401">
              <w:rPr>
                <w:sz w:val="20"/>
              </w:rPr>
              <w:t>Arslan</w:t>
            </w:r>
            <w:proofErr w:type="spellEnd"/>
            <w:r w:rsidRPr="00813401">
              <w:rPr>
                <w:sz w:val="20"/>
              </w:rPr>
              <w:t xml:space="preserve"> and Mr. Al-</w:t>
            </w:r>
            <w:proofErr w:type="spellStart"/>
            <w:r w:rsidRPr="00813401">
              <w:rPr>
                <w:sz w:val="20"/>
              </w:rPr>
              <w:t>Katib</w:t>
            </w:r>
            <w:proofErr w:type="spellEnd"/>
            <w:r w:rsidRPr="00813401">
              <w:rPr>
                <w:sz w:val="20"/>
              </w:rPr>
              <w:t xml:space="preserve"> applied pursuant to s. 8 of the </w:t>
            </w:r>
            <w:r w:rsidRPr="00813401">
              <w:rPr>
                <w:i/>
                <w:sz w:val="20"/>
              </w:rPr>
              <w:t>EMJA</w:t>
            </w:r>
            <w:r w:rsidRPr="00813401">
              <w:rPr>
                <w:sz w:val="20"/>
              </w:rPr>
              <w:t xml:space="preserve"> for an order terminating the January 9, 2014 consent order. The application was dismissed as the chambers judge was not satisfied that there had been a sufficient change in the facts or the law in relation to any of the three conditions that must be met pursuant to s. 5(5) of the </w:t>
            </w:r>
            <w:r w:rsidRPr="00813401">
              <w:rPr>
                <w:i/>
                <w:sz w:val="20"/>
              </w:rPr>
              <w:t>EMJA</w:t>
            </w:r>
            <w:r w:rsidRPr="00813401">
              <w:rPr>
                <w:sz w:val="20"/>
              </w:rPr>
              <w:t xml:space="preserve"> to justify termination of the order. The Court of Appeal dismissed the subsequent appeal.</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July 14, 2014</w:t>
            </w:r>
          </w:p>
          <w:p w:rsidR="00AD651B" w:rsidRPr="00813401" w:rsidRDefault="00AD651B" w:rsidP="00AD651B">
            <w:pPr>
              <w:jc w:val="both"/>
              <w:rPr>
                <w:sz w:val="20"/>
              </w:rPr>
            </w:pPr>
            <w:r w:rsidRPr="00813401">
              <w:rPr>
                <w:sz w:val="20"/>
              </w:rPr>
              <w:t>Court of Queen’s Bench of Saskatchewan</w:t>
            </w:r>
          </w:p>
          <w:p w:rsidR="00AD651B" w:rsidRPr="00813401" w:rsidRDefault="00AD651B" w:rsidP="00AD651B">
            <w:pPr>
              <w:jc w:val="both"/>
              <w:rPr>
                <w:sz w:val="20"/>
              </w:rPr>
            </w:pPr>
            <w:r w:rsidRPr="00813401">
              <w:rPr>
                <w:sz w:val="20"/>
              </w:rPr>
              <w:t>(Barrington-Foote J.)</w:t>
            </w:r>
          </w:p>
          <w:p w:rsidR="00AD651B" w:rsidRPr="00813401" w:rsidRDefault="00AD651B" w:rsidP="00AD651B">
            <w:pPr>
              <w:jc w:val="both"/>
              <w:rPr>
                <w:sz w:val="20"/>
              </w:rPr>
            </w:pPr>
            <w:hyperlink r:id="rId24" w:history="1">
              <w:r w:rsidRPr="00813401">
                <w:rPr>
                  <w:rStyle w:val="Hyperlink"/>
                  <w:sz w:val="20"/>
                </w:rPr>
                <w:t>2014 SKQB 215</w:t>
              </w:r>
            </w:hyperlink>
            <w:r w:rsidRPr="00813401">
              <w:rPr>
                <w:sz w:val="20"/>
              </w:rPr>
              <w:t>; 2314/2013</w:t>
            </w:r>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Applicants’ application to terminate</w:t>
            </w:r>
          </w:p>
          <w:p w:rsidR="00AD651B" w:rsidRPr="00813401" w:rsidRDefault="00AD651B" w:rsidP="00AD651B">
            <w:pPr>
              <w:jc w:val="both"/>
              <w:rPr>
                <w:sz w:val="20"/>
              </w:rPr>
            </w:pPr>
            <w:r w:rsidRPr="00813401">
              <w:rPr>
                <w:sz w:val="20"/>
              </w:rPr>
              <w:t>preservation order, dismissed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June 20, 2016</w:t>
            </w:r>
          </w:p>
          <w:p w:rsidR="00AD651B" w:rsidRPr="00813401" w:rsidRDefault="00AD651B" w:rsidP="00AD651B">
            <w:pPr>
              <w:jc w:val="both"/>
              <w:rPr>
                <w:sz w:val="20"/>
              </w:rPr>
            </w:pPr>
            <w:r w:rsidRPr="00813401">
              <w:rPr>
                <w:sz w:val="20"/>
              </w:rPr>
              <w:t>Court of Appeal for Saskatchewan</w:t>
            </w:r>
          </w:p>
          <w:p w:rsidR="00AD651B" w:rsidRPr="00813401" w:rsidRDefault="00AD651B" w:rsidP="00AD651B">
            <w:pPr>
              <w:jc w:val="both"/>
              <w:rPr>
                <w:sz w:val="20"/>
              </w:rPr>
            </w:pPr>
            <w:r w:rsidRPr="00813401">
              <w:rPr>
                <w:sz w:val="20"/>
              </w:rPr>
              <w:t xml:space="preserve">(Lane, Caldwell and </w:t>
            </w:r>
            <w:proofErr w:type="spellStart"/>
            <w:r w:rsidRPr="00813401">
              <w:rPr>
                <w:sz w:val="20"/>
              </w:rPr>
              <w:t>Herauf</w:t>
            </w:r>
            <w:proofErr w:type="spellEnd"/>
            <w:r w:rsidRPr="00813401">
              <w:rPr>
                <w:sz w:val="20"/>
              </w:rPr>
              <w:t xml:space="preserve"> JJ.A.)</w:t>
            </w:r>
          </w:p>
          <w:p w:rsidR="00AD651B" w:rsidRPr="00813401" w:rsidRDefault="00AD651B" w:rsidP="00AD651B">
            <w:pPr>
              <w:jc w:val="both"/>
              <w:rPr>
                <w:sz w:val="20"/>
              </w:rPr>
            </w:pPr>
            <w:hyperlink r:id="rId25" w:history="1">
              <w:r w:rsidRPr="00813401">
                <w:rPr>
                  <w:rStyle w:val="Hyperlink"/>
                  <w:sz w:val="20"/>
                </w:rPr>
                <w:t>2016 SKCA 77</w:t>
              </w:r>
            </w:hyperlink>
            <w:r w:rsidRPr="00813401">
              <w:rPr>
                <w:sz w:val="20"/>
              </w:rPr>
              <w:t>; CACV2572</w:t>
            </w:r>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Appeal dismissed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September 16, 2016</w:t>
            </w:r>
          </w:p>
          <w:p w:rsidR="00AD651B" w:rsidRPr="00813401" w:rsidRDefault="00AD651B" w:rsidP="00AD651B">
            <w:pPr>
              <w:jc w:val="both"/>
              <w:rPr>
                <w:sz w:val="20"/>
              </w:rPr>
            </w:pPr>
            <w:r w:rsidRPr="00813401">
              <w:rPr>
                <w:sz w:val="20"/>
              </w:rPr>
              <w:t>Supreme Court of Canada</w:t>
            </w: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Application for leave to appeal filed</w:t>
            </w:r>
          </w:p>
          <w:p w:rsidR="00AD651B" w:rsidRPr="00813401" w:rsidRDefault="00AD651B" w:rsidP="00AD651B">
            <w:pPr>
              <w:jc w:val="both"/>
              <w:rPr>
                <w:sz w:val="20"/>
              </w:rPr>
            </w:pPr>
          </w:p>
        </w:tc>
      </w:tr>
    </w:tbl>
    <w:p w:rsidR="00AD651B" w:rsidRPr="00813401" w:rsidRDefault="00AD651B" w:rsidP="00AD651B">
      <w:pPr>
        <w:jc w:val="both"/>
        <w:rPr>
          <w:sz w:val="20"/>
        </w:rPr>
      </w:pPr>
    </w:p>
    <w:p w:rsidR="00AD651B" w:rsidRPr="00813401" w:rsidRDefault="00AD651B" w:rsidP="00AD65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AD651B" w:rsidRPr="00813401" w:rsidTr="00AD651B">
        <w:tc>
          <w:tcPr>
            <w:tcW w:w="543" w:type="pct"/>
          </w:tcPr>
          <w:p w:rsidR="00AD651B" w:rsidRPr="00813401" w:rsidRDefault="00AD651B" w:rsidP="00AD651B">
            <w:pPr>
              <w:jc w:val="both"/>
              <w:rPr>
                <w:sz w:val="20"/>
                <w:lang w:val="fr-CA"/>
              </w:rPr>
            </w:pPr>
            <w:r w:rsidRPr="00813401">
              <w:rPr>
                <w:rStyle w:val="SCCFileNumberChar"/>
                <w:sz w:val="20"/>
                <w:szCs w:val="20"/>
                <w:lang w:val="fr-CA"/>
              </w:rPr>
              <w:t>37196</w:t>
            </w:r>
          </w:p>
        </w:tc>
        <w:tc>
          <w:tcPr>
            <w:tcW w:w="4457" w:type="pct"/>
          </w:tcPr>
          <w:p w:rsidR="00AD651B" w:rsidRPr="00813401" w:rsidRDefault="00AD651B" w:rsidP="00AD651B">
            <w:pPr>
              <w:pStyle w:val="SCCLsocParty"/>
              <w:jc w:val="both"/>
              <w:rPr>
                <w:b/>
                <w:sz w:val="20"/>
                <w:szCs w:val="20"/>
                <w:lang w:val="en-US"/>
              </w:rPr>
            </w:pPr>
            <w:proofErr w:type="spellStart"/>
            <w:r w:rsidRPr="00813401">
              <w:rPr>
                <w:b/>
                <w:sz w:val="20"/>
                <w:szCs w:val="20"/>
                <w:lang w:val="en-US"/>
              </w:rPr>
              <w:t>Hüseyin</w:t>
            </w:r>
            <w:proofErr w:type="spellEnd"/>
            <w:r w:rsidRPr="00813401">
              <w:rPr>
                <w:b/>
                <w:sz w:val="20"/>
                <w:szCs w:val="20"/>
                <w:lang w:val="en-US"/>
              </w:rPr>
              <w:t xml:space="preserve"> </w:t>
            </w:r>
            <w:proofErr w:type="spellStart"/>
            <w:r w:rsidRPr="00813401">
              <w:rPr>
                <w:b/>
                <w:sz w:val="20"/>
                <w:szCs w:val="20"/>
                <w:lang w:val="en-US"/>
              </w:rPr>
              <w:t>Arslan</w:t>
            </w:r>
            <w:proofErr w:type="spellEnd"/>
            <w:r w:rsidRPr="00813401">
              <w:rPr>
                <w:b/>
                <w:sz w:val="20"/>
                <w:szCs w:val="20"/>
                <w:lang w:val="en-US"/>
              </w:rPr>
              <w:t xml:space="preserve"> et Murad Al-</w:t>
            </w:r>
            <w:proofErr w:type="spellStart"/>
            <w:r w:rsidRPr="00813401">
              <w:rPr>
                <w:b/>
                <w:sz w:val="20"/>
                <w:szCs w:val="20"/>
                <w:lang w:val="en-US"/>
              </w:rPr>
              <w:t>Katib</w:t>
            </w:r>
            <w:proofErr w:type="spellEnd"/>
            <w:r w:rsidRPr="00813401">
              <w:rPr>
                <w:b/>
                <w:sz w:val="20"/>
                <w:szCs w:val="20"/>
                <w:lang w:val="en-US"/>
              </w:rPr>
              <w:t xml:space="preserve"> c. </w:t>
            </w:r>
            <w:proofErr w:type="spellStart"/>
            <w:r w:rsidRPr="00813401">
              <w:rPr>
                <w:b/>
                <w:sz w:val="20"/>
                <w:szCs w:val="20"/>
                <w:lang w:val="en-US"/>
              </w:rPr>
              <w:t>Sekerbank</w:t>
            </w:r>
            <w:proofErr w:type="spellEnd"/>
            <w:r w:rsidRPr="00813401">
              <w:rPr>
                <w:b/>
                <w:sz w:val="20"/>
                <w:szCs w:val="20"/>
                <w:lang w:val="en-US"/>
              </w:rPr>
              <w:t xml:space="preserve"> T.A.S.</w:t>
            </w:r>
          </w:p>
          <w:p w:rsidR="00AD651B" w:rsidRPr="00813401" w:rsidRDefault="00AD651B" w:rsidP="00AD651B">
            <w:pPr>
              <w:jc w:val="both"/>
              <w:rPr>
                <w:sz w:val="20"/>
                <w:lang w:val="fr-CA"/>
              </w:rPr>
            </w:pPr>
            <w:r w:rsidRPr="00813401">
              <w:rPr>
                <w:bCs/>
                <w:sz w:val="20"/>
                <w:lang w:val="fr-CA"/>
              </w:rPr>
              <w:t>(</w:t>
            </w:r>
            <w:proofErr w:type="spellStart"/>
            <w:r w:rsidRPr="00813401">
              <w:rPr>
                <w:bCs/>
                <w:sz w:val="20"/>
                <w:lang w:val="fr-CA"/>
              </w:rPr>
              <w:t>Sask</w:t>
            </w:r>
            <w:proofErr w:type="spellEnd"/>
            <w:r w:rsidRPr="00813401">
              <w:rPr>
                <w:bCs/>
                <w:sz w:val="20"/>
                <w:lang w:val="fr-CA"/>
              </w:rPr>
              <w:t>.) (Civile) (Autorisation)</w:t>
            </w:r>
            <w:r w:rsidRPr="00813401">
              <w:rPr>
                <w:sz w:val="20"/>
                <w:lang w:val="fr-CA"/>
              </w:rPr>
              <w:t xml:space="preserve"> </w:t>
            </w:r>
          </w:p>
        </w:tc>
      </w:tr>
      <w:tr w:rsidR="00AD651B" w:rsidRPr="00813401" w:rsidTr="00AD651B">
        <w:tc>
          <w:tcPr>
            <w:tcW w:w="5000" w:type="pct"/>
            <w:gridSpan w:val="2"/>
          </w:tcPr>
          <w:p w:rsidR="00AD651B" w:rsidRPr="00813401" w:rsidRDefault="00AD651B" w:rsidP="00AD651B">
            <w:pPr>
              <w:jc w:val="both"/>
              <w:rPr>
                <w:sz w:val="20"/>
                <w:lang w:val="fr-CA"/>
              </w:rPr>
            </w:pPr>
            <w:r w:rsidRPr="00813401">
              <w:rPr>
                <w:sz w:val="20"/>
                <w:lang w:val="fr-CA"/>
              </w:rPr>
              <w:t xml:space="preserve">Procédure civile – Ordonnances sur consentement – </w:t>
            </w:r>
            <w:proofErr w:type="spellStart"/>
            <w:r w:rsidRPr="00813401">
              <w:rPr>
                <w:sz w:val="20"/>
                <w:lang w:val="fr-CA"/>
              </w:rPr>
              <w:t>Préclusion</w:t>
            </w:r>
            <w:proofErr w:type="spellEnd"/>
            <w:r w:rsidRPr="00813401">
              <w:rPr>
                <w:sz w:val="20"/>
                <w:lang w:val="fr-CA"/>
              </w:rPr>
              <w:t xml:space="preserve"> découlant d’une question déjà tranchée – Les ordonnances sur consentement sont-elles assujetties à la </w:t>
            </w:r>
            <w:proofErr w:type="spellStart"/>
            <w:r w:rsidRPr="00813401">
              <w:rPr>
                <w:sz w:val="20"/>
                <w:lang w:val="fr-CA"/>
              </w:rPr>
              <w:t>préclusion</w:t>
            </w:r>
            <w:proofErr w:type="spellEnd"/>
            <w:r w:rsidRPr="00813401">
              <w:rPr>
                <w:sz w:val="20"/>
                <w:lang w:val="fr-CA"/>
              </w:rPr>
              <w:t xml:space="preserve"> découlant d’une question déjà tranchée, sans autre analyse? – </w:t>
            </w:r>
            <w:r w:rsidRPr="00813401">
              <w:rPr>
                <w:i/>
                <w:sz w:val="20"/>
                <w:lang w:val="fr-CA"/>
              </w:rPr>
              <w:t xml:space="preserve">The </w:t>
            </w:r>
            <w:proofErr w:type="spellStart"/>
            <w:r w:rsidRPr="00813401">
              <w:rPr>
                <w:i/>
                <w:sz w:val="20"/>
                <w:lang w:val="fr-CA"/>
              </w:rPr>
              <w:t>Enforcement</w:t>
            </w:r>
            <w:proofErr w:type="spellEnd"/>
            <w:r w:rsidRPr="00813401">
              <w:rPr>
                <w:i/>
                <w:sz w:val="20"/>
                <w:lang w:val="fr-CA"/>
              </w:rPr>
              <w:t xml:space="preserve"> of Money </w:t>
            </w:r>
            <w:proofErr w:type="spellStart"/>
            <w:r w:rsidRPr="00813401">
              <w:rPr>
                <w:i/>
                <w:sz w:val="20"/>
                <w:lang w:val="fr-CA"/>
              </w:rPr>
              <w:t>Judgments</w:t>
            </w:r>
            <w:proofErr w:type="spellEnd"/>
            <w:r w:rsidRPr="00813401">
              <w:rPr>
                <w:i/>
                <w:sz w:val="20"/>
                <w:lang w:val="fr-CA"/>
              </w:rPr>
              <w:t xml:space="preserve"> </w:t>
            </w:r>
            <w:proofErr w:type="spellStart"/>
            <w:r w:rsidRPr="00813401">
              <w:rPr>
                <w:i/>
                <w:sz w:val="20"/>
                <w:lang w:val="fr-CA"/>
              </w:rPr>
              <w:t>Act</w:t>
            </w:r>
            <w:proofErr w:type="spellEnd"/>
            <w:r w:rsidRPr="00813401">
              <w:rPr>
                <w:sz w:val="20"/>
                <w:lang w:val="fr-CA"/>
              </w:rPr>
              <w:t>, S.S. 2010, c. E-9.22, art. 5 et 8.</w:t>
            </w:r>
          </w:p>
        </w:tc>
      </w:tr>
      <w:tr w:rsidR="00AD651B" w:rsidRPr="00813401" w:rsidTr="00AD651B">
        <w:tc>
          <w:tcPr>
            <w:tcW w:w="5000" w:type="pct"/>
            <w:gridSpan w:val="2"/>
          </w:tcPr>
          <w:p w:rsidR="00AD651B" w:rsidRPr="00813401" w:rsidRDefault="00AD651B" w:rsidP="00AD651B">
            <w:pPr>
              <w:jc w:val="both"/>
              <w:rPr>
                <w:sz w:val="20"/>
                <w:lang w:val="fr-CA"/>
              </w:rPr>
            </w:pPr>
          </w:p>
        </w:tc>
      </w:tr>
      <w:tr w:rsidR="00AD651B" w:rsidRPr="00813401" w:rsidTr="00AD651B">
        <w:tc>
          <w:tcPr>
            <w:tcW w:w="5000" w:type="pct"/>
            <w:gridSpan w:val="2"/>
          </w:tcPr>
          <w:p w:rsidR="00AD651B" w:rsidRPr="00813401" w:rsidRDefault="00AD651B" w:rsidP="00AD651B">
            <w:pPr>
              <w:jc w:val="both"/>
              <w:rPr>
                <w:sz w:val="20"/>
                <w:lang w:val="fr-CA"/>
              </w:rPr>
            </w:pPr>
            <w:r w:rsidRPr="00813401">
              <w:rPr>
                <w:sz w:val="20"/>
                <w:lang w:val="fr-CA"/>
              </w:rPr>
              <w:lastRenderedPageBreak/>
              <w:t xml:space="preserve">La défenderesse, la </w:t>
            </w:r>
            <w:proofErr w:type="spellStart"/>
            <w:r w:rsidRPr="00813401">
              <w:rPr>
                <w:sz w:val="20"/>
                <w:lang w:val="fr-CA"/>
              </w:rPr>
              <w:t>Sekerbank</w:t>
            </w:r>
            <w:proofErr w:type="spellEnd"/>
            <w:r w:rsidRPr="00813401">
              <w:rPr>
                <w:sz w:val="20"/>
                <w:lang w:val="fr-CA"/>
              </w:rPr>
              <w:t>, est une grande banque nationale turque. Elle allègue que le demandeur, M. </w:t>
            </w:r>
            <w:proofErr w:type="spellStart"/>
            <w:r w:rsidRPr="00813401">
              <w:rPr>
                <w:sz w:val="20"/>
                <w:lang w:val="fr-CA"/>
              </w:rPr>
              <w:t>Arslan</w:t>
            </w:r>
            <w:proofErr w:type="spellEnd"/>
            <w:r w:rsidRPr="00813401">
              <w:rPr>
                <w:sz w:val="20"/>
                <w:lang w:val="fr-CA"/>
              </w:rPr>
              <w:t xml:space="preserve">,  n’a pas respecté son obligation de lui rembourser la somme d’environ 13 813 544 $ qu’il lui devait en vertu de certaines garanties qu’il avait signées relativement  aux créances de certaines compagnies turques à qui la </w:t>
            </w:r>
            <w:proofErr w:type="spellStart"/>
            <w:r w:rsidRPr="00813401">
              <w:rPr>
                <w:sz w:val="20"/>
                <w:lang w:val="fr-CA"/>
              </w:rPr>
              <w:t>Sekerbank</w:t>
            </w:r>
            <w:proofErr w:type="spellEnd"/>
            <w:r w:rsidRPr="00813401">
              <w:rPr>
                <w:sz w:val="20"/>
                <w:lang w:val="fr-CA"/>
              </w:rPr>
              <w:t xml:space="preserve"> prêtait de l’argent. M. </w:t>
            </w:r>
            <w:proofErr w:type="spellStart"/>
            <w:r w:rsidRPr="00813401">
              <w:rPr>
                <w:sz w:val="20"/>
                <w:lang w:val="fr-CA"/>
              </w:rPr>
              <w:t>Arslan</w:t>
            </w:r>
            <w:proofErr w:type="spellEnd"/>
            <w:r w:rsidRPr="00813401">
              <w:rPr>
                <w:sz w:val="20"/>
                <w:lang w:val="fr-CA"/>
              </w:rPr>
              <w:t xml:space="preserve"> nie que les garanties aient force exécutoire. La </w:t>
            </w:r>
            <w:proofErr w:type="spellStart"/>
            <w:r w:rsidRPr="00813401">
              <w:rPr>
                <w:sz w:val="20"/>
                <w:lang w:val="fr-CA"/>
              </w:rPr>
              <w:t>Sekerbank</w:t>
            </w:r>
            <w:proofErr w:type="spellEnd"/>
            <w:r w:rsidRPr="00813401">
              <w:rPr>
                <w:sz w:val="20"/>
                <w:lang w:val="fr-CA"/>
              </w:rPr>
              <w:t xml:space="preserve"> a intenté plusieurs actions en justice en Turquie pour tenter d’établir et de faire exécuter les garanties en question. </w:t>
            </w:r>
          </w:p>
          <w:p w:rsidR="00AD651B" w:rsidRPr="00813401" w:rsidRDefault="00AD651B" w:rsidP="00AD651B">
            <w:pPr>
              <w:jc w:val="both"/>
              <w:rPr>
                <w:sz w:val="20"/>
                <w:lang w:val="fr-CA"/>
              </w:rPr>
            </w:pPr>
          </w:p>
          <w:p w:rsidR="00AD651B" w:rsidRPr="00813401" w:rsidRDefault="00AD651B" w:rsidP="00AD651B">
            <w:pPr>
              <w:jc w:val="both"/>
              <w:rPr>
                <w:sz w:val="20"/>
                <w:lang w:val="fr-CA"/>
              </w:rPr>
            </w:pPr>
            <w:r w:rsidRPr="00813401">
              <w:rPr>
                <w:sz w:val="20"/>
                <w:lang w:val="fr-CA"/>
              </w:rPr>
              <w:t xml:space="preserve">La </w:t>
            </w:r>
            <w:proofErr w:type="spellStart"/>
            <w:r w:rsidRPr="00813401">
              <w:rPr>
                <w:sz w:val="20"/>
                <w:lang w:val="fr-CA"/>
              </w:rPr>
              <w:t>Seberbank</w:t>
            </w:r>
            <w:proofErr w:type="spellEnd"/>
            <w:r w:rsidRPr="00813401">
              <w:rPr>
                <w:sz w:val="20"/>
                <w:lang w:val="fr-CA"/>
              </w:rPr>
              <w:t xml:space="preserve"> a intenté la présente action, craignant de ne pouvoir faire exécuter le jugement qu’elle pourrait obtenir en Turquie. Elle voulait également s’assurer d’être en mesure de faire exécuter le jugement qu’elle pourrait obtenir contre les actions d’une société de la Saskatchewan que M. </w:t>
            </w:r>
            <w:proofErr w:type="spellStart"/>
            <w:r w:rsidRPr="00813401">
              <w:rPr>
                <w:sz w:val="20"/>
                <w:lang w:val="fr-CA"/>
              </w:rPr>
              <w:t>Arslan</w:t>
            </w:r>
            <w:proofErr w:type="spellEnd"/>
            <w:r w:rsidRPr="00813401">
              <w:rPr>
                <w:sz w:val="20"/>
                <w:lang w:val="fr-CA"/>
              </w:rPr>
              <w:t xml:space="preserve"> avait cédées en fiducie au second demandeur, M. Al-</w:t>
            </w:r>
            <w:proofErr w:type="spellStart"/>
            <w:r w:rsidRPr="00813401">
              <w:rPr>
                <w:sz w:val="20"/>
                <w:lang w:val="fr-CA"/>
              </w:rPr>
              <w:t>Katib</w:t>
            </w:r>
            <w:proofErr w:type="spellEnd"/>
            <w:r w:rsidRPr="00813401">
              <w:rPr>
                <w:sz w:val="20"/>
                <w:lang w:val="fr-CA"/>
              </w:rPr>
              <w:t xml:space="preserve">. La </w:t>
            </w:r>
            <w:proofErr w:type="spellStart"/>
            <w:r w:rsidRPr="00813401">
              <w:rPr>
                <w:sz w:val="20"/>
                <w:lang w:val="fr-CA"/>
              </w:rPr>
              <w:t>Sekerbank</w:t>
            </w:r>
            <w:proofErr w:type="spellEnd"/>
            <w:r w:rsidRPr="00813401">
              <w:rPr>
                <w:sz w:val="20"/>
                <w:lang w:val="fr-CA"/>
              </w:rPr>
              <w:t xml:space="preserve"> a donc introduit en Saskatchewan une action contestant la cession au motif qu’il s’agissait d’un paiement préférentiel ou d’un transport frauduleux et elle a réclamé, dans l’intervalle, une ordonnance de conservation en vertu de la loi intitulée </w:t>
            </w:r>
            <w:r w:rsidRPr="00813401">
              <w:rPr>
                <w:i/>
                <w:sz w:val="20"/>
                <w:lang w:val="fr-CA"/>
              </w:rPr>
              <w:t xml:space="preserve">The </w:t>
            </w:r>
            <w:proofErr w:type="spellStart"/>
            <w:r w:rsidRPr="00813401">
              <w:rPr>
                <w:i/>
                <w:sz w:val="20"/>
                <w:lang w:val="fr-CA"/>
              </w:rPr>
              <w:t>Enforcement</w:t>
            </w:r>
            <w:proofErr w:type="spellEnd"/>
            <w:r w:rsidRPr="00813401">
              <w:rPr>
                <w:i/>
                <w:sz w:val="20"/>
                <w:lang w:val="fr-CA"/>
              </w:rPr>
              <w:t xml:space="preserve"> of Money </w:t>
            </w:r>
            <w:proofErr w:type="spellStart"/>
            <w:r w:rsidRPr="00813401">
              <w:rPr>
                <w:i/>
                <w:sz w:val="20"/>
                <w:lang w:val="fr-CA"/>
              </w:rPr>
              <w:t>Judgments</w:t>
            </w:r>
            <w:proofErr w:type="spellEnd"/>
            <w:r w:rsidRPr="00813401">
              <w:rPr>
                <w:i/>
                <w:sz w:val="20"/>
                <w:lang w:val="fr-CA"/>
              </w:rPr>
              <w:t xml:space="preserve"> </w:t>
            </w:r>
            <w:proofErr w:type="spellStart"/>
            <w:r w:rsidRPr="00813401">
              <w:rPr>
                <w:i/>
                <w:sz w:val="20"/>
                <w:lang w:val="fr-CA"/>
              </w:rPr>
              <w:t>Act</w:t>
            </w:r>
            <w:proofErr w:type="spellEnd"/>
            <w:r w:rsidRPr="00813401">
              <w:rPr>
                <w:sz w:val="20"/>
                <w:lang w:val="fr-CA"/>
              </w:rPr>
              <w:t xml:space="preserve"> (la Loi). À l’automne 2013, une ordonnance de conservation avait été accordée </w:t>
            </w:r>
            <w:r w:rsidRPr="00813401">
              <w:rPr>
                <w:i/>
                <w:sz w:val="20"/>
                <w:lang w:val="fr-CA"/>
              </w:rPr>
              <w:t xml:space="preserve">ex parte </w:t>
            </w:r>
            <w:r w:rsidRPr="00813401">
              <w:rPr>
                <w:sz w:val="20"/>
                <w:lang w:val="fr-CA"/>
              </w:rPr>
              <w:t>et avait été prorogée à plusieurs reprises avec quelques modifications jusqu’au 9 janvier 2014. Ce jour-là, une ordonnance de conservation a été prononcée sur consentement. En mai 2014, MM. </w:t>
            </w:r>
            <w:proofErr w:type="spellStart"/>
            <w:r w:rsidRPr="00813401">
              <w:rPr>
                <w:sz w:val="20"/>
                <w:lang w:val="fr-CA"/>
              </w:rPr>
              <w:t>Arslan</w:t>
            </w:r>
            <w:proofErr w:type="spellEnd"/>
            <w:r w:rsidRPr="00813401">
              <w:rPr>
                <w:sz w:val="20"/>
                <w:lang w:val="fr-CA"/>
              </w:rPr>
              <w:t xml:space="preserve"> et Al</w:t>
            </w:r>
            <w:r w:rsidRPr="00813401">
              <w:rPr>
                <w:sz w:val="20"/>
                <w:lang w:val="fr-CA"/>
              </w:rPr>
              <w:noBreakHyphen/>
            </w:r>
            <w:proofErr w:type="spellStart"/>
            <w:r w:rsidRPr="00813401">
              <w:rPr>
                <w:sz w:val="20"/>
                <w:lang w:val="fr-CA"/>
              </w:rPr>
              <w:t>Katib</w:t>
            </w:r>
            <w:proofErr w:type="spellEnd"/>
            <w:r w:rsidRPr="00813401">
              <w:rPr>
                <w:sz w:val="20"/>
                <w:lang w:val="fr-CA"/>
              </w:rPr>
              <w:t xml:space="preserve"> ont demandé en vertu de l’art. 8 de la Loi une ordonnance mettant fin à l’ordonnance rendue sur consentement le 9 janvier 2014. La demande a été rejetée, parce que le juge en chambre n’était pas convaincu qu’un changement suffisant était survenu dans les faits ou dans le droit relativement à l’une des trois conditions devant être respectées aux termes du par. 5(5) de la Loi pour justifier de mettre fin à l’ordonnance. La Cour d’appel a rejeté l’appel interjeté par la suite.</w:t>
            </w:r>
          </w:p>
          <w:p w:rsidR="00AD651B" w:rsidRPr="00813401" w:rsidRDefault="00AD651B" w:rsidP="00AD651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457"/>
              <w:gridCol w:w="446"/>
              <w:gridCol w:w="4278"/>
            </w:tblGrid>
            <w:tr w:rsidR="00AD651B" w:rsidRPr="00813401" w:rsidTr="00AD651B">
              <w:tc>
                <w:tcPr>
                  <w:tcW w:w="2427" w:type="pct"/>
                </w:tcPr>
                <w:p w:rsidR="00AD651B" w:rsidRPr="00813401" w:rsidRDefault="00AD651B" w:rsidP="00AD651B">
                  <w:pPr>
                    <w:jc w:val="both"/>
                    <w:rPr>
                      <w:sz w:val="20"/>
                      <w:lang w:val="fr-CA"/>
                    </w:rPr>
                  </w:pPr>
                  <w:r w:rsidRPr="00813401">
                    <w:rPr>
                      <w:sz w:val="20"/>
                      <w:lang w:val="fr-CA"/>
                    </w:rPr>
                    <w:t>14 juillet 2014</w:t>
                  </w:r>
                </w:p>
                <w:p w:rsidR="00AD651B" w:rsidRPr="00813401" w:rsidRDefault="00AD651B" w:rsidP="00AD651B">
                  <w:pPr>
                    <w:jc w:val="both"/>
                    <w:rPr>
                      <w:sz w:val="20"/>
                      <w:lang w:val="fr-CA"/>
                    </w:rPr>
                  </w:pPr>
                  <w:r w:rsidRPr="00813401">
                    <w:rPr>
                      <w:sz w:val="20"/>
                      <w:lang w:val="fr-CA"/>
                    </w:rPr>
                    <w:t>Cour du Banc de la Reine de la Saskatchewan</w:t>
                  </w:r>
                </w:p>
                <w:p w:rsidR="00AD651B" w:rsidRPr="00813401" w:rsidRDefault="00AD651B" w:rsidP="00AD651B">
                  <w:pPr>
                    <w:jc w:val="both"/>
                    <w:rPr>
                      <w:sz w:val="20"/>
                      <w:lang w:val="fr-CA"/>
                    </w:rPr>
                  </w:pPr>
                  <w:r w:rsidRPr="00813401">
                    <w:rPr>
                      <w:sz w:val="20"/>
                      <w:lang w:val="fr-CA"/>
                    </w:rPr>
                    <w:t>(Juge Barrington-Foote)</w:t>
                  </w:r>
                </w:p>
                <w:p w:rsidR="00AD651B" w:rsidRPr="00813401" w:rsidRDefault="00AD651B" w:rsidP="00AD651B">
                  <w:pPr>
                    <w:jc w:val="both"/>
                    <w:rPr>
                      <w:sz w:val="20"/>
                      <w:lang w:val="fr-CA"/>
                    </w:rPr>
                  </w:pPr>
                  <w:hyperlink r:id="rId26" w:history="1">
                    <w:r w:rsidRPr="00813401">
                      <w:rPr>
                        <w:rStyle w:val="Hyperlink"/>
                        <w:sz w:val="20"/>
                        <w:lang w:val="fr-CA"/>
                      </w:rPr>
                      <w:t>2014 SKQB 215</w:t>
                    </w:r>
                  </w:hyperlink>
                  <w:r w:rsidRPr="00813401">
                    <w:rPr>
                      <w:sz w:val="20"/>
                      <w:lang w:val="fr-CA"/>
                    </w:rPr>
                    <w:t>; 2314/2013</w:t>
                  </w:r>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Rejet de la demande présentée par les demandeurs en vue de mettre fin à l’ordonnance de conservation</w:t>
                  </w:r>
                </w:p>
                <w:p w:rsidR="00AD651B" w:rsidRPr="00813401" w:rsidRDefault="00AD651B" w:rsidP="00AD651B">
                  <w:pPr>
                    <w:jc w:val="both"/>
                    <w:rPr>
                      <w:sz w:val="20"/>
                      <w:lang w:val="fr-CA"/>
                    </w:rPr>
                  </w:pPr>
                </w:p>
                <w:p w:rsidR="00AD651B" w:rsidRPr="00813401" w:rsidRDefault="00AD651B" w:rsidP="00AD651B">
                  <w:pPr>
                    <w:jc w:val="both"/>
                    <w:rPr>
                      <w:sz w:val="20"/>
                      <w:lang w:val="fr-CA"/>
                    </w:rPr>
                  </w:pPr>
                </w:p>
              </w:tc>
            </w:tr>
            <w:tr w:rsidR="00AD651B" w:rsidRPr="00813401" w:rsidTr="00AD651B">
              <w:tc>
                <w:tcPr>
                  <w:tcW w:w="2427" w:type="pct"/>
                </w:tcPr>
                <w:p w:rsidR="00AD651B" w:rsidRPr="00813401" w:rsidRDefault="00AD651B" w:rsidP="00AD651B">
                  <w:pPr>
                    <w:jc w:val="both"/>
                    <w:rPr>
                      <w:sz w:val="20"/>
                      <w:lang w:val="fr-CA"/>
                    </w:rPr>
                  </w:pPr>
                  <w:r w:rsidRPr="00813401">
                    <w:rPr>
                      <w:sz w:val="20"/>
                      <w:lang w:val="fr-CA"/>
                    </w:rPr>
                    <w:t>20 juin 2016</w:t>
                  </w:r>
                </w:p>
                <w:p w:rsidR="00AD651B" w:rsidRPr="00813401" w:rsidRDefault="00AD651B" w:rsidP="00AD651B">
                  <w:pPr>
                    <w:jc w:val="both"/>
                    <w:rPr>
                      <w:sz w:val="20"/>
                      <w:lang w:val="fr-CA"/>
                    </w:rPr>
                  </w:pPr>
                  <w:r w:rsidRPr="00813401">
                    <w:rPr>
                      <w:sz w:val="20"/>
                      <w:lang w:val="fr-CA"/>
                    </w:rPr>
                    <w:t>Cour d’appel de la Saskatchewan</w:t>
                  </w:r>
                </w:p>
                <w:p w:rsidR="00AD651B" w:rsidRPr="00813401" w:rsidRDefault="00AD651B" w:rsidP="00AD651B">
                  <w:pPr>
                    <w:jc w:val="both"/>
                    <w:rPr>
                      <w:sz w:val="20"/>
                      <w:lang w:val="fr-CA"/>
                    </w:rPr>
                  </w:pPr>
                  <w:r w:rsidRPr="00813401">
                    <w:rPr>
                      <w:sz w:val="20"/>
                      <w:lang w:val="fr-CA"/>
                    </w:rPr>
                    <w:t xml:space="preserve">(Juges Lane, Caldwell et </w:t>
                  </w:r>
                  <w:proofErr w:type="spellStart"/>
                  <w:r w:rsidRPr="00813401">
                    <w:rPr>
                      <w:sz w:val="20"/>
                      <w:lang w:val="fr-CA"/>
                    </w:rPr>
                    <w:t>Herauf</w:t>
                  </w:r>
                  <w:proofErr w:type="spellEnd"/>
                  <w:r w:rsidRPr="00813401">
                    <w:rPr>
                      <w:sz w:val="20"/>
                      <w:lang w:val="fr-CA"/>
                    </w:rPr>
                    <w:t>)</w:t>
                  </w:r>
                </w:p>
                <w:p w:rsidR="00AD651B" w:rsidRPr="00813401" w:rsidRDefault="00AD651B" w:rsidP="00AD651B">
                  <w:pPr>
                    <w:jc w:val="both"/>
                    <w:rPr>
                      <w:sz w:val="20"/>
                      <w:lang w:val="fr-CA"/>
                    </w:rPr>
                  </w:pPr>
                  <w:hyperlink r:id="rId27" w:history="1">
                    <w:r w:rsidRPr="00813401">
                      <w:rPr>
                        <w:rStyle w:val="Hyperlink"/>
                        <w:sz w:val="20"/>
                        <w:lang w:val="fr-CA"/>
                      </w:rPr>
                      <w:t>2016 SKCA 77</w:t>
                    </w:r>
                  </w:hyperlink>
                  <w:r w:rsidRPr="00813401">
                    <w:rPr>
                      <w:sz w:val="20"/>
                      <w:lang w:val="fr-CA"/>
                    </w:rPr>
                    <w:t>; CACV2572</w:t>
                  </w:r>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 xml:space="preserve">Rejet de l’appel </w:t>
                  </w:r>
                </w:p>
                <w:p w:rsidR="00AD651B" w:rsidRPr="00813401" w:rsidRDefault="00AD651B" w:rsidP="00AD651B">
                  <w:pPr>
                    <w:jc w:val="both"/>
                    <w:rPr>
                      <w:sz w:val="20"/>
                      <w:lang w:val="fr-CA"/>
                    </w:rPr>
                  </w:pPr>
                </w:p>
              </w:tc>
            </w:tr>
            <w:tr w:rsidR="00AD651B" w:rsidRPr="00813401" w:rsidTr="00AD651B">
              <w:tc>
                <w:tcPr>
                  <w:tcW w:w="2427" w:type="pct"/>
                </w:tcPr>
                <w:p w:rsidR="00AD651B" w:rsidRPr="00813401" w:rsidRDefault="00AD651B" w:rsidP="00AD651B">
                  <w:pPr>
                    <w:jc w:val="both"/>
                    <w:rPr>
                      <w:sz w:val="20"/>
                      <w:lang w:val="fr-CA"/>
                    </w:rPr>
                  </w:pPr>
                  <w:r w:rsidRPr="00813401">
                    <w:rPr>
                      <w:sz w:val="20"/>
                      <w:lang w:val="fr-CA"/>
                    </w:rPr>
                    <w:t>16 septembre 2016</w:t>
                  </w:r>
                </w:p>
                <w:p w:rsidR="00AD651B" w:rsidRPr="00813401" w:rsidRDefault="00AD651B" w:rsidP="00AD651B">
                  <w:pPr>
                    <w:jc w:val="both"/>
                    <w:rPr>
                      <w:sz w:val="20"/>
                      <w:lang w:val="fr-CA"/>
                    </w:rPr>
                  </w:pPr>
                  <w:r w:rsidRPr="00813401">
                    <w:rPr>
                      <w:sz w:val="20"/>
                      <w:lang w:val="fr-CA"/>
                    </w:rPr>
                    <w:t>Cour suprême du Canada</w:t>
                  </w: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Dépôt de la demande d’autorisation d’appel</w:t>
                  </w:r>
                </w:p>
                <w:p w:rsidR="00AD651B" w:rsidRPr="00813401" w:rsidRDefault="00AD651B" w:rsidP="00AD651B">
                  <w:pPr>
                    <w:jc w:val="both"/>
                    <w:rPr>
                      <w:sz w:val="20"/>
                      <w:lang w:val="fr-CA"/>
                    </w:rPr>
                  </w:pPr>
                </w:p>
              </w:tc>
            </w:tr>
          </w:tbl>
          <w:p w:rsidR="00AD651B" w:rsidRPr="00813401" w:rsidRDefault="00AD651B" w:rsidP="00AD651B">
            <w:pPr>
              <w:jc w:val="both"/>
              <w:rPr>
                <w:sz w:val="20"/>
                <w:lang w:val="fr-CA"/>
              </w:rPr>
            </w:pPr>
          </w:p>
        </w:tc>
      </w:tr>
    </w:tbl>
    <w:p w:rsidR="00AD651B" w:rsidRPr="00813401" w:rsidRDefault="00AD651B" w:rsidP="00AD651B">
      <w:pPr>
        <w:jc w:val="both"/>
        <w:rPr>
          <w:sz w:val="20"/>
          <w:lang w:val="fr-CA"/>
        </w:rPr>
      </w:pPr>
    </w:p>
    <w:p w:rsidR="00AD651B" w:rsidRPr="00813401" w:rsidRDefault="00AD651B" w:rsidP="00AD65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rPr>
            </w:pPr>
            <w:r w:rsidRPr="00813401">
              <w:rPr>
                <w:rStyle w:val="SCCFileNumberChar"/>
                <w:sz w:val="20"/>
                <w:szCs w:val="20"/>
              </w:rPr>
              <w:t>36834</w:t>
            </w:r>
          </w:p>
        </w:tc>
        <w:tc>
          <w:tcPr>
            <w:tcW w:w="4457" w:type="pct"/>
            <w:gridSpan w:val="3"/>
          </w:tcPr>
          <w:p w:rsidR="00AD651B" w:rsidRPr="00813401" w:rsidRDefault="00AD651B" w:rsidP="00AD651B">
            <w:pPr>
              <w:pStyle w:val="SCCLsocParty"/>
              <w:jc w:val="both"/>
              <w:rPr>
                <w:b/>
                <w:sz w:val="20"/>
                <w:szCs w:val="20"/>
                <w:lang w:val="en-US"/>
              </w:rPr>
            </w:pPr>
            <w:r w:rsidRPr="00813401">
              <w:rPr>
                <w:b/>
                <w:sz w:val="20"/>
                <w:szCs w:val="20"/>
                <w:lang w:val="en-US"/>
              </w:rPr>
              <w:t>Elizabeth Bernard v. Canada Revenue Agency, Treasury Board, Professional Institute of the Public Service of Canada</w:t>
            </w:r>
          </w:p>
          <w:p w:rsidR="00AD651B" w:rsidRPr="00813401" w:rsidRDefault="00AD651B" w:rsidP="00AD651B">
            <w:pPr>
              <w:pStyle w:val="SCCLsocSubfileSeparator"/>
              <w:rPr>
                <w:sz w:val="20"/>
                <w:szCs w:val="20"/>
              </w:rPr>
            </w:pPr>
            <w:r w:rsidRPr="00813401">
              <w:rPr>
                <w:sz w:val="20"/>
                <w:szCs w:val="20"/>
              </w:rPr>
              <w:t>- and between -</w:t>
            </w:r>
          </w:p>
          <w:p w:rsidR="00AD651B" w:rsidRPr="00813401" w:rsidRDefault="00AD651B" w:rsidP="00AD651B">
            <w:pPr>
              <w:pStyle w:val="SCCLsocParty"/>
              <w:jc w:val="both"/>
              <w:rPr>
                <w:b/>
                <w:sz w:val="20"/>
                <w:szCs w:val="20"/>
                <w:lang w:val="en-US"/>
              </w:rPr>
            </w:pPr>
            <w:r w:rsidRPr="00813401">
              <w:rPr>
                <w:b/>
                <w:sz w:val="20"/>
                <w:szCs w:val="20"/>
                <w:lang w:val="en-US"/>
              </w:rPr>
              <w:t>Elizabeth Bernard v. Canada Revenue Agency, Treasury Board, Professional Institute of the Public Service of Canada</w:t>
            </w:r>
          </w:p>
          <w:p w:rsidR="00AD651B" w:rsidRPr="00813401" w:rsidRDefault="00AD651B" w:rsidP="00AD651B">
            <w:pPr>
              <w:jc w:val="both"/>
              <w:rPr>
                <w:sz w:val="20"/>
              </w:rPr>
            </w:pPr>
            <w:r w:rsidRPr="00813401">
              <w:rPr>
                <w:sz w:val="20"/>
              </w:rPr>
              <w:t>(FC) (Civil) (By Leave)</w:t>
            </w:r>
          </w:p>
        </w:tc>
      </w:tr>
      <w:tr w:rsidR="00AD651B" w:rsidRPr="00813401" w:rsidTr="00AD651B">
        <w:tc>
          <w:tcPr>
            <w:tcW w:w="5000" w:type="pct"/>
            <w:gridSpan w:val="4"/>
          </w:tcPr>
          <w:p w:rsidR="00AD651B" w:rsidRPr="00813401" w:rsidRDefault="00AD651B" w:rsidP="00AD651B">
            <w:pPr>
              <w:jc w:val="both"/>
              <w:rPr>
                <w:sz w:val="20"/>
              </w:rPr>
            </w:pPr>
            <w:r w:rsidRPr="00813401">
              <w:rPr>
                <w:sz w:val="20"/>
              </w:rPr>
              <w:t>Judgments and orders – Interlocutory orders – Motion to strike – One respondent bringing motion to strike certain paragraphs and exhibits from applicant’s affidavit filed in support of her application for judicial review – Do the Federal Court Rules require a reading that is broad and fair enough to allow the federal courts to correct their own patent errors, in order to avoid breaches of fundamental justice? – Does a Public Service Labour Relations and Employment Board member’s status as a beneficiary of a bargaining agent’s pension plan give rise to a reasonable apprehension of bias?</w:t>
            </w:r>
          </w:p>
        </w:tc>
      </w:tr>
      <w:tr w:rsidR="00AD651B" w:rsidRPr="00813401" w:rsidTr="00AD651B">
        <w:tc>
          <w:tcPr>
            <w:tcW w:w="5000" w:type="pct"/>
            <w:gridSpan w:val="4"/>
          </w:tcPr>
          <w:p w:rsidR="00AD651B" w:rsidRPr="00813401" w:rsidRDefault="00AD651B" w:rsidP="00AD651B">
            <w:pPr>
              <w:jc w:val="both"/>
              <w:rPr>
                <w:sz w:val="20"/>
              </w:rPr>
            </w:pPr>
          </w:p>
        </w:tc>
      </w:tr>
      <w:tr w:rsidR="00AD651B" w:rsidRPr="00813401" w:rsidTr="00AD651B">
        <w:tc>
          <w:tcPr>
            <w:tcW w:w="5000" w:type="pct"/>
            <w:gridSpan w:val="4"/>
          </w:tcPr>
          <w:p w:rsidR="00AD651B" w:rsidRPr="00813401" w:rsidRDefault="00AD651B" w:rsidP="00AD651B">
            <w:pPr>
              <w:jc w:val="both"/>
              <w:rPr>
                <w:sz w:val="20"/>
              </w:rPr>
            </w:pPr>
            <w:r w:rsidRPr="00813401">
              <w:rPr>
                <w:sz w:val="20"/>
              </w:rPr>
              <w:t xml:space="preserve">The applicant sought reconsideration of a decision of the Public Service Labour Relations and Employment Board (“Board”) dated February 21, 2008. She alleged that a panel member in that case was biased. On June 29, 2015, the Board dismissed the applicant’s request that it reconsider the 2008 decision.  The applicant sought judicial review of that decision and filed an affidavit in support of her application.  The respondent, the Professional Institute of the Public Service of Canada, moved for an order striking out certain paragraphs and exhibits in the affidavit on the basis </w:t>
            </w:r>
            <w:r w:rsidRPr="00813401">
              <w:rPr>
                <w:sz w:val="20"/>
              </w:rPr>
              <w:lastRenderedPageBreak/>
              <w:t>that on an application for judicial review, the court could only consider the evidence that had been before the administrative Board. The applicant submitted that the paragraphs and the exhibits were relevant to alleged bias on the part of one of the members of the Board and an overall breach of natural justice.</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lastRenderedPageBreak/>
              <w:t>November 24, 2015</w:t>
            </w:r>
          </w:p>
          <w:p w:rsidR="00AD651B" w:rsidRPr="00813401" w:rsidRDefault="00AD651B" w:rsidP="00AD651B">
            <w:pPr>
              <w:jc w:val="both"/>
              <w:rPr>
                <w:sz w:val="20"/>
              </w:rPr>
            </w:pPr>
            <w:r w:rsidRPr="00813401">
              <w:rPr>
                <w:sz w:val="20"/>
              </w:rPr>
              <w:t>Federal Court of Appeal</w:t>
            </w:r>
          </w:p>
          <w:p w:rsidR="00AD651B" w:rsidRPr="00813401" w:rsidRDefault="00AD651B" w:rsidP="00AD651B">
            <w:pPr>
              <w:jc w:val="both"/>
              <w:rPr>
                <w:sz w:val="20"/>
              </w:rPr>
            </w:pPr>
            <w:r w:rsidRPr="00813401">
              <w:rPr>
                <w:sz w:val="20"/>
              </w:rPr>
              <w:t>(</w:t>
            </w:r>
            <w:proofErr w:type="spellStart"/>
            <w:r w:rsidRPr="00813401">
              <w:rPr>
                <w:sz w:val="20"/>
              </w:rPr>
              <w:t>Stratas</w:t>
            </w:r>
            <w:proofErr w:type="spellEnd"/>
            <w:r w:rsidRPr="00813401">
              <w:rPr>
                <w:sz w:val="20"/>
              </w:rPr>
              <w:t xml:space="preserve"> J.A.)</w:t>
            </w:r>
          </w:p>
          <w:p w:rsidR="00AD651B" w:rsidRPr="00813401" w:rsidRDefault="00AD651B" w:rsidP="00AD651B">
            <w:pPr>
              <w:jc w:val="both"/>
              <w:rPr>
                <w:sz w:val="20"/>
              </w:rPr>
            </w:pPr>
            <w:hyperlink r:id="rId28" w:history="1">
              <w:r w:rsidRPr="00813401">
                <w:rPr>
                  <w:rStyle w:val="Hyperlink"/>
                  <w:sz w:val="20"/>
                </w:rPr>
                <w:t>2015 FCA 263</w:t>
              </w:r>
            </w:hyperlink>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One respondent’s motion to strike portions of applicant’s affidavit filed in support of application for judicial review granted.</w:t>
            </w:r>
          </w:p>
          <w:p w:rsidR="00AD651B" w:rsidRPr="00813401" w:rsidRDefault="00AD651B" w:rsidP="00AD651B">
            <w:pPr>
              <w:jc w:val="both"/>
              <w:rPr>
                <w:sz w:val="20"/>
              </w:rPr>
            </w:pP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January 7, 2016</w:t>
            </w:r>
          </w:p>
          <w:p w:rsidR="00AD651B" w:rsidRPr="00813401" w:rsidRDefault="00AD651B" w:rsidP="00AD651B">
            <w:pPr>
              <w:jc w:val="both"/>
              <w:rPr>
                <w:sz w:val="20"/>
              </w:rPr>
            </w:pPr>
            <w:r w:rsidRPr="00813401">
              <w:rPr>
                <w:sz w:val="20"/>
              </w:rPr>
              <w:t>Federal Court of Appeal</w:t>
            </w:r>
          </w:p>
          <w:p w:rsidR="00AD651B" w:rsidRPr="00813401" w:rsidRDefault="00AD651B" w:rsidP="00AD651B">
            <w:pPr>
              <w:jc w:val="both"/>
              <w:rPr>
                <w:sz w:val="20"/>
              </w:rPr>
            </w:pPr>
            <w:r w:rsidRPr="00813401">
              <w:rPr>
                <w:sz w:val="20"/>
              </w:rPr>
              <w:t>(</w:t>
            </w:r>
            <w:proofErr w:type="spellStart"/>
            <w:r w:rsidRPr="00813401">
              <w:rPr>
                <w:sz w:val="20"/>
              </w:rPr>
              <w:t>Stratas</w:t>
            </w:r>
            <w:proofErr w:type="spellEnd"/>
            <w:r w:rsidRPr="00813401">
              <w:rPr>
                <w:sz w:val="20"/>
              </w:rPr>
              <w:t xml:space="preserve"> J.A.)</w:t>
            </w:r>
          </w:p>
          <w:p w:rsidR="00AD651B" w:rsidRPr="00813401" w:rsidRDefault="00AD651B" w:rsidP="00AD651B">
            <w:pPr>
              <w:jc w:val="both"/>
              <w:rPr>
                <w:sz w:val="20"/>
              </w:rPr>
            </w:pPr>
            <w:r w:rsidRPr="00813401">
              <w:rPr>
                <w:sz w:val="20"/>
              </w:rPr>
              <w:t>Unreported</w:t>
            </w:r>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Applicant’s motion for reconsideration dismissed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January 13, 2016</w:t>
            </w:r>
          </w:p>
          <w:p w:rsidR="00AD651B" w:rsidRPr="00813401" w:rsidRDefault="00AD651B" w:rsidP="00AD651B">
            <w:pPr>
              <w:jc w:val="both"/>
              <w:rPr>
                <w:sz w:val="20"/>
              </w:rPr>
            </w:pPr>
            <w:r w:rsidRPr="00813401">
              <w:rPr>
                <w:sz w:val="20"/>
              </w:rPr>
              <w:t>Supreme Court of Canada</w:t>
            </w:r>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Application for leave to appeal filed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January 25, 2016</w:t>
            </w:r>
          </w:p>
          <w:p w:rsidR="00AD651B" w:rsidRPr="00813401" w:rsidRDefault="00AD651B" w:rsidP="00AD651B">
            <w:pPr>
              <w:jc w:val="both"/>
              <w:rPr>
                <w:sz w:val="20"/>
              </w:rPr>
            </w:pPr>
            <w:r w:rsidRPr="00813401">
              <w:rPr>
                <w:sz w:val="20"/>
              </w:rPr>
              <w:t>Supreme Court of Canada</w:t>
            </w: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Application for leave to appeal filed</w:t>
            </w:r>
          </w:p>
          <w:p w:rsidR="00AD651B" w:rsidRPr="00813401" w:rsidRDefault="00AD651B" w:rsidP="00AD651B">
            <w:pPr>
              <w:jc w:val="both"/>
              <w:rPr>
                <w:sz w:val="20"/>
              </w:rPr>
            </w:pPr>
          </w:p>
        </w:tc>
      </w:tr>
    </w:tbl>
    <w:p w:rsidR="00AD651B" w:rsidRPr="00813401" w:rsidRDefault="00AD651B" w:rsidP="00AD651B">
      <w:pPr>
        <w:jc w:val="both"/>
        <w:rPr>
          <w:sz w:val="20"/>
        </w:rPr>
      </w:pPr>
    </w:p>
    <w:p w:rsidR="00AD651B" w:rsidRPr="00813401" w:rsidRDefault="00AD651B" w:rsidP="00AD65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lang w:val="fr-CA"/>
              </w:rPr>
            </w:pPr>
            <w:r w:rsidRPr="00813401">
              <w:rPr>
                <w:rStyle w:val="SCCFileNumberChar"/>
                <w:sz w:val="20"/>
                <w:szCs w:val="20"/>
                <w:lang w:val="fr-CA"/>
              </w:rPr>
              <w:t>36834</w:t>
            </w:r>
          </w:p>
        </w:tc>
        <w:tc>
          <w:tcPr>
            <w:tcW w:w="4457" w:type="pct"/>
            <w:gridSpan w:val="3"/>
          </w:tcPr>
          <w:p w:rsidR="00AD651B" w:rsidRPr="00813401" w:rsidRDefault="00AD651B" w:rsidP="00AD651B">
            <w:pPr>
              <w:pStyle w:val="SCCLsocParty"/>
              <w:jc w:val="both"/>
              <w:rPr>
                <w:b/>
                <w:sz w:val="20"/>
                <w:szCs w:val="20"/>
              </w:rPr>
            </w:pPr>
            <w:r w:rsidRPr="00813401">
              <w:rPr>
                <w:b/>
                <w:sz w:val="20"/>
                <w:szCs w:val="20"/>
              </w:rPr>
              <w:t>Elizabeth Bernard c. Agence du revenu du Canada, Conseil du trésor, Institut professionnel de la fonction publique du Canada</w:t>
            </w:r>
          </w:p>
          <w:p w:rsidR="00AD651B" w:rsidRPr="00813401" w:rsidRDefault="00AD651B" w:rsidP="00AD651B">
            <w:pPr>
              <w:pStyle w:val="SCCLsocSubfileSeparator"/>
              <w:rPr>
                <w:sz w:val="20"/>
                <w:szCs w:val="20"/>
                <w:lang w:val="fr-CA"/>
              </w:rPr>
            </w:pPr>
            <w:r w:rsidRPr="00813401">
              <w:rPr>
                <w:sz w:val="20"/>
                <w:szCs w:val="20"/>
                <w:lang w:val="fr-CA"/>
              </w:rPr>
              <w:t>- et entre -</w:t>
            </w:r>
          </w:p>
          <w:p w:rsidR="00AD651B" w:rsidRPr="00813401" w:rsidRDefault="00AD651B" w:rsidP="00AD651B">
            <w:pPr>
              <w:pStyle w:val="SCCLsocParty"/>
              <w:jc w:val="both"/>
              <w:rPr>
                <w:b/>
                <w:sz w:val="20"/>
                <w:szCs w:val="20"/>
              </w:rPr>
            </w:pPr>
            <w:r w:rsidRPr="00813401">
              <w:rPr>
                <w:b/>
                <w:sz w:val="20"/>
                <w:szCs w:val="20"/>
              </w:rPr>
              <w:t>Elizabeth Bernard c. Agence du revenu du Canada, Conseil du trésor, Institut professionnel de la fonction publique du Canada</w:t>
            </w:r>
          </w:p>
          <w:p w:rsidR="00AD651B" w:rsidRPr="00813401" w:rsidRDefault="00AD651B" w:rsidP="00AD651B">
            <w:pPr>
              <w:jc w:val="both"/>
              <w:rPr>
                <w:sz w:val="20"/>
                <w:lang w:val="fr-CA"/>
              </w:rPr>
            </w:pPr>
            <w:r w:rsidRPr="00813401">
              <w:rPr>
                <w:sz w:val="20"/>
                <w:lang w:val="fr-CA"/>
              </w:rPr>
              <w:t>(CF) (Civile) (Sur autorisation)</w:t>
            </w:r>
          </w:p>
        </w:tc>
      </w:tr>
      <w:tr w:rsidR="00AD651B" w:rsidRPr="00813401" w:rsidTr="00AD651B">
        <w:tc>
          <w:tcPr>
            <w:tcW w:w="5000" w:type="pct"/>
            <w:gridSpan w:val="4"/>
          </w:tcPr>
          <w:p w:rsidR="00AD651B" w:rsidRPr="00813401" w:rsidRDefault="00AD651B" w:rsidP="00AD651B">
            <w:pPr>
              <w:jc w:val="both"/>
              <w:rPr>
                <w:sz w:val="20"/>
                <w:lang w:val="fr-CA"/>
              </w:rPr>
            </w:pPr>
            <w:r w:rsidRPr="00813401">
              <w:rPr>
                <w:sz w:val="20"/>
                <w:lang w:val="fr-CA"/>
              </w:rPr>
              <w:t>Jugements et ordonnances – Ordonnances interlocutoires – Requête en radiation – Un des intimés a présenté une requête en radiation d’un certain nombre de paragraphes et de pièces de l’affidavit que la demanderesse a déposé au soutien de sa demande de contrôle judiciaire – Les Règles de la Cour fédérale doivent-elles être interprétées d’une façon suffisamment large et juste pour permettre aux tribunaux fédéraux de corriger leurs propres erreurs manifestes afin d’éviter des manquements à la justice fondamentale? – Le statut d’un membre de la Commission des relations de travail et de l’emploi dans la fonction publique en tant que bénéficiaire du régime de retraite de l’agent de négociation engendre-t-il une crainte raisonnable de partialité?</w:t>
            </w:r>
          </w:p>
        </w:tc>
      </w:tr>
      <w:tr w:rsidR="00AD651B" w:rsidRPr="00813401" w:rsidTr="00AD651B">
        <w:tc>
          <w:tcPr>
            <w:tcW w:w="5000" w:type="pct"/>
            <w:gridSpan w:val="4"/>
          </w:tcPr>
          <w:p w:rsidR="00AD651B" w:rsidRPr="00813401" w:rsidRDefault="00AD651B" w:rsidP="00AD651B">
            <w:pPr>
              <w:jc w:val="both"/>
              <w:rPr>
                <w:sz w:val="20"/>
                <w:lang w:val="fr-CA"/>
              </w:rPr>
            </w:pPr>
          </w:p>
        </w:tc>
      </w:tr>
      <w:tr w:rsidR="00AD651B" w:rsidRPr="00813401" w:rsidTr="00AD651B">
        <w:tc>
          <w:tcPr>
            <w:tcW w:w="5000" w:type="pct"/>
            <w:gridSpan w:val="4"/>
          </w:tcPr>
          <w:p w:rsidR="00AD651B" w:rsidRPr="00813401" w:rsidRDefault="00AD651B" w:rsidP="00AD651B">
            <w:pPr>
              <w:jc w:val="both"/>
              <w:rPr>
                <w:sz w:val="20"/>
                <w:lang w:val="fr-CA"/>
              </w:rPr>
            </w:pPr>
            <w:r w:rsidRPr="00813401">
              <w:rPr>
                <w:sz w:val="20"/>
                <w:lang w:val="fr-CA"/>
              </w:rPr>
              <w:t>La demanderesse a sollicité le réexamen d’une décision de la Commission des relations de travail et de l’emploi dans la fonction publique (la « Commission ») du 21 février 2008. Elle a allégué qu’un membre de la formation saisie de cette affaire était partial. Le 29 juin 2015, la Commission a rejeté la demande de réexamen de la décision de 2008. La demanderesse a sollicité le contrôle judiciaire de cette décision et a déposé un affidavit à l’appui de sa demande. L’intimé, l’Institut professionnel de la fonction publique du Canada, a demandé une ordonnance en radiation d’un certain nombre de paragraphes et de pièces de l’affidavit, plaidant que dans une demande de contrôle judiciaire, la cour ne doit examiner que la preuve qui se trouvait devant l’organisme administratif. La demanderesse a fait valoir que les paragraphes et les pièces concernent bien la partialité alléguée d’un des membres de la Commission et une atteinte à la justice naturelle dans l’ensemble.</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24 novembre 2015</w:t>
            </w:r>
          </w:p>
          <w:p w:rsidR="00AD651B" w:rsidRPr="00813401" w:rsidRDefault="00AD651B" w:rsidP="00AD651B">
            <w:pPr>
              <w:jc w:val="both"/>
              <w:rPr>
                <w:sz w:val="20"/>
                <w:lang w:val="fr-CA"/>
              </w:rPr>
            </w:pPr>
            <w:r w:rsidRPr="00813401">
              <w:rPr>
                <w:sz w:val="20"/>
                <w:lang w:val="fr-CA"/>
              </w:rPr>
              <w:t xml:space="preserve">Cour d’appel fédérale </w:t>
            </w:r>
          </w:p>
          <w:p w:rsidR="00AD651B" w:rsidRPr="00813401" w:rsidRDefault="00AD651B" w:rsidP="00AD651B">
            <w:pPr>
              <w:jc w:val="both"/>
              <w:rPr>
                <w:sz w:val="20"/>
                <w:lang w:val="fr-CA"/>
              </w:rPr>
            </w:pPr>
            <w:r w:rsidRPr="00813401">
              <w:rPr>
                <w:sz w:val="20"/>
                <w:lang w:val="fr-CA"/>
              </w:rPr>
              <w:t>(Juge Stratas)</w:t>
            </w:r>
          </w:p>
          <w:p w:rsidR="00AD651B" w:rsidRPr="00813401" w:rsidRDefault="00AD651B" w:rsidP="00AD651B">
            <w:pPr>
              <w:jc w:val="both"/>
              <w:rPr>
                <w:sz w:val="20"/>
                <w:lang w:val="fr-CA"/>
              </w:rPr>
            </w:pPr>
            <w:hyperlink r:id="rId29" w:history="1">
              <w:r w:rsidRPr="00813401">
                <w:rPr>
                  <w:rStyle w:val="Hyperlink"/>
                  <w:sz w:val="20"/>
                  <w:lang w:val="fr-CA"/>
                </w:rPr>
                <w:t>2015 FCA 263</w:t>
              </w:r>
            </w:hyperlink>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Jugement accueillant la requête d’un des intimés en radiation de certaines parties de l’affidavit de la demanderesse déposée à l’appui de sa demande de contrôle judiciaire.</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7 janvier 2016</w:t>
            </w:r>
          </w:p>
          <w:p w:rsidR="00AD651B" w:rsidRPr="00813401" w:rsidRDefault="00AD651B" w:rsidP="00AD651B">
            <w:pPr>
              <w:jc w:val="both"/>
              <w:rPr>
                <w:sz w:val="20"/>
                <w:lang w:val="fr-CA"/>
              </w:rPr>
            </w:pPr>
            <w:r w:rsidRPr="00813401">
              <w:rPr>
                <w:sz w:val="20"/>
                <w:lang w:val="fr-CA"/>
              </w:rPr>
              <w:lastRenderedPageBreak/>
              <w:t xml:space="preserve">Cour d’appel fédérale </w:t>
            </w:r>
          </w:p>
          <w:p w:rsidR="00AD651B" w:rsidRPr="00813401" w:rsidRDefault="00AD651B" w:rsidP="00AD651B">
            <w:pPr>
              <w:jc w:val="both"/>
              <w:rPr>
                <w:sz w:val="20"/>
                <w:lang w:val="fr-CA"/>
              </w:rPr>
            </w:pPr>
            <w:r w:rsidRPr="00813401">
              <w:rPr>
                <w:sz w:val="20"/>
                <w:lang w:val="fr-CA"/>
              </w:rPr>
              <w:t>(Juge Stratas)</w:t>
            </w:r>
          </w:p>
          <w:p w:rsidR="00AD651B" w:rsidRPr="00813401" w:rsidRDefault="00AD651B" w:rsidP="00AD651B">
            <w:pPr>
              <w:jc w:val="both"/>
              <w:rPr>
                <w:sz w:val="20"/>
                <w:lang w:val="fr-CA"/>
              </w:rPr>
            </w:pPr>
            <w:r w:rsidRPr="00813401">
              <w:rPr>
                <w:sz w:val="20"/>
                <w:lang w:val="fr-CA"/>
              </w:rPr>
              <w:t>Non publié</w:t>
            </w:r>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Rejet de la requête en réexamen de la demanderesse</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lastRenderedPageBreak/>
              <w:t>13 janvier 2016</w:t>
            </w:r>
          </w:p>
          <w:p w:rsidR="00AD651B" w:rsidRPr="00813401" w:rsidRDefault="00AD651B" w:rsidP="00AD651B">
            <w:pPr>
              <w:jc w:val="both"/>
              <w:rPr>
                <w:sz w:val="20"/>
                <w:lang w:val="fr-CA"/>
              </w:rPr>
            </w:pPr>
            <w:r w:rsidRPr="00813401">
              <w:rPr>
                <w:sz w:val="20"/>
                <w:lang w:val="fr-CA"/>
              </w:rPr>
              <w:t>Cour suprême du Canada</w:t>
            </w:r>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Dépôt de la demande d’autorisation d’appel</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25 janvier 2016</w:t>
            </w:r>
          </w:p>
          <w:p w:rsidR="00AD651B" w:rsidRPr="00813401" w:rsidRDefault="00AD651B" w:rsidP="00AD651B">
            <w:pPr>
              <w:jc w:val="both"/>
              <w:rPr>
                <w:sz w:val="20"/>
                <w:lang w:val="fr-CA"/>
              </w:rPr>
            </w:pPr>
            <w:r w:rsidRPr="00813401">
              <w:rPr>
                <w:sz w:val="20"/>
                <w:lang w:val="fr-CA"/>
              </w:rPr>
              <w:t>Cour suprême du Canada</w:t>
            </w: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Dépôt de la demande d’autorisation d’appel</w:t>
            </w:r>
          </w:p>
          <w:p w:rsidR="00AD651B" w:rsidRPr="00813401" w:rsidRDefault="00AD651B" w:rsidP="00AD651B">
            <w:pPr>
              <w:jc w:val="both"/>
              <w:rPr>
                <w:sz w:val="20"/>
                <w:lang w:val="fr-CA"/>
              </w:rPr>
            </w:pPr>
          </w:p>
        </w:tc>
      </w:tr>
    </w:tbl>
    <w:p w:rsidR="00AD651B" w:rsidRPr="00813401" w:rsidRDefault="00AD651B" w:rsidP="00AD651B">
      <w:pPr>
        <w:jc w:val="both"/>
        <w:rPr>
          <w:sz w:val="20"/>
          <w:lang w:val="fr-CA"/>
        </w:rPr>
      </w:pPr>
    </w:p>
    <w:p w:rsidR="00AD651B" w:rsidRPr="00813401" w:rsidRDefault="00AD651B" w:rsidP="00AD65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rPr>
            </w:pPr>
            <w:r w:rsidRPr="00813401">
              <w:rPr>
                <w:rStyle w:val="SCCFileNumberChar"/>
                <w:sz w:val="20"/>
                <w:szCs w:val="20"/>
              </w:rPr>
              <w:t>37262</w:t>
            </w:r>
          </w:p>
        </w:tc>
        <w:tc>
          <w:tcPr>
            <w:tcW w:w="4457" w:type="pct"/>
            <w:gridSpan w:val="3"/>
          </w:tcPr>
          <w:p w:rsidR="00AD651B" w:rsidRPr="00813401" w:rsidRDefault="00AD651B" w:rsidP="00AD651B">
            <w:pPr>
              <w:pStyle w:val="SCCLsocParty"/>
              <w:jc w:val="both"/>
              <w:rPr>
                <w:b/>
                <w:sz w:val="20"/>
                <w:szCs w:val="20"/>
                <w:lang w:val="en-US"/>
              </w:rPr>
            </w:pPr>
            <w:r w:rsidRPr="00813401">
              <w:rPr>
                <w:b/>
                <w:sz w:val="20"/>
                <w:szCs w:val="20"/>
                <w:lang w:val="en-US"/>
              </w:rPr>
              <w:t xml:space="preserve">Arthur </w:t>
            </w:r>
            <w:proofErr w:type="spellStart"/>
            <w:r w:rsidRPr="00813401">
              <w:rPr>
                <w:b/>
                <w:sz w:val="20"/>
                <w:szCs w:val="20"/>
                <w:lang w:val="en-US"/>
              </w:rPr>
              <w:t>Elgasuani</w:t>
            </w:r>
            <w:proofErr w:type="spellEnd"/>
            <w:r w:rsidRPr="00813401">
              <w:rPr>
                <w:b/>
                <w:sz w:val="20"/>
                <w:szCs w:val="20"/>
                <w:lang w:val="en-US"/>
              </w:rPr>
              <w:t xml:space="preserve"> v. Corporation of the Municipality of Port Hope</w:t>
            </w:r>
          </w:p>
          <w:p w:rsidR="00AD651B" w:rsidRPr="00813401" w:rsidRDefault="00AD651B" w:rsidP="00AD651B">
            <w:pPr>
              <w:jc w:val="both"/>
              <w:rPr>
                <w:sz w:val="20"/>
              </w:rPr>
            </w:pPr>
            <w:r w:rsidRPr="00813401">
              <w:rPr>
                <w:sz w:val="20"/>
              </w:rPr>
              <w:t>(Ont.) (Civil) (By Leave)</w:t>
            </w:r>
          </w:p>
        </w:tc>
      </w:tr>
      <w:tr w:rsidR="00AD651B" w:rsidRPr="00813401" w:rsidTr="00AD651B">
        <w:tc>
          <w:tcPr>
            <w:tcW w:w="5000" w:type="pct"/>
            <w:gridSpan w:val="4"/>
          </w:tcPr>
          <w:p w:rsidR="00AD651B" w:rsidRPr="00813401" w:rsidRDefault="00AD651B" w:rsidP="00AD651B">
            <w:pPr>
              <w:jc w:val="both"/>
              <w:rPr>
                <w:sz w:val="20"/>
              </w:rPr>
            </w:pPr>
            <w:r w:rsidRPr="00813401">
              <w:rPr>
                <w:i/>
                <w:sz w:val="20"/>
              </w:rPr>
              <w:t>Charter of Rights</w:t>
            </w:r>
            <w:r w:rsidRPr="00813401">
              <w:rPr>
                <w:sz w:val="20"/>
              </w:rPr>
              <w:t xml:space="preserve"> – Presumption of innocence – Municipal law – Zoning – By-laws – Applicant purchasing land subject to development freeze and erecting structure on it – Municipality ordering applicant to clear structure and debris from his property – Whether illegal municipal bylaw disregards what provincial law allows – Whether Municipality should be ordered to stop harassing applicant</w:t>
            </w:r>
          </w:p>
        </w:tc>
      </w:tr>
      <w:tr w:rsidR="00AD651B" w:rsidRPr="00813401" w:rsidTr="00AD651B">
        <w:tc>
          <w:tcPr>
            <w:tcW w:w="5000" w:type="pct"/>
            <w:gridSpan w:val="4"/>
          </w:tcPr>
          <w:p w:rsidR="00AD651B" w:rsidRPr="00813401" w:rsidRDefault="00AD651B" w:rsidP="00AD651B">
            <w:pPr>
              <w:jc w:val="both"/>
              <w:rPr>
                <w:sz w:val="20"/>
              </w:rPr>
            </w:pPr>
          </w:p>
        </w:tc>
      </w:tr>
      <w:tr w:rsidR="00AD651B" w:rsidRPr="00813401" w:rsidTr="00AD651B">
        <w:tc>
          <w:tcPr>
            <w:tcW w:w="5000" w:type="pct"/>
            <w:gridSpan w:val="4"/>
          </w:tcPr>
          <w:p w:rsidR="00AD651B" w:rsidRPr="00813401" w:rsidRDefault="00AD651B" w:rsidP="00AD651B">
            <w:pPr>
              <w:jc w:val="both"/>
              <w:rPr>
                <w:sz w:val="20"/>
              </w:rPr>
            </w:pPr>
            <w:r w:rsidRPr="00813401">
              <w:rPr>
                <w:sz w:val="20"/>
              </w:rPr>
              <w:t>In 2013, Mr. </w:t>
            </w:r>
            <w:proofErr w:type="spellStart"/>
            <w:r w:rsidRPr="00813401">
              <w:rPr>
                <w:sz w:val="20"/>
              </w:rPr>
              <w:t>Elgasuani</w:t>
            </w:r>
            <w:proofErr w:type="spellEnd"/>
            <w:r w:rsidRPr="00813401">
              <w:rPr>
                <w:sz w:val="20"/>
              </w:rPr>
              <w:t xml:space="preserve"> purchased a rural, </w:t>
            </w:r>
            <w:proofErr w:type="spellStart"/>
            <w:r w:rsidRPr="00813401">
              <w:rPr>
                <w:sz w:val="20"/>
              </w:rPr>
              <w:t>unserviced</w:t>
            </w:r>
            <w:proofErr w:type="spellEnd"/>
            <w:r w:rsidRPr="00813401">
              <w:rPr>
                <w:sz w:val="20"/>
              </w:rPr>
              <w:t xml:space="preserve"> lot in the Municipality of Port Hope that was subject to a development freeze pursuant to zoning restrictions. No buildings, structures, tents or trailers were permitted on the property. These development restrictions were registered on the title of the property at the time of purchase. Mr. </w:t>
            </w:r>
            <w:proofErr w:type="spellStart"/>
            <w:r w:rsidRPr="00813401">
              <w:rPr>
                <w:sz w:val="20"/>
              </w:rPr>
              <w:t>Elgasuani</w:t>
            </w:r>
            <w:proofErr w:type="spellEnd"/>
            <w:r w:rsidRPr="00813401">
              <w:rPr>
                <w:sz w:val="20"/>
              </w:rPr>
              <w:t xml:space="preserve"> built a two story structure on the property consisting of poles, planks, plywood and tarp. In response to a complaint, the Municipality inspected the property and issued two orders. One order was issued under the Municipality’s Property Standards By-Law and required Mr. </w:t>
            </w:r>
            <w:proofErr w:type="spellStart"/>
            <w:r w:rsidRPr="00813401">
              <w:rPr>
                <w:sz w:val="20"/>
              </w:rPr>
              <w:t>Elgasuani</w:t>
            </w:r>
            <w:proofErr w:type="spellEnd"/>
            <w:r w:rsidRPr="00813401">
              <w:rPr>
                <w:sz w:val="20"/>
              </w:rPr>
              <w:t xml:space="preserve"> to clear the property of all buildings and structures. The second, the Order to Comply, was issued under the </w:t>
            </w:r>
            <w:r w:rsidRPr="00813401">
              <w:rPr>
                <w:i/>
                <w:sz w:val="20"/>
              </w:rPr>
              <w:t>Building Code Act, 1992</w:t>
            </w:r>
            <w:r w:rsidRPr="00813401">
              <w:rPr>
                <w:sz w:val="20"/>
              </w:rPr>
              <w:t>, S.O. 1992, c. 23 for construction without a building permit and required all buildings be removed. No building permits were available due to the development freeze. Mr. </w:t>
            </w:r>
            <w:proofErr w:type="spellStart"/>
            <w:r w:rsidRPr="00813401">
              <w:rPr>
                <w:sz w:val="20"/>
              </w:rPr>
              <w:t>Elgasuani’s</w:t>
            </w:r>
            <w:proofErr w:type="spellEnd"/>
            <w:r w:rsidRPr="00813401">
              <w:rPr>
                <w:sz w:val="20"/>
              </w:rPr>
              <w:t xml:space="preserve"> appeal of the Property Standards Order to the Property Standard’s Committee was dismissed.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September 25, 2014</w:t>
            </w:r>
          </w:p>
          <w:p w:rsidR="00AD651B" w:rsidRPr="00813401" w:rsidRDefault="00AD651B" w:rsidP="00AD651B">
            <w:pPr>
              <w:jc w:val="both"/>
              <w:rPr>
                <w:sz w:val="20"/>
              </w:rPr>
            </w:pPr>
            <w:r w:rsidRPr="00813401">
              <w:rPr>
                <w:sz w:val="20"/>
              </w:rPr>
              <w:t xml:space="preserve">Ontario Superior Court of Justice </w:t>
            </w:r>
          </w:p>
          <w:p w:rsidR="00AD651B" w:rsidRPr="00813401" w:rsidRDefault="00AD651B" w:rsidP="00AD651B">
            <w:pPr>
              <w:jc w:val="both"/>
              <w:rPr>
                <w:sz w:val="20"/>
              </w:rPr>
            </w:pPr>
            <w:r w:rsidRPr="00813401">
              <w:rPr>
                <w:sz w:val="20"/>
              </w:rPr>
              <w:t>(</w:t>
            </w:r>
            <w:proofErr w:type="spellStart"/>
            <w:r w:rsidRPr="00813401">
              <w:rPr>
                <w:sz w:val="20"/>
              </w:rPr>
              <w:t>Belobaba</w:t>
            </w:r>
            <w:proofErr w:type="spellEnd"/>
            <w:r w:rsidRPr="00813401">
              <w:rPr>
                <w:sz w:val="20"/>
              </w:rPr>
              <w:t xml:space="preserve"> J.)</w:t>
            </w:r>
          </w:p>
          <w:p w:rsidR="00AD651B" w:rsidRPr="00813401" w:rsidRDefault="00AD651B" w:rsidP="00AD651B">
            <w:pPr>
              <w:jc w:val="both"/>
              <w:rPr>
                <w:sz w:val="20"/>
              </w:rPr>
            </w:pPr>
            <w:r w:rsidRPr="00813401">
              <w:rPr>
                <w:sz w:val="20"/>
              </w:rPr>
              <w:t>Unreported</w:t>
            </w: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Applicant’s appeal of decision of respondent’s Property Standards Committee</w:t>
            </w:r>
          </w:p>
        </w:tc>
      </w:tr>
      <w:tr w:rsidR="00AD651B" w:rsidRPr="00813401" w:rsidTr="00AD651B">
        <w:tc>
          <w:tcPr>
            <w:tcW w:w="2427" w:type="pct"/>
            <w:gridSpan w:val="2"/>
          </w:tcPr>
          <w:p w:rsidR="00AD651B" w:rsidRPr="00813401" w:rsidRDefault="00AD651B" w:rsidP="00AD651B">
            <w:pPr>
              <w:jc w:val="both"/>
              <w:rPr>
                <w:sz w:val="20"/>
              </w:rPr>
            </w:pPr>
            <w:r w:rsidRPr="00813401">
              <w:rPr>
                <w:sz w:val="20"/>
              </w:rPr>
              <w:t>April 8, 2016</w:t>
            </w:r>
          </w:p>
          <w:p w:rsidR="00AD651B" w:rsidRPr="00813401" w:rsidRDefault="00AD651B" w:rsidP="00AD651B">
            <w:pPr>
              <w:jc w:val="both"/>
              <w:rPr>
                <w:sz w:val="20"/>
              </w:rPr>
            </w:pPr>
            <w:r w:rsidRPr="00813401">
              <w:rPr>
                <w:sz w:val="20"/>
              </w:rPr>
              <w:t>Ontario Superior Court of Justice</w:t>
            </w:r>
          </w:p>
          <w:p w:rsidR="00AD651B" w:rsidRPr="00813401" w:rsidRDefault="00AD651B" w:rsidP="00AD651B">
            <w:pPr>
              <w:jc w:val="both"/>
              <w:rPr>
                <w:sz w:val="20"/>
              </w:rPr>
            </w:pPr>
            <w:r w:rsidRPr="00813401">
              <w:rPr>
                <w:sz w:val="20"/>
              </w:rPr>
              <w:t>Divisional Court</w:t>
            </w:r>
          </w:p>
          <w:p w:rsidR="00AD651B" w:rsidRPr="00813401" w:rsidRDefault="00AD651B" w:rsidP="00AD651B">
            <w:pPr>
              <w:jc w:val="both"/>
              <w:rPr>
                <w:sz w:val="20"/>
              </w:rPr>
            </w:pPr>
            <w:r w:rsidRPr="00813401">
              <w:rPr>
                <w:sz w:val="20"/>
              </w:rPr>
              <w:t>(</w:t>
            </w:r>
            <w:proofErr w:type="spellStart"/>
            <w:r w:rsidRPr="00813401">
              <w:rPr>
                <w:sz w:val="20"/>
              </w:rPr>
              <w:t>Morawetz</w:t>
            </w:r>
            <w:proofErr w:type="spellEnd"/>
            <w:r w:rsidRPr="00813401">
              <w:rPr>
                <w:sz w:val="20"/>
              </w:rPr>
              <w:t>, Sachs and Stewart JJ.)</w:t>
            </w:r>
          </w:p>
          <w:p w:rsidR="00AD651B" w:rsidRPr="00813401" w:rsidRDefault="00AD651B" w:rsidP="00AD651B">
            <w:pPr>
              <w:jc w:val="both"/>
              <w:rPr>
                <w:sz w:val="20"/>
              </w:rPr>
            </w:pPr>
            <w:hyperlink r:id="rId30" w:history="1">
              <w:r w:rsidRPr="00813401">
                <w:rPr>
                  <w:rStyle w:val="Hyperlink"/>
                  <w:sz w:val="20"/>
                </w:rPr>
                <w:t>2016 ONSC 2282</w:t>
              </w:r>
            </w:hyperlink>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Applicant’s appeal dismissed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August 23, 2016</w:t>
            </w:r>
          </w:p>
          <w:p w:rsidR="00AD651B" w:rsidRPr="00813401" w:rsidRDefault="00AD651B" w:rsidP="00AD651B">
            <w:pPr>
              <w:jc w:val="both"/>
              <w:rPr>
                <w:sz w:val="20"/>
              </w:rPr>
            </w:pPr>
            <w:r w:rsidRPr="00813401">
              <w:rPr>
                <w:sz w:val="20"/>
              </w:rPr>
              <w:t>Court of Appeal for Ontario</w:t>
            </w:r>
          </w:p>
          <w:p w:rsidR="00AD651B" w:rsidRPr="00813401" w:rsidRDefault="00AD651B" w:rsidP="00AD651B">
            <w:pPr>
              <w:jc w:val="both"/>
              <w:rPr>
                <w:sz w:val="20"/>
              </w:rPr>
            </w:pPr>
            <w:r w:rsidRPr="00813401">
              <w:rPr>
                <w:sz w:val="20"/>
              </w:rPr>
              <w:t xml:space="preserve">(Feldman, Simmons and </w:t>
            </w:r>
            <w:proofErr w:type="spellStart"/>
            <w:r w:rsidRPr="00813401">
              <w:rPr>
                <w:sz w:val="20"/>
              </w:rPr>
              <w:t>Lauwers</w:t>
            </w:r>
            <w:proofErr w:type="spellEnd"/>
            <w:r w:rsidRPr="00813401">
              <w:rPr>
                <w:sz w:val="20"/>
              </w:rPr>
              <w:t xml:space="preserve"> JJ.A.)</w:t>
            </w:r>
          </w:p>
          <w:p w:rsidR="00AD651B" w:rsidRPr="00813401" w:rsidRDefault="00AD651B" w:rsidP="00AD651B">
            <w:pPr>
              <w:jc w:val="both"/>
              <w:rPr>
                <w:sz w:val="20"/>
              </w:rPr>
            </w:pPr>
            <w:r w:rsidRPr="00813401">
              <w:rPr>
                <w:sz w:val="20"/>
              </w:rPr>
              <w:t>Unreported</w:t>
            </w:r>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Applicant’s application for leave to appeal dismissed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October 21, 2016</w:t>
            </w:r>
          </w:p>
          <w:p w:rsidR="00AD651B" w:rsidRPr="00813401" w:rsidRDefault="00AD651B" w:rsidP="00AD651B">
            <w:pPr>
              <w:jc w:val="both"/>
              <w:rPr>
                <w:sz w:val="20"/>
              </w:rPr>
            </w:pPr>
            <w:r w:rsidRPr="00813401">
              <w:rPr>
                <w:sz w:val="20"/>
              </w:rPr>
              <w:t>Supreme Court of Canada</w:t>
            </w: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Application for leave to appeal filed</w:t>
            </w:r>
          </w:p>
          <w:p w:rsidR="00AD651B" w:rsidRPr="00813401" w:rsidRDefault="00AD651B" w:rsidP="00AD651B">
            <w:pPr>
              <w:jc w:val="both"/>
              <w:rPr>
                <w:sz w:val="20"/>
              </w:rPr>
            </w:pPr>
          </w:p>
        </w:tc>
      </w:tr>
    </w:tbl>
    <w:p w:rsidR="00AD651B" w:rsidRPr="00813401" w:rsidRDefault="00AD651B" w:rsidP="00AD651B">
      <w:pPr>
        <w:jc w:val="both"/>
        <w:rPr>
          <w:sz w:val="20"/>
        </w:rPr>
      </w:pPr>
    </w:p>
    <w:p w:rsidR="00AD651B" w:rsidRPr="00813401" w:rsidRDefault="00AD651B" w:rsidP="00AD65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lang w:val="fr-CA"/>
              </w:rPr>
            </w:pPr>
            <w:r w:rsidRPr="00813401">
              <w:rPr>
                <w:rStyle w:val="SCCFileNumberChar"/>
                <w:sz w:val="20"/>
                <w:szCs w:val="20"/>
                <w:lang w:val="fr-CA"/>
              </w:rPr>
              <w:t>37262</w:t>
            </w:r>
          </w:p>
        </w:tc>
        <w:tc>
          <w:tcPr>
            <w:tcW w:w="4457" w:type="pct"/>
            <w:gridSpan w:val="3"/>
          </w:tcPr>
          <w:p w:rsidR="00AD651B" w:rsidRPr="00813401" w:rsidRDefault="00AD651B" w:rsidP="00AD651B">
            <w:pPr>
              <w:pStyle w:val="SCCLsocParty"/>
              <w:jc w:val="both"/>
              <w:rPr>
                <w:b/>
                <w:sz w:val="20"/>
                <w:szCs w:val="20"/>
                <w:lang w:val="en-US"/>
              </w:rPr>
            </w:pPr>
            <w:r w:rsidRPr="00813401">
              <w:rPr>
                <w:b/>
                <w:sz w:val="20"/>
                <w:szCs w:val="20"/>
                <w:lang w:val="en-US"/>
              </w:rPr>
              <w:t xml:space="preserve">Arthur </w:t>
            </w:r>
            <w:proofErr w:type="spellStart"/>
            <w:r w:rsidRPr="00813401">
              <w:rPr>
                <w:b/>
                <w:sz w:val="20"/>
                <w:szCs w:val="20"/>
                <w:lang w:val="en-US"/>
              </w:rPr>
              <w:t>Elgasuani</w:t>
            </w:r>
            <w:proofErr w:type="spellEnd"/>
            <w:r w:rsidRPr="00813401">
              <w:rPr>
                <w:b/>
                <w:sz w:val="20"/>
                <w:szCs w:val="20"/>
                <w:lang w:val="en-US"/>
              </w:rPr>
              <w:t xml:space="preserve"> c. Corporation of the Municipality of Port Hope</w:t>
            </w:r>
          </w:p>
          <w:p w:rsidR="00AD651B" w:rsidRPr="00813401" w:rsidRDefault="00AD651B" w:rsidP="00AD651B">
            <w:pPr>
              <w:jc w:val="both"/>
              <w:rPr>
                <w:sz w:val="20"/>
                <w:lang w:val="fr-CA"/>
              </w:rPr>
            </w:pPr>
            <w:r w:rsidRPr="00813401">
              <w:rPr>
                <w:sz w:val="20"/>
                <w:lang w:val="fr-CA"/>
              </w:rPr>
              <w:t>(Ont.) (Civile) (Sur autorisation)</w:t>
            </w:r>
          </w:p>
        </w:tc>
      </w:tr>
      <w:tr w:rsidR="00AD651B" w:rsidRPr="00813401" w:rsidTr="00AD651B">
        <w:tc>
          <w:tcPr>
            <w:tcW w:w="5000" w:type="pct"/>
            <w:gridSpan w:val="4"/>
          </w:tcPr>
          <w:p w:rsidR="00AD651B" w:rsidRPr="00813401" w:rsidRDefault="00AD651B" w:rsidP="00AD651B">
            <w:pPr>
              <w:jc w:val="both"/>
              <w:rPr>
                <w:sz w:val="20"/>
                <w:lang w:val="fr-CA"/>
              </w:rPr>
            </w:pPr>
            <w:r w:rsidRPr="00813401">
              <w:rPr>
                <w:i/>
                <w:sz w:val="20"/>
                <w:lang w:val="fr-CA"/>
              </w:rPr>
              <w:lastRenderedPageBreak/>
              <w:t xml:space="preserve">Charte des droits </w:t>
            </w:r>
            <w:r w:rsidRPr="00813401">
              <w:rPr>
                <w:sz w:val="20"/>
                <w:lang w:val="fr-CA"/>
              </w:rPr>
              <w:t xml:space="preserve">– Présomption d’innocence – Droit municipal – Zonage – Règlements –Achat par le demandeur d’un bien-fonds dont l’aménagement faisait l’objet d’un moratoire et construction d’une structure par celui-ci – Ordre de la municipalité au demandeur d’enlever la structure et les débris de sa propriété – S’agit-il d’un règlement municipal illégal qui ne tient pas compte de ce que permet la loi provinciale? – La municipalité devrait-elle être contrainte de cesser de harceler le demandeur? </w:t>
            </w:r>
          </w:p>
        </w:tc>
      </w:tr>
      <w:tr w:rsidR="00AD651B" w:rsidRPr="00813401" w:rsidTr="00AD651B">
        <w:tc>
          <w:tcPr>
            <w:tcW w:w="5000" w:type="pct"/>
            <w:gridSpan w:val="4"/>
          </w:tcPr>
          <w:p w:rsidR="00AD651B" w:rsidRPr="00813401" w:rsidRDefault="00AD651B" w:rsidP="00AD651B">
            <w:pPr>
              <w:jc w:val="both"/>
              <w:rPr>
                <w:sz w:val="20"/>
                <w:lang w:val="fr-CA"/>
              </w:rPr>
            </w:pPr>
          </w:p>
        </w:tc>
      </w:tr>
      <w:tr w:rsidR="00AD651B" w:rsidRPr="00813401" w:rsidTr="00AD651B">
        <w:tc>
          <w:tcPr>
            <w:tcW w:w="5000" w:type="pct"/>
            <w:gridSpan w:val="4"/>
          </w:tcPr>
          <w:p w:rsidR="00AD651B" w:rsidRPr="00813401" w:rsidRDefault="00AD651B" w:rsidP="00AD651B">
            <w:pPr>
              <w:jc w:val="both"/>
              <w:rPr>
                <w:sz w:val="20"/>
                <w:lang w:val="fr-CA"/>
              </w:rPr>
            </w:pPr>
            <w:r w:rsidRPr="00813401">
              <w:rPr>
                <w:sz w:val="20"/>
                <w:lang w:val="fr-CA"/>
              </w:rPr>
              <w:t xml:space="preserve">En 2013, M. Elgasuani a acheté un lot rural non viabilisé situé dans la municipalité de Port Hope, dont l’aménagement faisait l’objet d’un moratoire conformément à des restrictions de zonage. Aucun bâtiment, structure, tente ou remorque ne pouvait être construit ou installé sur la propriété. Ces restrictions ont été consignées sur le titre de propriété lors de l’achat. M. Elgasuani a construit sur la propriété une structure de deux étages composée de poteaux, de madriers, de panneaux de contreplaqué et de bâches. En réponse à une plainte, la municipalité a inspecté la propriété et pris deux mesures. Selon la première, prise en application du </w:t>
            </w:r>
            <w:proofErr w:type="spellStart"/>
            <w:r w:rsidRPr="00813401">
              <w:rPr>
                <w:i/>
                <w:sz w:val="20"/>
                <w:lang w:val="fr-CA"/>
              </w:rPr>
              <w:t>Property</w:t>
            </w:r>
            <w:proofErr w:type="spellEnd"/>
            <w:r w:rsidRPr="00813401">
              <w:rPr>
                <w:i/>
                <w:sz w:val="20"/>
                <w:lang w:val="fr-CA"/>
              </w:rPr>
              <w:t xml:space="preserve"> Standards By-L</w:t>
            </w:r>
            <w:r w:rsidRPr="00813401">
              <w:rPr>
                <w:sz w:val="20"/>
                <w:lang w:val="fr-CA"/>
              </w:rPr>
              <w:t>aw (Règlement sur les normes d’entretien des biens) de la municipalité, M. </w:t>
            </w:r>
            <w:proofErr w:type="spellStart"/>
            <w:r w:rsidRPr="00813401">
              <w:rPr>
                <w:sz w:val="20"/>
                <w:lang w:val="fr-CA"/>
              </w:rPr>
              <w:t>Elgasuani</w:t>
            </w:r>
            <w:proofErr w:type="spellEnd"/>
            <w:r w:rsidRPr="00813401">
              <w:rPr>
                <w:sz w:val="20"/>
                <w:lang w:val="fr-CA"/>
              </w:rPr>
              <w:t xml:space="preserve"> devait enlever tous les bâtiments et structures se trouvant sur sa propriété. La seconde, une ordonnance de se conformer prise en application de la </w:t>
            </w:r>
            <w:r w:rsidRPr="00813401">
              <w:rPr>
                <w:i/>
                <w:sz w:val="20"/>
                <w:lang w:val="fr-CA"/>
              </w:rPr>
              <w:t xml:space="preserve">Loi de 1992 sur le code du bâtiment, </w:t>
            </w:r>
            <w:r w:rsidRPr="00813401">
              <w:rPr>
                <w:sz w:val="20"/>
                <w:lang w:val="fr-CA"/>
              </w:rPr>
              <w:t>L.O. 1992, c. 23 par suite de la construction sans permis, exigeait la démolition de tous les bâtiments. Aucun permis de construction ne pouvait être obtenu en raison du moratoire touchant l’aménagement. L’appel interjeté par M. </w:t>
            </w:r>
            <w:proofErr w:type="spellStart"/>
            <w:r w:rsidRPr="00813401">
              <w:rPr>
                <w:sz w:val="20"/>
                <w:lang w:val="fr-CA"/>
              </w:rPr>
              <w:t>Elgasuani</w:t>
            </w:r>
            <w:proofErr w:type="spellEnd"/>
            <w:r w:rsidRPr="00813401">
              <w:rPr>
                <w:sz w:val="20"/>
                <w:lang w:val="fr-CA"/>
              </w:rPr>
              <w:t xml:space="preserve"> auprès du Comité des normes foncières à l’égard de la première mesure a été rejeté.</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25 septembre 2014</w:t>
            </w:r>
          </w:p>
          <w:p w:rsidR="00AD651B" w:rsidRPr="00813401" w:rsidRDefault="00AD651B" w:rsidP="00AD651B">
            <w:pPr>
              <w:jc w:val="both"/>
              <w:rPr>
                <w:sz w:val="20"/>
                <w:lang w:val="fr-CA"/>
              </w:rPr>
            </w:pPr>
            <w:r w:rsidRPr="00813401">
              <w:rPr>
                <w:sz w:val="20"/>
                <w:lang w:val="fr-CA"/>
              </w:rPr>
              <w:t xml:space="preserve">Cour supérieure de justice de l’Ontario </w:t>
            </w:r>
          </w:p>
          <w:p w:rsidR="00AD651B" w:rsidRPr="00813401" w:rsidRDefault="00AD651B" w:rsidP="00AD651B">
            <w:pPr>
              <w:jc w:val="both"/>
              <w:rPr>
                <w:sz w:val="20"/>
                <w:lang w:val="fr-CA"/>
              </w:rPr>
            </w:pPr>
            <w:r w:rsidRPr="00813401">
              <w:rPr>
                <w:sz w:val="20"/>
                <w:lang w:val="fr-CA"/>
              </w:rPr>
              <w:t>(Juge Belobaba)</w:t>
            </w:r>
          </w:p>
          <w:p w:rsidR="00AD651B" w:rsidRPr="00813401" w:rsidRDefault="00AD651B" w:rsidP="00AD651B">
            <w:pPr>
              <w:jc w:val="both"/>
              <w:rPr>
                <w:sz w:val="20"/>
                <w:lang w:val="fr-CA"/>
              </w:rPr>
            </w:pPr>
            <w:r w:rsidRPr="00813401">
              <w:rPr>
                <w:sz w:val="20"/>
                <w:lang w:val="fr-CA"/>
              </w:rPr>
              <w:t>Décision non publiée</w:t>
            </w:r>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Appel du demandeur à l’égard d’une décision du Comité des normes foncières de l’intimée</w:t>
            </w: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8 avril 2016</w:t>
            </w:r>
          </w:p>
          <w:p w:rsidR="00AD651B" w:rsidRPr="00813401" w:rsidRDefault="00AD651B" w:rsidP="00AD651B">
            <w:pPr>
              <w:jc w:val="both"/>
              <w:rPr>
                <w:sz w:val="20"/>
                <w:lang w:val="fr-CA"/>
              </w:rPr>
            </w:pPr>
            <w:r w:rsidRPr="00813401">
              <w:rPr>
                <w:sz w:val="20"/>
                <w:lang w:val="fr-CA"/>
              </w:rPr>
              <w:t xml:space="preserve">Cour supérieure de justice de l’Ontario </w:t>
            </w:r>
          </w:p>
          <w:p w:rsidR="00AD651B" w:rsidRPr="00813401" w:rsidRDefault="00AD651B" w:rsidP="00AD651B">
            <w:pPr>
              <w:jc w:val="both"/>
              <w:rPr>
                <w:sz w:val="20"/>
                <w:lang w:val="fr-CA"/>
              </w:rPr>
            </w:pPr>
            <w:r w:rsidRPr="00813401">
              <w:rPr>
                <w:sz w:val="20"/>
                <w:lang w:val="fr-CA"/>
              </w:rPr>
              <w:t>Cour divisionnaire</w:t>
            </w:r>
          </w:p>
          <w:p w:rsidR="00AD651B" w:rsidRPr="00813401" w:rsidRDefault="00AD651B" w:rsidP="00AD651B">
            <w:pPr>
              <w:jc w:val="both"/>
              <w:rPr>
                <w:sz w:val="20"/>
                <w:lang w:val="fr-CA"/>
              </w:rPr>
            </w:pPr>
            <w:r w:rsidRPr="00813401">
              <w:rPr>
                <w:sz w:val="20"/>
                <w:lang w:val="fr-CA"/>
              </w:rPr>
              <w:t xml:space="preserve">(Juges </w:t>
            </w:r>
            <w:proofErr w:type="spellStart"/>
            <w:r w:rsidRPr="00813401">
              <w:rPr>
                <w:sz w:val="20"/>
                <w:lang w:val="fr-CA"/>
              </w:rPr>
              <w:t>Morawetz</w:t>
            </w:r>
            <w:proofErr w:type="spellEnd"/>
            <w:r w:rsidRPr="00813401">
              <w:rPr>
                <w:sz w:val="20"/>
                <w:lang w:val="fr-CA"/>
              </w:rPr>
              <w:t>, Sachs et Stewart)</w:t>
            </w:r>
          </w:p>
          <w:p w:rsidR="00AD651B" w:rsidRPr="00813401" w:rsidRDefault="00AD651B" w:rsidP="00AD651B">
            <w:pPr>
              <w:jc w:val="both"/>
              <w:rPr>
                <w:sz w:val="20"/>
                <w:lang w:val="fr-CA"/>
              </w:rPr>
            </w:pPr>
            <w:hyperlink r:id="rId31" w:history="1">
              <w:r w:rsidRPr="00813401">
                <w:rPr>
                  <w:rStyle w:val="Hyperlink"/>
                  <w:sz w:val="20"/>
                  <w:lang w:val="fr-CA"/>
                </w:rPr>
                <w:t>2016 ONSC 2282</w:t>
              </w:r>
            </w:hyperlink>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Rejet de l’appel du demandeur</w:t>
            </w: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23 août 2016</w:t>
            </w:r>
          </w:p>
          <w:p w:rsidR="00AD651B" w:rsidRPr="00813401" w:rsidRDefault="00AD651B" w:rsidP="00AD651B">
            <w:pPr>
              <w:jc w:val="both"/>
              <w:rPr>
                <w:sz w:val="20"/>
                <w:lang w:val="fr-CA"/>
              </w:rPr>
            </w:pPr>
            <w:r w:rsidRPr="00813401">
              <w:rPr>
                <w:sz w:val="20"/>
                <w:lang w:val="fr-CA"/>
              </w:rPr>
              <w:t>Cour d’appel de l’Ontario</w:t>
            </w:r>
          </w:p>
          <w:p w:rsidR="00AD651B" w:rsidRPr="00813401" w:rsidRDefault="00AD651B" w:rsidP="00AD651B">
            <w:pPr>
              <w:jc w:val="both"/>
              <w:rPr>
                <w:sz w:val="20"/>
                <w:lang w:val="fr-CA"/>
              </w:rPr>
            </w:pPr>
            <w:r w:rsidRPr="00813401">
              <w:rPr>
                <w:sz w:val="20"/>
                <w:lang w:val="fr-CA"/>
              </w:rPr>
              <w:t xml:space="preserve">(Juges </w:t>
            </w:r>
            <w:proofErr w:type="spellStart"/>
            <w:r w:rsidRPr="00813401">
              <w:rPr>
                <w:sz w:val="20"/>
                <w:lang w:val="fr-CA"/>
              </w:rPr>
              <w:t>Feldman</w:t>
            </w:r>
            <w:proofErr w:type="spellEnd"/>
            <w:r w:rsidRPr="00813401">
              <w:rPr>
                <w:sz w:val="20"/>
                <w:lang w:val="fr-CA"/>
              </w:rPr>
              <w:t xml:space="preserve">, Simmons et </w:t>
            </w:r>
            <w:proofErr w:type="spellStart"/>
            <w:r w:rsidRPr="00813401">
              <w:rPr>
                <w:sz w:val="20"/>
                <w:lang w:val="fr-CA"/>
              </w:rPr>
              <w:t>Lauwers</w:t>
            </w:r>
            <w:proofErr w:type="spellEnd"/>
            <w:r w:rsidRPr="00813401">
              <w:rPr>
                <w:sz w:val="20"/>
                <w:lang w:val="fr-CA"/>
              </w:rPr>
              <w:t>)</w:t>
            </w:r>
          </w:p>
          <w:p w:rsidR="00AD651B" w:rsidRPr="00813401" w:rsidRDefault="00AD651B" w:rsidP="00AD651B">
            <w:pPr>
              <w:jc w:val="both"/>
              <w:rPr>
                <w:sz w:val="20"/>
                <w:lang w:val="fr-CA"/>
              </w:rPr>
            </w:pPr>
            <w:r w:rsidRPr="00813401">
              <w:rPr>
                <w:sz w:val="20"/>
                <w:lang w:val="fr-CA"/>
              </w:rPr>
              <w:t>Jugement non publié</w:t>
            </w:r>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Rejet de la demande d’autorisation d’appel du demandeur</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21 octobre 2016</w:t>
            </w:r>
          </w:p>
          <w:p w:rsidR="00AD651B" w:rsidRPr="00813401" w:rsidRDefault="00AD651B" w:rsidP="00AD651B">
            <w:pPr>
              <w:jc w:val="both"/>
              <w:rPr>
                <w:sz w:val="20"/>
                <w:lang w:val="fr-CA"/>
              </w:rPr>
            </w:pPr>
            <w:r w:rsidRPr="00813401">
              <w:rPr>
                <w:sz w:val="20"/>
                <w:lang w:val="fr-CA"/>
              </w:rPr>
              <w:t xml:space="preserve">Cour suprême du Canada </w:t>
            </w: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Dépôt de la demande d’autorisation d’appel</w:t>
            </w:r>
          </w:p>
        </w:tc>
      </w:tr>
    </w:tbl>
    <w:p w:rsidR="00AD651B" w:rsidRPr="00813401" w:rsidRDefault="00AD651B" w:rsidP="00AD651B">
      <w:pPr>
        <w:jc w:val="both"/>
        <w:rPr>
          <w:sz w:val="20"/>
          <w:lang w:val="fr-CA"/>
        </w:rPr>
      </w:pPr>
    </w:p>
    <w:p w:rsidR="00AD651B" w:rsidRPr="00813401" w:rsidRDefault="00AD651B" w:rsidP="00AD65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AD651B" w:rsidRPr="00813401" w:rsidTr="00AD651B">
        <w:tc>
          <w:tcPr>
            <w:tcW w:w="543" w:type="pct"/>
          </w:tcPr>
          <w:p w:rsidR="00AD651B" w:rsidRPr="00813401" w:rsidRDefault="00AD651B" w:rsidP="00AD651B">
            <w:pPr>
              <w:jc w:val="both"/>
              <w:rPr>
                <w:sz w:val="20"/>
              </w:rPr>
            </w:pPr>
            <w:r w:rsidRPr="00813401">
              <w:rPr>
                <w:rStyle w:val="SCCFileNumberChar"/>
                <w:sz w:val="20"/>
                <w:szCs w:val="20"/>
              </w:rPr>
              <w:t>37227</w:t>
            </w:r>
          </w:p>
        </w:tc>
        <w:tc>
          <w:tcPr>
            <w:tcW w:w="4457" w:type="pct"/>
          </w:tcPr>
          <w:p w:rsidR="00AD651B" w:rsidRPr="00813401" w:rsidRDefault="00AD651B" w:rsidP="00AD651B">
            <w:pPr>
              <w:pStyle w:val="SCCLsocParty"/>
              <w:jc w:val="both"/>
              <w:rPr>
                <w:b/>
                <w:sz w:val="20"/>
                <w:szCs w:val="20"/>
                <w:lang w:val="en-US"/>
              </w:rPr>
            </w:pPr>
            <w:r w:rsidRPr="00813401">
              <w:rPr>
                <w:b/>
                <w:sz w:val="20"/>
                <w:szCs w:val="20"/>
                <w:lang w:val="en-US"/>
              </w:rPr>
              <w:t>Leo Kai Yen Wong v. Grant Mitchell Law Corporation, Cynthia Lazar and Taylor McCaffrey LLP, Barristers &amp; Solicitors</w:t>
            </w:r>
          </w:p>
          <w:p w:rsidR="00AD651B" w:rsidRPr="00813401" w:rsidRDefault="00AD651B" w:rsidP="00AD651B">
            <w:pPr>
              <w:jc w:val="both"/>
              <w:rPr>
                <w:sz w:val="20"/>
              </w:rPr>
            </w:pPr>
            <w:r w:rsidRPr="00813401">
              <w:rPr>
                <w:sz w:val="20"/>
              </w:rPr>
              <w:t>(Man.) (Civil) (By Leave)</w:t>
            </w:r>
          </w:p>
        </w:tc>
      </w:tr>
      <w:tr w:rsidR="00AD651B" w:rsidRPr="00813401" w:rsidTr="00AD651B">
        <w:tc>
          <w:tcPr>
            <w:tcW w:w="5000" w:type="pct"/>
            <w:gridSpan w:val="2"/>
          </w:tcPr>
          <w:p w:rsidR="00AD651B" w:rsidRPr="00813401" w:rsidRDefault="00AD651B" w:rsidP="00AD651B">
            <w:pPr>
              <w:jc w:val="both"/>
              <w:rPr>
                <w:sz w:val="20"/>
              </w:rPr>
            </w:pPr>
            <w:r w:rsidRPr="00813401">
              <w:rPr>
                <w:sz w:val="20"/>
              </w:rPr>
              <w:t>Civil procedure – Orders – Motions to amend, set aside or vary – In a civil case, is intervening causation not a factor when compared to a criminal case and are damages to be based solely on the original causation even when it had become a moot issue due to the existence of an intervening causation? – Should Manitoba Court of Queen’s Bench Rules 59.06(1) and 59.06(2) be interpreted strictly, and past masters’ and judges’ interpretations ignored? – Whether trial and appeal were unfair because courts failed to provide adequate assistance to self-represented litigant.</w:t>
            </w:r>
          </w:p>
        </w:tc>
      </w:tr>
      <w:tr w:rsidR="00AD651B" w:rsidRPr="00813401" w:rsidTr="00AD651B">
        <w:tc>
          <w:tcPr>
            <w:tcW w:w="5000" w:type="pct"/>
            <w:gridSpan w:val="2"/>
          </w:tcPr>
          <w:p w:rsidR="00AD651B" w:rsidRPr="00813401" w:rsidRDefault="00AD651B" w:rsidP="00AD651B">
            <w:pPr>
              <w:jc w:val="both"/>
              <w:rPr>
                <w:sz w:val="20"/>
              </w:rPr>
            </w:pPr>
          </w:p>
          <w:p w:rsidR="00AD651B" w:rsidRPr="00813401" w:rsidRDefault="00AD651B" w:rsidP="00AD651B">
            <w:pPr>
              <w:jc w:val="both"/>
              <w:rPr>
                <w:sz w:val="20"/>
              </w:rPr>
            </w:pPr>
            <w:r w:rsidRPr="00813401">
              <w:rPr>
                <w:sz w:val="20"/>
              </w:rPr>
              <w:t xml:space="preserve">In the judgment giving rise to a R. 59.06 motion to amend, set aside, or vary under the Manitoba civil procedure rules, the judge found Mr. Wong’s lawyers negligent for failing to file a medical malpractice claim prior to the expiry of the statutory limitation period. However, he also found that the proposed action would not have been successful and, accordingly, awarded only nominal damages of $100, plus prejudgment interest. Mr. Wong did not bring an </w:t>
            </w:r>
            <w:r w:rsidRPr="00813401">
              <w:rPr>
                <w:sz w:val="20"/>
              </w:rPr>
              <w:lastRenderedPageBreak/>
              <w:t>appeal from that judgment, instead bringing the motion under R. 59.06. The grounds for the motion were two-fold: that the judge erred in his assessment of the merits of the medical malpractice claim by failing to consider that Mr. Wong could prove damages on the theory that his illness was a result of an intervening cause; and that Mr. Wong’s trial was unfair because the judge failed to provide him with adequate assistance as a self-represented litigant.</w:t>
            </w:r>
          </w:p>
          <w:p w:rsidR="00AD651B" w:rsidRPr="00813401" w:rsidRDefault="00AD651B" w:rsidP="00AD651B">
            <w:pPr>
              <w:jc w:val="both"/>
              <w:rPr>
                <w:sz w:val="20"/>
              </w:rPr>
            </w:pPr>
          </w:p>
        </w:tc>
      </w:tr>
      <w:tr w:rsidR="00AD651B" w:rsidRPr="00813401" w:rsidTr="00AD651B">
        <w:tc>
          <w:tcPr>
            <w:tcW w:w="5000" w:type="pct"/>
            <w:gridSpan w:val="2"/>
          </w:tcPr>
          <w:p w:rsidR="00AD651B" w:rsidRPr="00813401" w:rsidRDefault="00AD651B" w:rsidP="00AD651B">
            <w:pPr>
              <w:jc w:val="both"/>
              <w:rPr>
                <w:sz w:val="20"/>
              </w:rPr>
            </w:pPr>
            <w:r w:rsidRPr="00813401">
              <w:rPr>
                <w:sz w:val="20"/>
              </w:rPr>
              <w:lastRenderedPageBreak/>
              <w:t xml:space="preserve">The Manitoba Court of Queen’s Bench dismissed the R. 59.06 motion, the judge considering himself to be </w:t>
            </w:r>
            <w:proofErr w:type="spellStart"/>
            <w:r w:rsidRPr="00813401">
              <w:rPr>
                <w:i/>
                <w:sz w:val="20"/>
              </w:rPr>
              <w:t>functus</w:t>
            </w:r>
            <w:proofErr w:type="spellEnd"/>
            <w:r w:rsidRPr="00813401">
              <w:rPr>
                <w:i/>
                <w:sz w:val="20"/>
              </w:rPr>
              <w:t xml:space="preserve"> officio</w:t>
            </w:r>
            <w:r w:rsidRPr="00813401">
              <w:rPr>
                <w:sz w:val="20"/>
              </w:rPr>
              <w:t>. The Manitoba Court of Appeal dismissed the appeal, finding that the two allegations of error by the judge below could only be heard and considered in an appeal of the judgment which the applicant had not sought, and not on a motion brought under R. 59.06.</w:t>
            </w:r>
          </w:p>
          <w:p w:rsidR="00AD651B" w:rsidRPr="00813401" w:rsidRDefault="00AD651B" w:rsidP="00AD651B">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AD651B" w:rsidRPr="00813401" w:rsidTr="00AD651B">
              <w:tc>
                <w:tcPr>
                  <w:tcW w:w="2367" w:type="pct"/>
                </w:tcPr>
                <w:p w:rsidR="00AD651B" w:rsidRPr="00813401" w:rsidRDefault="00AD651B" w:rsidP="00AD651B">
                  <w:pPr>
                    <w:jc w:val="both"/>
                    <w:rPr>
                      <w:sz w:val="20"/>
                    </w:rPr>
                  </w:pPr>
                  <w:r w:rsidRPr="00813401">
                    <w:rPr>
                      <w:sz w:val="20"/>
                    </w:rPr>
                    <w:t>September 9, 2015</w:t>
                  </w:r>
                </w:p>
                <w:p w:rsidR="00AD651B" w:rsidRPr="00813401" w:rsidRDefault="00AD651B" w:rsidP="00AD651B">
                  <w:pPr>
                    <w:jc w:val="both"/>
                    <w:rPr>
                      <w:sz w:val="20"/>
                    </w:rPr>
                  </w:pPr>
                  <w:r w:rsidRPr="00813401">
                    <w:rPr>
                      <w:sz w:val="20"/>
                    </w:rPr>
                    <w:t>Court of Queen’s Bench of Manitoba</w:t>
                  </w:r>
                </w:p>
                <w:p w:rsidR="00AD651B" w:rsidRPr="00813401" w:rsidRDefault="00AD651B" w:rsidP="00AD651B">
                  <w:pPr>
                    <w:jc w:val="both"/>
                    <w:rPr>
                      <w:sz w:val="20"/>
                    </w:rPr>
                  </w:pPr>
                  <w:r w:rsidRPr="00813401">
                    <w:rPr>
                      <w:sz w:val="20"/>
                    </w:rPr>
                    <w:t>(Dewar J.)</w:t>
                  </w:r>
                </w:p>
                <w:p w:rsidR="00AD651B" w:rsidRPr="00813401" w:rsidRDefault="00AD651B" w:rsidP="00AD651B">
                  <w:pPr>
                    <w:jc w:val="both"/>
                    <w:rPr>
                      <w:sz w:val="20"/>
                    </w:rPr>
                  </w:pPr>
                  <w:hyperlink r:id="rId32" w:history="1">
                    <w:r w:rsidRPr="00813401">
                      <w:rPr>
                        <w:rStyle w:val="Hyperlink"/>
                        <w:sz w:val="20"/>
                      </w:rPr>
                      <w:t>2015 MBQB 146</w:t>
                    </w:r>
                  </w:hyperlink>
                  <w:r w:rsidRPr="00813401">
                    <w:rPr>
                      <w:sz w:val="20"/>
                    </w:rPr>
                    <w:t xml:space="preserve"> </w:t>
                  </w:r>
                </w:p>
                <w:p w:rsidR="00AD651B" w:rsidRPr="00813401" w:rsidRDefault="00AD651B" w:rsidP="00AD651B">
                  <w:pPr>
                    <w:jc w:val="both"/>
                    <w:rPr>
                      <w:sz w:val="20"/>
                    </w:rPr>
                  </w:pPr>
                </w:p>
              </w:tc>
              <w:tc>
                <w:tcPr>
                  <w:tcW w:w="267" w:type="pct"/>
                </w:tcPr>
                <w:p w:rsidR="00AD651B" w:rsidRPr="00813401" w:rsidRDefault="00AD651B" w:rsidP="00AD651B">
                  <w:pPr>
                    <w:jc w:val="both"/>
                    <w:rPr>
                      <w:sz w:val="20"/>
                    </w:rPr>
                  </w:pPr>
                </w:p>
              </w:tc>
              <w:tc>
                <w:tcPr>
                  <w:tcW w:w="2366" w:type="pct"/>
                </w:tcPr>
                <w:p w:rsidR="00AD651B" w:rsidRPr="00813401" w:rsidRDefault="00AD651B" w:rsidP="00AD651B">
                  <w:pPr>
                    <w:jc w:val="both"/>
                    <w:rPr>
                      <w:sz w:val="20"/>
                    </w:rPr>
                  </w:pPr>
                  <w:r w:rsidRPr="00813401">
                    <w:rPr>
                      <w:sz w:val="20"/>
                    </w:rPr>
                    <w:t xml:space="preserve">Applicant’s motion to amend, set aside, or vary judgment, dismissed. </w:t>
                  </w:r>
                </w:p>
                <w:p w:rsidR="00AD651B" w:rsidRPr="00813401" w:rsidRDefault="00AD651B" w:rsidP="00AD651B">
                  <w:pPr>
                    <w:jc w:val="both"/>
                    <w:rPr>
                      <w:sz w:val="20"/>
                    </w:rPr>
                  </w:pPr>
                </w:p>
              </w:tc>
            </w:tr>
            <w:tr w:rsidR="00AD651B" w:rsidRPr="00813401" w:rsidTr="00AD651B">
              <w:tc>
                <w:tcPr>
                  <w:tcW w:w="2367" w:type="pct"/>
                </w:tcPr>
                <w:p w:rsidR="00AD651B" w:rsidRPr="00813401" w:rsidRDefault="00AD651B" w:rsidP="00AD651B">
                  <w:pPr>
                    <w:jc w:val="both"/>
                    <w:rPr>
                      <w:sz w:val="20"/>
                    </w:rPr>
                  </w:pPr>
                  <w:r w:rsidRPr="00813401">
                    <w:rPr>
                      <w:sz w:val="20"/>
                    </w:rPr>
                    <w:t>June 14, 2016</w:t>
                  </w:r>
                </w:p>
                <w:p w:rsidR="00AD651B" w:rsidRPr="00813401" w:rsidRDefault="00AD651B" w:rsidP="00AD651B">
                  <w:pPr>
                    <w:jc w:val="both"/>
                    <w:rPr>
                      <w:sz w:val="20"/>
                    </w:rPr>
                  </w:pPr>
                  <w:r w:rsidRPr="00813401">
                    <w:rPr>
                      <w:sz w:val="20"/>
                    </w:rPr>
                    <w:t>Court of Appeal of Manitoba</w:t>
                  </w:r>
                </w:p>
                <w:p w:rsidR="00AD651B" w:rsidRPr="00813401" w:rsidRDefault="00AD651B" w:rsidP="00AD651B">
                  <w:pPr>
                    <w:jc w:val="both"/>
                    <w:rPr>
                      <w:sz w:val="20"/>
                    </w:rPr>
                  </w:pPr>
                  <w:r w:rsidRPr="00813401">
                    <w:rPr>
                      <w:sz w:val="20"/>
                    </w:rPr>
                    <w:t xml:space="preserve">(Monnin, Steel and </w:t>
                  </w:r>
                  <w:proofErr w:type="spellStart"/>
                  <w:r w:rsidRPr="00813401">
                    <w:rPr>
                      <w:sz w:val="20"/>
                    </w:rPr>
                    <w:t>Mainella</w:t>
                  </w:r>
                  <w:proofErr w:type="spellEnd"/>
                  <w:r w:rsidRPr="00813401">
                    <w:rPr>
                      <w:sz w:val="20"/>
                    </w:rPr>
                    <w:t xml:space="preserve"> JJ.A.)</w:t>
                  </w:r>
                </w:p>
                <w:p w:rsidR="00AD651B" w:rsidRPr="00813401" w:rsidRDefault="00AD651B" w:rsidP="00AD651B">
                  <w:pPr>
                    <w:jc w:val="both"/>
                    <w:rPr>
                      <w:sz w:val="20"/>
                    </w:rPr>
                  </w:pPr>
                  <w:hyperlink r:id="rId33" w:history="1">
                    <w:r w:rsidRPr="00813401">
                      <w:rPr>
                        <w:rStyle w:val="Hyperlink"/>
                        <w:sz w:val="20"/>
                      </w:rPr>
                      <w:t>2016 MBCA 65</w:t>
                    </w:r>
                  </w:hyperlink>
                </w:p>
                <w:p w:rsidR="00AD651B" w:rsidRPr="00813401" w:rsidRDefault="00AD651B" w:rsidP="00AD651B">
                  <w:pPr>
                    <w:jc w:val="both"/>
                    <w:rPr>
                      <w:sz w:val="20"/>
                    </w:rPr>
                  </w:pPr>
                  <w:r w:rsidRPr="00813401">
                    <w:rPr>
                      <w:sz w:val="20"/>
                    </w:rPr>
                    <w:t>Docket: AI16-30-08530</w:t>
                  </w:r>
                </w:p>
                <w:p w:rsidR="00AD651B" w:rsidRPr="00813401" w:rsidRDefault="00AD651B" w:rsidP="00AD651B">
                  <w:pPr>
                    <w:jc w:val="both"/>
                    <w:rPr>
                      <w:sz w:val="20"/>
                    </w:rPr>
                  </w:pPr>
                </w:p>
              </w:tc>
              <w:tc>
                <w:tcPr>
                  <w:tcW w:w="267" w:type="pct"/>
                </w:tcPr>
                <w:p w:rsidR="00AD651B" w:rsidRPr="00813401" w:rsidRDefault="00AD651B" w:rsidP="00AD651B">
                  <w:pPr>
                    <w:jc w:val="both"/>
                    <w:rPr>
                      <w:sz w:val="20"/>
                    </w:rPr>
                  </w:pPr>
                </w:p>
              </w:tc>
              <w:tc>
                <w:tcPr>
                  <w:tcW w:w="2366" w:type="pct"/>
                </w:tcPr>
                <w:p w:rsidR="00AD651B" w:rsidRPr="00813401" w:rsidRDefault="00AD651B" w:rsidP="00AD651B">
                  <w:pPr>
                    <w:jc w:val="both"/>
                    <w:rPr>
                      <w:sz w:val="20"/>
                    </w:rPr>
                  </w:pPr>
                  <w:r w:rsidRPr="00813401">
                    <w:rPr>
                      <w:sz w:val="20"/>
                    </w:rPr>
                    <w:t>Applicant’s appeal, dismissed.</w:t>
                  </w:r>
                </w:p>
                <w:p w:rsidR="00AD651B" w:rsidRPr="00813401" w:rsidRDefault="00AD651B" w:rsidP="00AD651B">
                  <w:pPr>
                    <w:jc w:val="both"/>
                    <w:rPr>
                      <w:sz w:val="20"/>
                    </w:rPr>
                  </w:pPr>
                </w:p>
              </w:tc>
            </w:tr>
            <w:tr w:rsidR="00AD651B" w:rsidRPr="00813401" w:rsidTr="00AD651B">
              <w:tc>
                <w:tcPr>
                  <w:tcW w:w="2367" w:type="pct"/>
                </w:tcPr>
                <w:p w:rsidR="00AD651B" w:rsidRPr="00813401" w:rsidRDefault="00AD651B" w:rsidP="00AD651B">
                  <w:pPr>
                    <w:jc w:val="both"/>
                    <w:rPr>
                      <w:sz w:val="20"/>
                    </w:rPr>
                  </w:pPr>
                  <w:r w:rsidRPr="00813401">
                    <w:rPr>
                      <w:sz w:val="20"/>
                    </w:rPr>
                    <w:t>September 8, 2016</w:t>
                  </w:r>
                </w:p>
                <w:p w:rsidR="00AD651B" w:rsidRPr="00813401" w:rsidRDefault="00AD651B" w:rsidP="00AD651B">
                  <w:pPr>
                    <w:jc w:val="both"/>
                    <w:rPr>
                      <w:sz w:val="20"/>
                    </w:rPr>
                  </w:pPr>
                  <w:r w:rsidRPr="00813401">
                    <w:rPr>
                      <w:sz w:val="20"/>
                    </w:rPr>
                    <w:t>Supreme Court of Canada</w:t>
                  </w:r>
                </w:p>
              </w:tc>
              <w:tc>
                <w:tcPr>
                  <w:tcW w:w="267" w:type="pct"/>
                </w:tcPr>
                <w:p w:rsidR="00AD651B" w:rsidRPr="00813401" w:rsidRDefault="00AD651B" w:rsidP="00AD651B">
                  <w:pPr>
                    <w:jc w:val="both"/>
                    <w:rPr>
                      <w:sz w:val="20"/>
                    </w:rPr>
                  </w:pPr>
                </w:p>
              </w:tc>
              <w:tc>
                <w:tcPr>
                  <w:tcW w:w="2366" w:type="pct"/>
                </w:tcPr>
                <w:p w:rsidR="00AD651B" w:rsidRPr="00813401" w:rsidRDefault="00AD651B" w:rsidP="00AD651B">
                  <w:pPr>
                    <w:jc w:val="both"/>
                    <w:rPr>
                      <w:sz w:val="20"/>
                    </w:rPr>
                  </w:pPr>
                  <w:r w:rsidRPr="00813401">
                    <w:rPr>
                      <w:sz w:val="20"/>
                    </w:rPr>
                    <w:t>Application for leave to appeal, filed.</w:t>
                  </w:r>
                </w:p>
                <w:p w:rsidR="00AD651B" w:rsidRPr="00813401" w:rsidRDefault="00AD651B" w:rsidP="00AD651B">
                  <w:pPr>
                    <w:jc w:val="both"/>
                    <w:rPr>
                      <w:sz w:val="20"/>
                    </w:rPr>
                  </w:pPr>
                </w:p>
              </w:tc>
            </w:tr>
          </w:tbl>
          <w:p w:rsidR="00AD651B" w:rsidRPr="00813401" w:rsidRDefault="00AD651B" w:rsidP="00AD651B">
            <w:pPr>
              <w:jc w:val="both"/>
              <w:rPr>
                <w:sz w:val="20"/>
              </w:rPr>
            </w:pPr>
          </w:p>
        </w:tc>
      </w:tr>
    </w:tbl>
    <w:p w:rsidR="00AD651B" w:rsidRPr="00813401" w:rsidRDefault="00AD651B" w:rsidP="00AD651B">
      <w:pPr>
        <w:jc w:val="both"/>
        <w:rPr>
          <w:sz w:val="20"/>
        </w:rPr>
      </w:pPr>
    </w:p>
    <w:p w:rsidR="00AD651B" w:rsidRPr="00813401" w:rsidRDefault="00AD651B" w:rsidP="00AD65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AD651B" w:rsidRPr="00813401" w:rsidTr="00AD651B">
        <w:tc>
          <w:tcPr>
            <w:tcW w:w="543" w:type="pct"/>
          </w:tcPr>
          <w:p w:rsidR="00AD651B" w:rsidRPr="00813401" w:rsidRDefault="00AD651B" w:rsidP="00AD651B">
            <w:pPr>
              <w:jc w:val="both"/>
              <w:rPr>
                <w:sz w:val="20"/>
                <w:lang w:val="fr-CA"/>
              </w:rPr>
            </w:pPr>
            <w:r w:rsidRPr="00813401">
              <w:rPr>
                <w:rStyle w:val="SCCFileNumberChar"/>
                <w:sz w:val="20"/>
                <w:szCs w:val="20"/>
                <w:lang w:val="fr-CA"/>
              </w:rPr>
              <w:t>37227</w:t>
            </w:r>
          </w:p>
        </w:tc>
        <w:tc>
          <w:tcPr>
            <w:tcW w:w="4457" w:type="pct"/>
          </w:tcPr>
          <w:p w:rsidR="00AD651B" w:rsidRPr="00813401" w:rsidRDefault="00AD651B" w:rsidP="00AD651B">
            <w:pPr>
              <w:pStyle w:val="SCCLsocParty"/>
              <w:jc w:val="both"/>
              <w:rPr>
                <w:b/>
                <w:sz w:val="20"/>
                <w:szCs w:val="20"/>
                <w:lang w:val="en-US"/>
              </w:rPr>
            </w:pPr>
            <w:r w:rsidRPr="00813401">
              <w:rPr>
                <w:b/>
                <w:sz w:val="20"/>
                <w:szCs w:val="20"/>
                <w:lang w:val="en-US"/>
              </w:rPr>
              <w:t xml:space="preserve">Leo Kai Yen Wong c. Grant Mitchell Law Corporation, Cynthia Lazar et Taylor McCaffrey </w:t>
            </w:r>
            <w:proofErr w:type="spellStart"/>
            <w:r w:rsidRPr="00813401">
              <w:rPr>
                <w:b/>
                <w:sz w:val="20"/>
                <w:szCs w:val="20"/>
                <w:lang w:val="en-US"/>
              </w:rPr>
              <w:t>s.r.l</w:t>
            </w:r>
            <w:proofErr w:type="spellEnd"/>
            <w:r w:rsidRPr="00813401">
              <w:rPr>
                <w:b/>
                <w:sz w:val="20"/>
                <w:szCs w:val="20"/>
                <w:lang w:val="en-US"/>
              </w:rPr>
              <w:t>., avocats</w:t>
            </w:r>
          </w:p>
          <w:p w:rsidR="00AD651B" w:rsidRPr="00813401" w:rsidRDefault="00AD651B" w:rsidP="00AD651B">
            <w:pPr>
              <w:jc w:val="both"/>
              <w:rPr>
                <w:sz w:val="20"/>
                <w:lang w:val="fr-CA"/>
              </w:rPr>
            </w:pPr>
            <w:r w:rsidRPr="00813401">
              <w:rPr>
                <w:sz w:val="20"/>
                <w:lang w:val="fr-CA"/>
              </w:rPr>
              <w:t>(Man.) (Civile) (Sur autorisation)</w:t>
            </w:r>
          </w:p>
        </w:tc>
      </w:tr>
      <w:tr w:rsidR="00AD651B" w:rsidRPr="00813401" w:rsidTr="00AD651B">
        <w:tc>
          <w:tcPr>
            <w:tcW w:w="5000" w:type="pct"/>
            <w:gridSpan w:val="2"/>
          </w:tcPr>
          <w:p w:rsidR="00AD651B" w:rsidRPr="00813401" w:rsidRDefault="00AD651B" w:rsidP="00AD651B">
            <w:pPr>
              <w:jc w:val="both"/>
              <w:rPr>
                <w:sz w:val="20"/>
                <w:lang w:val="fr-CA"/>
              </w:rPr>
            </w:pPr>
            <w:r w:rsidRPr="00813401">
              <w:rPr>
                <w:sz w:val="20"/>
                <w:lang w:val="fr-CA"/>
              </w:rPr>
              <w:t xml:space="preserve">Procédure civile – Ordonnances – Motions en modification ou en annulation – Doit-on faire abstraction de la cause intermédiaire dans une affaire civile, contrairement à une affaire criminelle, et doit-on évaluer les dommages-intérêts uniquement en fonction de la cause initiale, même si cette dernière devient théorique par suite de l’existence d’une cause intermédiaire? – Les paragraphes 59.06(1) et 59.06(2) des </w:t>
            </w:r>
            <w:r w:rsidRPr="00813401">
              <w:rPr>
                <w:i/>
                <w:sz w:val="20"/>
                <w:lang w:val="fr-CA"/>
              </w:rPr>
              <w:t xml:space="preserve">Règles de la Cour du Banc de la Reine </w:t>
            </w:r>
            <w:r w:rsidRPr="00813401">
              <w:rPr>
                <w:sz w:val="20"/>
                <w:lang w:val="fr-CA"/>
              </w:rPr>
              <w:t>du Manitoba devraient-ils recevoir une interprétation stricte et les interprétations antérieures des conseillers-maîtres et des juges devraient-elles être ignorées? – Le procès et l’appel étaient-ils inéquitables du fait que les juridictions inférieures n’ont pas fourni une assistance adéquate à une partie qui se représentait elle-même?</w:t>
            </w:r>
          </w:p>
          <w:p w:rsidR="00AD651B" w:rsidRPr="00813401" w:rsidRDefault="00AD651B" w:rsidP="00AD651B">
            <w:pPr>
              <w:jc w:val="both"/>
              <w:rPr>
                <w:sz w:val="20"/>
                <w:lang w:val="fr-CA"/>
              </w:rPr>
            </w:pPr>
          </w:p>
        </w:tc>
      </w:tr>
      <w:tr w:rsidR="00AD651B" w:rsidRPr="00813401" w:rsidTr="00AD651B">
        <w:tc>
          <w:tcPr>
            <w:tcW w:w="5000" w:type="pct"/>
            <w:gridSpan w:val="2"/>
          </w:tcPr>
          <w:p w:rsidR="00AD651B" w:rsidRPr="00813401" w:rsidRDefault="00AD651B" w:rsidP="00AD651B">
            <w:pPr>
              <w:jc w:val="both"/>
              <w:rPr>
                <w:sz w:val="20"/>
                <w:lang w:val="fr-CA"/>
              </w:rPr>
            </w:pPr>
            <w:r w:rsidRPr="00813401">
              <w:rPr>
                <w:sz w:val="20"/>
                <w:lang w:val="fr-CA"/>
              </w:rPr>
              <w:t xml:space="preserve">Dans le jugement à l’origine de la motion en modification ou annulation présentée en vertu de l’art. 59.06 des </w:t>
            </w:r>
            <w:r w:rsidRPr="00813401">
              <w:rPr>
                <w:i/>
                <w:sz w:val="20"/>
                <w:lang w:val="fr-CA"/>
              </w:rPr>
              <w:t>Règles de la Cour du Banc de la Reine</w:t>
            </w:r>
            <w:r w:rsidRPr="00813401">
              <w:rPr>
                <w:sz w:val="20"/>
                <w:lang w:val="fr-CA"/>
              </w:rPr>
              <w:t xml:space="preserve"> du Manitoba (les « Règles »), le juge a conclu que les avocats de M. Wong avaient été négligents parce qu’ils n’avaient pas déposé de réclamation pour faute médicale avant l’expiration du délai de prescription prévu par la loi. Cependant, il a également conclu que le demandeur n’aurait pas obtenu gain de cause et, en conséquence, il ne lui a accordé que des dommages-intérêts nominaux de 100 $, ainsi que des intérêts avant jugement. M. Wong n’a pas interjeté appel de ce jugement, et a plutôt présenté une motion en vertu de l’art. 59.06 des Règles. La motion était fondée sur deux moyens, à savoir que le juge avait mal évalué le fondement de la réclamation pour faute médicale parce qu’il n’avait pas tenu compte de la possibilité que M. Wong démontre le préjudice qu’il avait subi en faisant valoir la théorie voulant que sa maladie découle d’une cause intermédiaire, et, en second lieu, que le procès de M. Wong était inéquitable parce que le juge ne lui avait pas fourni l’assistance adéquate à laquelle il avait droit en tant que plaideur se représentant lui-même.</w:t>
            </w:r>
          </w:p>
          <w:p w:rsidR="00AD651B" w:rsidRPr="00813401" w:rsidRDefault="00AD651B" w:rsidP="00AD651B">
            <w:pPr>
              <w:jc w:val="both"/>
              <w:rPr>
                <w:sz w:val="20"/>
                <w:lang w:val="fr-CA"/>
              </w:rPr>
            </w:pPr>
          </w:p>
        </w:tc>
      </w:tr>
      <w:tr w:rsidR="00AD651B" w:rsidRPr="00813401" w:rsidTr="00AD651B">
        <w:tc>
          <w:tcPr>
            <w:tcW w:w="5000" w:type="pct"/>
            <w:gridSpan w:val="2"/>
          </w:tcPr>
          <w:p w:rsidR="00AD651B" w:rsidRPr="00813401" w:rsidRDefault="00AD651B" w:rsidP="00AD651B">
            <w:pPr>
              <w:jc w:val="both"/>
              <w:rPr>
                <w:sz w:val="20"/>
                <w:lang w:val="fr-CA"/>
              </w:rPr>
            </w:pPr>
            <w:r w:rsidRPr="00813401">
              <w:rPr>
                <w:sz w:val="20"/>
                <w:lang w:val="fr-CA"/>
              </w:rPr>
              <w:t xml:space="preserve">La Cour du Banc de la Reine du Manitoba a rejeté la motion fondée sur l’art. 59.06 des Règles, le juge estimant qu’il était </w:t>
            </w:r>
            <w:r w:rsidRPr="00813401">
              <w:rPr>
                <w:i/>
                <w:sz w:val="20"/>
                <w:lang w:val="fr-CA"/>
              </w:rPr>
              <w:t>functus officio</w:t>
            </w:r>
            <w:r w:rsidRPr="00813401">
              <w:rPr>
                <w:sz w:val="20"/>
                <w:lang w:val="fr-CA"/>
              </w:rPr>
              <w:t xml:space="preserve">. La Cour d’appel du Manitoba a rejeté l’appel, concluant que les deux allégations relatives aux erreurs reprochées au juge de première instance ne pouvaient être instruites et examinées que dans le cadre d’un </w:t>
            </w:r>
            <w:r w:rsidRPr="00813401">
              <w:rPr>
                <w:sz w:val="20"/>
                <w:lang w:val="fr-CA"/>
              </w:rPr>
              <w:lastRenderedPageBreak/>
              <w:t>appel du jugement, que le demandeur  n’avait pas sollicité, et non dans le cadre d’une motion fondée sur l’art. 59.06 des Règles.</w:t>
            </w:r>
          </w:p>
          <w:p w:rsidR="00AD651B" w:rsidRPr="00813401" w:rsidRDefault="00AD651B" w:rsidP="00AD651B">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AD651B" w:rsidRPr="00813401" w:rsidTr="00AD651B">
              <w:tc>
                <w:tcPr>
                  <w:tcW w:w="2367" w:type="pct"/>
                </w:tcPr>
                <w:p w:rsidR="00AD651B" w:rsidRPr="00813401" w:rsidRDefault="00AD651B" w:rsidP="00AD651B">
                  <w:pPr>
                    <w:jc w:val="both"/>
                    <w:rPr>
                      <w:sz w:val="20"/>
                      <w:lang w:val="fr-CA"/>
                    </w:rPr>
                  </w:pPr>
                  <w:r w:rsidRPr="00813401">
                    <w:rPr>
                      <w:sz w:val="20"/>
                      <w:lang w:val="fr-CA"/>
                    </w:rPr>
                    <w:t>9 septembre 2015</w:t>
                  </w:r>
                </w:p>
                <w:p w:rsidR="00AD651B" w:rsidRPr="00813401" w:rsidRDefault="00AD651B" w:rsidP="00AD651B">
                  <w:pPr>
                    <w:jc w:val="both"/>
                    <w:rPr>
                      <w:sz w:val="20"/>
                      <w:lang w:val="fr-CA"/>
                    </w:rPr>
                  </w:pPr>
                  <w:r w:rsidRPr="00813401">
                    <w:rPr>
                      <w:sz w:val="20"/>
                      <w:lang w:val="fr-CA"/>
                    </w:rPr>
                    <w:t>Cour du Banc de la Reine du Manitoba</w:t>
                  </w:r>
                </w:p>
                <w:p w:rsidR="00AD651B" w:rsidRPr="00813401" w:rsidRDefault="00AD651B" w:rsidP="00AD651B">
                  <w:pPr>
                    <w:jc w:val="both"/>
                    <w:rPr>
                      <w:sz w:val="20"/>
                      <w:lang w:val="fr-CA"/>
                    </w:rPr>
                  </w:pPr>
                  <w:r w:rsidRPr="00813401">
                    <w:rPr>
                      <w:sz w:val="20"/>
                      <w:lang w:val="fr-CA"/>
                    </w:rPr>
                    <w:t>(Juge Dewar)</w:t>
                  </w:r>
                </w:p>
                <w:p w:rsidR="00AD651B" w:rsidRPr="00813401" w:rsidRDefault="00AD651B" w:rsidP="00AD651B">
                  <w:pPr>
                    <w:jc w:val="both"/>
                    <w:rPr>
                      <w:sz w:val="20"/>
                      <w:lang w:val="fr-CA"/>
                    </w:rPr>
                  </w:pPr>
                  <w:hyperlink r:id="rId34" w:history="1">
                    <w:r w:rsidRPr="00813401">
                      <w:rPr>
                        <w:rStyle w:val="Hyperlink"/>
                        <w:sz w:val="20"/>
                        <w:lang w:val="fr-CA"/>
                      </w:rPr>
                      <w:t>2015 MBQB 146</w:t>
                    </w:r>
                  </w:hyperlink>
                  <w:r w:rsidRPr="00813401">
                    <w:rPr>
                      <w:sz w:val="20"/>
                      <w:lang w:val="fr-CA"/>
                    </w:rPr>
                    <w:t xml:space="preserve"> </w:t>
                  </w:r>
                </w:p>
                <w:p w:rsidR="00AD651B" w:rsidRPr="00813401" w:rsidRDefault="00AD651B" w:rsidP="00AD651B">
                  <w:pPr>
                    <w:jc w:val="both"/>
                    <w:rPr>
                      <w:sz w:val="20"/>
                      <w:lang w:val="fr-CA"/>
                    </w:rPr>
                  </w:pPr>
                </w:p>
              </w:tc>
              <w:tc>
                <w:tcPr>
                  <w:tcW w:w="267" w:type="pct"/>
                </w:tcPr>
                <w:p w:rsidR="00AD651B" w:rsidRPr="00813401" w:rsidRDefault="00AD651B" w:rsidP="00AD651B">
                  <w:pPr>
                    <w:jc w:val="both"/>
                    <w:rPr>
                      <w:sz w:val="20"/>
                      <w:lang w:val="fr-CA"/>
                    </w:rPr>
                  </w:pPr>
                </w:p>
              </w:tc>
              <w:tc>
                <w:tcPr>
                  <w:tcW w:w="2366" w:type="pct"/>
                </w:tcPr>
                <w:p w:rsidR="00AD651B" w:rsidRPr="00813401" w:rsidRDefault="00AD651B" w:rsidP="00AD651B">
                  <w:pPr>
                    <w:jc w:val="both"/>
                    <w:rPr>
                      <w:sz w:val="20"/>
                      <w:lang w:val="fr-CA"/>
                    </w:rPr>
                  </w:pPr>
                  <w:r w:rsidRPr="00813401">
                    <w:rPr>
                      <w:sz w:val="20"/>
                      <w:lang w:val="fr-CA"/>
                    </w:rPr>
                    <w:t>Rejet de la motion du demandeur en vue de faire modifier ou annuler un jugement</w:t>
                  </w:r>
                </w:p>
                <w:p w:rsidR="00AD651B" w:rsidRPr="00813401" w:rsidRDefault="00AD651B" w:rsidP="00AD651B">
                  <w:pPr>
                    <w:jc w:val="both"/>
                    <w:rPr>
                      <w:sz w:val="20"/>
                      <w:lang w:val="fr-CA"/>
                    </w:rPr>
                  </w:pPr>
                </w:p>
              </w:tc>
            </w:tr>
            <w:tr w:rsidR="00AD651B" w:rsidRPr="00813401" w:rsidTr="00AD651B">
              <w:tc>
                <w:tcPr>
                  <w:tcW w:w="2367" w:type="pct"/>
                </w:tcPr>
                <w:p w:rsidR="00AD651B" w:rsidRPr="00813401" w:rsidRDefault="00AD651B" w:rsidP="00AD651B">
                  <w:pPr>
                    <w:jc w:val="both"/>
                    <w:rPr>
                      <w:sz w:val="20"/>
                      <w:lang w:val="fr-CA"/>
                    </w:rPr>
                  </w:pPr>
                  <w:r w:rsidRPr="00813401">
                    <w:rPr>
                      <w:sz w:val="20"/>
                      <w:lang w:val="fr-CA"/>
                    </w:rPr>
                    <w:t>14 juin 2016</w:t>
                  </w:r>
                </w:p>
                <w:p w:rsidR="00AD651B" w:rsidRPr="00813401" w:rsidRDefault="00AD651B" w:rsidP="00AD651B">
                  <w:pPr>
                    <w:jc w:val="both"/>
                    <w:rPr>
                      <w:sz w:val="20"/>
                      <w:lang w:val="fr-CA"/>
                    </w:rPr>
                  </w:pPr>
                  <w:r w:rsidRPr="00813401">
                    <w:rPr>
                      <w:sz w:val="20"/>
                      <w:lang w:val="fr-CA"/>
                    </w:rPr>
                    <w:t>Cour d’appel du Manitoba</w:t>
                  </w:r>
                </w:p>
                <w:p w:rsidR="00AD651B" w:rsidRPr="00813401" w:rsidRDefault="00AD651B" w:rsidP="00AD651B">
                  <w:pPr>
                    <w:jc w:val="both"/>
                    <w:rPr>
                      <w:sz w:val="20"/>
                      <w:lang w:val="fr-CA"/>
                    </w:rPr>
                  </w:pPr>
                  <w:r w:rsidRPr="00813401">
                    <w:rPr>
                      <w:sz w:val="20"/>
                      <w:lang w:val="fr-CA"/>
                    </w:rPr>
                    <w:t>(Juges Monnin, Steel et Mainella)</w:t>
                  </w:r>
                </w:p>
                <w:p w:rsidR="00AD651B" w:rsidRPr="00813401" w:rsidRDefault="00AD651B" w:rsidP="00AD651B">
                  <w:pPr>
                    <w:jc w:val="both"/>
                    <w:rPr>
                      <w:sz w:val="20"/>
                      <w:lang w:val="fr-CA"/>
                    </w:rPr>
                  </w:pPr>
                  <w:hyperlink r:id="rId35" w:history="1">
                    <w:r w:rsidRPr="00813401">
                      <w:rPr>
                        <w:rStyle w:val="Hyperlink"/>
                        <w:sz w:val="20"/>
                        <w:lang w:val="fr-CA"/>
                      </w:rPr>
                      <w:t>2016 MBCA 65</w:t>
                    </w:r>
                  </w:hyperlink>
                </w:p>
                <w:p w:rsidR="00AD651B" w:rsidRPr="00813401" w:rsidRDefault="00AD651B" w:rsidP="00AD651B">
                  <w:pPr>
                    <w:jc w:val="both"/>
                    <w:rPr>
                      <w:sz w:val="20"/>
                      <w:lang w:val="fr-CA"/>
                    </w:rPr>
                  </w:pPr>
                  <w:r w:rsidRPr="00813401">
                    <w:rPr>
                      <w:sz w:val="20"/>
                      <w:lang w:val="fr-CA"/>
                    </w:rPr>
                    <w:t>Dossier : AI16-30-08530</w:t>
                  </w:r>
                </w:p>
                <w:p w:rsidR="00AD651B" w:rsidRPr="00813401" w:rsidRDefault="00AD651B" w:rsidP="00AD651B">
                  <w:pPr>
                    <w:jc w:val="both"/>
                    <w:rPr>
                      <w:sz w:val="20"/>
                      <w:lang w:val="fr-CA"/>
                    </w:rPr>
                  </w:pPr>
                </w:p>
              </w:tc>
              <w:tc>
                <w:tcPr>
                  <w:tcW w:w="267" w:type="pct"/>
                </w:tcPr>
                <w:p w:rsidR="00AD651B" w:rsidRPr="00813401" w:rsidRDefault="00AD651B" w:rsidP="00AD651B">
                  <w:pPr>
                    <w:jc w:val="both"/>
                    <w:rPr>
                      <w:sz w:val="20"/>
                      <w:lang w:val="fr-CA"/>
                    </w:rPr>
                  </w:pPr>
                </w:p>
              </w:tc>
              <w:tc>
                <w:tcPr>
                  <w:tcW w:w="2366" w:type="pct"/>
                </w:tcPr>
                <w:p w:rsidR="00AD651B" w:rsidRPr="00813401" w:rsidRDefault="00AD651B" w:rsidP="00AD651B">
                  <w:pPr>
                    <w:jc w:val="both"/>
                    <w:rPr>
                      <w:sz w:val="20"/>
                      <w:lang w:val="fr-CA"/>
                    </w:rPr>
                  </w:pPr>
                  <w:r w:rsidRPr="00813401">
                    <w:rPr>
                      <w:sz w:val="20"/>
                      <w:lang w:val="fr-CA"/>
                    </w:rPr>
                    <w:t xml:space="preserve">Rejet de l’appel du demandeur </w:t>
                  </w:r>
                </w:p>
              </w:tc>
            </w:tr>
            <w:tr w:rsidR="00AD651B" w:rsidRPr="00813401" w:rsidTr="00AD651B">
              <w:tc>
                <w:tcPr>
                  <w:tcW w:w="2367" w:type="pct"/>
                </w:tcPr>
                <w:p w:rsidR="00AD651B" w:rsidRPr="00813401" w:rsidRDefault="00AD651B" w:rsidP="00AD651B">
                  <w:pPr>
                    <w:jc w:val="both"/>
                    <w:rPr>
                      <w:sz w:val="20"/>
                      <w:lang w:val="fr-CA"/>
                    </w:rPr>
                  </w:pPr>
                  <w:r w:rsidRPr="00813401">
                    <w:rPr>
                      <w:sz w:val="20"/>
                      <w:lang w:val="fr-CA"/>
                    </w:rPr>
                    <w:t>8 septembre 2016</w:t>
                  </w:r>
                </w:p>
                <w:p w:rsidR="00AD651B" w:rsidRPr="00813401" w:rsidRDefault="00AD651B" w:rsidP="00AD651B">
                  <w:pPr>
                    <w:jc w:val="both"/>
                    <w:rPr>
                      <w:sz w:val="20"/>
                      <w:lang w:val="fr-CA"/>
                    </w:rPr>
                  </w:pPr>
                  <w:r w:rsidRPr="00813401">
                    <w:rPr>
                      <w:sz w:val="20"/>
                      <w:lang w:val="fr-CA"/>
                    </w:rPr>
                    <w:t xml:space="preserve">Cour suprême du Canada </w:t>
                  </w:r>
                </w:p>
              </w:tc>
              <w:tc>
                <w:tcPr>
                  <w:tcW w:w="267" w:type="pct"/>
                </w:tcPr>
                <w:p w:rsidR="00AD651B" w:rsidRPr="00813401" w:rsidRDefault="00AD651B" w:rsidP="00AD651B">
                  <w:pPr>
                    <w:jc w:val="both"/>
                    <w:rPr>
                      <w:sz w:val="20"/>
                      <w:lang w:val="fr-CA"/>
                    </w:rPr>
                  </w:pPr>
                </w:p>
              </w:tc>
              <w:tc>
                <w:tcPr>
                  <w:tcW w:w="2366" w:type="pct"/>
                </w:tcPr>
                <w:p w:rsidR="00AD651B" w:rsidRPr="00813401" w:rsidRDefault="00AD651B" w:rsidP="00AD651B">
                  <w:pPr>
                    <w:jc w:val="both"/>
                    <w:rPr>
                      <w:sz w:val="20"/>
                      <w:lang w:val="fr-CA"/>
                    </w:rPr>
                  </w:pPr>
                  <w:r w:rsidRPr="00813401">
                    <w:rPr>
                      <w:sz w:val="20"/>
                      <w:lang w:val="fr-CA"/>
                    </w:rPr>
                    <w:t>Dépôt de la demande d’autorisation d’appel</w:t>
                  </w:r>
                </w:p>
              </w:tc>
            </w:tr>
          </w:tbl>
          <w:p w:rsidR="00AD651B" w:rsidRPr="00813401" w:rsidRDefault="00AD651B" w:rsidP="00AD651B">
            <w:pPr>
              <w:jc w:val="both"/>
              <w:rPr>
                <w:sz w:val="20"/>
                <w:lang w:val="fr-CA"/>
              </w:rPr>
            </w:pPr>
          </w:p>
        </w:tc>
      </w:tr>
    </w:tbl>
    <w:p w:rsidR="00AD651B" w:rsidRPr="00813401" w:rsidRDefault="00AD651B" w:rsidP="00AD651B">
      <w:pPr>
        <w:jc w:val="both"/>
        <w:rPr>
          <w:sz w:val="20"/>
          <w:lang w:val="fr-CA"/>
        </w:rPr>
      </w:pPr>
    </w:p>
    <w:p w:rsidR="00AD651B" w:rsidRPr="00813401" w:rsidRDefault="00AD651B" w:rsidP="00AD65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rPr>
            </w:pPr>
            <w:r w:rsidRPr="00813401">
              <w:rPr>
                <w:rStyle w:val="SCCFileNumberChar"/>
                <w:sz w:val="20"/>
                <w:szCs w:val="20"/>
              </w:rPr>
              <w:t>37210</w:t>
            </w:r>
          </w:p>
        </w:tc>
        <w:tc>
          <w:tcPr>
            <w:tcW w:w="4457" w:type="pct"/>
            <w:gridSpan w:val="3"/>
          </w:tcPr>
          <w:p w:rsidR="00AD651B" w:rsidRPr="00813401" w:rsidRDefault="00AD651B" w:rsidP="00AD651B">
            <w:pPr>
              <w:pStyle w:val="SCCLsocParty"/>
              <w:jc w:val="both"/>
              <w:rPr>
                <w:b/>
                <w:sz w:val="20"/>
                <w:szCs w:val="20"/>
                <w:lang w:val="en-US"/>
              </w:rPr>
            </w:pPr>
            <w:r w:rsidRPr="00813401">
              <w:rPr>
                <w:b/>
                <w:sz w:val="20"/>
                <w:szCs w:val="20"/>
                <w:lang w:val="en-US"/>
              </w:rPr>
              <w:t xml:space="preserve">Krista Lena </w:t>
            </w:r>
            <w:proofErr w:type="spellStart"/>
            <w:r w:rsidRPr="00813401">
              <w:rPr>
                <w:b/>
                <w:sz w:val="20"/>
                <w:szCs w:val="20"/>
                <w:lang w:val="en-US"/>
              </w:rPr>
              <w:t>Borgfjord</w:t>
            </w:r>
            <w:proofErr w:type="spellEnd"/>
            <w:r w:rsidRPr="00813401">
              <w:rPr>
                <w:b/>
                <w:sz w:val="20"/>
                <w:szCs w:val="20"/>
                <w:lang w:val="en-US"/>
              </w:rPr>
              <w:t xml:space="preserve">, an infant by her litigation guardian, John </w:t>
            </w:r>
            <w:proofErr w:type="spellStart"/>
            <w:r w:rsidRPr="00813401">
              <w:rPr>
                <w:b/>
                <w:sz w:val="20"/>
                <w:szCs w:val="20"/>
                <w:lang w:val="en-US"/>
              </w:rPr>
              <w:t>Borgfjord</w:t>
            </w:r>
            <w:proofErr w:type="spellEnd"/>
            <w:r w:rsidRPr="00813401">
              <w:rPr>
                <w:b/>
                <w:sz w:val="20"/>
                <w:szCs w:val="20"/>
                <w:lang w:val="en-US"/>
              </w:rPr>
              <w:t xml:space="preserve"> v. Mildred Eileen </w:t>
            </w:r>
            <w:proofErr w:type="spellStart"/>
            <w:r w:rsidRPr="00813401">
              <w:rPr>
                <w:b/>
                <w:sz w:val="20"/>
                <w:szCs w:val="20"/>
                <w:lang w:val="en-US"/>
              </w:rPr>
              <w:t>Boizard</w:t>
            </w:r>
            <w:proofErr w:type="spellEnd"/>
            <w:r w:rsidRPr="00813401">
              <w:rPr>
                <w:b/>
                <w:sz w:val="20"/>
                <w:szCs w:val="20"/>
                <w:lang w:val="en-US"/>
              </w:rPr>
              <w:t xml:space="preserve"> and Earl F. </w:t>
            </w:r>
            <w:proofErr w:type="spellStart"/>
            <w:r w:rsidRPr="00813401">
              <w:rPr>
                <w:b/>
                <w:sz w:val="20"/>
                <w:szCs w:val="20"/>
                <w:lang w:val="en-US"/>
              </w:rPr>
              <w:t>Boizard</w:t>
            </w:r>
            <w:proofErr w:type="spellEnd"/>
            <w:r w:rsidRPr="00813401">
              <w:rPr>
                <w:b/>
                <w:sz w:val="20"/>
                <w:szCs w:val="20"/>
                <w:lang w:val="en-US"/>
              </w:rPr>
              <w:t xml:space="preserve">, Jed William </w:t>
            </w:r>
            <w:proofErr w:type="spellStart"/>
            <w:r w:rsidRPr="00813401">
              <w:rPr>
                <w:b/>
                <w:sz w:val="20"/>
                <w:szCs w:val="20"/>
                <w:lang w:val="en-US"/>
              </w:rPr>
              <w:t>Thue</w:t>
            </w:r>
            <w:proofErr w:type="spellEnd"/>
            <w:r w:rsidRPr="00813401">
              <w:rPr>
                <w:b/>
                <w:sz w:val="20"/>
                <w:szCs w:val="20"/>
                <w:lang w:val="en-US"/>
              </w:rPr>
              <w:t xml:space="preserve"> and Renita </w:t>
            </w:r>
            <w:proofErr w:type="spellStart"/>
            <w:r w:rsidRPr="00813401">
              <w:rPr>
                <w:b/>
                <w:sz w:val="20"/>
                <w:szCs w:val="20"/>
                <w:lang w:val="en-US"/>
              </w:rPr>
              <w:t>Thue</w:t>
            </w:r>
            <w:proofErr w:type="spellEnd"/>
          </w:p>
          <w:p w:rsidR="00AD651B" w:rsidRPr="00813401" w:rsidRDefault="00AD651B" w:rsidP="00AD651B">
            <w:pPr>
              <w:jc w:val="both"/>
              <w:rPr>
                <w:sz w:val="20"/>
              </w:rPr>
            </w:pPr>
            <w:r w:rsidRPr="00813401">
              <w:rPr>
                <w:sz w:val="20"/>
              </w:rPr>
              <w:t>(B.C.) (Civil) (By Leave)</w:t>
            </w:r>
          </w:p>
        </w:tc>
      </w:tr>
      <w:tr w:rsidR="00AD651B" w:rsidRPr="00813401" w:rsidTr="00AD651B">
        <w:tc>
          <w:tcPr>
            <w:tcW w:w="5000" w:type="pct"/>
            <w:gridSpan w:val="4"/>
          </w:tcPr>
          <w:p w:rsidR="00AD651B" w:rsidRPr="00813401" w:rsidRDefault="00AD651B" w:rsidP="00AD651B">
            <w:pPr>
              <w:jc w:val="both"/>
              <w:rPr>
                <w:sz w:val="20"/>
              </w:rPr>
            </w:pPr>
            <w:r w:rsidRPr="00813401">
              <w:rPr>
                <w:sz w:val="20"/>
              </w:rPr>
              <w:t>Torts – Motor vehicles – Negligence – Causation – Whether motor vehicle safety legislation supersedes the common law duty of care – Whether courts should use proximate cause analysis for the protection of less blameworthy defendants – Whether the Court of Appeal misapprehend the concept of inferential causation.</w:t>
            </w:r>
          </w:p>
        </w:tc>
      </w:tr>
      <w:tr w:rsidR="00AD651B" w:rsidRPr="00813401" w:rsidTr="00AD651B">
        <w:tc>
          <w:tcPr>
            <w:tcW w:w="5000" w:type="pct"/>
            <w:gridSpan w:val="4"/>
          </w:tcPr>
          <w:p w:rsidR="00AD651B" w:rsidRPr="00813401" w:rsidRDefault="00AD651B" w:rsidP="00AD651B">
            <w:pPr>
              <w:jc w:val="both"/>
              <w:rPr>
                <w:sz w:val="20"/>
              </w:rPr>
            </w:pPr>
          </w:p>
        </w:tc>
      </w:tr>
      <w:tr w:rsidR="00AD651B" w:rsidRPr="00813401" w:rsidTr="00AD651B">
        <w:tc>
          <w:tcPr>
            <w:tcW w:w="5000" w:type="pct"/>
            <w:gridSpan w:val="4"/>
          </w:tcPr>
          <w:p w:rsidR="00AD651B" w:rsidRPr="00813401" w:rsidRDefault="00AD651B" w:rsidP="00AD651B">
            <w:pPr>
              <w:jc w:val="both"/>
              <w:rPr>
                <w:sz w:val="20"/>
              </w:rPr>
            </w:pPr>
            <w:r w:rsidRPr="00813401">
              <w:rPr>
                <w:sz w:val="20"/>
              </w:rPr>
              <w:t>On a clear day, Ms. </w:t>
            </w:r>
            <w:proofErr w:type="spellStart"/>
            <w:r w:rsidRPr="00813401">
              <w:rPr>
                <w:sz w:val="20"/>
              </w:rPr>
              <w:t>Boizard</w:t>
            </w:r>
            <w:proofErr w:type="spellEnd"/>
            <w:r w:rsidRPr="00813401">
              <w:rPr>
                <w:sz w:val="20"/>
              </w:rPr>
              <w:t xml:space="preserve"> was driving at approximately 80-85 </w:t>
            </w:r>
            <w:proofErr w:type="spellStart"/>
            <w:r w:rsidRPr="00813401">
              <w:rPr>
                <w:sz w:val="20"/>
              </w:rPr>
              <w:t>kph</w:t>
            </w:r>
            <w:proofErr w:type="spellEnd"/>
            <w:r w:rsidRPr="00813401">
              <w:rPr>
                <w:sz w:val="20"/>
              </w:rPr>
              <w:t xml:space="preserve"> when she began to pass slower moving vehicles in the right and middle lanes of a long, straight, uphill, three-lane section of the Coquihalla Highway. When she entered the left lane, she could not see any traffic approaching from behind. While she was overtaking the vehicle in the middle lane, Mr. </w:t>
            </w:r>
            <w:proofErr w:type="spellStart"/>
            <w:r w:rsidRPr="00813401">
              <w:rPr>
                <w:sz w:val="20"/>
              </w:rPr>
              <w:t>Thue</w:t>
            </w:r>
            <w:proofErr w:type="spellEnd"/>
            <w:r w:rsidRPr="00813401">
              <w:rPr>
                <w:sz w:val="20"/>
              </w:rPr>
              <w:t xml:space="preserve"> approached from behind at an unusually high rate of speed. Instead of slowing to match her speed, he changed to the middle lane without slowing, then to the right lane. There, he saw the very slow moving vehicle in the right lane just ahead of the vehicle in the middle lane. Mr. </w:t>
            </w:r>
            <w:proofErr w:type="spellStart"/>
            <w:r w:rsidRPr="00813401">
              <w:rPr>
                <w:sz w:val="20"/>
              </w:rPr>
              <w:t>Thue</w:t>
            </w:r>
            <w:proofErr w:type="spellEnd"/>
            <w:r w:rsidRPr="00813401">
              <w:rPr>
                <w:sz w:val="20"/>
              </w:rPr>
              <w:t xml:space="preserve"> sped up, intending to pass the vehicle in the middle lane and squeeze back into the middle lane before the vehicle in the middle lane closed the distance between it and the vehicle in the right lane. He came into contact with the back left corner of the vehicle in the right lane. This contact caused great damage to the passenger side of his vehicle and his two passengers were ejected, suffering catastrophic injuries. The </w:t>
            </w:r>
            <w:proofErr w:type="spellStart"/>
            <w:r w:rsidRPr="00813401">
              <w:rPr>
                <w:sz w:val="20"/>
              </w:rPr>
              <w:t>Thue</w:t>
            </w:r>
            <w:proofErr w:type="spellEnd"/>
            <w:r w:rsidRPr="00813401">
              <w:rPr>
                <w:sz w:val="20"/>
              </w:rPr>
              <w:t xml:space="preserve"> vehicle spun uphill in front of the vehicle in the middle lane, and came to a stop facing Ms. </w:t>
            </w:r>
            <w:proofErr w:type="spellStart"/>
            <w:r w:rsidRPr="00813401">
              <w:rPr>
                <w:sz w:val="20"/>
              </w:rPr>
              <w:t>Boizard’s</w:t>
            </w:r>
            <w:proofErr w:type="spellEnd"/>
            <w:r w:rsidRPr="00813401">
              <w:rPr>
                <w:sz w:val="20"/>
              </w:rPr>
              <w:t xml:space="preserve"> vehicle in the left lane. She stopped as quickly as possible, with only a minor impact. Mr. </w:t>
            </w:r>
            <w:proofErr w:type="spellStart"/>
            <w:r w:rsidRPr="00813401">
              <w:rPr>
                <w:sz w:val="20"/>
              </w:rPr>
              <w:t>Thue</w:t>
            </w:r>
            <w:proofErr w:type="spellEnd"/>
            <w:r w:rsidRPr="00813401">
              <w:rPr>
                <w:sz w:val="20"/>
              </w:rPr>
              <w:t xml:space="preserve"> was convicted of dangerous driving causing bodily injury. One of the injured passengers argued that Ms. </w:t>
            </w:r>
            <w:proofErr w:type="spellStart"/>
            <w:r w:rsidRPr="00813401">
              <w:rPr>
                <w:sz w:val="20"/>
              </w:rPr>
              <w:t>Boizard</w:t>
            </w:r>
            <w:proofErr w:type="spellEnd"/>
            <w:r w:rsidRPr="00813401">
              <w:rPr>
                <w:sz w:val="20"/>
              </w:rPr>
              <w:t xml:space="preserve"> was negligent in changing lanes and failing to overtake Mr. </w:t>
            </w:r>
            <w:proofErr w:type="spellStart"/>
            <w:r w:rsidRPr="00813401">
              <w:rPr>
                <w:sz w:val="20"/>
              </w:rPr>
              <w:t>Einarson’s</w:t>
            </w:r>
            <w:proofErr w:type="spellEnd"/>
            <w:r w:rsidRPr="00813401">
              <w:rPr>
                <w:sz w:val="20"/>
              </w:rPr>
              <w:t xml:space="preserve"> truck at a reasonable speed.</w:t>
            </w:r>
          </w:p>
          <w:p w:rsidR="00AD651B" w:rsidRPr="00813401" w:rsidRDefault="00AD651B" w:rsidP="00AD651B">
            <w:pPr>
              <w:jc w:val="both"/>
              <w:rPr>
                <w:sz w:val="20"/>
              </w:rPr>
            </w:pPr>
          </w:p>
          <w:p w:rsidR="00AD651B" w:rsidRPr="00813401" w:rsidRDefault="00AD651B" w:rsidP="00AD651B">
            <w:pPr>
              <w:jc w:val="both"/>
              <w:rPr>
                <w:sz w:val="20"/>
              </w:rPr>
            </w:pPr>
            <w:r w:rsidRPr="00813401">
              <w:rPr>
                <w:sz w:val="20"/>
              </w:rPr>
              <w:t>The trial judge found Ms. </w:t>
            </w:r>
            <w:proofErr w:type="spellStart"/>
            <w:r w:rsidRPr="00813401">
              <w:rPr>
                <w:sz w:val="20"/>
              </w:rPr>
              <w:t>Boizard</w:t>
            </w:r>
            <w:proofErr w:type="spellEnd"/>
            <w:r w:rsidRPr="00813401">
              <w:rPr>
                <w:sz w:val="20"/>
              </w:rPr>
              <w:t xml:space="preserve"> 10 percent liable for the accident on the grounds that she had failed to meet the standard of a reasonable driver in that she had not passed the </w:t>
            </w:r>
            <w:proofErr w:type="spellStart"/>
            <w:r w:rsidRPr="00813401">
              <w:rPr>
                <w:sz w:val="20"/>
              </w:rPr>
              <w:t>Einarson</w:t>
            </w:r>
            <w:proofErr w:type="spellEnd"/>
            <w:r w:rsidRPr="00813401">
              <w:rPr>
                <w:sz w:val="20"/>
              </w:rPr>
              <w:t xml:space="preserve"> rig as fast as was reasonably possible. The Court of Appeal allowed the appeal.</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October 21, 2015</w:t>
            </w:r>
          </w:p>
          <w:p w:rsidR="00AD651B" w:rsidRPr="00813401" w:rsidRDefault="00AD651B" w:rsidP="00AD651B">
            <w:pPr>
              <w:jc w:val="both"/>
              <w:rPr>
                <w:sz w:val="20"/>
              </w:rPr>
            </w:pPr>
            <w:r w:rsidRPr="00813401">
              <w:rPr>
                <w:sz w:val="20"/>
              </w:rPr>
              <w:t>Supreme Court of British Columbia</w:t>
            </w:r>
          </w:p>
          <w:p w:rsidR="00AD651B" w:rsidRPr="00813401" w:rsidRDefault="00AD651B" w:rsidP="00AD651B">
            <w:pPr>
              <w:jc w:val="both"/>
              <w:rPr>
                <w:sz w:val="20"/>
              </w:rPr>
            </w:pPr>
            <w:r w:rsidRPr="00813401">
              <w:rPr>
                <w:sz w:val="20"/>
              </w:rPr>
              <w:t>(Rogers J.)</w:t>
            </w:r>
          </w:p>
          <w:p w:rsidR="00AD651B" w:rsidRPr="00813401" w:rsidRDefault="00AD651B" w:rsidP="00AD651B">
            <w:pPr>
              <w:jc w:val="both"/>
              <w:rPr>
                <w:sz w:val="20"/>
              </w:rPr>
            </w:pPr>
            <w:hyperlink r:id="rId36" w:history="1">
              <w:r w:rsidRPr="00813401">
                <w:rPr>
                  <w:rStyle w:val="Hyperlink"/>
                  <w:sz w:val="20"/>
                </w:rPr>
                <w:t>2015 BCSC 1917</w:t>
              </w:r>
            </w:hyperlink>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 xml:space="preserve">The </w:t>
            </w:r>
            <w:proofErr w:type="spellStart"/>
            <w:r w:rsidRPr="00813401">
              <w:rPr>
                <w:sz w:val="20"/>
              </w:rPr>
              <w:t>Thues</w:t>
            </w:r>
            <w:proofErr w:type="spellEnd"/>
            <w:r w:rsidRPr="00813401">
              <w:rPr>
                <w:sz w:val="20"/>
              </w:rPr>
              <w:t xml:space="preserve"> and the </w:t>
            </w:r>
            <w:proofErr w:type="spellStart"/>
            <w:r w:rsidRPr="00813401">
              <w:rPr>
                <w:sz w:val="20"/>
              </w:rPr>
              <w:t>Boizards</w:t>
            </w:r>
            <w:proofErr w:type="spellEnd"/>
            <w:r w:rsidRPr="00813401">
              <w:rPr>
                <w:sz w:val="20"/>
              </w:rPr>
              <w:t xml:space="preserve"> to pay Ms. </w:t>
            </w:r>
            <w:proofErr w:type="spellStart"/>
            <w:r w:rsidRPr="00813401">
              <w:rPr>
                <w:sz w:val="20"/>
              </w:rPr>
              <w:t>Borgfjord</w:t>
            </w:r>
            <w:proofErr w:type="spellEnd"/>
            <w:r w:rsidRPr="00813401">
              <w:rPr>
                <w:sz w:val="20"/>
              </w:rPr>
              <w:t xml:space="preserve"> any damages assessed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July 20, 2016</w:t>
            </w:r>
          </w:p>
          <w:p w:rsidR="00AD651B" w:rsidRPr="00813401" w:rsidRDefault="00AD651B" w:rsidP="00AD651B">
            <w:pPr>
              <w:jc w:val="both"/>
              <w:rPr>
                <w:sz w:val="20"/>
              </w:rPr>
            </w:pPr>
            <w:r w:rsidRPr="00813401">
              <w:rPr>
                <w:sz w:val="20"/>
              </w:rPr>
              <w:t xml:space="preserve">Court of Appeal for British Columbia </w:t>
            </w:r>
          </w:p>
          <w:p w:rsidR="00AD651B" w:rsidRPr="00813401" w:rsidRDefault="00AD651B" w:rsidP="00AD651B">
            <w:pPr>
              <w:jc w:val="both"/>
              <w:rPr>
                <w:sz w:val="20"/>
              </w:rPr>
            </w:pPr>
            <w:r w:rsidRPr="00813401">
              <w:rPr>
                <w:sz w:val="20"/>
              </w:rPr>
              <w:t>(Vancouver)</w:t>
            </w:r>
          </w:p>
          <w:p w:rsidR="00AD651B" w:rsidRPr="00813401" w:rsidRDefault="00AD651B" w:rsidP="00AD651B">
            <w:pPr>
              <w:jc w:val="both"/>
              <w:rPr>
                <w:sz w:val="20"/>
              </w:rPr>
            </w:pPr>
            <w:r w:rsidRPr="00813401">
              <w:rPr>
                <w:sz w:val="20"/>
              </w:rPr>
              <w:t>(Saunders, Smith, Savage JJ.A.)</w:t>
            </w:r>
          </w:p>
          <w:p w:rsidR="00AD651B" w:rsidRPr="00813401" w:rsidRDefault="00AD651B" w:rsidP="00AD651B">
            <w:pPr>
              <w:jc w:val="both"/>
              <w:rPr>
                <w:sz w:val="20"/>
              </w:rPr>
            </w:pPr>
            <w:hyperlink r:id="rId37" w:history="1">
              <w:r w:rsidRPr="00813401">
                <w:rPr>
                  <w:rStyle w:val="Hyperlink"/>
                  <w:sz w:val="20"/>
                </w:rPr>
                <w:t>2016 BCCA 317</w:t>
              </w:r>
            </w:hyperlink>
            <w:r w:rsidRPr="00813401">
              <w:rPr>
                <w:sz w:val="20"/>
              </w:rPr>
              <w:t xml:space="preserve"> </w:t>
            </w:r>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Appeal allowed</w:t>
            </w:r>
          </w:p>
        </w:tc>
      </w:tr>
      <w:tr w:rsidR="00AD651B" w:rsidRPr="00813401" w:rsidTr="00AD651B">
        <w:tc>
          <w:tcPr>
            <w:tcW w:w="2427" w:type="pct"/>
            <w:gridSpan w:val="2"/>
          </w:tcPr>
          <w:p w:rsidR="00AD651B" w:rsidRPr="00813401" w:rsidRDefault="00AD651B" w:rsidP="00AD651B">
            <w:pPr>
              <w:jc w:val="both"/>
              <w:rPr>
                <w:sz w:val="20"/>
              </w:rPr>
            </w:pPr>
            <w:r w:rsidRPr="00813401">
              <w:rPr>
                <w:sz w:val="20"/>
              </w:rPr>
              <w:t>September 28, 2016</w:t>
            </w:r>
          </w:p>
          <w:p w:rsidR="00AD651B" w:rsidRPr="00813401" w:rsidRDefault="00AD651B" w:rsidP="00AD651B">
            <w:pPr>
              <w:jc w:val="both"/>
              <w:rPr>
                <w:sz w:val="20"/>
              </w:rPr>
            </w:pPr>
            <w:r w:rsidRPr="00813401">
              <w:rPr>
                <w:sz w:val="20"/>
              </w:rPr>
              <w:t>Supreme Court of Canada</w:t>
            </w: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Application for leave to appeal filed</w:t>
            </w:r>
          </w:p>
          <w:p w:rsidR="00AD651B" w:rsidRPr="00813401" w:rsidRDefault="00AD651B" w:rsidP="00AD651B">
            <w:pPr>
              <w:jc w:val="both"/>
              <w:rPr>
                <w:sz w:val="20"/>
              </w:rPr>
            </w:pPr>
          </w:p>
        </w:tc>
      </w:tr>
    </w:tbl>
    <w:p w:rsidR="00AD651B" w:rsidRPr="00813401" w:rsidRDefault="00AD651B" w:rsidP="00AD651B">
      <w:pPr>
        <w:jc w:val="both"/>
        <w:rPr>
          <w:sz w:val="20"/>
        </w:rPr>
      </w:pPr>
    </w:p>
    <w:p w:rsidR="00AD651B" w:rsidRPr="00813401" w:rsidRDefault="00AD651B" w:rsidP="00AD65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lang w:val="fr-CA"/>
              </w:rPr>
            </w:pPr>
            <w:r w:rsidRPr="00813401">
              <w:rPr>
                <w:rStyle w:val="SCCFileNumberChar"/>
                <w:sz w:val="20"/>
                <w:szCs w:val="20"/>
                <w:lang w:val="fr-CA"/>
              </w:rPr>
              <w:t>37210</w:t>
            </w:r>
          </w:p>
        </w:tc>
        <w:tc>
          <w:tcPr>
            <w:tcW w:w="4457" w:type="pct"/>
            <w:gridSpan w:val="3"/>
          </w:tcPr>
          <w:p w:rsidR="00AD651B" w:rsidRPr="00813401" w:rsidRDefault="00AD651B" w:rsidP="00AD651B">
            <w:pPr>
              <w:pStyle w:val="SCCLsocParty"/>
              <w:jc w:val="both"/>
              <w:rPr>
                <w:b/>
                <w:sz w:val="20"/>
                <w:szCs w:val="20"/>
              </w:rPr>
            </w:pPr>
            <w:r w:rsidRPr="00813401">
              <w:rPr>
                <w:b/>
                <w:sz w:val="20"/>
                <w:szCs w:val="20"/>
              </w:rPr>
              <w:t xml:space="preserve">Krista Lena </w:t>
            </w:r>
            <w:proofErr w:type="spellStart"/>
            <w:r w:rsidRPr="00813401">
              <w:rPr>
                <w:b/>
                <w:sz w:val="20"/>
                <w:szCs w:val="20"/>
              </w:rPr>
              <w:t>Borgfjord</w:t>
            </w:r>
            <w:proofErr w:type="spellEnd"/>
            <w:r w:rsidRPr="00813401">
              <w:rPr>
                <w:b/>
                <w:sz w:val="20"/>
                <w:szCs w:val="20"/>
              </w:rPr>
              <w:t>, mineure, représentée par son tuteur à l’instance, John </w:t>
            </w:r>
            <w:proofErr w:type="spellStart"/>
            <w:r w:rsidRPr="00813401">
              <w:rPr>
                <w:b/>
                <w:sz w:val="20"/>
                <w:szCs w:val="20"/>
              </w:rPr>
              <w:t>Borgfjord</w:t>
            </w:r>
            <w:proofErr w:type="spellEnd"/>
            <w:r w:rsidRPr="00813401">
              <w:rPr>
                <w:b/>
                <w:sz w:val="20"/>
                <w:szCs w:val="20"/>
              </w:rPr>
              <w:t xml:space="preserve"> c. Mildred Eileen </w:t>
            </w:r>
            <w:proofErr w:type="spellStart"/>
            <w:r w:rsidRPr="00813401">
              <w:rPr>
                <w:b/>
                <w:sz w:val="20"/>
                <w:szCs w:val="20"/>
              </w:rPr>
              <w:t>Boizard</w:t>
            </w:r>
            <w:proofErr w:type="spellEnd"/>
            <w:r w:rsidRPr="00813401">
              <w:rPr>
                <w:b/>
                <w:sz w:val="20"/>
                <w:szCs w:val="20"/>
              </w:rPr>
              <w:t xml:space="preserve"> et Earl F. </w:t>
            </w:r>
            <w:proofErr w:type="spellStart"/>
            <w:r w:rsidRPr="00813401">
              <w:rPr>
                <w:b/>
                <w:sz w:val="20"/>
                <w:szCs w:val="20"/>
              </w:rPr>
              <w:t>Boizard</w:t>
            </w:r>
            <w:proofErr w:type="spellEnd"/>
            <w:r w:rsidRPr="00813401">
              <w:rPr>
                <w:b/>
                <w:sz w:val="20"/>
                <w:szCs w:val="20"/>
              </w:rPr>
              <w:t xml:space="preserve">, </w:t>
            </w:r>
            <w:proofErr w:type="spellStart"/>
            <w:r w:rsidRPr="00813401">
              <w:rPr>
                <w:b/>
                <w:sz w:val="20"/>
                <w:szCs w:val="20"/>
              </w:rPr>
              <w:t>Jed</w:t>
            </w:r>
            <w:proofErr w:type="spellEnd"/>
            <w:r w:rsidRPr="00813401">
              <w:rPr>
                <w:b/>
                <w:sz w:val="20"/>
                <w:szCs w:val="20"/>
              </w:rPr>
              <w:t xml:space="preserve"> William </w:t>
            </w:r>
            <w:proofErr w:type="spellStart"/>
            <w:r w:rsidRPr="00813401">
              <w:rPr>
                <w:b/>
                <w:sz w:val="20"/>
                <w:szCs w:val="20"/>
              </w:rPr>
              <w:t>Thue</w:t>
            </w:r>
            <w:proofErr w:type="spellEnd"/>
            <w:r w:rsidRPr="00813401">
              <w:rPr>
                <w:b/>
                <w:sz w:val="20"/>
                <w:szCs w:val="20"/>
              </w:rPr>
              <w:t xml:space="preserve"> et </w:t>
            </w:r>
            <w:proofErr w:type="spellStart"/>
            <w:r w:rsidRPr="00813401">
              <w:rPr>
                <w:b/>
                <w:sz w:val="20"/>
                <w:szCs w:val="20"/>
              </w:rPr>
              <w:t>Renita</w:t>
            </w:r>
            <w:proofErr w:type="spellEnd"/>
            <w:r w:rsidRPr="00813401">
              <w:rPr>
                <w:b/>
                <w:sz w:val="20"/>
                <w:szCs w:val="20"/>
              </w:rPr>
              <w:t xml:space="preserve"> </w:t>
            </w:r>
            <w:proofErr w:type="spellStart"/>
            <w:r w:rsidRPr="00813401">
              <w:rPr>
                <w:b/>
                <w:sz w:val="20"/>
                <w:szCs w:val="20"/>
              </w:rPr>
              <w:t>Thue</w:t>
            </w:r>
            <w:proofErr w:type="spellEnd"/>
          </w:p>
          <w:p w:rsidR="00AD651B" w:rsidRPr="00813401" w:rsidRDefault="00AD651B" w:rsidP="00AD651B">
            <w:pPr>
              <w:jc w:val="both"/>
              <w:rPr>
                <w:sz w:val="20"/>
                <w:lang w:val="fr-CA"/>
              </w:rPr>
            </w:pPr>
            <w:r w:rsidRPr="00813401">
              <w:rPr>
                <w:bCs/>
                <w:sz w:val="20"/>
                <w:lang w:val="fr-CA"/>
              </w:rPr>
              <w:t>(C.-B.) (Civile) (Sur autorisation)</w:t>
            </w:r>
            <w:r w:rsidRPr="00813401">
              <w:rPr>
                <w:sz w:val="20"/>
                <w:lang w:val="fr-CA"/>
              </w:rPr>
              <w:t xml:space="preserve"> </w:t>
            </w:r>
          </w:p>
        </w:tc>
      </w:tr>
      <w:tr w:rsidR="00AD651B" w:rsidRPr="00813401" w:rsidTr="00AD651B">
        <w:tc>
          <w:tcPr>
            <w:tcW w:w="5000" w:type="pct"/>
            <w:gridSpan w:val="4"/>
          </w:tcPr>
          <w:p w:rsidR="00AD651B" w:rsidRPr="00813401" w:rsidRDefault="00AD651B" w:rsidP="00AD651B">
            <w:pPr>
              <w:jc w:val="both"/>
              <w:rPr>
                <w:sz w:val="20"/>
                <w:lang w:val="fr-CA"/>
              </w:rPr>
            </w:pPr>
            <w:r w:rsidRPr="00813401">
              <w:rPr>
                <w:sz w:val="20"/>
                <w:lang w:val="fr-CA"/>
              </w:rPr>
              <w:t xml:space="preserve">Responsabilité délictuelle – Véhicules automobiles – Négligence – Causalité – Une loi sur les véhicules automobiles l’emporte-t-elle sur l’obligation de diligence de </w:t>
            </w:r>
            <w:proofErr w:type="spellStart"/>
            <w:r w:rsidRPr="00813401">
              <w:rPr>
                <w:sz w:val="20"/>
                <w:lang w:val="fr-CA"/>
              </w:rPr>
              <w:t>common</w:t>
            </w:r>
            <w:proofErr w:type="spellEnd"/>
            <w:r w:rsidRPr="00813401">
              <w:rPr>
                <w:sz w:val="20"/>
                <w:lang w:val="fr-CA"/>
              </w:rPr>
              <w:t xml:space="preserve"> </w:t>
            </w:r>
            <w:proofErr w:type="spellStart"/>
            <w:r w:rsidRPr="00813401">
              <w:rPr>
                <w:sz w:val="20"/>
                <w:lang w:val="fr-CA"/>
              </w:rPr>
              <w:t>law</w:t>
            </w:r>
            <w:proofErr w:type="spellEnd"/>
            <w:r w:rsidRPr="00813401">
              <w:rPr>
                <w:sz w:val="20"/>
                <w:lang w:val="fr-CA"/>
              </w:rPr>
              <w:t>? – Les tribunaux devraient-ils recourir à l’analyse de la cause immédiate pour protéger les défendeurs moins dignes de blâme? – La Cour d’appel a-t-elle mal interprété le concept de causalité fondée sur des inférences?</w:t>
            </w:r>
          </w:p>
        </w:tc>
      </w:tr>
      <w:tr w:rsidR="00AD651B" w:rsidRPr="00813401" w:rsidTr="00AD651B">
        <w:tc>
          <w:tcPr>
            <w:tcW w:w="5000" w:type="pct"/>
            <w:gridSpan w:val="4"/>
          </w:tcPr>
          <w:p w:rsidR="00AD651B" w:rsidRPr="00813401" w:rsidRDefault="00AD651B" w:rsidP="00AD651B">
            <w:pPr>
              <w:jc w:val="both"/>
              <w:rPr>
                <w:sz w:val="20"/>
                <w:lang w:val="fr-CA"/>
              </w:rPr>
            </w:pPr>
          </w:p>
        </w:tc>
      </w:tr>
      <w:tr w:rsidR="00AD651B" w:rsidRPr="00813401" w:rsidTr="00AD651B">
        <w:tc>
          <w:tcPr>
            <w:tcW w:w="5000" w:type="pct"/>
            <w:gridSpan w:val="4"/>
          </w:tcPr>
          <w:p w:rsidR="00AD651B" w:rsidRPr="00813401" w:rsidRDefault="00AD651B" w:rsidP="00AD651B">
            <w:pPr>
              <w:jc w:val="both"/>
              <w:rPr>
                <w:sz w:val="20"/>
                <w:lang w:val="fr-CA"/>
              </w:rPr>
            </w:pPr>
            <w:r w:rsidRPr="00813401">
              <w:rPr>
                <w:sz w:val="20"/>
                <w:lang w:val="fr-CA"/>
              </w:rPr>
              <w:t>M</w:t>
            </w:r>
            <w:r w:rsidRPr="00813401">
              <w:rPr>
                <w:sz w:val="20"/>
                <w:vertAlign w:val="superscript"/>
                <w:lang w:val="fr-CA"/>
              </w:rPr>
              <w:t>me</w:t>
            </w:r>
            <w:r w:rsidRPr="00813401">
              <w:rPr>
                <w:sz w:val="20"/>
                <w:lang w:val="fr-CA"/>
              </w:rPr>
              <w:t> </w:t>
            </w:r>
            <w:proofErr w:type="spellStart"/>
            <w:r w:rsidRPr="00813401">
              <w:rPr>
                <w:sz w:val="20"/>
                <w:lang w:val="fr-CA"/>
              </w:rPr>
              <w:t>Boizard</w:t>
            </w:r>
            <w:proofErr w:type="spellEnd"/>
            <w:r w:rsidRPr="00813401">
              <w:rPr>
                <w:sz w:val="20"/>
                <w:lang w:val="fr-CA"/>
              </w:rPr>
              <w:t xml:space="preserve"> conduisait par temps clair sur un long ruban de route droite de la </w:t>
            </w:r>
            <w:proofErr w:type="spellStart"/>
            <w:r w:rsidRPr="00813401">
              <w:rPr>
                <w:sz w:val="20"/>
                <w:lang w:val="fr-CA"/>
              </w:rPr>
              <w:t>Coquihalla</w:t>
            </w:r>
            <w:proofErr w:type="spellEnd"/>
            <w:r w:rsidRPr="00813401">
              <w:rPr>
                <w:sz w:val="20"/>
                <w:lang w:val="fr-CA"/>
              </w:rPr>
              <w:t> </w:t>
            </w:r>
            <w:proofErr w:type="spellStart"/>
            <w:r w:rsidRPr="00813401">
              <w:rPr>
                <w:sz w:val="20"/>
                <w:lang w:val="fr-CA"/>
              </w:rPr>
              <w:t>Highway</w:t>
            </w:r>
            <w:proofErr w:type="spellEnd"/>
            <w:r w:rsidRPr="00813401">
              <w:rPr>
                <w:sz w:val="20"/>
                <w:lang w:val="fr-CA"/>
              </w:rPr>
              <w:t xml:space="preserve"> à une vitesse d’environ 80 à 85 km/h lorsqu’elle a commencé, dans une section en montée, à doubler des véhicules qui roulaient plus lentement dans les voies du centre et de droite. En s’engageant dans la voie de gauche, elle ne pouvait pas voir les véhicules qui la suivaient. Alors qu’elle doublait un véhicule qui se trouvait dans la voie du centre, la voiture conduite par M. </w:t>
            </w:r>
            <w:proofErr w:type="spellStart"/>
            <w:r w:rsidRPr="00813401">
              <w:rPr>
                <w:sz w:val="20"/>
                <w:lang w:val="fr-CA"/>
              </w:rPr>
              <w:t>Thue</w:t>
            </w:r>
            <w:proofErr w:type="spellEnd"/>
            <w:r w:rsidRPr="00813401">
              <w:rPr>
                <w:sz w:val="20"/>
                <w:lang w:val="fr-CA"/>
              </w:rPr>
              <w:t xml:space="preserve"> s’est approchée d’elle à très haute vitesse. Au lieu de ralentir pour s’ajuster à sa vitesse, M. </w:t>
            </w:r>
            <w:proofErr w:type="spellStart"/>
            <w:r w:rsidRPr="00813401">
              <w:rPr>
                <w:sz w:val="20"/>
                <w:lang w:val="fr-CA"/>
              </w:rPr>
              <w:t>Thue</w:t>
            </w:r>
            <w:proofErr w:type="spellEnd"/>
            <w:r w:rsidRPr="00813401">
              <w:rPr>
                <w:sz w:val="20"/>
                <w:lang w:val="fr-CA"/>
              </w:rPr>
              <w:t xml:space="preserve"> s’est rabattu sur la voie du centre sans ralentir, puis sur la voie de droite. C’est alors qu’il a aperçu le véhicule qui avançait très lentement dans la voie de droite juste devant le véhicule de la voie du centre. Il a accéléré pour doubler le véhicule de la voie du centre et pour se rabattre sur la voie du centre avant que le véhicule qui se trouvait dans la voie du centre ne comble l’écart le séparant du véhicule de la voie de droite. Le véhicule de M. </w:t>
            </w:r>
            <w:proofErr w:type="spellStart"/>
            <w:r w:rsidRPr="00813401">
              <w:rPr>
                <w:sz w:val="20"/>
                <w:lang w:val="fr-CA"/>
              </w:rPr>
              <w:t>Thue</w:t>
            </w:r>
            <w:proofErr w:type="spellEnd"/>
            <w:r w:rsidRPr="00813401">
              <w:rPr>
                <w:sz w:val="20"/>
                <w:lang w:val="fr-CA"/>
              </w:rPr>
              <w:t xml:space="preserve"> a heurté le coin arrière gauche du véhicule qui se trouvait dans la voie de droite. Cette collision a causé beaucoup de dommages du côté passager du véhicule de M. </w:t>
            </w:r>
            <w:proofErr w:type="spellStart"/>
            <w:r w:rsidRPr="00813401">
              <w:rPr>
                <w:sz w:val="20"/>
                <w:lang w:val="fr-CA"/>
              </w:rPr>
              <w:t>Thue</w:t>
            </w:r>
            <w:proofErr w:type="spellEnd"/>
            <w:r w:rsidRPr="00813401">
              <w:rPr>
                <w:sz w:val="20"/>
                <w:lang w:val="fr-CA"/>
              </w:rPr>
              <w:t xml:space="preserve"> et ses deux passagers ont été éjectés et ont subi de graves blessures. Une fois parvenu au sommet de la côte, le véhicule de M. </w:t>
            </w:r>
            <w:proofErr w:type="spellStart"/>
            <w:r w:rsidRPr="00813401">
              <w:rPr>
                <w:sz w:val="20"/>
                <w:lang w:val="fr-CA"/>
              </w:rPr>
              <w:t>Thue</w:t>
            </w:r>
            <w:proofErr w:type="spellEnd"/>
            <w:r w:rsidRPr="00813401">
              <w:rPr>
                <w:sz w:val="20"/>
                <w:lang w:val="fr-CA"/>
              </w:rPr>
              <w:t xml:space="preserve"> s’est mis à tourner sur lui-même devant la voiture qui se trouvait dans la voie du centre, puis s’est immobilisé devant le véhicule de M</w:t>
            </w:r>
            <w:r w:rsidRPr="00813401">
              <w:rPr>
                <w:sz w:val="20"/>
                <w:vertAlign w:val="superscript"/>
                <w:lang w:val="fr-CA"/>
              </w:rPr>
              <w:t>me</w:t>
            </w:r>
            <w:r w:rsidRPr="00813401">
              <w:rPr>
                <w:sz w:val="20"/>
                <w:lang w:val="fr-CA"/>
              </w:rPr>
              <w:t> </w:t>
            </w:r>
            <w:proofErr w:type="spellStart"/>
            <w:r w:rsidRPr="00813401">
              <w:rPr>
                <w:sz w:val="20"/>
                <w:lang w:val="fr-CA"/>
              </w:rPr>
              <w:t>Boizard</w:t>
            </w:r>
            <w:proofErr w:type="spellEnd"/>
            <w:r w:rsidRPr="00813401">
              <w:rPr>
                <w:sz w:val="20"/>
                <w:lang w:val="fr-CA"/>
              </w:rPr>
              <w:t xml:space="preserve"> dans la voie de gauche. M</w:t>
            </w:r>
            <w:r w:rsidRPr="00813401">
              <w:rPr>
                <w:sz w:val="20"/>
                <w:vertAlign w:val="superscript"/>
                <w:lang w:val="fr-CA"/>
              </w:rPr>
              <w:t>me</w:t>
            </w:r>
            <w:r w:rsidRPr="00813401">
              <w:rPr>
                <w:sz w:val="20"/>
                <w:lang w:val="fr-CA"/>
              </w:rPr>
              <w:t> </w:t>
            </w:r>
            <w:proofErr w:type="spellStart"/>
            <w:r w:rsidRPr="00813401">
              <w:rPr>
                <w:sz w:val="20"/>
                <w:lang w:val="fr-CA"/>
              </w:rPr>
              <w:t>Boizard</w:t>
            </w:r>
            <w:proofErr w:type="spellEnd"/>
            <w:r w:rsidRPr="00813401">
              <w:rPr>
                <w:sz w:val="20"/>
                <w:lang w:val="fr-CA"/>
              </w:rPr>
              <w:t xml:space="preserve"> a freiné vigoureusement. L’impact subi par la voiture de M</w:t>
            </w:r>
            <w:r w:rsidRPr="00813401">
              <w:rPr>
                <w:sz w:val="20"/>
                <w:vertAlign w:val="superscript"/>
                <w:lang w:val="fr-CA"/>
              </w:rPr>
              <w:t>me</w:t>
            </w:r>
            <w:r w:rsidRPr="00813401">
              <w:rPr>
                <w:sz w:val="20"/>
                <w:lang w:val="fr-CA"/>
              </w:rPr>
              <w:t> </w:t>
            </w:r>
            <w:proofErr w:type="spellStart"/>
            <w:r w:rsidRPr="00813401">
              <w:rPr>
                <w:sz w:val="20"/>
                <w:lang w:val="fr-CA"/>
              </w:rPr>
              <w:t>Boizard</w:t>
            </w:r>
            <w:proofErr w:type="spellEnd"/>
            <w:r w:rsidRPr="00813401">
              <w:rPr>
                <w:sz w:val="20"/>
                <w:lang w:val="fr-CA"/>
              </w:rPr>
              <w:t xml:space="preserve"> a été mineur. M. </w:t>
            </w:r>
            <w:proofErr w:type="spellStart"/>
            <w:r w:rsidRPr="00813401">
              <w:rPr>
                <w:sz w:val="20"/>
                <w:lang w:val="fr-CA"/>
              </w:rPr>
              <w:t>Thue</w:t>
            </w:r>
            <w:proofErr w:type="spellEnd"/>
            <w:r w:rsidRPr="00813401">
              <w:rPr>
                <w:sz w:val="20"/>
                <w:lang w:val="fr-CA"/>
              </w:rPr>
              <w:t xml:space="preserve"> a été reconnu coupable de </w:t>
            </w:r>
            <w:r w:rsidRPr="00813401">
              <w:rPr>
                <w:rStyle w:val="highlight"/>
                <w:rFonts w:eastAsiaTheme="minorHAnsi"/>
                <w:color w:val="000000"/>
                <w:sz w:val="20"/>
                <w:lang w:val="fr-CA"/>
              </w:rPr>
              <w:t>conduite dangereuse causant des lésions corporelles</w:t>
            </w:r>
            <w:r w:rsidRPr="00813401">
              <w:rPr>
                <w:sz w:val="20"/>
                <w:lang w:val="fr-CA"/>
              </w:rPr>
              <w:t>. Un des passagers ayant subi des blessures a affirmé que M</w:t>
            </w:r>
            <w:r w:rsidRPr="00813401">
              <w:rPr>
                <w:sz w:val="20"/>
                <w:vertAlign w:val="superscript"/>
                <w:lang w:val="fr-CA"/>
              </w:rPr>
              <w:t>me</w:t>
            </w:r>
            <w:r w:rsidRPr="00813401">
              <w:rPr>
                <w:sz w:val="20"/>
                <w:lang w:val="fr-CA"/>
              </w:rPr>
              <w:t> </w:t>
            </w:r>
            <w:proofErr w:type="spellStart"/>
            <w:r w:rsidRPr="00813401">
              <w:rPr>
                <w:sz w:val="20"/>
                <w:lang w:val="fr-CA"/>
              </w:rPr>
              <w:t>Boizard</w:t>
            </w:r>
            <w:proofErr w:type="spellEnd"/>
            <w:r w:rsidRPr="00813401">
              <w:rPr>
                <w:sz w:val="20"/>
                <w:lang w:val="fr-CA"/>
              </w:rPr>
              <w:t xml:space="preserve"> avait fait preuve de négligence en changeant de voie et en ne doublant pas le camion de M. </w:t>
            </w:r>
            <w:proofErr w:type="spellStart"/>
            <w:r w:rsidRPr="00813401">
              <w:rPr>
                <w:sz w:val="20"/>
                <w:lang w:val="fr-CA"/>
              </w:rPr>
              <w:t>Einarson</w:t>
            </w:r>
            <w:proofErr w:type="spellEnd"/>
            <w:r w:rsidRPr="00813401">
              <w:rPr>
                <w:sz w:val="20"/>
                <w:lang w:val="fr-CA"/>
              </w:rPr>
              <w:t xml:space="preserve"> à une vitesse raisonnable.</w:t>
            </w:r>
          </w:p>
          <w:p w:rsidR="00AD651B" w:rsidRPr="00813401" w:rsidRDefault="00AD651B" w:rsidP="00AD651B">
            <w:pPr>
              <w:jc w:val="both"/>
              <w:rPr>
                <w:sz w:val="20"/>
                <w:lang w:val="fr-CA"/>
              </w:rPr>
            </w:pPr>
          </w:p>
          <w:p w:rsidR="00AD651B" w:rsidRPr="00813401" w:rsidRDefault="00AD651B" w:rsidP="00AD651B">
            <w:pPr>
              <w:jc w:val="both"/>
              <w:rPr>
                <w:sz w:val="20"/>
                <w:lang w:val="fr-CA"/>
              </w:rPr>
            </w:pPr>
            <w:r w:rsidRPr="00813401">
              <w:rPr>
                <w:sz w:val="20"/>
                <w:lang w:val="fr-CA"/>
              </w:rPr>
              <w:t>Le juge du procès a fixé à 10 pour 100 le degré de responsabilité de M</w:t>
            </w:r>
            <w:r w:rsidRPr="00813401">
              <w:rPr>
                <w:sz w:val="20"/>
                <w:vertAlign w:val="superscript"/>
                <w:lang w:val="fr-CA"/>
              </w:rPr>
              <w:t>me </w:t>
            </w:r>
            <w:proofErr w:type="spellStart"/>
            <w:r w:rsidRPr="00813401">
              <w:rPr>
                <w:sz w:val="20"/>
                <w:lang w:val="fr-CA"/>
              </w:rPr>
              <w:t>Boizard</w:t>
            </w:r>
            <w:proofErr w:type="spellEnd"/>
            <w:r w:rsidRPr="00813401">
              <w:rPr>
                <w:sz w:val="20"/>
                <w:lang w:val="fr-CA"/>
              </w:rPr>
              <w:t xml:space="preserve"> au motif qu’elle n’avait pas satisfait à la norme du conducteur raisonnable parce qu’elle n’avait pas doublé le camion de M. </w:t>
            </w:r>
            <w:proofErr w:type="spellStart"/>
            <w:r w:rsidRPr="00813401">
              <w:rPr>
                <w:sz w:val="20"/>
                <w:lang w:val="fr-CA"/>
              </w:rPr>
              <w:t>Einarson</w:t>
            </w:r>
            <w:proofErr w:type="spellEnd"/>
            <w:r w:rsidRPr="00813401">
              <w:rPr>
                <w:sz w:val="20"/>
                <w:lang w:val="fr-CA"/>
              </w:rPr>
              <w:t xml:space="preserve"> aussi rapidement qu’elle aurait raisonnablement dû le faire. La Cour d’appel a accueilli l’appel.</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21 octobre 2015</w:t>
            </w:r>
          </w:p>
          <w:p w:rsidR="00AD651B" w:rsidRPr="00813401" w:rsidRDefault="00AD651B" w:rsidP="00AD651B">
            <w:pPr>
              <w:jc w:val="both"/>
              <w:rPr>
                <w:sz w:val="20"/>
                <w:lang w:val="fr-CA"/>
              </w:rPr>
            </w:pPr>
            <w:r w:rsidRPr="00813401">
              <w:rPr>
                <w:sz w:val="20"/>
                <w:lang w:val="fr-CA"/>
              </w:rPr>
              <w:t>Cour suprême de la Colombie-Britannique</w:t>
            </w:r>
          </w:p>
          <w:p w:rsidR="00AD651B" w:rsidRPr="00813401" w:rsidRDefault="00AD651B" w:rsidP="00AD651B">
            <w:pPr>
              <w:jc w:val="both"/>
              <w:rPr>
                <w:sz w:val="20"/>
                <w:lang w:val="fr-CA"/>
              </w:rPr>
            </w:pPr>
            <w:r w:rsidRPr="00813401">
              <w:rPr>
                <w:sz w:val="20"/>
                <w:lang w:val="fr-CA"/>
              </w:rPr>
              <w:t>(Juge Rogers)</w:t>
            </w:r>
          </w:p>
          <w:p w:rsidR="00AD651B" w:rsidRPr="00813401" w:rsidRDefault="00AD651B" w:rsidP="00AD651B">
            <w:pPr>
              <w:jc w:val="both"/>
              <w:rPr>
                <w:sz w:val="20"/>
                <w:lang w:val="fr-CA"/>
              </w:rPr>
            </w:pPr>
            <w:hyperlink r:id="rId38" w:history="1">
              <w:r w:rsidRPr="00813401">
                <w:rPr>
                  <w:rStyle w:val="Hyperlink"/>
                  <w:sz w:val="20"/>
                  <w:lang w:val="fr-CA"/>
                </w:rPr>
                <w:t>2015 BCSC 1917</w:t>
              </w:r>
            </w:hyperlink>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M. </w:t>
            </w:r>
            <w:proofErr w:type="spellStart"/>
            <w:r w:rsidRPr="00813401">
              <w:rPr>
                <w:sz w:val="20"/>
                <w:lang w:val="fr-CA"/>
              </w:rPr>
              <w:t>Thue</w:t>
            </w:r>
            <w:proofErr w:type="spellEnd"/>
            <w:r w:rsidRPr="00813401">
              <w:rPr>
                <w:sz w:val="20"/>
                <w:lang w:val="fr-CA"/>
              </w:rPr>
              <w:t xml:space="preserve"> et M</w:t>
            </w:r>
            <w:r w:rsidRPr="00813401">
              <w:rPr>
                <w:sz w:val="20"/>
                <w:vertAlign w:val="superscript"/>
                <w:lang w:val="fr-CA"/>
              </w:rPr>
              <w:t>me </w:t>
            </w:r>
            <w:proofErr w:type="spellStart"/>
            <w:r w:rsidRPr="00813401">
              <w:rPr>
                <w:sz w:val="20"/>
                <w:lang w:val="fr-CA"/>
              </w:rPr>
              <w:t>Boizard</w:t>
            </w:r>
            <w:proofErr w:type="spellEnd"/>
            <w:r w:rsidRPr="00813401">
              <w:rPr>
                <w:sz w:val="20"/>
                <w:lang w:val="fr-CA"/>
              </w:rPr>
              <w:t xml:space="preserve"> condamnés à payer à M</w:t>
            </w:r>
            <w:r w:rsidRPr="00813401">
              <w:rPr>
                <w:sz w:val="20"/>
                <w:vertAlign w:val="superscript"/>
                <w:lang w:val="fr-CA"/>
              </w:rPr>
              <w:t>me</w:t>
            </w:r>
            <w:r w:rsidRPr="00813401">
              <w:rPr>
                <w:sz w:val="20"/>
                <w:lang w:val="fr-CA"/>
              </w:rPr>
              <w:t> </w:t>
            </w:r>
            <w:proofErr w:type="spellStart"/>
            <w:r w:rsidRPr="00813401">
              <w:rPr>
                <w:sz w:val="20"/>
                <w:lang w:val="fr-CA"/>
              </w:rPr>
              <w:t>Borgfjord</w:t>
            </w:r>
            <w:proofErr w:type="spellEnd"/>
            <w:r w:rsidRPr="00813401">
              <w:rPr>
                <w:sz w:val="20"/>
                <w:lang w:val="fr-CA"/>
              </w:rPr>
              <w:t xml:space="preserve"> le montant devant être établi à titre de dommages-intérêts </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20 juillet 2016</w:t>
            </w:r>
          </w:p>
          <w:p w:rsidR="00AD651B" w:rsidRPr="00813401" w:rsidRDefault="00AD651B" w:rsidP="00AD651B">
            <w:pPr>
              <w:jc w:val="both"/>
              <w:rPr>
                <w:sz w:val="20"/>
                <w:lang w:val="fr-CA"/>
              </w:rPr>
            </w:pPr>
            <w:r w:rsidRPr="00813401">
              <w:rPr>
                <w:sz w:val="20"/>
                <w:lang w:val="fr-CA"/>
              </w:rPr>
              <w:t>Cour d’appel de la Colombie-Britannique</w:t>
            </w:r>
          </w:p>
          <w:p w:rsidR="00AD651B" w:rsidRPr="00813401" w:rsidRDefault="00AD651B" w:rsidP="00AD651B">
            <w:pPr>
              <w:jc w:val="both"/>
              <w:rPr>
                <w:sz w:val="20"/>
                <w:lang w:val="fr-CA"/>
              </w:rPr>
            </w:pPr>
            <w:r w:rsidRPr="00813401">
              <w:rPr>
                <w:sz w:val="20"/>
                <w:lang w:val="fr-CA"/>
              </w:rPr>
              <w:t>(Vancouver)</w:t>
            </w:r>
          </w:p>
          <w:p w:rsidR="00AD651B" w:rsidRPr="00813401" w:rsidRDefault="00AD651B" w:rsidP="00AD651B">
            <w:pPr>
              <w:jc w:val="both"/>
              <w:rPr>
                <w:sz w:val="20"/>
                <w:lang w:val="fr-CA"/>
              </w:rPr>
            </w:pPr>
            <w:r w:rsidRPr="00813401">
              <w:rPr>
                <w:sz w:val="20"/>
                <w:lang w:val="fr-CA"/>
              </w:rPr>
              <w:t>(Juges Saunders, Smith et Savage)</w:t>
            </w:r>
          </w:p>
          <w:p w:rsidR="00AD651B" w:rsidRPr="00813401" w:rsidRDefault="00AD651B" w:rsidP="00AD651B">
            <w:pPr>
              <w:jc w:val="both"/>
              <w:rPr>
                <w:sz w:val="20"/>
                <w:lang w:val="fr-CA"/>
              </w:rPr>
            </w:pPr>
            <w:hyperlink r:id="rId39" w:history="1">
              <w:r w:rsidRPr="00813401">
                <w:rPr>
                  <w:rStyle w:val="Hyperlink"/>
                  <w:sz w:val="20"/>
                  <w:lang w:val="fr-CA"/>
                </w:rPr>
                <w:t>2016 BCCA 317</w:t>
              </w:r>
            </w:hyperlink>
            <w:r w:rsidRPr="00813401">
              <w:rPr>
                <w:sz w:val="20"/>
                <w:lang w:val="fr-CA"/>
              </w:rPr>
              <w:t xml:space="preserve"> </w:t>
            </w:r>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Appel accueilli</w:t>
            </w: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28 septembre 2016</w:t>
            </w:r>
          </w:p>
          <w:p w:rsidR="00AD651B" w:rsidRPr="00813401" w:rsidRDefault="00AD651B" w:rsidP="00AD651B">
            <w:pPr>
              <w:jc w:val="both"/>
              <w:rPr>
                <w:sz w:val="20"/>
                <w:lang w:val="fr-CA"/>
              </w:rPr>
            </w:pPr>
            <w:r w:rsidRPr="00813401">
              <w:rPr>
                <w:sz w:val="20"/>
                <w:lang w:val="fr-CA"/>
              </w:rPr>
              <w:t>Cour suprême du Canada</w:t>
            </w: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Demande d’autorisation d’appel déposée</w:t>
            </w:r>
          </w:p>
          <w:p w:rsidR="00AD651B" w:rsidRPr="00813401" w:rsidRDefault="00AD651B" w:rsidP="00AD651B">
            <w:pPr>
              <w:jc w:val="both"/>
              <w:rPr>
                <w:sz w:val="20"/>
                <w:lang w:val="fr-CA"/>
              </w:rPr>
            </w:pPr>
          </w:p>
        </w:tc>
      </w:tr>
    </w:tbl>
    <w:p w:rsidR="00AD651B" w:rsidRPr="00813401" w:rsidRDefault="00AD651B" w:rsidP="00AD651B">
      <w:pPr>
        <w:jc w:val="both"/>
        <w:rPr>
          <w:sz w:val="20"/>
          <w:lang w:val="fr-CA"/>
        </w:rPr>
      </w:pPr>
    </w:p>
    <w:p w:rsidR="00AD651B" w:rsidRPr="00813401" w:rsidRDefault="00AD651B" w:rsidP="00AD651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D651B" w:rsidRPr="00813401" w:rsidTr="00AD651B">
        <w:trPr>
          <w:gridAfter w:val="1"/>
          <w:wAfter w:w="48" w:type="pct"/>
        </w:trPr>
        <w:tc>
          <w:tcPr>
            <w:tcW w:w="538" w:type="pct"/>
          </w:tcPr>
          <w:p w:rsidR="00AD651B" w:rsidRPr="00813401" w:rsidRDefault="00AD651B" w:rsidP="00AD651B">
            <w:pPr>
              <w:jc w:val="both"/>
              <w:rPr>
                <w:sz w:val="20"/>
              </w:rPr>
            </w:pPr>
            <w:r w:rsidRPr="00813401">
              <w:rPr>
                <w:rStyle w:val="SCCFileNumberChar"/>
                <w:sz w:val="20"/>
                <w:szCs w:val="20"/>
              </w:rPr>
              <w:t>37206</w:t>
            </w:r>
          </w:p>
        </w:tc>
        <w:tc>
          <w:tcPr>
            <w:tcW w:w="4414" w:type="pct"/>
            <w:gridSpan w:val="3"/>
          </w:tcPr>
          <w:p w:rsidR="00AD651B" w:rsidRPr="00813401" w:rsidRDefault="00AD651B" w:rsidP="00AD651B">
            <w:pPr>
              <w:pStyle w:val="SCCLsocParty"/>
              <w:jc w:val="both"/>
              <w:rPr>
                <w:b/>
                <w:sz w:val="20"/>
                <w:szCs w:val="20"/>
                <w:lang w:val="en-US"/>
              </w:rPr>
            </w:pPr>
            <w:r w:rsidRPr="00813401">
              <w:rPr>
                <w:b/>
                <w:sz w:val="20"/>
                <w:szCs w:val="20"/>
                <w:lang w:val="en-US"/>
              </w:rPr>
              <w:t>Allstate Insurance Company of Canada v. Intact Insurance Company</w:t>
            </w:r>
          </w:p>
          <w:p w:rsidR="00AD651B" w:rsidRPr="00813401" w:rsidRDefault="00AD651B" w:rsidP="00AD651B">
            <w:pPr>
              <w:jc w:val="both"/>
              <w:rPr>
                <w:sz w:val="20"/>
              </w:rPr>
            </w:pPr>
            <w:r w:rsidRPr="00813401">
              <w:rPr>
                <w:sz w:val="20"/>
              </w:rPr>
              <w:t>(Ont.) (Civil) (By Leave)</w:t>
            </w:r>
          </w:p>
        </w:tc>
      </w:tr>
      <w:tr w:rsidR="00AD651B" w:rsidRPr="00813401" w:rsidTr="00AD651B">
        <w:trPr>
          <w:gridAfter w:val="1"/>
          <w:wAfter w:w="48" w:type="pct"/>
        </w:trPr>
        <w:tc>
          <w:tcPr>
            <w:tcW w:w="4952" w:type="pct"/>
            <w:gridSpan w:val="4"/>
          </w:tcPr>
          <w:p w:rsidR="00AD651B" w:rsidRPr="00813401" w:rsidRDefault="00AD651B" w:rsidP="00AD651B">
            <w:pPr>
              <w:jc w:val="both"/>
              <w:rPr>
                <w:sz w:val="20"/>
              </w:rPr>
            </w:pPr>
            <w:r w:rsidRPr="00813401">
              <w:rPr>
                <w:sz w:val="20"/>
              </w:rPr>
              <w:lastRenderedPageBreak/>
              <w:t>Insurance – Automobile insurance – Insurance arbitration – Principally dependant for financial support – Administrative law – Standard of review applicable to insurance arbitrator’s decision – How should “principally dependent for financial support” be determined for purposes of automobile insurance policy – Whether arbitrator erred in considering permanence of relationship as factor – In appeals from decisions of private arbitrators and administrative tribunals, what constitutes improper substitution of desired outcome – How does requirement for deference to tribunal and arbitral fact finding manifest itself in second guessing arbitrator’s fact driven choice.</w:t>
            </w:r>
          </w:p>
          <w:p w:rsidR="00AD651B" w:rsidRPr="00813401" w:rsidRDefault="00AD651B" w:rsidP="00AD651B">
            <w:pPr>
              <w:jc w:val="both"/>
              <w:rPr>
                <w:sz w:val="20"/>
              </w:rPr>
            </w:pPr>
          </w:p>
        </w:tc>
      </w:tr>
      <w:tr w:rsidR="00AD651B" w:rsidRPr="00813401" w:rsidTr="00AD651B">
        <w:trPr>
          <w:gridAfter w:val="1"/>
          <w:wAfter w:w="48" w:type="pct"/>
        </w:trPr>
        <w:tc>
          <w:tcPr>
            <w:tcW w:w="4952" w:type="pct"/>
            <w:gridSpan w:val="4"/>
          </w:tcPr>
          <w:p w:rsidR="00AD651B" w:rsidRPr="00813401" w:rsidRDefault="00AD651B" w:rsidP="00AD651B">
            <w:pPr>
              <w:jc w:val="both"/>
              <w:rPr>
                <w:sz w:val="20"/>
              </w:rPr>
            </w:pPr>
            <w:r w:rsidRPr="00813401">
              <w:rPr>
                <w:sz w:val="20"/>
              </w:rPr>
              <w:t xml:space="preserve">Either the applicant, Allstate Insurance Company of Canada, or the respondent, Intact Insurance Company, is responsible for statutory accident benefits owed to the claimants, Paula Chartrand and her two daughters, after they were injured in an accident on August 21, 2010. The claimants received accident benefits from Intact, the insurer of the vehicle they were riding in at the time of the accident. Intact subsequently took steps to recover from Allstate on the basis that Allstate insured two vehicles owned by Kyle Houghton, with whom Ms. Chartrand was having a relationship and with whom the claimants had lived for seven weeks at the time of the accident. Intact took the position that the claimants were “principally dependent for financial support” on Mr. Houghton per s. 2(6) of the </w:t>
            </w:r>
            <w:r w:rsidRPr="00813401">
              <w:rPr>
                <w:i/>
                <w:sz w:val="20"/>
              </w:rPr>
              <w:t>Statutory Accident Benefits Schedule – Accidents on or after November 1, 1996</w:t>
            </w:r>
            <w:r w:rsidRPr="00813401">
              <w:rPr>
                <w:sz w:val="20"/>
              </w:rPr>
              <w:t>, O. Reg. 403/96, and were therefore insureds under his Allstate policies. The parties submitted their priority dispute to an arbitrator, who decided that the claimants were not “principally dependent for financial support” on Mr. Houghton at the time of the accident because the “relationship was not one of permanence”. Intact was therefore found responsible for the accident benefits. Intact appealed the arbitrator’s decision to the Ontario Superior Court of Justice under the terms of the parties’ arbitration agreement.</w:t>
            </w:r>
          </w:p>
          <w:p w:rsidR="00AD651B" w:rsidRPr="00813401" w:rsidRDefault="00AD651B" w:rsidP="00AD651B">
            <w:pPr>
              <w:jc w:val="both"/>
              <w:rPr>
                <w:sz w:val="20"/>
              </w:rPr>
            </w:pPr>
          </w:p>
        </w:tc>
      </w:tr>
      <w:tr w:rsidR="00AD651B" w:rsidRPr="00813401" w:rsidTr="00AD651B">
        <w:trPr>
          <w:gridAfter w:val="1"/>
          <w:wAfter w:w="48" w:type="pct"/>
        </w:trPr>
        <w:tc>
          <w:tcPr>
            <w:tcW w:w="4952" w:type="pct"/>
            <w:gridSpan w:val="4"/>
          </w:tcPr>
          <w:p w:rsidR="00AD651B" w:rsidRPr="00813401" w:rsidRDefault="00AD651B" w:rsidP="00AD651B">
            <w:pPr>
              <w:jc w:val="both"/>
              <w:rPr>
                <w:sz w:val="20"/>
              </w:rPr>
            </w:pPr>
            <w:r w:rsidRPr="00813401">
              <w:rPr>
                <w:sz w:val="20"/>
              </w:rPr>
              <w:t xml:space="preserve">Adopting a correctness standard of review, the Ontario Superior Court of Justice allowed </w:t>
            </w:r>
            <w:proofErr w:type="spellStart"/>
            <w:r w:rsidRPr="00813401">
              <w:rPr>
                <w:sz w:val="20"/>
              </w:rPr>
              <w:t>Intact’s</w:t>
            </w:r>
            <w:proofErr w:type="spellEnd"/>
            <w:r w:rsidRPr="00813401">
              <w:rPr>
                <w:sz w:val="20"/>
              </w:rPr>
              <w:t xml:space="preserve"> appeal, set aside the arbitrator’s decision, and concluded Allstate was responsible for paying the accident benefits. The Ontario Court of Appeal found the appropriate standard of review that should have been adopted by the court below was reasonableness and not correctness, but nevertheless dismissed the Allstate’s appeal because it found the arbitrator’s decision was unreasonable.</w:t>
            </w:r>
          </w:p>
          <w:p w:rsidR="00AD651B" w:rsidRPr="00813401" w:rsidRDefault="00AD651B" w:rsidP="00AD651B">
            <w:pPr>
              <w:jc w:val="both"/>
              <w:rPr>
                <w:sz w:val="20"/>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rPr>
            </w:pPr>
            <w:r w:rsidRPr="00813401">
              <w:rPr>
                <w:sz w:val="20"/>
              </w:rPr>
              <w:t>July 2, 2015</w:t>
            </w:r>
          </w:p>
          <w:p w:rsidR="00AD651B" w:rsidRPr="00813401" w:rsidRDefault="00AD651B" w:rsidP="00AD651B">
            <w:pPr>
              <w:jc w:val="both"/>
              <w:rPr>
                <w:sz w:val="20"/>
              </w:rPr>
            </w:pPr>
            <w:r w:rsidRPr="00813401">
              <w:rPr>
                <w:sz w:val="20"/>
              </w:rPr>
              <w:t>Ontario Superior Court of Justice</w:t>
            </w:r>
          </w:p>
          <w:p w:rsidR="00AD651B" w:rsidRPr="00813401" w:rsidRDefault="00AD651B" w:rsidP="00AD651B">
            <w:pPr>
              <w:jc w:val="both"/>
              <w:rPr>
                <w:sz w:val="20"/>
              </w:rPr>
            </w:pPr>
            <w:r w:rsidRPr="00813401">
              <w:rPr>
                <w:sz w:val="20"/>
              </w:rPr>
              <w:t>(Raikes J.)</w:t>
            </w:r>
          </w:p>
          <w:p w:rsidR="00AD651B" w:rsidRPr="00813401" w:rsidRDefault="00AD651B" w:rsidP="00AD651B">
            <w:pPr>
              <w:jc w:val="both"/>
              <w:rPr>
                <w:sz w:val="20"/>
              </w:rPr>
            </w:pPr>
            <w:hyperlink r:id="rId40" w:history="1">
              <w:r w:rsidRPr="00813401">
                <w:rPr>
                  <w:rStyle w:val="Hyperlink"/>
                  <w:sz w:val="20"/>
                </w:rPr>
                <w:t>2015 ONSC 4264</w:t>
              </w:r>
            </w:hyperlink>
          </w:p>
          <w:p w:rsidR="00AD651B" w:rsidRPr="00813401" w:rsidRDefault="00AD651B" w:rsidP="00AD651B">
            <w:pPr>
              <w:jc w:val="both"/>
              <w:rPr>
                <w:sz w:val="20"/>
              </w:rPr>
            </w:pPr>
          </w:p>
        </w:tc>
        <w:tc>
          <w:tcPr>
            <w:tcW w:w="267" w:type="pct"/>
          </w:tcPr>
          <w:p w:rsidR="00AD651B" w:rsidRPr="00813401" w:rsidRDefault="00AD651B" w:rsidP="00AD651B">
            <w:pPr>
              <w:jc w:val="both"/>
              <w:rPr>
                <w:sz w:val="20"/>
              </w:rPr>
            </w:pPr>
          </w:p>
        </w:tc>
        <w:tc>
          <w:tcPr>
            <w:tcW w:w="2366" w:type="pct"/>
            <w:gridSpan w:val="2"/>
          </w:tcPr>
          <w:p w:rsidR="00AD651B" w:rsidRPr="00813401" w:rsidRDefault="00AD651B" w:rsidP="00AD651B">
            <w:pPr>
              <w:jc w:val="both"/>
              <w:rPr>
                <w:sz w:val="20"/>
              </w:rPr>
            </w:pPr>
            <w:r w:rsidRPr="00813401">
              <w:rPr>
                <w:sz w:val="20"/>
              </w:rPr>
              <w:t>Respondent’s appeal from insurance arbitrator’s decision, allowed; arbitrator’s decision set aside.</w:t>
            </w:r>
          </w:p>
          <w:p w:rsidR="00AD651B" w:rsidRPr="00813401" w:rsidRDefault="00AD651B" w:rsidP="00AD651B">
            <w:pPr>
              <w:jc w:val="both"/>
              <w:rPr>
                <w:sz w:val="20"/>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rPr>
            </w:pPr>
            <w:r w:rsidRPr="00813401">
              <w:rPr>
                <w:sz w:val="20"/>
              </w:rPr>
              <w:t>August 4, 2016</w:t>
            </w:r>
          </w:p>
          <w:p w:rsidR="00AD651B" w:rsidRPr="00813401" w:rsidRDefault="00AD651B" w:rsidP="00AD651B">
            <w:pPr>
              <w:jc w:val="both"/>
              <w:rPr>
                <w:sz w:val="20"/>
              </w:rPr>
            </w:pPr>
            <w:r w:rsidRPr="00813401">
              <w:rPr>
                <w:sz w:val="20"/>
              </w:rPr>
              <w:t>Court of Appeal for Ontario</w:t>
            </w:r>
          </w:p>
          <w:p w:rsidR="00AD651B" w:rsidRPr="00813401" w:rsidRDefault="00AD651B" w:rsidP="00AD651B">
            <w:pPr>
              <w:jc w:val="both"/>
              <w:rPr>
                <w:sz w:val="20"/>
              </w:rPr>
            </w:pPr>
            <w:r w:rsidRPr="00813401">
              <w:rPr>
                <w:sz w:val="20"/>
              </w:rPr>
              <w:t xml:space="preserve">(Sharpe, </w:t>
            </w:r>
            <w:proofErr w:type="spellStart"/>
            <w:r w:rsidRPr="00813401">
              <w:rPr>
                <w:sz w:val="20"/>
              </w:rPr>
              <w:t>LaForme</w:t>
            </w:r>
            <w:proofErr w:type="spellEnd"/>
            <w:r w:rsidRPr="00813401">
              <w:rPr>
                <w:sz w:val="20"/>
              </w:rPr>
              <w:t xml:space="preserve"> and van </w:t>
            </w:r>
            <w:proofErr w:type="spellStart"/>
            <w:r w:rsidRPr="00813401">
              <w:rPr>
                <w:sz w:val="20"/>
              </w:rPr>
              <w:t>Rensburg</w:t>
            </w:r>
            <w:proofErr w:type="spellEnd"/>
            <w:r w:rsidRPr="00813401">
              <w:rPr>
                <w:sz w:val="20"/>
              </w:rPr>
              <w:t xml:space="preserve"> JJ.A.)</w:t>
            </w:r>
          </w:p>
          <w:p w:rsidR="00AD651B" w:rsidRPr="00813401" w:rsidRDefault="00AD651B" w:rsidP="00AD651B">
            <w:pPr>
              <w:jc w:val="both"/>
              <w:rPr>
                <w:rStyle w:val="Hyperlink"/>
                <w:sz w:val="20"/>
              </w:rPr>
            </w:pPr>
            <w:hyperlink r:id="rId41" w:history="1">
              <w:r w:rsidRPr="00813401">
                <w:rPr>
                  <w:rStyle w:val="Hyperlink"/>
                  <w:sz w:val="20"/>
                </w:rPr>
                <w:t>2016 ONCA 609</w:t>
              </w:r>
            </w:hyperlink>
          </w:p>
          <w:p w:rsidR="00AD651B" w:rsidRPr="00813401" w:rsidRDefault="00AD651B" w:rsidP="00AD651B">
            <w:pPr>
              <w:jc w:val="both"/>
              <w:rPr>
                <w:sz w:val="20"/>
              </w:rPr>
            </w:pPr>
          </w:p>
        </w:tc>
        <w:tc>
          <w:tcPr>
            <w:tcW w:w="267" w:type="pct"/>
          </w:tcPr>
          <w:p w:rsidR="00AD651B" w:rsidRPr="00813401" w:rsidRDefault="00AD651B" w:rsidP="00AD651B">
            <w:pPr>
              <w:jc w:val="both"/>
              <w:rPr>
                <w:sz w:val="20"/>
              </w:rPr>
            </w:pPr>
          </w:p>
        </w:tc>
        <w:tc>
          <w:tcPr>
            <w:tcW w:w="2366" w:type="pct"/>
            <w:gridSpan w:val="2"/>
          </w:tcPr>
          <w:p w:rsidR="00AD651B" w:rsidRPr="00813401" w:rsidRDefault="00AD651B" w:rsidP="00AD651B">
            <w:pPr>
              <w:jc w:val="both"/>
              <w:rPr>
                <w:sz w:val="20"/>
              </w:rPr>
            </w:pPr>
            <w:r w:rsidRPr="00813401">
              <w:rPr>
                <w:sz w:val="20"/>
              </w:rPr>
              <w:t>Applicant’s appeal, dismissed.</w:t>
            </w:r>
          </w:p>
          <w:p w:rsidR="00AD651B" w:rsidRPr="00813401" w:rsidRDefault="00AD651B" w:rsidP="00AD651B">
            <w:pPr>
              <w:jc w:val="both"/>
              <w:rPr>
                <w:sz w:val="20"/>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rPr>
            </w:pPr>
            <w:r w:rsidRPr="00813401">
              <w:rPr>
                <w:sz w:val="20"/>
              </w:rPr>
              <w:t>September 27, 2016</w:t>
            </w:r>
          </w:p>
          <w:p w:rsidR="00AD651B" w:rsidRPr="00813401" w:rsidRDefault="00AD651B" w:rsidP="00AD651B">
            <w:pPr>
              <w:jc w:val="both"/>
              <w:rPr>
                <w:sz w:val="20"/>
              </w:rPr>
            </w:pPr>
            <w:r w:rsidRPr="00813401">
              <w:rPr>
                <w:sz w:val="20"/>
              </w:rPr>
              <w:t>Supreme Court of Canada</w:t>
            </w:r>
          </w:p>
        </w:tc>
        <w:tc>
          <w:tcPr>
            <w:tcW w:w="267" w:type="pct"/>
          </w:tcPr>
          <w:p w:rsidR="00AD651B" w:rsidRPr="00813401" w:rsidRDefault="00AD651B" w:rsidP="00AD651B">
            <w:pPr>
              <w:jc w:val="both"/>
              <w:rPr>
                <w:sz w:val="20"/>
              </w:rPr>
            </w:pPr>
          </w:p>
        </w:tc>
        <w:tc>
          <w:tcPr>
            <w:tcW w:w="2366" w:type="pct"/>
            <w:gridSpan w:val="2"/>
          </w:tcPr>
          <w:p w:rsidR="00AD651B" w:rsidRPr="00813401" w:rsidRDefault="00AD651B" w:rsidP="00AD651B">
            <w:pPr>
              <w:jc w:val="both"/>
              <w:rPr>
                <w:sz w:val="20"/>
              </w:rPr>
            </w:pPr>
            <w:r w:rsidRPr="00813401">
              <w:rPr>
                <w:sz w:val="20"/>
              </w:rPr>
              <w:t>Application for leave to appeal, filed.</w:t>
            </w:r>
          </w:p>
          <w:p w:rsidR="00AD651B" w:rsidRPr="00813401" w:rsidRDefault="00AD651B" w:rsidP="00AD651B">
            <w:pPr>
              <w:jc w:val="both"/>
              <w:rPr>
                <w:sz w:val="20"/>
              </w:rPr>
            </w:pPr>
          </w:p>
        </w:tc>
      </w:tr>
    </w:tbl>
    <w:p w:rsidR="00AD651B" w:rsidRPr="00813401" w:rsidRDefault="00AD651B" w:rsidP="00AD651B">
      <w:pPr>
        <w:jc w:val="both"/>
        <w:rPr>
          <w:sz w:val="20"/>
        </w:rPr>
      </w:pPr>
    </w:p>
    <w:p w:rsidR="00AD651B" w:rsidRPr="00813401" w:rsidRDefault="00AD651B" w:rsidP="00AD651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D651B" w:rsidRPr="00813401" w:rsidTr="00AD651B">
        <w:trPr>
          <w:gridAfter w:val="1"/>
          <w:wAfter w:w="48" w:type="pct"/>
        </w:trPr>
        <w:tc>
          <w:tcPr>
            <w:tcW w:w="538" w:type="pct"/>
          </w:tcPr>
          <w:p w:rsidR="00AD651B" w:rsidRPr="00813401" w:rsidRDefault="00AD651B" w:rsidP="00AD651B">
            <w:pPr>
              <w:jc w:val="both"/>
              <w:rPr>
                <w:sz w:val="20"/>
                <w:lang w:val="fr-CA"/>
              </w:rPr>
            </w:pPr>
            <w:r w:rsidRPr="00813401">
              <w:rPr>
                <w:rStyle w:val="SCCFileNumberChar"/>
                <w:sz w:val="20"/>
                <w:szCs w:val="20"/>
                <w:lang w:val="fr-CA"/>
              </w:rPr>
              <w:t>37206</w:t>
            </w:r>
          </w:p>
        </w:tc>
        <w:tc>
          <w:tcPr>
            <w:tcW w:w="4414" w:type="pct"/>
            <w:gridSpan w:val="3"/>
          </w:tcPr>
          <w:p w:rsidR="00AD651B" w:rsidRPr="00813401" w:rsidRDefault="00AD651B" w:rsidP="00AD651B">
            <w:pPr>
              <w:pStyle w:val="SCCLsocParty"/>
              <w:jc w:val="both"/>
              <w:rPr>
                <w:b/>
                <w:sz w:val="20"/>
                <w:szCs w:val="20"/>
              </w:rPr>
            </w:pPr>
            <w:proofErr w:type="spellStart"/>
            <w:r w:rsidRPr="00813401">
              <w:rPr>
                <w:b/>
                <w:bCs/>
                <w:sz w:val="20"/>
                <w:szCs w:val="20"/>
              </w:rPr>
              <w:t>Allstate</w:t>
            </w:r>
            <w:proofErr w:type="spellEnd"/>
            <w:r w:rsidRPr="00813401">
              <w:rPr>
                <w:b/>
                <w:bCs/>
                <w:sz w:val="20"/>
                <w:szCs w:val="20"/>
              </w:rPr>
              <w:t xml:space="preserve"> du Canada, Compagnie d’assurance c. Intact </w:t>
            </w:r>
            <w:proofErr w:type="spellStart"/>
            <w:r w:rsidRPr="00813401">
              <w:rPr>
                <w:b/>
                <w:bCs/>
                <w:sz w:val="20"/>
                <w:szCs w:val="20"/>
              </w:rPr>
              <w:t>Insurance</w:t>
            </w:r>
            <w:proofErr w:type="spellEnd"/>
            <w:r w:rsidRPr="00813401">
              <w:rPr>
                <w:b/>
                <w:bCs/>
                <w:sz w:val="20"/>
                <w:szCs w:val="20"/>
              </w:rPr>
              <w:t xml:space="preserve"> </w:t>
            </w:r>
            <w:proofErr w:type="spellStart"/>
            <w:r w:rsidRPr="00813401">
              <w:rPr>
                <w:b/>
                <w:bCs/>
                <w:sz w:val="20"/>
                <w:szCs w:val="20"/>
              </w:rPr>
              <w:t>Company</w:t>
            </w:r>
            <w:proofErr w:type="spellEnd"/>
            <w:r w:rsidRPr="00813401">
              <w:rPr>
                <w:b/>
                <w:sz w:val="20"/>
                <w:szCs w:val="20"/>
              </w:rPr>
              <w:t xml:space="preserve"> </w:t>
            </w:r>
          </w:p>
          <w:p w:rsidR="00AD651B" w:rsidRPr="00813401" w:rsidRDefault="00AD651B" w:rsidP="00AD651B">
            <w:pPr>
              <w:jc w:val="both"/>
              <w:rPr>
                <w:sz w:val="20"/>
                <w:lang w:val="fr-CA"/>
              </w:rPr>
            </w:pPr>
            <w:r w:rsidRPr="00813401">
              <w:rPr>
                <w:sz w:val="20"/>
                <w:lang w:val="fr-CA"/>
              </w:rPr>
              <w:t>(</w:t>
            </w:r>
            <w:r w:rsidRPr="00813401">
              <w:rPr>
                <w:bCs/>
                <w:sz w:val="20"/>
                <w:lang w:val="fr-CA"/>
              </w:rPr>
              <w:t>Ont.) (Civile) (Sur autorisation)</w:t>
            </w:r>
            <w:r w:rsidRPr="00813401">
              <w:rPr>
                <w:sz w:val="20"/>
                <w:lang w:val="fr-CA"/>
              </w:rPr>
              <w:t xml:space="preserve"> </w:t>
            </w:r>
          </w:p>
        </w:tc>
      </w:tr>
      <w:tr w:rsidR="00AD651B" w:rsidRPr="00813401" w:rsidTr="00AD651B">
        <w:trPr>
          <w:gridAfter w:val="1"/>
          <w:wAfter w:w="48" w:type="pct"/>
        </w:trPr>
        <w:tc>
          <w:tcPr>
            <w:tcW w:w="4952" w:type="pct"/>
            <w:gridSpan w:val="4"/>
          </w:tcPr>
          <w:p w:rsidR="00AD651B" w:rsidRPr="00813401" w:rsidRDefault="00AD651B" w:rsidP="00AD651B">
            <w:pPr>
              <w:jc w:val="both"/>
              <w:rPr>
                <w:sz w:val="20"/>
                <w:lang w:val="fr-CA"/>
              </w:rPr>
            </w:pPr>
            <w:r w:rsidRPr="00813401">
              <w:rPr>
                <w:sz w:val="20"/>
                <w:lang w:val="fr-CA"/>
              </w:rPr>
              <w:t>Assurances – Assurance automobile – Arbitrage en matière d’assurance – Personne d</w:t>
            </w:r>
            <w:r w:rsidRPr="00813401">
              <w:rPr>
                <w:color w:val="000000"/>
                <w:sz w:val="20"/>
                <w:lang w:val="fr-CA"/>
              </w:rPr>
              <w:t xml:space="preserve">épendant essentiellement pour sa subsistance de l’aide financière d’une autre personne </w:t>
            </w:r>
            <w:r w:rsidRPr="00813401">
              <w:rPr>
                <w:sz w:val="20"/>
                <w:lang w:val="fr-CA"/>
              </w:rPr>
              <w:t>– Droit administratif – Norme de contrôle applicable aux décisions des arbitres en matière d’assurance – Comment le critère de la personne qui « </w:t>
            </w:r>
            <w:r w:rsidRPr="00813401">
              <w:rPr>
                <w:color w:val="000000"/>
                <w:sz w:val="20"/>
                <w:lang w:val="fr-CA"/>
              </w:rPr>
              <w:t>dépend essentiellement pour sa subsistance de l’aide financière »</w:t>
            </w:r>
            <w:r w:rsidRPr="00813401">
              <w:rPr>
                <w:sz w:val="20"/>
                <w:lang w:val="fr-CA"/>
              </w:rPr>
              <w:t xml:space="preserve"> d’une autre personne devrait-il être appliqué dans le cas d’une police d’assurance automobile? – L’arbitre </w:t>
            </w:r>
            <w:proofErr w:type="spellStart"/>
            <w:r w:rsidRPr="00813401">
              <w:rPr>
                <w:sz w:val="20"/>
                <w:lang w:val="fr-CA"/>
              </w:rPr>
              <w:t>a-t-il</w:t>
            </w:r>
            <w:proofErr w:type="spellEnd"/>
            <w:r w:rsidRPr="00813401">
              <w:rPr>
                <w:sz w:val="20"/>
                <w:lang w:val="fr-CA"/>
              </w:rPr>
              <w:t xml:space="preserve"> commis une erreur en tenant compte de la permanence de la relation comme facteur applicable? – En ce qui a trait aux appels des décisions d’arbitres privés ou de tribunaux administratifs, que doit-on entendre par remplacement inapproprié du résultat désiré? – Comment l’obligation de faire preuve de retenue envers les conclusions de fait tirées par les arbitres et les tribunaux administratifs se manifeste-t-elle lorsqu’on critique après coup les choix dictés par les faits de l’arbitre?</w:t>
            </w:r>
          </w:p>
          <w:p w:rsidR="00AD651B" w:rsidRPr="00813401" w:rsidRDefault="00AD651B" w:rsidP="00AD651B">
            <w:pPr>
              <w:jc w:val="both"/>
              <w:rPr>
                <w:sz w:val="20"/>
                <w:lang w:val="fr-CA"/>
              </w:rPr>
            </w:pPr>
          </w:p>
        </w:tc>
      </w:tr>
      <w:tr w:rsidR="00AD651B" w:rsidRPr="00813401" w:rsidTr="00AD651B">
        <w:trPr>
          <w:gridAfter w:val="1"/>
          <w:wAfter w:w="48" w:type="pct"/>
        </w:trPr>
        <w:tc>
          <w:tcPr>
            <w:tcW w:w="4952" w:type="pct"/>
            <w:gridSpan w:val="4"/>
          </w:tcPr>
          <w:p w:rsidR="00AD651B" w:rsidRPr="00813401" w:rsidRDefault="00AD651B" w:rsidP="00AD651B">
            <w:pPr>
              <w:pStyle w:val="SCCLsocParty"/>
              <w:jc w:val="both"/>
              <w:rPr>
                <w:sz w:val="20"/>
                <w:szCs w:val="20"/>
              </w:rPr>
            </w:pPr>
            <w:r w:rsidRPr="00813401">
              <w:rPr>
                <w:sz w:val="20"/>
                <w:szCs w:val="20"/>
              </w:rPr>
              <w:lastRenderedPageBreak/>
              <w:t xml:space="preserve">Ni la demanderesse, </w:t>
            </w:r>
            <w:r w:rsidRPr="00813401">
              <w:rPr>
                <w:bCs/>
                <w:sz w:val="20"/>
                <w:szCs w:val="20"/>
              </w:rPr>
              <w:t xml:space="preserve">la compagnie d’assurance </w:t>
            </w:r>
            <w:proofErr w:type="spellStart"/>
            <w:r w:rsidRPr="00813401">
              <w:rPr>
                <w:bCs/>
                <w:sz w:val="20"/>
                <w:szCs w:val="20"/>
              </w:rPr>
              <w:t>Allstate</w:t>
            </w:r>
            <w:proofErr w:type="spellEnd"/>
            <w:r w:rsidRPr="00813401">
              <w:rPr>
                <w:bCs/>
                <w:sz w:val="20"/>
                <w:szCs w:val="20"/>
              </w:rPr>
              <w:t xml:space="preserve"> du Canada ni la défenderesse, Intact </w:t>
            </w:r>
            <w:proofErr w:type="spellStart"/>
            <w:r w:rsidRPr="00813401">
              <w:rPr>
                <w:bCs/>
                <w:sz w:val="20"/>
                <w:szCs w:val="20"/>
              </w:rPr>
              <w:t>Insurance</w:t>
            </w:r>
            <w:proofErr w:type="spellEnd"/>
            <w:r w:rsidRPr="00813401">
              <w:rPr>
                <w:bCs/>
                <w:sz w:val="20"/>
                <w:szCs w:val="20"/>
              </w:rPr>
              <w:t xml:space="preserve"> </w:t>
            </w:r>
            <w:proofErr w:type="spellStart"/>
            <w:r w:rsidRPr="00813401">
              <w:rPr>
                <w:bCs/>
                <w:sz w:val="20"/>
                <w:szCs w:val="20"/>
              </w:rPr>
              <w:t>Company</w:t>
            </w:r>
            <w:proofErr w:type="spellEnd"/>
            <w:r w:rsidRPr="00813401">
              <w:rPr>
                <w:bCs/>
                <w:sz w:val="20"/>
                <w:szCs w:val="20"/>
              </w:rPr>
              <w:t xml:space="preserve">, n’est tenue de verser les indemnités d’accident légales auxquelles ont droit les réclamantes, </w:t>
            </w:r>
            <w:r w:rsidRPr="00813401">
              <w:rPr>
                <w:sz w:val="20"/>
                <w:szCs w:val="20"/>
              </w:rPr>
              <w:t xml:space="preserve">Paula Chartrand et ses deux filles, à la suite des blessures qu’elles ont subies lors d’un accident d’automobile survenu le 21 août 2010. Les réclamantes ont reçu des </w:t>
            </w:r>
            <w:r w:rsidRPr="00813401">
              <w:rPr>
                <w:bCs/>
                <w:sz w:val="20"/>
                <w:szCs w:val="20"/>
              </w:rPr>
              <w:t>indemnités d’accident d’</w:t>
            </w:r>
            <w:r w:rsidRPr="00813401">
              <w:rPr>
                <w:sz w:val="20"/>
                <w:szCs w:val="20"/>
              </w:rPr>
              <w:t xml:space="preserve">Intact, l’assureur du véhicule à bord duquel elles se trouvaient au moment de l’accident. Intact a par la suite entrepris des démarches pour se faire rembourser par </w:t>
            </w:r>
            <w:proofErr w:type="spellStart"/>
            <w:r w:rsidRPr="00813401">
              <w:rPr>
                <w:sz w:val="20"/>
                <w:szCs w:val="20"/>
              </w:rPr>
              <w:t>Allstate</w:t>
            </w:r>
            <w:proofErr w:type="spellEnd"/>
            <w:r w:rsidRPr="00813401">
              <w:rPr>
                <w:sz w:val="20"/>
                <w:szCs w:val="20"/>
              </w:rPr>
              <w:t xml:space="preserve"> au motif qu’</w:t>
            </w:r>
            <w:proofErr w:type="spellStart"/>
            <w:r w:rsidRPr="00813401">
              <w:rPr>
                <w:sz w:val="20"/>
                <w:szCs w:val="20"/>
              </w:rPr>
              <w:t>Allstate</w:t>
            </w:r>
            <w:proofErr w:type="spellEnd"/>
            <w:r w:rsidRPr="00813401">
              <w:rPr>
                <w:sz w:val="20"/>
                <w:szCs w:val="20"/>
              </w:rPr>
              <w:t xml:space="preserve"> avait assuré deux véhicules appartenant à Kyle Houghton, que M</w:t>
            </w:r>
            <w:r w:rsidRPr="00813401">
              <w:rPr>
                <w:sz w:val="20"/>
                <w:szCs w:val="20"/>
                <w:vertAlign w:val="superscript"/>
              </w:rPr>
              <w:t>me</w:t>
            </w:r>
            <w:r w:rsidRPr="00813401">
              <w:rPr>
                <w:sz w:val="20"/>
                <w:szCs w:val="20"/>
              </w:rPr>
              <w:t> Chartrand fréquentait alors et avec qui les réclamantes vivaient depuis sept semaines au moment de l’accident. Intact a soutenu que les réclamantes « dépendaient essentiellement pour leur subsistance de l’aide financière » de M. Houghton au sens du par. 2(6) de l’</w:t>
            </w:r>
            <w:r w:rsidRPr="00813401">
              <w:rPr>
                <w:i/>
                <w:sz w:val="20"/>
                <w:szCs w:val="20"/>
              </w:rPr>
              <w:t xml:space="preserve">Annexe sur les indemnités d’accident légales </w:t>
            </w:r>
            <w:r w:rsidRPr="00813401">
              <w:rPr>
                <w:sz w:val="20"/>
                <w:szCs w:val="20"/>
              </w:rPr>
              <w:t xml:space="preserve">– </w:t>
            </w:r>
            <w:r w:rsidRPr="00813401">
              <w:rPr>
                <w:i/>
                <w:sz w:val="20"/>
                <w:szCs w:val="20"/>
              </w:rPr>
              <w:t>Accidents survenus le 1</w:t>
            </w:r>
            <w:r w:rsidRPr="00813401">
              <w:rPr>
                <w:i/>
                <w:sz w:val="20"/>
                <w:szCs w:val="20"/>
                <w:vertAlign w:val="superscript"/>
              </w:rPr>
              <w:t>er </w:t>
            </w:r>
            <w:r w:rsidRPr="00813401">
              <w:rPr>
                <w:i/>
                <w:sz w:val="20"/>
                <w:szCs w:val="20"/>
              </w:rPr>
              <w:t>novembre 1996 ou après ce jour</w:t>
            </w:r>
            <w:r w:rsidRPr="00813401">
              <w:rPr>
                <w:sz w:val="20"/>
                <w:szCs w:val="20"/>
              </w:rPr>
              <w:t xml:space="preserve">, </w:t>
            </w:r>
            <w:proofErr w:type="spellStart"/>
            <w:r w:rsidRPr="00813401">
              <w:rPr>
                <w:sz w:val="20"/>
                <w:szCs w:val="20"/>
              </w:rPr>
              <w:t>Règl</w:t>
            </w:r>
            <w:proofErr w:type="spellEnd"/>
            <w:r w:rsidRPr="00813401">
              <w:rPr>
                <w:sz w:val="20"/>
                <w:szCs w:val="20"/>
              </w:rPr>
              <w:t>. de l’Ont. 403/96, et qu’elles étaient par conséquent assurées aux termes des polices souscrites par M. Houghton auprès d’</w:t>
            </w:r>
            <w:proofErr w:type="spellStart"/>
            <w:r w:rsidRPr="00813401">
              <w:rPr>
                <w:sz w:val="20"/>
                <w:szCs w:val="20"/>
              </w:rPr>
              <w:t>Allstate</w:t>
            </w:r>
            <w:proofErr w:type="spellEnd"/>
            <w:r w:rsidRPr="00813401">
              <w:rPr>
                <w:sz w:val="20"/>
                <w:szCs w:val="20"/>
              </w:rPr>
              <w:t>. Les parties ont soumis leur conflit d’ordre de priorité de paiement à un arbitre, qui a décidé que les réclamantes ne « dépendaient pas essentiellement pour leur subsistance de l’aide financière » de M. Houghton au moment de l’accident parce que [</w:t>
            </w:r>
            <w:r w:rsidRPr="00813401">
              <w:rPr>
                <w:smallCaps/>
                <w:sz w:val="20"/>
                <w:szCs w:val="20"/>
              </w:rPr>
              <w:t>traduction</w:t>
            </w:r>
            <w:r w:rsidRPr="00813401">
              <w:rPr>
                <w:sz w:val="20"/>
                <w:szCs w:val="20"/>
              </w:rPr>
              <w:t>] « leur relation n’avait pas un caractère permanent ». L’arbitre a estimé qu’Intact était par conséquent tenue du paiement des indemnités d’accident. Intact a interjeté appel de la décision de l’arbitre à la Cour supérieure de justice de l’Ontario conformément à la convention d’arbitrage intervenue entre les parties.</w:t>
            </w:r>
          </w:p>
          <w:p w:rsidR="00AD651B" w:rsidRPr="00813401" w:rsidRDefault="00AD651B" w:rsidP="00AD651B">
            <w:pPr>
              <w:rPr>
                <w:lang w:val="fr-CA"/>
              </w:rPr>
            </w:pPr>
          </w:p>
        </w:tc>
      </w:tr>
      <w:tr w:rsidR="00AD651B" w:rsidRPr="00813401" w:rsidTr="00AD651B">
        <w:trPr>
          <w:gridAfter w:val="1"/>
          <w:wAfter w:w="48" w:type="pct"/>
        </w:trPr>
        <w:tc>
          <w:tcPr>
            <w:tcW w:w="4952" w:type="pct"/>
            <w:gridSpan w:val="4"/>
          </w:tcPr>
          <w:p w:rsidR="00AD651B" w:rsidRPr="00813401" w:rsidRDefault="00AD651B" w:rsidP="00AD651B">
            <w:pPr>
              <w:jc w:val="both"/>
              <w:rPr>
                <w:sz w:val="20"/>
                <w:lang w:val="fr-CA"/>
              </w:rPr>
            </w:pPr>
            <w:r w:rsidRPr="00813401">
              <w:rPr>
                <w:sz w:val="20"/>
                <w:lang w:val="fr-CA"/>
              </w:rPr>
              <w:t>Adoptant la norme de contrôle de la décision correcte, la Cour supérieure de justice de l’Ontario a fait droit à l’appel d’Intact, annulé la décision de l’arbitre et conclu qu’</w:t>
            </w:r>
            <w:proofErr w:type="spellStart"/>
            <w:r w:rsidRPr="00813401">
              <w:rPr>
                <w:sz w:val="20"/>
                <w:lang w:val="fr-CA"/>
              </w:rPr>
              <w:t>Allstate</w:t>
            </w:r>
            <w:proofErr w:type="spellEnd"/>
            <w:r w:rsidRPr="00813401">
              <w:rPr>
                <w:sz w:val="20"/>
                <w:lang w:val="fr-CA"/>
              </w:rPr>
              <w:t xml:space="preserve"> était tenue de verser les indemnités d’accident. La Cour d’appel de l’Ontario a estimé que le tribunal de première instance aurait dû appliquer la norme de contrôle de la décision raisonnable, et non celle de la décision correcte, mais elle a néanmoins rejeté l’appel d’</w:t>
            </w:r>
            <w:proofErr w:type="spellStart"/>
            <w:r w:rsidRPr="00813401">
              <w:rPr>
                <w:sz w:val="20"/>
                <w:lang w:val="fr-CA"/>
              </w:rPr>
              <w:t>Allstate</w:t>
            </w:r>
            <w:proofErr w:type="spellEnd"/>
            <w:r w:rsidRPr="00813401">
              <w:rPr>
                <w:sz w:val="20"/>
                <w:lang w:val="fr-CA"/>
              </w:rPr>
              <w:t>, au motif que la décision de l’arbitre était déraisonnable.</w:t>
            </w:r>
          </w:p>
          <w:p w:rsidR="00AD651B" w:rsidRPr="00813401" w:rsidRDefault="00AD651B" w:rsidP="00AD651B">
            <w:pPr>
              <w:jc w:val="both"/>
              <w:rPr>
                <w:sz w:val="20"/>
                <w:lang w:val="fr-CA"/>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lang w:val="fr-CA"/>
              </w:rPr>
            </w:pPr>
            <w:r w:rsidRPr="00813401">
              <w:rPr>
                <w:sz w:val="20"/>
                <w:lang w:val="fr-CA"/>
              </w:rPr>
              <w:t>2 juillet 2015</w:t>
            </w:r>
          </w:p>
          <w:p w:rsidR="00AD651B" w:rsidRPr="00813401" w:rsidRDefault="00AD651B" w:rsidP="00AD651B">
            <w:pPr>
              <w:jc w:val="both"/>
              <w:rPr>
                <w:sz w:val="20"/>
                <w:lang w:val="fr-CA"/>
              </w:rPr>
            </w:pPr>
            <w:r w:rsidRPr="00813401">
              <w:rPr>
                <w:sz w:val="20"/>
                <w:lang w:val="fr-CA"/>
              </w:rPr>
              <w:t>Cour supérieure de justice de l’Ontario</w:t>
            </w:r>
          </w:p>
          <w:p w:rsidR="00AD651B" w:rsidRPr="00813401" w:rsidRDefault="00AD651B" w:rsidP="00AD651B">
            <w:pPr>
              <w:jc w:val="both"/>
              <w:rPr>
                <w:sz w:val="20"/>
                <w:lang w:val="fr-CA"/>
              </w:rPr>
            </w:pPr>
            <w:r w:rsidRPr="00813401">
              <w:rPr>
                <w:sz w:val="20"/>
                <w:lang w:val="fr-CA"/>
              </w:rPr>
              <w:t xml:space="preserve">(Juge </w:t>
            </w:r>
            <w:proofErr w:type="spellStart"/>
            <w:r w:rsidRPr="00813401">
              <w:rPr>
                <w:sz w:val="20"/>
                <w:lang w:val="fr-CA"/>
              </w:rPr>
              <w:t>Raikes</w:t>
            </w:r>
            <w:proofErr w:type="spellEnd"/>
            <w:r w:rsidRPr="00813401">
              <w:rPr>
                <w:sz w:val="20"/>
                <w:lang w:val="fr-CA"/>
              </w:rPr>
              <w:t>)</w:t>
            </w:r>
          </w:p>
          <w:p w:rsidR="00AD651B" w:rsidRPr="00813401" w:rsidRDefault="00AD651B" w:rsidP="00AD651B">
            <w:pPr>
              <w:jc w:val="both"/>
              <w:rPr>
                <w:sz w:val="20"/>
                <w:lang w:val="fr-CA"/>
              </w:rPr>
            </w:pPr>
            <w:hyperlink r:id="rId42" w:history="1">
              <w:r w:rsidRPr="00813401">
                <w:rPr>
                  <w:rStyle w:val="Hyperlink"/>
                  <w:sz w:val="20"/>
                  <w:lang w:val="fr-CA"/>
                </w:rPr>
                <w:t>2015 ONSC 4264</w:t>
              </w:r>
            </w:hyperlink>
          </w:p>
          <w:p w:rsidR="00AD651B" w:rsidRPr="00813401" w:rsidRDefault="00AD651B" w:rsidP="00AD651B">
            <w:pPr>
              <w:jc w:val="both"/>
              <w:rPr>
                <w:sz w:val="20"/>
                <w:lang w:val="fr-CA"/>
              </w:rPr>
            </w:pPr>
          </w:p>
        </w:tc>
        <w:tc>
          <w:tcPr>
            <w:tcW w:w="267" w:type="pct"/>
          </w:tcPr>
          <w:p w:rsidR="00AD651B" w:rsidRPr="00813401" w:rsidRDefault="00AD651B" w:rsidP="00AD651B">
            <w:pPr>
              <w:jc w:val="both"/>
              <w:rPr>
                <w:sz w:val="20"/>
                <w:lang w:val="fr-CA"/>
              </w:rPr>
            </w:pPr>
          </w:p>
        </w:tc>
        <w:tc>
          <w:tcPr>
            <w:tcW w:w="2366" w:type="pct"/>
            <w:gridSpan w:val="2"/>
          </w:tcPr>
          <w:p w:rsidR="00AD651B" w:rsidRPr="00813401" w:rsidRDefault="00AD651B" w:rsidP="00AD651B">
            <w:pPr>
              <w:jc w:val="both"/>
              <w:rPr>
                <w:sz w:val="20"/>
                <w:lang w:val="fr-CA"/>
              </w:rPr>
            </w:pPr>
            <w:r w:rsidRPr="00813401">
              <w:rPr>
                <w:sz w:val="20"/>
                <w:lang w:val="fr-CA"/>
              </w:rPr>
              <w:t>Appel interjeté par la défenderesse à l’égard de la décision de l’arbitre en matière d’assurance accueilli; décision de l’arbitre annulée</w:t>
            </w:r>
          </w:p>
          <w:p w:rsidR="00AD651B" w:rsidRPr="00813401" w:rsidRDefault="00AD651B" w:rsidP="00AD651B">
            <w:pPr>
              <w:jc w:val="both"/>
              <w:rPr>
                <w:sz w:val="20"/>
                <w:lang w:val="fr-CA"/>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lang w:val="fr-CA"/>
              </w:rPr>
            </w:pPr>
            <w:r w:rsidRPr="00813401">
              <w:rPr>
                <w:sz w:val="20"/>
                <w:lang w:val="fr-CA"/>
              </w:rPr>
              <w:t>4 août 2016</w:t>
            </w:r>
          </w:p>
          <w:p w:rsidR="00AD651B" w:rsidRPr="00813401" w:rsidRDefault="00AD651B" w:rsidP="00AD651B">
            <w:pPr>
              <w:jc w:val="both"/>
              <w:rPr>
                <w:sz w:val="20"/>
                <w:lang w:val="fr-CA"/>
              </w:rPr>
            </w:pPr>
            <w:r w:rsidRPr="00813401">
              <w:rPr>
                <w:sz w:val="20"/>
                <w:lang w:val="fr-CA"/>
              </w:rPr>
              <w:t>Cour d’appel de l’Ontario</w:t>
            </w:r>
          </w:p>
          <w:p w:rsidR="00AD651B" w:rsidRPr="00813401" w:rsidRDefault="00AD651B" w:rsidP="00AD651B">
            <w:pPr>
              <w:jc w:val="both"/>
              <w:rPr>
                <w:sz w:val="20"/>
                <w:lang w:val="fr-CA"/>
              </w:rPr>
            </w:pPr>
            <w:r w:rsidRPr="00813401">
              <w:rPr>
                <w:sz w:val="20"/>
                <w:lang w:val="fr-CA"/>
              </w:rPr>
              <w:t xml:space="preserve">(Juges Sharpe, </w:t>
            </w:r>
            <w:proofErr w:type="spellStart"/>
            <w:r w:rsidRPr="00813401">
              <w:rPr>
                <w:sz w:val="20"/>
                <w:lang w:val="fr-CA"/>
              </w:rPr>
              <w:t>LaForme</w:t>
            </w:r>
            <w:proofErr w:type="spellEnd"/>
            <w:r w:rsidRPr="00813401">
              <w:rPr>
                <w:sz w:val="20"/>
                <w:lang w:val="fr-CA"/>
              </w:rPr>
              <w:t xml:space="preserve"> et van </w:t>
            </w:r>
            <w:proofErr w:type="spellStart"/>
            <w:r w:rsidRPr="00813401">
              <w:rPr>
                <w:sz w:val="20"/>
                <w:lang w:val="fr-CA"/>
              </w:rPr>
              <w:t>Rensburg</w:t>
            </w:r>
            <w:proofErr w:type="spellEnd"/>
            <w:r w:rsidRPr="00813401">
              <w:rPr>
                <w:sz w:val="20"/>
                <w:lang w:val="fr-CA"/>
              </w:rPr>
              <w:t>)</w:t>
            </w:r>
          </w:p>
          <w:p w:rsidR="00AD651B" w:rsidRPr="00813401" w:rsidRDefault="00AD651B" w:rsidP="00AD651B">
            <w:pPr>
              <w:jc w:val="both"/>
              <w:rPr>
                <w:rStyle w:val="Hyperlink"/>
                <w:sz w:val="20"/>
                <w:lang w:val="fr-CA"/>
              </w:rPr>
            </w:pPr>
            <w:hyperlink r:id="rId43" w:history="1">
              <w:r w:rsidRPr="00813401">
                <w:rPr>
                  <w:rStyle w:val="Hyperlink"/>
                  <w:sz w:val="20"/>
                  <w:lang w:val="fr-CA"/>
                </w:rPr>
                <w:t>2016 ONCA 609</w:t>
              </w:r>
            </w:hyperlink>
          </w:p>
          <w:p w:rsidR="00AD651B" w:rsidRPr="00813401" w:rsidRDefault="00AD651B" w:rsidP="00AD651B">
            <w:pPr>
              <w:jc w:val="both"/>
              <w:rPr>
                <w:sz w:val="20"/>
                <w:lang w:val="fr-CA"/>
              </w:rPr>
            </w:pPr>
          </w:p>
        </w:tc>
        <w:tc>
          <w:tcPr>
            <w:tcW w:w="267" w:type="pct"/>
          </w:tcPr>
          <w:p w:rsidR="00AD651B" w:rsidRPr="00813401" w:rsidRDefault="00AD651B" w:rsidP="00AD651B">
            <w:pPr>
              <w:jc w:val="both"/>
              <w:rPr>
                <w:sz w:val="20"/>
                <w:lang w:val="fr-CA"/>
              </w:rPr>
            </w:pPr>
          </w:p>
        </w:tc>
        <w:tc>
          <w:tcPr>
            <w:tcW w:w="2366" w:type="pct"/>
            <w:gridSpan w:val="2"/>
          </w:tcPr>
          <w:p w:rsidR="00AD651B" w:rsidRPr="00813401" w:rsidRDefault="00AD651B" w:rsidP="00AD651B">
            <w:pPr>
              <w:jc w:val="both"/>
              <w:rPr>
                <w:sz w:val="20"/>
                <w:lang w:val="fr-CA"/>
              </w:rPr>
            </w:pPr>
            <w:r w:rsidRPr="00813401">
              <w:rPr>
                <w:sz w:val="20"/>
                <w:lang w:val="fr-CA"/>
              </w:rPr>
              <w:t>Appel interjeté par la demanderesse rejeté</w:t>
            </w:r>
          </w:p>
          <w:p w:rsidR="00AD651B" w:rsidRPr="00813401" w:rsidRDefault="00AD651B" w:rsidP="00AD651B">
            <w:pPr>
              <w:jc w:val="both"/>
              <w:rPr>
                <w:sz w:val="20"/>
                <w:lang w:val="fr-CA"/>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lang w:val="fr-CA"/>
              </w:rPr>
            </w:pPr>
            <w:r w:rsidRPr="00813401">
              <w:rPr>
                <w:sz w:val="20"/>
                <w:lang w:val="fr-CA"/>
              </w:rPr>
              <w:t>27 septembre 2016</w:t>
            </w:r>
          </w:p>
          <w:p w:rsidR="00AD651B" w:rsidRPr="00813401" w:rsidRDefault="00AD651B" w:rsidP="00AD651B">
            <w:pPr>
              <w:jc w:val="both"/>
              <w:rPr>
                <w:sz w:val="20"/>
                <w:lang w:val="fr-CA"/>
              </w:rPr>
            </w:pPr>
            <w:r w:rsidRPr="00813401">
              <w:rPr>
                <w:sz w:val="20"/>
                <w:lang w:val="fr-CA"/>
              </w:rPr>
              <w:t>Cour suprême du Canada</w:t>
            </w:r>
          </w:p>
        </w:tc>
        <w:tc>
          <w:tcPr>
            <w:tcW w:w="267" w:type="pct"/>
          </w:tcPr>
          <w:p w:rsidR="00AD651B" w:rsidRPr="00813401" w:rsidRDefault="00AD651B" w:rsidP="00AD651B">
            <w:pPr>
              <w:jc w:val="both"/>
              <w:rPr>
                <w:sz w:val="20"/>
                <w:lang w:val="fr-CA"/>
              </w:rPr>
            </w:pPr>
          </w:p>
        </w:tc>
        <w:tc>
          <w:tcPr>
            <w:tcW w:w="2366" w:type="pct"/>
            <w:gridSpan w:val="2"/>
          </w:tcPr>
          <w:p w:rsidR="00AD651B" w:rsidRPr="00813401" w:rsidRDefault="00AD651B" w:rsidP="00AD651B">
            <w:pPr>
              <w:jc w:val="both"/>
              <w:rPr>
                <w:sz w:val="20"/>
                <w:lang w:val="fr-CA"/>
              </w:rPr>
            </w:pPr>
            <w:r w:rsidRPr="00813401">
              <w:rPr>
                <w:sz w:val="20"/>
                <w:lang w:val="fr-CA"/>
              </w:rPr>
              <w:t>Demande d’autorisation d’appel déposée</w:t>
            </w:r>
          </w:p>
          <w:p w:rsidR="00AD651B" w:rsidRPr="00813401" w:rsidRDefault="00AD651B" w:rsidP="00AD651B">
            <w:pPr>
              <w:jc w:val="both"/>
              <w:rPr>
                <w:sz w:val="20"/>
                <w:lang w:val="fr-CA"/>
              </w:rPr>
            </w:pPr>
          </w:p>
        </w:tc>
      </w:tr>
    </w:tbl>
    <w:p w:rsidR="00AD651B" w:rsidRPr="00813401" w:rsidRDefault="00AD651B" w:rsidP="00AD651B">
      <w:pPr>
        <w:jc w:val="both"/>
        <w:rPr>
          <w:sz w:val="20"/>
          <w:lang w:val="fr-CA"/>
        </w:rPr>
      </w:pPr>
    </w:p>
    <w:p w:rsidR="00AD651B" w:rsidRPr="00813401" w:rsidRDefault="00AD651B" w:rsidP="00AD651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D651B" w:rsidRPr="00813401" w:rsidTr="00AD651B">
        <w:trPr>
          <w:gridAfter w:val="1"/>
          <w:wAfter w:w="48" w:type="pct"/>
        </w:trPr>
        <w:tc>
          <w:tcPr>
            <w:tcW w:w="538" w:type="pct"/>
          </w:tcPr>
          <w:p w:rsidR="00AD651B" w:rsidRPr="00813401" w:rsidRDefault="00AD651B" w:rsidP="00AD651B">
            <w:pPr>
              <w:jc w:val="both"/>
              <w:rPr>
                <w:sz w:val="20"/>
              </w:rPr>
            </w:pPr>
            <w:r w:rsidRPr="00813401">
              <w:rPr>
                <w:rStyle w:val="SCCFileNumberChar"/>
                <w:sz w:val="20"/>
                <w:szCs w:val="20"/>
              </w:rPr>
              <w:t>37308</w:t>
            </w:r>
          </w:p>
        </w:tc>
        <w:tc>
          <w:tcPr>
            <w:tcW w:w="4414" w:type="pct"/>
            <w:gridSpan w:val="3"/>
          </w:tcPr>
          <w:p w:rsidR="00AD651B" w:rsidRPr="00813401" w:rsidRDefault="00AD651B" w:rsidP="00AD651B">
            <w:pPr>
              <w:pStyle w:val="SCCLsocParty"/>
              <w:jc w:val="both"/>
              <w:rPr>
                <w:b/>
                <w:sz w:val="20"/>
                <w:szCs w:val="20"/>
                <w:lang w:val="fr-FR"/>
              </w:rPr>
            </w:pPr>
            <w:r w:rsidRPr="00813401">
              <w:rPr>
                <w:b/>
                <w:sz w:val="20"/>
                <w:szCs w:val="20"/>
                <w:lang w:val="fr-FR"/>
              </w:rPr>
              <w:t xml:space="preserve">Jason Donald </w:t>
            </w:r>
            <w:proofErr w:type="spellStart"/>
            <w:r w:rsidRPr="00813401">
              <w:rPr>
                <w:b/>
                <w:sz w:val="20"/>
                <w:szCs w:val="20"/>
                <w:lang w:val="fr-FR"/>
              </w:rPr>
              <w:t>Nassr</w:t>
            </w:r>
            <w:proofErr w:type="spellEnd"/>
            <w:r w:rsidRPr="00813401">
              <w:rPr>
                <w:b/>
                <w:sz w:val="20"/>
                <w:szCs w:val="20"/>
                <w:lang w:val="fr-FR"/>
              </w:rPr>
              <w:t xml:space="preserve"> v. Laurie Ann Vermette</w:t>
            </w:r>
          </w:p>
          <w:p w:rsidR="00AD651B" w:rsidRPr="00813401" w:rsidRDefault="00AD651B" w:rsidP="00AD651B">
            <w:pPr>
              <w:jc w:val="both"/>
              <w:rPr>
                <w:sz w:val="20"/>
              </w:rPr>
            </w:pPr>
            <w:r w:rsidRPr="00813401">
              <w:rPr>
                <w:sz w:val="20"/>
              </w:rPr>
              <w:t>(Ont.) (Civil) (By Leave)</w:t>
            </w:r>
          </w:p>
        </w:tc>
      </w:tr>
      <w:tr w:rsidR="00AD651B" w:rsidRPr="00813401" w:rsidTr="00AD651B">
        <w:trPr>
          <w:gridAfter w:val="1"/>
          <w:wAfter w:w="48" w:type="pct"/>
        </w:trPr>
        <w:tc>
          <w:tcPr>
            <w:tcW w:w="4952" w:type="pct"/>
            <w:gridSpan w:val="4"/>
          </w:tcPr>
          <w:p w:rsidR="00AD651B" w:rsidRPr="00813401" w:rsidRDefault="00AD651B" w:rsidP="00AD651B">
            <w:pPr>
              <w:jc w:val="both"/>
              <w:rPr>
                <w:sz w:val="20"/>
              </w:rPr>
            </w:pPr>
            <w:r w:rsidRPr="00813401">
              <w:rPr>
                <w:sz w:val="20"/>
              </w:rPr>
              <w:t xml:space="preserve">Civil procedure – appeals – Vexatious litigant proceedings – Whether the Court of Appeal erred in quashing the applicant’s appeal and by failing to exercise discretion in the interest of justice when the applicant asked the court to use R. 2.03 of the </w:t>
            </w:r>
            <w:r w:rsidRPr="00813401">
              <w:rPr>
                <w:i/>
                <w:sz w:val="20"/>
              </w:rPr>
              <w:t>Rules of Civil Procedure</w:t>
            </w:r>
            <w:r w:rsidRPr="00813401">
              <w:rPr>
                <w:sz w:val="20"/>
              </w:rPr>
              <w:t xml:space="preserve"> (dispensing with compliance) to continue with the appeal.</w:t>
            </w:r>
          </w:p>
          <w:p w:rsidR="00AD651B" w:rsidRPr="00813401" w:rsidRDefault="00AD651B" w:rsidP="00AD651B">
            <w:pPr>
              <w:jc w:val="both"/>
              <w:rPr>
                <w:sz w:val="20"/>
              </w:rPr>
            </w:pPr>
          </w:p>
        </w:tc>
      </w:tr>
      <w:tr w:rsidR="00AD651B" w:rsidRPr="00813401" w:rsidTr="00AD651B">
        <w:trPr>
          <w:gridAfter w:val="1"/>
          <w:wAfter w:w="48" w:type="pct"/>
        </w:trPr>
        <w:tc>
          <w:tcPr>
            <w:tcW w:w="4952" w:type="pct"/>
            <w:gridSpan w:val="4"/>
          </w:tcPr>
          <w:p w:rsidR="00AD651B" w:rsidRPr="00813401" w:rsidRDefault="00AD651B" w:rsidP="00AD651B">
            <w:pPr>
              <w:jc w:val="both"/>
              <w:rPr>
                <w:sz w:val="20"/>
              </w:rPr>
            </w:pPr>
            <w:r w:rsidRPr="00813401">
              <w:rPr>
                <w:sz w:val="20"/>
              </w:rPr>
              <w:t xml:space="preserve">The parties have been involved in family law litigation since 2009. On October 29, 2014, </w:t>
            </w:r>
            <w:proofErr w:type="spellStart"/>
            <w:r w:rsidRPr="00813401">
              <w:rPr>
                <w:sz w:val="20"/>
              </w:rPr>
              <w:t>Rogin</w:t>
            </w:r>
            <w:proofErr w:type="spellEnd"/>
            <w:r w:rsidRPr="00813401">
              <w:rPr>
                <w:sz w:val="20"/>
              </w:rPr>
              <w:t xml:space="preserve"> J. of the Ontario Superior Court of Justice awarded custody and child support to Ms. Vermette and access to Mr. Nassr. After numerous proceedings, Mr. Nassr was declared to be a vexatious litigant pursuant to s. 140 of the </w:t>
            </w:r>
            <w:r w:rsidRPr="00813401">
              <w:rPr>
                <w:i/>
                <w:sz w:val="20"/>
              </w:rPr>
              <w:t>Courts of Justice Act</w:t>
            </w:r>
            <w:r w:rsidRPr="00813401">
              <w:rPr>
                <w:sz w:val="20"/>
              </w:rPr>
              <w:t xml:space="preserve">, R.S.O. 1990, c. C-43, by the Ontario Superior Court of Justice: </w:t>
            </w:r>
            <w:r w:rsidRPr="00813401">
              <w:rPr>
                <w:i/>
                <w:sz w:val="20"/>
              </w:rPr>
              <w:t>Vermette v. Nassr</w:t>
            </w:r>
            <w:r w:rsidRPr="00813401">
              <w:rPr>
                <w:sz w:val="20"/>
              </w:rPr>
              <w:t xml:space="preserve">, 2015 ONSC 2450. The court ordered that no further proceeding be instituted by Mr. Nassr in any court and “any proceeding previously instituted by him may not be continued except by leave of a Judge of the Superior Court”. After delivering his notice of appeal in respect of the judgment of </w:t>
            </w:r>
            <w:proofErr w:type="spellStart"/>
            <w:r w:rsidRPr="00813401">
              <w:rPr>
                <w:sz w:val="20"/>
              </w:rPr>
              <w:t>Rogin</w:t>
            </w:r>
            <w:proofErr w:type="spellEnd"/>
            <w:r w:rsidRPr="00813401">
              <w:rPr>
                <w:sz w:val="20"/>
              </w:rPr>
              <w:t> J., Mr. Nassr was subsequently denied leave to continue his appeal, the Superior Court finding that he had not met the test for granting leave and there was no merit to the appeal. Ms. Vermette subsequently moved in the Court of Appeal for an order quashing Mr. </w:t>
            </w:r>
            <w:proofErr w:type="spellStart"/>
            <w:r w:rsidRPr="00813401">
              <w:rPr>
                <w:sz w:val="20"/>
              </w:rPr>
              <w:t>Nassr’s</w:t>
            </w:r>
            <w:proofErr w:type="spellEnd"/>
            <w:r w:rsidRPr="00813401">
              <w:rPr>
                <w:sz w:val="20"/>
              </w:rPr>
              <w:t xml:space="preserve"> appeal which was granted. The court did not accept Mr. </w:t>
            </w:r>
            <w:proofErr w:type="spellStart"/>
            <w:r w:rsidRPr="00813401">
              <w:rPr>
                <w:sz w:val="20"/>
              </w:rPr>
              <w:t>Nassr’s</w:t>
            </w:r>
            <w:proofErr w:type="spellEnd"/>
            <w:r w:rsidRPr="00813401">
              <w:rPr>
                <w:sz w:val="20"/>
              </w:rPr>
              <w:t xml:space="preserve"> argument that, under R. 2.03 of the </w:t>
            </w:r>
            <w:r w:rsidRPr="00813401">
              <w:rPr>
                <w:i/>
                <w:sz w:val="20"/>
              </w:rPr>
              <w:t>Rules of Civil procedure</w:t>
            </w:r>
            <w:r w:rsidRPr="00813401">
              <w:rPr>
                <w:sz w:val="20"/>
              </w:rPr>
              <w:t xml:space="preserve">, R.R.O. 1990, Reg. 194, the </w:t>
            </w:r>
            <w:r w:rsidRPr="00813401">
              <w:rPr>
                <w:sz w:val="20"/>
              </w:rPr>
              <w:lastRenderedPageBreak/>
              <w:t>court should dispense with compliance with the requirement that he obtain leave. Mr. Nassr seeks leave to appeal that order.</w:t>
            </w:r>
          </w:p>
          <w:p w:rsidR="00AD651B" w:rsidRPr="00813401" w:rsidRDefault="00AD651B" w:rsidP="00AD651B">
            <w:pPr>
              <w:jc w:val="both"/>
              <w:rPr>
                <w:sz w:val="20"/>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rPr>
            </w:pPr>
            <w:r w:rsidRPr="00813401">
              <w:rPr>
                <w:sz w:val="20"/>
              </w:rPr>
              <w:lastRenderedPageBreak/>
              <w:t>October 29, 2014</w:t>
            </w:r>
          </w:p>
          <w:p w:rsidR="00AD651B" w:rsidRPr="00813401" w:rsidRDefault="00AD651B" w:rsidP="00AD651B">
            <w:pPr>
              <w:jc w:val="both"/>
              <w:rPr>
                <w:sz w:val="20"/>
              </w:rPr>
            </w:pPr>
            <w:r w:rsidRPr="00813401">
              <w:rPr>
                <w:sz w:val="20"/>
              </w:rPr>
              <w:t>Ontario Superior Court of Justice</w:t>
            </w:r>
          </w:p>
          <w:p w:rsidR="00AD651B" w:rsidRPr="00813401" w:rsidRDefault="00AD651B" w:rsidP="00AD651B">
            <w:pPr>
              <w:jc w:val="both"/>
              <w:rPr>
                <w:sz w:val="20"/>
              </w:rPr>
            </w:pPr>
            <w:r w:rsidRPr="00813401">
              <w:rPr>
                <w:sz w:val="20"/>
              </w:rPr>
              <w:t>(</w:t>
            </w:r>
            <w:proofErr w:type="spellStart"/>
            <w:r w:rsidRPr="00813401">
              <w:rPr>
                <w:sz w:val="20"/>
              </w:rPr>
              <w:t>Rogin</w:t>
            </w:r>
            <w:proofErr w:type="spellEnd"/>
            <w:r w:rsidRPr="00813401">
              <w:rPr>
                <w:sz w:val="20"/>
              </w:rPr>
              <w:t xml:space="preserve"> J.)</w:t>
            </w:r>
          </w:p>
          <w:p w:rsidR="00AD651B" w:rsidRPr="00813401" w:rsidRDefault="00AD651B" w:rsidP="00AD651B">
            <w:pPr>
              <w:jc w:val="both"/>
              <w:rPr>
                <w:sz w:val="20"/>
              </w:rPr>
            </w:pPr>
            <w:r w:rsidRPr="00813401">
              <w:rPr>
                <w:sz w:val="20"/>
              </w:rPr>
              <w:t xml:space="preserve">2014 ONSC 6091 (unreported in </w:t>
            </w:r>
            <w:proofErr w:type="spellStart"/>
            <w:r w:rsidRPr="00813401">
              <w:rPr>
                <w:sz w:val="20"/>
              </w:rPr>
              <w:t>CanLII</w:t>
            </w:r>
            <w:proofErr w:type="spellEnd"/>
            <w:r w:rsidRPr="00813401">
              <w:rPr>
                <w:sz w:val="20"/>
              </w:rPr>
              <w:t>)</w:t>
            </w:r>
          </w:p>
          <w:p w:rsidR="00AD651B" w:rsidRPr="00813401" w:rsidRDefault="00AD651B" w:rsidP="00AD651B">
            <w:pPr>
              <w:jc w:val="both"/>
              <w:rPr>
                <w:sz w:val="20"/>
              </w:rPr>
            </w:pPr>
          </w:p>
        </w:tc>
        <w:tc>
          <w:tcPr>
            <w:tcW w:w="267" w:type="pct"/>
          </w:tcPr>
          <w:p w:rsidR="00AD651B" w:rsidRPr="00813401" w:rsidRDefault="00AD651B" w:rsidP="00AD651B">
            <w:pPr>
              <w:jc w:val="both"/>
              <w:rPr>
                <w:sz w:val="20"/>
              </w:rPr>
            </w:pPr>
          </w:p>
        </w:tc>
        <w:tc>
          <w:tcPr>
            <w:tcW w:w="2366" w:type="pct"/>
            <w:gridSpan w:val="2"/>
          </w:tcPr>
          <w:p w:rsidR="00AD651B" w:rsidRPr="00813401" w:rsidRDefault="00AD651B" w:rsidP="00AD651B">
            <w:pPr>
              <w:jc w:val="both"/>
              <w:rPr>
                <w:sz w:val="20"/>
              </w:rPr>
            </w:pPr>
            <w:r w:rsidRPr="00813401">
              <w:rPr>
                <w:sz w:val="20"/>
              </w:rPr>
              <w:t>Respondent’s application for custody and child support, granted.</w:t>
            </w:r>
          </w:p>
          <w:p w:rsidR="00AD651B" w:rsidRPr="00813401" w:rsidRDefault="00AD651B" w:rsidP="00AD651B">
            <w:pPr>
              <w:jc w:val="both"/>
              <w:rPr>
                <w:sz w:val="20"/>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rPr>
            </w:pPr>
            <w:r w:rsidRPr="00813401">
              <w:rPr>
                <w:sz w:val="20"/>
              </w:rPr>
              <w:t>September 6, 2016</w:t>
            </w:r>
          </w:p>
          <w:p w:rsidR="00AD651B" w:rsidRPr="00813401" w:rsidRDefault="00AD651B" w:rsidP="00AD651B">
            <w:pPr>
              <w:jc w:val="both"/>
              <w:rPr>
                <w:sz w:val="20"/>
              </w:rPr>
            </w:pPr>
            <w:r w:rsidRPr="00813401">
              <w:rPr>
                <w:sz w:val="20"/>
              </w:rPr>
              <w:t>Court of Appeal for Ontario</w:t>
            </w:r>
          </w:p>
          <w:p w:rsidR="00AD651B" w:rsidRPr="00813401" w:rsidRDefault="00AD651B" w:rsidP="00AD651B">
            <w:pPr>
              <w:jc w:val="both"/>
              <w:rPr>
                <w:sz w:val="20"/>
              </w:rPr>
            </w:pPr>
            <w:r w:rsidRPr="00813401">
              <w:rPr>
                <w:sz w:val="20"/>
              </w:rPr>
              <w:t xml:space="preserve">(Feldman, Simmons and </w:t>
            </w:r>
            <w:proofErr w:type="spellStart"/>
            <w:r w:rsidRPr="00813401">
              <w:rPr>
                <w:sz w:val="20"/>
              </w:rPr>
              <w:t>Lauwers</w:t>
            </w:r>
            <w:proofErr w:type="spellEnd"/>
            <w:r w:rsidRPr="00813401">
              <w:rPr>
                <w:sz w:val="20"/>
              </w:rPr>
              <w:t xml:space="preserve"> JJ.A.)</w:t>
            </w:r>
          </w:p>
          <w:p w:rsidR="00AD651B" w:rsidRPr="00813401" w:rsidRDefault="00AD651B" w:rsidP="00AD651B">
            <w:pPr>
              <w:jc w:val="both"/>
              <w:rPr>
                <w:sz w:val="20"/>
              </w:rPr>
            </w:pPr>
            <w:hyperlink r:id="rId44" w:history="1">
              <w:r w:rsidRPr="00813401">
                <w:rPr>
                  <w:rStyle w:val="Hyperlink"/>
                  <w:sz w:val="20"/>
                </w:rPr>
                <w:t>2016 ONCA 658</w:t>
              </w:r>
            </w:hyperlink>
          </w:p>
          <w:p w:rsidR="00AD651B" w:rsidRPr="00813401" w:rsidRDefault="00AD651B" w:rsidP="00AD651B">
            <w:pPr>
              <w:jc w:val="both"/>
              <w:rPr>
                <w:sz w:val="20"/>
              </w:rPr>
            </w:pPr>
          </w:p>
        </w:tc>
        <w:tc>
          <w:tcPr>
            <w:tcW w:w="267" w:type="pct"/>
          </w:tcPr>
          <w:p w:rsidR="00AD651B" w:rsidRPr="00813401" w:rsidRDefault="00AD651B" w:rsidP="00AD651B">
            <w:pPr>
              <w:jc w:val="both"/>
              <w:rPr>
                <w:sz w:val="20"/>
              </w:rPr>
            </w:pPr>
          </w:p>
        </w:tc>
        <w:tc>
          <w:tcPr>
            <w:tcW w:w="2366" w:type="pct"/>
            <w:gridSpan w:val="2"/>
          </w:tcPr>
          <w:p w:rsidR="00AD651B" w:rsidRPr="00813401" w:rsidRDefault="00AD651B" w:rsidP="00AD651B">
            <w:pPr>
              <w:jc w:val="both"/>
              <w:rPr>
                <w:sz w:val="20"/>
              </w:rPr>
            </w:pPr>
            <w:r w:rsidRPr="00813401">
              <w:rPr>
                <w:sz w:val="20"/>
              </w:rPr>
              <w:t>Respondent’s motion to quash applicant’s appeal, granted.</w:t>
            </w:r>
          </w:p>
          <w:p w:rsidR="00AD651B" w:rsidRPr="00813401" w:rsidRDefault="00AD651B" w:rsidP="00AD651B">
            <w:pPr>
              <w:jc w:val="both"/>
              <w:rPr>
                <w:sz w:val="20"/>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rPr>
            </w:pPr>
            <w:r w:rsidRPr="00813401">
              <w:rPr>
                <w:sz w:val="20"/>
              </w:rPr>
              <w:t>November 7, 2016</w:t>
            </w:r>
          </w:p>
          <w:p w:rsidR="00AD651B" w:rsidRPr="00813401" w:rsidRDefault="00AD651B" w:rsidP="00AD651B">
            <w:pPr>
              <w:jc w:val="both"/>
              <w:rPr>
                <w:sz w:val="20"/>
              </w:rPr>
            </w:pPr>
            <w:r w:rsidRPr="00813401">
              <w:rPr>
                <w:sz w:val="20"/>
              </w:rPr>
              <w:t>Supreme Court of Canada</w:t>
            </w:r>
          </w:p>
        </w:tc>
        <w:tc>
          <w:tcPr>
            <w:tcW w:w="267" w:type="pct"/>
          </w:tcPr>
          <w:p w:rsidR="00AD651B" w:rsidRPr="00813401" w:rsidRDefault="00AD651B" w:rsidP="00AD651B">
            <w:pPr>
              <w:jc w:val="both"/>
              <w:rPr>
                <w:sz w:val="20"/>
              </w:rPr>
            </w:pPr>
          </w:p>
        </w:tc>
        <w:tc>
          <w:tcPr>
            <w:tcW w:w="2366" w:type="pct"/>
            <w:gridSpan w:val="2"/>
          </w:tcPr>
          <w:p w:rsidR="00AD651B" w:rsidRPr="00813401" w:rsidRDefault="00AD651B" w:rsidP="00AD651B">
            <w:pPr>
              <w:jc w:val="both"/>
              <w:rPr>
                <w:sz w:val="20"/>
              </w:rPr>
            </w:pPr>
            <w:r w:rsidRPr="00813401">
              <w:rPr>
                <w:sz w:val="20"/>
              </w:rPr>
              <w:t>Application for leave to appeal, filed.</w:t>
            </w:r>
          </w:p>
          <w:p w:rsidR="00AD651B" w:rsidRPr="00813401" w:rsidRDefault="00AD651B" w:rsidP="00AD651B">
            <w:pPr>
              <w:jc w:val="both"/>
              <w:rPr>
                <w:sz w:val="20"/>
              </w:rPr>
            </w:pPr>
          </w:p>
        </w:tc>
      </w:tr>
    </w:tbl>
    <w:p w:rsidR="00AD651B" w:rsidRPr="00813401" w:rsidRDefault="00AD651B" w:rsidP="00AD651B">
      <w:pPr>
        <w:jc w:val="both"/>
        <w:rPr>
          <w:sz w:val="20"/>
        </w:rPr>
      </w:pPr>
    </w:p>
    <w:p w:rsidR="00AD651B" w:rsidRPr="00813401" w:rsidRDefault="00AD651B" w:rsidP="00AD651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D651B" w:rsidRPr="00813401" w:rsidTr="00AD651B">
        <w:trPr>
          <w:gridAfter w:val="1"/>
          <w:wAfter w:w="48" w:type="pct"/>
        </w:trPr>
        <w:tc>
          <w:tcPr>
            <w:tcW w:w="538" w:type="pct"/>
          </w:tcPr>
          <w:p w:rsidR="00AD651B" w:rsidRPr="00813401" w:rsidRDefault="00AD651B" w:rsidP="00AD651B">
            <w:pPr>
              <w:jc w:val="both"/>
              <w:rPr>
                <w:sz w:val="20"/>
                <w:lang w:val="fr-CA"/>
              </w:rPr>
            </w:pPr>
            <w:r w:rsidRPr="00813401">
              <w:rPr>
                <w:rStyle w:val="SCCFileNumberChar"/>
                <w:sz w:val="20"/>
                <w:szCs w:val="20"/>
                <w:lang w:val="fr-CA"/>
              </w:rPr>
              <w:t>37308</w:t>
            </w:r>
          </w:p>
        </w:tc>
        <w:tc>
          <w:tcPr>
            <w:tcW w:w="4414" w:type="pct"/>
            <w:gridSpan w:val="3"/>
          </w:tcPr>
          <w:p w:rsidR="00AD651B" w:rsidRPr="00813401" w:rsidRDefault="00AD651B" w:rsidP="00AD651B">
            <w:pPr>
              <w:pStyle w:val="SCCLsocParty"/>
              <w:jc w:val="both"/>
              <w:rPr>
                <w:b/>
                <w:sz w:val="20"/>
                <w:szCs w:val="20"/>
              </w:rPr>
            </w:pPr>
            <w:r w:rsidRPr="00813401">
              <w:rPr>
                <w:b/>
                <w:sz w:val="20"/>
                <w:szCs w:val="20"/>
              </w:rPr>
              <w:t>Jason Donald Nassr c. Laurie Ann Vermette</w:t>
            </w:r>
          </w:p>
          <w:p w:rsidR="00AD651B" w:rsidRPr="00813401" w:rsidRDefault="00AD651B" w:rsidP="00AD651B">
            <w:pPr>
              <w:jc w:val="both"/>
              <w:rPr>
                <w:sz w:val="20"/>
                <w:lang w:val="fr-CA"/>
              </w:rPr>
            </w:pPr>
            <w:r w:rsidRPr="00813401">
              <w:rPr>
                <w:sz w:val="20"/>
                <w:lang w:val="fr-CA"/>
              </w:rPr>
              <w:t>(Ont.) (Civile) (Sur autorisation)</w:t>
            </w:r>
          </w:p>
        </w:tc>
      </w:tr>
      <w:tr w:rsidR="00AD651B" w:rsidRPr="00813401" w:rsidTr="00AD651B">
        <w:trPr>
          <w:gridAfter w:val="1"/>
          <w:wAfter w:w="48" w:type="pct"/>
        </w:trPr>
        <w:tc>
          <w:tcPr>
            <w:tcW w:w="4952" w:type="pct"/>
            <w:gridSpan w:val="4"/>
          </w:tcPr>
          <w:p w:rsidR="00AD651B" w:rsidRPr="00813401" w:rsidRDefault="00AD651B" w:rsidP="00AD651B">
            <w:pPr>
              <w:jc w:val="both"/>
              <w:rPr>
                <w:sz w:val="20"/>
                <w:lang w:val="fr-CA"/>
              </w:rPr>
            </w:pPr>
            <w:r w:rsidRPr="00813401">
              <w:rPr>
                <w:sz w:val="20"/>
                <w:lang w:val="fr-CA"/>
              </w:rPr>
              <w:t xml:space="preserve">Procédure civile – Appels – Procédures visant à faire déclarer que le plaideur a agi de manière vexatoire – La Cour d’appel a-t-elle commis une erreur en annulant l’appel du demandeur et en omettant d’exercer son pouvoir discrétionnaire dans l’intérêt de la justice lorsque celui-ci lui a demandé d’appliquer la règle 2.03 des </w:t>
            </w:r>
            <w:r w:rsidRPr="00813401">
              <w:rPr>
                <w:i/>
                <w:sz w:val="20"/>
                <w:lang w:val="fr-CA"/>
              </w:rPr>
              <w:t xml:space="preserve">Règles de procédure civile </w:t>
            </w:r>
            <w:r w:rsidRPr="00813401">
              <w:rPr>
                <w:sz w:val="20"/>
                <w:lang w:val="fr-CA"/>
              </w:rPr>
              <w:t>(dispenser de l’observation d’une règle) afin qu’il puisse poursuivre l’appel?</w:t>
            </w:r>
          </w:p>
          <w:p w:rsidR="00AD651B" w:rsidRPr="00813401" w:rsidRDefault="00AD651B" w:rsidP="00AD651B">
            <w:pPr>
              <w:jc w:val="both"/>
              <w:rPr>
                <w:sz w:val="20"/>
                <w:lang w:val="fr-CA"/>
              </w:rPr>
            </w:pPr>
          </w:p>
        </w:tc>
      </w:tr>
      <w:tr w:rsidR="00AD651B" w:rsidRPr="00813401" w:rsidTr="00AD651B">
        <w:trPr>
          <w:gridAfter w:val="1"/>
          <w:wAfter w:w="48" w:type="pct"/>
        </w:trPr>
        <w:tc>
          <w:tcPr>
            <w:tcW w:w="4952" w:type="pct"/>
            <w:gridSpan w:val="4"/>
          </w:tcPr>
          <w:p w:rsidR="00AD651B" w:rsidRPr="00813401" w:rsidRDefault="00AD651B" w:rsidP="00AD651B">
            <w:pPr>
              <w:jc w:val="both"/>
              <w:rPr>
                <w:sz w:val="20"/>
                <w:lang w:val="fr-CA"/>
              </w:rPr>
            </w:pPr>
            <w:r w:rsidRPr="00813401">
              <w:rPr>
                <w:sz w:val="20"/>
                <w:lang w:val="fr-CA"/>
              </w:rPr>
              <w:t xml:space="preserve">Le demandeur et l’intimée sont </w:t>
            </w:r>
            <w:proofErr w:type="gramStart"/>
            <w:r w:rsidRPr="00813401">
              <w:rPr>
                <w:sz w:val="20"/>
                <w:lang w:val="fr-CA"/>
              </w:rPr>
              <w:t>parties</w:t>
            </w:r>
            <w:proofErr w:type="gramEnd"/>
            <w:r w:rsidRPr="00813401">
              <w:rPr>
                <w:sz w:val="20"/>
                <w:lang w:val="fr-CA"/>
              </w:rPr>
              <w:t xml:space="preserve"> à un litige en matière familiale depuis 2009. Le 29 octobre 2014, le juge </w:t>
            </w:r>
            <w:proofErr w:type="spellStart"/>
            <w:r w:rsidRPr="00813401">
              <w:rPr>
                <w:sz w:val="20"/>
                <w:lang w:val="fr-CA"/>
              </w:rPr>
              <w:t>Rogin</w:t>
            </w:r>
            <w:proofErr w:type="spellEnd"/>
            <w:r w:rsidRPr="00813401">
              <w:rPr>
                <w:sz w:val="20"/>
                <w:lang w:val="fr-CA"/>
              </w:rPr>
              <w:t xml:space="preserve"> de la Cour supérieure de justice de l’Ontario a accordé la garde et une pension alimentaire à Mme Vermette ainsi qu’un droit d’accès à M. Nassr. À la suite de nombreuses procédures, la Cour supérieure de justice de l’Ontario a déclaré que M. Nassr avait agi de manière vexatoire aux termes de l’art. 140 de la </w:t>
            </w:r>
            <w:r w:rsidRPr="00813401">
              <w:rPr>
                <w:i/>
                <w:sz w:val="20"/>
                <w:lang w:val="fr-CA"/>
              </w:rPr>
              <w:t>Loi sur les tribunaux judiciaires</w:t>
            </w:r>
            <w:r w:rsidRPr="00813401">
              <w:rPr>
                <w:sz w:val="20"/>
                <w:lang w:val="fr-CA"/>
              </w:rPr>
              <w:t xml:space="preserve">, L.R.O. 1990, c. C-43 : </w:t>
            </w:r>
            <w:r w:rsidRPr="00813401">
              <w:rPr>
                <w:i/>
                <w:sz w:val="20"/>
                <w:lang w:val="fr-CA"/>
              </w:rPr>
              <w:t>Vermette c. Nassr</w:t>
            </w:r>
            <w:r w:rsidRPr="00813401">
              <w:rPr>
                <w:sz w:val="20"/>
                <w:lang w:val="fr-CA"/>
              </w:rPr>
              <w:t>, 2015 ONSC 2450. La cour a rendu une ordonnance portant que M. Nassr ne pouvait intenter aucune autre action devant un tribunal, et que [</w:t>
            </w:r>
            <w:r w:rsidRPr="00813401">
              <w:rPr>
                <w:smallCaps/>
                <w:sz w:val="20"/>
                <w:lang w:val="fr-CA"/>
              </w:rPr>
              <w:t>traduction</w:t>
            </w:r>
            <w:r w:rsidRPr="00813401">
              <w:rPr>
                <w:sz w:val="20"/>
                <w:lang w:val="fr-CA"/>
              </w:rPr>
              <w:t xml:space="preserve">] « il devait être mis fin à toute action intentée antérieurement par M. Nassr, sauf avec l’autorisation d’un juge de la Cour supérieure ». Après avoir déposé son avis d’appel à l’encontre de la décision du juge </w:t>
            </w:r>
            <w:proofErr w:type="spellStart"/>
            <w:r w:rsidRPr="00813401">
              <w:rPr>
                <w:sz w:val="20"/>
                <w:lang w:val="fr-CA"/>
              </w:rPr>
              <w:t>Rogin</w:t>
            </w:r>
            <w:proofErr w:type="spellEnd"/>
            <w:r w:rsidRPr="00813401">
              <w:rPr>
                <w:sz w:val="20"/>
                <w:lang w:val="fr-CA"/>
              </w:rPr>
              <w:t xml:space="preserve">, M. Nassr s’est vu refuser l’autorisation de poursuivre son appel, au motif que la Cour supérieure était d’avis que le critère pour qu’une autorisation soit accordée n’était pas respecté, et que l’appel n’était pas fondé. Mme Vermette a par la suite sollicité une ordonnance auprès de la Cour d’appel en vue de l’annulation de l’appel de M. Nassr, et celle-ci a été accordée. La cour a rejeté l’argument de M. Nassr selon lequel celle-ci devrait, en vertu de la règle 2.03 des </w:t>
            </w:r>
            <w:r w:rsidRPr="00813401">
              <w:rPr>
                <w:i/>
                <w:sz w:val="20"/>
                <w:lang w:val="fr-CA"/>
              </w:rPr>
              <w:t>Règles de procédure civile</w:t>
            </w:r>
            <w:r w:rsidRPr="00813401">
              <w:rPr>
                <w:sz w:val="20"/>
                <w:lang w:val="fr-CA"/>
              </w:rPr>
              <w:t xml:space="preserve">, R.R.O. 1990, </w:t>
            </w:r>
            <w:proofErr w:type="spellStart"/>
            <w:r w:rsidRPr="00813401">
              <w:rPr>
                <w:sz w:val="20"/>
                <w:lang w:val="fr-CA"/>
              </w:rPr>
              <w:t>Règl</w:t>
            </w:r>
            <w:proofErr w:type="spellEnd"/>
            <w:r w:rsidRPr="00813401">
              <w:rPr>
                <w:sz w:val="20"/>
                <w:lang w:val="fr-CA"/>
              </w:rPr>
              <w:t>. 194, le dispenser de l’observation de l’exigence voulant qu’il obtienne une autorisation. M. Nassr sollicite l’autorisation d’interjeter appel de cette ordonnance.</w:t>
            </w:r>
          </w:p>
          <w:p w:rsidR="00AD651B" w:rsidRPr="00813401" w:rsidRDefault="00AD651B" w:rsidP="00AD651B">
            <w:pPr>
              <w:jc w:val="both"/>
              <w:rPr>
                <w:sz w:val="20"/>
                <w:lang w:val="fr-CA"/>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lang w:val="fr-CA"/>
              </w:rPr>
            </w:pPr>
            <w:r w:rsidRPr="00813401">
              <w:rPr>
                <w:sz w:val="20"/>
                <w:lang w:val="fr-CA"/>
              </w:rPr>
              <w:t>29 octobre 2014</w:t>
            </w:r>
          </w:p>
          <w:p w:rsidR="00AD651B" w:rsidRPr="00813401" w:rsidRDefault="00AD651B" w:rsidP="00AD651B">
            <w:pPr>
              <w:jc w:val="both"/>
              <w:rPr>
                <w:sz w:val="20"/>
                <w:lang w:val="fr-CA"/>
              </w:rPr>
            </w:pPr>
            <w:r w:rsidRPr="00813401">
              <w:rPr>
                <w:sz w:val="20"/>
                <w:lang w:val="fr-CA"/>
              </w:rPr>
              <w:t xml:space="preserve">Cour supérieure de justice de l’Ontario </w:t>
            </w:r>
          </w:p>
          <w:p w:rsidR="00AD651B" w:rsidRPr="00813401" w:rsidRDefault="00AD651B" w:rsidP="00AD651B">
            <w:pPr>
              <w:jc w:val="both"/>
              <w:rPr>
                <w:sz w:val="20"/>
                <w:lang w:val="fr-CA"/>
              </w:rPr>
            </w:pPr>
            <w:r w:rsidRPr="00813401">
              <w:rPr>
                <w:sz w:val="20"/>
                <w:lang w:val="fr-CA"/>
              </w:rPr>
              <w:t xml:space="preserve">(juge </w:t>
            </w:r>
            <w:proofErr w:type="spellStart"/>
            <w:r w:rsidRPr="00813401">
              <w:rPr>
                <w:sz w:val="20"/>
                <w:lang w:val="fr-CA"/>
              </w:rPr>
              <w:t>Rogin</w:t>
            </w:r>
            <w:proofErr w:type="spellEnd"/>
            <w:r w:rsidRPr="00813401">
              <w:rPr>
                <w:sz w:val="20"/>
                <w:lang w:val="fr-CA"/>
              </w:rPr>
              <w:t>)</w:t>
            </w:r>
          </w:p>
          <w:p w:rsidR="00AD651B" w:rsidRPr="00813401" w:rsidRDefault="00AD651B" w:rsidP="00AD651B">
            <w:pPr>
              <w:jc w:val="both"/>
              <w:rPr>
                <w:sz w:val="20"/>
                <w:lang w:val="fr-CA"/>
              </w:rPr>
            </w:pPr>
            <w:r w:rsidRPr="00813401">
              <w:rPr>
                <w:sz w:val="20"/>
                <w:lang w:val="fr-CA"/>
              </w:rPr>
              <w:t xml:space="preserve">2014 ONSC 6091 (non publiée sur </w:t>
            </w:r>
            <w:proofErr w:type="spellStart"/>
            <w:r w:rsidRPr="00813401">
              <w:rPr>
                <w:sz w:val="20"/>
                <w:lang w:val="fr-CA"/>
              </w:rPr>
              <w:t>CanLII</w:t>
            </w:r>
            <w:proofErr w:type="spellEnd"/>
            <w:r w:rsidRPr="00813401">
              <w:rPr>
                <w:sz w:val="20"/>
                <w:lang w:val="fr-CA"/>
              </w:rPr>
              <w:t>)</w:t>
            </w:r>
          </w:p>
          <w:p w:rsidR="00AD651B" w:rsidRPr="00813401" w:rsidRDefault="00AD651B" w:rsidP="00AD651B">
            <w:pPr>
              <w:jc w:val="both"/>
              <w:rPr>
                <w:sz w:val="20"/>
                <w:lang w:val="fr-CA"/>
              </w:rPr>
            </w:pPr>
          </w:p>
        </w:tc>
        <w:tc>
          <w:tcPr>
            <w:tcW w:w="267" w:type="pct"/>
          </w:tcPr>
          <w:p w:rsidR="00AD651B" w:rsidRPr="00813401" w:rsidRDefault="00AD651B" w:rsidP="00AD651B">
            <w:pPr>
              <w:jc w:val="both"/>
              <w:rPr>
                <w:sz w:val="20"/>
                <w:lang w:val="fr-CA"/>
              </w:rPr>
            </w:pPr>
          </w:p>
        </w:tc>
        <w:tc>
          <w:tcPr>
            <w:tcW w:w="2366" w:type="pct"/>
            <w:gridSpan w:val="2"/>
          </w:tcPr>
          <w:p w:rsidR="00AD651B" w:rsidRPr="00813401" w:rsidRDefault="00AD651B" w:rsidP="00AD651B">
            <w:pPr>
              <w:jc w:val="both"/>
              <w:rPr>
                <w:sz w:val="20"/>
                <w:lang w:val="fr-CA"/>
              </w:rPr>
            </w:pPr>
            <w:r w:rsidRPr="00813401">
              <w:rPr>
                <w:sz w:val="20"/>
                <w:lang w:val="fr-CA"/>
              </w:rPr>
              <w:t>Demande de garde et de pension alimentaire de l’intimée, accueillie.</w:t>
            </w:r>
          </w:p>
          <w:p w:rsidR="00AD651B" w:rsidRPr="00813401" w:rsidRDefault="00AD651B" w:rsidP="00AD651B">
            <w:pPr>
              <w:jc w:val="both"/>
              <w:rPr>
                <w:sz w:val="20"/>
                <w:lang w:val="fr-CA"/>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lang w:val="fr-CA"/>
              </w:rPr>
            </w:pPr>
            <w:r w:rsidRPr="00813401">
              <w:rPr>
                <w:sz w:val="20"/>
                <w:lang w:val="fr-CA"/>
              </w:rPr>
              <w:t>6 septembre 2016</w:t>
            </w:r>
          </w:p>
          <w:p w:rsidR="00AD651B" w:rsidRPr="00813401" w:rsidRDefault="00AD651B" w:rsidP="00AD651B">
            <w:pPr>
              <w:jc w:val="both"/>
              <w:rPr>
                <w:sz w:val="20"/>
                <w:lang w:val="fr-CA"/>
              </w:rPr>
            </w:pPr>
            <w:r w:rsidRPr="00813401">
              <w:rPr>
                <w:sz w:val="20"/>
                <w:lang w:val="fr-CA"/>
              </w:rPr>
              <w:t>Cour d’appel de l’Ontario</w:t>
            </w:r>
          </w:p>
          <w:p w:rsidR="00AD651B" w:rsidRPr="00813401" w:rsidRDefault="00AD651B" w:rsidP="00AD651B">
            <w:pPr>
              <w:jc w:val="both"/>
              <w:rPr>
                <w:sz w:val="20"/>
                <w:lang w:val="fr-CA"/>
              </w:rPr>
            </w:pPr>
            <w:r w:rsidRPr="00813401">
              <w:rPr>
                <w:sz w:val="20"/>
                <w:lang w:val="fr-CA"/>
              </w:rPr>
              <w:t xml:space="preserve">(juges </w:t>
            </w:r>
            <w:proofErr w:type="spellStart"/>
            <w:r w:rsidRPr="00813401">
              <w:rPr>
                <w:sz w:val="20"/>
                <w:lang w:val="fr-CA"/>
              </w:rPr>
              <w:t>Feldman</w:t>
            </w:r>
            <w:proofErr w:type="spellEnd"/>
            <w:r w:rsidRPr="00813401">
              <w:rPr>
                <w:sz w:val="20"/>
                <w:lang w:val="fr-CA"/>
              </w:rPr>
              <w:t xml:space="preserve">, Simmons et </w:t>
            </w:r>
            <w:proofErr w:type="spellStart"/>
            <w:r w:rsidRPr="00813401">
              <w:rPr>
                <w:sz w:val="20"/>
                <w:lang w:val="fr-CA"/>
              </w:rPr>
              <w:t>Lauwers</w:t>
            </w:r>
            <w:proofErr w:type="spellEnd"/>
            <w:r w:rsidRPr="00813401">
              <w:rPr>
                <w:sz w:val="20"/>
                <w:lang w:val="fr-CA"/>
              </w:rPr>
              <w:t>)</w:t>
            </w:r>
          </w:p>
          <w:p w:rsidR="00AD651B" w:rsidRPr="00813401" w:rsidRDefault="00AD651B" w:rsidP="00AD651B">
            <w:pPr>
              <w:jc w:val="both"/>
              <w:rPr>
                <w:sz w:val="20"/>
                <w:lang w:val="fr-CA"/>
              </w:rPr>
            </w:pPr>
            <w:hyperlink r:id="rId45" w:history="1">
              <w:r w:rsidRPr="00813401">
                <w:rPr>
                  <w:rStyle w:val="Hyperlink"/>
                  <w:sz w:val="20"/>
                  <w:lang w:val="fr-CA"/>
                </w:rPr>
                <w:t>2016 ONCA 658</w:t>
              </w:r>
            </w:hyperlink>
          </w:p>
          <w:p w:rsidR="00AD651B" w:rsidRPr="00813401" w:rsidRDefault="00AD651B" w:rsidP="00AD651B">
            <w:pPr>
              <w:jc w:val="both"/>
              <w:rPr>
                <w:sz w:val="20"/>
                <w:lang w:val="fr-CA"/>
              </w:rPr>
            </w:pPr>
          </w:p>
        </w:tc>
        <w:tc>
          <w:tcPr>
            <w:tcW w:w="267" w:type="pct"/>
          </w:tcPr>
          <w:p w:rsidR="00AD651B" w:rsidRPr="00813401" w:rsidRDefault="00AD651B" w:rsidP="00AD651B">
            <w:pPr>
              <w:jc w:val="both"/>
              <w:rPr>
                <w:sz w:val="20"/>
                <w:lang w:val="fr-CA"/>
              </w:rPr>
            </w:pPr>
          </w:p>
        </w:tc>
        <w:tc>
          <w:tcPr>
            <w:tcW w:w="2366" w:type="pct"/>
            <w:gridSpan w:val="2"/>
          </w:tcPr>
          <w:p w:rsidR="00AD651B" w:rsidRPr="00813401" w:rsidRDefault="00AD651B" w:rsidP="00AD651B">
            <w:pPr>
              <w:jc w:val="both"/>
              <w:rPr>
                <w:sz w:val="20"/>
                <w:lang w:val="fr-CA"/>
              </w:rPr>
            </w:pPr>
            <w:r w:rsidRPr="00813401">
              <w:rPr>
                <w:sz w:val="20"/>
                <w:lang w:val="fr-CA"/>
              </w:rPr>
              <w:t>Requête de l’intimée visant l’annulation de l’appel du demandeur, accueillie.</w:t>
            </w:r>
          </w:p>
          <w:p w:rsidR="00AD651B" w:rsidRPr="00813401" w:rsidRDefault="00AD651B" w:rsidP="00AD651B">
            <w:pPr>
              <w:jc w:val="both"/>
              <w:rPr>
                <w:sz w:val="20"/>
                <w:lang w:val="fr-CA"/>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lang w:val="fr-CA"/>
              </w:rPr>
            </w:pPr>
            <w:r w:rsidRPr="00813401">
              <w:rPr>
                <w:sz w:val="20"/>
                <w:lang w:val="fr-CA"/>
              </w:rPr>
              <w:t>7 novembre 2016</w:t>
            </w:r>
          </w:p>
          <w:p w:rsidR="00AD651B" w:rsidRPr="00813401" w:rsidRDefault="00AD651B" w:rsidP="00AD651B">
            <w:pPr>
              <w:jc w:val="both"/>
              <w:rPr>
                <w:sz w:val="20"/>
                <w:lang w:val="fr-CA"/>
              </w:rPr>
            </w:pPr>
            <w:r w:rsidRPr="00813401">
              <w:rPr>
                <w:sz w:val="20"/>
                <w:lang w:val="fr-CA"/>
              </w:rPr>
              <w:t>Cour suprême du Canada</w:t>
            </w:r>
          </w:p>
        </w:tc>
        <w:tc>
          <w:tcPr>
            <w:tcW w:w="267" w:type="pct"/>
          </w:tcPr>
          <w:p w:rsidR="00AD651B" w:rsidRPr="00813401" w:rsidRDefault="00AD651B" w:rsidP="00AD651B">
            <w:pPr>
              <w:jc w:val="both"/>
              <w:rPr>
                <w:sz w:val="20"/>
                <w:lang w:val="fr-CA"/>
              </w:rPr>
            </w:pPr>
          </w:p>
        </w:tc>
        <w:tc>
          <w:tcPr>
            <w:tcW w:w="2366" w:type="pct"/>
            <w:gridSpan w:val="2"/>
          </w:tcPr>
          <w:p w:rsidR="00AD651B" w:rsidRPr="00813401" w:rsidRDefault="00AD651B" w:rsidP="00AD651B">
            <w:pPr>
              <w:jc w:val="both"/>
              <w:rPr>
                <w:sz w:val="20"/>
                <w:lang w:val="fr-CA"/>
              </w:rPr>
            </w:pPr>
            <w:r w:rsidRPr="00813401">
              <w:rPr>
                <w:sz w:val="20"/>
                <w:lang w:val="fr-CA"/>
              </w:rPr>
              <w:t>Demande d’autorisation d’appel, déposée.</w:t>
            </w:r>
          </w:p>
          <w:p w:rsidR="00AD651B" w:rsidRPr="00813401" w:rsidRDefault="00AD651B" w:rsidP="00AD651B">
            <w:pPr>
              <w:jc w:val="both"/>
              <w:rPr>
                <w:sz w:val="20"/>
                <w:lang w:val="fr-CA"/>
              </w:rPr>
            </w:pPr>
          </w:p>
        </w:tc>
      </w:tr>
    </w:tbl>
    <w:p w:rsidR="00AD651B" w:rsidRPr="00813401" w:rsidRDefault="00AD651B" w:rsidP="00AD651B">
      <w:pPr>
        <w:jc w:val="both"/>
        <w:rPr>
          <w:sz w:val="20"/>
          <w:lang w:val="fr-CA"/>
        </w:rPr>
      </w:pPr>
    </w:p>
    <w:p w:rsidR="00AD651B" w:rsidRPr="00813401" w:rsidRDefault="00AD651B" w:rsidP="00AD651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D651B" w:rsidRPr="00813401" w:rsidTr="00AD651B">
        <w:trPr>
          <w:gridAfter w:val="1"/>
          <w:wAfter w:w="48" w:type="pct"/>
        </w:trPr>
        <w:tc>
          <w:tcPr>
            <w:tcW w:w="538" w:type="pct"/>
          </w:tcPr>
          <w:p w:rsidR="00AD651B" w:rsidRPr="00813401" w:rsidRDefault="00AD651B" w:rsidP="00AD651B">
            <w:pPr>
              <w:jc w:val="both"/>
              <w:rPr>
                <w:sz w:val="20"/>
              </w:rPr>
            </w:pPr>
            <w:r w:rsidRPr="00813401">
              <w:rPr>
                <w:rStyle w:val="SCCFileNumberChar"/>
                <w:sz w:val="20"/>
                <w:szCs w:val="20"/>
              </w:rPr>
              <w:t>37232</w:t>
            </w:r>
          </w:p>
        </w:tc>
        <w:tc>
          <w:tcPr>
            <w:tcW w:w="4414" w:type="pct"/>
            <w:gridSpan w:val="3"/>
          </w:tcPr>
          <w:p w:rsidR="00AD651B" w:rsidRPr="00813401" w:rsidRDefault="00AD651B" w:rsidP="00AD651B">
            <w:pPr>
              <w:pStyle w:val="SCCLsocParty"/>
              <w:jc w:val="both"/>
              <w:rPr>
                <w:b/>
                <w:sz w:val="20"/>
                <w:szCs w:val="20"/>
                <w:lang w:val="fr-FR"/>
              </w:rPr>
            </w:pPr>
            <w:r w:rsidRPr="00813401">
              <w:rPr>
                <w:b/>
                <w:sz w:val="20"/>
                <w:szCs w:val="20"/>
                <w:lang w:val="fr-FR"/>
              </w:rPr>
              <w:t xml:space="preserve">Jason Donald </w:t>
            </w:r>
            <w:proofErr w:type="spellStart"/>
            <w:r w:rsidRPr="00813401">
              <w:rPr>
                <w:b/>
                <w:sz w:val="20"/>
                <w:szCs w:val="20"/>
                <w:lang w:val="fr-FR"/>
              </w:rPr>
              <w:t>Nassr</w:t>
            </w:r>
            <w:proofErr w:type="spellEnd"/>
            <w:r w:rsidRPr="00813401">
              <w:rPr>
                <w:b/>
                <w:sz w:val="20"/>
                <w:szCs w:val="20"/>
                <w:lang w:val="fr-FR"/>
              </w:rPr>
              <w:t xml:space="preserve"> v. Laurie Ann Vermette</w:t>
            </w:r>
          </w:p>
          <w:p w:rsidR="00AD651B" w:rsidRPr="00813401" w:rsidRDefault="00AD651B" w:rsidP="00AD651B">
            <w:pPr>
              <w:jc w:val="both"/>
              <w:rPr>
                <w:sz w:val="20"/>
              </w:rPr>
            </w:pPr>
            <w:r w:rsidRPr="00813401">
              <w:rPr>
                <w:sz w:val="20"/>
              </w:rPr>
              <w:lastRenderedPageBreak/>
              <w:t>(Ont.) (Civil) (By Leave)</w:t>
            </w:r>
          </w:p>
        </w:tc>
      </w:tr>
      <w:tr w:rsidR="00AD651B" w:rsidRPr="00813401" w:rsidTr="00AD651B">
        <w:trPr>
          <w:gridAfter w:val="1"/>
          <w:wAfter w:w="48" w:type="pct"/>
        </w:trPr>
        <w:tc>
          <w:tcPr>
            <w:tcW w:w="4952" w:type="pct"/>
            <w:gridSpan w:val="4"/>
          </w:tcPr>
          <w:p w:rsidR="00AD651B" w:rsidRPr="00813401" w:rsidRDefault="00AD651B" w:rsidP="00AD651B">
            <w:pPr>
              <w:jc w:val="both"/>
              <w:rPr>
                <w:sz w:val="20"/>
              </w:rPr>
            </w:pPr>
            <w:r w:rsidRPr="00813401">
              <w:rPr>
                <w:sz w:val="20"/>
              </w:rPr>
              <w:lastRenderedPageBreak/>
              <w:t xml:space="preserve">Civil procedure – Costs – Security for costs – Vexatious litigant proceedings – Whether the court below erred in law by failing to grant the applicant’s request to dispense with compliance under the </w:t>
            </w:r>
            <w:r w:rsidRPr="00813401">
              <w:rPr>
                <w:i/>
                <w:sz w:val="20"/>
              </w:rPr>
              <w:t>Rules of Civil Procedure</w:t>
            </w:r>
            <w:r w:rsidRPr="00813401">
              <w:rPr>
                <w:sz w:val="20"/>
              </w:rPr>
              <w:t xml:space="preserve"> – Whether the court below erred in law by failing to correctly apply the test for security for costs.</w:t>
            </w:r>
          </w:p>
          <w:p w:rsidR="00A60453" w:rsidRPr="00813401" w:rsidRDefault="00A60453" w:rsidP="00AD651B">
            <w:pPr>
              <w:jc w:val="both"/>
              <w:rPr>
                <w:sz w:val="20"/>
              </w:rPr>
            </w:pPr>
          </w:p>
        </w:tc>
      </w:tr>
      <w:tr w:rsidR="00AD651B" w:rsidRPr="00813401" w:rsidTr="00AD651B">
        <w:trPr>
          <w:gridAfter w:val="1"/>
          <w:wAfter w:w="48" w:type="pct"/>
        </w:trPr>
        <w:tc>
          <w:tcPr>
            <w:tcW w:w="4952" w:type="pct"/>
            <w:gridSpan w:val="4"/>
          </w:tcPr>
          <w:p w:rsidR="00AD651B" w:rsidRPr="00813401" w:rsidRDefault="00AD651B" w:rsidP="00AD651B">
            <w:pPr>
              <w:jc w:val="both"/>
              <w:rPr>
                <w:sz w:val="20"/>
              </w:rPr>
            </w:pPr>
            <w:r w:rsidRPr="00813401">
              <w:rPr>
                <w:sz w:val="20"/>
              </w:rPr>
              <w:t xml:space="preserve">The parties have been involved in family law litigation since 2009. After numerous proceedings, Jason Nassr was declared to be a vexatious litigant pursuant to s. 140 of the </w:t>
            </w:r>
            <w:r w:rsidRPr="00813401">
              <w:rPr>
                <w:i/>
                <w:sz w:val="20"/>
              </w:rPr>
              <w:t>Courts of Justice Act</w:t>
            </w:r>
            <w:r w:rsidRPr="00813401">
              <w:rPr>
                <w:sz w:val="20"/>
              </w:rPr>
              <w:t xml:space="preserve">, R.S.O. 1990, c. C-43, by the Ontario Superior Court of Justice: </w:t>
            </w:r>
            <w:r w:rsidRPr="00813401">
              <w:rPr>
                <w:i/>
                <w:sz w:val="20"/>
              </w:rPr>
              <w:t>Vermette v. Nassr</w:t>
            </w:r>
            <w:r w:rsidRPr="00813401">
              <w:rPr>
                <w:sz w:val="20"/>
              </w:rPr>
              <w:t>, 2015 ONSC 2450. Laurie Ann Vermette brought a motion for security for costs in respect of Mr. </w:t>
            </w:r>
            <w:proofErr w:type="spellStart"/>
            <w:r w:rsidRPr="00813401">
              <w:rPr>
                <w:sz w:val="20"/>
              </w:rPr>
              <w:t>Nassr’s</w:t>
            </w:r>
            <w:proofErr w:type="spellEnd"/>
            <w:r w:rsidRPr="00813401">
              <w:rPr>
                <w:sz w:val="20"/>
              </w:rPr>
              <w:t xml:space="preserve"> appeal of that order. The Ontario Court of Appeal granted Ms. </w:t>
            </w:r>
            <w:proofErr w:type="spellStart"/>
            <w:r w:rsidRPr="00813401">
              <w:rPr>
                <w:sz w:val="20"/>
              </w:rPr>
              <w:t>Vermette’s</w:t>
            </w:r>
            <w:proofErr w:type="spellEnd"/>
            <w:r w:rsidRPr="00813401">
              <w:rPr>
                <w:sz w:val="20"/>
              </w:rPr>
              <w:t xml:space="preserve"> motion and ordered Mr. Nassr to pay $25,000 into court within 15 days, failing which the Registrar could dismiss his appeal. Mr. Nassr failed to pay the security for costs and, on motion by Ms. Vermette, the appeal was dismissed accordingly by the Court of Appeal. Mr. Nassr seeks leave to appeal that order.</w:t>
            </w:r>
          </w:p>
          <w:p w:rsidR="00AD651B" w:rsidRPr="00813401" w:rsidRDefault="00AD651B" w:rsidP="00AD651B">
            <w:pPr>
              <w:jc w:val="both"/>
              <w:rPr>
                <w:sz w:val="20"/>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rPr>
            </w:pPr>
            <w:r w:rsidRPr="00813401">
              <w:rPr>
                <w:sz w:val="20"/>
              </w:rPr>
              <w:t>May 12, 2015</w:t>
            </w:r>
          </w:p>
          <w:p w:rsidR="00AD651B" w:rsidRPr="00813401" w:rsidRDefault="00AD651B" w:rsidP="00AD651B">
            <w:pPr>
              <w:jc w:val="both"/>
              <w:rPr>
                <w:sz w:val="20"/>
              </w:rPr>
            </w:pPr>
            <w:r w:rsidRPr="00813401">
              <w:rPr>
                <w:sz w:val="20"/>
              </w:rPr>
              <w:t>Ontario Superior Court of Justice</w:t>
            </w:r>
          </w:p>
          <w:p w:rsidR="00AD651B" w:rsidRPr="00813401" w:rsidRDefault="00AD651B" w:rsidP="00AD651B">
            <w:pPr>
              <w:jc w:val="both"/>
              <w:rPr>
                <w:sz w:val="20"/>
              </w:rPr>
            </w:pPr>
            <w:r w:rsidRPr="00813401">
              <w:rPr>
                <w:sz w:val="20"/>
              </w:rPr>
              <w:t>(Patterson J.)</w:t>
            </w:r>
          </w:p>
          <w:p w:rsidR="00AD651B" w:rsidRPr="00813401" w:rsidRDefault="00AD651B" w:rsidP="00AD651B">
            <w:pPr>
              <w:jc w:val="both"/>
              <w:rPr>
                <w:sz w:val="20"/>
              </w:rPr>
            </w:pPr>
            <w:r w:rsidRPr="00813401">
              <w:rPr>
                <w:sz w:val="20"/>
              </w:rPr>
              <w:t xml:space="preserve">2015 ONSC 2450 (unreported in </w:t>
            </w:r>
            <w:proofErr w:type="spellStart"/>
            <w:r w:rsidRPr="00813401">
              <w:rPr>
                <w:sz w:val="20"/>
              </w:rPr>
              <w:t>CanLII</w:t>
            </w:r>
            <w:proofErr w:type="spellEnd"/>
            <w:r w:rsidRPr="00813401">
              <w:rPr>
                <w:sz w:val="20"/>
              </w:rPr>
              <w:t>)</w:t>
            </w:r>
          </w:p>
          <w:p w:rsidR="00AD651B" w:rsidRPr="00813401" w:rsidRDefault="00AD651B" w:rsidP="00AD651B">
            <w:pPr>
              <w:jc w:val="both"/>
              <w:rPr>
                <w:sz w:val="20"/>
              </w:rPr>
            </w:pPr>
          </w:p>
        </w:tc>
        <w:tc>
          <w:tcPr>
            <w:tcW w:w="267" w:type="pct"/>
          </w:tcPr>
          <w:p w:rsidR="00AD651B" w:rsidRPr="00813401" w:rsidRDefault="00AD651B" w:rsidP="00AD651B">
            <w:pPr>
              <w:jc w:val="both"/>
              <w:rPr>
                <w:sz w:val="20"/>
              </w:rPr>
            </w:pPr>
          </w:p>
        </w:tc>
        <w:tc>
          <w:tcPr>
            <w:tcW w:w="2366" w:type="pct"/>
            <w:gridSpan w:val="2"/>
          </w:tcPr>
          <w:p w:rsidR="00AD651B" w:rsidRPr="00813401" w:rsidRDefault="00AD651B" w:rsidP="00AD651B">
            <w:pPr>
              <w:jc w:val="both"/>
              <w:rPr>
                <w:sz w:val="20"/>
              </w:rPr>
            </w:pPr>
            <w:r w:rsidRPr="00813401">
              <w:rPr>
                <w:sz w:val="20"/>
              </w:rPr>
              <w:t xml:space="preserve">Respondent’s application to declare the applicant a vexatious litigant pursuant to s. 140 of the Ontario </w:t>
            </w:r>
            <w:r w:rsidRPr="00813401">
              <w:rPr>
                <w:i/>
                <w:sz w:val="20"/>
              </w:rPr>
              <w:t>Courts of Justice Act</w:t>
            </w:r>
            <w:r w:rsidRPr="00813401">
              <w:rPr>
                <w:sz w:val="20"/>
              </w:rPr>
              <w:t xml:space="preserve">, granted. </w:t>
            </w: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rPr>
            </w:pPr>
            <w:r w:rsidRPr="00813401">
              <w:rPr>
                <w:sz w:val="20"/>
              </w:rPr>
              <w:t>September 16, 2015</w:t>
            </w:r>
          </w:p>
          <w:p w:rsidR="00AD651B" w:rsidRPr="00813401" w:rsidRDefault="00AD651B" w:rsidP="00AD651B">
            <w:pPr>
              <w:jc w:val="both"/>
              <w:rPr>
                <w:sz w:val="20"/>
              </w:rPr>
            </w:pPr>
            <w:r w:rsidRPr="00813401">
              <w:rPr>
                <w:sz w:val="20"/>
              </w:rPr>
              <w:t>Ontario Court of Appeal</w:t>
            </w:r>
          </w:p>
          <w:p w:rsidR="00AD651B" w:rsidRPr="00813401" w:rsidRDefault="00AD651B" w:rsidP="00AD651B">
            <w:pPr>
              <w:jc w:val="both"/>
              <w:rPr>
                <w:sz w:val="20"/>
              </w:rPr>
            </w:pPr>
            <w:r w:rsidRPr="00813401">
              <w:rPr>
                <w:sz w:val="20"/>
              </w:rPr>
              <w:t>(</w:t>
            </w:r>
            <w:proofErr w:type="spellStart"/>
            <w:r w:rsidRPr="00813401">
              <w:rPr>
                <w:sz w:val="20"/>
              </w:rPr>
              <w:t>Jurianz</w:t>
            </w:r>
            <w:proofErr w:type="spellEnd"/>
            <w:r w:rsidRPr="00813401">
              <w:rPr>
                <w:sz w:val="20"/>
              </w:rPr>
              <w:t xml:space="preserve"> J.A.)</w:t>
            </w:r>
          </w:p>
          <w:p w:rsidR="00AD651B" w:rsidRPr="00813401" w:rsidRDefault="00AD651B" w:rsidP="00AD651B">
            <w:pPr>
              <w:jc w:val="both"/>
              <w:rPr>
                <w:sz w:val="20"/>
              </w:rPr>
            </w:pPr>
            <w:r w:rsidRPr="00813401">
              <w:rPr>
                <w:sz w:val="20"/>
              </w:rPr>
              <w:t xml:space="preserve">Neutral citation: Unreported endorsement </w:t>
            </w:r>
          </w:p>
          <w:p w:rsidR="00AD651B" w:rsidRPr="00813401" w:rsidRDefault="00AD651B" w:rsidP="00AD651B">
            <w:pPr>
              <w:jc w:val="both"/>
              <w:rPr>
                <w:sz w:val="20"/>
              </w:rPr>
            </w:pPr>
          </w:p>
        </w:tc>
        <w:tc>
          <w:tcPr>
            <w:tcW w:w="267" w:type="pct"/>
          </w:tcPr>
          <w:p w:rsidR="00AD651B" w:rsidRPr="00813401" w:rsidRDefault="00AD651B" w:rsidP="00AD651B">
            <w:pPr>
              <w:jc w:val="both"/>
              <w:rPr>
                <w:sz w:val="20"/>
              </w:rPr>
            </w:pPr>
          </w:p>
        </w:tc>
        <w:tc>
          <w:tcPr>
            <w:tcW w:w="2366" w:type="pct"/>
            <w:gridSpan w:val="2"/>
          </w:tcPr>
          <w:p w:rsidR="00AD651B" w:rsidRPr="00813401" w:rsidRDefault="00AD651B" w:rsidP="00AD651B">
            <w:pPr>
              <w:jc w:val="both"/>
              <w:rPr>
                <w:sz w:val="20"/>
              </w:rPr>
            </w:pPr>
            <w:r w:rsidRPr="00813401">
              <w:rPr>
                <w:sz w:val="20"/>
              </w:rPr>
              <w:t>Respondent’s motion for an order for security for costs in respect of the applicant’s appeal, allowed; applicant’s cross-motion to strike portions of respondent’s materials, allowed in part.</w:t>
            </w:r>
          </w:p>
          <w:p w:rsidR="00AD651B" w:rsidRPr="00813401" w:rsidRDefault="00AD651B" w:rsidP="00AD651B">
            <w:pPr>
              <w:jc w:val="both"/>
              <w:rPr>
                <w:sz w:val="20"/>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rPr>
            </w:pPr>
            <w:r w:rsidRPr="00813401">
              <w:rPr>
                <w:sz w:val="20"/>
              </w:rPr>
              <w:t>July 13, 2016</w:t>
            </w:r>
          </w:p>
          <w:p w:rsidR="00AD651B" w:rsidRPr="00813401" w:rsidRDefault="00AD651B" w:rsidP="00AD651B">
            <w:pPr>
              <w:jc w:val="both"/>
              <w:rPr>
                <w:sz w:val="20"/>
              </w:rPr>
            </w:pPr>
            <w:r w:rsidRPr="00813401">
              <w:rPr>
                <w:sz w:val="20"/>
              </w:rPr>
              <w:t>Court of Appeal for Ontario</w:t>
            </w:r>
          </w:p>
          <w:p w:rsidR="00AD651B" w:rsidRPr="00813401" w:rsidRDefault="00AD651B" w:rsidP="00AD651B">
            <w:pPr>
              <w:jc w:val="both"/>
              <w:rPr>
                <w:sz w:val="20"/>
              </w:rPr>
            </w:pPr>
            <w:r w:rsidRPr="00813401">
              <w:rPr>
                <w:sz w:val="20"/>
              </w:rPr>
              <w:t>(</w:t>
            </w:r>
            <w:proofErr w:type="spellStart"/>
            <w:r w:rsidRPr="00813401">
              <w:rPr>
                <w:sz w:val="20"/>
              </w:rPr>
              <w:t>MacFarland</w:t>
            </w:r>
            <w:proofErr w:type="spellEnd"/>
            <w:r w:rsidRPr="00813401">
              <w:rPr>
                <w:sz w:val="20"/>
              </w:rPr>
              <w:t xml:space="preserve"> J.A.)</w:t>
            </w:r>
          </w:p>
          <w:p w:rsidR="00AD651B" w:rsidRPr="00813401" w:rsidRDefault="00AD651B" w:rsidP="00AD651B">
            <w:pPr>
              <w:jc w:val="both"/>
              <w:rPr>
                <w:sz w:val="20"/>
              </w:rPr>
            </w:pPr>
            <w:r w:rsidRPr="00813401">
              <w:rPr>
                <w:sz w:val="20"/>
              </w:rPr>
              <w:t>Neutral citation: Unreported endorsement</w:t>
            </w:r>
          </w:p>
          <w:p w:rsidR="00AD651B" w:rsidRPr="00813401" w:rsidRDefault="00AD651B" w:rsidP="00AD651B">
            <w:pPr>
              <w:jc w:val="both"/>
              <w:rPr>
                <w:sz w:val="20"/>
              </w:rPr>
            </w:pPr>
          </w:p>
        </w:tc>
        <w:tc>
          <w:tcPr>
            <w:tcW w:w="267" w:type="pct"/>
          </w:tcPr>
          <w:p w:rsidR="00AD651B" w:rsidRPr="00813401" w:rsidRDefault="00AD651B" w:rsidP="00AD651B">
            <w:pPr>
              <w:jc w:val="both"/>
              <w:rPr>
                <w:sz w:val="20"/>
              </w:rPr>
            </w:pPr>
          </w:p>
        </w:tc>
        <w:tc>
          <w:tcPr>
            <w:tcW w:w="2366" w:type="pct"/>
            <w:gridSpan w:val="2"/>
          </w:tcPr>
          <w:p w:rsidR="00AD651B" w:rsidRPr="00813401" w:rsidRDefault="00AD651B" w:rsidP="00AD651B">
            <w:pPr>
              <w:jc w:val="both"/>
              <w:rPr>
                <w:sz w:val="20"/>
              </w:rPr>
            </w:pPr>
            <w:r w:rsidRPr="00813401">
              <w:rPr>
                <w:sz w:val="20"/>
              </w:rPr>
              <w:t>Respondent’s motion for an order dismissing the applicant’s appeal for failure to comply with order for security for costs, allowed; appeal dismissed.</w:t>
            </w: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rPr>
            </w:pPr>
            <w:r w:rsidRPr="00813401">
              <w:rPr>
                <w:sz w:val="20"/>
              </w:rPr>
              <w:t>September 27, 2016</w:t>
            </w:r>
          </w:p>
          <w:p w:rsidR="00AD651B" w:rsidRPr="00813401" w:rsidRDefault="00AD651B" w:rsidP="00A60453">
            <w:pPr>
              <w:jc w:val="both"/>
              <w:rPr>
                <w:sz w:val="20"/>
              </w:rPr>
            </w:pPr>
            <w:r w:rsidRPr="00813401">
              <w:rPr>
                <w:sz w:val="20"/>
              </w:rPr>
              <w:t>Supreme Court of Canada</w:t>
            </w:r>
          </w:p>
        </w:tc>
        <w:tc>
          <w:tcPr>
            <w:tcW w:w="267" w:type="pct"/>
          </w:tcPr>
          <w:p w:rsidR="00AD651B" w:rsidRPr="00813401" w:rsidRDefault="00AD651B" w:rsidP="00AD651B">
            <w:pPr>
              <w:jc w:val="both"/>
              <w:rPr>
                <w:sz w:val="20"/>
              </w:rPr>
            </w:pPr>
          </w:p>
        </w:tc>
        <w:tc>
          <w:tcPr>
            <w:tcW w:w="2366" w:type="pct"/>
            <w:gridSpan w:val="2"/>
          </w:tcPr>
          <w:p w:rsidR="00AD651B" w:rsidRPr="00813401" w:rsidRDefault="00AD651B" w:rsidP="00AD651B">
            <w:pPr>
              <w:jc w:val="both"/>
              <w:rPr>
                <w:sz w:val="20"/>
              </w:rPr>
            </w:pPr>
            <w:r w:rsidRPr="00813401">
              <w:rPr>
                <w:sz w:val="20"/>
              </w:rPr>
              <w:t>Application for leave to appeal, filed.</w:t>
            </w:r>
          </w:p>
          <w:p w:rsidR="00AD651B" w:rsidRPr="00813401" w:rsidRDefault="00AD651B" w:rsidP="00AD651B">
            <w:pPr>
              <w:jc w:val="both"/>
              <w:rPr>
                <w:sz w:val="20"/>
              </w:rPr>
            </w:pPr>
          </w:p>
        </w:tc>
      </w:tr>
    </w:tbl>
    <w:p w:rsidR="00AD651B" w:rsidRPr="00813401" w:rsidRDefault="00AD651B" w:rsidP="00AD651B">
      <w:pPr>
        <w:jc w:val="both"/>
        <w:rPr>
          <w:sz w:val="20"/>
        </w:rPr>
      </w:pPr>
    </w:p>
    <w:p w:rsidR="00A60453" w:rsidRPr="00813401" w:rsidRDefault="00A60453" w:rsidP="00AD651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D651B" w:rsidRPr="00813401" w:rsidTr="00AD651B">
        <w:trPr>
          <w:gridAfter w:val="1"/>
          <w:wAfter w:w="48" w:type="pct"/>
        </w:trPr>
        <w:tc>
          <w:tcPr>
            <w:tcW w:w="538" w:type="pct"/>
          </w:tcPr>
          <w:p w:rsidR="00AD651B" w:rsidRPr="00813401" w:rsidRDefault="00AD651B" w:rsidP="00AD651B">
            <w:pPr>
              <w:jc w:val="both"/>
              <w:rPr>
                <w:sz w:val="20"/>
                <w:lang w:val="fr-CA"/>
              </w:rPr>
            </w:pPr>
            <w:r w:rsidRPr="00813401">
              <w:rPr>
                <w:rStyle w:val="SCCFileNumberChar"/>
                <w:sz w:val="20"/>
                <w:szCs w:val="20"/>
                <w:lang w:val="fr-CA"/>
              </w:rPr>
              <w:t>37232</w:t>
            </w:r>
          </w:p>
        </w:tc>
        <w:tc>
          <w:tcPr>
            <w:tcW w:w="4414" w:type="pct"/>
            <w:gridSpan w:val="3"/>
          </w:tcPr>
          <w:p w:rsidR="00AD651B" w:rsidRPr="00813401" w:rsidRDefault="00AD651B" w:rsidP="00AD651B">
            <w:pPr>
              <w:pStyle w:val="SCCLsocParty"/>
              <w:jc w:val="both"/>
              <w:rPr>
                <w:b/>
                <w:sz w:val="20"/>
                <w:szCs w:val="20"/>
              </w:rPr>
            </w:pPr>
            <w:r w:rsidRPr="00813401">
              <w:rPr>
                <w:b/>
                <w:sz w:val="20"/>
                <w:szCs w:val="20"/>
              </w:rPr>
              <w:t>Jason Donald Nassr c. Laurie Ann Vermette</w:t>
            </w:r>
          </w:p>
          <w:p w:rsidR="00AD651B" w:rsidRPr="00813401" w:rsidRDefault="00AD651B" w:rsidP="00AD651B">
            <w:pPr>
              <w:jc w:val="both"/>
              <w:rPr>
                <w:sz w:val="20"/>
                <w:lang w:val="fr-CA"/>
              </w:rPr>
            </w:pPr>
            <w:r w:rsidRPr="00813401">
              <w:rPr>
                <w:sz w:val="20"/>
                <w:lang w:val="fr-CA"/>
              </w:rPr>
              <w:t>(Ont.) (Civile) (Sur autorisation)</w:t>
            </w:r>
          </w:p>
        </w:tc>
      </w:tr>
      <w:tr w:rsidR="00AD651B" w:rsidRPr="00813401" w:rsidTr="00AD651B">
        <w:trPr>
          <w:gridAfter w:val="1"/>
          <w:wAfter w:w="48" w:type="pct"/>
        </w:trPr>
        <w:tc>
          <w:tcPr>
            <w:tcW w:w="4952" w:type="pct"/>
            <w:gridSpan w:val="4"/>
          </w:tcPr>
          <w:p w:rsidR="00AD651B" w:rsidRPr="00813401" w:rsidRDefault="00AD651B" w:rsidP="00AD651B">
            <w:pPr>
              <w:jc w:val="both"/>
              <w:rPr>
                <w:sz w:val="20"/>
                <w:lang w:val="fr-CA"/>
              </w:rPr>
            </w:pPr>
            <w:r w:rsidRPr="00813401">
              <w:rPr>
                <w:sz w:val="20"/>
                <w:lang w:val="fr-CA"/>
              </w:rPr>
              <w:t xml:space="preserve">Procédure civile – Dépens – Cautionnement pour dépens – Procédures visant à faire déclarer que le plaideur a agi de manière vexatoire – La juridiction inférieure a-t-elle commis une erreur de droit en rejetant la requête du demandeur visant à ce qu’il soit dispensé de l’observation d’une règle aux termes des </w:t>
            </w:r>
            <w:r w:rsidRPr="00813401">
              <w:rPr>
                <w:i/>
                <w:sz w:val="20"/>
                <w:lang w:val="fr-CA"/>
              </w:rPr>
              <w:t>Règles de procédure civile</w:t>
            </w:r>
            <w:r w:rsidRPr="00813401">
              <w:rPr>
                <w:sz w:val="20"/>
                <w:lang w:val="fr-CA"/>
              </w:rPr>
              <w:t>? – La juridiction inférieure a-t-elle commis une erreur de droit en n’appliquant pas correctement le critère relatif au cautionnement pour dépens?</w:t>
            </w:r>
          </w:p>
          <w:p w:rsidR="00A60453" w:rsidRPr="00813401" w:rsidRDefault="00A60453" w:rsidP="00AD651B">
            <w:pPr>
              <w:jc w:val="both"/>
              <w:rPr>
                <w:sz w:val="20"/>
                <w:lang w:val="fr-CA"/>
              </w:rPr>
            </w:pPr>
          </w:p>
        </w:tc>
      </w:tr>
      <w:tr w:rsidR="00AD651B" w:rsidRPr="00813401" w:rsidTr="00AD651B">
        <w:trPr>
          <w:gridAfter w:val="1"/>
          <w:wAfter w:w="48" w:type="pct"/>
        </w:trPr>
        <w:tc>
          <w:tcPr>
            <w:tcW w:w="4952" w:type="pct"/>
            <w:gridSpan w:val="4"/>
          </w:tcPr>
          <w:p w:rsidR="00AD651B" w:rsidRPr="00813401" w:rsidRDefault="00AD651B" w:rsidP="00AD651B">
            <w:pPr>
              <w:jc w:val="both"/>
              <w:rPr>
                <w:sz w:val="20"/>
                <w:lang w:val="fr-CA"/>
              </w:rPr>
            </w:pPr>
            <w:r w:rsidRPr="00813401">
              <w:rPr>
                <w:sz w:val="20"/>
                <w:lang w:val="fr-CA"/>
              </w:rPr>
              <w:t xml:space="preserve">Le demandeur et l’intimée sont </w:t>
            </w:r>
            <w:proofErr w:type="gramStart"/>
            <w:r w:rsidRPr="00813401">
              <w:rPr>
                <w:sz w:val="20"/>
                <w:lang w:val="fr-CA"/>
              </w:rPr>
              <w:t>parties</w:t>
            </w:r>
            <w:proofErr w:type="gramEnd"/>
            <w:r w:rsidRPr="00813401">
              <w:rPr>
                <w:sz w:val="20"/>
                <w:lang w:val="fr-CA"/>
              </w:rPr>
              <w:t xml:space="preserve"> à un litige en matière familiale depuis 2009. À la suite de nombreuses procédures, la Cour supérieure de justice de l’Ontario a déclaré, aux termes de l’art. 140 de la </w:t>
            </w:r>
            <w:r w:rsidRPr="00813401">
              <w:rPr>
                <w:i/>
                <w:sz w:val="20"/>
                <w:lang w:val="fr-CA"/>
              </w:rPr>
              <w:t>Loi sur les tribunaux judiciaires</w:t>
            </w:r>
            <w:r w:rsidRPr="00813401">
              <w:rPr>
                <w:sz w:val="20"/>
                <w:lang w:val="fr-CA"/>
              </w:rPr>
              <w:t xml:space="preserve">, L.R.O. 1990, c. C-43, que M. Nassr avait agi de manière vexatoire : </w:t>
            </w:r>
            <w:r w:rsidRPr="00813401">
              <w:rPr>
                <w:i/>
                <w:sz w:val="20"/>
                <w:lang w:val="fr-CA"/>
              </w:rPr>
              <w:t>Vermette c. Nassr</w:t>
            </w:r>
            <w:r w:rsidRPr="00813401">
              <w:rPr>
                <w:sz w:val="20"/>
                <w:lang w:val="fr-CA"/>
              </w:rPr>
              <w:t>, 2015 ONSC 2450. Laurie Ann Vermette a présenté une demande de cautionnement pour dépens relativement à l’appel de M. Nassr à l’encontre de cette ordonnance. La Cour d’appel de l’Ontario a accueilli la demande de Mme Vermette et a ordonné à M. Nassr de payer 25 000 $ au tribunal dans un délai de 15 jours, à défaut de quoi le registraire pouvait rejeter son appel. M. Nassr n’a pas payé le cautionnement pour dépens, et, sur requête de Mme Vermette, la Cour d’appel a rejeté l’appel. M. Nassr sollicite l’autorisation d’interjeter appel de cette ordonnance.</w:t>
            </w:r>
          </w:p>
          <w:p w:rsidR="00AD651B" w:rsidRPr="00813401" w:rsidRDefault="00AD651B" w:rsidP="00AD651B">
            <w:pPr>
              <w:jc w:val="both"/>
              <w:rPr>
                <w:sz w:val="20"/>
                <w:lang w:val="fr-CA"/>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lang w:val="fr-CA"/>
              </w:rPr>
            </w:pPr>
            <w:r w:rsidRPr="00813401">
              <w:rPr>
                <w:sz w:val="20"/>
                <w:lang w:val="fr-CA"/>
              </w:rPr>
              <w:t>12 mai 2015</w:t>
            </w:r>
          </w:p>
          <w:p w:rsidR="00AD651B" w:rsidRPr="00813401" w:rsidRDefault="00AD651B" w:rsidP="00AD651B">
            <w:pPr>
              <w:jc w:val="both"/>
              <w:rPr>
                <w:sz w:val="20"/>
                <w:lang w:val="fr-CA"/>
              </w:rPr>
            </w:pPr>
            <w:r w:rsidRPr="00813401">
              <w:rPr>
                <w:sz w:val="20"/>
                <w:lang w:val="fr-CA"/>
              </w:rPr>
              <w:t xml:space="preserve">Cour supérieure de justice de l’Ontario </w:t>
            </w:r>
          </w:p>
          <w:p w:rsidR="00AD651B" w:rsidRPr="00813401" w:rsidRDefault="00AD651B" w:rsidP="00AD651B">
            <w:pPr>
              <w:jc w:val="both"/>
              <w:rPr>
                <w:sz w:val="20"/>
                <w:lang w:val="fr-CA"/>
              </w:rPr>
            </w:pPr>
            <w:r w:rsidRPr="00813401">
              <w:rPr>
                <w:sz w:val="20"/>
                <w:lang w:val="fr-CA"/>
              </w:rPr>
              <w:t>(juge Patterson)</w:t>
            </w:r>
          </w:p>
          <w:p w:rsidR="00AD651B" w:rsidRPr="00813401" w:rsidRDefault="00AD651B" w:rsidP="00AD651B">
            <w:pPr>
              <w:jc w:val="both"/>
              <w:rPr>
                <w:sz w:val="20"/>
                <w:lang w:val="fr-CA"/>
              </w:rPr>
            </w:pPr>
            <w:r w:rsidRPr="00813401">
              <w:rPr>
                <w:sz w:val="20"/>
                <w:lang w:val="fr-CA"/>
              </w:rPr>
              <w:t xml:space="preserve">2015 ONSC 2450 (non publiée dans </w:t>
            </w:r>
            <w:proofErr w:type="spellStart"/>
            <w:r w:rsidRPr="00813401">
              <w:rPr>
                <w:sz w:val="20"/>
                <w:lang w:val="fr-CA"/>
              </w:rPr>
              <w:t>CanLII</w:t>
            </w:r>
            <w:proofErr w:type="spellEnd"/>
            <w:r w:rsidRPr="00813401">
              <w:rPr>
                <w:sz w:val="20"/>
                <w:lang w:val="fr-CA"/>
              </w:rPr>
              <w:t>)</w:t>
            </w:r>
          </w:p>
          <w:p w:rsidR="00AD651B" w:rsidRPr="00813401" w:rsidRDefault="00AD651B" w:rsidP="00AD651B">
            <w:pPr>
              <w:jc w:val="both"/>
              <w:rPr>
                <w:sz w:val="20"/>
                <w:lang w:val="fr-CA"/>
              </w:rPr>
            </w:pPr>
          </w:p>
        </w:tc>
        <w:tc>
          <w:tcPr>
            <w:tcW w:w="267" w:type="pct"/>
          </w:tcPr>
          <w:p w:rsidR="00AD651B" w:rsidRPr="00813401" w:rsidRDefault="00AD651B" w:rsidP="00AD651B">
            <w:pPr>
              <w:jc w:val="both"/>
              <w:rPr>
                <w:sz w:val="20"/>
                <w:lang w:val="fr-CA"/>
              </w:rPr>
            </w:pPr>
          </w:p>
        </w:tc>
        <w:tc>
          <w:tcPr>
            <w:tcW w:w="2366" w:type="pct"/>
            <w:gridSpan w:val="2"/>
          </w:tcPr>
          <w:p w:rsidR="00AD651B" w:rsidRPr="00813401" w:rsidRDefault="00AD651B" w:rsidP="00AD651B">
            <w:pPr>
              <w:jc w:val="both"/>
              <w:rPr>
                <w:sz w:val="20"/>
                <w:lang w:val="fr-CA"/>
              </w:rPr>
            </w:pPr>
            <w:r w:rsidRPr="00813401">
              <w:rPr>
                <w:sz w:val="20"/>
                <w:lang w:val="fr-CA"/>
              </w:rPr>
              <w:t xml:space="preserve">Demande de l’intimée visant à faire déclarer, aux termes de l’art. 140 de la </w:t>
            </w:r>
            <w:r w:rsidRPr="00813401">
              <w:rPr>
                <w:i/>
                <w:sz w:val="20"/>
                <w:lang w:val="fr-CA"/>
              </w:rPr>
              <w:t>Loi sur les tribunaux judiciaires</w:t>
            </w:r>
            <w:r w:rsidRPr="00813401">
              <w:rPr>
                <w:sz w:val="20"/>
                <w:lang w:val="fr-CA"/>
              </w:rPr>
              <w:t xml:space="preserve"> de l’Ontario, que le demandeur a agi de manière vexatoire, accueillie.</w:t>
            </w:r>
          </w:p>
          <w:p w:rsidR="00AD651B" w:rsidRPr="00813401" w:rsidRDefault="00AD651B" w:rsidP="00AD651B">
            <w:pPr>
              <w:jc w:val="both"/>
              <w:rPr>
                <w:sz w:val="20"/>
                <w:lang w:val="fr-CA"/>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lang w:val="fr-CA"/>
              </w:rPr>
            </w:pPr>
            <w:r w:rsidRPr="00813401">
              <w:rPr>
                <w:sz w:val="20"/>
                <w:lang w:val="fr-CA"/>
              </w:rPr>
              <w:lastRenderedPageBreak/>
              <w:t>16 septembre 2015</w:t>
            </w:r>
          </w:p>
          <w:p w:rsidR="00AD651B" w:rsidRPr="00813401" w:rsidRDefault="00AD651B" w:rsidP="00AD651B">
            <w:pPr>
              <w:jc w:val="both"/>
              <w:rPr>
                <w:sz w:val="20"/>
                <w:lang w:val="fr-CA"/>
              </w:rPr>
            </w:pPr>
            <w:r w:rsidRPr="00813401">
              <w:rPr>
                <w:sz w:val="20"/>
                <w:lang w:val="fr-CA"/>
              </w:rPr>
              <w:t xml:space="preserve">Cour d’appel de l’Ontario </w:t>
            </w:r>
          </w:p>
          <w:p w:rsidR="00AD651B" w:rsidRPr="00813401" w:rsidRDefault="00AD651B" w:rsidP="00AD651B">
            <w:pPr>
              <w:jc w:val="both"/>
              <w:rPr>
                <w:sz w:val="20"/>
                <w:lang w:val="fr-CA"/>
              </w:rPr>
            </w:pPr>
            <w:r w:rsidRPr="00813401">
              <w:rPr>
                <w:sz w:val="20"/>
                <w:lang w:val="fr-CA"/>
              </w:rPr>
              <w:t xml:space="preserve">(juge </w:t>
            </w:r>
            <w:proofErr w:type="spellStart"/>
            <w:r w:rsidRPr="00813401">
              <w:rPr>
                <w:sz w:val="20"/>
                <w:lang w:val="fr-CA"/>
              </w:rPr>
              <w:t>Jurianz</w:t>
            </w:r>
            <w:proofErr w:type="spellEnd"/>
            <w:r w:rsidRPr="00813401">
              <w:rPr>
                <w:sz w:val="20"/>
                <w:lang w:val="fr-CA"/>
              </w:rPr>
              <w:t>)</w:t>
            </w:r>
          </w:p>
          <w:p w:rsidR="00AD651B" w:rsidRPr="00813401" w:rsidRDefault="00AD651B" w:rsidP="00A60453">
            <w:pPr>
              <w:jc w:val="both"/>
              <w:rPr>
                <w:sz w:val="20"/>
                <w:lang w:val="fr-CA"/>
              </w:rPr>
            </w:pPr>
            <w:r w:rsidRPr="00813401">
              <w:rPr>
                <w:sz w:val="20"/>
                <w:lang w:val="fr-CA"/>
              </w:rPr>
              <w:t>Référence neutre : Jugement manuscrit inédit</w:t>
            </w:r>
          </w:p>
        </w:tc>
        <w:tc>
          <w:tcPr>
            <w:tcW w:w="267" w:type="pct"/>
          </w:tcPr>
          <w:p w:rsidR="00AD651B" w:rsidRPr="00813401" w:rsidRDefault="00AD651B" w:rsidP="00AD651B">
            <w:pPr>
              <w:jc w:val="both"/>
              <w:rPr>
                <w:sz w:val="20"/>
                <w:lang w:val="fr-CA"/>
              </w:rPr>
            </w:pPr>
          </w:p>
        </w:tc>
        <w:tc>
          <w:tcPr>
            <w:tcW w:w="2366" w:type="pct"/>
            <w:gridSpan w:val="2"/>
          </w:tcPr>
          <w:p w:rsidR="00AD651B" w:rsidRPr="00813401" w:rsidRDefault="00AD651B" w:rsidP="00AD651B">
            <w:pPr>
              <w:jc w:val="both"/>
              <w:rPr>
                <w:sz w:val="20"/>
                <w:lang w:val="fr-CA"/>
              </w:rPr>
            </w:pPr>
            <w:r w:rsidRPr="00813401">
              <w:rPr>
                <w:sz w:val="20"/>
                <w:lang w:val="fr-CA"/>
              </w:rPr>
              <w:t>Demande de cautionnement pour dépens présentée par l’intimée relativement à l’appel interjeté par le demandeur, accueillie; demande incidente du demandeur visant à faire radier certaines parties des documents de l’intimée, accueillie en partie.</w:t>
            </w:r>
          </w:p>
          <w:p w:rsidR="00AD651B" w:rsidRPr="00813401" w:rsidRDefault="00AD651B" w:rsidP="00AD651B">
            <w:pPr>
              <w:jc w:val="both"/>
              <w:rPr>
                <w:sz w:val="20"/>
                <w:lang w:val="fr-CA"/>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lang w:val="fr-CA"/>
              </w:rPr>
            </w:pPr>
            <w:r w:rsidRPr="00813401">
              <w:rPr>
                <w:sz w:val="20"/>
                <w:lang w:val="fr-CA"/>
              </w:rPr>
              <w:t>13 juillet 2016</w:t>
            </w:r>
          </w:p>
          <w:p w:rsidR="00AD651B" w:rsidRPr="00813401" w:rsidRDefault="00AD651B" w:rsidP="00AD651B">
            <w:pPr>
              <w:jc w:val="both"/>
              <w:rPr>
                <w:sz w:val="20"/>
                <w:lang w:val="fr-CA"/>
              </w:rPr>
            </w:pPr>
            <w:r w:rsidRPr="00813401">
              <w:rPr>
                <w:sz w:val="20"/>
                <w:lang w:val="fr-CA"/>
              </w:rPr>
              <w:t>Cour d’appel de l’Ontario</w:t>
            </w:r>
          </w:p>
          <w:p w:rsidR="00AD651B" w:rsidRPr="00813401" w:rsidRDefault="00AD651B" w:rsidP="00AD651B">
            <w:pPr>
              <w:jc w:val="both"/>
              <w:rPr>
                <w:sz w:val="20"/>
                <w:lang w:val="fr-CA"/>
              </w:rPr>
            </w:pPr>
            <w:r w:rsidRPr="00813401">
              <w:rPr>
                <w:sz w:val="20"/>
                <w:lang w:val="fr-CA"/>
              </w:rPr>
              <w:t xml:space="preserve">(juge </w:t>
            </w:r>
            <w:proofErr w:type="spellStart"/>
            <w:r w:rsidRPr="00813401">
              <w:rPr>
                <w:sz w:val="20"/>
                <w:lang w:val="fr-CA"/>
              </w:rPr>
              <w:t>MacFarland</w:t>
            </w:r>
            <w:proofErr w:type="spellEnd"/>
            <w:r w:rsidRPr="00813401">
              <w:rPr>
                <w:sz w:val="20"/>
                <w:lang w:val="fr-CA"/>
              </w:rPr>
              <w:t>)</w:t>
            </w:r>
          </w:p>
          <w:p w:rsidR="00AD651B" w:rsidRPr="00813401" w:rsidRDefault="00AD651B" w:rsidP="00AD651B">
            <w:pPr>
              <w:jc w:val="both"/>
              <w:rPr>
                <w:sz w:val="20"/>
                <w:lang w:val="fr-CA"/>
              </w:rPr>
            </w:pPr>
            <w:r w:rsidRPr="00813401">
              <w:rPr>
                <w:sz w:val="20"/>
                <w:lang w:val="fr-CA"/>
              </w:rPr>
              <w:t>Référence neutre : Jugement manuscrit inédit</w:t>
            </w:r>
          </w:p>
          <w:p w:rsidR="00AD651B" w:rsidRPr="00813401" w:rsidRDefault="00AD651B" w:rsidP="00AD651B">
            <w:pPr>
              <w:jc w:val="both"/>
              <w:rPr>
                <w:sz w:val="20"/>
                <w:lang w:val="fr-CA"/>
              </w:rPr>
            </w:pPr>
          </w:p>
        </w:tc>
        <w:tc>
          <w:tcPr>
            <w:tcW w:w="267" w:type="pct"/>
          </w:tcPr>
          <w:p w:rsidR="00AD651B" w:rsidRPr="00813401" w:rsidRDefault="00AD651B" w:rsidP="00AD651B">
            <w:pPr>
              <w:jc w:val="both"/>
              <w:rPr>
                <w:sz w:val="20"/>
                <w:lang w:val="fr-CA"/>
              </w:rPr>
            </w:pPr>
          </w:p>
        </w:tc>
        <w:tc>
          <w:tcPr>
            <w:tcW w:w="2366" w:type="pct"/>
            <w:gridSpan w:val="2"/>
          </w:tcPr>
          <w:p w:rsidR="00AD651B" w:rsidRPr="00813401" w:rsidRDefault="00AD651B" w:rsidP="00AD651B">
            <w:pPr>
              <w:jc w:val="both"/>
              <w:rPr>
                <w:sz w:val="20"/>
                <w:lang w:val="fr-CA"/>
              </w:rPr>
            </w:pPr>
            <w:r w:rsidRPr="00813401">
              <w:rPr>
                <w:sz w:val="20"/>
                <w:lang w:val="fr-CA"/>
              </w:rPr>
              <w:t>Demande de l’intimée visant à obtenir une ordonnance rejetant l’appel du demandeur pour défaut de se conformer à l’ordonnance de cautionnement pour dépens, accueillie; appel rejeté.</w:t>
            </w:r>
          </w:p>
          <w:p w:rsidR="00AD651B" w:rsidRPr="00813401" w:rsidRDefault="00AD651B" w:rsidP="00AD651B">
            <w:pPr>
              <w:jc w:val="both"/>
              <w:rPr>
                <w:sz w:val="20"/>
                <w:lang w:val="fr-CA"/>
              </w:rPr>
            </w:pPr>
          </w:p>
        </w:tc>
      </w:tr>
      <w:tr w:rsidR="00AD651B" w:rsidRPr="00813401" w:rsidTr="00AD651B">
        <w:tblPrEx>
          <w:tblCellMar>
            <w:bottom w:w="0" w:type="dxa"/>
          </w:tblCellMar>
        </w:tblPrEx>
        <w:tc>
          <w:tcPr>
            <w:tcW w:w="2367" w:type="pct"/>
            <w:gridSpan w:val="2"/>
          </w:tcPr>
          <w:p w:rsidR="00AD651B" w:rsidRPr="00813401" w:rsidRDefault="00AD651B" w:rsidP="00AD651B">
            <w:pPr>
              <w:jc w:val="both"/>
              <w:rPr>
                <w:sz w:val="20"/>
                <w:lang w:val="fr-CA"/>
              </w:rPr>
            </w:pPr>
            <w:r w:rsidRPr="00813401">
              <w:rPr>
                <w:sz w:val="20"/>
                <w:lang w:val="fr-CA"/>
              </w:rPr>
              <w:t>27 septembre 2016</w:t>
            </w:r>
          </w:p>
          <w:p w:rsidR="00AD651B" w:rsidRPr="00813401" w:rsidRDefault="00AD651B" w:rsidP="00A60453">
            <w:pPr>
              <w:jc w:val="both"/>
              <w:rPr>
                <w:sz w:val="20"/>
                <w:lang w:val="fr-CA"/>
              </w:rPr>
            </w:pPr>
            <w:r w:rsidRPr="00813401">
              <w:rPr>
                <w:sz w:val="20"/>
                <w:lang w:val="fr-CA"/>
              </w:rPr>
              <w:t>Cour suprême du Canada</w:t>
            </w:r>
          </w:p>
        </w:tc>
        <w:tc>
          <w:tcPr>
            <w:tcW w:w="267" w:type="pct"/>
          </w:tcPr>
          <w:p w:rsidR="00AD651B" w:rsidRPr="00813401" w:rsidRDefault="00AD651B" w:rsidP="00AD651B">
            <w:pPr>
              <w:jc w:val="both"/>
              <w:rPr>
                <w:sz w:val="20"/>
                <w:lang w:val="fr-CA"/>
              </w:rPr>
            </w:pPr>
          </w:p>
        </w:tc>
        <w:tc>
          <w:tcPr>
            <w:tcW w:w="2366" w:type="pct"/>
            <w:gridSpan w:val="2"/>
          </w:tcPr>
          <w:p w:rsidR="00AD651B" w:rsidRPr="00813401" w:rsidRDefault="00AD651B" w:rsidP="00AD651B">
            <w:pPr>
              <w:jc w:val="both"/>
              <w:rPr>
                <w:sz w:val="20"/>
                <w:lang w:val="fr-CA"/>
              </w:rPr>
            </w:pPr>
            <w:r w:rsidRPr="00813401">
              <w:rPr>
                <w:sz w:val="20"/>
                <w:lang w:val="fr-CA"/>
              </w:rPr>
              <w:t>Demande d’autorisation d’appel, déposée.</w:t>
            </w:r>
          </w:p>
          <w:p w:rsidR="00AD651B" w:rsidRPr="00813401" w:rsidRDefault="00AD651B" w:rsidP="00AD651B">
            <w:pPr>
              <w:jc w:val="both"/>
              <w:rPr>
                <w:sz w:val="20"/>
                <w:lang w:val="fr-CA"/>
              </w:rPr>
            </w:pPr>
          </w:p>
        </w:tc>
      </w:tr>
    </w:tbl>
    <w:p w:rsidR="00AD651B" w:rsidRPr="00813401" w:rsidRDefault="00AD651B" w:rsidP="00AD651B">
      <w:pPr>
        <w:jc w:val="both"/>
        <w:rPr>
          <w:sz w:val="20"/>
          <w:lang w:val="fr-CA"/>
        </w:rPr>
      </w:pPr>
    </w:p>
    <w:p w:rsidR="00AD651B" w:rsidRPr="00813401" w:rsidRDefault="00AD651B" w:rsidP="00AD651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806"/>
        <w:gridCol w:w="3428"/>
        <w:gridCol w:w="442"/>
        <w:gridCol w:w="4684"/>
      </w:tblGrid>
      <w:tr w:rsidR="00AD651B" w:rsidRPr="00813401" w:rsidTr="00A60453">
        <w:tc>
          <w:tcPr>
            <w:tcW w:w="431" w:type="pct"/>
          </w:tcPr>
          <w:p w:rsidR="00AD651B" w:rsidRPr="00813401" w:rsidRDefault="00AD651B" w:rsidP="00AD651B">
            <w:pPr>
              <w:jc w:val="both"/>
              <w:rPr>
                <w:sz w:val="20"/>
              </w:rPr>
            </w:pPr>
            <w:r w:rsidRPr="00813401">
              <w:rPr>
                <w:rStyle w:val="SCCFileNumberChar"/>
                <w:sz w:val="20"/>
                <w:szCs w:val="20"/>
              </w:rPr>
              <w:t>37214</w:t>
            </w:r>
          </w:p>
        </w:tc>
        <w:tc>
          <w:tcPr>
            <w:tcW w:w="4569" w:type="pct"/>
            <w:gridSpan w:val="3"/>
          </w:tcPr>
          <w:p w:rsidR="00AD651B" w:rsidRPr="00813401" w:rsidRDefault="00AD651B" w:rsidP="00AD651B">
            <w:pPr>
              <w:pStyle w:val="SCCLsocParty"/>
              <w:jc w:val="both"/>
              <w:rPr>
                <w:b/>
                <w:sz w:val="20"/>
                <w:szCs w:val="20"/>
                <w:lang w:val="en-US"/>
              </w:rPr>
            </w:pPr>
            <w:r w:rsidRPr="00813401">
              <w:rPr>
                <w:b/>
                <w:sz w:val="20"/>
                <w:szCs w:val="20"/>
                <w:lang w:val="en-US"/>
              </w:rPr>
              <w:t>Erik Reid v. Her Majesty the Queen</w:t>
            </w:r>
          </w:p>
          <w:p w:rsidR="00AD651B" w:rsidRPr="00813401" w:rsidRDefault="00AD651B" w:rsidP="00AD651B">
            <w:pPr>
              <w:jc w:val="both"/>
              <w:rPr>
                <w:sz w:val="20"/>
              </w:rPr>
            </w:pPr>
            <w:r w:rsidRPr="00813401">
              <w:rPr>
                <w:sz w:val="20"/>
              </w:rPr>
              <w:t>(Ont.) (Criminal) (By Leave)</w:t>
            </w:r>
          </w:p>
        </w:tc>
      </w:tr>
      <w:tr w:rsidR="00AD651B" w:rsidRPr="00813401" w:rsidTr="00A60453">
        <w:tc>
          <w:tcPr>
            <w:tcW w:w="5000" w:type="pct"/>
            <w:gridSpan w:val="4"/>
          </w:tcPr>
          <w:p w:rsidR="00AD651B" w:rsidRPr="00813401" w:rsidRDefault="00AD651B" w:rsidP="00AD651B">
            <w:pPr>
              <w:jc w:val="both"/>
              <w:rPr>
                <w:sz w:val="20"/>
              </w:rPr>
            </w:pPr>
            <w:r w:rsidRPr="00813401">
              <w:rPr>
                <w:i/>
                <w:sz w:val="20"/>
              </w:rPr>
              <w:t>Charter</w:t>
            </w:r>
            <w:r w:rsidRPr="00813401">
              <w:rPr>
                <w:sz w:val="20"/>
              </w:rPr>
              <w:t xml:space="preserve"> — Criminal law — Evidence — Privilege — Informants — Applicant charged after police executed search warrant for storage locker and found numerous stolen handguns — Applicant argued storage locker search was unlawful — Information to obtain warrant was provided by confidential informant and was redacted — Crown had provided applicant summary of redacted information, which trial judge found to be adequate — Whether summary of redacted information struck appropriate balance between right to make full answer and </w:t>
            </w:r>
            <w:proofErr w:type="spellStart"/>
            <w:r w:rsidRPr="00813401">
              <w:rPr>
                <w:sz w:val="20"/>
              </w:rPr>
              <w:t>defence</w:t>
            </w:r>
            <w:proofErr w:type="spellEnd"/>
            <w:r w:rsidRPr="00813401">
              <w:rPr>
                <w:sz w:val="20"/>
              </w:rPr>
              <w:t xml:space="preserve"> and preservation of informant privilege — Whether applicant entitled to challenge for first time on appeal constitutional validity of step six of procedure set out by this Court in </w:t>
            </w:r>
            <w:r w:rsidRPr="00813401">
              <w:rPr>
                <w:i/>
                <w:sz w:val="20"/>
              </w:rPr>
              <w:t>R. v.</w:t>
            </w:r>
            <w:r w:rsidRPr="00813401">
              <w:rPr>
                <w:sz w:val="20"/>
              </w:rPr>
              <w:t xml:space="preserve"> </w:t>
            </w:r>
            <w:proofErr w:type="spellStart"/>
            <w:r w:rsidRPr="00813401">
              <w:rPr>
                <w:i/>
                <w:sz w:val="20"/>
              </w:rPr>
              <w:t>Garofoli</w:t>
            </w:r>
            <w:proofErr w:type="spellEnd"/>
            <w:r w:rsidRPr="00813401">
              <w:rPr>
                <w:sz w:val="20"/>
              </w:rPr>
              <w:t xml:space="preserve">, [1990] 2 S.C.R. 1421, by which trial judge is provided </w:t>
            </w:r>
            <w:proofErr w:type="spellStart"/>
            <w:r w:rsidRPr="00813401">
              <w:rPr>
                <w:sz w:val="20"/>
              </w:rPr>
              <w:t>unredacted</w:t>
            </w:r>
            <w:proofErr w:type="spellEnd"/>
            <w:r w:rsidRPr="00813401">
              <w:rPr>
                <w:sz w:val="20"/>
              </w:rPr>
              <w:t xml:space="preserve"> information and applicant provided summary thereof.</w:t>
            </w:r>
          </w:p>
        </w:tc>
      </w:tr>
      <w:tr w:rsidR="00AD651B" w:rsidRPr="00813401" w:rsidTr="00A60453">
        <w:tc>
          <w:tcPr>
            <w:tcW w:w="5000" w:type="pct"/>
            <w:gridSpan w:val="4"/>
          </w:tcPr>
          <w:p w:rsidR="00AD651B" w:rsidRPr="00813401" w:rsidRDefault="00AD651B" w:rsidP="00AD651B">
            <w:pPr>
              <w:jc w:val="both"/>
              <w:rPr>
                <w:sz w:val="20"/>
              </w:rPr>
            </w:pPr>
          </w:p>
        </w:tc>
      </w:tr>
      <w:tr w:rsidR="00AD651B" w:rsidRPr="00813401" w:rsidTr="00A60453">
        <w:tc>
          <w:tcPr>
            <w:tcW w:w="5000" w:type="pct"/>
            <w:gridSpan w:val="4"/>
          </w:tcPr>
          <w:p w:rsidR="00AD651B" w:rsidRPr="00813401" w:rsidRDefault="00AD651B" w:rsidP="00AD651B">
            <w:pPr>
              <w:jc w:val="both"/>
              <w:rPr>
                <w:sz w:val="20"/>
              </w:rPr>
            </w:pPr>
            <w:r w:rsidRPr="00813401">
              <w:rPr>
                <w:sz w:val="20"/>
              </w:rPr>
              <w:t xml:space="preserve">The applicant, Mr. Erik Reid, was charged after police executed a search warrant for his storage locker and found numerous stolen handguns. At trial, Mr. Reid argued that the search of the locker was unlawful and that the guns should thus be excluded. The Information to Obtain the warrant (ITO) consisted of information provided by a confidential informant. The ITO provided to Mr. Reid was redacted of the information provided by the informant. At trial, the Crown acknowledged that the redacted ITO could not support the issuance of the warrant to search the storage locker and provided Mr. Reid a summary of the redacted information, which the trial judge found to be adequate. Ultimately, Mr. Reid was convicted of 37 firearms offences and sentenced to nine years’ imprisonment after 36 months’ credit for 31 and one-half months’ time spent in pre-disposition custody. On appeal, Mr. Reid sought to challenge the constitutional validity of step six of the procedure set out by this Court in </w:t>
            </w:r>
            <w:r w:rsidRPr="00813401">
              <w:rPr>
                <w:i/>
                <w:sz w:val="20"/>
              </w:rPr>
              <w:t>R. v.</w:t>
            </w:r>
            <w:r w:rsidRPr="00813401">
              <w:rPr>
                <w:sz w:val="20"/>
              </w:rPr>
              <w:t xml:space="preserve"> </w:t>
            </w:r>
            <w:proofErr w:type="spellStart"/>
            <w:r w:rsidRPr="00813401">
              <w:rPr>
                <w:i/>
                <w:sz w:val="20"/>
              </w:rPr>
              <w:t>Garofoli</w:t>
            </w:r>
            <w:proofErr w:type="spellEnd"/>
            <w:r w:rsidRPr="00813401">
              <w:rPr>
                <w:sz w:val="20"/>
              </w:rPr>
              <w:t xml:space="preserve">, [1990] 2 S.C.R. 1421, which he argued offended </w:t>
            </w:r>
            <w:r w:rsidRPr="00813401">
              <w:rPr>
                <w:sz w:val="20"/>
                <w:lang w:val="en"/>
              </w:rPr>
              <w:t>the right to life, liberty and security of the person</w:t>
            </w:r>
            <w:r w:rsidRPr="00813401">
              <w:rPr>
                <w:sz w:val="20"/>
              </w:rPr>
              <w:t xml:space="preserve"> under s. 7 of the </w:t>
            </w:r>
            <w:r w:rsidRPr="00813401">
              <w:rPr>
                <w:i/>
                <w:sz w:val="20"/>
              </w:rPr>
              <w:t>Charter</w:t>
            </w:r>
            <w:r w:rsidRPr="00813401">
              <w:rPr>
                <w:sz w:val="20"/>
              </w:rPr>
              <w:t xml:space="preserve">. (Under step six of the </w:t>
            </w:r>
            <w:proofErr w:type="spellStart"/>
            <w:r w:rsidRPr="00813401">
              <w:rPr>
                <w:i/>
                <w:sz w:val="20"/>
              </w:rPr>
              <w:t>Garofoli</w:t>
            </w:r>
            <w:proofErr w:type="spellEnd"/>
            <w:r w:rsidRPr="00813401">
              <w:rPr>
                <w:sz w:val="20"/>
              </w:rPr>
              <w:t xml:space="preserve"> procedure, the trial judge is provided with the </w:t>
            </w:r>
            <w:proofErr w:type="spellStart"/>
            <w:r w:rsidRPr="00813401">
              <w:rPr>
                <w:sz w:val="20"/>
              </w:rPr>
              <w:t>unredacted</w:t>
            </w:r>
            <w:proofErr w:type="spellEnd"/>
            <w:r w:rsidRPr="00813401">
              <w:rPr>
                <w:sz w:val="20"/>
              </w:rPr>
              <w:t xml:space="preserve"> ITO and the applicant with a summary of the redactions.) Mr. Reid argued that the trial record permitted the step six issue to be fairly and fully addressed for the first time on appeal. The Court of Appeal however disagreed. It declined to hear or decide the constitutional challenge, and dismissed the appeal against convictions. While the Court of Appeal dismissed the appeal against convictions, it allowed in part the appeal against sentence. The nine-year sentence was reduced to eight years, one month to account for pre-disposition custody.</w:t>
            </w:r>
          </w:p>
          <w:p w:rsidR="00AD651B" w:rsidRPr="00813401" w:rsidRDefault="00AD651B" w:rsidP="00AD651B">
            <w:pPr>
              <w:jc w:val="both"/>
              <w:rPr>
                <w:sz w:val="20"/>
              </w:rPr>
            </w:pPr>
          </w:p>
        </w:tc>
      </w:tr>
      <w:tr w:rsidR="00AD651B" w:rsidRPr="00813401" w:rsidTr="00A60453">
        <w:tc>
          <w:tcPr>
            <w:tcW w:w="2262" w:type="pct"/>
            <w:gridSpan w:val="2"/>
          </w:tcPr>
          <w:p w:rsidR="00AD651B" w:rsidRPr="00813401" w:rsidRDefault="00AD651B" w:rsidP="00AD651B">
            <w:pPr>
              <w:jc w:val="both"/>
              <w:rPr>
                <w:sz w:val="20"/>
              </w:rPr>
            </w:pPr>
            <w:r w:rsidRPr="00813401">
              <w:rPr>
                <w:sz w:val="20"/>
              </w:rPr>
              <w:t>June 13, 2013</w:t>
            </w:r>
          </w:p>
          <w:p w:rsidR="00AD651B" w:rsidRPr="00813401" w:rsidRDefault="00AD651B" w:rsidP="00AD651B">
            <w:pPr>
              <w:jc w:val="both"/>
              <w:rPr>
                <w:sz w:val="20"/>
              </w:rPr>
            </w:pPr>
            <w:r w:rsidRPr="00813401">
              <w:rPr>
                <w:sz w:val="20"/>
              </w:rPr>
              <w:t>Ontario Superior Court of Justice</w:t>
            </w:r>
          </w:p>
          <w:p w:rsidR="00AD651B" w:rsidRPr="00813401" w:rsidRDefault="00AD651B" w:rsidP="00AD651B">
            <w:pPr>
              <w:jc w:val="both"/>
              <w:rPr>
                <w:sz w:val="20"/>
              </w:rPr>
            </w:pPr>
            <w:r w:rsidRPr="00813401">
              <w:rPr>
                <w:sz w:val="20"/>
              </w:rPr>
              <w:t>(</w:t>
            </w:r>
            <w:proofErr w:type="spellStart"/>
            <w:r w:rsidRPr="00813401">
              <w:rPr>
                <w:sz w:val="20"/>
              </w:rPr>
              <w:t>Ewaschuk</w:t>
            </w:r>
            <w:proofErr w:type="spellEnd"/>
            <w:r w:rsidRPr="00813401">
              <w:rPr>
                <w:sz w:val="20"/>
              </w:rPr>
              <w:t xml:space="preserve"> J.)</w:t>
            </w:r>
          </w:p>
          <w:p w:rsidR="00AD651B" w:rsidRPr="00813401" w:rsidRDefault="00AD651B" w:rsidP="00AD651B">
            <w:pPr>
              <w:jc w:val="both"/>
              <w:rPr>
                <w:sz w:val="20"/>
              </w:rPr>
            </w:pPr>
          </w:p>
        </w:tc>
        <w:tc>
          <w:tcPr>
            <w:tcW w:w="236" w:type="pct"/>
          </w:tcPr>
          <w:p w:rsidR="00AD651B" w:rsidRPr="00813401" w:rsidRDefault="00AD651B" w:rsidP="00AD651B">
            <w:pPr>
              <w:jc w:val="both"/>
              <w:rPr>
                <w:sz w:val="20"/>
              </w:rPr>
            </w:pPr>
          </w:p>
        </w:tc>
        <w:tc>
          <w:tcPr>
            <w:tcW w:w="2502" w:type="pct"/>
          </w:tcPr>
          <w:p w:rsidR="00AD651B" w:rsidRPr="00813401" w:rsidRDefault="00AD651B" w:rsidP="00AD651B">
            <w:pPr>
              <w:jc w:val="both"/>
              <w:rPr>
                <w:sz w:val="20"/>
              </w:rPr>
            </w:pPr>
            <w:r w:rsidRPr="00813401">
              <w:rPr>
                <w:sz w:val="20"/>
              </w:rPr>
              <w:t>Applicant convicted of 37 firearms offences.</w:t>
            </w:r>
          </w:p>
          <w:p w:rsidR="00AD651B" w:rsidRPr="00813401" w:rsidRDefault="00AD651B" w:rsidP="00AD651B">
            <w:pPr>
              <w:jc w:val="both"/>
              <w:rPr>
                <w:sz w:val="20"/>
              </w:rPr>
            </w:pPr>
          </w:p>
        </w:tc>
      </w:tr>
      <w:tr w:rsidR="00AD651B" w:rsidRPr="00813401" w:rsidTr="00A60453">
        <w:tc>
          <w:tcPr>
            <w:tcW w:w="2262" w:type="pct"/>
            <w:gridSpan w:val="2"/>
          </w:tcPr>
          <w:p w:rsidR="00AD651B" w:rsidRPr="00813401" w:rsidRDefault="00AD651B" w:rsidP="00AD651B">
            <w:pPr>
              <w:jc w:val="both"/>
              <w:rPr>
                <w:sz w:val="20"/>
              </w:rPr>
            </w:pPr>
            <w:r w:rsidRPr="00813401">
              <w:rPr>
                <w:sz w:val="20"/>
              </w:rPr>
              <w:t>June 20, 2013</w:t>
            </w:r>
          </w:p>
          <w:p w:rsidR="00AD651B" w:rsidRPr="00813401" w:rsidRDefault="00AD651B" w:rsidP="00AD651B">
            <w:pPr>
              <w:jc w:val="both"/>
              <w:rPr>
                <w:sz w:val="20"/>
              </w:rPr>
            </w:pPr>
            <w:r w:rsidRPr="00813401">
              <w:rPr>
                <w:sz w:val="20"/>
              </w:rPr>
              <w:t>Ontario Superior Court of Justice</w:t>
            </w:r>
          </w:p>
          <w:p w:rsidR="00AD651B" w:rsidRPr="00813401" w:rsidRDefault="00AD651B" w:rsidP="00AD651B">
            <w:pPr>
              <w:jc w:val="both"/>
              <w:rPr>
                <w:sz w:val="20"/>
              </w:rPr>
            </w:pPr>
            <w:r w:rsidRPr="00813401">
              <w:rPr>
                <w:sz w:val="20"/>
              </w:rPr>
              <w:t>(</w:t>
            </w:r>
            <w:proofErr w:type="spellStart"/>
            <w:r w:rsidRPr="00813401">
              <w:rPr>
                <w:sz w:val="20"/>
              </w:rPr>
              <w:t>Ewaschuk</w:t>
            </w:r>
            <w:proofErr w:type="spellEnd"/>
            <w:r w:rsidRPr="00813401">
              <w:rPr>
                <w:sz w:val="20"/>
              </w:rPr>
              <w:t xml:space="preserve"> J.)</w:t>
            </w:r>
          </w:p>
          <w:p w:rsidR="00AD651B" w:rsidRPr="00813401" w:rsidRDefault="00AD651B" w:rsidP="00AD651B">
            <w:pPr>
              <w:jc w:val="both"/>
              <w:rPr>
                <w:sz w:val="20"/>
              </w:rPr>
            </w:pPr>
          </w:p>
        </w:tc>
        <w:tc>
          <w:tcPr>
            <w:tcW w:w="236" w:type="pct"/>
          </w:tcPr>
          <w:p w:rsidR="00AD651B" w:rsidRPr="00813401" w:rsidRDefault="00AD651B" w:rsidP="00AD651B">
            <w:pPr>
              <w:jc w:val="both"/>
              <w:rPr>
                <w:sz w:val="20"/>
              </w:rPr>
            </w:pPr>
          </w:p>
        </w:tc>
        <w:tc>
          <w:tcPr>
            <w:tcW w:w="2502" w:type="pct"/>
          </w:tcPr>
          <w:p w:rsidR="00AD651B" w:rsidRPr="00813401" w:rsidRDefault="00AD651B" w:rsidP="00AD651B">
            <w:pPr>
              <w:jc w:val="both"/>
              <w:rPr>
                <w:sz w:val="20"/>
              </w:rPr>
            </w:pPr>
            <w:r w:rsidRPr="00813401">
              <w:rPr>
                <w:sz w:val="20"/>
              </w:rPr>
              <w:t>Nine-year sentence imposed.</w:t>
            </w:r>
          </w:p>
          <w:p w:rsidR="00AD651B" w:rsidRPr="00813401" w:rsidRDefault="00AD651B" w:rsidP="00AD651B">
            <w:pPr>
              <w:jc w:val="both"/>
              <w:rPr>
                <w:sz w:val="20"/>
              </w:rPr>
            </w:pPr>
          </w:p>
        </w:tc>
      </w:tr>
      <w:tr w:rsidR="00AD651B" w:rsidRPr="00813401" w:rsidTr="00A60453">
        <w:tc>
          <w:tcPr>
            <w:tcW w:w="2262" w:type="pct"/>
            <w:gridSpan w:val="2"/>
          </w:tcPr>
          <w:p w:rsidR="00AD651B" w:rsidRPr="00813401" w:rsidRDefault="00AD651B" w:rsidP="00AD651B">
            <w:pPr>
              <w:jc w:val="both"/>
              <w:rPr>
                <w:sz w:val="20"/>
              </w:rPr>
            </w:pPr>
            <w:r w:rsidRPr="00813401">
              <w:rPr>
                <w:sz w:val="20"/>
              </w:rPr>
              <w:lastRenderedPageBreak/>
              <w:t>June 30, 2016</w:t>
            </w:r>
          </w:p>
          <w:p w:rsidR="00AD651B" w:rsidRPr="00813401" w:rsidRDefault="00AD651B" w:rsidP="00AD651B">
            <w:pPr>
              <w:jc w:val="both"/>
              <w:rPr>
                <w:sz w:val="20"/>
              </w:rPr>
            </w:pPr>
            <w:r w:rsidRPr="00813401">
              <w:rPr>
                <w:sz w:val="20"/>
              </w:rPr>
              <w:t>Court of Appeal for Ontario</w:t>
            </w:r>
          </w:p>
          <w:p w:rsidR="00AD651B" w:rsidRPr="00813401" w:rsidRDefault="00AD651B" w:rsidP="00AD651B">
            <w:pPr>
              <w:jc w:val="both"/>
              <w:rPr>
                <w:sz w:val="20"/>
              </w:rPr>
            </w:pPr>
            <w:r w:rsidRPr="00813401">
              <w:rPr>
                <w:sz w:val="20"/>
              </w:rPr>
              <w:t>(</w:t>
            </w:r>
            <w:proofErr w:type="spellStart"/>
            <w:r w:rsidRPr="00813401">
              <w:rPr>
                <w:sz w:val="20"/>
              </w:rPr>
              <w:t>Juriansz</w:t>
            </w:r>
            <w:proofErr w:type="spellEnd"/>
            <w:r w:rsidRPr="00813401">
              <w:rPr>
                <w:sz w:val="20"/>
              </w:rPr>
              <w:t>, Watt and Roberts JJ.A.)</w:t>
            </w:r>
          </w:p>
          <w:p w:rsidR="00AD651B" w:rsidRPr="00813401" w:rsidRDefault="00AD651B" w:rsidP="00AD651B">
            <w:pPr>
              <w:jc w:val="both"/>
              <w:rPr>
                <w:sz w:val="20"/>
              </w:rPr>
            </w:pPr>
            <w:hyperlink r:id="rId46" w:history="1">
              <w:r w:rsidRPr="00813401">
                <w:rPr>
                  <w:rStyle w:val="Hyperlink"/>
                  <w:sz w:val="20"/>
                </w:rPr>
                <w:t>2016 ONCA 524</w:t>
              </w:r>
            </w:hyperlink>
          </w:p>
          <w:p w:rsidR="00AD651B" w:rsidRPr="00813401" w:rsidRDefault="00AD651B" w:rsidP="00AD651B">
            <w:pPr>
              <w:jc w:val="both"/>
              <w:rPr>
                <w:sz w:val="20"/>
              </w:rPr>
            </w:pPr>
          </w:p>
        </w:tc>
        <w:tc>
          <w:tcPr>
            <w:tcW w:w="236" w:type="pct"/>
          </w:tcPr>
          <w:p w:rsidR="00AD651B" w:rsidRPr="00813401" w:rsidRDefault="00AD651B" w:rsidP="00AD651B">
            <w:pPr>
              <w:jc w:val="both"/>
              <w:rPr>
                <w:sz w:val="20"/>
              </w:rPr>
            </w:pPr>
          </w:p>
        </w:tc>
        <w:tc>
          <w:tcPr>
            <w:tcW w:w="2502" w:type="pct"/>
          </w:tcPr>
          <w:p w:rsidR="00AD651B" w:rsidRPr="00813401" w:rsidRDefault="00AD651B" w:rsidP="00AD651B">
            <w:pPr>
              <w:jc w:val="both"/>
              <w:rPr>
                <w:sz w:val="20"/>
              </w:rPr>
            </w:pPr>
            <w:r w:rsidRPr="00813401">
              <w:rPr>
                <w:sz w:val="20"/>
              </w:rPr>
              <w:t>Appeal from conviction dismissed but appeal from sentence allowed in part (nine-year sentence reduced to eight years, one month to account for pre-disposition custody).</w:t>
            </w:r>
          </w:p>
          <w:p w:rsidR="00AD651B" w:rsidRPr="00813401" w:rsidRDefault="00AD651B" w:rsidP="00AD651B">
            <w:pPr>
              <w:jc w:val="both"/>
              <w:rPr>
                <w:sz w:val="20"/>
              </w:rPr>
            </w:pPr>
          </w:p>
        </w:tc>
      </w:tr>
      <w:tr w:rsidR="00AD651B" w:rsidRPr="00813401" w:rsidTr="00A60453">
        <w:tc>
          <w:tcPr>
            <w:tcW w:w="2262" w:type="pct"/>
            <w:gridSpan w:val="2"/>
          </w:tcPr>
          <w:p w:rsidR="00AD651B" w:rsidRPr="00813401" w:rsidRDefault="00AD651B" w:rsidP="00AD651B">
            <w:pPr>
              <w:jc w:val="both"/>
              <w:rPr>
                <w:sz w:val="20"/>
              </w:rPr>
            </w:pPr>
            <w:r w:rsidRPr="00813401">
              <w:rPr>
                <w:sz w:val="20"/>
              </w:rPr>
              <w:t>September 29, 2016</w:t>
            </w:r>
          </w:p>
          <w:p w:rsidR="00AD651B" w:rsidRPr="00813401" w:rsidRDefault="00AD651B" w:rsidP="00AD651B">
            <w:pPr>
              <w:jc w:val="both"/>
              <w:rPr>
                <w:sz w:val="20"/>
              </w:rPr>
            </w:pPr>
            <w:r w:rsidRPr="00813401">
              <w:rPr>
                <w:sz w:val="20"/>
              </w:rPr>
              <w:t>Supreme Court of Canada</w:t>
            </w:r>
          </w:p>
        </w:tc>
        <w:tc>
          <w:tcPr>
            <w:tcW w:w="236" w:type="pct"/>
          </w:tcPr>
          <w:p w:rsidR="00AD651B" w:rsidRPr="00813401" w:rsidRDefault="00AD651B" w:rsidP="00AD651B">
            <w:pPr>
              <w:jc w:val="both"/>
              <w:rPr>
                <w:sz w:val="20"/>
              </w:rPr>
            </w:pPr>
          </w:p>
        </w:tc>
        <w:tc>
          <w:tcPr>
            <w:tcW w:w="2502" w:type="pct"/>
          </w:tcPr>
          <w:p w:rsidR="00AD651B" w:rsidRPr="00813401" w:rsidRDefault="00AD651B" w:rsidP="00AD651B">
            <w:pPr>
              <w:jc w:val="both"/>
              <w:rPr>
                <w:sz w:val="20"/>
              </w:rPr>
            </w:pPr>
            <w:r w:rsidRPr="00813401">
              <w:rPr>
                <w:sz w:val="20"/>
              </w:rPr>
              <w:t>Application for leave to appeal filed.</w:t>
            </w:r>
          </w:p>
        </w:tc>
      </w:tr>
    </w:tbl>
    <w:p w:rsidR="00AD651B" w:rsidRPr="00813401" w:rsidRDefault="00AD651B" w:rsidP="00AD651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806"/>
        <w:gridCol w:w="3428"/>
        <w:gridCol w:w="442"/>
        <w:gridCol w:w="4684"/>
      </w:tblGrid>
      <w:tr w:rsidR="00AD651B" w:rsidRPr="00813401" w:rsidTr="00A60453">
        <w:tc>
          <w:tcPr>
            <w:tcW w:w="431" w:type="pct"/>
          </w:tcPr>
          <w:p w:rsidR="00AD651B" w:rsidRPr="00813401" w:rsidRDefault="00AD651B" w:rsidP="00AD651B">
            <w:pPr>
              <w:jc w:val="both"/>
              <w:rPr>
                <w:sz w:val="20"/>
              </w:rPr>
            </w:pPr>
            <w:r w:rsidRPr="00813401">
              <w:rPr>
                <w:rStyle w:val="SCCFileNumberChar"/>
                <w:sz w:val="20"/>
                <w:szCs w:val="20"/>
              </w:rPr>
              <w:t>37214</w:t>
            </w:r>
          </w:p>
        </w:tc>
        <w:tc>
          <w:tcPr>
            <w:tcW w:w="4569" w:type="pct"/>
            <w:gridSpan w:val="3"/>
          </w:tcPr>
          <w:p w:rsidR="00AD651B" w:rsidRPr="00813401" w:rsidRDefault="00AD651B" w:rsidP="00AD651B">
            <w:pPr>
              <w:pStyle w:val="SCCLsocParty"/>
              <w:jc w:val="both"/>
              <w:rPr>
                <w:b/>
                <w:sz w:val="20"/>
                <w:szCs w:val="20"/>
              </w:rPr>
            </w:pPr>
            <w:r w:rsidRPr="00813401">
              <w:rPr>
                <w:b/>
                <w:sz w:val="20"/>
                <w:szCs w:val="20"/>
              </w:rPr>
              <w:t>Erik Reid c. Sa Majesté la Reine</w:t>
            </w:r>
          </w:p>
          <w:p w:rsidR="00AD651B" w:rsidRPr="00813401" w:rsidRDefault="00AD651B" w:rsidP="00AD651B">
            <w:pPr>
              <w:jc w:val="both"/>
              <w:rPr>
                <w:sz w:val="20"/>
              </w:rPr>
            </w:pPr>
            <w:r w:rsidRPr="00813401">
              <w:rPr>
                <w:sz w:val="20"/>
              </w:rPr>
              <w:t xml:space="preserve">(Ont.) (Criminelle) (Sur </w:t>
            </w:r>
            <w:proofErr w:type="spellStart"/>
            <w:r w:rsidRPr="00813401">
              <w:rPr>
                <w:sz w:val="20"/>
              </w:rPr>
              <w:t>autorisation</w:t>
            </w:r>
            <w:proofErr w:type="spellEnd"/>
            <w:r w:rsidRPr="00813401">
              <w:rPr>
                <w:sz w:val="20"/>
              </w:rPr>
              <w:t>)</w:t>
            </w:r>
          </w:p>
        </w:tc>
      </w:tr>
      <w:tr w:rsidR="00AD651B" w:rsidRPr="00813401" w:rsidTr="00A60453">
        <w:tc>
          <w:tcPr>
            <w:tcW w:w="5000" w:type="pct"/>
            <w:gridSpan w:val="4"/>
          </w:tcPr>
          <w:p w:rsidR="00AD651B" w:rsidRPr="00813401" w:rsidRDefault="00AD651B" w:rsidP="00AD651B">
            <w:pPr>
              <w:jc w:val="both"/>
              <w:rPr>
                <w:sz w:val="20"/>
                <w:lang w:val="fr-CA"/>
              </w:rPr>
            </w:pPr>
            <w:r w:rsidRPr="00813401">
              <w:rPr>
                <w:i/>
                <w:sz w:val="20"/>
                <w:lang w:val="fr-CA"/>
              </w:rPr>
              <w:t>Charte</w:t>
            </w:r>
            <w:r w:rsidRPr="00813401">
              <w:rPr>
                <w:sz w:val="20"/>
                <w:lang w:val="fr-CA"/>
              </w:rPr>
              <w:t xml:space="preserve"> — Droit criminel — Preuve — Privilège — Indicateurs — Demandeur inculpé après que la police eut exécuté un mandat de perquisition visant son casier et trouvé de nombreux pistolets volés  — Prétention du demandeur que la fouille du casier était illégale — La dénonciation en vue d’obtenir le mandat a été fournie par un indicateur anonyme et expurgée — Le ministère public a remis au demandeur un résumé de la dénonciation expurgée que le juge du procès a trouvé adéquat — Le résumé de la dénonciation expurgée atteint-il un juste équilibre entre le droit de présenter une défense pleine et entière et le privilège relatif à l’indicateur? — Le demandeur peut-il contester pour la première fois en appel la constitutionnalité de la sixième étape de la procédure établie par la Cour dans  </w:t>
            </w:r>
            <w:r w:rsidRPr="00813401">
              <w:rPr>
                <w:i/>
                <w:sz w:val="20"/>
                <w:lang w:val="fr-CA"/>
              </w:rPr>
              <w:t>R. c.</w:t>
            </w:r>
            <w:r w:rsidRPr="00813401">
              <w:rPr>
                <w:sz w:val="20"/>
                <w:lang w:val="fr-CA"/>
              </w:rPr>
              <w:t xml:space="preserve"> </w:t>
            </w:r>
            <w:r w:rsidRPr="00813401">
              <w:rPr>
                <w:i/>
                <w:sz w:val="20"/>
                <w:lang w:val="fr-CA"/>
              </w:rPr>
              <w:t>Garofoli</w:t>
            </w:r>
            <w:r w:rsidRPr="00813401">
              <w:rPr>
                <w:sz w:val="20"/>
                <w:lang w:val="fr-CA"/>
              </w:rPr>
              <w:t xml:space="preserve">, [1990] 2 R.C.S. 1421, qui prévoit la fourniture d’une dénonciation non expurgée au juge du procès et d’un résumé de celle-ci au demandeur. </w:t>
            </w:r>
          </w:p>
        </w:tc>
      </w:tr>
      <w:tr w:rsidR="00AD651B" w:rsidRPr="00813401" w:rsidTr="00A60453">
        <w:tc>
          <w:tcPr>
            <w:tcW w:w="5000" w:type="pct"/>
            <w:gridSpan w:val="4"/>
          </w:tcPr>
          <w:p w:rsidR="00AD651B" w:rsidRPr="00813401" w:rsidRDefault="00AD651B" w:rsidP="00AD651B">
            <w:pPr>
              <w:jc w:val="both"/>
              <w:rPr>
                <w:sz w:val="20"/>
                <w:lang w:val="fr-CA"/>
              </w:rPr>
            </w:pPr>
          </w:p>
        </w:tc>
      </w:tr>
      <w:tr w:rsidR="00AD651B" w:rsidRPr="00813401" w:rsidTr="00A60453">
        <w:tc>
          <w:tcPr>
            <w:tcW w:w="5000" w:type="pct"/>
            <w:gridSpan w:val="4"/>
          </w:tcPr>
          <w:p w:rsidR="00AD651B" w:rsidRPr="00813401" w:rsidRDefault="00AD651B" w:rsidP="00AD651B">
            <w:pPr>
              <w:jc w:val="both"/>
              <w:rPr>
                <w:sz w:val="20"/>
                <w:lang w:val="fr-CA"/>
              </w:rPr>
            </w:pPr>
            <w:r w:rsidRPr="00813401">
              <w:rPr>
                <w:sz w:val="20"/>
                <w:lang w:val="fr-CA"/>
              </w:rPr>
              <w:t xml:space="preserve">Le demandeur, Erik Reid, a été inculpé après que la police eut exécuté un mandat de perquisition visant son casier et trouvé de nombreux pistolets volés. Au procès, M. Reid a soutenu que la fouille du casier était illégale et que les pistolets auraient dû être écartés. La dénonciation en vue d’obtenir le mandat (DOM) contenait des renseignements fournis par un indicateur anonyme. Ces renseignements ont été retranchés de la DOM communiquée à M. Reid. Au procès, le ministère public a reconnu que la DOM expurgée ne pouvait pas justifier la délivrance du mandat autorisant la fouille du casier et a remis à M. Reid un résumé de la dénonciation expurgée que le juge du procès a trouvé adéquat. Au bout du compte, M. Reid a été reconnu coupable de 37 infractions liées aux armes à feu et condamné à neuf ans d’emprisonnement après l’octroi d’un crédit de 36 mois pour détention </w:t>
            </w:r>
            <w:proofErr w:type="spellStart"/>
            <w:r w:rsidRPr="00813401">
              <w:rPr>
                <w:sz w:val="20"/>
                <w:lang w:val="fr-CA"/>
              </w:rPr>
              <w:t>présentencielle</w:t>
            </w:r>
            <w:proofErr w:type="spellEnd"/>
            <w:r w:rsidRPr="00813401">
              <w:rPr>
                <w:sz w:val="20"/>
                <w:lang w:val="fr-CA"/>
              </w:rPr>
              <w:t xml:space="preserve"> de 31 mois et demi. En appel, M. Reid a cherché à contester la constitutionnalité de la sixième étape de la procédure établie par la Cour dans </w:t>
            </w:r>
            <w:r w:rsidRPr="00813401">
              <w:rPr>
                <w:i/>
                <w:sz w:val="20"/>
                <w:lang w:val="fr-CA"/>
              </w:rPr>
              <w:t>R. c.</w:t>
            </w:r>
            <w:r w:rsidRPr="00813401">
              <w:rPr>
                <w:sz w:val="20"/>
                <w:lang w:val="fr-CA"/>
              </w:rPr>
              <w:t xml:space="preserve"> </w:t>
            </w:r>
            <w:r w:rsidRPr="00813401">
              <w:rPr>
                <w:i/>
                <w:sz w:val="20"/>
                <w:lang w:val="fr-CA"/>
              </w:rPr>
              <w:t>Garofoli</w:t>
            </w:r>
            <w:r w:rsidRPr="00813401">
              <w:rPr>
                <w:sz w:val="20"/>
                <w:lang w:val="fr-CA"/>
              </w:rPr>
              <w:t xml:space="preserve">, [1990] 2 R.C.S. 1421, qui, selon lui, portait atteinte au droit à la vie, à la liberté et à la sécurité de la personne garanti par l’art. 7 de la </w:t>
            </w:r>
            <w:r w:rsidRPr="00813401">
              <w:rPr>
                <w:i/>
                <w:sz w:val="20"/>
                <w:lang w:val="fr-CA"/>
              </w:rPr>
              <w:t>Charte</w:t>
            </w:r>
            <w:r w:rsidRPr="00813401">
              <w:rPr>
                <w:sz w:val="20"/>
                <w:lang w:val="fr-CA"/>
              </w:rPr>
              <w:t>. (Selon la sixième étape de cette procédure, le juge du procès reçoit une DOM non expurgée, et le demandeur, un résumé des éléments écartés.) M. Reid a fait valoir que le dossier de première instance permettait d’examiner équitablement et complètement la question de la sixième étape pour la première fois en appel. La Cour d’appel n’était cependant pas de cet avis. Elle a refusé d’instruire ou de juger la contestation constitutionnelle et rejeté l’appel des déclarations de culpabilité. Bien que la Cour d’appel ait rejeté l’appel formé contre les déclarations de culpabilité, elle a accueilli en partie l’appel de la peine. Les neuf ans d’emprisonnement ont été réduits à huit ans et un mois compte tenu de la détention précédant le verdict.</w:t>
            </w:r>
          </w:p>
          <w:p w:rsidR="00AD651B" w:rsidRPr="00813401" w:rsidRDefault="00AD651B" w:rsidP="00AD651B">
            <w:pPr>
              <w:jc w:val="both"/>
              <w:rPr>
                <w:sz w:val="20"/>
                <w:lang w:val="fr-CA"/>
              </w:rPr>
            </w:pPr>
          </w:p>
        </w:tc>
      </w:tr>
      <w:tr w:rsidR="00AD651B" w:rsidRPr="00813401" w:rsidTr="00A60453">
        <w:tc>
          <w:tcPr>
            <w:tcW w:w="2262" w:type="pct"/>
            <w:gridSpan w:val="2"/>
          </w:tcPr>
          <w:p w:rsidR="00AD651B" w:rsidRPr="00813401" w:rsidRDefault="00AD651B" w:rsidP="00AD651B">
            <w:pPr>
              <w:jc w:val="both"/>
              <w:rPr>
                <w:sz w:val="20"/>
                <w:lang w:val="fr-CA"/>
              </w:rPr>
            </w:pPr>
            <w:r w:rsidRPr="00813401">
              <w:rPr>
                <w:sz w:val="20"/>
                <w:lang w:val="fr-CA"/>
              </w:rPr>
              <w:t>13 juin 2013</w:t>
            </w:r>
          </w:p>
          <w:p w:rsidR="00AD651B" w:rsidRPr="00813401" w:rsidRDefault="00AD651B" w:rsidP="00AD651B">
            <w:pPr>
              <w:jc w:val="both"/>
              <w:rPr>
                <w:sz w:val="20"/>
                <w:lang w:val="fr-CA"/>
              </w:rPr>
            </w:pPr>
            <w:r w:rsidRPr="00813401">
              <w:rPr>
                <w:sz w:val="20"/>
                <w:lang w:val="fr-CA"/>
              </w:rPr>
              <w:t>Cour supérieure de justice de l’Ontario</w:t>
            </w:r>
          </w:p>
          <w:p w:rsidR="00AD651B" w:rsidRPr="00813401" w:rsidRDefault="00AD651B" w:rsidP="00AD651B">
            <w:pPr>
              <w:jc w:val="both"/>
              <w:rPr>
                <w:sz w:val="20"/>
              </w:rPr>
            </w:pPr>
            <w:r w:rsidRPr="00813401">
              <w:rPr>
                <w:sz w:val="20"/>
              </w:rPr>
              <w:t>(Juge Ewaschuk)</w:t>
            </w:r>
          </w:p>
          <w:p w:rsidR="00AD651B" w:rsidRPr="00813401" w:rsidRDefault="00AD651B" w:rsidP="00AD651B">
            <w:pPr>
              <w:jc w:val="both"/>
              <w:rPr>
                <w:sz w:val="20"/>
              </w:rPr>
            </w:pPr>
          </w:p>
        </w:tc>
        <w:tc>
          <w:tcPr>
            <w:tcW w:w="236" w:type="pct"/>
          </w:tcPr>
          <w:p w:rsidR="00AD651B" w:rsidRPr="00813401" w:rsidRDefault="00AD651B" w:rsidP="00AD651B">
            <w:pPr>
              <w:jc w:val="both"/>
              <w:rPr>
                <w:sz w:val="20"/>
              </w:rPr>
            </w:pPr>
          </w:p>
        </w:tc>
        <w:tc>
          <w:tcPr>
            <w:tcW w:w="2502" w:type="pct"/>
          </w:tcPr>
          <w:p w:rsidR="00AD651B" w:rsidRPr="00813401" w:rsidRDefault="00AD651B" w:rsidP="00AD651B">
            <w:pPr>
              <w:jc w:val="both"/>
              <w:rPr>
                <w:sz w:val="20"/>
                <w:lang w:val="fr-CA"/>
              </w:rPr>
            </w:pPr>
            <w:r w:rsidRPr="00813401">
              <w:rPr>
                <w:sz w:val="20"/>
                <w:lang w:val="fr-CA"/>
              </w:rPr>
              <w:t>Demandeur reconnu coupable de 37 infractions liées aux armes à feu.</w:t>
            </w:r>
          </w:p>
          <w:p w:rsidR="00AD651B" w:rsidRPr="00813401" w:rsidRDefault="00AD651B" w:rsidP="00AD651B">
            <w:pPr>
              <w:jc w:val="both"/>
              <w:rPr>
                <w:sz w:val="20"/>
                <w:lang w:val="fr-CA"/>
              </w:rPr>
            </w:pPr>
          </w:p>
        </w:tc>
      </w:tr>
      <w:tr w:rsidR="00AD651B" w:rsidRPr="00813401" w:rsidTr="00A60453">
        <w:tc>
          <w:tcPr>
            <w:tcW w:w="2262" w:type="pct"/>
            <w:gridSpan w:val="2"/>
          </w:tcPr>
          <w:p w:rsidR="00AD651B" w:rsidRPr="00813401" w:rsidRDefault="00AD651B" w:rsidP="00AD651B">
            <w:pPr>
              <w:jc w:val="both"/>
              <w:rPr>
                <w:sz w:val="20"/>
                <w:lang w:val="fr-CA"/>
              </w:rPr>
            </w:pPr>
            <w:r w:rsidRPr="00813401">
              <w:rPr>
                <w:sz w:val="20"/>
                <w:lang w:val="fr-CA"/>
              </w:rPr>
              <w:t>20 juin 2013</w:t>
            </w:r>
          </w:p>
          <w:p w:rsidR="00AD651B" w:rsidRPr="00813401" w:rsidRDefault="00AD651B" w:rsidP="00AD651B">
            <w:pPr>
              <w:jc w:val="both"/>
              <w:rPr>
                <w:sz w:val="20"/>
                <w:lang w:val="fr-CA"/>
              </w:rPr>
            </w:pPr>
            <w:r w:rsidRPr="00813401">
              <w:rPr>
                <w:sz w:val="20"/>
                <w:lang w:val="fr-CA"/>
              </w:rPr>
              <w:t xml:space="preserve">Cour supérieure de justice de l’Ontario </w:t>
            </w:r>
          </w:p>
          <w:p w:rsidR="00AD651B" w:rsidRPr="00813401" w:rsidRDefault="00AD651B" w:rsidP="00AD651B">
            <w:pPr>
              <w:jc w:val="both"/>
              <w:rPr>
                <w:sz w:val="20"/>
              </w:rPr>
            </w:pPr>
            <w:r w:rsidRPr="00813401">
              <w:rPr>
                <w:sz w:val="20"/>
              </w:rPr>
              <w:t>(Juge Ewaschuk)</w:t>
            </w:r>
          </w:p>
          <w:p w:rsidR="00AD651B" w:rsidRPr="00813401" w:rsidRDefault="00AD651B" w:rsidP="00AD651B">
            <w:pPr>
              <w:jc w:val="both"/>
              <w:rPr>
                <w:sz w:val="20"/>
              </w:rPr>
            </w:pPr>
          </w:p>
        </w:tc>
        <w:tc>
          <w:tcPr>
            <w:tcW w:w="236" w:type="pct"/>
          </w:tcPr>
          <w:p w:rsidR="00AD651B" w:rsidRPr="00813401" w:rsidRDefault="00AD651B" w:rsidP="00AD651B">
            <w:pPr>
              <w:jc w:val="both"/>
              <w:rPr>
                <w:sz w:val="20"/>
              </w:rPr>
            </w:pPr>
          </w:p>
        </w:tc>
        <w:tc>
          <w:tcPr>
            <w:tcW w:w="2502" w:type="pct"/>
          </w:tcPr>
          <w:p w:rsidR="00AD651B" w:rsidRPr="00813401" w:rsidRDefault="00AD651B" w:rsidP="00AD651B">
            <w:pPr>
              <w:jc w:val="both"/>
              <w:rPr>
                <w:sz w:val="20"/>
                <w:lang w:val="fr-CA"/>
              </w:rPr>
            </w:pPr>
            <w:r w:rsidRPr="00813401">
              <w:rPr>
                <w:sz w:val="20"/>
                <w:lang w:val="fr-CA"/>
              </w:rPr>
              <w:t>Imposition d’une peine de neuf ans d’emprisonnement.</w:t>
            </w:r>
          </w:p>
          <w:p w:rsidR="00AD651B" w:rsidRPr="00813401" w:rsidRDefault="00AD651B" w:rsidP="00AD651B">
            <w:pPr>
              <w:jc w:val="both"/>
              <w:rPr>
                <w:sz w:val="20"/>
                <w:lang w:val="fr-CA"/>
              </w:rPr>
            </w:pPr>
          </w:p>
        </w:tc>
      </w:tr>
      <w:tr w:rsidR="00AD651B" w:rsidRPr="00813401" w:rsidTr="00A60453">
        <w:tc>
          <w:tcPr>
            <w:tcW w:w="2262" w:type="pct"/>
            <w:gridSpan w:val="2"/>
          </w:tcPr>
          <w:p w:rsidR="00AD651B" w:rsidRPr="00813401" w:rsidRDefault="00AD651B" w:rsidP="00AD651B">
            <w:pPr>
              <w:jc w:val="both"/>
              <w:rPr>
                <w:sz w:val="20"/>
                <w:lang w:val="fr-CA"/>
              </w:rPr>
            </w:pPr>
            <w:r w:rsidRPr="00813401">
              <w:rPr>
                <w:sz w:val="20"/>
                <w:lang w:val="fr-CA"/>
              </w:rPr>
              <w:t>30 juin 2016</w:t>
            </w:r>
          </w:p>
          <w:p w:rsidR="00AD651B" w:rsidRPr="00813401" w:rsidRDefault="00AD651B" w:rsidP="00AD651B">
            <w:pPr>
              <w:jc w:val="both"/>
              <w:rPr>
                <w:sz w:val="20"/>
                <w:lang w:val="fr-CA"/>
              </w:rPr>
            </w:pPr>
            <w:r w:rsidRPr="00813401">
              <w:rPr>
                <w:sz w:val="20"/>
                <w:lang w:val="fr-CA"/>
              </w:rPr>
              <w:t>Cour d’appel de l’Ontario</w:t>
            </w:r>
          </w:p>
          <w:p w:rsidR="00AD651B" w:rsidRPr="00813401" w:rsidRDefault="00AD651B" w:rsidP="00AD651B">
            <w:pPr>
              <w:jc w:val="both"/>
              <w:rPr>
                <w:sz w:val="20"/>
                <w:lang w:val="fr-CA"/>
              </w:rPr>
            </w:pPr>
            <w:r w:rsidRPr="00813401">
              <w:rPr>
                <w:sz w:val="20"/>
                <w:lang w:val="fr-CA"/>
              </w:rPr>
              <w:t>(Juges Juriansz, Watt et Roberts)</w:t>
            </w:r>
          </w:p>
          <w:p w:rsidR="00AD651B" w:rsidRPr="00813401" w:rsidRDefault="00AD651B" w:rsidP="00AD651B">
            <w:pPr>
              <w:jc w:val="both"/>
              <w:rPr>
                <w:sz w:val="20"/>
              </w:rPr>
            </w:pPr>
            <w:hyperlink r:id="rId47" w:history="1">
              <w:r w:rsidRPr="00813401">
                <w:rPr>
                  <w:rStyle w:val="Hyperlink"/>
                  <w:sz w:val="20"/>
                </w:rPr>
                <w:t>2016 ONCA 524</w:t>
              </w:r>
            </w:hyperlink>
          </w:p>
          <w:p w:rsidR="00AD651B" w:rsidRPr="00813401" w:rsidRDefault="00AD651B" w:rsidP="00AD651B">
            <w:pPr>
              <w:jc w:val="both"/>
              <w:rPr>
                <w:sz w:val="20"/>
              </w:rPr>
            </w:pPr>
          </w:p>
        </w:tc>
        <w:tc>
          <w:tcPr>
            <w:tcW w:w="236" w:type="pct"/>
          </w:tcPr>
          <w:p w:rsidR="00AD651B" w:rsidRPr="00813401" w:rsidRDefault="00AD651B" w:rsidP="00AD651B">
            <w:pPr>
              <w:jc w:val="both"/>
              <w:rPr>
                <w:sz w:val="20"/>
              </w:rPr>
            </w:pPr>
          </w:p>
        </w:tc>
        <w:tc>
          <w:tcPr>
            <w:tcW w:w="2502" w:type="pct"/>
          </w:tcPr>
          <w:p w:rsidR="00AD651B" w:rsidRPr="00813401" w:rsidRDefault="00AD651B" w:rsidP="00AD651B">
            <w:pPr>
              <w:jc w:val="both"/>
              <w:rPr>
                <w:sz w:val="20"/>
                <w:lang w:val="fr-CA"/>
              </w:rPr>
            </w:pPr>
            <w:r w:rsidRPr="00813401">
              <w:rPr>
                <w:sz w:val="20"/>
                <w:lang w:val="fr-CA"/>
              </w:rPr>
              <w:t>Appel de la déclaration de culpabilité rejeté mais appel de la peine accueilli en partie (neuf ans d’emprisonnement réduits à huit ans et un mois d’emprisonnement compte tenu de la détention précédant le verdict).</w:t>
            </w:r>
          </w:p>
          <w:p w:rsidR="00AD651B" w:rsidRPr="00813401" w:rsidRDefault="00AD651B" w:rsidP="00AD651B">
            <w:pPr>
              <w:jc w:val="both"/>
              <w:rPr>
                <w:sz w:val="20"/>
                <w:lang w:val="fr-CA"/>
              </w:rPr>
            </w:pPr>
          </w:p>
        </w:tc>
      </w:tr>
      <w:tr w:rsidR="00AD651B" w:rsidRPr="00813401" w:rsidTr="00A60453">
        <w:tc>
          <w:tcPr>
            <w:tcW w:w="2262" w:type="pct"/>
            <w:gridSpan w:val="2"/>
          </w:tcPr>
          <w:p w:rsidR="00AD651B" w:rsidRPr="00813401" w:rsidRDefault="00AD651B" w:rsidP="00AD651B">
            <w:pPr>
              <w:jc w:val="both"/>
              <w:rPr>
                <w:sz w:val="20"/>
                <w:lang w:val="fr-CA"/>
              </w:rPr>
            </w:pPr>
            <w:r w:rsidRPr="00813401">
              <w:rPr>
                <w:sz w:val="20"/>
                <w:lang w:val="fr-CA"/>
              </w:rPr>
              <w:t>29 septembre 2016</w:t>
            </w:r>
          </w:p>
          <w:p w:rsidR="00AD651B" w:rsidRPr="00813401" w:rsidRDefault="00AD651B" w:rsidP="00AD651B">
            <w:pPr>
              <w:jc w:val="both"/>
              <w:rPr>
                <w:sz w:val="20"/>
                <w:lang w:val="fr-CA"/>
              </w:rPr>
            </w:pPr>
            <w:r w:rsidRPr="00813401">
              <w:rPr>
                <w:sz w:val="20"/>
                <w:lang w:val="fr-CA"/>
              </w:rPr>
              <w:lastRenderedPageBreak/>
              <w:t>Cour suprême du Canada</w:t>
            </w:r>
          </w:p>
        </w:tc>
        <w:tc>
          <w:tcPr>
            <w:tcW w:w="236" w:type="pct"/>
          </w:tcPr>
          <w:p w:rsidR="00AD651B" w:rsidRPr="00813401" w:rsidRDefault="00AD651B" w:rsidP="00AD651B">
            <w:pPr>
              <w:jc w:val="both"/>
              <w:rPr>
                <w:sz w:val="20"/>
                <w:lang w:val="fr-CA"/>
              </w:rPr>
            </w:pPr>
          </w:p>
        </w:tc>
        <w:tc>
          <w:tcPr>
            <w:tcW w:w="2502" w:type="pct"/>
          </w:tcPr>
          <w:p w:rsidR="00AD651B" w:rsidRPr="00813401" w:rsidRDefault="00AD651B" w:rsidP="00AD651B">
            <w:pPr>
              <w:jc w:val="both"/>
              <w:rPr>
                <w:sz w:val="20"/>
                <w:lang w:val="fr-CA"/>
              </w:rPr>
            </w:pPr>
            <w:r w:rsidRPr="00813401">
              <w:rPr>
                <w:sz w:val="20"/>
                <w:lang w:val="fr-CA"/>
              </w:rPr>
              <w:t>Dépôt de la demande d’autorisation d’appel.</w:t>
            </w:r>
          </w:p>
        </w:tc>
      </w:tr>
    </w:tbl>
    <w:p w:rsidR="00AD651B" w:rsidRPr="00813401" w:rsidRDefault="00AD651B" w:rsidP="00AD651B">
      <w:pPr>
        <w:jc w:val="both"/>
        <w:rPr>
          <w:sz w:val="20"/>
          <w:lang w:val="fr-CA"/>
        </w:rPr>
      </w:pPr>
    </w:p>
    <w:p w:rsidR="00AD651B" w:rsidRPr="00813401" w:rsidRDefault="00AD651B" w:rsidP="00AD65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rPr>
            </w:pPr>
            <w:r w:rsidRPr="00813401">
              <w:rPr>
                <w:rStyle w:val="SCCFileNumberChar"/>
                <w:sz w:val="20"/>
                <w:szCs w:val="20"/>
              </w:rPr>
              <w:t>37201</w:t>
            </w:r>
          </w:p>
        </w:tc>
        <w:tc>
          <w:tcPr>
            <w:tcW w:w="4457" w:type="pct"/>
            <w:gridSpan w:val="3"/>
          </w:tcPr>
          <w:p w:rsidR="00AD651B" w:rsidRPr="00813401" w:rsidRDefault="00AD651B" w:rsidP="00AD651B">
            <w:pPr>
              <w:pStyle w:val="SCCLsocParty"/>
              <w:jc w:val="both"/>
              <w:rPr>
                <w:b/>
                <w:sz w:val="20"/>
                <w:szCs w:val="20"/>
                <w:lang w:val="en-US"/>
              </w:rPr>
            </w:pPr>
            <w:proofErr w:type="spellStart"/>
            <w:r w:rsidRPr="00813401">
              <w:rPr>
                <w:b/>
                <w:sz w:val="20"/>
                <w:szCs w:val="20"/>
                <w:lang w:val="en-US"/>
              </w:rPr>
              <w:t>Raincoast</w:t>
            </w:r>
            <w:proofErr w:type="spellEnd"/>
            <w:r w:rsidRPr="00813401">
              <w:rPr>
                <w:b/>
                <w:sz w:val="20"/>
                <w:szCs w:val="20"/>
                <w:lang w:val="en-US"/>
              </w:rPr>
              <w:t xml:space="preserve"> Conservation Foundation v. Her Majesty the Queen, Attorney General of Canada, Minister of the Environment, Northern Gateway Pipelines Inc., Northern Gateway Pipelines Limited Partnership, National Energy Board</w:t>
            </w:r>
          </w:p>
          <w:p w:rsidR="00AD651B" w:rsidRPr="00813401" w:rsidRDefault="00AD651B" w:rsidP="00AD651B">
            <w:pPr>
              <w:pStyle w:val="SCCLsocOtherPartySeparator"/>
              <w:rPr>
                <w:sz w:val="20"/>
                <w:szCs w:val="20"/>
              </w:rPr>
            </w:pPr>
            <w:r w:rsidRPr="00813401">
              <w:rPr>
                <w:sz w:val="20"/>
                <w:szCs w:val="20"/>
              </w:rPr>
              <w:t>- and -</w:t>
            </w:r>
          </w:p>
          <w:p w:rsidR="00AD651B" w:rsidRPr="00813401" w:rsidRDefault="00AD651B" w:rsidP="00AD651B">
            <w:pPr>
              <w:pStyle w:val="SCCLsocParty"/>
              <w:jc w:val="both"/>
              <w:rPr>
                <w:b/>
                <w:sz w:val="20"/>
                <w:szCs w:val="20"/>
                <w:lang w:val="en-US"/>
              </w:rPr>
            </w:pPr>
            <w:r w:rsidRPr="00813401">
              <w:rPr>
                <w:b/>
                <w:sz w:val="20"/>
                <w:szCs w:val="20"/>
                <w:lang w:val="en-US"/>
              </w:rPr>
              <w:t>Attorney General of British Columbia</w:t>
            </w:r>
          </w:p>
          <w:p w:rsidR="00AD651B" w:rsidRPr="00813401" w:rsidRDefault="00AD651B" w:rsidP="00AD651B">
            <w:pPr>
              <w:jc w:val="both"/>
              <w:rPr>
                <w:sz w:val="20"/>
              </w:rPr>
            </w:pPr>
            <w:r w:rsidRPr="00813401">
              <w:rPr>
                <w:sz w:val="20"/>
              </w:rPr>
              <w:t>(FC) (Civil) (By Leave)</w:t>
            </w:r>
          </w:p>
        </w:tc>
      </w:tr>
      <w:tr w:rsidR="00AD651B" w:rsidRPr="00813401" w:rsidTr="00AD651B">
        <w:tc>
          <w:tcPr>
            <w:tcW w:w="5000" w:type="pct"/>
            <w:gridSpan w:val="4"/>
          </w:tcPr>
          <w:p w:rsidR="00AD651B" w:rsidRPr="00813401" w:rsidRDefault="00AD651B" w:rsidP="00AD651B">
            <w:pPr>
              <w:jc w:val="both"/>
              <w:rPr>
                <w:sz w:val="20"/>
              </w:rPr>
            </w:pPr>
            <w:r w:rsidRPr="00813401">
              <w:rPr>
                <w:sz w:val="20"/>
              </w:rPr>
              <w:t xml:space="preserve">Legislation – Interpretation – Administrative law – Judicial review – Can sections 29 through 31 of the </w:t>
            </w:r>
            <w:r w:rsidRPr="00813401">
              <w:rPr>
                <w:i/>
                <w:noProof/>
                <w:sz w:val="20"/>
              </w:rPr>
              <w:t>Canadian Environmental Assessment Act</w:t>
            </w:r>
            <w:r w:rsidRPr="00813401">
              <w:rPr>
                <w:noProof/>
                <w:sz w:val="20"/>
              </w:rPr>
              <w:t xml:space="preserve">, 2012, S.C. 2012, C 19, s 52 </w:t>
            </w:r>
            <w:r w:rsidRPr="00813401">
              <w:rPr>
                <w:sz w:val="20"/>
              </w:rPr>
              <w:t>be read in such a way as to preclude judicial review of the report of the Joint Review Panel.</w:t>
            </w:r>
          </w:p>
          <w:p w:rsidR="00AD651B" w:rsidRPr="00813401" w:rsidRDefault="00AD651B" w:rsidP="00AD651B">
            <w:pPr>
              <w:jc w:val="both"/>
              <w:rPr>
                <w:sz w:val="20"/>
              </w:rPr>
            </w:pPr>
          </w:p>
        </w:tc>
      </w:tr>
      <w:tr w:rsidR="00AD651B" w:rsidRPr="00813401" w:rsidTr="00AD651B">
        <w:tc>
          <w:tcPr>
            <w:tcW w:w="5000" w:type="pct"/>
            <w:gridSpan w:val="4"/>
          </w:tcPr>
          <w:p w:rsidR="00AD651B" w:rsidRPr="00813401" w:rsidRDefault="00AD651B" w:rsidP="00AD651B">
            <w:pPr>
              <w:jc w:val="both"/>
              <w:rPr>
                <w:sz w:val="20"/>
              </w:rPr>
            </w:pPr>
            <w:r w:rsidRPr="00813401">
              <w:rPr>
                <w:sz w:val="20"/>
              </w:rPr>
              <w:t xml:space="preserve">As part of the process to obtain certificates, the Northern Gateway project (the “Project”) was referred to a Joint Review Panel. The Joint Review Panel prepared a report pursuant to the </w:t>
            </w:r>
            <w:r w:rsidRPr="00813401">
              <w:rPr>
                <w:i/>
                <w:sz w:val="20"/>
              </w:rPr>
              <w:t>National Energy Board Act</w:t>
            </w:r>
            <w:r w:rsidRPr="00813401">
              <w:rPr>
                <w:sz w:val="20"/>
              </w:rPr>
              <w:t>, R.S.C. 1985, c. N-7</w:t>
            </w:r>
            <w:r w:rsidRPr="00813401">
              <w:rPr>
                <w:i/>
                <w:sz w:val="20"/>
              </w:rPr>
              <w:t xml:space="preserve">, </w:t>
            </w:r>
            <w:r w:rsidRPr="00813401">
              <w:rPr>
                <w:sz w:val="20"/>
              </w:rPr>
              <w:t>as amended, (the “</w:t>
            </w:r>
            <w:r w:rsidRPr="00813401">
              <w:rPr>
                <w:i/>
                <w:sz w:val="20"/>
              </w:rPr>
              <w:t>NEB Act</w:t>
            </w:r>
            <w:r w:rsidRPr="00813401">
              <w:rPr>
                <w:sz w:val="20"/>
              </w:rPr>
              <w:t xml:space="preserve">”) and an environmental assessment pursuant to the </w:t>
            </w:r>
            <w:r w:rsidRPr="00813401">
              <w:rPr>
                <w:i/>
                <w:sz w:val="20"/>
              </w:rPr>
              <w:t>Canadian Environmental Assessment Act, 2012</w:t>
            </w:r>
            <w:r w:rsidRPr="00813401">
              <w:rPr>
                <w:sz w:val="20"/>
              </w:rPr>
              <w:t>, S.C. 2012, c 19, s 52 (“</w:t>
            </w:r>
            <w:r w:rsidRPr="00813401">
              <w:rPr>
                <w:i/>
                <w:sz w:val="20"/>
              </w:rPr>
              <w:t>CEAA 2012</w:t>
            </w:r>
            <w:r w:rsidRPr="00813401">
              <w:rPr>
                <w:sz w:val="20"/>
              </w:rPr>
              <w:t xml:space="preserve">”). The Joint Review Panel’s report found the Project to be in the public interest and recommended that the requisite certificates be issued, subject to 209 conditions. The report recommended that Governor in Council conclude that the potential adverse environmental effects from the Project alone were not likely to be significant, and that significant adverse cumulative effects in relation to the caribou and grizzly bear populations (resulting from past, present and foreseeable activities) are justified in the circumstances. Governor in Council accepted the recommendations from the report and issued Order in Council P.C. 2014-809. The National Energy Board issued the certificates. </w:t>
            </w:r>
          </w:p>
          <w:p w:rsidR="00AD651B" w:rsidRPr="00813401" w:rsidRDefault="00AD651B" w:rsidP="00AD651B">
            <w:pPr>
              <w:jc w:val="both"/>
              <w:rPr>
                <w:sz w:val="20"/>
              </w:rPr>
            </w:pPr>
          </w:p>
          <w:p w:rsidR="00AD651B" w:rsidRPr="00813401" w:rsidRDefault="00AD651B" w:rsidP="00AD651B">
            <w:pPr>
              <w:jc w:val="both"/>
              <w:rPr>
                <w:sz w:val="20"/>
              </w:rPr>
            </w:pPr>
            <w:r w:rsidRPr="00813401">
              <w:rPr>
                <w:sz w:val="20"/>
              </w:rPr>
              <w:t>Numerous parties brought applications for judicial review of the report of the Joint Review Panel, the Order in Council, and the certificates. The Federal Court of Appeal dismissed the applications for judicial review of the report but allowed the applications for judicial review of the Order in Council and certificates, quashing both on the basis that there had been inadequate consultations with First Nations. The matter was remitted to the Governor in Council for redetermination. The issue raised in this leave application is whether the Federal Court of Appeal erred in concluding that judicial review did not lie with respect to the report, since “[n]o decisions about legal or practical interests had been made” and “[a]</w:t>
            </w:r>
            <w:proofErr w:type="spellStart"/>
            <w:r w:rsidRPr="00813401">
              <w:rPr>
                <w:sz w:val="20"/>
              </w:rPr>
              <w:t>ny</w:t>
            </w:r>
            <w:proofErr w:type="spellEnd"/>
            <w:r w:rsidRPr="00813401">
              <w:rPr>
                <w:sz w:val="20"/>
              </w:rPr>
              <w:t xml:space="preserve"> deficiency in the Report … was to be considered only by the Governor in Council”, not the court.</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June 23, 2016</w:t>
            </w:r>
          </w:p>
          <w:p w:rsidR="00AD651B" w:rsidRPr="00813401" w:rsidRDefault="00AD651B" w:rsidP="00AD651B">
            <w:pPr>
              <w:jc w:val="both"/>
              <w:rPr>
                <w:sz w:val="20"/>
              </w:rPr>
            </w:pPr>
            <w:r w:rsidRPr="00813401">
              <w:rPr>
                <w:sz w:val="20"/>
              </w:rPr>
              <w:t>Federal Court of Appeal</w:t>
            </w:r>
          </w:p>
          <w:p w:rsidR="00AD651B" w:rsidRPr="00813401" w:rsidRDefault="00AD651B" w:rsidP="00AD651B">
            <w:pPr>
              <w:jc w:val="both"/>
              <w:rPr>
                <w:sz w:val="20"/>
              </w:rPr>
            </w:pPr>
            <w:r w:rsidRPr="00813401">
              <w:rPr>
                <w:sz w:val="20"/>
              </w:rPr>
              <w:t xml:space="preserve">(Dawson, </w:t>
            </w:r>
            <w:proofErr w:type="spellStart"/>
            <w:r w:rsidRPr="00813401">
              <w:rPr>
                <w:sz w:val="20"/>
              </w:rPr>
              <w:t>Stratas</w:t>
            </w:r>
            <w:proofErr w:type="spellEnd"/>
            <w:r w:rsidRPr="00813401">
              <w:rPr>
                <w:sz w:val="20"/>
              </w:rPr>
              <w:t xml:space="preserve"> and </w:t>
            </w:r>
            <w:proofErr w:type="spellStart"/>
            <w:r w:rsidRPr="00813401">
              <w:rPr>
                <w:sz w:val="20"/>
              </w:rPr>
              <w:t>Ryer</w:t>
            </w:r>
            <w:proofErr w:type="spellEnd"/>
            <w:r w:rsidRPr="00813401">
              <w:rPr>
                <w:sz w:val="20"/>
              </w:rPr>
              <w:t xml:space="preserve"> JJ.A.(dissenting))</w:t>
            </w:r>
          </w:p>
          <w:p w:rsidR="00AD651B" w:rsidRPr="00813401" w:rsidRDefault="00AD651B" w:rsidP="00AD651B">
            <w:pPr>
              <w:jc w:val="both"/>
              <w:rPr>
                <w:sz w:val="20"/>
              </w:rPr>
            </w:pPr>
            <w:hyperlink r:id="rId48" w:history="1">
              <w:r w:rsidRPr="00813401">
                <w:rPr>
                  <w:rStyle w:val="Hyperlink"/>
                  <w:sz w:val="20"/>
                </w:rPr>
                <w:t>2016 FCA 187</w:t>
              </w:r>
            </w:hyperlink>
            <w:r w:rsidRPr="00813401">
              <w:rPr>
                <w:sz w:val="20"/>
              </w:rPr>
              <w:t>; A-56-14</w:t>
            </w:r>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Application for judicial review dismissed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September 21, 2016</w:t>
            </w:r>
          </w:p>
          <w:p w:rsidR="00AD651B" w:rsidRPr="00813401" w:rsidRDefault="00AD651B" w:rsidP="00AD651B">
            <w:pPr>
              <w:jc w:val="both"/>
              <w:rPr>
                <w:sz w:val="20"/>
              </w:rPr>
            </w:pPr>
            <w:r w:rsidRPr="00813401">
              <w:rPr>
                <w:sz w:val="20"/>
              </w:rPr>
              <w:t>Supreme Court of Canada</w:t>
            </w: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Application for leave to appeal filed</w:t>
            </w:r>
          </w:p>
          <w:p w:rsidR="00AD651B" w:rsidRPr="00813401" w:rsidRDefault="00AD651B" w:rsidP="00AD651B">
            <w:pPr>
              <w:jc w:val="both"/>
              <w:rPr>
                <w:sz w:val="20"/>
              </w:rPr>
            </w:pPr>
          </w:p>
        </w:tc>
      </w:tr>
    </w:tbl>
    <w:p w:rsidR="00AD651B" w:rsidRPr="00813401" w:rsidRDefault="00AD651B" w:rsidP="00AD651B">
      <w:pPr>
        <w:jc w:val="both"/>
        <w:rPr>
          <w:sz w:val="20"/>
        </w:rPr>
      </w:pPr>
    </w:p>
    <w:p w:rsidR="00A60453" w:rsidRPr="00813401" w:rsidRDefault="00A60453" w:rsidP="00AD65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rPr>
            </w:pPr>
            <w:r w:rsidRPr="00813401">
              <w:rPr>
                <w:rStyle w:val="SCCFileNumberChar"/>
                <w:sz w:val="20"/>
                <w:szCs w:val="20"/>
              </w:rPr>
              <w:t>37201</w:t>
            </w:r>
          </w:p>
        </w:tc>
        <w:tc>
          <w:tcPr>
            <w:tcW w:w="4457" w:type="pct"/>
            <w:gridSpan w:val="3"/>
          </w:tcPr>
          <w:p w:rsidR="00AD651B" w:rsidRPr="00813401" w:rsidRDefault="00AD651B" w:rsidP="00AD651B">
            <w:pPr>
              <w:pStyle w:val="SCCLsocParty"/>
              <w:jc w:val="both"/>
              <w:rPr>
                <w:b/>
                <w:sz w:val="20"/>
                <w:szCs w:val="20"/>
              </w:rPr>
            </w:pPr>
            <w:r w:rsidRPr="00813401">
              <w:rPr>
                <w:b/>
                <w:sz w:val="20"/>
                <w:szCs w:val="20"/>
              </w:rPr>
              <w:t xml:space="preserve">Raincoast Conservation Foundation c. Sa Majesté la Reine, le procureur général  du Canada, le ministre de l’Environnement, Northern Gateway Pipelines Inc., Northern Gateway Pipelines Limited </w:t>
            </w:r>
            <w:proofErr w:type="spellStart"/>
            <w:r w:rsidRPr="00813401">
              <w:rPr>
                <w:b/>
                <w:sz w:val="20"/>
                <w:szCs w:val="20"/>
              </w:rPr>
              <w:t>Partnership</w:t>
            </w:r>
            <w:proofErr w:type="spellEnd"/>
            <w:r w:rsidRPr="00813401">
              <w:rPr>
                <w:b/>
                <w:sz w:val="20"/>
                <w:szCs w:val="20"/>
              </w:rPr>
              <w:t>, l’Office national de l’énergie</w:t>
            </w:r>
          </w:p>
          <w:p w:rsidR="00AD651B" w:rsidRPr="00813401" w:rsidRDefault="00AD651B" w:rsidP="00AD651B">
            <w:pPr>
              <w:pStyle w:val="SCCLsocOtherPartySeparator"/>
              <w:rPr>
                <w:sz w:val="20"/>
                <w:szCs w:val="20"/>
                <w:lang w:val="fr-CA"/>
              </w:rPr>
            </w:pPr>
            <w:r w:rsidRPr="00813401">
              <w:rPr>
                <w:sz w:val="20"/>
                <w:szCs w:val="20"/>
                <w:lang w:val="fr-CA"/>
              </w:rPr>
              <w:t>- et -</w:t>
            </w:r>
          </w:p>
          <w:p w:rsidR="00AD651B" w:rsidRPr="00813401" w:rsidRDefault="00AD651B" w:rsidP="00AD651B">
            <w:pPr>
              <w:pStyle w:val="SCCLsocParty"/>
              <w:jc w:val="both"/>
              <w:rPr>
                <w:b/>
                <w:sz w:val="20"/>
                <w:szCs w:val="20"/>
              </w:rPr>
            </w:pPr>
            <w:r w:rsidRPr="00813401">
              <w:rPr>
                <w:b/>
                <w:sz w:val="20"/>
                <w:szCs w:val="20"/>
              </w:rPr>
              <w:t>Procureur général de la Colombie-Britannique</w:t>
            </w:r>
          </w:p>
          <w:p w:rsidR="00AD651B" w:rsidRPr="00813401" w:rsidRDefault="00AD651B" w:rsidP="00AD651B">
            <w:pPr>
              <w:jc w:val="both"/>
              <w:rPr>
                <w:sz w:val="20"/>
              </w:rPr>
            </w:pPr>
            <w:r w:rsidRPr="00813401">
              <w:rPr>
                <w:sz w:val="20"/>
              </w:rPr>
              <w:t xml:space="preserve">(CF) (Civile) (Sur </w:t>
            </w:r>
            <w:proofErr w:type="spellStart"/>
            <w:r w:rsidRPr="00813401">
              <w:rPr>
                <w:sz w:val="20"/>
              </w:rPr>
              <w:t>autorisation</w:t>
            </w:r>
            <w:proofErr w:type="spellEnd"/>
            <w:r w:rsidRPr="00813401">
              <w:rPr>
                <w:sz w:val="20"/>
              </w:rPr>
              <w:t>)</w:t>
            </w:r>
          </w:p>
        </w:tc>
      </w:tr>
      <w:tr w:rsidR="00AD651B" w:rsidRPr="00813401" w:rsidTr="00AD651B">
        <w:tc>
          <w:tcPr>
            <w:tcW w:w="5000" w:type="pct"/>
            <w:gridSpan w:val="4"/>
          </w:tcPr>
          <w:p w:rsidR="00AD651B" w:rsidRPr="00813401" w:rsidRDefault="00AD651B" w:rsidP="00AD651B">
            <w:pPr>
              <w:jc w:val="both"/>
              <w:rPr>
                <w:sz w:val="20"/>
                <w:lang w:val="fr-CA"/>
              </w:rPr>
            </w:pPr>
            <w:r w:rsidRPr="00813401">
              <w:rPr>
                <w:sz w:val="20"/>
                <w:lang w:val="fr-CA"/>
              </w:rPr>
              <w:t xml:space="preserve">Législation – Interprétation – Droit administratif – Contrôle judiciaire – Peut-on interpréter </w:t>
            </w:r>
            <w:proofErr w:type="gramStart"/>
            <w:r w:rsidRPr="00813401">
              <w:rPr>
                <w:sz w:val="20"/>
                <w:lang w:val="fr-CA"/>
              </w:rPr>
              <w:t>les art</w:t>
            </w:r>
            <w:proofErr w:type="gramEnd"/>
            <w:r w:rsidRPr="00813401">
              <w:rPr>
                <w:sz w:val="20"/>
                <w:lang w:val="fr-CA"/>
              </w:rPr>
              <w:t xml:space="preserve">. 29 à 31 de la </w:t>
            </w:r>
            <w:r w:rsidRPr="00813401">
              <w:rPr>
                <w:i/>
                <w:sz w:val="20"/>
                <w:lang w:val="fr-CA"/>
              </w:rPr>
              <w:t>Loi canadienne sur l’évaluation environnementale (2012)</w:t>
            </w:r>
            <w:r w:rsidRPr="00813401">
              <w:rPr>
                <w:sz w:val="20"/>
                <w:lang w:val="fr-CA"/>
              </w:rPr>
              <w:t xml:space="preserve">, L.C. </w:t>
            </w:r>
            <w:r w:rsidRPr="00813401">
              <w:rPr>
                <w:noProof/>
                <w:sz w:val="20"/>
                <w:lang w:val="fr-CA"/>
              </w:rPr>
              <w:t>2012, c. 19, art. 52, de manière à empêcher le contrôle judiciaire du rapport de la Commission d’examen conjoint</w:t>
            </w:r>
            <w:r w:rsidRPr="00813401">
              <w:rPr>
                <w:sz w:val="20"/>
                <w:lang w:val="fr-CA"/>
              </w:rPr>
              <w:t>?</w:t>
            </w:r>
          </w:p>
          <w:p w:rsidR="00AD651B" w:rsidRPr="00813401" w:rsidRDefault="00AD651B" w:rsidP="00AD651B">
            <w:pPr>
              <w:jc w:val="both"/>
              <w:rPr>
                <w:sz w:val="20"/>
                <w:lang w:val="fr-CA"/>
              </w:rPr>
            </w:pPr>
          </w:p>
        </w:tc>
      </w:tr>
      <w:tr w:rsidR="00AD651B" w:rsidRPr="00813401" w:rsidTr="00AD651B">
        <w:tc>
          <w:tcPr>
            <w:tcW w:w="5000" w:type="pct"/>
            <w:gridSpan w:val="4"/>
          </w:tcPr>
          <w:p w:rsidR="00AD651B" w:rsidRPr="00813401" w:rsidRDefault="00AD651B" w:rsidP="00AD651B">
            <w:pPr>
              <w:jc w:val="both"/>
              <w:rPr>
                <w:sz w:val="20"/>
                <w:lang w:val="fr-CA"/>
              </w:rPr>
            </w:pPr>
            <w:r w:rsidRPr="00813401">
              <w:rPr>
                <w:sz w:val="20"/>
                <w:lang w:val="fr-CA"/>
              </w:rPr>
              <w:lastRenderedPageBreak/>
              <w:t xml:space="preserve">Le projet </w:t>
            </w:r>
            <w:proofErr w:type="spellStart"/>
            <w:r w:rsidRPr="00813401">
              <w:rPr>
                <w:sz w:val="20"/>
                <w:lang w:val="fr-CA"/>
              </w:rPr>
              <w:t>Northern</w:t>
            </w:r>
            <w:proofErr w:type="spellEnd"/>
            <w:r w:rsidRPr="00813401">
              <w:rPr>
                <w:sz w:val="20"/>
                <w:lang w:val="fr-CA"/>
              </w:rPr>
              <w:t xml:space="preserve"> Gateway (le « Projet ») a été renvoyé à une commission d’examen conjoint dans le cadre de la procédure à suivre pour obtenir des certificats. La Commission d’examen conjoint a rédigé un rapport au titre de la </w:t>
            </w:r>
            <w:r w:rsidRPr="00813401">
              <w:rPr>
                <w:i/>
                <w:sz w:val="20"/>
                <w:lang w:val="fr-CA"/>
              </w:rPr>
              <w:t>Loi sur l’Office national de l’énergie</w:t>
            </w:r>
            <w:r w:rsidRPr="00813401">
              <w:rPr>
                <w:sz w:val="20"/>
                <w:lang w:val="fr-CA"/>
              </w:rPr>
              <w:t>, L.R.C. 1985, c. N-7</w:t>
            </w:r>
            <w:r w:rsidRPr="00813401">
              <w:rPr>
                <w:i/>
                <w:sz w:val="20"/>
                <w:lang w:val="fr-CA"/>
              </w:rPr>
              <w:t xml:space="preserve">, </w:t>
            </w:r>
            <w:r w:rsidRPr="00813401">
              <w:rPr>
                <w:sz w:val="20"/>
                <w:lang w:val="fr-CA"/>
              </w:rPr>
              <w:t>dans sa version modifiée (la « </w:t>
            </w:r>
            <w:r w:rsidRPr="00813401">
              <w:rPr>
                <w:i/>
                <w:sz w:val="20"/>
                <w:lang w:val="fr-CA"/>
              </w:rPr>
              <w:t>Loi sur l’ONÉ</w:t>
            </w:r>
            <w:r w:rsidRPr="00813401">
              <w:rPr>
                <w:sz w:val="20"/>
                <w:lang w:val="fr-CA"/>
              </w:rPr>
              <w:t xml:space="preserve"> ») et une évaluation environnementale au titre de la </w:t>
            </w:r>
            <w:r w:rsidRPr="00813401">
              <w:rPr>
                <w:i/>
                <w:sz w:val="20"/>
                <w:lang w:val="fr-CA"/>
              </w:rPr>
              <w:t>Loi canadienne sur l’évaluation environnementale (2012)</w:t>
            </w:r>
            <w:r w:rsidRPr="00813401">
              <w:rPr>
                <w:sz w:val="20"/>
                <w:lang w:val="fr-CA"/>
              </w:rPr>
              <w:t xml:space="preserve">, L.C. </w:t>
            </w:r>
            <w:r w:rsidRPr="00813401">
              <w:rPr>
                <w:noProof/>
                <w:sz w:val="20"/>
                <w:lang w:val="fr-CA"/>
              </w:rPr>
              <w:t xml:space="preserve">2012, c. 19, art. 52 </w:t>
            </w:r>
            <w:r w:rsidRPr="00813401">
              <w:rPr>
                <w:sz w:val="20"/>
                <w:lang w:val="fr-CA"/>
              </w:rPr>
              <w:t>(« </w:t>
            </w:r>
            <w:r w:rsidRPr="00813401">
              <w:rPr>
                <w:i/>
                <w:sz w:val="20"/>
                <w:lang w:val="fr-CA"/>
              </w:rPr>
              <w:t>LCÉE de 2012 </w:t>
            </w:r>
            <w:r w:rsidRPr="00813401">
              <w:rPr>
                <w:sz w:val="20"/>
                <w:lang w:val="fr-CA"/>
              </w:rPr>
              <w:t xml:space="preserve">»). La Commission d’examen conjoint a conclu dans son rapport que le Projet était dans l’intérêt public et elle a recommandé la délivrance des certificats nécessaires sous réserve de 209 conditions. Le rapport recommandait au gouverneur en conseil de conclure que les effets environnementaux négatifs pouvant découler du Projet à lui seul n’étaient pas susceptibles d’être importants et que les </w:t>
            </w:r>
            <w:r w:rsidRPr="00813401">
              <w:rPr>
                <w:color w:val="000000"/>
                <w:sz w:val="20"/>
                <w:lang w:val="fr-CA"/>
              </w:rPr>
              <w:t xml:space="preserve">effets négatifs cumulatifs importants concernant les populations de caribous et de grizzlis </w:t>
            </w:r>
            <w:r w:rsidRPr="00813401">
              <w:rPr>
                <w:sz w:val="20"/>
                <w:lang w:val="fr-CA"/>
              </w:rPr>
              <w:t>(découlant des activités passées, présentes et prévisibles)</w:t>
            </w:r>
            <w:r w:rsidRPr="00813401">
              <w:rPr>
                <w:color w:val="000000"/>
                <w:sz w:val="20"/>
                <w:lang w:val="fr-CA"/>
              </w:rPr>
              <w:t xml:space="preserve"> sont justifiables dans les circonstances</w:t>
            </w:r>
            <w:r w:rsidRPr="00813401">
              <w:rPr>
                <w:sz w:val="20"/>
                <w:lang w:val="fr-CA"/>
              </w:rPr>
              <w:t xml:space="preserve">. Le gouverneur en conseil a accepté les recommandations du rapport et pris le décret C.P. 2014-809. L’Office national de l’énergie a délivré les certificats. </w:t>
            </w:r>
          </w:p>
          <w:p w:rsidR="00AD651B" w:rsidRPr="00813401" w:rsidRDefault="00AD651B" w:rsidP="00AD651B">
            <w:pPr>
              <w:jc w:val="both"/>
              <w:rPr>
                <w:sz w:val="20"/>
                <w:lang w:val="fr-CA"/>
              </w:rPr>
            </w:pPr>
          </w:p>
          <w:p w:rsidR="00AD651B" w:rsidRPr="00813401" w:rsidRDefault="00AD651B" w:rsidP="00AD651B">
            <w:pPr>
              <w:jc w:val="both"/>
              <w:rPr>
                <w:sz w:val="20"/>
                <w:lang w:val="fr-CA"/>
              </w:rPr>
            </w:pPr>
            <w:r w:rsidRPr="00813401">
              <w:rPr>
                <w:sz w:val="20"/>
                <w:lang w:val="fr-CA"/>
              </w:rPr>
              <w:t>De nombreuses parties ont sollicité le contrôle judiciaire du rapport de la Commission d’examen conjoint, du décret et des certificats. La Cour d’appel fédérale a rejeté les demandes de contrôle judiciaire concernant le rapport mais accueilli les demandes de contrôle judiciaire à l’égard du décret et des certificats, cassant à la fois le décret et les certificats au motif que les consultations menées auprès des Premières Nations étaient inadéquates. L’affaire a été renvoyée au gouverneur en conseil pour nouvelle décision. La question soulevée dans cette demande d’autorisation d’appel est de savoir si la Cour d’appel fédérale a conclu à tort qu’il ne pouvait y avoir contrôle judiciaire du rapport car « [a]</w:t>
            </w:r>
            <w:proofErr w:type="spellStart"/>
            <w:r w:rsidRPr="00813401">
              <w:rPr>
                <w:sz w:val="20"/>
                <w:lang w:val="fr-CA"/>
              </w:rPr>
              <w:t>ucune</w:t>
            </w:r>
            <w:proofErr w:type="spellEnd"/>
            <w:r w:rsidRPr="00813401">
              <w:rPr>
                <w:sz w:val="20"/>
                <w:lang w:val="fr-CA"/>
              </w:rPr>
              <w:t xml:space="preserve"> décision sur des intérêts juridiques ou pratiques n’avait été rendue » et « </w:t>
            </w:r>
            <w:r w:rsidRPr="00813401">
              <w:rPr>
                <w:color w:val="000000"/>
                <w:sz w:val="20"/>
                <w:lang w:val="fr-CA"/>
              </w:rPr>
              <w:t>toute lacune dans le rapport […] devait être examinée uniquement par le gouverneur en conseil et non par la Cour ».</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23 juin 2016</w:t>
            </w:r>
          </w:p>
          <w:p w:rsidR="00AD651B" w:rsidRPr="00813401" w:rsidRDefault="00AD651B" w:rsidP="00AD651B">
            <w:pPr>
              <w:jc w:val="both"/>
              <w:rPr>
                <w:sz w:val="20"/>
                <w:lang w:val="fr-CA"/>
              </w:rPr>
            </w:pPr>
            <w:r w:rsidRPr="00813401">
              <w:rPr>
                <w:sz w:val="20"/>
                <w:lang w:val="fr-CA"/>
              </w:rPr>
              <w:t>Cour d’appel fédérale</w:t>
            </w:r>
          </w:p>
          <w:p w:rsidR="00AD651B" w:rsidRPr="00813401" w:rsidRDefault="00AD651B" w:rsidP="00AD651B">
            <w:pPr>
              <w:jc w:val="both"/>
              <w:rPr>
                <w:sz w:val="20"/>
                <w:lang w:val="fr-CA"/>
              </w:rPr>
            </w:pPr>
            <w:r w:rsidRPr="00813401">
              <w:rPr>
                <w:sz w:val="20"/>
                <w:lang w:val="fr-CA"/>
              </w:rPr>
              <w:t>(Juges Dawson, Stratas et Ryer (dissident))</w:t>
            </w:r>
          </w:p>
          <w:p w:rsidR="00AD651B" w:rsidRPr="00813401" w:rsidRDefault="00AD651B" w:rsidP="00AD651B">
            <w:pPr>
              <w:jc w:val="both"/>
              <w:rPr>
                <w:sz w:val="20"/>
              </w:rPr>
            </w:pPr>
            <w:hyperlink r:id="rId49" w:history="1">
              <w:r w:rsidRPr="00813401">
                <w:rPr>
                  <w:rStyle w:val="Hyperlink"/>
                  <w:sz w:val="20"/>
                </w:rPr>
                <w:t>2016 CAF 187</w:t>
              </w:r>
            </w:hyperlink>
            <w:r w:rsidRPr="00813401">
              <w:rPr>
                <w:sz w:val="20"/>
              </w:rPr>
              <w:t>; A-56-14</w:t>
            </w:r>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lang w:val="fr-CA"/>
              </w:rPr>
            </w:pPr>
            <w:r w:rsidRPr="00813401">
              <w:rPr>
                <w:sz w:val="20"/>
                <w:lang w:val="fr-CA"/>
              </w:rPr>
              <w:t>Rejet de la demande de contrôle judiciaire</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21 septembre 2016</w:t>
            </w:r>
          </w:p>
          <w:p w:rsidR="00AD651B" w:rsidRPr="00813401" w:rsidRDefault="00AD651B" w:rsidP="00AD651B">
            <w:pPr>
              <w:jc w:val="both"/>
              <w:rPr>
                <w:sz w:val="20"/>
                <w:lang w:val="fr-CA"/>
              </w:rPr>
            </w:pPr>
            <w:r w:rsidRPr="00813401">
              <w:rPr>
                <w:sz w:val="20"/>
                <w:lang w:val="fr-CA"/>
              </w:rPr>
              <w:t>Cour suprême du Canada</w:t>
            </w: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Dépôt de la demande d’autorisation d’appel</w:t>
            </w:r>
          </w:p>
          <w:p w:rsidR="00AD651B" w:rsidRPr="00813401" w:rsidRDefault="00AD651B" w:rsidP="00AD651B">
            <w:pPr>
              <w:jc w:val="both"/>
              <w:rPr>
                <w:sz w:val="20"/>
                <w:lang w:val="fr-CA"/>
              </w:rPr>
            </w:pPr>
          </w:p>
        </w:tc>
      </w:tr>
    </w:tbl>
    <w:p w:rsidR="00AD651B" w:rsidRPr="00813401" w:rsidRDefault="00AD651B" w:rsidP="00AD651B">
      <w:pPr>
        <w:jc w:val="both"/>
        <w:rPr>
          <w:sz w:val="20"/>
          <w:lang w:val="fr-CA"/>
        </w:rPr>
      </w:pPr>
    </w:p>
    <w:p w:rsidR="00AD651B" w:rsidRPr="00813401" w:rsidRDefault="00AD651B" w:rsidP="00AD65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rPr>
            </w:pPr>
            <w:r w:rsidRPr="00813401">
              <w:rPr>
                <w:rStyle w:val="SCCFileNumberChar"/>
                <w:sz w:val="20"/>
                <w:szCs w:val="20"/>
              </w:rPr>
              <w:t>37107</w:t>
            </w:r>
          </w:p>
        </w:tc>
        <w:tc>
          <w:tcPr>
            <w:tcW w:w="4457" w:type="pct"/>
            <w:gridSpan w:val="3"/>
          </w:tcPr>
          <w:p w:rsidR="00AD651B" w:rsidRPr="00813401" w:rsidRDefault="00AD651B" w:rsidP="00AD651B">
            <w:pPr>
              <w:pStyle w:val="SCCLsocParty"/>
              <w:jc w:val="both"/>
              <w:rPr>
                <w:b/>
                <w:sz w:val="20"/>
                <w:szCs w:val="20"/>
                <w:lang w:val="en-US"/>
              </w:rPr>
            </w:pPr>
            <w:r w:rsidRPr="00813401">
              <w:rPr>
                <w:b/>
                <w:sz w:val="20"/>
                <w:szCs w:val="20"/>
                <w:lang w:val="en-US"/>
              </w:rPr>
              <w:t>Mark Eldon Wilson v. Minister of Justice, Attorney General of Canada on behalf of the United States of America</w:t>
            </w:r>
          </w:p>
          <w:p w:rsidR="00AD651B" w:rsidRPr="00813401" w:rsidRDefault="00AD651B" w:rsidP="00AD651B">
            <w:pPr>
              <w:jc w:val="both"/>
              <w:rPr>
                <w:sz w:val="20"/>
              </w:rPr>
            </w:pPr>
            <w:r w:rsidRPr="00813401">
              <w:rPr>
                <w:sz w:val="20"/>
              </w:rPr>
              <w:t>(B.C.) (Criminal) (By Leave)</w:t>
            </w:r>
          </w:p>
        </w:tc>
      </w:tr>
      <w:tr w:rsidR="00AD651B" w:rsidRPr="00813401" w:rsidTr="00AD651B">
        <w:tc>
          <w:tcPr>
            <w:tcW w:w="5000" w:type="pct"/>
            <w:gridSpan w:val="4"/>
          </w:tcPr>
          <w:p w:rsidR="00AD651B" w:rsidRPr="00813401" w:rsidRDefault="00AD651B" w:rsidP="00AD651B">
            <w:pPr>
              <w:jc w:val="both"/>
              <w:rPr>
                <w:sz w:val="20"/>
              </w:rPr>
            </w:pPr>
            <w:r w:rsidRPr="00813401">
              <w:rPr>
                <w:sz w:val="20"/>
              </w:rPr>
              <w:t>Extradition – Stay of proceedings – Abuse of process – Applicant committed for extradition on Canadian offences of fraud and attempted fraud – Applicant alleging abuse of process – Whether Court of Appeal erred in finding that state conduct did not amount to abuse of process – Whether Court of Appeal erred in comparing remedy of stay of proceedings with remedy of discharge and in stating that applicant only sought stay of proceedings for abuse of process.</w:t>
            </w:r>
          </w:p>
        </w:tc>
      </w:tr>
      <w:tr w:rsidR="00AD651B" w:rsidRPr="00813401" w:rsidTr="00AD651B">
        <w:tc>
          <w:tcPr>
            <w:tcW w:w="5000" w:type="pct"/>
            <w:gridSpan w:val="4"/>
          </w:tcPr>
          <w:p w:rsidR="00AD651B" w:rsidRPr="00813401" w:rsidRDefault="00AD651B" w:rsidP="00AD651B">
            <w:pPr>
              <w:jc w:val="both"/>
              <w:rPr>
                <w:sz w:val="20"/>
              </w:rPr>
            </w:pPr>
          </w:p>
        </w:tc>
      </w:tr>
      <w:tr w:rsidR="00AD651B" w:rsidRPr="00813401" w:rsidTr="00AD651B">
        <w:tc>
          <w:tcPr>
            <w:tcW w:w="5000" w:type="pct"/>
            <w:gridSpan w:val="4"/>
          </w:tcPr>
          <w:p w:rsidR="00AD651B" w:rsidRPr="00813401" w:rsidRDefault="00AD651B" w:rsidP="00AD651B">
            <w:pPr>
              <w:jc w:val="both"/>
              <w:rPr>
                <w:sz w:val="20"/>
              </w:rPr>
            </w:pPr>
            <w:r w:rsidRPr="00813401">
              <w:rPr>
                <w:sz w:val="20"/>
              </w:rPr>
              <w:t>The United States of America seeks to extradite the applicant, Mr. Wilson. It is alleged that he participated in a fraudulent telemarketing scheme which operated out of British Columbia between 1998 and 2001. The scheme involved telemarketers telephoning American residents and offering them credit card fraud protection which had little, if any, value. In 2013, Mr. Wilson was committed for extradition on the Canadian offences of fraud and attempted fraud, and the Minister of Justice subsequently ordered his surrender. Mr. Wilson appealed the committal order and sought judicial review of the surrender order. The Court of Appeal dismissed the appeal and the application for judicial review.</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November 8, 2013</w:t>
            </w:r>
          </w:p>
          <w:p w:rsidR="00AD651B" w:rsidRPr="00813401" w:rsidRDefault="00AD651B" w:rsidP="00AD651B">
            <w:pPr>
              <w:jc w:val="both"/>
              <w:rPr>
                <w:sz w:val="20"/>
              </w:rPr>
            </w:pPr>
            <w:r w:rsidRPr="00813401">
              <w:rPr>
                <w:sz w:val="20"/>
              </w:rPr>
              <w:t>Supreme Court of British Columbia</w:t>
            </w:r>
          </w:p>
          <w:p w:rsidR="00AD651B" w:rsidRPr="00813401" w:rsidRDefault="00AD651B" w:rsidP="00AD651B">
            <w:pPr>
              <w:jc w:val="both"/>
              <w:rPr>
                <w:sz w:val="20"/>
              </w:rPr>
            </w:pPr>
            <w:r w:rsidRPr="00813401">
              <w:rPr>
                <w:sz w:val="20"/>
              </w:rPr>
              <w:t>(Dickson J.)</w:t>
            </w:r>
          </w:p>
          <w:p w:rsidR="00AD651B" w:rsidRPr="00813401" w:rsidRDefault="00AD651B" w:rsidP="00AD651B">
            <w:pPr>
              <w:jc w:val="both"/>
              <w:rPr>
                <w:rStyle w:val="Hyperlink"/>
                <w:sz w:val="20"/>
              </w:rPr>
            </w:pPr>
            <w:hyperlink r:id="rId50" w:history="1">
              <w:r w:rsidRPr="00813401">
                <w:rPr>
                  <w:rStyle w:val="Hyperlink"/>
                  <w:sz w:val="20"/>
                </w:rPr>
                <w:t>2013 BCSC 2423</w:t>
              </w:r>
            </w:hyperlink>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Application for order of committal for offences of fraud and attempted fraud granted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lastRenderedPageBreak/>
              <w:t>July 29, 2014</w:t>
            </w:r>
          </w:p>
          <w:p w:rsidR="00AD651B" w:rsidRPr="00813401" w:rsidRDefault="00AD651B" w:rsidP="00AD651B">
            <w:pPr>
              <w:jc w:val="both"/>
              <w:rPr>
                <w:sz w:val="20"/>
              </w:rPr>
            </w:pPr>
            <w:r w:rsidRPr="00813401">
              <w:rPr>
                <w:sz w:val="20"/>
              </w:rPr>
              <w:t>Minister of Justice</w:t>
            </w:r>
          </w:p>
          <w:p w:rsidR="00AD651B" w:rsidRPr="00813401" w:rsidRDefault="00AD651B" w:rsidP="00AD651B">
            <w:pPr>
              <w:jc w:val="both"/>
              <w:rPr>
                <w:sz w:val="20"/>
              </w:rPr>
            </w:pPr>
            <w:r w:rsidRPr="00813401">
              <w:rPr>
                <w:sz w:val="20"/>
              </w:rPr>
              <w:t>(Honourable Peter MacKay)</w:t>
            </w:r>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Order of surrender issued</w:t>
            </w:r>
          </w:p>
        </w:tc>
      </w:tr>
      <w:tr w:rsidR="00AD651B" w:rsidRPr="00813401" w:rsidTr="00AD651B">
        <w:tc>
          <w:tcPr>
            <w:tcW w:w="2427" w:type="pct"/>
            <w:gridSpan w:val="2"/>
          </w:tcPr>
          <w:p w:rsidR="00AD651B" w:rsidRPr="00813401" w:rsidRDefault="00AD651B" w:rsidP="00AD651B">
            <w:pPr>
              <w:jc w:val="both"/>
              <w:rPr>
                <w:sz w:val="20"/>
              </w:rPr>
            </w:pPr>
            <w:r w:rsidRPr="00813401">
              <w:rPr>
                <w:sz w:val="20"/>
              </w:rPr>
              <w:t>July 27, 2016</w:t>
            </w:r>
          </w:p>
          <w:p w:rsidR="00AD651B" w:rsidRPr="00813401" w:rsidRDefault="00AD651B" w:rsidP="00AD651B">
            <w:pPr>
              <w:jc w:val="both"/>
              <w:rPr>
                <w:sz w:val="20"/>
              </w:rPr>
            </w:pPr>
            <w:r w:rsidRPr="00813401">
              <w:rPr>
                <w:sz w:val="20"/>
              </w:rPr>
              <w:t xml:space="preserve">Court of Appeal for British Columbia </w:t>
            </w:r>
          </w:p>
          <w:p w:rsidR="00AD651B" w:rsidRPr="00813401" w:rsidRDefault="00AD651B" w:rsidP="00AD651B">
            <w:pPr>
              <w:jc w:val="both"/>
              <w:rPr>
                <w:sz w:val="20"/>
              </w:rPr>
            </w:pPr>
            <w:r w:rsidRPr="00813401">
              <w:rPr>
                <w:sz w:val="20"/>
              </w:rPr>
              <w:t>(Lowry, Frankel and Fitch JJ.A.)</w:t>
            </w:r>
          </w:p>
          <w:p w:rsidR="00AD651B" w:rsidRPr="00813401" w:rsidRDefault="00AD651B" w:rsidP="00AD651B">
            <w:pPr>
              <w:jc w:val="both"/>
              <w:rPr>
                <w:sz w:val="20"/>
              </w:rPr>
            </w:pPr>
            <w:hyperlink r:id="rId51" w:history="1">
              <w:r w:rsidRPr="00813401">
                <w:rPr>
                  <w:rStyle w:val="Hyperlink"/>
                  <w:sz w:val="20"/>
                </w:rPr>
                <w:t>2016 BCCA 326</w:t>
              </w:r>
            </w:hyperlink>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rPr>
            </w:pPr>
            <w:r w:rsidRPr="00813401">
              <w:rPr>
                <w:sz w:val="20"/>
              </w:rPr>
              <w:t>Applicant’s motions to extend time granted; applicant’s fresh evidence application dismissed; respondent’s fresh evidence application granted; appeal and judicial review application dismissed</w:t>
            </w:r>
          </w:p>
          <w:p w:rsidR="00AD651B" w:rsidRPr="00813401" w:rsidRDefault="00AD651B" w:rsidP="00AD651B">
            <w:pPr>
              <w:jc w:val="both"/>
              <w:rPr>
                <w:sz w:val="20"/>
              </w:rPr>
            </w:pPr>
          </w:p>
        </w:tc>
      </w:tr>
      <w:tr w:rsidR="00AD651B" w:rsidRPr="00813401" w:rsidTr="00AD651B">
        <w:tc>
          <w:tcPr>
            <w:tcW w:w="2427" w:type="pct"/>
            <w:gridSpan w:val="2"/>
          </w:tcPr>
          <w:p w:rsidR="00AD651B" w:rsidRPr="00813401" w:rsidRDefault="00AD651B" w:rsidP="00AD651B">
            <w:pPr>
              <w:jc w:val="both"/>
              <w:rPr>
                <w:sz w:val="20"/>
              </w:rPr>
            </w:pPr>
            <w:r w:rsidRPr="00813401">
              <w:rPr>
                <w:sz w:val="20"/>
              </w:rPr>
              <w:t>November 17, 2016</w:t>
            </w:r>
          </w:p>
          <w:p w:rsidR="00AD651B" w:rsidRPr="00813401" w:rsidRDefault="00AD651B" w:rsidP="00AD651B">
            <w:pPr>
              <w:jc w:val="both"/>
              <w:rPr>
                <w:sz w:val="20"/>
              </w:rPr>
            </w:pPr>
            <w:r w:rsidRPr="00813401">
              <w:rPr>
                <w:sz w:val="20"/>
              </w:rPr>
              <w:t>Supreme Court of Canada</w:t>
            </w:r>
          </w:p>
        </w:tc>
        <w:tc>
          <w:tcPr>
            <w:tcW w:w="243" w:type="pct"/>
          </w:tcPr>
          <w:p w:rsidR="00AD651B" w:rsidRPr="00813401" w:rsidRDefault="00AD651B" w:rsidP="00AD651B">
            <w:pPr>
              <w:jc w:val="both"/>
              <w:rPr>
                <w:sz w:val="20"/>
              </w:rPr>
            </w:pPr>
          </w:p>
        </w:tc>
        <w:tc>
          <w:tcPr>
            <w:tcW w:w="2330" w:type="pct"/>
          </w:tcPr>
          <w:p w:rsidR="00AD651B" w:rsidRPr="00813401" w:rsidRDefault="00AD651B" w:rsidP="00A60453">
            <w:pPr>
              <w:jc w:val="both"/>
              <w:rPr>
                <w:sz w:val="20"/>
              </w:rPr>
            </w:pPr>
            <w:r w:rsidRPr="00813401">
              <w:rPr>
                <w:sz w:val="20"/>
              </w:rPr>
              <w:t>Motion for extension of time to serve and file leave application and application for leave to appeal filed</w:t>
            </w:r>
          </w:p>
        </w:tc>
      </w:tr>
    </w:tbl>
    <w:p w:rsidR="00AD651B" w:rsidRPr="00813401" w:rsidRDefault="00AD651B" w:rsidP="00AD651B">
      <w:pPr>
        <w:jc w:val="both"/>
        <w:rPr>
          <w:sz w:val="20"/>
        </w:rPr>
      </w:pPr>
    </w:p>
    <w:p w:rsidR="00A60453" w:rsidRPr="00813401" w:rsidRDefault="00A60453" w:rsidP="00AD65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651B" w:rsidRPr="00813401" w:rsidTr="00AD651B">
        <w:tc>
          <w:tcPr>
            <w:tcW w:w="543" w:type="pct"/>
          </w:tcPr>
          <w:p w:rsidR="00AD651B" w:rsidRPr="00813401" w:rsidRDefault="00AD651B" w:rsidP="00AD651B">
            <w:pPr>
              <w:jc w:val="both"/>
              <w:rPr>
                <w:sz w:val="20"/>
              </w:rPr>
            </w:pPr>
            <w:r w:rsidRPr="00813401">
              <w:rPr>
                <w:rStyle w:val="SCCFileNumberChar"/>
                <w:sz w:val="20"/>
                <w:szCs w:val="20"/>
              </w:rPr>
              <w:t>37107</w:t>
            </w:r>
          </w:p>
        </w:tc>
        <w:tc>
          <w:tcPr>
            <w:tcW w:w="4457" w:type="pct"/>
            <w:gridSpan w:val="3"/>
          </w:tcPr>
          <w:p w:rsidR="00AD651B" w:rsidRPr="00813401" w:rsidRDefault="00AD651B" w:rsidP="00AD651B">
            <w:pPr>
              <w:pStyle w:val="SCCLsocParty"/>
              <w:jc w:val="both"/>
              <w:rPr>
                <w:b/>
                <w:sz w:val="20"/>
                <w:szCs w:val="20"/>
              </w:rPr>
            </w:pPr>
            <w:r w:rsidRPr="00813401">
              <w:rPr>
                <w:b/>
                <w:sz w:val="20"/>
                <w:szCs w:val="20"/>
              </w:rPr>
              <w:t>Mark Eldon Wilson c. Ministre de la Justice, procureur général du Canada au nom des États-Unis d’Amérique</w:t>
            </w:r>
          </w:p>
          <w:p w:rsidR="00AD651B" w:rsidRPr="00813401" w:rsidRDefault="00AD651B" w:rsidP="00AD651B">
            <w:pPr>
              <w:jc w:val="both"/>
              <w:rPr>
                <w:sz w:val="20"/>
                <w:lang w:val="fr-CA"/>
              </w:rPr>
            </w:pPr>
            <w:r w:rsidRPr="00813401">
              <w:rPr>
                <w:sz w:val="20"/>
                <w:lang w:val="fr-CA"/>
              </w:rPr>
              <w:t>(C.-B.) (Criminelle) (Sur autorisation)</w:t>
            </w:r>
          </w:p>
        </w:tc>
      </w:tr>
      <w:tr w:rsidR="00AD651B" w:rsidRPr="00813401" w:rsidTr="00AD651B">
        <w:tc>
          <w:tcPr>
            <w:tcW w:w="5000" w:type="pct"/>
            <w:gridSpan w:val="4"/>
          </w:tcPr>
          <w:p w:rsidR="00AD651B" w:rsidRPr="00813401" w:rsidRDefault="00AD651B" w:rsidP="00AD651B">
            <w:pPr>
              <w:jc w:val="both"/>
              <w:rPr>
                <w:sz w:val="20"/>
                <w:lang w:val="fr-CA"/>
              </w:rPr>
            </w:pPr>
            <w:r w:rsidRPr="00813401">
              <w:rPr>
                <w:sz w:val="20"/>
                <w:lang w:val="fr-CA"/>
              </w:rPr>
              <w:t xml:space="preserve">Extradition – Arrêt des procédures – Abus de procédure – Incarcération du demandeur en vue de son extradition afin de le juger pour les infractions canadiennes de fraude et de tentative de fraude – Demandeur plaidant l’abus de procédure – La Cour d’appel a-t-elle conclu à tort que la conduite de l’État n’équivalait pas à un abus de procédure? – La Cour d’appel a-t-elle fait erreur en comparant l’arrêt des procédures et l’absolution, deux réparations, et en affirmant que le demandeur avait seulement réclamé l’arrêt des procédures pour abus de procédure? </w:t>
            </w:r>
          </w:p>
        </w:tc>
      </w:tr>
      <w:tr w:rsidR="00AD651B" w:rsidRPr="00813401" w:rsidTr="00AD651B">
        <w:tc>
          <w:tcPr>
            <w:tcW w:w="5000" w:type="pct"/>
            <w:gridSpan w:val="4"/>
          </w:tcPr>
          <w:p w:rsidR="00AD651B" w:rsidRPr="00813401" w:rsidRDefault="00AD651B" w:rsidP="00AD651B">
            <w:pPr>
              <w:jc w:val="both"/>
              <w:rPr>
                <w:sz w:val="20"/>
                <w:lang w:val="fr-CA"/>
              </w:rPr>
            </w:pPr>
          </w:p>
        </w:tc>
      </w:tr>
      <w:tr w:rsidR="00AD651B" w:rsidRPr="00813401" w:rsidTr="00AD651B">
        <w:tc>
          <w:tcPr>
            <w:tcW w:w="5000" w:type="pct"/>
            <w:gridSpan w:val="4"/>
          </w:tcPr>
          <w:p w:rsidR="00AD651B" w:rsidRPr="00813401" w:rsidRDefault="00AD651B" w:rsidP="00AD651B">
            <w:pPr>
              <w:jc w:val="both"/>
              <w:rPr>
                <w:sz w:val="20"/>
                <w:lang w:val="fr-CA"/>
              </w:rPr>
            </w:pPr>
            <w:r w:rsidRPr="00813401">
              <w:rPr>
                <w:sz w:val="20"/>
                <w:lang w:val="fr-CA"/>
              </w:rPr>
              <w:t>Les États-Unis d’Amérique réclament l’extradition du demandeur, M. Wilson. On reproche à ce dernier d’avoir participé à un stratagème de télémarketing frauduleux qui fonctionnait à partir de la Colombie-Britannique entre 1998 et 2001. Le stratagème consistait à appeler des résidents américains pour leur offrir une protection contre la fraude par carte de crédit qui n’avait qu’une faible valeur, sinon aucune. En 2013, M. Wilson a été incarcéré en vue de son extradition afin qu’il soit traduit en justice pour les infractions canadiennes de fraude et de tentative de fraude, et le ministre de la Justice a ordonné par la suite son extradition. M. Wilson a fait appel de l’ordonnance d’incarcération et sollicité le contrôle judiciaire de l’arrêté d’extradition. La Cour d’appel a rejeté l’appel et la demande de contrôle judiciaire.</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8 novembre 2013</w:t>
            </w:r>
          </w:p>
          <w:p w:rsidR="00AD651B" w:rsidRPr="00813401" w:rsidRDefault="00AD651B" w:rsidP="00AD651B">
            <w:pPr>
              <w:jc w:val="both"/>
              <w:rPr>
                <w:sz w:val="20"/>
                <w:lang w:val="fr-CA"/>
              </w:rPr>
            </w:pPr>
            <w:r w:rsidRPr="00813401">
              <w:rPr>
                <w:sz w:val="20"/>
                <w:lang w:val="fr-CA"/>
              </w:rPr>
              <w:t>Cour suprême de la Colombie-Britannique</w:t>
            </w:r>
          </w:p>
          <w:p w:rsidR="00AD651B" w:rsidRPr="00813401" w:rsidRDefault="00AD651B" w:rsidP="00AD651B">
            <w:pPr>
              <w:jc w:val="both"/>
              <w:rPr>
                <w:sz w:val="20"/>
              </w:rPr>
            </w:pPr>
            <w:r w:rsidRPr="00813401">
              <w:rPr>
                <w:sz w:val="20"/>
              </w:rPr>
              <w:t>(Juge Dickson)</w:t>
            </w:r>
          </w:p>
          <w:p w:rsidR="00AD651B" w:rsidRPr="00813401" w:rsidRDefault="00AD651B" w:rsidP="00AD651B">
            <w:pPr>
              <w:jc w:val="both"/>
              <w:rPr>
                <w:rStyle w:val="Hyperlink"/>
                <w:sz w:val="20"/>
              </w:rPr>
            </w:pPr>
            <w:hyperlink r:id="rId52" w:history="1">
              <w:r w:rsidRPr="00813401">
                <w:rPr>
                  <w:rStyle w:val="Hyperlink"/>
                  <w:sz w:val="20"/>
                </w:rPr>
                <w:t>2013 BCSC 2423</w:t>
              </w:r>
            </w:hyperlink>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lang w:val="fr-CA"/>
              </w:rPr>
            </w:pPr>
            <w:r w:rsidRPr="00813401">
              <w:rPr>
                <w:sz w:val="20"/>
                <w:lang w:val="fr-CA"/>
              </w:rPr>
              <w:t>Demande d’ordonnance d’incarcération pour les infractions de fraude et de tentative de fraude accordée</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29 juillet 2014</w:t>
            </w:r>
          </w:p>
          <w:p w:rsidR="00AD651B" w:rsidRPr="00813401" w:rsidRDefault="00AD651B" w:rsidP="00AD651B">
            <w:pPr>
              <w:jc w:val="both"/>
              <w:rPr>
                <w:sz w:val="20"/>
                <w:lang w:val="fr-CA"/>
              </w:rPr>
            </w:pPr>
            <w:r w:rsidRPr="00813401">
              <w:rPr>
                <w:sz w:val="20"/>
                <w:lang w:val="fr-CA"/>
              </w:rPr>
              <w:t>Ministre de la Justice</w:t>
            </w:r>
          </w:p>
          <w:p w:rsidR="00AD651B" w:rsidRPr="00813401" w:rsidRDefault="00AD651B" w:rsidP="00AD651B">
            <w:pPr>
              <w:jc w:val="both"/>
              <w:rPr>
                <w:sz w:val="20"/>
                <w:lang w:val="fr-CA"/>
              </w:rPr>
            </w:pPr>
            <w:r w:rsidRPr="00813401">
              <w:rPr>
                <w:sz w:val="20"/>
                <w:lang w:val="fr-CA"/>
              </w:rPr>
              <w:t>(Honorable Peter MacKay)</w:t>
            </w:r>
          </w:p>
          <w:p w:rsidR="00AD651B" w:rsidRPr="00813401" w:rsidRDefault="00AD651B" w:rsidP="00AD651B">
            <w:pPr>
              <w:jc w:val="both"/>
              <w:rPr>
                <w:sz w:val="20"/>
                <w:lang w:val="fr-CA"/>
              </w:rPr>
            </w:pP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rPr>
            </w:pPr>
            <w:r w:rsidRPr="00813401">
              <w:rPr>
                <w:sz w:val="20"/>
                <w:lang w:val="fr-CA"/>
              </w:rPr>
              <w:t>Prise d’un arrêté d’extradition</w:t>
            </w: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27 juillet 2016</w:t>
            </w:r>
          </w:p>
          <w:p w:rsidR="00AD651B" w:rsidRPr="00813401" w:rsidRDefault="00AD651B" w:rsidP="00AD651B">
            <w:pPr>
              <w:jc w:val="both"/>
              <w:rPr>
                <w:sz w:val="20"/>
                <w:lang w:val="fr-CA"/>
              </w:rPr>
            </w:pPr>
            <w:r w:rsidRPr="00813401">
              <w:rPr>
                <w:sz w:val="20"/>
                <w:lang w:val="fr-CA"/>
              </w:rPr>
              <w:t xml:space="preserve">Cour d’appel de la Colombie-Britannique </w:t>
            </w:r>
          </w:p>
          <w:p w:rsidR="00AD651B" w:rsidRPr="00813401" w:rsidRDefault="00AD651B" w:rsidP="00AD651B">
            <w:pPr>
              <w:jc w:val="both"/>
              <w:rPr>
                <w:sz w:val="20"/>
              </w:rPr>
            </w:pPr>
            <w:r w:rsidRPr="00813401">
              <w:rPr>
                <w:sz w:val="20"/>
              </w:rPr>
              <w:t>(Juges Lowry, Frankel et Fitch)</w:t>
            </w:r>
          </w:p>
          <w:p w:rsidR="00AD651B" w:rsidRPr="00813401" w:rsidRDefault="00AD651B" w:rsidP="00AD651B">
            <w:pPr>
              <w:jc w:val="both"/>
              <w:rPr>
                <w:sz w:val="20"/>
              </w:rPr>
            </w:pPr>
            <w:hyperlink r:id="rId53" w:history="1">
              <w:r w:rsidRPr="00813401">
                <w:rPr>
                  <w:rStyle w:val="Hyperlink"/>
                  <w:sz w:val="20"/>
                </w:rPr>
                <w:t>2016 BCCA 326</w:t>
              </w:r>
            </w:hyperlink>
          </w:p>
          <w:p w:rsidR="00AD651B" w:rsidRPr="00813401" w:rsidRDefault="00AD651B" w:rsidP="00AD651B">
            <w:pPr>
              <w:jc w:val="both"/>
              <w:rPr>
                <w:sz w:val="20"/>
              </w:rPr>
            </w:pPr>
          </w:p>
        </w:tc>
        <w:tc>
          <w:tcPr>
            <w:tcW w:w="243" w:type="pct"/>
          </w:tcPr>
          <w:p w:rsidR="00AD651B" w:rsidRPr="00813401" w:rsidRDefault="00AD651B" w:rsidP="00AD651B">
            <w:pPr>
              <w:jc w:val="both"/>
              <w:rPr>
                <w:sz w:val="20"/>
              </w:rPr>
            </w:pPr>
          </w:p>
        </w:tc>
        <w:tc>
          <w:tcPr>
            <w:tcW w:w="2330" w:type="pct"/>
          </w:tcPr>
          <w:p w:rsidR="00AD651B" w:rsidRPr="00813401" w:rsidRDefault="00AD651B" w:rsidP="00AD651B">
            <w:pPr>
              <w:jc w:val="both"/>
              <w:rPr>
                <w:sz w:val="20"/>
                <w:lang w:val="fr-CA"/>
              </w:rPr>
            </w:pPr>
            <w:r w:rsidRPr="00813401">
              <w:rPr>
                <w:sz w:val="20"/>
                <w:lang w:val="fr-CA"/>
              </w:rPr>
              <w:t>Requête du demandeur en prorogation de délai accueillie; rejet de la demande du demandeur en vue d’être autorisé à produire de nouveaux éléments de preuve; demande de l’intimé en vue d’obtenir l’autorisation de produire de nouveaux éléments de preuve accueillie; rejet de l’appel et de la demande de contrôle judiciaire</w:t>
            </w:r>
          </w:p>
          <w:p w:rsidR="00AD651B" w:rsidRPr="00813401" w:rsidRDefault="00AD651B" w:rsidP="00AD651B">
            <w:pPr>
              <w:jc w:val="both"/>
              <w:rPr>
                <w:sz w:val="20"/>
                <w:lang w:val="fr-CA"/>
              </w:rPr>
            </w:pPr>
          </w:p>
        </w:tc>
      </w:tr>
      <w:tr w:rsidR="00AD651B" w:rsidRPr="00813401" w:rsidTr="00AD651B">
        <w:tc>
          <w:tcPr>
            <w:tcW w:w="2427" w:type="pct"/>
            <w:gridSpan w:val="2"/>
          </w:tcPr>
          <w:p w:rsidR="00AD651B" w:rsidRPr="00813401" w:rsidRDefault="00AD651B" w:rsidP="00AD651B">
            <w:pPr>
              <w:jc w:val="both"/>
              <w:rPr>
                <w:sz w:val="20"/>
                <w:lang w:val="fr-CA"/>
              </w:rPr>
            </w:pPr>
            <w:r w:rsidRPr="00813401">
              <w:rPr>
                <w:sz w:val="20"/>
                <w:lang w:val="fr-CA"/>
              </w:rPr>
              <w:t>17 novembre 2016</w:t>
            </w:r>
          </w:p>
          <w:p w:rsidR="00AD651B" w:rsidRPr="00813401" w:rsidRDefault="00AD651B" w:rsidP="00AD651B">
            <w:pPr>
              <w:jc w:val="both"/>
              <w:rPr>
                <w:sz w:val="20"/>
                <w:lang w:val="fr-CA"/>
              </w:rPr>
            </w:pPr>
            <w:r w:rsidRPr="00813401">
              <w:rPr>
                <w:sz w:val="20"/>
                <w:lang w:val="fr-CA"/>
              </w:rPr>
              <w:t>Cour suprême du Canada</w:t>
            </w:r>
          </w:p>
        </w:tc>
        <w:tc>
          <w:tcPr>
            <w:tcW w:w="243" w:type="pct"/>
          </w:tcPr>
          <w:p w:rsidR="00AD651B" w:rsidRPr="00813401" w:rsidRDefault="00AD651B" w:rsidP="00AD651B">
            <w:pPr>
              <w:jc w:val="both"/>
              <w:rPr>
                <w:sz w:val="20"/>
                <w:lang w:val="fr-CA"/>
              </w:rPr>
            </w:pPr>
          </w:p>
        </w:tc>
        <w:tc>
          <w:tcPr>
            <w:tcW w:w="2330" w:type="pct"/>
          </w:tcPr>
          <w:p w:rsidR="00AD651B" w:rsidRPr="00813401" w:rsidRDefault="00AD651B" w:rsidP="00AD651B">
            <w:pPr>
              <w:jc w:val="both"/>
              <w:rPr>
                <w:sz w:val="20"/>
                <w:lang w:val="fr-CA"/>
              </w:rPr>
            </w:pPr>
            <w:r w:rsidRPr="00813401">
              <w:rPr>
                <w:sz w:val="20"/>
                <w:lang w:val="fr-CA"/>
              </w:rPr>
              <w:t>Dépôt de la requête en prorogation du délai pour signifier et déposer la demande d’autorisation d’appel ainsi que de la demande d’autorisation d’appel</w:t>
            </w:r>
          </w:p>
        </w:tc>
      </w:tr>
    </w:tbl>
    <w:p w:rsidR="00AD651B" w:rsidRPr="00813401" w:rsidRDefault="00AD651B" w:rsidP="00E167A2">
      <w:pPr>
        <w:ind w:left="360" w:hanging="360"/>
        <w:rPr>
          <w:sz w:val="20"/>
          <w:lang w:val="fr-CA" w:eastAsia="en-CA"/>
        </w:rPr>
      </w:pPr>
    </w:p>
    <w:p w:rsidR="00AD651B" w:rsidRPr="00813401" w:rsidRDefault="00AD651B" w:rsidP="00E167A2">
      <w:pPr>
        <w:ind w:left="360" w:hanging="360"/>
        <w:rPr>
          <w:sz w:val="20"/>
          <w:lang w:val="fr-CA" w:eastAsia="en-CA"/>
        </w:rPr>
      </w:pPr>
      <w:bookmarkStart w:id="0" w:name="_GoBack"/>
      <w:bookmarkEnd w:id="0"/>
    </w:p>
    <w:p w:rsidR="00D05D7C" w:rsidRPr="00813401" w:rsidRDefault="00D05D7C" w:rsidP="00CF234B">
      <w:pPr>
        <w:ind w:left="360" w:hanging="360"/>
        <w:rPr>
          <w:sz w:val="20"/>
          <w:lang w:val="fr-CA" w:eastAsia="en-CA"/>
        </w:rPr>
      </w:pPr>
    </w:p>
    <w:p w:rsidR="00D3344A" w:rsidRPr="00813401" w:rsidRDefault="00D3344A" w:rsidP="00D3344A">
      <w:pPr>
        <w:widowControl w:val="0"/>
        <w:outlineLvl w:val="0"/>
      </w:pPr>
      <w:r w:rsidRPr="00813401">
        <w:t xml:space="preserve">Supreme Court of Canada / Cour suprême du </w:t>
      </w:r>
      <w:proofErr w:type="gramStart"/>
      <w:r w:rsidRPr="00813401">
        <w:t>Canad</w:t>
      </w:r>
      <w:r w:rsidR="00EE289F" w:rsidRPr="00813401">
        <w:t>a</w:t>
      </w:r>
      <w:r w:rsidRPr="00813401">
        <w:t xml:space="preserve"> :</w:t>
      </w:r>
      <w:proofErr w:type="gramEnd"/>
    </w:p>
    <w:p w:rsidR="00D3344A" w:rsidRPr="00813401" w:rsidRDefault="00AD651B" w:rsidP="00D3344A">
      <w:pPr>
        <w:widowControl w:val="0"/>
        <w:outlineLvl w:val="0"/>
        <w:rPr>
          <w:u w:val="single"/>
        </w:rPr>
      </w:pPr>
      <w:hyperlink r:id="rId54" w:history="1">
        <w:r w:rsidR="009B7391" w:rsidRPr="00813401">
          <w:rPr>
            <w:rStyle w:val="Hyperlink"/>
          </w:rPr>
          <w:t>comments-commentaires@scc-csc.ca</w:t>
        </w:r>
      </w:hyperlink>
    </w:p>
    <w:p w:rsidR="00D3344A" w:rsidRPr="00813401" w:rsidRDefault="0065588C" w:rsidP="00D3344A">
      <w:pPr>
        <w:widowControl w:val="0"/>
        <w:outlineLvl w:val="0"/>
      </w:pPr>
      <w:r w:rsidRPr="00813401">
        <w:t>613-</w:t>
      </w:r>
      <w:r w:rsidR="00D3344A" w:rsidRPr="00813401">
        <w:t>995-4330</w:t>
      </w:r>
    </w:p>
    <w:p w:rsidR="00497B5E" w:rsidRPr="00813401" w:rsidRDefault="00497B5E" w:rsidP="00497B5E">
      <w:pPr>
        <w:widowControl w:val="0"/>
        <w:rPr>
          <w:sz w:val="20"/>
        </w:rPr>
      </w:pPr>
    </w:p>
    <w:p w:rsidR="00F6251B" w:rsidRPr="006E558B" w:rsidRDefault="003F43E6" w:rsidP="00F6251B">
      <w:pPr>
        <w:pStyle w:val="Footer"/>
        <w:jc w:val="center"/>
      </w:pPr>
      <w:r w:rsidRPr="00813401">
        <w:t>- 30 -</w:t>
      </w:r>
    </w:p>
    <w:p w:rsidR="00F6251B" w:rsidRPr="006E558B" w:rsidRDefault="00F6251B" w:rsidP="00F6251B">
      <w:pPr>
        <w:pStyle w:val="Footer"/>
        <w:jc w:val="center"/>
      </w:pPr>
    </w:p>
    <w:p w:rsidR="00F6251B" w:rsidRPr="006E558B" w:rsidRDefault="00F6251B" w:rsidP="00F6251B">
      <w:pPr>
        <w:pStyle w:val="Footer"/>
        <w:jc w:val="center"/>
      </w:pPr>
    </w:p>
    <w:sectPr w:rsidR="00F6251B" w:rsidRPr="006E558B" w:rsidSect="00524822">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51B" w:rsidRDefault="00AD651B" w:rsidP="0034178A">
      <w:r>
        <w:separator/>
      </w:r>
    </w:p>
  </w:endnote>
  <w:endnote w:type="continuationSeparator" w:id="0">
    <w:p w:rsidR="00AD651B" w:rsidRDefault="00AD651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1B" w:rsidRDefault="00AD6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1B" w:rsidRPr="009F77F0" w:rsidRDefault="00AD651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1B" w:rsidRDefault="00AD6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51B" w:rsidRDefault="00AD651B" w:rsidP="0034178A">
      <w:r>
        <w:separator/>
      </w:r>
    </w:p>
  </w:footnote>
  <w:footnote w:type="continuationSeparator" w:id="0">
    <w:p w:rsidR="00AD651B" w:rsidRDefault="00AD651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1B" w:rsidRDefault="00AD6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1B" w:rsidRDefault="00AD6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1B" w:rsidRDefault="00AD6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29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072"/>
    <w:rsid w:val="00003A2D"/>
    <w:rsid w:val="00003D1C"/>
    <w:rsid w:val="00003FFB"/>
    <w:rsid w:val="000043C3"/>
    <w:rsid w:val="00006057"/>
    <w:rsid w:val="00006648"/>
    <w:rsid w:val="00006868"/>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6EF"/>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2F46"/>
    <w:rsid w:val="001B3657"/>
    <w:rsid w:val="001B3EDD"/>
    <w:rsid w:val="001B43FF"/>
    <w:rsid w:val="001B4478"/>
    <w:rsid w:val="001B4569"/>
    <w:rsid w:val="001B4B99"/>
    <w:rsid w:val="001B5EB4"/>
    <w:rsid w:val="001B68D3"/>
    <w:rsid w:val="001B72AE"/>
    <w:rsid w:val="001B76EB"/>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148"/>
    <w:rsid w:val="0029649C"/>
    <w:rsid w:val="0029771E"/>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E5ACF"/>
    <w:rsid w:val="002F06D0"/>
    <w:rsid w:val="002F2CF2"/>
    <w:rsid w:val="002F3830"/>
    <w:rsid w:val="002F38D7"/>
    <w:rsid w:val="002F42D9"/>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377"/>
    <w:rsid w:val="003C2D62"/>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7F59"/>
    <w:rsid w:val="003F0D8B"/>
    <w:rsid w:val="003F1E6F"/>
    <w:rsid w:val="003F1F9E"/>
    <w:rsid w:val="003F3BC1"/>
    <w:rsid w:val="003F43E6"/>
    <w:rsid w:val="003F4894"/>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4AC5"/>
    <w:rsid w:val="00437108"/>
    <w:rsid w:val="00437D2F"/>
    <w:rsid w:val="00440246"/>
    <w:rsid w:val="00441588"/>
    <w:rsid w:val="00441CF2"/>
    <w:rsid w:val="00443B1B"/>
    <w:rsid w:val="00444072"/>
    <w:rsid w:val="00444204"/>
    <w:rsid w:val="00446A46"/>
    <w:rsid w:val="00446BAE"/>
    <w:rsid w:val="004473E9"/>
    <w:rsid w:val="0045044A"/>
    <w:rsid w:val="004511AB"/>
    <w:rsid w:val="004511FA"/>
    <w:rsid w:val="004514DB"/>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478"/>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2EB0"/>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7FE"/>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7DB"/>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FAD"/>
    <w:rsid w:val="006E27D1"/>
    <w:rsid w:val="006E2CD8"/>
    <w:rsid w:val="006E43D2"/>
    <w:rsid w:val="006E4462"/>
    <w:rsid w:val="006E465C"/>
    <w:rsid w:val="006E4B08"/>
    <w:rsid w:val="006E4EB7"/>
    <w:rsid w:val="006E558B"/>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0A0"/>
    <w:rsid w:val="007A2BE6"/>
    <w:rsid w:val="007A340C"/>
    <w:rsid w:val="007A4A3D"/>
    <w:rsid w:val="007A5A11"/>
    <w:rsid w:val="007A6F16"/>
    <w:rsid w:val="007A7512"/>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3401"/>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4E32"/>
    <w:rsid w:val="00827EFF"/>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A27"/>
    <w:rsid w:val="008701DC"/>
    <w:rsid w:val="0087081B"/>
    <w:rsid w:val="008714CD"/>
    <w:rsid w:val="00872A6E"/>
    <w:rsid w:val="008739F1"/>
    <w:rsid w:val="00873F33"/>
    <w:rsid w:val="00874308"/>
    <w:rsid w:val="00874882"/>
    <w:rsid w:val="00875375"/>
    <w:rsid w:val="00877B13"/>
    <w:rsid w:val="00880AB5"/>
    <w:rsid w:val="00880AD5"/>
    <w:rsid w:val="00880C01"/>
    <w:rsid w:val="00881457"/>
    <w:rsid w:val="00882802"/>
    <w:rsid w:val="00882B0F"/>
    <w:rsid w:val="008836A7"/>
    <w:rsid w:val="00883749"/>
    <w:rsid w:val="00884467"/>
    <w:rsid w:val="008872D7"/>
    <w:rsid w:val="00887F03"/>
    <w:rsid w:val="00893B95"/>
    <w:rsid w:val="008941B2"/>
    <w:rsid w:val="008A1084"/>
    <w:rsid w:val="008A1DA7"/>
    <w:rsid w:val="008A3884"/>
    <w:rsid w:val="008A49EA"/>
    <w:rsid w:val="008A4ABF"/>
    <w:rsid w:val="008A6614"/>
    <w:rsid w:val="008A739F"/>
    <w:rsid w:val="008A790C"/>
    <w:rsid w:val="008B0108"/>
    <w:rsid w:val="008B18E3"/>
    <w:rsid w:val="008B3670"/>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DCB"/>
    <w:rsid w:val="008E2DF1"/>
    <w:rsid w:val="008E5B3B"/>
    <w:rsid w:val="008E7C23"/>
    <w:rsid w:val="008E7F8D"/>
    <w:rsid w:val="008F06E9"/>
    <w:rsid w:val="008F2850"/>
    <w:rsid w:val="008F2FC2"/>
    <w:rsid w:val="008F302C"/>
    <w:rsid w:val="008F5D1E"/>
    <w:rsid w:val="008F7242"/>
    <w:rsid w:val="008F75F1"/>
    <w:rsid w:val="00901457"/>
    <w:rsid w:val="0090233F"/>
    <w:rsid w:val="009030B0"/>
    <w:rsid w:val="009031E3"/>
    <w:rsid w:val="009035A2"/>
    <w:rsid w:val="00904674"/>
    <w:rsid w:val="00904BC9"/>
    <w:rsid w:val="009056CA"/>
    <w:rsid w:val="009062BB"/>
    <w:rsid w:val="0090688C"/>
    <w:rsid w:val="0090766E"/>
    <w:rsid w:val="0091038B"/>
    <w:rsid w:val="009119D3"/>
    <w:rsid w:val="00911F66"/>
    <w:rsid w:val="00913DCC"/>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4E10"/>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3652"/>
    <w:rsid w:val="00A041C7"/>
    <w:rsid w:val="00A04F4B"/>
    <w:rsid w:val="00A06B3C"/>
    <w:rsid w:val="00A1084E"/>
    <w:rsid w:val="00A11A74"/>
    <w:rsid w:val="00A12CC9"/>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5707D"/>
    <w:rsid w:val="00A6008D"/>
    <w:rsid w:val="00A60453"/>
    <w:rsid w:val="00A60997"/>
    <w:rsid w:val="00A60CA4"/>
    <w:rsid w:val="00A61446"/>
    <w:rsid w:val="00A61D87"/>
    <w:rsid w:val="00A62285"/>
    <w:rsid w:val="00A6390A"/>
    <w:rsid w:val="00A64A9B"/>
    <w:rsid w:val="00A65A66"/>
    <w:rsid w:val="00A66EE4"/>
    <w:rsid w:val="00A67235"/>
    <w:rsid w:val="00A70197"/>
    <w:rsid w:val="00A70585"/>
    <w:rsid w:val="00A715EF"/>
    <w:rsid w:val="00A71BDB"/>
    <w:rsid w:val="00A720B7"/>
    <w:rsid w:val="00A72BCC"/>
    <w:rsid w:val="00A731D2"/>
    <w:rsid w:val="00A73387"/>
    <w:rsid w:val="00A73405"/>
    <w:rsid w:val="00A745D3"/>
    <w:rsid w:val="00A7462D"/>
    <w:rsid w:val="00A77A0F"/>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51B"/>
    <w:rsid w:val="00AD669D"/>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A32"/>
    <w:rsid w:val="00B23A60"/>
    <w:rsid w:val="00B23D80"/>
    <w:rsid w:val="00B243A4"/>
    <w:rsid w:val="00B245B8"/>
    <w:rsid w:val="00B24ABA"/>
    <w:rsid w:val="00B255C5"/>
    <w:rsid w:val="00B25FB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5A9E"/>
    <w:rsid w:val="00B96958"/>
    <w:rsid w:val="00B974A4"/>
    <w:rsid w:val="00B9752D"/>
    <w:rsid w:val="00B979F7"/>
    <w:rsid w:val="00BA01C1"/>
    <w:rsid w:val="00BA06FA"/>
    <w:rsid w:val="00BA0A23"/>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0E23"/>
    <w:rsid w:val="00C012C4"/>
    <w:rsid w:val="00C021BB"/>
    <w:rsid w:val="00C037A3"/>
    <w:rsid w:val="00C03932"/>
    <w:rsid w:val="00C06B98"/>
    <w:rsid w:val="00C06DE4"/>
    <w:rsid w:val="00C1312A"/>
    <w:rsid w:val="00C143CD"/>
    <w:rsid w:val="00C14B68"/>
    <w:rsid w:val="00C15480"/>
    <w:rsid w:val="00C204EF"/>
    <w:rsid w:val="00C21013"/>
    <w:rsid w:val="00C23824"/>
    <w:rsid w:val="00C23B84"/>
    <w:rsid w:val="00C24599"/>
    <w:rsid w:val="00C264D9"/>
    <w:rsid w:val="00C2655A"/>
    <w:rsid w:val="00C269D6"/>
    <w:rsid w:val="00C26F6A"/>
    <w:rsid w:val="00C31354"/>
    <w:rsid w:val="00C3135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43B"/>
    <w:rsid w:val="00C573B1"/>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6E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C1C"/>
    <w:rsid w:val="00CE7B3F"/>
    <w:rsid w:val="00CE7C81"/>
    <w:rsid w:val="00CF0D83"/>
    <w:rsid w:val="00CF0EF2"/>
    <w:rsid w:val="00CF234B"/>
    <w:rsid w:val="00CF47E5"/>
    <w:rsid w:val="00CF732A"/>
    <w:rsid w:val="00D00533"/>
    <w:rsid w:val="00D00540"/>
    <w:rsid w:val="00D00AA4"/>
    <w:rsid w:val="00D01406"/>
    <w:rsid w:val="00D015A7"/>
    <w:rsid w:val="00D0250E"/>
    <w:rsid w:val="00D0423A"/>
    <w:rsid w:val="00D04A90"/>
    <w:rsid w:val="00D05D7C"/>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6CF"/>
    <w:rsid w:val="00D220F4"/>
    <w:rsid w:val="00D22B49"/>
    <w:rsid w:val="00D23F60"/>
    <w:rsid w:val="00D240C0"/>
    <w:rsid w:val="00D24A6C"/>
    <w:rsid w:val="00D24AC2"/>
    <w:rsid w:val="00D25A76"/>
    <w:rsid w:val="00D2692A"/>
    <w:rsid w:val="00D278F4"/>
    <w:rsid w:val="00D27C28"/>
    <w:rsid w:val="00D27E31"/>
    <w:rsid w:val="00D308D8"/>
    <w:rsid w:val="00D311F7"/>
    <w:rsid w:val="00D318AF"/>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7F64"/>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709B7"/>
    <w:rsid w:val="00D71211"/>
    <w:rsid w:val="00D7143F"/>
    <w:rsid w:val="00D72409"/>
    <w:rsid w:val="00D72A0C"/>
    <w:rsid w:val="00D73033"/>
    <w:rsid w:val="00D73621"/>
    <w:rsid w:val="00D7378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6FB"/>
    <w:rsid w:val="00E41F06"/>
    <w:rsid w:val="00E422DC"/>
    <w:rsid w:val="00E42B30"/>
    <w:rsid w:val="00E42DA2"/>
    <w:rsid w:val="00E45E6B"/>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546A"/>
    <w:rsid w:val="00E95563"/>
    <w:rsid w:val="00E97CCA"/>
    <w:rsid w:val="00E97E2B"/>
    <w:rsid w:val="00EA0177"/>
    <w:rsid w:val="00EA0D5B"/>
    <w:rsid w:val="00EA3FF6"/>
    <w:rsid w:val="00EA6DC0"/>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D1037"/>
    <w:rsid w:val="00ED11BA"/>
    <w:rsid w:val="00ED1764"/>
    <w:rsid w:val="00ED200B"/>
    <w:rsid w:val="00ED2520"/>
    <w:rsid w:val="00ED2E12"/>
    <w:rsid w:val="00ED4F03"/>
    <w:rsid w:val="00ED52B2"/>
    <w:rsid w:val="00ED552A"/>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13EA"/>
    <w:rsid w:val="00F122E7"/>
    <w:rsid w:val="00F13D28"/>
    <w:rsid w:val="00F14BA7"/>
    <w:rsid w:val="00F152B2"/>
    <w:rsid w:val="00F16949"/>
    <w:rsid w:val="00F16D8C"/>
    <w:rsid w:val="00F17C72"/>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2D03"/>
    <w:rsid w:val="00FC2D4C"/>
    <w:rsid w:val="00FC39EA"/>
    <w:rsid w:val="00FC469C"/>
    <w:rsid w:val="00FC4943"/>
    <w:rsid w:val="00FC56B8"/>
    <w:rsid w:val="00FC5CFE"/>
    <w:rsid w:val="00FC60B8"/>
    <w:rsid w:val="00FC6DE6"/>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9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AD651B"/>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D651B"/>
    <w:rPr>
      <w:rFonts w:ascii="Times New Roman" w:eastAsiaTheme="minorHAnsi" w:hAnsi="Times New Roman"/>
      <w:b/>
      <w:sz w:val="24"/>
      <w:szCs w:val="24"/>
      <w:lang w:val="en-CA"/>
    </w:rPr>
  </w:style>
  <w:style w:type="character" w:customStyle="1" w:styleId="highlight">
    <w:name w:val="highlight"/>
    <w:basedOn w:val="DefaultParagraphFont"/>
    <w:rsid w:val="00AD651B"/>
  </w:style>
  <w:style w:type="paragraph" w:customStyle="1" w:styleId="SCCLsocOtherPartySeparator">
    <w:name w:val="SCC.Lsoc.OtherPartySeparator"/>
    <w:basedOn w:val="Normal"/>
    <w:next w:val="Normal"/>
    <w:link w:val="SCCLsocOtherPartySeparatorChar"/>
    <w:rsid w:val="00AD651B"/>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D651B"/>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210" TargetMode="External"/><Relationship Id="rId18" Type="http://schemas.openxmlformats.org/officeDocument/2006/relationships/hyperlink" Target="http://www.scc-csc.ca/case-dossier/info/sum-som-eng.aspx?cas=37201" TargetMode="External"/><Relationship Id="rId26" Type="http://schemas.openxmlformats.org/officeDocument/2006/relationships/hyperlink" Target="http://www.canlii.org/en/sk/skqb/doc/2014/2014skqb215/2014skqb215.html?autocompleteStr=2014%20SKQB%20215&amp;autocompletePos=1" TargetMode="External"/><Relationship Id="rId39" Type="http://schemas.openxmlformats.org/officeDocument/2006/relationships/hyperlink" Target="http://www.canlii.org/en/bc/bcca/doc/2016/2016bcca317/2016bcca317.html?searchUrlHash=AAAAAAAAAAEAFzIwMTUgQkNTQyAxOTE3IChDYW5MSUkpAAAAAQANLzIwMTViY3NjMTkxNwE&amp;resultIndex=1" TargetMode="External"/><Relationship Id="rId21" Type="http://schemas.openxmlformats.org/officeDocument/2006/relationships/hyperlink" Target="http://www.canlii.org/en/ns/nsca/doc/2013/2013nsca102/2013nsca102.html?autocompleteStr=2013%20NSCA%20102&amp;autocompletePos=1" TargetMode="External"/><Relationship Id="rId34" Type="http://schemas.openxmlformats.org/officeDocument/2006/relationships/hyperlink" Target="https://www.canlii.org/en/mb/mbqb/doc/2015/2015mbqb146/2015mbqb146.html?resultIndex=1" TargetMode="External"/><Relationship Id="rId42" Type="http://schemas.openxmlformats.org/officeDocument/2006/relationships/hyperlink" Target="https://www.canlii.org/en/on/onsc/doc/2015/2015onsc4264/2015onsc4264.html?autocompleteStr=2015%20ONSC%204264&amp;autocompletePos=1" TargetMode="External"/><Relationship Id="rId47" Type="http://schemas.openxmlformats.org/officeDocument/2006/relationships/hyperlink" Target="http://www.canlii.org/en/on/onca/doc/2016/2016onca524/2016onca524.html" TargetMode="External"/><Relationship Id="rId50" Type="http://schemas.openxmlformats.org/officeDocument/2006/relationships/hyperlink" Target="http://www.canlii.org/en/bc/bcsc/doc/2013/2013bcsc2423/2013bcsc2423.html?autocompleteStr=2013%20bcsc%202423&amp;autocompletePos=1"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c-csc.ca/case-dossier/info/sum-som-eng.aspx?cas=37232" TargetMode="External"/><Relationship Id="rId20" Type="http://schemas.openxmlformats.org/officeDocument/2006/relationships/hyperlink" Target="http://www.canlii.org/en/ns/nssc/doc/2008/2008nssc239/2008nssc239.html?resultIndex=1" TargetMode="External"/><Relationship Id="rId29" Type="http://schemas.openxmlformats.org/officeDocument/2006/relationships/hyperlink" Target="http://c-doc.domain.scc-csc.gc.ca/L25/01/05/%3chttp:/canlii.ca/t/gmb0m" TargetMode="External"/><Relationship Id="rId41" Type="http://schemas.openxmlformats.org/officeDocument/2006/relationships/hyperlink" Target="https://www.canlii.org/en/on/onca/doc/2016/2016onca609/2016onca609.html?autocompleteStr=2016%20ONCA%20609&amp;autocompletePos=1" TargetMode="External"/><Relationship Id="rId54" Type="http://schemas.openxmlformats.org/officeDocument/2006/relationships/hyperlink" Target="mailto:comments-commentaires@scc-csc.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262" TargetMode="External"/><Relationship Id="rId24" Type="http://schemas.openxmlformats.org/officeDocument/2006/relationships/hyperlink" Target="http://www.canlii.org/en/sk/skqb/doc/2014/2014skqb215/2014skqb215.html?autocompleteStr=2014%20SKQB%20215&amp;autocompletePos=1" TargetMode="External"/><Relationship Id="rId32" Type="http://schemas.openxmlformats.org/officeDocument/2006/relationships/hyperlink" Target="https://www.canlii.org/en/mb/mbqb/doc/2015/2015mbqb146/2015mbqb146.html?resultIndex=1" TargetMode="External"/><Relationship Id="rId37" Type="http://schemas.openxmlformats.org/officeDocument/2006/relationships/hyperlink" Target="http://www.canlii.org/en/bc/bcca/doc/2016/2016bcca317/2016bcca317.html?searchUrlHash=AAAAAAAAAAEAFzIwMTUgQkNTQyAxOTE3IChDYW5MSUkpAAAAAQANLzIwMTViY3NjMTkxNwE&amp;resultIndex=1" TargetMode="External"/><Relationship Id="rId40" Type="http://schemas.openxmlformats.org/officeDocument/2006/relationships/hyperlink" Target="https://www.canlii.org/en/on/onsc/doc/2015/2015onsc4264/2015onsc4264.html?autocompleteStr=2015%20ONSC%204264&amp;autocompletePos=1" TargetMode="External"/><Relationship Id="rId45" Type="http://schemas.openxmlformats.org/officeDocument/2006/relationships/hyperlink" Target="https://www.canlii.org/en/on/onca/doc/2016/2016onca658/2016onca658.html?resultIndex=2" TargetMode="External"/><Relationship Id="rId53" Type="http://schemas.openxmlformats.org/officeDocument/2006/relationships/hyperlink" Target="http://www.canlii.org/en/bc/bcca/doc/2016/2016bcca326/2016bcca326.html?resultIndex=1"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c-csc.ca/case-dossier/info/sum-som-eng.aspx?cas=37308" TargetMode="External"/><Relationship Id="rId23" Type="http://schemas.openxmlformats.org/officeDocument/2006/relationships/hyperlink" Target="http://www.canlii.org/en/ns/nsca/doc/2013/2013nsca102/2013nsca102.html?autocompleteStr=2013%20NSCA%20102&amp;autocompletePos=1" TargetMode="External"/><Relationship Id="rId28" Type="http://schemas.openxmlformats.org/officeDocument/2006/relationships/hyperlink" Target="http://c-doc.domain.scc-csc.gc.ca/L25/01/05/%3chttp:/canlii.ca/t/gmb0m" TargetMode="External"/><Relationship Id="rId36" Type="http://schemas.openxmlformats.org/officeDocument/2006/relationships/hyperlink" Target="http://www.canlii.org/en/bc/bcsc/doc/2015/2015bcsc1917/2015bcsc1917.html?autocompleteStr=2015%20BCSC%201917&amp;autocompletePos=1" TargetMode="External"/><Relationship Id="rId49" Type="http://schemas.openxmlformats.org/officeDocument/2006/relationships/hyperlink" Target="http://www.canlii.org/fr/ca/caf/doc/2016/2016caf187/2016caf187.html"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scc-csc.ca/case-dossier/info/sum-som-eng.aspx?cas=36834" TargetMode="External"/><Relationship Id="rId19" Type="http://schemas.openxmlformats.org/officeDocument/2006/relationships/hyperlink" Target="http://www.scc-csc.ca/case-dossier/info/sum-som-eng.aspx?cas=37107" TargetMode="External"/><Relationship Id="rId31" Type="http://schemas.openxmlformats.org/officeDocument/2006/relationships/hyperlink" Target="http://canlii.ca/t/gp974" TargetMode="External"/><Relationship Id="rId44" Type="http://schemas.openxmlformats.org/officeDocument/2006/relationships/hyperlink" Target="https://www.canlii.org/en/on/onca/doc/2016/2016onca658/2016onca658.html?resultIndex=2" TargetMode="External"/><Relationship Id="rId52" Type="http://schemas.openxmlformats.org/officeDocument/2006/relationships/hyperlink" Target="http://www.canlii.org/en/bc/bcsc/doc/2013/2013bcsc2423/2013bcsc2423.html?autocompleteStr=2013%20bcsc%202423&amp;autocompletePos=1"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7196" TargetMode="External"/><Relationship Id="rId14" Type="http://schemas.openxmlformats.org/officeDocument/2006/relationships/hyperlink" Target="http://www.scc-csc.ca/case-dossier/info/sum-som-eng.aspx?cas=37206" TargetMode="External"/><Relationship Id="rId22" Type="http://schemas.openxmlformats.org/officeDocument/2006/relationships/hyperlink" Target="http://www.canlii.org/en/ns/nssc/doc/2008/2008nssc239/2008nssc239.html?resultIndex=1" TargetMode="External"/><Relationship Id="rId27" Type="http://schemas.openxmlformats.org/officeDocument/2006/relationships/hyperlink" Target="http://www.canlii.org/en/sk/skca/doc/2016/2016skca77/2016skca77.html?resultIndex=1" TargetMode="External"/><Relationship Id="rId30" Type="http://schemas.openxmlformats.org/officeDocument/2006/relationships/hyperlink" Target="http://canlii.ca/t/gp974" TargetMode="External"/><Relationship Id="rId35" Type="http://schemas.openxmlformats.org/officeDocument/2006/relationships/hyperlink" Target="https://www.canlii.org/en/mb/mbca/doc/2016/2016mbca65/2016mbca65.html?autocompleteStr=2016%20MBCA%2065&amp;autocompletePos=1" TargetMode="External"/><Relationship Id="rId43" Type="http://schemas.openxmlformats.org/officeDocument/2006/relationships/hyperlink" Target="https://www.canlii.org/en/on/onca/doc/2016/2016onca609/2016onca609.html?autocompleteStr=2016%20ONCA%20609&amp;autocompletePos=1" TargetMode="External"/><Relationship Id="rId48" Type="http://schemas.openxmlformats.org/officeDocument/2006/relationships/hyperlink" Target="http://www.canlii.org/en/ca/fca/doc/2016/2016fca187/2016fca187.html?resultIndex=1" TargetMode="External"/><Relationship Id="rId56" Type="http://schemas.openxmlformats.org/officeDocument/2006/relationships/header" Target="header2.xml"/><Relationship Id="rId8" Type="http://schemas.openxmlformats.org/officeDocument/2006/relationships/hyperlink" Target="http://www.scc-csc.ca/case-dossier/info/sum-som-eng.aspx?cas=37170" TargetMode="External"/><Relationship Id="rId51" Type="http://schemas.openxmlformats.org/officeDocument/2006/relationships/hyperlink" Target="http://www.canlii.org/en/bc/bcca/doc/2016/2016bcca326/2016bcca326.html?resultIndex=1" TargetMode="External"/><Relationship Id="rId3" Type="http://schemas.openxmlformats.org/officeDocument/2006/relationships/styles" Target="styles.xml"/><Relationship Id="rId12" Type="http://schemas.openxmlformats.org/officeDocument/2006/relationships/hyperlink" Target="http://www.scc-csc.ca/case-dossier/info/sum-som-eng.aspx?cas=37227" TargetMode="External"/><Relationship Id="rId17" Type="http://schemas.openxmlformats.org/officeDocument/2006/relationships/hyperlink" Target="http://www.scc-csc.ca/case-dossier/info/sum-som-eng.aspx?cas=37214" TargetMode="External"/><Relationship Id="rId25" Type="http://schemas.openxmlformats.org/officeDocument/2006/relationships/hyperlink" Target="http://www.canlii.org/en/sk/skca/doc/2016/2016skca77/2016skca77.html?resultIndex=1" TargetMode="External"/><Relationship Id="rId33" Type="http://schemas.openxmlformats.org/officeDocument/2006/relationships/hyperlink" Target="https://www.canlii.org/en/mb/mbca/doc/2016/2016mbca65/2016mbca65.html?autocompleteStr=2016%20MBCA%2065&amp;autocompletePos=1" TargetMode="External"/><Relationship Id="rId38" Type="http://schemas.openxmlformats.org/officeDocument/2006/relationships/hyperlink" Target="http://www.canlii.org/en/bc/bcsc/doc/2015/2015bcsc1917/2015bcsc1917.html?autocompleteStr=2015%20BCSC%201917&amp;autocompletePos=1" TargetMode="External"/><Relationship Id="rId46" Type="http://schemas.openxmlformats.org/officeDocument/2006/relationships/hyperlink" Target="http://www.canlii.org/en/on/onca/doc/2016/2016onca524/2016onca524.html"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1C347-B257-4A5A-8D70-063373AD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10231</Words>
  <Characters>58320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68415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2017-02-03T14:03:00Z</dcterms:created>
  <dcterms:modified xsi:type="dcterms:W3CDTF">2017-02-03T14:15:00Z</dcterms:modified>
</cp:coreProperties>
</file>