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934498" w:rsidRDefault="003F43E6" w:rsidP="00122CE1">
      <w:pPr>
        <w:pStyle w:val="Header"/>
        <w:tabs>
          <w:tab w:val="left" w:pos="1620"/>
          <w:tab w:val="left" w:pos="1710"/>
        </w:tabs>
        <w:jc w:val="center"/>
        <w:rPr>
          <w:b/>
          <w:sz w:val="32"/>
        </w:rPr>
      </w:pPr>
      <w:r w:rsidRPr="00934498">
        <w:rPr>
          <w:b/>
          <w:sz w:val="32"/>
        </w:rPr>
        <w:t>Supreme Court of Canada / Cour suprême du Canada</w:t>
      </w:r>
    </w:p>
    <w:p w:rsidR="003F43E6" w:rsidRPr="00934498" w:rsidRDefault="003F43E6" w:rsidP="006F2579">
      <w:pPr>
        <w:widowControl w:val="0"/>
        <w:rPr>
          <w:i/>
        </w:rPr>
      </w:pPr>
    </w:p>
    <w:p w:rsidR="006F2579" w:rsidRPr="00934498" w:rsidRDefault="006F2579" w:rsidP="006F2579">
      <w:pPr>
        <w:widowControl w:val="0"/>
        <w:rPr>
          <w:i/>
        </w:rPr>
      </w:pPr>
      <w:r w:rsidRPr="00934498">
        <w:rPr>
          <w:i/>
        </w:rPr>
        <w:t>(le français suit)</w:t>
      </w:r>
    </w:p>
    <w:p w:rsidR="006F2579" w:rsidRPr="00934498" w:rsidRDefault="006F2579" w:rsidP="006F2579">
      <w:pPr>
        <w:widowControl w:val="0"/>
      </w:pPr>
    </w:p>
    <w:p w:rsidR="006F2579" w:rsidRPr="005444FD" w:rsidRDefault="00B07908" w:rsidP="006F2579">
      <w:pPr>
        <w:widowControl w:val="0"/>
        <w:jc w:val="center"/>
        <w:rPr>
          <w:b/>
        </w:rPr>
      </w:pPr>
      <w:r w:rsidRPr="005444FD">
        <w:fldChar w:fldCharType="begin"/>
      </w:r>
      <w:r w:rsidR="006F2579" w:rsidRPr="005444FD">
        <w:instrText xml:space="preserve"> SEQ CHAPTER \h \r 1</w:instrText>
      </w:r>
      <w:r w:rsidRPr="005444FD">
        <w:fldChar w:fldCharType="end"/>
      </w:r>
      <w:r w:rsidR="006F2579" w:rsidRPr="005444FD">
        <w:rPr>
          <w:b/>
        </w:rPr>
        <w:t>JUDGMENT</w:t>
      </w:r>
      <w:r w:rsidR="00B17AAC" w:rsidRPr="005444FD">
        <w:rPr>
          <w:b/>
        </w:rPr>
        <w:t>S</w:t>
      </w:r>
      <w:r w:rsidR="006F2579" w:rsidRPr="005444FD">
        <w:rPr>
          <w:b/>
        </w:rPr>
        <w:t xml:space="preserve"> TO B</w:t>
      </w:r>
      <w:r w:rsidR="00001846" w:rsidRPr="005444FD">
        <w:rPr>
          <w:b/>
        </w:rPr>
        <w:t>E RENDERED IN LEAVE APPLICATION</w:t>
      </w:r>
      <w:r w:rsidR="00AE4C09" w:rsidRPr="005444FD">
        <w:rPr>
          <w:b/>
        </w:rPr>
        <w:t>S</w:t>
      </w:r>
    </w:p>
    <w:p w:rsidR="006F2579" w:rsidRPr="005444FD" w:rsidRDefault="006F2579" w:rsidP="006F2579">
      <w:pPr>
        <w:widowControl w:val="0"/>
      </w:pPr>
    </w:p>
    <w:p w:rsidR="006F2579" w:rsidRPr="005444FD" w:rsidRDefault="00A93498" w:rsidP="006F2579">
      <w:pPr>
        <w:widowControl w:val="0"/>
        <w:rPr>
          <w:b/>
        </w:rPr>
      </w:pPr>
      <w:r w:rsidRPr="005444FD">
        <w:rPr>
          <w:b/>
        </w:rPr>
        <w:t>June</w:t>
      </w:r>
      <w:r w:rsidR="00FD37D0" w:rsidRPr="005444FD">
        <w:rPr>
          <w:b/>
        </w:rPr>
        <w:t xml:space="preserve"> </w:t>
      </w:r>
      <w:r w:rsidR="00AF63E5" w:rsidRPr="005444FD">
        <w:rPr>
          <w:b/>
        </w:rPr>
        <w:t>1</w:t>
      </w:r>
      <w:r w:rsidR="003D7756" w:rsidRPr="005444FD">
        <w:rPr>
          <w:b/>
        </w:rPr>
        <w:t>9</w:t>
      </w:r>
      <w:r w:rsidR="00AB5538" w:rsidRPr="005444FD">
        <w:rPr>
          <w:b/>
        </w:rPr>
        <w:t>,</w:t>
      </w:r>
      <w:r w:rsidR="006F2579" w:rsidRPr="005444FD">
        <w:rPr>
          <w:b/>
        </w:rPr>
        <w:t xml:space="preserve"> </w:t>
      </w:r>
      <w:r w:rsidR="0054689F" w:rsidRPr="005444FD">
        <w:rPr>
          <w:b/>
        </w:rPr>
        <w:t>201</w:t>
      </w:r>
      <w:r w:rsidR="00A151D1" w:rsidRPr="005444FD">
        <w:rPr>
          <w:b/>
        </w:rPr>
        <w:t>7</w:t>
      </w:r>
    </w:p>
    <w:p w:rsidR="006F2579" w:rsidRPr="005444FD" w:rsidRDefault="006F2579" w:rsidP="006F2579">
      <w:pPr>
        <w:widowControl w:val="0"/>
        <w:rPr>
          <w:b/>
        </w:rPr>
      </w:pPr>
      <w:r w:rsidRPr="005444FD">
        <w:rPr>
          <w:b/>
        </w:rPr>
        <w:t>For immediate release</w:t>
      </w:r>
    </w:p>
    <w:p w:rsidR="006F2579" w:rsidRPr="005444FD" w:rsidRDefault="006F2579" w:rsidP="006F2579">
      <w:pPr>
        <w:widowControl w:val="0"/>
      </w:pPr>
    </w:p>
    <w:p w:rsidR="006F2579" w:rsidRPr="005444FD" w:rsidRDefault="006F2579" w:rsidP="006F2579">
      <w:pPr>
        <w:widowControl w:val="0"/>
      </w:pPr>
      <w:r w:rsidRPr="005444FD">
        <w:rPr>
          <w:b/>
        </w:rPr>
        <w:t>OTTAWA</w:t>
      </w:r>
      <w:r w:rsidRPr="005444FD">
        <w:t xml:space="preserve"> – The Supreme Court of Canad</w:t>
      </w:r>
      <w:r w:rsidR="006246E4" w:rsidRPr="005444FD">
        <w:t>a</w:t>
      </w:r>
      <w:r w:rsidRPr="005444FD">
        <w:t xml:space="preserve"> announced today that judgment in the following application</w:t>
      </w:r>
      <w:r w:rsidR="008600ED" w:rsidRPr="005444FD">
        <w:t>s</w:t>
      </w:r>
      <w:r w:rsidRPr="005444FD">
        <w:t xml:space="preserve"> for leave to appeal will be delivered at 9:45 a.m. E</w:t>
      </w:r>
      <w:r w:rsidR="009F6DB9" w:rsidRPr="005444FD">
        <w:t>D</w:t>
      </w:r>
      <w:r w:rsidRPr="005444FD">
        <w:t xml:space="preserve">T on Thursday, </w:t>
      </w:r>
      <w:r w:rsidR="00F86648" w:rsidRPr="005444FD">
        <w:t>June</w:t>
      </w:r>
      <w:r w:rsidR="00D72AD0" w:rsidRPr="005444FD">
        <w:t xml:space="preserve"> </w:t>
      </w:r>
      <w:r w:rsidR="003D7756" w:rsidRPr="005444FD">
        <w:t>22</w:t>
      </w:r>
      <w:r w:rsidR="007E112F" w:rsidRPr="005444FD">
        <w:t>,</w:t>
      </w:r>
      <w:r w:rsidR="002F38D7" w:rsidRPr="005444FD">
        <w:t xml:space="preserve"> </w:t>
      </w:r>
      <w:r w:rsidR="006648D1" w:rsidRPr="005444FD">
        <w:t>201</w:t>
      </w:r>
      <w:r w:rsidR="00A151D1" w:rsidRPr="005444FD">
        <w:t>7</w:t>
      </w:r>
      <w:r w:rsidRPr="005444FD">
        <w:t>. This list is subject to change.</w:t>
      </w:r>
    </w:p>
    <w:p w:rsidR="00FF5AA4" w:rsidRPr="00934498" w:rsidRDefault="00FF5AA4" w:rsidP="006F2579">
      <w:pPr>
        <w:widowControl w:val="0"/>
      </w:pPr>
    </w:p>
    <w:p w:rsidR="00B43418" w:rsidRPr="00934498" w:rsidRDefault="00B43418" w:rsidP="006F2579">
      <w:pPr>
        <w:widowControl w:val="0"/>
      </w:pPr>
    </w:p>
    <w:p w:rsidR="006F2579" w:rsidRPr="005444FD" w:rsidRDefault="006F2579" w:rsidP="006F2579">
      <w:pPr>
        <w:widowControl w:val="0"/>
        <w:jc w:val="center"/>
        <w:rPr>
          <w:lang w:val="fr-CA"/>
        </w:rPr>
      </w:pPr>
      <w:r w:rsidRPr="005444FD">
        <w:rPr>
          <w:b/>
          <w:lang w:val="fr-CA"/>
        </w:rPr>
        <w:t>PROCHAIN</w:t>
      </w:r>
      <w:r w:rsidR="00B17AAC" w:rsidRPr="005444FD">
        <w:rPr>
          <w:b/>
          <w:lang w:val="fr-CA"/>
        </w:rPr>
        <w:t>S</w:t>
      </w:r>
      <w:r w:rsidRPr="005444FD">
        <w:rPr>
          <w:b/>
          <w:lang w:val="fr-CA"/>
        </w:rPr>
        <w:t xml:space="preserve"> JUGEMENT</w:t>
      </w:r>
      <w:r w:rsidR="00B17AAC" w:rsidRPr="005444FD">
        <w:rPr>
          <w:b/>
          <w:lang w:val="fr-CA"/>
        </w:rPr>
        <w:t>S</w:t>
      </w:r>
      <w:r w:rsidR="00001846" w:rsidRPr="005444FD">
        <w:rPr>
          <w:b/>
          <w:lang w:val="fr-CA"/>
        </w:rPr>
        <w:t xml:space="preserve"> SUR DEMANDE</w:t>
      </w:r>
      <w:r w:rsidR="00B17AAC" w:rsidRPr="005444FD">
        <w:rPr>
          <w:b/>
          <w:lang w:val="fr-CA"/>
        </w:rPr>
        <w:t>S</w:t>
      </w:r>
      <w:r w:rsidRPr="005444FD">
        <w:rPr>
          <w:b/>
          <w:lang w:val="fr-CA"/>
        </w:rPr>
        <w:t xml:space="preserve"> D’AUTORISATION</w:t>
      </w:r>
    </w:p>
    <w:p w:rsidR="006F2579" w:rsidRPr="005444FD" w:rsidRDefault="006F2579" w:rsidP="006F2579">
      <w:pPr>
        <w:widowControl w:val="0"/>
        <w:rPr>
          <w:lang w:val="fr-CA"/>
        </w:rPr>
      </w:pPr>
    </w:p>
    <w:p w:rsidR="006F2579" w:rsidRPr="005444FD" w:rsidRDefault="006F2579" w:rsidP="006F2579">
      <w:pPr>
        <w:widowControl w:val="0"/>
        <w:rPr>
          <w:b/>
          <w:lang w:val="fr-CA"/>
        </w:rPr>
      </w:pPr>
      <w:r w:rsidRPr="005444FD">
        <w:rPr>
          <w:b/>
          <w:lang w:val="fr-CA"/>
        </w:rPr>
        <w:t>Le</w:t>
      </w:r>
      <w:r w:rsidR="00957A76" w:rsidRPr="005444FD">
        <w:rPr>
          <w:b/>
          <w:lang w:val="fr-CA"/>
        </w:rPr>
        <w:t xml:space="preserve"> </w:t>
      </w:r>
      <w:r w:rsidR="00AF63E5" w:rsidRPr="005444FD">
        <w:rPr>
          <w:b/>
          <w:lang w:val="fr-CA"/>
        </w:rPr>
        <w:t>1</w:t>
      </w:r>
      <w:r w:rsidR="003D7756" w:rsidRPr="005444FD">
        <w:rPr>
          <w:b/>
          <w:lang w:val="fr-CA"/>
        </w:rPr>
        <w:t>9</w:t>
      </w:r>
      <w:r w:rsidR="00FD37D0" w:rsidRPr="005444FD">
        <w:rPr>
          <w:b/>
          <w:lang w:val="fr-CA"/>
        </w:rPr>
        <w:t xml:space="preserve"> </w:t>
      </w:r>
      <w:r w:rsidR="00A93498" w:rsidRPr="005444FD">
        <w:rPr>
          <w:b/>
          <w:lang w:val="fr-CA"/>
        </w:rPr>
        <w:t>juin</w:t>
      </w:r>
      <w:r w:rsidR="00A151D1" w:rsidRPr="005444FD">
        <w:rPr>
          <w:b/>
          <w:lang w:val="fr-CA"/>
        </w:rPr>
        <w:t xml:space="preserve"> 2017</w:t>
      </w:r>
    </w:p>
    <w:p w:rsidR="006F2579" w:rsidRPr="005444FD" w:rsidRDefault="006F2579" w:rsidP="006F2579">
      <w:pPr>
        <w:widowControl w:val="0"/>
        <w:rPr>
          <w:b/>
          <w:lang w:val="fr-CA"/>
        </w:rPr>
      </w:pPr>
      <w:r w:rsidRPr="005444FD">
        <w:rPr>
          <w:b/>
          <w:lang w:val="fr-CA"/>
        </w:rPr>
        <w:t>Pour diffusion immédiate</w:t>
      </w:r>
    </w:p>
    <w:p w:rsidR="006F2579" w:rsidRPr="005444FD" w:rsidRDefault="006F2579" w:rsidP="006F2579">
      <w:pPr>
        <w:widowControl w:val="0"/>
        <w:rPr>
          <w:b/>
          <w:lang w:val="fr-CA"/>
        </w:rPr>
      </w:pPr>
    </w:p>
    <w:p w:rsidR="006F2579" w:rsidRPr="005444FD" w:rsidRDefault="006F2579" w:rsidP="006F2579">
      <w:pPr>
        <w:widowControl w:val="0"/>
        <w:rPr>
          <w:lang w:val="fr-CA"/>
        </w:rPr>
      </w:pPr>
      <w:r w:rsidRPr="005444FD">
        <w:rPr>
          <w:b/>
          <w:lang w:val="fr-CA"/>
        </w:rPr>
        <w:t>OTTAWA</w:t>
      </w:r>
      <w:r w:rsidRPr="005444FD">
        <w:rPr>
          <w:lang w:val="fr-CA"/>
        </w:rPr>
        <w:t xml:space="preserve"> – La Cour suprême du Canada annonce que jugement ser</w:t>
      </w:r>
      <w:r w:rsidR="004259F9" w:rsidRPr="005444FD">
        <w:rPr>
          <w:lang w:val="fr-CA"/>
        </w:rPr>
        <w:t>a</w:t>
      </w:r>
      <w:r w:rsidRPr="005444FD">
        <w:rPr>
          <w:lang w:val="fr-CA"/>
        </w:rPr>
        <w:t xml:space="preserve"> rendu dans l</w:t>
      </w:r>
      <w:r w:rsidR="008600ED" w:rsidRPr="005444FD">
        <w:rPr>
          <w:lang w:val="fr-CA"/>
        </w:rPr>
        <w:t>es</w:t>
      </w:r>
      <w:r w:rsidRPr="005444FD">
        <w:rPr>
          <w:lang w:val="fr-CA"/>
        </w:rPr>
        <w:t xml:space="preserve"> demande</w:t>
      </w:r>
      <w:r w:rsidR="008600ED" w:rsidRPr="005444FD">
        <w:rPr>
          <w:lang w:val="fr-CA"/>
        </w:rPr>
        <w:t>s</w:t>
      </w:r>
      <w:r w:rsidRPr="005444FD">
        <w:rPr>
          <w:lang w:val="fr-CA"/>
        </w:rPr>
        <w:t xml:space="preserve"> d</w:t>
      </w:r>
      <w:r w:rsidR="00001846" w:rsidRPr="005444FD">
        <w:rPr>
          <w:lang w:val="fr-CA"/>
        </w:rPr>
        <w:t>’autorisation d’appel suivante</w:t>
      </w:r>
      <w:r w:rsidR="008600ED" w:rsidRPr="005444FD">
        <w:rPr>
          <w:lang w:val="fr-CA"/>
        </w:rPr>
        <w:t>s</w:t>
      </w:r>
      <w:r w:rsidRPr="005444FD">
        <w:rPr>
          <w:lang w:val="fr-CA"/>
        </w:rPr>
        <w:t xml:space="preserve"> le jeudi </w:t>
      </w:r>
      <w:r w:rsidR="003D7756" w:rsidRPr="005444FD">
        <w:rPr>
          <w:lang w:val="fr-CA"/>
        </w:rPr>
        <w:t>22</w:t>
      </w:r>
      <w:r w:rsidR="00D72AD0" w:rsidRPr="005444FD">
        <w:rPr>
          <w:lang w:val="fr-CA"/>
        </w:rPr>
        <w:t xml:space="preserve"> </w:t>
      </w:r>
      <w:r w:rsidR="00F86648" w:rsidRPr="005444FD">
        <w:rPr>
          <w:lang w:val="fr-CA"/>
        </w:rPr>
        <w:t>juin</w:t>
      </w:r>
      <w:r w:rsidR="00674329" w:rsidRPr="005444FD">
        <w:rPr>
          <w:lang w:val="fr-CA"/>
        </w:rPr>
        <w:t xml:space="preserve"> </w:t>
      </w:r>
      <w:r w:rsidR="006648D1" w:rsidRPr="005444FD">
        <w:rPr>
          <w:lang w:val="fr-CA"/>
        </w:rPr>
        <w:t>201</w:t>
      </w:r>
      <w:r w:rsidR="00A151D1" w:rsidRPr="005444FD">
        <w:rPr>
          <w:lang w:val="fr-CA"/>
        </w:rPr>
        <w:t>7</w:t>
      </w:r>
      <w:r w:rsidRPr="005444FD">
        <w:rPr>
          <w:lang w:val="fr-CA"/>
        </w:rPr>
        <w:t xml:space="preserve">, à 9 h 45 </w:t>
      </w:r>
      <w:r w:rsidR="000627A2" w:rsidRPr="005444FD">
        <w:rPr>
          <w:lang w:val="fr-CA"/>
        </w:rPr>
        <w:t>H</w:t>
      </w:r>
      <w:r w:rsidR="009F6DB9" w:rsidRPr="005444FD">
        <w:rPr>
          <w:lang w:val="fr-CA"/>
        </w:rPr>
        <w:t>A</w:t>
      </w:r>
      <w:r w:rsidRPr="005444FD">
        <w:rPr>
          <w:lang w:val="fr-CA"/>
        </w:rPr>
        <w:t>E. Cette liste est sujette à modifications.</w:t>
      </w:r>
    </w:p>
    <w:p w:rsidR="0080556B" w:rsidRPr="00934498" w:rsidRDefault="0080556B" w:rsidP="009B14F4">
      <w:pPr>
        <w:widowControl w:val="0"/>
        <w:jc w:val="both"/>
        <w:rPr>
          <w:sz w:val="20"/>
          <w:lang w:val="fr-CA"/>
        </w:rPr>
      </w:pPr>
    </w:p>
    <w:p w:rsidR="001838E0" w:rsidRPr="00934498" w:rsidRDefault="003D353C" w:rsidP="009B14F4">
      <w:pPr>
        <w:widowControl w:val="0"/>
        <w:jc w:val="both"/>
        <w:rPr>
          <w:sz w:val="20"/>
          <w:lang w:val="fr-CA"/>
        </w:rPr>
      </w:pPr>
      <w:r w:rsidRPr="00934498">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8890" r="11430" b="1016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518BCD" id="_x0000_t32" coordsize="21600,21600" o:spt="32" o:oned="t" path="m,l21600,21600e" filled="f">
                <v:path arrowok="t" fillok="f" o:connecttype="none"/>
                <o:lock v:ext="edit" shapetype="t"/>
              </v:shapetype>
              <v:shape id="AutoShape 12"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s5DHwIAADw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D65s5DHwIAADwEAAAOAAAAAAAAAAAAAAAAAC4CAABkcnMvZTJvRG9jLnhtbFBLAQIt&#10;ABQABgAIAAAAIQAjyLjm2wAAAAYBAAAPAAAAAAAAAAAAAAAAAHkEAABkcnMvZG93bnJldi54bWxQ&#10;SwUGAAAAAAQABADzAAAAgQUAAAAA&#10;">
                <w10:wrap anchorx="margin"/>
              </v:shape>
            </w:pict>
          </mc:Fallback>
        </mc:AlternateContent>
      </w:r>
    </w:p>
    <w:p w:rsidR="00AD4728" w:rsidRPr="005444FD" w:rsidRDefault="00AD4728" w:rsidP="005444FD">
      <w:pPr>
        <w:ind w:left="360" w:hanging="360"/>
        <w:jc w:val="both"/>
        <w:rPr>
          <w:sz w:val="20"/>
          <w:lang w:val="fr-CA" w:eastAsia="en-CA"/>
        </w:rPr>
      </w:pPr>
    </w:p>
    <w:p w:rsidR="005444FD" w:rsidRPr="005444FD" w:rsidRDefault="005444FD" w:rsidP="005444FD">
      <w:pPr>
        <w:pStyle w:val="ListParagraph"/>
        <w:numPr>
          <w:ilvl w:val="0"/>
          <w:numId w:val="44"/>
        </w:numPr>
        <w:ind w:left="360"/>
        <w:rPr>
          <w:sz w:val="20"/>
          <w:lang w:val="en-CA"/>
        </w:rPr>
      </w:pPr>
      <w:r w:rsidRPr="005444FD">
        <w:rPr>
          <w:i/>
          <w:sz w:val="20"/>
          <w:lang w:val="en-CA"/>
        </w:rPr>
        <w:t>Janssen Inc. et al. v. Hospira Healthcare Corporation e</w:t>
      </w:r>
      <w:r w:rsidR="00DC796E">
        <w:rPr>
          <w:i/>
          <w:sz w:val="20"/>
          <w:lang w:val="en-CA"/>
        </w:rPr>
        <w:t>t</w:t>
      </w:r>
      <w:r w:rsidRPr="005444FD">
        <w:rPr>
          <w:i/>
          <w:sz w:val="20"/>
          <w:lang w:val="en-CA"/>
        </w:rPr>
        <w:t xml:space="preserve"> al. </w:t>
      </w:r>
      <w:r w:rsidRPr="005444FD">
        <w:rPr>
          <w:sz w:val="20"/>
        </w:rPr>
        <w:t>(F</w:t>
      </w:r>
      <w:r w:rsidR="00AE56D5">
        <w:rPr>
          <w:sz w:val="20"/>
        </w:rPr>
        <w:t>.</w:t>
      </w:r>
      <w:r w:rsidRPr="005444FD">
        <w:rPr>
          <w:sz w:val="20"/>
        </w:rPr>
        <w:t>C</w:t>
      </w:r>
      <w:r w:rsidR="00AE56D5">
        <w:rPr>
          <w:sz w:val="20"/>
        </w:rPr>
        <w:t>.</w:t>
      </w:r>
      <w:r w:rsidRPr="005444FD">
        <w:rPr>
          <w:sz w:val="20"/>
        </w:rPr>
        <w:t>) (Civil) (By Leave)</w:t>
      </w:r>
      <w:r w:rsidR="00043D20">
        <w:rPr>
          <w:sz w:val="20"/>
        </w:rPr>
        <w:t xml:space="preserve"> </w:t>
      </w:r>
      <w:r w:rsidR="00043D20" w:rsidRPr="003D7756">
        <w:rPr>
          <w:sz w:val="20"/>
          <w:lang w:eastAsia="en-CA"/>
        </w:rPr>
        <w:t>(</w:t>
      </w:r>
      <w:hyperlink r:id="rId8" w:history="1">
        <w:r w:rsidR="00043D20" w:rsidRPr="003D7756">
          <w:rPr>
            <w:rStyle w:val="Hyperlink"/>
            <w:sz w:val="20"/>
            <w:lang w:eastAsia="en-CA"/>
          </w:rPr>
          <w:t>373</w:t>
        </w:r>
        <w:r w:rsidR="006C50D1">
          <w:rPr>
            <w:rStyle w:val="Hyperlink"/>
            <w:sz w:val="20"/>
            <w:lang w:eastAsia="en-CA"/>
          </w:rPr>
          <w:t>42</w:t>
        </w:r>
      </w:hyperlink>
      <w:r w:rsidR="00043D20" w:rsidRPr="003D7756">
        <w:rPr>
          <w:sz w:val="20"/>
          <w:lang w:eastAsia="en-CA"/>
        </w:rPr>
        <w:t>)</w:t>
      </w:r>
    </w:p>
    <w:p w:rsidR="005444FD" w:rsidRPr="005444FD" w:rsidRDefault="005444FD" w:rsidP="005444FD">
      <w:pPr>
        <w:ind w:left="360" w:hanging="360"/>
        <w:rPr>
          <w:sz w:val="20"/>
          <w:lang w:val="en-CA"/>
        </w:rPr>
      </w:pPr>
    </w:p>
    <w:p w:rsidR="005444FD" w:rsidRPr="005444FD" w:rsidRDefault="005444FD" w:rsidP="005444FD">
      <w:pPr>
        <w:pStyle w:val="ListParagraph"/>
        <w:numPr>
          <w:ilvl w:val="0"/>
          <w:numId w:val="44"/>
        </w:numPr>
        <w:ind w:left="360"/>
        <w:rPr>
          <w:sz w:val="20"/>
          <w:lang w:val="en-CA"/>
        </w:rPr>
      </w:pPr>
      <w:r w:rsidRPr="005444FD">
        <w:rPr>
          <w:i/>
          <w:sz w:val="20"/>
          <w:lang w:val="en-CA"/>
        </w:rPr>
        <w:t xml:space="preserve">Barejo Holdings ULC v. Her Majesty the Queen </w:t>
      </w:r>
      <w:r w:rsidRPr="005444FD">
        <w:rPr>
          <w:sz w:val="20"/>
          <w:lang w:val="en-CA"/>
        </w:rPr>
        <w:t>(F</w:t>
      </w:r>
      <w:r w:rsidR="00AE56D5">
        <w:rPr>
          <w:sz w:val="20"/>
          <w:lang w:val="en-CA"/>
        </w:rPr>
        <w:t>.</w:t>
      </w:r>
      <w:r w:rsidRPr="005444FD">
        <w:rPr>
          <w:sz w:val="20"/>
          <w:lang w:val="en-CA"/>
        </w:rPr>
        <w:t>C</w:t>
      </w:r>
      <w:r w:rsidR="00AE56D5">
        <w:rPr>
          <w:sz w:val="20"/>
          <w:lang w:val="en-CA"/>
        </w:rPr>
        <w:t>.</w:t>
      </w:r>
      <w:r w:rsidRPr="005444FD">
        <w:rPr>
          <w:sz w:val="20"/>
          <w:lang w:val="en-CA"/>
        </w:rPr>
        <w:t>) (Civil) (By Leave)</w:t>
      </w:r>
      <w:r w:rsidR="00043D20">
        <w:rPr>
          <w:sz w:val="20"/>
          <w:lang w:val="en-CA"/>
        </w:rPr>
        <w:t xml:space="preserve"> </w:t>
      </w:r>
      <w:r w:rsidR="00043D20" w:rsidRPr="003D7756">
        <w:rPr>
          <w:sz w:val="20"/>
          <w:lang w:eastAsia="en-CA"/>
        </w:rPr>
        <w:t>(</w:t>
      </w:r>
      <w:hyperlink r:id="rId9" w:history="1">
        <w:r w:rsidR="00043D20" w:rsidRPr="003D7756">
          <w:rPr>
            <w:rStyle w:val="Hyperlink"/>
            <w:sz w:val="20"/>
            <w:lang w:eastAsia="en-CA"/>
          </w:rPr>
          <w:t>37</w:t>
        </w:r>
        <w:r w:rsidR="0009046F">
          <w:rPr>
            <w:rStyle w:val="Hyperlink"/>
            <w:sz w:val="20"/>
            <w:lang w:eastAsia="en-CA"/>
          </w:rPr>
          <w:t>425</w:t>
        </w:r>
      </w:hyperlink>
      <w:r w:rsidR="00043D20" w:rsidRPr="003D7756">
        <w:rPr>
          <w:sz w:val="20"/>
          <w:lang w:eastAsia="en-CA"/>
        </w:rPr>
        <w:t>)</w:t>
      </w:r>
    </w:p>
    <w:p w:rsidR="005444FD" w:rsidRPr="005444FD" w:rsidRDefault="005444FD" w:rsidP="005444FD">
      <w:pPr>
        <w:ind w:left="360" w:hanging="360"/>
        <w:rPr>
          <w:sz w:val="20"/>
          <w:lang w:val="en-CA"/>
        </w:rPr>
      </w:pPr>
    </w:p>
    <w:p w:rsidR="005444FD" w:rsidRPr="005444FD" w:rsidRDefault="005444FD" w:rsidP="005444FD">
      <w:pPr>
        <w:pStyle w:val="ListParagraph"/>
        <w:numPr>
          <w:ilvl w:val="0"/>
          <w:numId w:val="44"/>
        </w:numPr>
        <w:ind w:left="360"/>
        <w:rPr>
          <w:sz w:val="20"/>
          <w:lang w:val="en-CA"/>
        </w:rPr>
      </w:pPr>
      <w:r w:rsidRPr="005444FD">
        <w:rPr>
          <w:i/>
          <w:sz w:val="20"/>
          <w:lang w:val="en-CA"/>
        </w:rPr>
        <w:t xml:space="preserve">Chief Ronald Michel et al. v. Attorney General of Canada et al. </w:t>
      </w:r>
      <w:r w:rsidRPr="005444FD">
        <w:rPr>
          <w:sz w:val="20"/>
          <w:lang w:val="en-CA"/>
        </w:rPr>
        <w:t>(Sask.) (Civil) (By Leave)</w:t>
      </w:r>
      <w:r w:rsidR="00043D20">
        <w:rPr>
          <w:sz w:val="20"/>
          <w:lang w:val="en-CA"/>
        </w:rPr>
        <w:t xml:space="preserve"> </w:t>
      </w:r>
      <w:r w:rsidR="00043D20" w:rsidRPr="003D7756">
        <w:rPr>
          <w:sz w:val="20"/>
          <w:lang w:eastAsia="en-CA"/>
        </w:rPr>
        <w:t>(</w:t>
      </w:r>
      <w:hyperlink r:id="rId10" w:history="1">
        <w:r w:rsidR="00043D20" w:rsidRPr="003D7756">
          <w:rPr>
            <w:rStyle w:val="Hyperlink"/>
            <w:sz w:val="20"/>
            <w:lang w:eastAsia="en-CA"/>
          </w:rPr>
          <w:t>37</w:t>
        </w:r>
        <w:r w:rsidR="00E236F6">
          <w:rPr>
            <w:rStyle w:val="Hyperlink"/>
            <w:sz w:val="20"/>
            <w:lang w:eastAsia="en-CA"/>
          </w:rPr>
          <w:t>485</w:t>
        </w:r>
      </w:hyperlink>
      <w:r w:rsidR="00043D20" w:rsidRPr="003D7756">
        <w:rPr>
          <w:sz w:val="20"/>
          <w:lang w:eastAsia="en-CA"/>
        </w:rPr>
        <w:t>)</w:t>
      </w:r>
    </w:p>
    <w:p w:rsidR="005444FD" w:rsidRPr="005444FD" w:rsidRDefault="005444FD" w:rsidP="005444FD">
      <w:pPr>
        <w:ind w:left="360" w:hanging="360"/>
        <w:rPr>
          <w:sz w:val="20"/>
          <w:lang w:val="en-CA"/>
        </w:rPr>
      </w:pPr>
    </w:p>
    <w:p w:rsidR="005444FD" w:rsidRPr="005444FD" w:rsidRDefault="005444FD" w:rsidP="005444FD">
      <w:pPr>
        <w:pStyle w:val="ListParagraph"/>
        <w:numPr>
          <w:ilvl w:val="0"/>
          <w:numId w:val="44"/>
        </w:numPr>
        <w:ind w:left="360"/>
        <w:rPr>
          <w:sz w:val="20"/>
          <w:lang w:val="en-CA"/>
        </w:rPr>
      </w:pPr>
      <w:r w:rsidRPr="005444FD">
        <w:rPr>
          <w:i/>
          <w:sz w:val="20"/>
          <w:lang w:val="en-CA"/>
        </w:rPr>
        <w:t xml:space="preserve">Chief John Ermineskin et al. v. Her Majesty the Queen in Right of Canada et al. </w:t>
      </w:r>
      <w:r w:rsidRPr="005444FD">
        <w:rPr>
          <w:sz w:val="20"/>
          <w:lang w:val="en-CA"/>
        </w:rPr>
        <w:t>(F</w:t>
      </w:r>
      <w:r w:rsidR="00AE56D5">
        <w:rPr>
          <w:sz w:val="20"/>
          <w:lang w:val="en-CA"/>
        </w:rPr>
        <w:t>.</w:t>
      </w:r>
      <w:r w:rsidRPr="005444FD">
        <w:rPr>
          <w:sz w:val="20"/>
          <w:lang w:val="en-CA"/>
        </w:rPr>
        <w:t>C</w:t>
      </w:r>
      <w:r w:rsidR="00AE56D5">
        <w:rPr>
          <w:sz w:val="20"/>
          <w:lang w:val="en-CA"/>
        </w:rPr>
        <w:t>.</w:t>
      </w:r>
      <w:r w:rsidRPr="005444FD">
        <w:rPr>
          <w:sz w:val="20"/>
          <w:lang w:val="en-CA"/>
        </w:rPr>
        <w:t>) (Civil) (By Leave)</w:t>
      </w:r>
      <w:r w:rsidR="00043D20">
        <w:rPr>
          <w:sz w:val="20"/>
          <w:lang w:val="en-CA"/>
        </w:rPr>
        <w:t xml:space="preserve"> </w:t>
      </w:r>
      <w:r w:rsidR="00043D20" w:rsidRPr="003D7756">
        <w:rPr>
          <w:sz w:val="20"/>
          <w:lang w:eastAsia="en-CA"/>
        </w:rPr>
        <w:t>(</w:t>
      </w:r>
      <w:hyperlink r:id="rId11" w:history="1">
        <w:r w:rsidR="00043D20" w:rsidRPr="003D7756">
          <w:rPr>
            <w:rStyle w:val="Hyperlink"/>
            <w:sz w:val="20"/>
            <w:lang w:eastAsia="en-CA"/>
          </w:rPr>
          <w:t>37</w:t>
        </w:r>
        <w:r w:rsidR="00857A16">
          <w:rPr>
            <w:rStyle w:val="Hyperlink"/>
            <w:sz w:val="20"/>
            <w:lang w:eastAsia="en-CA"/>
          </w:rPr>
          <w:t>277</w:t>
        </w:r>
      </w:hyperlink>
      <w:r w:rsidR="00043D20" w:rsidRPr="003D7756">
        <w:rPr>
          <w:sz w:val="20"/>
          <w:lang w:eastAsia="en-CA"/>
        </w:rPr>
        <w:t>)</w:t>
      </w:r>
    </w:p>
    <w:p w:rsidR="005444FD" w:rsidRPr="005444FD" w:rsidRDefault="005444FD" w:rsidP="005444FD">
      <w:pPr>
        <w:ind w:left="360" w:hanging="360"/>
        <w:rPr>
          <w:sz w:val="20"/>
          <w:lang w:val="en-CA"/>
        </w:rPr>
      </w:pPr>
    </w:p>
    <w:p w:rsidR="005444FD" w:rsidRPr="005444FD" w:rsidRDefault="005444FD" w:rsidP="005444FD">
      <w:pPr>
        <w:pStyle w:val="ListParagraph"/>
        <w:numPr>
          <w:ilvl w:val="0"/>
          <w:numId w:val="44"/>
        </w:numPr>
        <w:ind w:left="360"/>
        <w:rPr>
          <w:sz w:val="20"/>
          <w:lang w:val="en-CA"/>
        </w:rPr>
      </w:pPr>
      <w:r w:rsidRPr="005444FD">
        <w:rPr>
          <w:i/>
          <w:sz w:val="20"/>
          <w:lang w:val="en-CA"/>
        </w:rPr>
        <w:t xml:space="preserve">Chief Victor Buffalo </w:t>
      </w:r>
      <w:r w:rsidR="003133C7">
        <w:rPr>
          <w:i/>
          <w:sz w:val="20"/>
          <w:lang w:val="en-CA"/>
        </w:rPr>
        <w:t xml:space="preserve">acting </w:t>
      </w:r>
      <w:r w:rsidRPr="005444FD">
        <w:rPr>
          <w:i/>
          <w:sz w:val="20"/>
          <w:lang w:val="en-CA"/>
        </w:rPr>
        <w:t>on his</w:t>
      </w:r>
      <w:r w:rsidR="003133C7">
        <w:rPr>
          <w:i/>
          <w:sz w:val="20"/>
          <w:lang w:val="en-CA"/>
        </w:rPr>
        <w:t xml:space="preserve"> own</w:t>
      </w:r>
      <w:r w:rsidRPr="005444FD">
        <w:rPr>
          <w:i/>
          <w:sz w:val="20"/>
          <w:lang w:val="en-CA"/>
        </w:rPr>
        <w:t xml:space="preserve"> behalf and </w:t>
      </w:r>
      <w:r w:rsidR="003133C7">
        <w:rPr>
          <w:i/>
          <w:sz w:val="20"/>
          <w:lang w:val="en-CA"/>
        </w:rPr>
        <w:t>on behalf of</w:t>
      </w:r>
      <w:r w:rsidRPr="005444FD">
        <w:rPr>
          <w:i/>
          <w:sz w:val="20"/>
          <w:lang w:val="en-CA"/>
        </w:rPr>
        <w:t xml:space="preserve"> all</w:t>
      </w:r>
      <w:r w:rsidR="003133C7">
        <w:rPr>
          <w:i/>
          <w:sz w:val="20"/>
          <w:lang w:val="en-CA"/>
        </w:rPr>
        <w:t xml:space="preserve"> the other</w:t>
      </w:r>
      <w:r w:rsidRPr="005444FD">
        <w:rPr>
          <w:i/>
          <w:sz w:val="20"/>
          <w:lang w:val="en-CA"/>
        </w:rPr>
        <w:t xml:space="preserve"> members of Samson Indian Nation and Ban</w:t>
      </w:r>
      <w:r w:rsidR="003133C7">
        <w:rPr>
          <w:i/>
          <w:sz w:val="20"/>
          <w:lang w:val="en-CA"/>
        </w:rPr>
        <w:t>d</w:t>
      </w:r>
      <w:r w:rsidR="006734ED">
        <w:rPr>
          <w:i/>
          <w:sz w:val="20"/>
          <w:lang w:val="en-CA"/>
        </w:rPr>
        <w:t xml:space="preserve"> et al.</w:t>
      </w:r>
      <w:r w:rsidRPr="005444FD">
        <w:rPr>
          <w:i/>
          <w:sz w:val="20"/>
          <w:lang w:val="en-CA"/>
        </w:rPr>
        <w:t xml:space="preserve"> v. Her Majesty the Queen in Right of Canada</w:t>
      </w:r>
      <w:r w:rsidR="00B82D29">
        <w:rPr>
          <w:i/>
          <w:sz w:val="20"/>
          <w:lang w:val="en-CA"/>
        </w:rPr>
        <w:t xml:space="preserve"> et al.</w:t>
      </w:r>
      <w:r w:rsidRPr="005444FD">
        <w:rPr>
          <w:i/>
          <w:sz w:val="20"/>
          <w:lang w:val="en-CA"/>
        </w:rPr>
        <w:t xml:space="preserve"> </w:t>
      </w:r>
      <w:r w:rsidRPr="005444FD">
        <w:rPr>
          <w:sz w:val="20"/>
          <w:lang w:val="en-CA"/>
        </w:rPr>
        <w:t>(F</w:t>
      </w:r>
      <w:r w:rsidR="00AE56D5">
        <w:rPr>
          <w:sz w:val="20"/>
          <w:lang w:val="en-CA"/>
        </w:rPr>
        <w:t>.</w:t>
      </w:r>
      <w:r w:rsidRPr="005444FD">
        <w:rPr>
          <w:sz w:val="20"/>
          <w:lang w:val="en-CA"/>
        </w:rPr>
        <w:t>C</w:t>
      </w:r>
      <w:r w:rsidR="00AE56D5">
        <w:rPr>
          <w:sz w:val="20"/>
          <w:lang w:val="en-CA"/>
        </w:rPr>
        <w:t>.</w:t>
      </w:r>
      <w:r w:rsidRPr="005444FD">
        <w:rPr>
          <w:sz w:val="20"/>
          <w:lang w:val="en-CA"/>
        </w:rPr>
        <w:t>) (Civil) (By Leave)</w:t>
      </w:r>
      <w:r w:rsidR="00043D20">
        <w:rPr>
          <w:sz w:val="20"/>
          <w:lang w:val="en-CA"/>
        </w:rPr>
        <w:t xml:space="preserve"> </w:t>
      </w:r>
      <w:r w:rsidR="00043D20" w:rsidRPr="003D7756">
        <w:rPr>
          <w:sz w:val="20"/>
          <w:lang w:eastAsia="en-CA"/>
        </w:rPr>
        <w:t>(</w:t>
      </w:r>
      <w:hyperlink r:id="rId12" w:history="1">
        <w:r w:rsidR="00043D20" w:rsidRPr="003D7756">
          <w:rPr>
            <w:rStyle w:val="Hyperlink"/>
            <w:sz w:val="20"/>
            <w:lang w:eastAsia="en-CA"/>
          </w:rPr>
          <w:t>37</w:t>
        </w:r>
        <w:r w:rsidR="003133C7">
          <w:rPr>
            <w:rStyle w:val="Hyperlink"/>
            <w:sz w:val="20"/>
            <w:lang w:eastAsia="en-CA"/>
          </w:rPr>
          <w:t>280</w:t>
        </w:r>
      </w:hyperlink>
      <w:r w:rsidR="00043D20" w:rsidRPr="003D7756">
        <w:rPr>
          <w:sz w:val="20"/>
          <w:lang w:eastAsia="en-CA"/>
        </w:rPr>
        <w:t>)</w:t>
      </w:r>
    </w:p>
    <w:p w:rsidR="00AF63E5" w:rsidRPr="00934498" w:rsidRDefault="00AF63E5" w:rsidP="00F13671">
      <w:pPr>
        <w:ind w:left="360" w:hanging="360"/>
        <w:jc w:val="both"/>
        <w:rPr>
          <w:sz w:val="20"/>
          <w:lang w:eastAsia="en-CA"/>
        </w:rPr>
      </w:pPr>
    </w:p>
    <w:p w:rsidR="00AF63E5" w:rsidRDefault="00AF63E5" w:rsidP="00F13671">
      <w:pPr>
        <w:ind w:left="360" w:hanging="360"/>
        <w:jc w:val="both"/>
        <w:rPr>
          <w:sz w:val="20"/>
          <w:lang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3608" w:rsidRPr="00E06B95" w:rsidTr="00E95A6A">
        <w:tc>
          <w:tcPr>
            <w:tcW w:w="543" w:type="pct"/>
          </w:tcPr>
          <w:p w:rsidR="00303608" w:rsidRPr="00E06B95" w:rsidRDefault="00303608" w:rsidP="00E06B95">
            <w:pPr>
              <w:jc w:val="both"/>
              <w:rPr>
                <w:sz w:val="20"/>
              </w:rPr>
            </w:pPr>
            <w:r w:rsidRPr="00E06B95">
              <w:rPr>
                <w:rStyle w:val="SCCFileNumberChar"/>
                <w:sz w:val="20"/>
                <w:szCs w:val="20"/>
              </w:rPr>
              <w:t>37342</w:t>
            </w:r>
          </w:p>
        </w:tc>
        <w:tc>
          <w:tcPr>
            <w:tcW w:w="4457" w:type="pct"/>
            <w:gridSpan w:val="3"/>
          </w:tcPr>
          <w:p w:rsidR="00303608" w:rsidRPr="00E06B95" w:rsidRDefault="00303608" w:rsidP="00E06B95">
            <w:pPr>
              <w:pStyle w:val="SCCLsocParty"/>
              <w:jc w:val="both"/>
              <w:rPr>
                <w:b/>
                <w:sz w:val="20"/>
                <w:szCs w:val="20"/>
                <w:lang w:val="en-US"/>
              </w:rPr>
            </w:pPr>
            <w:r w:rsidRPr="00E06B95">
              <w:rPr>
                <w:b/>
                <w:sz w:val="20"/>
                <w:szCs w:val="20"/>
                <w:lang w:val="en-US"/>
              </w:rPr>
              <w:t xml:space="preserve">Janssen Inc., The Kennedy Trust for Rheumatology Research v. </w:t>
            </w:r>
            <w:proofErr w:type="spellStart"/>
            <w:r w:rsidRPr="00E06B95">
              <w:rPr>
                <w:b/>
                <w:sz w:val="20"/>
                <w:szCs w:val="20"/>
                <w:lang w:val="en-US"/>
              </w:rPr>
              <w:t>Hospira</w:t>
            </w:r>
            <w:proofErr w:type="spellEnd"/>
            <w:r w:rsidRPr="00E06B95">
              <w:rPr>
                <w:b/>
                <w:sz w:val="20"/>
                <w:szCs w:val="20"/>
                <w:lang w:val="en-US"/>
              </w:rPr>
              <w:t xml:space="preserve"> Healthcare Corporation, Minister of Health and Attorney General of Canada</w:t>
            </w:r>
          </w:p>
          <w:p w:rsidR="00303608" w:rsidRPr="00E06B95" w:rsidRDefault="00303608" w:rsidP="00E06B95">
            <w:pPr>
              <w:jc w:val="both"/>
              <w:rPr>
                <w:sz w:val="20"/>
              </w:rPr>
            </w:pPr>
            <w:r w:rsidRPr="00E06B95">
              <w:rPr>
                <w:sz w:val="20"/>
              </w:rPr>
              <w:t>(FC) (Civil) (By Leave)</w:t>
            </w:r>
          </w:p>
        </w:tc>
      </w:tr>
      <w:tr w:rsidR="00303608" w:rsidRPr="00E06B95" w:rsidTr="00E95A6A">
        <w:tc>
          <w:tcPr>
            <w:tcW w:w="5000" w:type="pct"/>
            <w:gridSpan w:val="4"/>
          </w:tcPr>
          <w:p w:rsidR="00303608" w:rsidRPr="00E06B95" w:rsidRDefault="00303608" w:rsidP="00E06B95">
            <w:pPr>
              <w:jc w:val="both"/>
              <w:rPr>
                <w:sz w:val="20"/>
              </w:rPr>
            </w:pPr>
            <w:r w:rsidRPr="00E06B95">
              <w:rPr>
                <w:sz w:val="20"/>
              </w:rPr>
              <w:t xml:space="preserve">Intellectual property — Patents — Medicines — Administrative law — Standard of review — </w:t>
            </w:r>
            <w:r w:rsidRPr="00E06B95">
              <w:rPr>
                <w:i/>
                <w:sz w:val="20"/>
              </w:rPr>
              <w:t>Patented Medicines (Notice of Compliance) Regulations</w:t>
            </w:r>
            <w:r w:rsidRPr="00E06B95">
              <w:rPr>
                <w:sz w:val="20"/>
              </w:rPr>
              <w:t xml:space="preserve">, SOR/93-133, s. 5(1) — Generic company filing new drug submission before patent issued on comparison drug — New drug submission nominated </w:t>
            </w:r>
            <w:proofErr w:type="spellStart"/>
            <w:r w:rsidRPr="00E06B95">
              <w:rPr>
                <w:sz w:val="20"/>
              </w:rPr>
              <w:t>Hospira</w:t>
            </w:r>
            <w:proofErr w:type="spellEnd"/>
            <w:r w:rsidRPr="00E06B95">
              <w:rPr>
                <w:sz w:val="20"/>
              </w:rPr>
              <w:t xml:space="preserve"> Healthcare Corporation as distributor of generic drug — Minister issuing notice of compliance to </w:t>
            </w:r>
            <w:proofErr w:type="spellStart"/>
            <w:r w:rsidRPr="00E06B95">
              <w:rPr>
                <w:sz w:val="20"/>
              </w:rPr>
              <w:t>Hospira</w:t>
            </w:r>
            <w:proofErr w:type="spellEnd"/>
            <w:r w:rsidRPr="00E06B95">
              <w:rPr>
                <w:sz w:val="20"/>
              </w:rPr>
              <w:t xml:space="preserve"> without requiring generic company to address patent — What criteria should inform the choice between reasonableness and correctness standards of review — What factors, if any, should widen or narrow the spectrum of defensible outcomes on a reasonableness standard of review — Is it in accordance with the law and in the public interest that generic drug companies be allowed to avoid addressing patents listed under the </w:t>
            </w:r>
            <w:r w:rsidRPr="00E06B95">
              <w:rPr>
                <w:i/>
                <w:sz w:val="20"/>
              </w:rPr>
              <w:t>Patented Medicines (Notice of Compliance) Regulations</w:t>
            </w:r>
            <w:r w:rsidRPr="00E06B95">
              <w:rPr>
                <w:sz w:val="20"/>
              </w:rPr>
              <w:t>?</w:t>
            </w:r>
          </w:p>
        </w:tc>
      </w:tr>
      <w:tr w:rsidR="00303608" w:rsidRPr="00E06B95" w:rsidTr="00E95A6A">
        <w:tc>
          <w:tcPr>
            <w:tcW w:w="5000" w:type="pct"/>
            <w:gridSpan w:val="4"/>
          </w:tcPr>
          <w:p w:rsidR="00303608" w:rsidRPr="00E06B95" w:rsidRDefault="00303608" w:rsidP="00E06B95">
            <w:pPr>
              <w:jc w:val="both"/>
              <w:rPr>
                <w:sz w:val="20"/>
              </w:rPr>
            </w:pPr>
          </w:p>
        </w:tc>
      </w:tr>
      <w:tr w:rsidR="00303608" w:rsidRPr="00E06B95" w:rsidTr="00E95A6A">
        <w:tc>
          <w:tcPr>
            <w:tcW w:w="5000" w:type="pct"/>
            <w:gridSpan w:val="4"/>
          </w:tcPr>
          <w:p w:rsidR="00303608" w:rsidRPr="00E06B95" w:rsidRDefault="00303608" w:rsidP="00E06B95">
            <w:pPr>
              <w:jc w:val="both"/>
              <w:rPr>
                <w:sz w:val="20"/>
              </w:rPr>
            </w:pPr>
            <w:r w:rsidRPr="00E06B95">
              <w:rPr>
                <w:sz w:val="20"/>
              </w:rPr>
              <w:lastRenderedPageBreak/>
              <w:t xml:space="preserve">In April 2012, Health Canada changed the </w:t>
            </w:r>
            <w:r w:rsidRPr="00E06B95">
              <w:rPr>
                <w:i/>
                <w:sz w:val="20"/>
              </w:rPr>
              <w:t>Guidance Document: Patented Medicines (Notice of Compliance Regulations)</w:t>
            </w:r>
            <w:r w:rsidRPr="00E06B95">
              <w:rPr>
                <w:sz w:val="20"/>
              </w:rPr>
              <w:t xml:space="preserve"> so that submissions that do not require scientific review would be treated as administrative, would not have to comply with s. 5. On November 14, 2012, </w:t>
            </w:r>
            <w:proofErr w:type="spellStart"/>
            <w:r w:rsidRPr="00E06B95">
              <w:rPr>
                <w:sz w:val="20"/>
              </w:rPr>
              <w:t>Celltrion</w:t>
            </w:r>
            <w:proofErr w:type="spellEnd"/>
            <w:r w:rsidRPr="00E06B95">
              <w:rPr>
                <w:sz w:val="20"/>
              </w:rPr>
              <w:t xml:space="preserve"> Healthcare Co. Ltd. filed a new drug submission (“NDS”) seeking approval to market its subsequent entry biologic </w:t>
            </w:r>
            <w:proofErr w:type="spellStart"/>
            <w:r w:rsidRPr="00E06B95">
              <w:rPr>
                <w:sz w:val="20"/>
              </w:rPr>
              <w:t>inflectra</w:t>
            </w:r>
            <w:proofErr w:type="spellEnd"/>
            <w:r w:rsidRPr="00E06B95">
              <w:rPr>
                <w:sz w:val="20"/>
              </w:rPr>
              <w:t xml:space="preserve">, which contained the medicinal ingredient infliximab 100 mg/vial in powder for solution dosage. In its NDS, </w:t>
            </w:r>
            <w:proofErr w:type="spellStart"/>
            <w:r w:rsidRPr="00E06B95">
              <w:rPr>
                <w:sz w:val="20"/>
              </w:rPr>
              <w:t>Celltrion</w:t>
            </w:r>
            <w:proofErr w:type="spellEnd"/>
            <w:r w:rsidRPr="00E06B95">
              <w:rPr>
                <w:sz w:val="20"/>
              </w:rPr>
              <w:t xml:space="preserve"> sought to demonstrate similarity between </w:t>
            </w:r>
            <w:proofErr w:type="spellStart"/>
            <w:r w:rsidRPr="00E06B95">
              <w:rPr>
                <w:sz w:val="20"/>
              </w:rPr>
              <w:t>inflectra</w:t>
            </w:r>
            <w:proofErr w:type="spellEnd"/>
            <w:r w:rsidRPr="00E06B95">
              <w:rPr>
                <w:sz w:val="20"/>
              </w:rPr>
              <w:t xml:space="preserve"> and </w:t>
            </w:r>
            <w:proofErr w:type="spellStart"/>
            <w:r w:rsidRPr="00E06B95">
              <w:rPr>
                <w:sz w:val="20"/>
              </w:rPr>
              <w:t>remicade</w:t>
            </w:r>
            <w:proofErr w:type="spellEnd"/>
            <w:r w:rsidRPr="00E06B95">
              <w:rPr>
                <w:sz w:val="20"/>
              </w:rPr>
              <w:t xml:space="preserve">, for which Janssen Inc. had not yet received a patent. </w:t>
            </w:r>
            <w:proofErr w:type="spellStart"/>
            <w:r w:rsidRPr="00E06B95">
              <w:rPr>
                <w:sz w:val="20"/>
              </w:rPr>
              <w:t>Celltrion’s</w:t>
            </w:r>
            <w:proofErr w:type="spellEnd"/>
            <w:r w:rsidRPr="00E06B95">
              <w:rPr>
                <w:sz w:val="20"/>
              </w:rPr>
              <w:t xml:space="preserve"> NDS nominated </w:t>
            </w:r>
            <w:proofErr w:type="spellStart"/>
            <w:r w:rsidRPr="00E06B95">
              <w:rPr>
                <w:sz w:val="20"/>
              </w:rPr>
              <w:t>Hospira</w:t>
            </w:r>
            <w:proofErr w:type="spellEnd"/>
            <w:r w:rsidRPr="00E06B95">
              <w:rPr>
                <w:sz w:val="20"/>
              </w:rPr>
              <w:t xml:space="preserve"> to be the distributor for </w:t>
            </w:r>
            <w:proofErr w:type="spellStart"/>
            <w:r w:rsidRPr="00E06B95">
              <w:rPr>
                <w:sz w:val="20"/>
              </w:rPr>
              <w:t>inflectra</w:t>
            </w:r>
            <w:proofErr w:type="spellEnd"/>
            <w:r w:rsidRPr="00E06B95">
              <w:rPr>
                <w:sz w:val="20"/>
              </w:rPr>
              <w:t xml:space="preserve">. On January 15, 2014, the Minister of Health issued a notice of compliance (“NOC”) to </w:t>
            </w:r>
            <w:proofErr w:type="spellStart"/>
            <w:r w:rsidRPr="00E06B95">
              <w:rPr>
                <w:sz w:val="20"/>
              </w:rPr>
              <w:t>Hospira</w:t>
            </w:r>
            <w:proofErr w:type="spellEnd"/>
            <w:r w:rsidRPr="00E06B95">
              <w:rPr>
                <w:sz w:val="20"/>
              </w:rPr>
              <w:t>. Janssen sought judicial review of that decision.</w:t>
            </w:r>
          </w:p>
          <w:p w:rsidR="00303608" w:rsidRPr="00E06B95" w:rsidRDefault="00303608" w:rsidP="00E06B95">
            <w:pPr>
              <w:jc w:val="both"/>
              <w:rPr>
                <w:sz w:val="20"/>
              </w:rPr>
            </w:pPr>
          </w:p>
          <w:p w:rsidR="00303608" w:rsidRPr="00E06B95" w:rsidRDefault="00303608" w:rsidP="00E06B95">
            <w:pPr>
              <w:jc w:val="both"/>
              <w:rPr>
                <w:sz w:val="20"/>
              </w:rPr>
            </w:pPr>
            <w:r w:rsidRPr="00E06B95">
              <w:rPr>
                <w:sz w:val="20"/>
              </w:rPr>
              <w:t xml:space="preserve">Meanwhile, in </w:t>
            </w:r>
            <w:r w:rsidRPr="00E06B95">
              <w:rPr>
                <w:i/>
                <w:sz w:val="20"/>
              </w:rPr>
              <w:t>Pfizer Canada Inc. v. Canada (Health)</w:t>
            </w:r>
            <w:r w:rsidRPr="00E06B95">
              <w:rPr>
                <w:sz w:val="20"/>
              </w:rPr>
              <w:t xml:space="preserve">, </w:t>
            </w:r>
            <w:hyperlink r:id="rId13" w:history="1">
              <w:r w:rsidRPr="00E06B95">
                <w:rPr>
                  <w:rStyle w:val="Hyperlink"/>
                  <w:sz w:val="20"/>
                </w:rPr>
                <w:t>2014 FC 1243</w:t>
              </w:r>
            </w:hyperlink>
            <w:r w:rsidRPr="00E06B95">
              <w:rPr>
                <w:sz w:val="20"/>
              </w:rPr>
              <w:t xml:space="preserve">, the Federal Court had decided that the Minster’s decision to issue a NOC in relation to an administrative ANDS without requiring the generic company to address the patent for the innovator’s drug was to be reviewed on a correctness standard, and that the decision was incorrect, so it set the Minister’s decision aside. Pfizer sought judicial review of that decision. On consent, and in order to allow the appeals to be heard together, the Federal Court set aside the decision to issue the NOC to </w:t>
            </w:r>
            <w:proofErr w:type="spellStart"/>
            <w:r w:rsidRPr="00E06B95">
              <w:rPr>
                <w:sz w:val="20"/>
              </w:rPr>
              <w:t>Hospira</w:t>
            </w:r>
            <w:proofErr w:type="spellEnd"/>
            <w:r w:rsidRPr="00E06B95">
              <w:rPr>
                <w:sz w:val="20"/>
              </w:rPr>
              <w:t xml:space="preserve">, without prejudice to the right to appeal so that the parties could have the appeals heard together. </w:t>
            </w:r>
            <w:proofErr w:type="spellStart"/>
            <w:r w:rsidRPr="00E06B95">
              <w:rPr>
                <w:sz w:val="20"/>
              </w:rPr>
              <w:t>Teva</w:t>
            </w:r>
            <w:proofErr w:type="spellEnd"/>
            <w:r w:rsidRPr="00E06B95">
              <w:rPr>
                <w:sz w:val="20"/>
              </w:rPr>
              <w:t xml:space="preserve"> appealed the former decision (A-27-15), as did the Attorney General of Canada and the Minister of Health (A-28-15). </w:t>
            </w:r>
            <w:proofErr w:type="spellStart"/>
            <w:r w:rsidRPr="00E06B95">
              <w:rPr>
                <w:sz w:val="20"/>
              </w:rPr>
              <w:t>Hospira</w:t>
            </w:r>
            <w:proofErr w:type="spellEnd"/>
            <w:r w:rsidRPr="00E06B95">
              <w:rPr>
                <w:sz w:val="20"/>
              </w:rPr>
              <w:t xml:space="preserve"> appealed the latter decision (A-172-15), as did the Attorney General of Canada and the Minister of Health (A-143-15). Those two appeals were also consolidated. The Court of Appeal ordered that both consolidated appeals be heard together. It allowed the appeals, setting aside the judgment of the Federal Court and dismissing the applications for judicial review. Janssen and the Kennedy Trust apply for leave to appeal.</w:t>
            </w:r>
          </w:p>
          <w:p w:rsidR="00303608" w:rsidRPr="00E06B95" w:rsidRDefault="00303608" w:rsidP="00E06B95">
            <w:pPr>
              <w:jc w:val="both"/>
              <w:rPr>
                <w:sz w:val="20"/>
              </w:rPr>
            </w:pPr>
          </w:p>
        </w:tc>
      </w:tr>
      <w:tr w:rsidR="00303608" w:rsidRPr="00E06B95" w:rsidTr="00E95A6A">
        <w:tc>
          <w:tcPr>
            <w:tcW w:w="2427" w:type="pct"/>
            <w:gridSpan w:val="2"/>
          </w:tcPr>
          <w:p w:rsidR="00303608" w:rsidRPr="00E06B95" w:rsidRDefault="00303608" w:rsidP="00E06B95">
            <w:pPr>
              <w:jc w:val="both"/>
              <w:rPr>
                <w:sz w:val="20"/>
              </w:rPr>
            </w:pPr>
            <w:r w:rsidRPr="00E06B95">
              <w:rPr>
                <w:sz w:val="20"/>
              </w:rPr>
              <w:t>December 19, 2014</w:t>
            </w:r>
          </w:p>
          <w:p w:rsidR="00303608" w:rsidRPr="00E06B95" w:rsidRDefault="00303608" w:rsidP="00E06B95">
            <w:pPr>
              <w:jc w:val="both"/>
              <w:rPr>
                <w:sz w:val="20"/>
              </w:rPr>
            </w:pPr>
            <w:r w:rsidRPr="00E06B95">
              <w:rPr>
                <w:sz w:val="20"/>
              </w:rPr>
              <w:t>Federal Court</w:t>
            </w:r>
          </w:p>
          <w:p w:rsidR="00303608" w:rsidRPr="00E06B95" w:rsidRDefault="00303608" w:rsidP="00E06B95">
            <w:pPr>
              <w:jc w:val="both"/>
              <w:rPr>
                <w:sz w:val="20"/>
              </w:rPr>
            </w:pPr>
            <w:r w:rsidRPr="00E06B95">
              <w:rPr>
                <w:sz w:val="20"/>
              </w:rPr>
              <w:t>(Gleason J.)</w:t>
            </w: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 xml:space="preserve">Minister’s decision granting notice of compliance to </w:t>
            </w:r>
            <w:proofErr w:type="spellStart"/>
            <w:r w:rsidRPr="00E06B95">
              <w:rPr>
                <w:sz w:val="20"/>
              </w:rPr>
              <w:t>Hospira</w:t>
            </w:r>
            <w:proofErr w:type="spellEnd"/>
            <w:r w:rsidRPr="00E06B95">
              <w:rPr>
                <w:sz w:val="20"/>
              </w:rPr>
              <w:t xml:space="preserve"> Healthcare Corporation set aside; leave to appeal to Court of Appeal granted, if required</w:t>
            </w:r>
          </w:p>
          <w:p w:rsidR="00303608" w:rsidRPr="00E06B95" w:rsidRDefault="00303608" w:rsidP="00E06B95">
            <w:pPr>
              <w:jc w:val="both"/>
              <w:rPr>
                <w:sz w:val="20"/>
              </w:rPr>
            </w:pPr>
            <w:r w:rsidRPr="00E06B95">
              <w:rPr>
                <w:sz w:val="20"/>
              </w:rPr>
              <w:t xml:space="preserve"> </w:t>
            </w:r>
          </w:p>
        </w:tc>
      </w:tr>
      <w:tr w:rsidR="00303608" w:rsidRPr="00E06B95" w:rsidTr="00E95A6A">
        <w:tc>
          <w:tcPr>
            <w:tcW w:w="2427" w:type="pct"/>
            <w:gridSpan w:val="2"/>
          </w:tcPr>
          <w:p w:rsidR="00303608" w:rsidRPr="00E06B95" w:rsidRDefault="00303608" w:rsidP="00E06B95">
            <w:pPr>
              <w:jc w:val="both"/>
              <w:rPr>
                <w:sz w:val="20"/>
              </w:rPr>
            </w:pPr>
            <w:r w:rsidRPr="00E06B95">
              <w:rPr>
                <w:sz w:val="20"/>
              </w:rPr>
              <w:t>October 12, 2016</w:t>
            </w:r>
          </w:p>
          <w:p w:rsidR="00303608" w:rsidRPr="00E06B95" w:rsidRDefault="00303608" w:rsidP="00E06B95">
            <w:pPr>
              <w:jc w:val="both"/>
              <w:rPr>
                <w:sz w:val="20"/>
              </w:rPr>
            </w:pPr>
            <w:r w:rsidRPr="00E06B95">
              <w:rPr>
                <w:sz w:val="20"/>
              </w:rPr>
              <w:t>Federal Court of Appeal</w:t>
            </w:r>
          </w:p>
          <w:p w:rsidR="00303608" w:rsidRPr="00E06B95" w:rsidRDefault="00303608" w:rsidP="00E06B95">
            <w:pPr>
              <w:jc w:val="both"/>
              <w:rPr>
                <w:sz w:val="20"/>
              </w:rPr>
            </w:pPr>
            <w:r w:rsidRPr="00E06B95">
              <w:rPr>
                <w:sz w:val="20"/>
              </w:rPr>
              <w:t>(Dawson, Webb, Rennie JJ.A.)</w:t>
            </w:r>
          </w:p>
          <w:p w:rsidR="00303608" w:rsidRPr="00E06B95" w:rsidRDefault="00303608" w:rsidP="00E06B95">
            <w:pPr>
              <w:jc w:val="both"/>
              <w:rPr>
                <w:sz w:val="20"/>
              </w:rPr>
            </w:pPr>
            <w:hyperlink r:id="rId14" w:history="1">
              <w:r w:rsidRPr="00E06B95">
                <w:rPr>
                  <w:rStyle w:val="Hyperlink"/>
                  <w:sz w:val="20"/>
                </w:rPr>
                <w:t>2016 FCA 248</w:t>
              </w:r>
            </w:hyperlink>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Appeals in A-143-15 and A-172-15 allowed, judgment of Federal Court set aside; applications for judicial review of decision of Minister dismissed</w:t>
            </w:r>
          </w:p>
        </w:tc>
      </w:tr>
      <w:tr w:rsidR="00303608" w:rsidRPr="00E06B95" w:rsidTr="00E95A6A">
        <w:tc>
          <w:tcPr>
            <w:tcW w:w="2427" w:type="pct"/>
            <w:gridSpan w:val="2"/>
          </w:tcPr>
          <w:p w:rsidR="00303608" w:rsidRPr="00E06B95" w:rsidRDefault="00303608" w:rsidP="00E06B95">
            <w:pPr>
              <w:jc w:val="both"/>
              <w:rPr>
                <w:sz w:val="20"/>
              </w:rPr>
            </w:pPr>
            <w:r w:rsidRPr="00E06B95">
              <w:rPr>
                <w:sz w:val="20"/>
              </w:rPr>
              <w:t>December 9, 2016</w:t>
            </w:r>
          </w:p>
          <w:p w:rsidR="00303608" w:rsidRPr="00E06B95" w:rsidRDefault="00303608" w:rsidP="00E06B95">
            <w:pPr>
              <w:jc w:val="both"/>
              <w:rPr>
                <w:sz w:val="20"/>
              </w:rPr>
            </w:pPr>
            <w:r w:rsidRPr="00E06B95">
              <w:rPr>
                <w:sz w:val="20"/>
              </w:rPr>
              <w:t>Supreme Court of Canada</w:t>
            </w: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Application for leave to appeal filed</w:t>
            </w:r>
          </w:p>
        </w:tc>
      </w:tr>
    </w:tbl>
    <w:p w:rsidR="00303608" w:rsidRDefault="00303608" w:rsidP="00E06B95">
      <w:pPr>
        <w:jc w:val="both"/>
        <w:rPr>
          <w:sz w:val="20"/>
        </w:rPr>
      </w:pPr>
    </w:p>
    <w:p w:rsidR="00E06B95" w:rsidRPr="00E06B95" w:rsidRDefault="00E06B95" w:rsidP="00E06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3608" w:rsidRPr="00E06B95" w:rsidTr="00E95A6A">
        <w:tc>
          <w:tcPr>
            <w:tcW w:w="543" w:type="pct"/>
          </w:tcPr>
          <w:p w:rsidR="00303608" w:rsidRPr="00E06B95" w:rsidRDefault="00303608" w:rsidP="00E06B95">
            <w:pPr>
              <w:jc w:val="both"/>
              <w:rPr>
                <w:b/>
                <w:sz w:val="20"/>
              </w:rPr>
            </w:pPr>
            <w:r w:rsidRPr="00E06B95">
              <w:rPr>
                <w:b/>
                <w:sz w:val="20"/>
              </w:rPr>
              <w:t>37342</w:t>
            </w:r>
          </w:p>
        </w:tc>
        <w:tc>
          <w:tcPr>
            <w:tcW w:w="4457" w:type="pct"/>
            <w:gridSpan w:val="3"/>
          </w:tcPr>
          <w:p w:rsidR="00303608" w:rsidRPr="00E06B95" w:rsidRDefault="00303608" w:rsidP="00E06B95">
            <w:pPr>
              <w:pStyle w:val="SCCLsocParty"/>
              <w:jc w:val="both"/>
              <w:rPr>
                <w:b/>
                <w:sz w:val="20"/>
                <w:szCs w:val="20"/>
                <w:lang w:val="en-US"/>
              </w:rPr>
            </w:pPr>
            <w:r w:rsidRPr="00E06B95">
              <w:rPr>
                <w:b/>
                <w:sz w:val="20"/>
                <w:szCs w:val="20"/>
                <w:lang w:val="en-US"/>
              </w:rPr>
              <w:t xml:space="preserve">Janssen Inc., The Kennedy Trust for Rheumatology Research c. </w:t>
            </w:r>
            <w:proofErr w:type="spellStart"/>
            <w:r w:rsidRPr="00E06B95">
              <w:rPr>
                <w:b/>
                <w:sz w:val="20"/>
                <w:szCs w:val="20"/>
                <w:lang w:val="en-US"/>
              </w:rPr>
              <w:t>Hospira</w:t>
            </w:r>
            <w:proofErr w:type="spellEnd"/>
            <w:r w:rsidRPr="00E06B95">
              <w:rPr>
                <w:b/>
                <w:sz w:val="20"/>
                <w:szCs w:val="20"/>
                <w:lang w:val="en-US"/>
              </w:rPr>
              <w:t xml:space="preserve"> Healthcare Corporation, </w:t>
            </w:r>
            <w:proofErr w:type="spellStart"/>
            <w:r w:rsidRPr="00E06B95">
              <w:rPr>
                <w:b/>
                <w:sz w:val="20"/>
                <w:szCs w:val="20"/>
                <w:lang w:val="en-US"/>
              </w:rPr>
              <w:t>ministre</w:t>
            </w:r>
            <w:proofErr w:type="spellEnd"/>
            <w:r w:rsidRPr="00E06B95">
              <w:rPr>
                <w:b/>
                <w:sz w:val="20"/>
                <w:szCs w:val="20"/>
                <w:lang w:val="en-US"/>
              </w:rPr>
              <w:t xml:space="preserve"> de la Santé et </w:t>
            </w:r>
            <w:proofErr w:type="spellStart"/>
            <w:r w:rsidRPr="00E06B95">
              <w:rPr>
                <w:b/>
                <w:sz w:val="20"/>
                <w:szCs w:val="20"/>
                <w:lang w:val="en-US"/>
              </w:rPr>
              <w:t>procureur</w:t>
            </w:r>
            <w:proofErr w:type="spellEnd"/>
            <w:r w:rsidRPr="00E06B95">
              <w:rPr>
                <w:b/>
                <w:sz w:val="20"/>
                <w:szCs w:val="20"/>
                <w:lang w:val="en-US"/>
              </w:rPr>
              <w:t xml:space="preserve"> général du Canada</w:t>
            </w:r>
          </w:p>
          <w:p w:rsidR="00303608" w:rsidRPr="00E06B95" w:rsidRDefault="00303608" w:rsidP="00E06B95">
            <w:pPr>
              <w:jc w:val="both"/>
              <w:rPr>
                <w:sz w:val="20"/>
              </w:rPr>
            </w:pPr>
            <w:r w:rsidRPr="00E06B95">
              <w:rPr>
                <w:sz w:val="20"/>
              </w:rPr>
              <w:t xml:space="preserve">(CF) (Civile) (Sur </w:t>
            </w:r>
            <w:proofErr w:type="spellStart"/>
            <w:r w:rsidRPr="00E06B95">
              <w:rPr>
                <w:sz w:val="20"/>
              </w:rPr>
              <w:t>autorisation</w:t>
            </w:r>
            <w:proofErr w:type="spellEnd"/>
            <w:r w:rsidRPr="00E06B95">
              <w:rPr>
                <w:sz w:val="20"/>
              </w:rPr>
              <w:t>)</w:t>
            </w:r>
          </w:p>
        </w:tc>
      </w:tr>
      <w:tr w:rsidR="00303608" w:rsidRPr="00E06B95" w:rsidTr="00E95A6A">
        <w:tc>
          <w:tcPr>
            <w:tcW w:w="5000" w:type="pct"/>
            <w:gridSpan w:val="4"/>
          </w:tcPr>
          <w:p w:rsidR="00303608" w:rsidRPr="00E06B95" w:rsidRDefault="00303608" w:rsidP="00E06B95">
            <w:pPr>
              <w:jc w:val="both"/>
              <w:rPr>
                <w:sz w:val="20"/>
                <w:lang w:val="fr-CA"/>
              </w:rPr>
            </w:pPr>
            <w:r w:rsidRPr="00E06B95">
              <w:rPr>
                <w:sz w:val="20"/>
                <w:lang w:val="fr-CA"/>
              </w:rPr>
              <w:t xml:space="preserve">Propriété intellectuelle — Brevets — Médicaments — Droit administratif — Norme de contrôle — </w:t>
            </w:r>
            <w:r w:rsidRPr="00E06B95">
              <w:rPr>
                <w:i/>
                <w:sz w:val="20"/>
                <w:lang w:val="fr-CA"/>
              </w:rPr>
              <w:t>Règlement sur les médicaments brevetés (avis de conformité)</w:t>
            </w:r>
            <w:r w:rsidRPr="00E06B95">
              <w:rPr>
                <w:sz w:val="20"/>
                <w:lang w:val="fr-CA"/>
              </w:rPr>
              <w:t xml:space="preserve">, DORS/93-133, art. 5(1) — Fabricant de médicaments génériques déposant une présentation de drogue nouvelle avant la délivrance du brevet sur le médicament de comparaison — Hospira Healthcare Corporation nommée distributrice du médicament générique dans la présentation de drogue nouvelle — Avis de conformité délivré à Hospira par le ministre sans qu’il n’oblige le fabricant de médicaments génériques à aborder le brevet — Quels critères devraient guider le choix entre la norme de la décision raisonnable et celle de la décision correcte? — Quels facteurs, s’il en est, devraient élargir ou restreindre le spectre des issues défendables selon la norme de la décision raisonnable? — Est-il conforme à la loi et dans l’intérêt public d’autoriser les fabricants de médicaments génériques à passer sous silence les brevets énumérés dans le </w:t>
            </w:r>
            <w:r w:rsidRPr="00E06B95">
              <w:rPr>
                <w:i/>
                <w:sz w:val="20"/>
                <w:lang w:val="fr-CA"/>
              </w:rPr>
              <w:t>Règlement</w:t>
            </w:r>
            <w:r w:rsidRPr="00E06B95">
              <w:rPr>
                <w:sz w:val="20"/>
                <w:lang w:val="fr-CA"/>
              </w:rPr>
              <w:t xml:space="preserve"> </w:t>
            </w:r>
            <w:r w:rsidRPr="00E06B95">
              <w:rPr>
                <w:i/>
                <w:sz w:val="20"/>
                <w:lang w:val="fr-CA"/>
              </w:rPr>
              <w:t>sur les médicaments brevetés (avis de conformité)</w:t>
            </w:r>
            <w:r w:rsidRPr="00E06B95">
              <w:rPr>
                <w:sz w:val="20"/>
                <w:lang w:val="fr-CA"/>
              </w:rPr>
              <w:t>?</w:t>
            </w:r>
          </w:p>
        </w:tc>
      </w:tr>
      <w:tr w:rsidR="00303608" w:rsidRPr="00E06B95" w:rsidTr="00E95A6A">
        <w:tc>
          <w:tcPr>
            <w:tcW w:w="5000" w:type="pct"/>
            <w:gridSpan w:val="4"/>
          </w:tcPr>
          <w:p w:rsidR="00303608" w:rsidRPr="00E06B95" w:rsidRDefault="00303608" w:rsidP="00E06B95">
            <w:pPr>
              <w:jc w:val="both"/>
              <w:rPr>
                <w:sz w:val="20"/>
                <w:lang w:val="fr-CA"/>
              </w:rPr>
            </w:pPr>
          </w:p>
        </w:tc>
      </w:tr>
      <w:tr w:rsidR="00303608" w:rsidRPr="00E06B95" w:rsidTr="00E95A6A">
        <w:tc>
          <w:tcPr>
            <w:tcW w:w="5000" w:type="pct"/>
            <w:gridSpan w:val="4"/>
          </w:tcPr>
          <w:p w:rsidR="00303608" w:rsidRPr="00E06B95" w:rsidRDefault="00303608" w:rsidP="00E06B95">
            <w:pPr>
              <w:jc w:val="both"/>
              <w:rPr>
                <w:sz w:val="20"/>
                <w:lang w:val="fr-CA"/>
              </w:rPr>
            </w:pPr>
            <w:r w:rsidRPr="00E06B95">
              <w:rPr>
                <w:sz w:val="20"/>
                <w:lang w:val="fr-CA"/>
              </w:rPr>
              <w:t xml:space="preserve">En avril 2012, Santé Canada a modifié la </w:t>
            </w:r>
            <w:r w:rsidRPr="00E06B95">
              <w:rPr>
                <w:i/>
                <w:sz w:val="20"/>
                <w:lang w:val="fr-CA"/>
              </w:rPr>
              <w:t>Ligne directrice :</w:t>
            </w:r>
            <w:r w:rsidRPr="00E06B95">
              <w:rPr>
                <w:sz w:val="20"/>
                <w:lang w:val="fr-CA"/>
              </w:rPr>
              <w:t xml:space="preserve"> </w:t>
            </w:r>
            <w:r w:rsidRPr="00E06B95">
              <w:rPr>
                <w:i/>
                <w:sz w:val="20"/>
                <w:lang w:val="fr-CA"/>
              </w:rPr>
              <w:t>Règlement sur les médicaments brevetés (avis de conformité)</w:t>
            </w:r>
            <w:r w:rsidRPr="00E06B95">
              <w:rPr>
                <w:sz w:val="20"/>
                <w:lang w:val="fr-CA"/>
              </w:rPr>
              <w:t xml:space="preserve"> pour que les présentations ne nécessitant pas d’examen scientifique soient traitées comme des documents administratifs et n’aient pas à respecter l’art. 5. Le 14 novembre 2012, Celltrion Healthcare Co. Ltd. a déposé une présentation de drogue nouvelle (« PDN ») pour demander l’autorisation de mettre sur le marché son produit </w:t>
            </w:r>
            <w:r w:rsidRPr="00E06B95">
              <w:rPr>
                <w:sz w:val="20"/>
                <w:lang w:val="fr-CA"/>
              </w:rPr>
              <w:lastRenderedPageBreak/>
              <w:t xml:space="preserve">biologique ultérieur inflectra, qui contenait l'ingrédient médicinal infliximab en poudre pour solution en dose de 100 mg/fiole. Dans sa PDN, Celltrion a cherché à démontrer la similitude entre l’inflectra et le remicade, pour laquelle Janssen Inc. n’avait pas encore reçu de brevet. La PDN de </w:t>
            </w:r>
            <w:proofErr w:type="spellStart"/>
            <w:r w:rsidRPr="00E06B95">
              <w:rPr>
                <w:sz w:val="20"/>
                <w:lang w:val="fr-CA"/>
              </w:rPr>
              <w:t>Celltrion</w:t>
            </w:r>
            <w:proofErr w:type="spellEnd"/>
            <w:r w:rsidRPr="00E06B95">
              <w:rPr>
                <w:sz w:val="20"/>
                <w:lang w:val="fr-CA"/>
              </w:rPr>
              <w:t xml:space="preserve"> nommait </w:t>
            </w:r>
            <w:proofErr w:type="spellStart"/>
            <w:r w:rsidRPr="00E06B95">
              <w:rPr>
                <w:sz w:val="20"/>
                <w:lang w:val="fr-CA"/>
              </w:rPr>
              <w:t>Hospira</w:t>
            </w:r>
            <w:proofErr w:type="spellEnd"/>
            <w:r w:rsidRPr="00E06B95">
              <w:rPr>
                <w:sz w:val="20"/>
                <w:lang w:val="fr-CA"/>
              </w:rPr>
              <w:t xml:space="preserve"> distributrice de l’</w:t>
            </w:r>
            <w:proofErr w:type="spellStart"/>
            <w:r w:rsidRPr="00E06B95">
              <w:rPr>
                <w:sz w:val="20"/>
                <w:lang w:val="fr-CA"/>
              </w:rPr>
              <w:t>inflectra</w:t>
            </w:r>
            <w:proofErr w:type="spellEnd"/>
            <w:r w:rsidRPr="00E06B95">
              <w:rPr>
                <w:sz w:val="20"/>
                <w:lang w:val="fr-CA"/>
              </w:rPr>
              <w:t>. Le 15 janvier 2014, le ministre de la Santé a délivré un avis de conformité (« AC ») à Hospira. Janssen a sollicité le contrôle judiciaire de cette décision.</w:t>
            </w:r>
          </w:p>
          <w:p w:rsidR="00303608" w:rsidRPr="00E06B95" w:rsidRDefault="00303608" w:rsidP="00E06B95">
            <w:pPr>
              <w:jc w:val="both"/>
              <w:rPr>
                <w:sz w:val="20"/>
                <w:lang w:val="fr-CA"/>
              </w:rPr>
            </w:pPr>
          </w:p>
          <w:p w:rsidR="00303608" w:rsidRPr="00E06B95" w:rsidRDefault="00303608" w:rsidP="00E06B95">
            <w:pPr>
              <w:jc w:val="both"/>
              <w:rPr>
                <w:sz w:val="20"/>
                <w:lang w:val="fr-CA"/>
              </w:rPr>
            </w:pPr>
            <w:r w:rsidRPr="00E06B95">
              <w:rPr>
                <w:sz w:val="20"/>
                <w:lang w:val="fr-CA"/>
              </w:rPr>
              <w:t xml:space="preserve">Entre-temps, dans </w:t>
            </w:r>
            <w:r w:rsidRPr="00E06B95">
              <w:rPr>
                <w:i/>
                <w:sz w:val="20"/>
                <w:lang w:val="fr-CA"/>
              </w:rPr>
              <w:t>Pfizer Canada inc. c. Canada (Santé)</w:t>
            </w:r>
            <w:r w:rsidRPr="00E06B95">
              <w:rPr>
                <w:sz w:val="20"/>
                <w:lang w:val="fr-CA"/>
              </w:rPr>
              <w:t xml:space="preserve">, </w:t>
            </w:r>
            <w:hyperlink r:id="rId15" w:history="1">
              <w:r w:rsidRPr="00E06B95">
                <w:rPr>
                  <w:rStyle w:val="Hyperlink"/>
                  <w:sz w:val="20"/>
                  <w:lang w:val="fr-CA"/>
                </w:rPr>
                <w:t>2014 CF 1243</w:t>
              </w:r>
            </w:hyperlink>
            <w:r w:rsidRPr="00E06B95">
              <w:rPr>
                <w:sz w:val="20"/>
                <w:lang w:val="fr-CA"/>
              </w:rPr>
              <w:t xml:space="preserve">, la Cour fédérale avait décidé que la décision du ministre de délivrer une PDN à l’égard d’une PADN administrative sans obliger le fabricant de médicaments génériques à aborder le brevet de la drogue nouvelle devait être révisée selon la norme de la décision correcte, et que la décision en cause était incorrecte. Elle a donc annulé la décision du ministre. Pfizer a demandé le contrôle judiciaire de cette décision. Sur consentement, et afin de permettre que les appels soient instruits ensemble, la Cour fédérale a annulé la décision de délivrer la PDN à Hospira, sans préjudice du droit d’appel pour que les parties puissent faire entendre les appels ensemble. Teva a interjeté appel de la première décision (A-27-15), tout comme le procureur général du Canada et le ministre de la Santé (A-28-15). Hospira a fait appel de la seconde décision (A-172-15), tout comme le procureur général du Canada et le ministre de la Santé (A-143-15). Ces deux appels ont aussi été réunis. La Cour d’appel a ordonné que les deux appels réunis soient entendus ensemble. Elle a fait </w:t>
            </w:r>
            <w:proofErr w:type="gramStart"/>
            <w:r w:rsidRPr="00E06B95">
              <w:rPr>
                <w:sz w:val="20"/>
                <w:lang w:val="fr-CA"/>
              </w:rPr>
              <w:t>droit</w:t>
            </w:r>
            <w:proofErr w:type="gramEnd"/>
            <w:r w:rsidRPr="00E06B95">
              <w:rPr>
                <w:sz w:val="20"/>
                <w:lang w:val="fr-CA"/>
              </w:rPr>
              <w:t xml:space="preserve"> aux appels, annulant le jugement de la Cour fédérale et rejetant les demandes de contrôle judiciaire. Janssen et le Kennedy Trust demandent l’autorisation de se pourvoir en appel.</w:t>
            </w:r>
          </w:p>
          <w:p w:rsidR="00303608" w:rsidRPr="00E06B95" w:rsidRDefault="00303608" w:rsidP="00E06B95">
            <w:pPr>
              <w:jc w:val="both"/>
              <w:rPr>
                <w:sz w:val="20"/>
                <w:lang w:val="fr-CA"/>
              </w:rPr>
            </w:pP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lastRenderedPageBreak/>
              <w:t>19 décembre 2014</w:t>
            </w:r>
          </w:p>
          <w:p w:rsidR="00303608" w:rsidRPr="00E06B95" w:rsidRDefault="00303608" w:rsidP="00E06B95">
            <w:pPr>
              <w:jc w:val="both"/>
              <w:rPr>
                <w:sz w:val="20"/>
                <w:lang w:val="fr-CA"/>
              </w:rPr>
            </w:pPr>
            <w:r w:rsidRPr="00E06B95">
              <w:rPr>
                <w:sz w:val="20"/>
                <w:lang w:val="fr-CA"/>
              </w:rPr>
              <w:t>Cour fédérale</w:t>
            </w:r>
          </w:p>
          <w:p w:rsidR="00303608" w:rsidRPr="00E06B95" w:rsidRDefault="00303608" w:rsidP="00E06B95">
            <w:pPr>
              <w:jc w:val="both"/>
              <w:rPr>
                <w:sz w:val="20"/>
                <w:lang w:val="fr-CA"/>
              </w:rPr>
            </w:pPr>
            <w:r w:rsidRPr="00E06B95">
              <w:rPr>
                <w:sz w:val="20"/>
                <w:lang w:val="fr-CA"/>
              </w:rPr>
              <w:t xml:space="preserve">(Juge </w:t>
            </w:r>
            <w:proofErr w:type="spellStart"/>
            <w:r w:rsidRPr="00E06B95">
              <w:rPr>
                <w:sz w:val="20"/>
                <w:lang w:val="fr-CA"/>
              </w:rPr>
              <w:t>Gleason</w:t>
            </w:r>
            <w:proofErr w:type="spellEnd"/>
            <w:r w:rsidRPr="00E06B95">
              <w:rPr>
                <w:sz w:val="20"/>
                <w:lang w:val="fr-CA"/>
              </w:rPr>
              <w:t>)</w:t>
            </w:r>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Annulation de la décision du ministre d’accorder l’avis de conformité à Hospira Healthcare Corporation; autorisation d’appel à la Cour d’appel accordée si nécessaire</w:t>
            </w:r>
          </w:p>
          <w:p w:rsidR="00303608" w:rsidRPr="00E06B95" w:rsidRDefault="00303608" w:rsidP="00E06B95">
            <w:pPr>
              <w:jc w:val="both"/>
              <w:rPr>
                <w:sz w:val="20"/>
                <w:lang w:val="fr-CA"/>
              </w:rPr>
            </w:pP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t>12 octobre 2016</w:t>
            </w:r>
          </w:p>
          <w:p w:rsidR="00303608" w:rsidRPr="00E06B95" w:rsidRDefault="00303608" w:rsidP="00E06B95">
            <w:pPr>
              <w:jc w:val="both"/>
              <w:rPr>
                <w:sz w:val="20"/>
                <w:lang w:val="fr-CA"/>
              </w:rPr>
            </w:pPr>
            <w:r w:rsidRPr="00E06B95">
              <w:rPr>
                <w:sz w:val="20"/>
                <w:lang w:val="fr-CA"/>
              </w:rPr>
              <w:t>Cour d’appel fédérale</w:t>
            </w:r>
          </w:p>
          <w:p w:rsidR="00303608" w:rsidRPr="00E06B95" w:rsidRDefault="00303608" w:rsidP="00E06B95">
            <w:pPr>
              <w:jc w:val="both"/>
              <w:rPr>
                <w:sz w:val="20"/>
                <w:lang w:val="fr-CA"/>
              </w:rPr>
            </w:pPr>
            <w:r w:rsidRPr="00E06B95">
              <w:rPr>
                <w:sz w:val="20"/>
                <w:lang w:val="fr-CA"/>
              </w:rPr>
              <w:t>(Juges Dawson, Webb et Rennie)</w:t>
            </w:r>
          </w:p>
          <w:p w:rsidR="00303608" w:rsidRPr="00E06B95" w:rsidRDefault="00303608" w:rsidP="00E06B95">
            <w:pPr>
              <w:jc w:val="both"/>
              <w:rPr>
                <w:sz w:val="20"/>
              </w:rPr>
            </w:pPr>
            <w:hyperlink r:id="rId16" w:history="1">
              <w:r w:rsidRPr="00E06B95">
                <w:rPr>
                  <w:rStyle w:val="Hyperlink"/>
                  <w:sz w:val="20"/>
                </w:rPr>
                <w:t>2016 CAF 248</w:t>
              </w:r>
            </w:hyperlink>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lang w:val="fr-CA"/>
              </w:rPr>
            </w:pPr>
            <w:r w:rsidRPr="00E06B95">
              <w:rPr>
                <w:sz w:val="20"/>
                <w:lang w:val="fr-CA"/>
              </w:rPr>
              <w:t>Appels dans les dossiers A-143-15 et A-172-15 accueillis, annulation du jugement de la Cour fédérale; rejet des demandes de contrôle judiciaire visant la décision du ministre</w:t>
            </w: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t>9 décembre 2016</w:t>
            </w:r>
          </w:p>
          <w:p w:rsidR="00303608" w:rsidRPr="00E06B95" w:rsidRDefault="00303608" w:rsidP="00E06B95">
            <w:pPr>
              <w:jc w:val="both"/>
              <w:rPr>
                <w:sz w:val="20"/>
                <w:lang w:val="fr-CA"/>
              </w:rPr>
            </w:pPr>
            <w:r w:rsidRPr="00E06B95">
              <w:rPr>
                <w:sz w:val="20"/>
                <w:lang w:val="fr-CA"/>
              </w:rPr>
              <w:t>Cour suprême du Canada</w:t>
            </w:r>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Dépôt de la</w:t>
            </w:r>
            <w:r w:rsidR="00E06B95">
              <w:rPr>
                <w:sz w:val="20"/>
                <w:lang w:val="fr-CA"/>
              </w:rPr>
              <w:t xml:space="preserve"> demande d’autorisation d’appel</w:t>
            </w:r>
          </w:p>
        </w:tc>
      </w:tr>
    </w:tbl>
    <w:p w:rsidR="00303608" w:rsidRPr="00E06B95" w:rsidRDefault="00303608" w:rsidP="00E06B95">
      <w:pPr>
        <w:jc w:val="both"/>
        <w:rPr>
          <w:sz w:val="20"/>
          <w:lang w:val="fr-CA"/>
        </w:rPr>
      </w:pPr>
    </w:p>
    <w:p w:rsidR="00A95728" w:rsidRPr="00E06B95" w:rsidRDefault="00A95728" w:rsidP="00E06B95">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3608" w:rsidRPr="00E06B95" w:rsidTr="00E95A6A">
        <w:tc>
          <w:tcPr>
            <w:tcW w:w="543" w:type="pct"/>
          </w:tcPr>
          <w:p w:rsidR="00303608" w:rsidRPr="00E06B95" w:rsidRDefault="00303608" w:rsidP="00E06B95">
            <w:pPr>
              <w:jc w:val="both"/>
              <w:rPr>
                <w:sz w:val="20"/>
              </w:rPr>
            </w:pPr>
            <w:r w:rsidRPr="00E06B95">
              <w:rPr>
                <w:rStyle w:val="SCCFileNumberChar"/>
                <w:sz w:val="20"/>
                <w:szCs w:val="20"/>
              </w:rPr>
              <w:t>37425</w:t>
            </w:r>
          </w:p>
        </w:tc>
        <w:tc>
          <w:tcPr>
            <w:tcW w:w="4457" w:type="pct"/>
            <w:gridSpan w:val="3"/>
          </w:tcPr>
          <w:p w:rsidR="00303608" w:rsidRPr="00E06B95" w:rsidRDefault="00303608" w:rsidP="00E06B95">
            <w:pPr>
              <w:pStyle w:val="SCCLsocParty"/>
              <w:jc w:val="both"/>
              <w:rPr>
                <w:b/>
                <w:sz w:val="20"/>
                <w:szCs w:val="20"/>
                <w:lang w:val="en-US"/>
              </w:rPr>
            </w:pPr>
            <w:proofErr w:type="spellStart"/>
            <w:r w:rsidRPr="00E06B95">
              <w:rPr>
                <w:b/>
                <w:sz w:val="20"/>
                <w:szCs w:val="20"/>
                <w:lang w:val="en-US"/>
              </w:rPr>
              <w:t>Barejo</w:t>
            </w:r>
            <w:proofErr w:type="spellEnd"/>
            <w:r w:rsidRPr="00E06B95">
              <w:rPr>
                <w:b/>
                <w:sz w:val="20"/>
                <w:szCs w:val="20"/>
                <w:lang w:val="en-US"/>
              </w:rPr>
              <w:t xml:space="preserve"> Holdings ULC v. Her Majesty the Queen</w:t>
            </w:r>
          </w:p>
          <w:p w:rsidR="00303608" w:rsidRPr="00E06B95" w:rsidRDefault="00303608" w:rsidP="00E06B95">
            <w:pPr>
              <w:jc w:val="both"/>
              <w:rPr>
                <w:sz w:val="20"/>
              </w:rPr>
            </w:pPr>
            <w:r w:rsidRPr="00E06B95">
              <w:rPr>
                <w:sz w:val="20"/>
              </w:rPr>
              <w:t>(FC) (Civil) (By Leave)</w:t>
            </w:r>
          </w:p>
        </w:tc>
      </w:tr>
      <w:tr w:rsidR="00303608" w:rsidRPr="00E06B95" w:rsidTr="00E95A6A">
        <w:tc>
          <w:tcPr>
            <w:tcW w:w="5000" w:type="pct"/>
            <w:gridSpan w:val="4"/>
          </w:tcPr>
          <w:p w:rsidR="00303608" w:rsidRDefault="00303608" w:rsidP="00E06B95">
            <w:pPr>
              <w:jc w:val="both"/>
              <w:rPr>
                <w:sz w:val="20"/>
              </w:rPr>
            </w:pPr>
            <w:r w:rsidRPr="00E06B95">
              <w:rPr>
                <w:sz w:val="20"/>
              </w:rPr>
              <w:t xml:space="preserve">Taxation – Income tax – Applicant and respondent jointly seeking to have the meaning of “debt” defined in order to settle outstanding issues – What is the legal meaning of “debt” for purposes of the </w:t>
            </w:r>
            <w:r w:rsidRPr="00E06B95">
              <w:rPr>
                <w:i/>
                <w:sz w:val="20"/>
              </w:rPr>
              <w:t>Income Tax Act</w:t>
            </w:r>
            <w:hyperlink r:id="rId17" w:history="1">
              <w:r w:rsidRPr="00E06B95">
                <w:rPr>
                  <w:sz w:val="20"/>
                </w:rPr>
                <w:t>, R.S.C., 1985, c. 1 (5th Supp</w:t>
              </w:r>
            </w:hyperlink>
            <w:r w:rsidRPr="00E06B95">
              <w:rPr>
                <w:sz w:val="20"/>
              </w:rPr>
              <w:t xml:space="preserve">.) – Whether Federal Court of Appeal was right to decline to hear a validly-instituted appeal in circumstances where Parliament has conferred to </w:t>
            </w:r>
            <w:proofErr w:type="spellStart"/>
            <w:r w:rsidRPr="00E06B95">
              <w:rPr>
                <w:sz w:val="20"/>
              </w:rPr>
              <w:t>Barejo</w:t>
            </w:r>
            <w:proofErr w:type="spellEnd"/>
            <w:r w:rsidRPr="00E06B95">
              <w:rPr>
                <w:sz w:val="20"/>
              </w:rPr>
              <w:t xml:space="preserve"> an appeal as of right and there was no abuse of process.</w:t>
            </w:r>
          </w:p>
          <w:p w:rsidR="00E06B95" w:rsidRPr="00E06B95" w:rsidRDefault="00E06B95" w:rsidP="00E06B95">
            <w:pPr>
              <w:jc w:val="both"/>
              <w:rPr>
                <w:sz w:val="20"/>
              </w:rPr>
            </w:pPr>
          </w:p>
        </w:tc>
      </w:tr>
      <w:tr w:rsidR="00303608" w:rsidRPr="00E06B95" w:rsidTr="00E95A6A">
        <w:tc>
          <w:tcPr>
            <w:tcW w:w="5000" w:type="pct"/>
            <w:gridSpan w:val="4"/>
          </w:tcPr>
          <w:p w:rsidR="00303608" w:rsidRPr="00E06B95" w:rsidRDefault="00303608" w:rsidP="00E06B95">
            <w:pPr>
              <w:jc w:val="both"/>
              <w:rPr>
                <w:sz w:val="20"/>
              </w:rPr>
            </w:pPr>
            <w:r w:rsidRPr="00E06B95">
              <w:rPr>
                <w:sz w:val="20"/>
              </w:rPr>
              <w:t xml:space="preserve">The parties submitted a pre-hearing question to the Tax Court under Rule 58 of the </w:t>
            </w:r>
            <w:hyperlink r:id="rId18" w:history="1">
              <w:r w:rsidRPr="00E06B95">
                <w:rPr>
                  <w:i/>
                  <w:iCs/>
                  <w:sz w:val="20"/>
                </w:rPr>
                <w:t>Tax Court of Canada Rules (General Procedure)</w:t>
              </w:r>
              <w:r w:rsidRPr="00E06B95">
                <w:rPr>
                  <w:sz w:val="20"/>
                </w:rPr>
                <w:t>, S.O.R./90-688a</w:t>
              </w:r>
            </w:hyperlink>
            <w:r w:rsidRPr="00E06B95">
              <w:rPr>
                <w:sz w:val="20"/>
              </w:rPr>
              <w:t xml:space="preserve"> regarding two contracts, entitled “Notes” and issued for $998 million by affiliates of two Canadian banks and guaranteed by them. The Notes were held by St. Lawrence Trading Inc. (“SLT”), an open-ended investment fund incorporated under the laws of the British Virgin Islands. The question was whether the Notes constituted debt for the purposes of the </w:t>
            </w:r>
            <w:hyperlink r:id="rId19" w:history="1">
              <w:r w:rsidRPr="00E06B95">
                <w:rPr>
                  <w:i/>
                  <w:iCs/>
                  <w:sz w:val="20"/>
                </w:rPr>
                <w:t>Income Tax Act</w:t>
              </w:r>
            </w:hyperlink>
            <w:r w:rsidRPr="00E06B95">
              <w:rPr>
                <w:sz w:val="20"/>
              </w:rPr>
              <w:t xml:space="preserve">. The issue raised concerns about whether </w:t>
            </w:r>
            <w:proofErr w:type="spellStart"/>
            <w:r w:rsidRPr="00E06B95">
              <w:rPr>
                <w:sz w:val="20"/>
              </w:rPr>
              <w:t>Barejo</w:t>
            </w:r>
            <w:proofErr w:type="spellEnd"/>
            <w:r w:rsidRPr="00E06B95">
              <w:rPr>
                <w:sz w:val="20"/>
              </w:rPr>
              <w:t xml:space="preserve"> Holdings ULC was required to include its share of SLT’s foreign accrual property income pursuant to s. 94.1 of the </w:t>
            </w:r>
            <w:r w:rsidRPr="00E06B95">
              <w:rPr>
                <w:i/>
                <w:sz w:val="20"/>
              </w:rPr>
              <w:t>Act</w:t>
            </w:r>
            <w:r w:rsidRPr="00E06B95">
              <w:rPr>
                <w:sz w:val="20"/>
              </w:rPr>
              <w:t>. The provision would only apply if the Notes constituted “debt” within the meaning of s. 94.1.</w:t>
            </w:r>
          </w:p>
        </w:tc>
      </w:tr>
      <w:tr w:rsidR="00303608" w:rsidRPr="00E06B95" w:rsidTr="00E95A6A">
        <w:tc>
          <w:tcPr>
            <w:tcW w:w="5000" w:type="pct"/>
            <w:gridSpan w:val="4"/>
          </w:tcPr>
          <w:p w:rsidR="00303608" w:rsidRPr="00E06B95" w:rsidRDefault="00303608" w:rsidP="00E06B95">
            <w:pPr>
              <w:jc w:val="both"/>
              <w:rPr>
                <w:sz w:val="20"/>
              </w:rPr>
            </w:pPr>
          </w:p>
        </w:tc>
      </w:tr>
      <w:tr w:rsidR="00303608" w:rsidRPr="00E06B95" w:rsidTr="00E95A6A">
        <w:tc>
          <w:tcPr>
            <w:tcW w:w="2427" w:type="pct"/>
            <w:gridSpan w:val="2"/>
          </w:tcPr>
          <w:p w:rsidR="00303608" w:rsidRPr="00E06B95" w:rsidRDefault="00303608" w:rsidP="00E06B95">
            <w:pPr>
              <w:jc w:val="both"/>
              <w:rPr>
                <w:sz w:val="20"/>
              </w:rPr>
            </w:pPr>
            <w:r w:rsidRPr="00E06B95">
              <w:rPr>
                <w:sz w:val="20"/>
              </w:rPr>
              <w:t>November 4, 2015</w:t>
            </w:r>
          </w:p>
          <w:p w:rsidR="00303608" w:rsidRPr="00E06B95" w:rsidRDefault="00303608" w:rsidP="00E06B95">
            <w:pPr>
              <w:jc w:val="both"/>
              <w:rPr>
                <w:sz w:val="20"/>
              </w:rPr>
            </w:pPr>
            <w:r w:rsidRPr="00E06B95">
              <w:rPr>
                <w:sz w:val="20"/>
              </w:rPr>
              <w:t>Tax Court of Canada</w:t>
            </w:r>
          </w:p>
          <w:p w:rsidR="00303608" w:rsidRPr="00E06B95" w:rsidRDefault="00303608" w:rsidP="00E06B95">
            <w:pPr>
              <w:jc w:val="both"/>
              <w:rPr>
                <w:sz w:val="20"/>
              </w:rPr>
            </w:pPr>
            <w:r w:rsidRPr="00E06B95">
              <w:rPr>
                <w:sz w:val="20"/>
              </w:rPr>
              <w:t>(Boyle J.)</w:t>
            </w:r>
          </w:p>
          <w:p w:rsidR="00303608" w:rsidRPr="00E06B95" w:rsidRDefault="00303608" w:rsidP="00E06B95">
            <w:pPr>
              <w:jc w:val="both"/>
              <w:rPr>
                <w:sz w:val="20"/>
              </w:rPr>
            </w:pPr>
            <w:hyperlink r:id="rId20" w:history="1">
              <w:r w:rsidRPr="00E06B95">
                <w:rPr>
                  <w:rStyle w:val="Hyperlink"/>
                  <w:sz w:val="20"/>
                </w:rPr>
                <w:t>2015 TCC 274</w:t>
              </w:r>
            </w:hyperlink>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 xml:space="preserve">Determination that two Notes in issue constituted “debt” under the </w:t>
            </w:r>
            <w:r w:rsidR="00E06B95">
              <w:rPr>
                <w:i/>
                <w:sz w:val="20"/>
              </w:rPr>
              <w:t>Income Tax Ac</w:t>
            </w:r>
          </w:p>
          <w:p w:rsidR="00303608" w:rsidRPr="00E06B95" w:rsidRDefault="00303608" w:rsidP="00E06B95">
            <w:pPr>
              <w:jc w:val="both"/>
              <w:rPr>
                <w:sz w:val="20"/>
              </w:rPr>
            </w:pPr>
          </w:p>
        </w:tc>
      </w:tr>
      <w:tr w:rsidR="00303608" w:rsidRPr="00E06B95" w:rsidTr="00E95A6A">
        <w:tc>
          <w:tcPr>
            <w:tcW w:w="2427" w:type="pct"/>
            <w:gridSpan w:val="2"/>
          </w:tcPr>
          <w:p w:rsidR="00303608" w:rsidRPr="00E06B95" w:rsidRDefault="00303608" w:rsidP="00E06B95">
            <w:pPr>
              <w:jc w:val="both"/>
              <w:rPr>
                <w:sz w:val="20"/>
              </w:rPr>
            </w:pPr>
            <w:r w:rsidRPr="00E06B95">
              <w:rPr>
                <w:sz w:val="20"/>
              </w:rPr>
              <w:t>November 29, 2016</w:t>
            </w:r>
          </w:p>
          <w:p w:rsidR="00303608" w:rsidRPr="00E06B95" w:rsidRDefault="00303608" w:rsidP="00E06B95">
            <w:pPr>
              <w:jc w:val="both"/>
              <w:rPr>
                <w:sz w:val="20"/>
              </w:rPr>
            </w:pPr>
            <w:r w:rsidRPr="00E06B95">
              <w:rPr>
                <w:sz w:val="20"/>
              </w:rPr>
              <w:t>Federal Court of Appeal</w:t>
            </w:r>
          </w:p>
          <w:p w:rsidR="00303608" w:rsidRPr="00E06B95" w:rsidRDefault="00303608" w:rsidP="00E06B95">
            <w:pPr>
              <w:jc w:val="both"/>
              <w:rPr>
                <w:sz w:val="20"/>
              </w:rPr>
            </w:pPr>
            <w:r w:rsidRPr="00E06B95">
              <w:rPr>
                <w:sz w:val="20"/>
              </w:rPr>
              <w:t xml:space="preserve">(Noël C.J., </w:t>
            </w:r>
            <w:proofErr w:type="spellStart"/>
            <w:r w:rsidRPr="00E06B95">
              <w:rPr>
                <w:sz w:val="20"/>
              </w:rPr>
              <w:t>Trudel</w:t>
            </w:r>
            <w:proofErr w:type="spellEnd"/>
            <w:r w:rsidRPr="00E06B95">
              <w:rPr>
                <w:sz w:val="20"/>
              </w:rPr>
              <w:t xml:space="preserve"> and </w:t>
            </w:r>
            <w:proofErr w:type="spellStart"/>
            <w:r w:rsidRPr="00E06B95">
              <w:rPr>
                <w:sz w:val="20"/>
              </w:rPr>
              <w:t>Boivin</w:t>
            </w:r>
            <w:proofErr w:type="spellEnd"/>
            <w:r w:rsidRPr="00E06B95">
              <w:rPr>
                <w:sz w:val="20"/>
              </w:rPr>
              <w:t xml:space="preserve"> JJ.A.)</w:t>
            </w:r>
          </w:p>
          <w:p w:rsidR="00303608" w:rsidRPr="00E06B95" w:rsidRDefault="00303608" w:rsidP="00E06B95">
            <w:pPr>
              <w:jc w:val="both"/>
              <w:rPr>
                <w:sz w:val="20"/>
              </w:rPr>
            </w:pPr>
            <w:hyperlink r:id="rId21" w:history="1">
              <w:r w:rsidRPr="00E06B95">
                <w:rPr>
                  <w:rStyle w:val="Hyperlink"/>
                  <w:sz w:val="20"/>
                </w:rPr>
                <w:t>2016 FCA 304</w:t>
              </w:r>
            </w:hyperlink>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Appeals dismissed wit</w:t>
            </w:r>
            <w:r w:rsidR="00E06B95">
              <w:rPr>
                <w:sz w:val="20"/>
              </w:rPr>
              <w:t>hout determining issue on merit</w:t>
            </w:r>
          </w:p>
          <w:p w:rsidR="00303608" w:rsidRPr="00E06B95" w:rsidRDefault="00303608" w:rsidP="00E06B95">
            <w:pPr>
              <w:jc w:val="both"/>
              <w:rPr>
                <w:sz w:val="20"/>
              </w:rPr>
            </w:pPr>
          </w:p>
        </w:tc>
      </w:tr>
      <w:tr w:rsidR="00303608" w:rsidRPr="00E06B95" w:rsidTr="00E95A6A">
        <w:tc>
          <w:tcPr>
            <w:tcW w:w="2427" w:type="pct"/>
            <w:gridSpan w:val="2"/>
          </w:tcPr>
          <w:p w:rsidR="00303608" w:rsidRPr="00E06B95" w:rsidRDefault="00303608" w:rsidP="00E06B95">
            <w:pPr>
              <w:jc w:val="both"/>
              <w:rPr>
                <w:sz w:val="20"/>
              </w:rPr>
            </w:pPr>
            <w:r w:rsidRPr="00E06B95">
              <w:rPr>
                <w:sz w:val="20"/>
              </w:rPr>
              <w:t>January 27, 2017</w:t>
            </w:r>
          </w:p>
          <w:p w:rsidR="00303608" w:rsidRPr="00E06B95" w:rsidRDefault="00303608" w:rsidP="00E06B95">
            <w:pPr>
              <w:jc w:val="both"/>
              <w:rPr>
                <w:sz w:val="20"/>
              </w:rPr>
            </w:pPr>
            <w:r w:rsidRPr="00E06B95">
              <w:rPr>
                <w:sz w:val="20"/>
              </w:rPr>
              <w:t>Supreme Court of Canada</w:t>
            </w: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Appli</w:t>
            </w:r>
            <w:r w:rsidR="00E06B95">
              <w:rPr>
                <w:sz w:val="20"/>
              </w:rPr>
              <w:t>cation for leave to appeal file</w:t>
            </w:r>
          </w:p>
          <w:p w:rsidR="00303608" w:rsidRPr="00E06B95" w:rsidRDefault="00303608" w:rsidP="00E06B95">
            <w:pPr>
              <w:jc w:val="both"/>
              <w:rPr>
                <w:sz w:val="20"/>
              </w:rPr>
            </w:pPr>
          </w:p>
        </w:tc>
      </w:tr>
    </w:tbl>
    <w:p w:rsidR="00303608" w:rsidRDefault="00303608" w:rsidP="00E06B95">
      <w:pPr>
        <w:jc w:val="both"/>
        <w:rPr>
          <w:sz w:val="20"/>
        </w:rPr>
      </w:pPr>
    </w:p>
    <w:p w:rsidR="00E06B95" w:rsidRPr="00E06B95" w:rsidRDefault="00E06B95" w:rsidP="00E06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3608" w:rsidRPr="00E06B95" w:rsidTr="00E95A6A">
        <w:tc>
          <w:tcPr>
            <w:tcW w:w="543" w:type="pct"/>
          </w:tcPr>
          <w:p w:rsidR="00303608" w:rsidRPr="00E06B95" w:rsidRDefault="00303608" w:rsidP="00E06B95">
            <w:pPr>
              <w:jc w:val="both"/>
              <w:rPr>
                <w:sz w:val="20"/>
              </w:rPr>
            </w:pPr>
            <w:r w:rsidRPr="00E06B95">
              <w:rPr>
                <w:rStyle w:val="SCCFileNumberChar"/>
                <w:sz w:val="20"/>
                <w:szCs w:val="20"/>
              </w:rPr>
              <w:t>37425</w:t>
            </w:r>
          </w:p>
        </w:tc>
        <w:tc>
          <w:tcPr>
            <w:tcW w:w="4457" w:type="pct"/>
            <w:gridSpan w:val="3"/>
          </w:tcPr>
          <w:p w:rsidR="00303608" w:rsidRPr="00E06B95" w:rsidRDefault="00303608" w:rsidP="00E06B95">
            <w:pPr>
              <w:pStyle w:val="SCCLsocParty"/>
              <w:jc w:val="both"/>
              <w:rPr>
                <w:b/>
                <w:sz w:val="20"/>
                <w:szCs w:val="20"/>
              </w:rPr>
            </w:pPr>
            <w:r w:rsidRPr="00E06B95">
              <w:rPr>
                <w:b/>
                <w:sz w:val="20"/>
                <w:szCs w:val="20"/>
              </w:rPr>
              <w:t>Barejo Holdings ULC c. Sa Majesté la Reine</w:t>
            </w:r>
          </w:p>
          <w:p w:rsidR="00303608" w:rsidRPr="00E06B95" w:rsidRDefault="00303608" w:rsidP="00E06B95">
            <w:pPr>
              <w:jc w:val="both"/>
              <w:rPr>
                <w:sz w:val="20"/>
              </w:rPr>
            </w:pPr>
            <w:r w:rsidRPr="00E06B95">
              <w:rPr>
                <w:sz w:val="20"/>
              </w:rPr>
              <w:t>(CF) (Civile) (Sur autorisation)</w:t>
            </w:r>
          </w:p>
        </w:tc>
      </w:tr>
      <w:tr w:rsidR="00303608" w:rsidRPr="00E06B95" w:rsidTr="00E95A6A">
        <w:tc>
          <w:tcPr>
            <w:tcW w:w="5000" w:type="pct"/>
            <w:gridSpan w:val="4"/>
          </w:tcPr>
          <w:p w:rsidR="00303608" w:rsidRDefault="00303608" w:rsidP="00E06B95">
            <w:pPr>
              <w:jc w:val="both"/>
              <w:rPr>
                <w:sz w:val="20"/>
                <w:lang w:val="fr-CA"/>
              </w:rPr>
            </w:pPr>
            <w:r w:rsidRPr="00E06B95">
              <w:rPr>
                <w:sz w:val="20"/>
                <w:lang w:val="fr-CA"/>
              </w:rPr>
              <w:t xml:space="preserve">Droit fiscal – Impôt sur le revenu – Demanderesse et intimée demandant conjointement au tribunal de définir le mot « dette » afin de trancher les questions toujours en suspens – Quel est le sens juridique de « dette » pour l’application de la </w:t>
            </w:r>
            <w:r w:rsidRPr="00E06B95">
              <w:rPr>
                <w:i/>
                <w:sz w:val="20"/>
                <w:lang w:val="fr-CA"/>
              </w:rPr>
              <w:t>Loi de l’impôt sur le revenu</w:t>
            </w:r>
            <w:hyperlink r:id="rId22" w:history="1">
              <w:r w:rsidRPr="00E06B95">
                <w:rPr>
                  <w:sz w:val="20"/>
                  <w:lang w:val="fr-CA"/>
                </w:rPr>
                <w:t>, L.R.C. 1985, c. 1 (5</w:t>
              </w:r>
              <w:r w:rsidRPr="00E06B95">
                <w:rPr>
                  <w:sz w:val="20"/>
                  <w:vertAlign w:val="superscript"/>
                  <w:lang w:val="fr-CA"/>
                </w:rPr>
                <w:t>e</w:t>
              </w:r>
              <w:r w:rsidRPr="00E06B95">
                <w:rPr>
                  <w:sz w:val="20"/>
                  <w:lang w:val="fr-CA"/>
                </w:rPr>
                <w:t> suppl.</w:t>
              </w:r>
            </w:hyperlink>
            <w:r w:rsidRPr="00E06B95">
              <w:rPr>
                <w:sz w:val="20"/>
                <w:lang w:val="fr-CA"/>
              </w:rPr>
              <w:t xml:space="preserve">)? – La Cour d’appel </w:t>
            </w:r>
            <w:proofErr w:type="gramStart"/>
            <w:r w:rsidRPr="00E06B95">
              <w:rPr>
                <w:sz w:val="20"/>
                <w:lang w:val="fr-CA"/>
              </w:rPr>
              <w:t>fédérale</w:t>
            </w:r>
            <w:proofErr w:type="gramEnd"/>
            <w:r w:rsidRPr="00E06B95">
              <w:rPr>
                <w:sz w:val="20"/>
                <w:lang w:val="fr-CA"/>
              </w:rPr>
              <w:t xml:space="preserve"> a-t-elle refusé à juste titre d’entendre un appel interjeté régulièrement dans un cas o</w:t>
            </w:r>
            <w:r w:rsidRPr="00E06B95">
              <w:rPr>
                <w:rFonts w:ascii="Calibri" w:hAnsi="Calibri"/>
                <w:sz w:val="20"/>
                <w:lang w:val="fr-CA"/>
              </w:rPr>
              <w:t>ù</w:t>
            </w:r>
            <w:r w:rsidRPr="00E06B95">
              <w:rPr>
                <w:sz w:val="20"/>
                <w:lang w:val="fr-CA"/>
              </w:rPr>
              <w:t xml:space="preserve"> le législateur a conféré à Barejo un droit d’appel et il</w:t>
            </w:r>
            <w:r w:rsidR="00E06B95">
              <w:rPr>
                <w:sz w:val="20"/>
                <w:lang w:val="fr-CA"/>
              </w:rPr>
              <w:t xml:space="preserve"> n’y a aucun abus de procédure?</w:t>
            </w:r>
          </w:p>
          <w:p w:rsidR="00E06B95" w:rsidRPr="00E06B95" w:rsidRDefault="00E06B95" w:rsidP="00E06B95">
            <w:pPr>
              <w:jc w:val="both"/>
              <w:rPr>
                <w:sz w:val="20"/>
                <w:lang w:val="fr-CA"/>
              </w:rPr>
            </w:pPr>
          </w:p>
        </w:tc>
      </w:tr>
      <w:tr w:rsidR="00303608" w:rsidRPr="00E06B95" w:rsidTr="00E95A6A">
        <w:tc>
          <w:tcPr>
            <w:tcW w:w="5000" w:type="pct"/>
            <w:gridSpan w:val="4"/>
          </w:tcPr>
          <w:p w:rsidR="00303608" w:rsidRPr="00E06B95" w:rsidRDefault="00303608" w:rsidP="00E06B95">
            <w:pPr>
              <w:jc w:val="both"/>
              <w:rPr>
                <w:sz w:val="20"/>
                <w:lang w:val="fr-CA"/>
              </w:rPr>
            </w:pPr>
            <w:r w:rsidRPr="00E06B95">
              <w:rPr>
                <w:sz w:val="20"/>
                <w:lang w:val="fr-CA"/>
              </w:rPr>
              <w:t xml:space="preserve">Les parties ont soumis avant l’audience une question à la Cour de l’impôt en vertu de l’article 58 des </w:t>
            </w:r>
            <w:r w:rsidRPr="00E06B95">
              <w:rPr>
                <w:i/>
                <w:sz w:val="20"/>
                <w:lang w:val="fr-CA"/>
              </w:rPr>
              <w:t>Règles de la Cour canadienne de l’impôt (procédure générale)</w:t>
            </w:r>
            <w:r w:rsidRPr="00E06B95">
              <w:rPr>
                <w:sz w:val="20"/>
                <w:lang w:val="fr-CA"/>
              </w:rPr>
              <w:t xml:space="preserve">, DORS/90-688a, au sujet de deux contrats, intitulés « Billets » et émis pour la somme de 998 millions de dollars par les filiales de deux banques canadiennes et garantis par ces banques. Les Billets étaient détenus par St. Lawrence Trading Inc. (« SLT »), un fonds de placement à capital variable constitué en société sous le régime des lois des îles Vierges britanniques. Il s’agissait de savoir si les Billets constituaient une dette pour l’application de la </w:t>
            </w:r>
            <w:r w:rsidRPr="00E06B95">
              <w:rPr>
                <w:i/>
                <w:sz w:val="20"/>
                <w:lang w:val="fr-CA"/>
              </w:rPr>
              <w:t>Loi de l’impôt sur le revenu</w:t>
            </w:r>
            <w:r w:rsidRPr="00E06B95">
              <w:rPr>
                <w:sz w:val="20"/>
                <w:lang w:val="fr-CA"/>
              </w:rPr>
              <w:t xml:space="preserve">. La question a suscité des préoccupations quant à savoir si Barejo Holdings ULC était tenue d’inclure sa part du revenu étranger accumulé tiré de biens de la société SLT conformément à l’art. 94.1 de la </w:t>
            </w:r>
            <w:r w:rsidRPr="00E06B95">
              <w:rPr>
                <w:i/>
                <w:sz w:val="20"/>
                <w:lang w:val="fr-CA"/>
              </w:rPr>
              <w:t>Loi</w:t>
            </w:r>
            <w:r w:rsidRPr="00E06B95">
              <w:rPr>
                <w:sz w:val="20"/>
                <w:lang w:val="fr-CA"/>
              </w:rPr>
              <w:t>. La disposition ne s’appliquerait que si les Billets constituaient une « dette » au sens de l’art. 94.1.</w:t>
            </w:r>
          </w:p>
        </w:tc>
      </w:tr>
      <w:tr w:rsidR="00303608" w:rsidRPr="00E06B95" w:rsidTr="00E95A6A">
        <w:tc>
          <w:tcPr>
            <w:tcW w:w="5000" w:type="pct"/>
            <w:gridSpan w:val="4"/>
          </w:tcPr>
          <w:p w:rsidR="00303608" w:rsidRPr="00E06B95" w:rsidRDefault="00303608" w:rsidP="00E06B95">
            <w:pPr>
              <w:jc w:val="both"/>
              <w:rPr>
                <w:sz w:val="20"/>
                <w:lang w:val="fr-CA"/>
              </w:rPr>
            </w:pP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t>4 novembre 2015</w:t>
            </w:r>
          </w:p>
          <w:p w:rsidR="00303608" w:rsidRPr="00E06B95" w:rsidRDefault="00303608" w:rsidP="00E06B95">
            <w:pPr>
              <w:jc w:val="both"/>
              <w:rPr>
                <w:sz w:val="20"/>
                <w:lang w:val="fr-CA"/>
              </w:rPr>
            </w:pPr>
            <w:r w:rsidRPr="00E06B95">
              <w:rPr>
                <w:sz w:val="20"/>
                <w:lang w:val="fr-CA"/>
              </w:rPr>
              <w:t>Cour canadienne de l’impôt</w:t>
            </w:r>
          </w:p>
          <w:p w:rsidR="00303608" w:rsidRPr="00E06B95" w:rsidRDefault="00303608" w:rsidP="00E06B95">
            <w:pPr>
              <w:jc w:val="both"/>
              <w:rPr>
                <w:sz w:val="20"/>
                <w:lang w:val="fr-CA"/>
              </w:rPr>
            </w:pPr>
            <w:r w:rsidRPr="00E06B95">
              <w:rPr>
                <w:sz w:val="20"/>
                <w:lang w:val="fr-CA"/>
              </w:rPr>
              <w:t>(Juge Boyle)</w:t>
            </w:r>
          </w:p>
          <w:p w:rsidR="00303608" w:rsidRPr="00E06B95" w:rsidRDefault="00303608" w:rsidP="00E06B95">
            <w:pPr>
              <w:jc w:val="both"/>
              <w:rPr>
                <w:sz w:val="20"/>
              </w:rPr>
            </w:pPr>
            <w:hyperlink r:id="rId23" w:history="1">
              <w:r w:rsidRPr="00E06B95">
                <w:rPr>
                  <w:rStyle w:val="Hyperlink"/>
                  <w:sz w:val="20"/>
                </w:rPr>
                <w:t>2015 CCI 274</w:t>
              </w:r>
            </w:hyperlink>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lang w:val="fr-CA"/>
              </w:rPr>
            </w:pPr>
            <w:r w:rsidRPr="00E06B95">
              <w:rPr>
                <w:sz w:val="20"/>
                <w:lang w:val="fr-CA"/>
              </w:rPr>
              <w:t xml:space="preserve">Décision que les deux Billets en litige constituaient des « dettes » au sens de la </w:t>
            </w:r>
            <w:r w:rsidRPr="00E06B95">
              <w:rPr>
                <w:i/>
                <w:sz w:val="20"/>
                <w:lang w:val="fr-CA"/>
              </w:rPr>
              <w:t>Loi de l’impôt sur le revenu</w:t>
            </w:r>
          </w:p>
          <w:p w:rsidR="00303608" w:rsidRPr="00E06B95" w:rsidRDefault="00303608" w:rsidP="00E06B95">
            <w:pPr>
              <w:jc w:val="both"/>
              <w:rPr>
                <w:sz w:val="20"/>
                <w:lang w:val="fr-CA"/>
              </w:rPr>
            </w:pP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t>29 novembre 2016</w:t>
            </w:r>
          </w:p>
          <w:p w:rsidR="00303608" w:rsidRPr="00E06B95" w:rsidRDefault="00303608" w:rsidP="00E06B95">
            <w:pPr>
              <w:jc w:val="both"/>
              <w:rPr>
                <w:sz w:val="20"/>
                <w:lang w:val="fr-CA"/>
              </w:rPr>
            </w:pPr>
            <w:r w:rsidRPr="00E06B95">
              <w:rPr>
                <w:sz w:val="20"/>
                <w:lang w:val="fr-CA"/>
              </w:rPr>
              <w:t>Cour d’appel fédérale</w:t>
            </w:r>
          </w:p>
          <w:p w:rsidR="00303608" w:rsidRPr="00E06B95" w:rsidRDefault="00303608" w:rsidP="00E06B95">
            <w:pPr>
              <w:jc w:val="both"/>
              <w:rPr>
                <w:sz w:val="20"/>
                <w:lang w:val="fr-CA"/>
              </w:rPr>
            </w:pPr>
            <w:r w:rsidRPr="00E06B95">
              <w:rPr>
                <w:sz w:val="20"/>
                <w:lang w:val="fr-CA"/>
              </w:rPr>
              <w:t>(Juge en chef Noël et juges Trudel et Boivin)</w:t>
            </w:r>
          </w:p>
          <w:p w:rsidR="00303608" w:rsidRPr="00E06B95" w:rsidRDefault="00303608" w:rsidP="00E06B95">
            <w:pPr>
              <w:jc w:val="both"/>
              <w:rPr>
                <w:sz w:val="20"/>
              </w:rPr>
            </w:pPr>
            <w:hyperlink r:id="rId24" w:history="1">
              <w:r w:rsidRPr="00E06B95">
                <w:rPr>
                  <w:rStyle w:val="Hyperlink"/>
                  <w:sz w:val="20"/>
                </w:rPr>
                <w:t>2016 CAF 304</w:t>
              </w:r>
            </w:hyperlink>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lang w:val="fr-CA"/>
              </w:rPr>
            </w:pPr>
            <w:r w:rsidRPr="00E06B95">
              <w:rPr>
                <w:sz w:val="20"/>
                <w:lang w:val="fr-CA"/>
              </w:rPr>
              <w:t>Rejet des appels sans que la question ne soit tranchée sur le fond</w:t>
            </w:r>
          </w:p>
          <w:p w:rsidR="00303608" w:rsidRPr="00E06B95" w:rsidRDefault="00303608" w:rsidP="00E06B95">
            <w:pPr>
              <w:jc w:val="both"/>
              <w:rPr>
                <w:sz w:val="20"/>
                <w:lang w:val="fr-CA"/>
              </w:rPr>
            </w:pP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t>27 janvier 2017</w:t>
            </w:r>
          </w:p>
          <w:p w:rsidR="00303608" w:rsidRPr="00E06B95" w:rsidRDefault="00303608" w:rsidP="00E06B95">
            <w:pPr>
              <w:jc w:val="both"/>
              <w:rPr>
                <w:sz w:val="20"/>
                <w:lang w:val="fr-CA"/>
              </w:rPr>
            </w:pPr>
            <w:r w:rsidRPr="00E06B95">
              <w:rPr>
                <w:sz w:val="20"/>
                <w:lang w:val="fr-CA"/>
              </w:rPr>
              <w:t>Cour suprême du Canada</w:t>
            </w:r>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Dépôt de la</w:t>
            </w:r>
            <w:r w:rsidR="00E06B95">
              <w:rPr>
                <w:sz w:val="20"/>
                <w:lang w:val="fr-CA"/>
              </w:rPr>
              <w:t xml:space="preserve"> demande d’autorisation d’appel</w:t>
            </w:r>
          </w:p>
        </w:tc>
      </w:tr>
    </w:tbl>
    <w:p w:rsidR="00303608" w:rsidRPr="00E06B95" w:rsidRDefault="00303608" w:rsidP="00E06B95">
      <w:pPr>
        <w:jc w:val="both"/>
        <w:rPr>
          <w:sz w:val="20"/>
          <w:lang w:val="fr-CA"/>
        </w:rPr>
      </w:pPr>
    </w:p>
    <w:p w:rsidR="00A95728" w:rsidRPr="00E06B95" w:rsidRDefault="00A95728" w:rsidP="00E06B95">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3608" w:rsidRPr="00E06B95" w:rsidTr="00E95A6A">
        <w:tc>
          <w:tcPr>
            <w:tcW w:w="543" w:type="pct"/>
          </w:tcPr>
          <w:p w:rsidR="00303608" w:rsidRPr="00E06B95" w:rsidRDefault="00303608" w:rsidP="00E06B95">
            <w:pPr>
              <w:jc w:val="both"/>
              <w:rPr>
                <w:sz w:val="20"/>
              </w:rPr>
            </w:pPr>
            <w:r w:rsidRPr="00E06B95">
              <w:rPr>
                <w:rStyle w:val="SCCFileNumberChar"/>
                <w:sz w:val="20"/>
                <w:szCs w:val="20"/>
              </w:rPr>
              <w:t>37485</w:t>
            </w:r>
          </w:p>
        </w:tc>
        <w:tc>
          <w:tcPr>
            <w:tcW w:w="4457" w:type="pct"/>
            <w:gridSpan w:val="3"/>
          </w:tcPr>
          <w:p w:rsidR="00303608" w:rsidRPr="00E06B95" w:rsidRDefault="00303608" w:rsidP="00E06B95">
            <w:pPr>
              <w:pStyle w:val="SCCLsocParty"/>
              <w:jc w:val="both"/>
              <w:rPr>
                <w:b/>
                <w:sz w:val="20"/>
                <w:szCs w:val="20"/>
                <w:lang w:val="en-US"/>
              </w:rPr>
            </w:pPr>
            <w:r w:rsidRPr="00E06B95">
              <w:rPr>
                <w:b/>
                <w:sz w:val="20"/>
                <w:szCs w:val="20"/>
                <w:lang w:val="en-US"/>
              </w:rPr>
              <w:t>Chief Ronald Michel, Chief of the Peter Ballantyne Cree Nation, on his own behalf and on behalf of all other members of Peter Ballantyne Cree Nation and Peter Ballantyne Cree Nation v. Attorney General of Canada, Government of Saskatchewan, Saskatchewan Power Corporation, Hudson Bay Mining and Smelting Co. Limited, Churchill River Power Corporation Limited</w:t>
            </w:r>
          </w:p>
          <w:p w:rsidR="00303608" w:rsidRPr="00E06B95" w:rsidRDefault="00303608" w:rsidP="00E06B95">
            <w:pPr>
              <w:pStyle w:val="SCCLsocSubfileSeparator"/>
              <w:rPr>
                <w:sz w:val="20"/>
                <w:szCs w:val="20"/>
              </w:rPr>
            </w:pPr>
            <w:r w:rsidRPr="00E06B95">
              <w:rPr>
                <w:sz w:val="20"/>
                <w:szCs w:val="20"/>
              </w:rPr>
              <w:t>- and between -</w:t>
            </w:r>
          </w:p>
          <w:p w:rsidR="00303608" w:rsidRPr="00E06B95" w:rsidRDefault="00303608" w:rsidP="00E06B95">
            <w:pPr>
              <w:pStyle w:val="SCCLsocParty"/>
              <w:jc w:val="both"/>
              <w:rPr>
                <w:b/>
                <w:sz w:val="20"/>
                <w:szCs w:val="20"/>
                <w:lang w:val="en-US"/>
              </w:rPr>
            </w:pPr>
            <w:r w:rsidRPr="00E06B95">
              <w:rPr>
                <w:b/>
                <w:sz w:val="20"/>
                <w:szCs w:val="20"/>
                <w:lang w:val="en-US"/>
              </w:rPr>
              <w:t>Saskatchewan Power Corporation v. Chief Ronald Michel, Chief of the Peter Ballantyne Cree Nation, on his own behalf and on behalf of all other members of Peter Ballantyne Cree Nation and Peter Ballantyne Cree Nation, Attorney General of Canada, Government of Saskatchewan, Hudson Bay Mining and Smelting Co. Limited, Churchill River Power Corporation Limited</w:t>
            </w:r>
          </w:p>
          <w:p w:rsidR="00303608" w:rsidRPr="00E06B95" w:rsidRDefault="00303608" w:rsidP="00E06B95">
            <w:pPr>
              <w:pStyle w:val="SCCLsocSubfileSeparator"/>
              <w:rPr>
                <w:sz w:val="20"/>
                <w:szCs w:val="20"/>
              </w:rPr>
            </w:pPr>
            <w:r w:rsidRPr="00E06B95">
              <w:rPr>
                <w:sz w:val="20"/>
                <w:szCs w:val="20"/>
              </w:rPr>
              <w:lastRenderedPageBreak/>
              <w:t>- and between -</w:t>
            </w:r>
          </w:p>
          <w:p w:rsidR="00303608" w:rsidRPr="00E06B95" w:rsidRDefault="00303608" w:rsidP="00E06B95">
            <w:pPr>
              <w:pStyle w:val="SCCLsocParty"/>
              <w:jc w:val="both"/>
              <w:rPr>
                <w:b/>
                <w:sz w:val="20"/>
                <w:szCs w:val="20"/>
                <w:lang w:val="en-US"/>
              </w:rPr>
            </w:pPr>
            <w:r w:rsidRPr="00E06B95">
              <w:rPr>
                <w:b/>
                <w:sz w:val="20"/>
                <w:szCs w:val="20"/>
                <w:lang w:val="en-US"/>
              </w:rPr>
              <w:t>Government of Saskatchewan v. Chief Ronald Michel, Chief of the Peter Ballantyne Cree Nation, on his own behalf and on behalf of all other members of Peter Ballantyne Cree Nation and Peter Ballantyne Cree Nation, Attorney General of Canada, Saskatchewan Power Corporation, Hudson Bay Mining and Smelting Co. Limited, Churchill River Power Corporation Limited</w:t>
            </w:r>
          </w:p>
          <w:p w:rsidR="00303608" w:rsidRPr="00E06B95" w:rsidRDefault="00303608" w:rsidP="00E06B95">
            <w:pPr>
              <w:jc w:val="both"/>
              <w:rPr>
                <w:sz w:val="20"/>
              </w:rPr>
            </w:pPr>
            <w:r w:rsidRPr="00E06B95">
              <w:rPr>
                <w:sz w:val="20"/>
              </w:rPr>
              <w:t>(Sask.) (Civil) (By Leave)</w:t>
            </w:r>
          </w:p>
        </w:tc>
      </w:tr>
      <w:tr w:rsidR="00303608" w:rsidRPr="00E06B95" w:rsidTr="00E95A6A">
        <w:tc>
          <w:tcPr>
            <w:tcW w:w="5000" w:type="pct"/>
            <w:gridSpan w:val="4"/>
          </w:tcPr>
          <w:p w:rsidR="00303608" w:rsidRPr="00E06B95" w:rsidRDefault="00303608" w:rsidP="00E06B95">
            <w:pPr>
              <w:jc w:val="both"/>
              <w:rPr>
                <w:sz w:val="20"/>
                <w:lang w:val="en-ZW"/>
              </w:rPr>
            </w:pPr>
            <w:r w:rsidRPr="00E06B95">
              <w:rPr>
                <w:sz w:val="20"/>
              </w:rPr>
              <w:lastRenderedPageBreak/>
              <w:t xml:space="preserve">Aboriginal law — Indian bands — Indian reserves — Fiduciary duty — Torts — Intentional torts — Trespass to land — Limitation of actions — Reserve land continuously flooded as a result of operation of hydroelectric dam — First Nation suing for breach of fiduciary duty and trespass — Chambers judge dismissing all claims as statute-barred by applicable provincial limitation periods — Court of Appeal allowing claim for continuing trespass to proceed under exception to limitations legislation — Whether doctrine of interjurisdictional immunity continues to apply to protect band’s right to possession of Indian reserve lands under </w:t>
            </w:r>
            <w:r w:rsidRPr="00E06B95">
              <w:rPr>
                <w:i/>
                <w:sz w:val="20"/>
              </w:rPr>
              <w:t>Indian Act</w:t>
            </w:r>
            <w:r w:rsidRPr="00E06B95">
              <w:rPr>
                <w:sz w:val="20"/>
              </w:rPr>
              <w:t xml:space="preserve">, R.S.C. 1985, c. I-5, from impairment by provincial laws — Whether scope of Minister’s authority under </w:t>
            </w:r>
            <w:r w:rsidRPr="00E06B95">
              <w:rPr>
                <w:i/>
                <w:sz w:val="20"/>
              </w:rPr>
              <w:t>Indian Act</w:t>
            </w:r>
            <w:r w:rsidRPr="00E06B95">
              <w:rPr>
                <w:sz w:val="20"/>
              </w:rPr>
              <w:t xml:space="preserve">, R.S.C. 1927, c. 98, and </w:t>
            </w:r>
            <w:r w:rsidRPr="00E06B95">
              <w:rPr>
                <w:i/>
                <w:sz w:val="20"/>
              </w:rPr>
              <w:t>Indian Act</w:t>
            </w:r>
            <w:r w:rsidRPr="00E06B95">
              <w:rPr>
                <w:sz w:val="20"/>
              </w:rPr>
              <w:t xml:space="preserve">, R.S.C. 1985, c. I-5, permits use or occupation of Indian reserve lands to permit flooding of lands without affected band’s consent or surrender — Whether common law doctrine of continuing trespass should be used to circumvent statutory limitation periods, and if so, what are the rules governing application of loophole — Whether doctrine of continuing trespass remains part of the law in Saskatchewan — If so, whether Court of Appeal erred in finding instance of continuing trespass on the facts of this case, and whether Saskatchewan could rely upon same limitation defences as Canada — Whether Canada’s permission to flood lands in 1939 crystallized claim into one for monetary damages only — </w:t>
            </w:r>
            <w:r w:rsidRPr="00E06B95">
              <w:rPr>
                <w:i/>
                <w:sz w:val="20"/>
              </w:rPr>
              <w:t>The Limitation of Actions Act</w:t>
            </w:r>
            <w:r w:rsidRPr="00E06B95">
              <w:rPr>
                <w:sz w:val="20"/>
              </w:rPr>
              <w:t xml:space="preserve">, R.S.S. 1978, c. L-15 [repealed], ss. 18, 40 — </w:t>
            </w:r>
            <w:r w:rsidRPr="00E06B95">
              <w:rPr>
                <w:i/>
                <w:sz w:val="20"/>
              </w:rPr>
              <w:t>The Public Officers’ Protection Act</w:t>
            </w:r>
            <w:r w:rsidRPr="00E06B95">
              <w:rPr>
                <w:sz w:val="20"/>
              </w:rPr>
              <w:t xml:space="preserve">, R.S.S. 1978, c. P-40 [repealed], s. 2(1)(a) — </w:t>
            </w:r>
            <w:r w:rsidRPr="00E06B95">
              <w:rPr>
                <w:i/>
                <w:sz w:val="20"/>
              </w:rPr>
              <w:t>Indian (Soldier Settlement) Act</w:t>
            </w:r>
            <w:r w:rsidRPr="00E06B95">
              <w:rPr>
                <w:sz w:val="20"/>
              </w:rPr>
              <w:t xml:space="preserve">, R.S.C. 1927, c. 98, s. 34 — </w:t>
            </w:r>
            <w:r w:rsidRPr="00E06B95">
              <w:rPr>
                <w:i/>
                <w:sz w:val="20"/>
              </w:rPr>
              <w:t>Indian Act</w:t>
            </w:r>
            <w:r w:rsidRPr="00E06B95">
              <w:rPr>
                <w:sz w:val="20"/>
              </w:rPr>
              <w:t>, R.S.C. 1985, c. I-5, ss. 18(1), 28(2).</w:t>
            </w:r>
          </w:p>
        </w:tc>
      </w:tr>
      <w:tr w:rsidR="00303608" w:rsidRPr="00E06B95" w:rsidTr="00E95A6A">
        <w:tc>
          <w:tcPr>
            <w:tcW w:w="5000" w:type="pct"/>
            <w:gridSpan w:val="4"/>
          </w:tcPr>
          <w:p w:rsidR="00303608" w:rsidRPr="00E06B95" w:rsidRDefault="00303608" w:rsidP="00E06B95">
            <w:pPr>
              <w:jc w:val="both"/>
              <w:rPr>
                <w:sz w:val="20"/>
              </w:rPr>
            </w:pPr>
          </w:p>
        </w:tc>
      </w:tr>
      <w:tr w:rsidR="00303608" w:rsidRPr="00E06B95" w:rsidTr="00E95A6A">
        <w:tc>
          <w:tcPr>
            <w:tcW w:w="5000" w:type="pct"/>
            <w:gridSpan w:val="4"/>
          </w:tcPr>
          <w:p w:rsidR="00303608" w:rsidRPr="00E06B95" w:rsidRDefault="00303608" w:rsidP="00E06B95">
            <w:pPr>
              <w:jc w:val="both"/>
              <w:rPr>
                <w:sz w:val="20"/>
              </w:rPr>
            </w:pPr>
            <w:r w:rsidRPr="00E06B95">
              <w:rPr>
                <w:sz w:val="20"/>
              </w:rPr>
              <w:t>The plaintiffs, Peter Ballantyne Cree Nation (“PBCN”) et al., commenced an action against Canada, Saskatchewan, and the Saskatchewan Power Corporation (“SaskPower”), seeking declarations and damages for breach of the honour of the Crown, breach of fiduciary duties, and trespass (including continuing trespass), arising from the construction and operation of a nearby hydroelectric dam operated by SaskPower. The dam’s operation regularly results in a portion of PBCN’s reserve being continuously flooded, from the original operation of the dam in the 1940s to the present day. The defendants brought third party indemnity claims against the dam’s original builder and operator. The defendants also applied for summary judgment, arguing that all of PBCN’s claims should be dismissed by operation of applicable provincial limitation periods.</w:t>
            </w:r>
          </w:p>
          <w:p w:rsidR="00303608" w:rsidRPr="00E06B95" w:rsidRDefault="00303608" w:rsidP="00E06B95">
            <w:pPr>
              <w:jc w:val="both"/>
              <w:rPr>
                <w:sz w:val="20"/>
              </w:rPr>
            </w:pPr>
          </w:p>
          <w:p w:rsidR="00303608" w:rsidRPr="00E06B95" w:rsidRDefault="00303608" w:rsidP="00E06B95">
            <w:pPr>
              <w:jc w:val="both"/>
              <w:rPr>
                <w:sz w:val="20"/>
              </w:rPr>
            </w:pPr>
            <w:r w:rsidRPr="00E06B95">
              <w:rPr>
                <w:sz w:val="20"/>
              </w:rPr>
              <w:t>The chambers judge granted the defendants’ motion for summary judgment, and dismissed all claims against all defendants, including all third party claims; the chambers judge found that there was no triable issue as a result of the application of provincial limitations legislation. The Saskatchewan Court of Appeal allowed PBCN’s appeal in part, only to the extent of allowing PBCN to pursue its claim of trespass as against Saskatchewan and SaskPower, given that the trespass in question was “continuing” and therefore fell within an exception to the applicable provincial limitations legislation. The Court of Appeal remitted the claim of trespass (including issues related to consent and to damages, if any) back to the Court of Queen’s Bench, for determination. In all other respects, the Court of Appeal upheld the chambers judge’s decision to dismiss all other claims against all defendants and third party defendants. The Court of Appeal subsequently dismissed two applications for rehearing filed by both PBCN and SaskPower. PBCN, SaskPower and Saskatchewan all seek leave to appeal the Court of Appeal decision.</w:t>
            </w:r>
          </w:p>
          <w:p w:rsidR="00303608" w:rsidRPr="00E06B95" w:rsidRDefault="00303608" w:rsidP="00E06B95">
            <w:pPr>
              <w:jc w:val="both"/>
              <w:rPr>
                <w:sz w:val="20"/>
              </w:rPr>
            </w:pPr>
          </w:p>
        </w:tc>
      </w:tr>
      <w:tr w:rsidR="00303608" w:rsidRPr="00E06B95" w:rsidTr="00E95A6A">
        <w:tc>
          <w:tcPr>
            <w:tcW w:w="2427" w:type="pct"/>
            <w:gridSpan w:val="2"/>
          </w:tcPr>
          <w:p w:rsidR="00303608" w:rsidRPr="00E06B95" w:rsidRDefault="00303608" w:rsidP="00E06B95">
            <w:pPr>
              <w:jc w:val="both"/>
              <w:rPr>
                <w:sz w:val="20"/>
              </w:rPr>
            </w:pPr>
            <w:r w:rsidRPr="00E06B95">
              <w:rPr>
                <w:sz w:val="20"/>
              </w:rPr>
              <w:t>October 7, 2014</w:t>
            </w:r>
          </w:p>
          <w:p w:rsidR="00303608" w:rsidRPr="00E06B95" w:rsidRDefault="00303608" w:rsidP="00E06B95">
            <w:pPr>
              <w:jc w:val="both"/>
              <w:rPr>
                <w:sz w:val="20"/>
              </w:rPr>
            </w:pPr>
            <w:r w:rsidRPr="00E06B95">
              <w:rPr>
                <w:sz w:val="20"/>
              </w:rPr>
              <w:t>Court of Queen’s Bench for Saskatchewan</w:t>
            </w:r>
          </w:p>
          <w:p w:rsidR="00303608" w:rsidRPr="00E06B95" w:rsidRDefault="00303608" w:rsidP="00E06B95">
            <w:pPr>
              <w:jc w:val="both"/>
              <w:rPr>
                <w:sz w:val="20"/>
              </w:rPr>
            </w:pPr>
            <w:r w:rsidRPr="00E06B95">
              <w:rPr>
                <w:sz w:val="20"/>
              </w:rPr>
              <w:t>(Smith J.)</w:t>
            </w:r>
          </w:p>
          <w:p w:rsidR="00303608" w:rsidRPr="00E06B95" w:rsidRDefault="00303608" w:rsidP="00E06B95">
            <w:pPr>
              <w:jc w:val="both"/>
              <w:rPr>
                <w:sz w:val="20"/>
              </w:rPr>
            </w:pPr>
            <w:hyperlink r:id="rId25" w:history="1">
              <w:r w:rsidRPr="00E06B95">
                <w:rPr>
                  <w:rStyle w:val="Hyperlink"/>
                  <w:sz w:val="20"/>
                </w:rPr>
                <w:t>2014 SKQB 327</w:t>
              </w:r>
            </w:hyperlink>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Motion for summary judgment by defendants (Canada, Saskatchewan, and Saskatchewan Power Corporation) — granted;</w:t>
            </w:r>
          </w:p>
          <w:p w:rsidR="00303608" w:rsidRPr="00E06B95" w:rsidRDefault="00303608" w:rsidP="00E06B95">
            <w:pPr>
              <w:jc w:val="both"/>
              <w:rPr>
                <w:sz w:val="20"/>
              </w:rPr>
            </w:pPr>
          </w:p>
          <w:p w:rsidR="00303608" w:rsidRPr="00E06B95" w:rsidRDefault="00303608" w:rsidP="00E06B95">
            <w:pPr>
              <w:jc w:val="both"/>
              <w:rPr>
                <w:sz w:val="20"/>
              </w:rPr>
            </w:pPr>
            <w:r w:rsidRPr="00E06B95">
              <w:rPr>
                <w:sz w:val="20"/>
              </w:rPr>
              <w:t>Action by plaintiffs (Peter Ballantyne Cree Nation et al.) — dismissed</w:t>
            </w:r>
          </w:p>
          <w:p w:rsidR="00303608" w:rsidRPr="00E06B95" w:rsidRDefault="00303608" w:rsidP="00E06B95">
            <w:pPr>
              <w:jc w:val="both"/>
              <w:rPr>
                <w:sz w:val="20"/>
              </w:rPr>
            </w:pPr>
          </w:p>
        </w:tc>
      </w:tr>
      <w:tr w:rsidR="00303608" w:rsidRPr="00E06B95" w:rsidTr="00E95A6A">
        <w:tc>
          <w:tcPr>
            <w:tcW w:w="2427" w:type="pct"/>
            <w:gridSpan w:val="2"/>
          </w:tcPr>
          <w:p w:rsidR="00303608" w:rsidRPr="00E06B95" w:rsidRDefault="00303608" w:rsidP="00E06B95">
            <w:pPr>
              <w:jc w:val="both"/>
              <w:rPr>
                <w:sz w:val="20"/>
              </w:rPr>
            </w:pPr>
            <w:r w:rsidRPr="00E06B95">
              <w:rPr>
                <w:sz w:val="20"/>
              </w:rPr>
              <w:t>September 28, 2016</w:t>
            </w:r>
          </w:p>
          <w:p w:rsidR="00303608" w:rsidRPr="00E06B95" w:rsidRDefault="00303608" w:rsidP="00E06B95">
            <w:pPr>
              <w:jc w:val="both"/>
              <w:rPr>
                <w:sz w:val="20"/>
              </w:rPr>
            </w:pPr>
            <w:r w:rsidRPr="00E06B95">
              <w:rPr>
                <w:sz w:val="20"/>
              </w:rPr>
              <w:t>Court of Appeal for Saskatchewan</w:t>
            </w:r>
          </w:p>
          <w:p w:rsidR="00303608" w:rsidRPr="00E06B95" w:rsidRDefault="00303608" w:rsidP="00E06B95">
            <w:pPr>
              <w:jc w:val="both"/>
              <w:rPr>
                <w:sz w:val="20"/>
              </w:rPr>
            </w:pPr>
            <w:r w:rsidRPr="00E06B95">
              <w:rPr>
                <w:sz w:val="20"/>
              </w:rPr>
              <w:t>(</w:t>
            </w:r>
            <w:proofErr w:type="spellStart"/>
            <w:r w:rsidRPr="00E06B95">
              <w:rPr>
                <w:sz w:val="20"/>
              </w:rPr>
              <w:t>Herauf</w:t>
            </w:r>
            <w:proofErr w:type="spellEnd"/>
            <w:r w:rsidRPr="00E06B95">
              <w:rPr>
                <w:sz w:val="20"/>
              </w:rPr>
              <w:t xml:space="preserve">, </w:t>
            </w:r>
            <w:proofErr w:type="spellStart"/>
            <w:r w:rsidRPr="00E06B95">
              <w:rPr>
                <w:sz w:val="20"/>
              </w:rPr>
              <w:t>Ottenbreit</w:t>
            </w:r>
            <w:proofErr w:type="spellEnd"/>
            <w:r w:rsidRPr="00E06B95">
              <w:rPr>
                <w:sz w:val="20"/>
              </w:rPr>
              <w:t xml:space="preserve"> and Whitmore JJ.A.)</w:t>
            </w:r>
          </w:p>
          <w:p w:rsidR="00303608" w:rsidRPr="00E06B95" w:rsidRDefault="00303608" w:rsidP="00E06B95">
            <w:pPr>
              <w:jc w:val="both"/>
              <w:rPr>
                <w:sz w:val="20"/>
              </w:rPr>
            </w:pPr>
            <w:hyperlink r:id="rId26" w:history="1">
              <w:r w:rsidRPr="00E06B95">
                <w:rPr>
                  <w:rStyle w:val="Hyperlink"/>
                  <w:sz w:val="20"/>
                </w:rPr>
                <w:t>2016 SKCA 124</w:t>
              </w:r>
            </w:hyperlink>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 xml:space="preserve">Plaintiffs’ appeal allowed in part; matter returned to Court of Queen’s Bench to determine claim for </w:t>
            </w:r>
            <w:r w:rsidRPr="00E06B95">
              <w:rPr>
                <w:sz w:val="20"/>
              </w:rPr>
              <w:lastRenderedPageBreak/>
              <w:t>continuing tort of trespass against Saskatchewan and against Saskatchewan Power Corporation</w:t>
            </w:r>
          </w:p>
          <w:p w:rsidR="00303608" w:rsidRPr="00E06B95" w:rsidRDefault="00303608" w:rsidP="00E06B95">
            <w:pPr>
              <w:jc w:val="both"/>
              <w:rPr>
                <w:sz w:val="20"/>
              </w:rPr>
            </w:pPr>
          </w:p>
        </w:tc>
      </w:tr>
      <w:tr w:rsidR="00303608" w:rsidRPr="00E06B95" w:rsidTr="00E95A6A">
        <w:tc>
          <w:tcPr>
            <w:tcW w:w="2427" w:type="pct"/>
            <w:gridSpan w:val="2"/>
          </w:tcPr>
          <w:p w:rsidR="00303608" w:rsidRPr="00E06B95" w:rsidRDefault="00303608" w:rsidP="00E06B95">
            <w:pPr>
              <w:jc w:val="both"/>
              <w:rPr>
                <w:sz w:val="20"/>
              </w:rPr>
            </w:pPr>
            <w:r w:rsidRPr="00E06B95">
              <w:rPr>
                <w:sz w:val="20"/>
              </w:rPr>
              <w:lastRenderedPageBreak/>
              <w:t>January 19, 2017</w:t>
            </w:r>
          </w:p>
          <w:p w:rsidR="00303608" w:rsidRPr="00E06B95" w:rsidRDefault="00303608" w:rsidP="00E06B95">
            <w:pPr>
              <w:jc w:val="both"/>
              <w:rPr>
                <w:sz w:val="20"/>
              </w:rPr>
            </w:pPr>
            <w:r w:rsidRPr="00E06B95">
              <w:rPr>
                <w:sz w:val="20"/>
              </w:rPr>
              <w:t>Court of Appeal for Saskatchewan</w:t>
            </w:r>
          </w:p>
          <w:p w:rsidR="00303608" w:rsidRPr="00E06B95" w:rsidRDefault="00303608" w:rsidP="00E06B95">
            <w:pPr>
              <w:jc w:val="both"/>
              <w:rPr>
                <w:sz w:val="20"/>
              </w:rPr>
            </w:pPr>
            <w:r w:rsidRPr="00E06B95">
              <w:rPr>
                <w:sz w:val="20"/>
              </w:rPr>
              <w:t>(</w:t>
            </w:r>
            <w:proofErr w:type="spellStart"/>
            <w:r w:rsidRPr="00E06B95">
              <w:rPr>
                <w:sz w:val="20"/>
              </w:rPr>
              <w:t>Herauf</w:t>
            </w:r>
            <w:proofErr w:type="spellEnd"/>
            <w:r w:rsidRPr="00E06B95">
              <w:rPr>
                <w:sz w:val="20"/>
              </w:rPr>
              <w:t xml:space="preserve">, </w:t>
            </w:r>
            <w:proofErr w:type="spellStart"/>
            <w:r w:rsidRPr="00E06B95">
              <w:rPr>
                <w:sz w:val="20"/>
              </w:rPr>
              <w:t>Ottenbreit</w:t>
            </w:r>
            <w:proofErr w:type="spellEnd"/>
            <w:r w:rsidRPr="00E06B95">
              <w:rPr>
                <w:sz w:val="20"/>
              </w:rPr>
              <w:t xml:space="preserve"> and Whitmore JJ.A.)</w:t>
            </w:r>
          </w:p>
          <w:p w:rsidR="00303608" w:rsidRPr="00E06B95" w:rsidRDefault="00303608" w:rsidP="00E06B95">
            <w:pPr>
              <w:jc w:val="both"/>
              <w:rPr>
                <w:sz w:val="20"/>
              </w:rPr>
            </w:pPr>
            <w:hyperlink r:id="rId27" w:history="1">
              <w:r w:rsidRPr="00E06B95">
                <w:rPr>
                  <w:rStyle w:val="Hyperlink"/>
                  <w:sz w:val="20"/>
                </w:rPr>
                <w:t>2017 SKCA 5</w:t>
              </w:r>
            </w:hyperlink>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Applications for rehearing filed by Peter Ballantyne Cree Nation et al. and by Saskatchew</w:t>
            </w:r>
            <w:r w:rsidR="00E06B95">
              <w:rPr>
                <w:sz w:val="20"/>
              </w:rPr>
              <w:t>an Power Corporation — dismissed</w:t>
            </w:r>
          </w:p>
        </w:tc>
      </w:tr>
      <w:tr w:rsidR="00303608" w:rsidRPr="00E06B95" w:rsidTr="00E95A6A">
        <w:tc>
          <w:tcPr>
            <w:tcW w:w="2427" w:type="pct"/>
            <w:gridSpan w:val="2"/>
          </w:tcPr>
          <w:p w:rsidR="00303608" w:rsidRPr="00E06B95" w:rsidRDefault="00303608" w:rsidP="00E06B95">
            <w:pPr>
              <w:jc w:val="both"/>
              <w:rPr>
                <w:sz w:val="20"/>
              </w:rPr>
            </w:pPr>
            <w:r w:rsidRPr="00E06B95">
              <w:rPr>
                <w:sz w:val="20"/>
              </w:rPr>
              <w:t>March 15, 2017</w:t>
            </w:r>
          </w:p>
          <w:p w:rsidR="00303608" w:rsidRPr="00E06B95" w:rsidRDefault="00303608" w:rsidP="00E06B95">
            <w:pPr>
              <w:jc w:val="both"/>
              <w:rPr>
                <w:sz w:val="20"/>
              </w:rPr>
            </w:pPr>
            <w:r w:rsidRPr="00E06B95">
              <w:rPr>
                <w:sz w:val="20"/>
              </w:rPr>
              <w:t>Supreme Court of Canada</w:t>
            </w:r>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Application for leave to appeal filed by Peter Ballantyne Cree Nation et al.</w:t>
            </w:r>
          </w:p>
        </w:tc>
      </w:tr>
      <w:tr w:rsidR="00303608" w:rsidRPr="00E06B95" w:rsidTr="00E95A6A">
        <w:tc>
          <w:tcPr>
            <w:tcW w:w="2427" w:type="pct"/>
            <w:gridSpan w:val="2"/>
          </w:tcPr>
          <w:p w:rsidR="00303608" w:rsidRPr="00E06B95" w:rsidRDefault="00303608" w:rsidP="00E06B95">
            <w:pPr>
              <w:jc w:val="both"/>
              <w:rPr>
                <w:sz w:val="20"/>
              </w:rPr>
            </w:pPr>
            <w:r w:rsidRPr="00E06B95">
              <w:rPr>
                <w:sz w:val="20"/>
              </w:rPr>
              <w:t>March 17, 2017</w:t>
            </w:r>
          </w:p>
          <w:p w:rsidR="00303608" w:rsidRPr="00E06B95" w:rsidRDefault="00303608" w:rsidP="00E06B95">
            <w:pPr>
              <w:jc w:val="both"/>
              <w:rPr>
                <w:sz w:val="20"/>
              </w:rPr>
            </w:pPr>
            <w:r w:rsidRPr="00E06B95">
              <w:rPr>
                <w:sz w:val="20"/>
              </w:rPr>
              <w:t>Supreme Court of Canada</w:t>
            </w:r>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Application for leave to appeal filed by</w:t>
            </w:r>
            <w:r w:rsidR="00E06B95">
              <w:rPr>
                <w:sz w:val="20"/>
              </w:rPr>
              <w:t xml:space="preserve"> Saskatchewan Power Corporation</w:t>
            </w:r>
          </w:p>
        </w:tc>
      </w:tr>
      <w:tr w:rsidR="00303608" w:rsidRPr="00E06B95" w:rsidTr="00E95A6A">
        <w:tc>
          <w:tcPr>
            <w:tcW w:w="2427" w:type="pct"/>
            <w:gridSpan w:val="2"/>
          </w:tcPr>
          <w:p w:rsidR="00303608" w:rsidRPr="00E06B95" w:rsidRDefault="00303608" w:rsidP="00E06B95">
            <w:pPr>
              <w:jc w:val="both"/>
              <w:rPr>
                <w:sz w:val="20"/>
              </w:rPr>
            </w:pPr>
            <w:r w:rsidRPr="00E06B95">
              <w:rPr>
                <w:sz w:val="20"/>
              </w:rPr>
              <w:t>March 17, 2017</w:t>
            </w:r>
          </w:p>
          <w:p w:rsidR="00303608" w:rsidRPr="00E06B95" w:rsidRDefault="00303608" w:rsidP="00E06B95">
            <w:pPr>
              <w:jc w:val="both"/>
              <w:rPr>
                <w:sz w:val="20"/>
              </w:rPr>
            </w:pPr>
            <w:r w:rsidRPr="00E06B95">
              <w:rPr>
                <w:sz w:val="20"/>
              </w:rPr>
              <w:t>Supreme Court of Canada</w:t>
            </w:r>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Application for leave to appeal filed by Government of Saskatchewan</w:t>
            </w:r>
          </w:p>
        </w:tc>
      </w:tr>
      <w:tr w:rsidR="00303608" w:rsidRPr="00E06B95" w:rsidTr="00E95A6A">
        <w:tc>
          <w:tcPr>
            <w:tcW w:w="2427" w:type="pct"/>
            <w:gridSpan w:val="2"/>
          </w:tcPr>
          <w:p w:rsidR="00303608" w:rsidRPr="00E06B95" w:rsidRDefault="00303608" w:rsidP="00E06B95">
            <w:pPr>
              <w:jc w:val="both"/>
              <w:rPr>
                <w:sz w:val="20"/>
              </w:rPr>
            </w:pPr>
            <w:r w:rsidRPr="00E06B95">
              <w:rPr>
                <w:sz w:val="20"/>
              </w:rPr>
              <w:t>May 5, 2017</w:t>
            </w:r>
          </w:p>
          <w:p w:rsidR="00303608" w:rsidRPr="00E06B95" w:rsidRDefault="00303608" w:rsidP="00E06B95">
            <w:pPr>
              <w:jc w:val="both"/>
              <w:rPr>
                <w:sz w:val="20"/>
              </w:rPr>
            </w:pPr>
            <w:r w:rsidRPr="00E06B95">
              <w:rPr>
                <w:sz w:val="20"/>
              </w:rPr>
              <w:t>Supreme Court of Canada</w:t>
            </w: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Motion for extension of time in which to serve and file response, filed by Hudson</w:t>
            </w:r>
          </w:p>
        </w:tc>
      </w:tr>
    </w:tbl>
    <w:p w:rsidR="00303608" w:rsidRDefault="00303608" w:rsidP="00E06B95">
      <w:pPr>
        <w:jc w:val="both"/>
        <w:rPr>
          <w:sz w:val="20"/>
        </w:rPr>
      </w:pPr>
    </w:p>
    <w:p w:rsidR="00E06B95" w:rsidRPr="00E06B95" w:rsidRDefault="00E06B95" w:rsidP="00E06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3608" w:rsidRPr="00E06B95" w:rsidTr="00E95A6A">
        <w:tc>
          <w:tcPr>
            <w:tcW w:w="543" w:type="pct"/>
          </w:tcPr>
          <w:p w:rsidR="00303608" w:rsidRPr="00E06B95" w:rsidRDefault="00303608" w:rsidP="00E06B95">
            <w:pPr>
              <w:jc w:val="both"/>
              <w:rPr>
                <w:sz w:val="20"/>
                <w:lang w:val="fr-CA"/>
              </w:rPr>
            </w:pPr>
            <w:r w:rsidRPr="00E06B95">
              <w:rPr>
                <w:rStyle w:val="SCCFileNumberChar"/>
                <w:sz w:val="20"/>
                <w:szCs w:val="20"/>
                <w:lang w:val="fr-CA"/>
              </w:rPr>
              <w:t>37485</w:t>
            </w:r>
          </w:p>
        </w:tc>
        <w:tc>
          <w:tcPr>
            <w:tcW w:w="4457" w:type="pct"/>
            <w:gridSpan w:val="3"/>
          </w:tcPr>
          <w:p w:rsidR="00303608" w:rsidRPr="00E06B95" w:rsidRDefault="00303608" w:rsidP="00E06B95">
            <w:pPr>
              <w:pStyle w:val="SCCLsocParty"/>
              <w:jc w:val="both"/>
              <w:rPr>
                <w:b/>
                <w:sz w:val="20"/>
                <w:szCs w:val="20"/>
              </w:rPr>
            </w:pPr>
            <w:r w:rsidRPr="00E06B95">
              <w:rPr>
                <w:b/>
                <w:sz w:val="20"/>
                <w:szCs w:val="20"/>
              </w:rPr>
              <w:t>Chef Ronald Michel, chef de la Peter Ballantyne Cree Nation, en son propre nom, et au nom de tous les autres membres de la Peter Ballantyne Cree Nation et Peter Ballantyne Cree Nation c. Procureur général du Canada, gouvernement de la Saskatchewan, Saskatchewan Power Corporation, Hudson Bay Mining and Smelting Co. Limited, Churchill River Power Corporation Limited</w:t>
            </w:r>
          </w:p>
          <w:p w:rsidR="00303608" w:rsidRPr="00E06B95" w:rsidRDefault="00303608" w:rsidP="00E06B95">
            <w:pPr>
              <w:pStyle w:val="SCCLsocSubfileSeparator"/>
              <w:rPr>
                <w:sz w:val="20"/>
                <w:szCs w:val="20"/>
                <w:lang w:val="fr-CA"/>
              </w:rPr>
            </w:pPr>
            <w:r w:rsidRPr="00E06B95">
              <w:rPr>
                <w:sz w:val="20"/>
                <w:szCs w:val="20"/>
                <w:lang w:val="fr-CA"/>
              </w:rPr>
              <w:t>- et entre -</w:t>
            </w:r>
          </w:p>
          <w:p w:rsidR="00303608" w:rsidRPr="00E06B95" w:rsidRDefault="00303608" w:rsidP="00E06B95">
            <w:pPr>
              <w:pStyle w:val="SCCLsocParty"/>
              <w:jc w:val="both"/>
              <w:rPr>
                <w:b/>
                <w:sz w:val="20"/>
                <w:szCs w:val="20"/>
              </w:rPr>
            </w:pPr>
            <w:r w:rsidRPr="00E06B95">
              <w:rPr>
                <w:b/>
                <w:sz w:val="20"/>
                <w:szCs w:val="20"/>
              </w:rPr>
              <w:t>Saskatchewan Power Corporation c. Chef Ronald Michel, chef de la Peter Ballantyne Cree Nation, en son propre nom, et au nom de tous les autres membres de la Peter Ballantyne Cree Nation et Peter Ballantyne Cree Nation, procureur général du Canada, gouvernement de la Saskatchewan, Hudson Bay Mining and Smelting Co. Limited, Churchill River Power Corporation Limited</w:t>
            </w:r>
          </w:p>
          <w:p w:rsidR="00303608" w:rsidRPr="00E06B95" w:rsidRDefault="00303608" w:rsidP="00E06B95">
            <w:pPr>
              <w:pStyle w:val="SCCLsocSubfileSeparator"/>
              <w:rPr>
                <w:sz w:val="20"/>
                <w:szCs w:val="20"/>
                <w:lang w:val="fr-CA"/>
              </w:rPr>
            </w:pPr>
            <w:r w:rsidRPr="00E06B95">
              <w:rPr>
                <w:sz w:val="20"/>
                <w:szCs w:val="20"/>
                <w:lang w:val="fr-CA"/>
              </w:rPr>
              <w:t>- et entre -</w:t>
            </w:r>
          </w:p>
          <w:p w:rsidR="00303608" w:rsidRPr="00E06B95" w:rsidRDefault="00303608" w:rsidP="00E06B95">
            <w:pPr>
              <w:pStyle w:val="SCCLsocParty"/>
              <w:jc w:val="both"/>
              <w:rPr>
                <w:b/>
                <w:sz w:val="20"/>
                <w:szCs w:val="20"/>
                <w:lang w:val="en-US"/>
              </w:rPr>
            </w:pPr>
            <w:r w:rsidRPr="00E06B95">
              <w:rPr>
                <w:b/>
                <w:sz w:val="20"/>
                <w:szCs w:val="20"/>
              </w:rPr>
              <w:t xml:space="preserve">Gouvernement de la Saskatchewan c. Chef Ronald Michel, chef de la Peter Ballantyne Cree Nation, en son propre nom, et au nom de tous les autres membres de la Peter Ballantyne Cree Nation et Peter Ballantyne Cree Nation, procureur général du Canada, Saskatchewan Power Corporation, Hudson Bay Mining and Smelting Co. </w:t>
            </w:r>
            <w:r w:rsidRPr="00E06B95">
              <w:rPr>
                <w:b/>
                <w:sz w:val="20"/>
                <w:szCs w:val="20"/>
                <w:lang w:val="en-US"/>
              </w:rPr>
              <w:t>Limited, Churchill River Power Corporation Limited</w:t>
            </w:r>
          </w:p>
          <w:p w:rsidR="00303608" w:rsidRPr="00E06B95" w:rsidRDefault="00303608" w:rsidP="00E06B95">
            <w:pPr>
              <w:jc w:val="both"/>
              <w:rPr>
                <w:sz w:val="20"/>
              </w:rPr>
            </w:pPr>
            <w:r w:rsidRPr="00E06B95">
              <w:rPr>
                <w:sz w:val="20"/>
              </w:rPr>
              <w:t xml:space="preserve">(Sask.) (Civile) (Sur </w:t>
            </w:r>
            <w:proofErr w:type="spellStart"/>
            <w:r w:rsidRPr="00E06B95">
              <w:rPr>
                <w:sz w:val="20"/>
              </w:rPr>
              <w:t>autorisation</w:t>
            </w:r>
            <w:proofErr w:type="spellEnd"/>
            <w:r w:rsidRPr="00E06B95">
              <w:rPr>
                <w:sz w:val="20"/>
              </w:rPr>
              <w:t>)</w:t>
            </w:r>
          </w:p>
        </w:tc>
      </w:tr>
      <w:tr w:rsidR="00303608" w:rsidRPr="00E06B95" w:rsidTr="00E95A6A">
        <w:tc>
          <w:tcPr>
            <w:tcW w:w="5000" w:type="pct"/>
            <w:gridSpan w:val="4"/>
          </w:tcPr>
          <w:p w:rsidR="00303608" w:rsidRPr="00E06B95" w:rsidRDefault="00303608" w:rsidP="00E06B95">
            <w:pPr>
              <w:jc w:val="both"/>
              <w:rPr>
                <w:sz w:val="20"/>
                <w:lang w:val="fr-CA"/>
              </w:rPr>
            </w:pPr>
            <w:r w:rsidRPr="00E06B95">
              <w:rPr>
                <w:sz w:val="20"/>
                <w:lang w:val="fr-CA"/>
              </w:rPr>
              <w:t xml:space="preserve">Droit des Autochtones — Bandes indiennes — Réserves indiennes — Obligation fiduciaire — Responsabilité délictuelle — Délits intentionnels — Intrusion — Prescription — Des terres de réserve sont continuellement inondées à la suite de l’exploitation d’un barrage hydroélectrique — La Première Nation a intenté une poursuite pour manquement à l’obligation fiduciaire et intrusion — Le juge en cabinet a rejeté toutes les demandes, les déclarant prescrites en vertu des règles de prescription provinciales applicables — La Cour d’appel a autorisé l’exercice du recours en intrusion continue à titre d’exception à la législation sur la prescription  — La doctrine de l’exclusivité des compétences continue-t-elle de s’appliquer pour protéger le droit de la bande à la possession de terres des réserves indiennes en application de la </w:t>
            </w:r>
            <w:r w:rsidRPr="00E06B95">
              <w:rPr>
                <w:i/>
                <w:sz w:val="20"/>
                <w:lang w:val="fr-CA"/>
              </w:rPr>
              <w:t>Loi sur les Indiens</w:t>
            </w:r>
            <w:r w:rsidRPr="00E06B95">
              <w:rPr>
                <w:sz w:val="20"/>
                <w:lang w:val="fr-CA"/>
              </w:rPr>
              <w:t xml:space="preserve">, L.R.C. 1985, ch. I-5, contre les atteintes par les lois provinciales? — Le pouvoir du ministre en vertu de la </w:t>
            </w:r>
            <w:r w:rsidRPr="00E06B95">
              <w:rPr>
                <w:i/>
                <w:sz w:val="20"/>
                <w:lang w:val="fr-CA"/>
              </w:rPr>
              <w:t>Loi des Indiens</w:t>
            </w:r>
            <w:r w:rsidRPr="00E06B95">
              <w:rPr>
                <w:sz w:val="20"/>
                <w:lang w:val="fr-CA"/>
              </w:rPr>
              <w:t xml:space="preserve">, S.R.C. 1927, c. 98, et de la </w:t>
            </w:r>
            <w:r w:rsidRPr="00E06B95">
              <w:rPr>
                <w:i/>
                <w:sz w:val="20"/>
                <w:lang w:val="fr-CA"/>
              </w:rPr>
              <w:t>Loi sur les Indiens</w:t>
            </w:r>
            <w:r w:rsidRPr="00E06B95">
              <w:rPr>
                <w:sz w:val="20"/>
                <w:lang w:val="fr-CA"/>
              </w:rPr>
              <w:t xml:space="preserve">, L.R.C. 1985, ch. I-5, va-t-il jusqu’à permettre l’usage ou l’occupation de terres des réserves indiennes pour permettre l’inondation de terres sans le consentement de la bande touchée ou la cession des terres par celle-ci? — Doit-on appliquer la doctrine de l’intrusion continue de la common law pour passer outre aux délais de prescription prévus par la loi et, dans l’affirmative, quelles sont les règles régissant l’application de l’échappatoire? — La doctrine de l’intrusion continue fait-elle encore partie du droit de la Saskatchewan? — Dans l’affirmative, la Cour d’appel a-t-elle eu tort </w:t>
            </w:r>
            <w:r w:rsidRPr="00E06B95">
              <w:rPr>
                <w:sz w:val="20"/>
                <w:lang w:val="fr-CA"/>
              </w:rPr>
              <w:lastRenderedPageBreak/>
              <w:t xml:space="preserve">de conclure, au vu des faits de l’espèce, qu’il y avait intrusion continue et la Saskatchewan pouvait-elle s’appuyer sur les mêmes moyens de défense fondés sur la prescription que le Canada? — La permission donnée au Canada d’inonder les terres en 1939 a-t-elle eu pour effet de « cristalliser » la demande en une demande en dommages-intérêts seulement? — </w:t>
            </w:r>
            <w:r w:rsidRPr="00E06B95">
              <w:rPr>
                <w:i/>
                <w:sz w:val="20"/>
                <w:lang w:val="fr-CA"/>
              </w:rPr>
              <w:t>The Limitation of Actions Act</w:t>
            </w:r>
            <w:r w:rsidRPr="00E06B95">
              <w:rPr>
                <w:sz w:val="20"/>
                <w:lang w:val="fr-CA"/>
              </w:rPr>
              <w:t>, R.S.S. 1978, ch. </w:t>
            </w:r>
            <w:r w:rsidRPr="00E06B95">
              <w:rPr>
                <w:sz w:val="20"/>
              </w:rPr>
              <w:t>L-15 [</w:t>
            </w:r>
            <w:proofErr w:type="spellStart"/>
            <w:r w:rsidRPr="00E06B95">
              <w:rPr>
                <w:sz w:val="20"/>
              </w:rPr>
              <w:t>abrogée</w:t>
            </w:r>
            <w:proofErr w:type="spellEnd"/>
            <w:r w:rsidRPr="00E06B95">
              <w:rPr>
                <w:sz w:val="20"/>
              </w:rPr>
              <w:t xml:space="preserve">], art. 18, 40 — </w:t>
            </w:r>
            <w:r w:rsidRPr="00E06B95">
              <w:rPr>
                <w:i/>
                <w:sz w:val="20"/>
              </w:rPr>
              <w:t>The Public Officers’ Protection Act</w:t>
            </w:r>
            <w:r w:rsidRPr="00E06B95">
              <w:rPr>
                <w:sz w:val="20"/>
              </w:rPr>
              <w:t xml:space="preserve">, R.S.S. 1978, </w:t>
            </w:r>
            <w:proofErr w:type="spellStart"/>
            <w:r w:rsidRPr="00E06B95">
              <w:rPr>
                <w:sz w:val="20"/>
              </w:rPr>
              <w:t>ch.</w:t>
            </w:r>
            <w:proofErr w:type="spellEnd"/>
            <w:r w:rsidRPr="00E06B95">
              <w:rPr>
                <w:sz w:val="20"/>
              </w:rPr>
              <w:t> </w:t>
            </w:r>
            <w:r w:rsidRPr="00E06B95">
              <w:rPr>
                <w:sz w:val="20"/>
                <w:lang w:val="fr-CA"/>
              </w:rPr>
              <w:t>P-40 [abrogée], al. 2(1</w:t>
            </w:r>
            <w:proofErr w:type="gramStart"/>
            <w:r w:rsidRPr="00E06B95">
              <w:rPr>
                <w:sz w:val="20"/>
                <w:lang w:val="fr-CA"/>
              </w:rPr>
              <w:t>)a</w:t>
            </w:r>
            <w:proofErr w:type="gramEnd"/>
            <w:r w:rsidRPr="00E06B95">
              <w:rPr>
                <w:sz w:val="20"/>
                <w:lang w:val="fr-CA"/>
              </w:rPr>
              <w:t xml:space="preserve">) — </w:t>
            </w:r>
            <w:r w:rsidRPr="00E06B95">
              <w:rPr>
                <w:i/>
                <w:sz w:val="20"/>
                <w:lang w:val="fr-CA"/>
              </w:rPr>
              <w:t>Loi des Indiens (Établissement de soldats)</w:t>
            </w:r>
            <w:r w:rsidRPr="00E06B95">
              <w:rPr>
                <w:sz w:val="20"/>
                <w:lang w:val="fr-CA"/>
              </w:rPr>
              <w:t xml:space="preserve">, S.R.C. 1927, ch. 98, art. 34 — </w:t>
            </w:r>
            <w:r w:rsidRPr="00E06B95">
              <w:rPr>
                <w:i/>
                <w:sz w:val="20"/>
                <w:lang w:val="fr-CA"/>
              </w:rPr>
              <w:t>Loi sur les Indiens</w:t>
            </w:r>
            <w:r w:rsidRPr="00E06B95">
              <w:rPr>
                <w:sz w:val="20"/>
                <w:lang w:val="fr-CA"/>
              </w:rPr>
              <w:t>, L.R.C. 1985, ch. I-5, par. 18(1), 28(2).</w:t>
            </w:r>
          </w:p>
        </w:tc>
      </w:tr>
      <w:tr w:rsidR="00303608" w:rsidRPr="00E06B95" w:rsidTr="00E95A6A">
        <w:tc>
          <w:tcPr>
            <w:tcW w:w="5000" w:type="pct"/>
            <w:gridSpan w:val="4"/>
          </w:tcPr>
          <w:p w:rsidR="00303608" w:rsidRPr="00E06B95" w:rsidRDefault="00303608" w:rsidP="00E06B95">
            <w:pPr>
              <w:jc w:val="both"/>
              <w:rPr>
                <w:sz w:val="20"/>
                <w:lang w:val="fr-CA"/>
              </w:rPr>
            </w:pPr>
          </w:p>
        </w:tc>
      </w:tr>
      <w:tr w:rsidR="00303608" w:rsidRPr="00E06B95" w:rsidTr="00E95A6A">
        <w:tc>
          <w:tcPr>
            <w:tcW w:w="5000" w:type="pct"/>
            <w:gridSpan w:val="4"/>
          </w:tcPr>
          <w:p w:rsidR="00303608" w:rsidRPr="00E06B95" w:rsidRDefault="00303608" w:rsidP="00E06B95">
            <w:pPr>
              <w:jc w:val="both"/>
              <w:rPr>
                <w:sz w:val="20"/>
                <w:lang w:val="fr-CA"/>
              </w:rPr>
            </w:pPr>
            <w:r w:rsidRPr="00E06B95">
              <w:rPr>
                <w:sz w:val="20"/>
                <w:lang w:val="fr-CA"/>
              </w:rPr>
              <w:t>Les demandeurs, Peter Ballantyne Cree Nation (« PBCN ») et al., ont intenté une action contre le Canada, la Saskatchewan et la Saskatchewan Power Corporation (« SaskPower »), sollicitant un jugement déclaratoire et des dommages-intérêts pour manquement à l’honneur de la Couronne, manquement à des obligations fiduciaires et intrusion (y compris l’intrusion continue), découlant de la construction et de l’exploitation d’un barrage hydroélectrique situé à proximité et exploité par SaskPower. L’exploitation du barrage fait régulièrement en sorte qu’une partie de la réserve de PBCN est continuellement inondée, et ce, depuis la mise en service du barrage, dans les années 1940. Les défendeurs ont présenté des demandes d’indemnisation de tiers contre le constructeur et premier exploitant du barrage. Les défendeurs ont également sollicité un jugement sommaire, plaidant que toutes les demandes de PBCN devaient être rejetées en application des délais de prescription provinciaux applicables.</w:t>
            </w:r>
          </w:p>
          <w:p w:rsidR="00303608" w:rsidRPr="00E06B95" w:rsidRDefault="00303608" w:rsidP="00E06B95">
            <w:pPr>
              <w:jc w:val="both"/>
              <w:rPr>
                <w:sz w:val="20"/>
                <w:lang w:val="fr-CA"/>
              </w:rPr>
            </w:pPr>
          </w:p>
          <w:p w:rsidR="00303608" w:rsidRPr="00E06B95" w:rsidRDefault="00303608" w:rsidP="00E06B95">
            <w:pPr>
              <w:jc w:val="both"/>
              <w:rPr>
                <w:sz w:val="20"/>
                <w:lang w:val="fr-CA"/>
              </w:rPr>
            </w:pPr>
            <w:r w:rsidRPr="00E06B95">
              <w:rPr>
                <w:sz w:val="20"/>
                <w:lang w:val="fr-CA"/>
              </w:rPr>
              <w:t>Le juge en cabinet a accueilli la requête des défendeurs en jugement sommaire et a rejeté toutes les demandes contre tous les défendeurs, y compris toutes les demandes de mise en cause; le juge en cabinet a conclu qu’il n’y avait aucune matière à procès en application de la législation provinciale sur la prescription. La Cour d’appel de la Saskatchewan a accueilli l’appel de PBCN en partie, mais seulement pour permettre à PBCN d’exercer son recours en intrusion contre la Saskatchewan et SaskPower, vu que l’intrusion en question était « continue », si bien qu’elle constituait une exception à la législation provinciale applicable sur la prescription. La Cour d’appel a renvoyé la demande pour intrusion (y compris les questions liées au consentement et au préjudice, s’il en est) à la Cour du Banc de la Reine pour que celle-ci rende jugement. À tous les autres égards, la Cour d’appel a confirmé la décision du juge en cabinet de rejeter toutes les autres demandes contre tous les défendeurs et mis en cause. La Cour d’appel a subséquemment rejeté deux demandes de nouvelle audience déposées par PBCN et SaskPower. PBCN, SaskPower et la Saskatchewan demandent toutes l’autorisation d’en appeler le l’arrêt de la Cour d’appel.</w:t>
            </w:r>
          </w:p>
          <w:p w:rsidR="00303608" w:rsidRPr="00E06B95" w:rsidRDefault="00303608" w:rsidP="00E06B95">
            <w:pPr>
              <w:jc w:val="both"/>
              <w:rPr>
                <w:sz w:val="20"/>
                <w:lang w:val="fr-CA"/>
              </w:rPr>
            </w:pP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t>7 octobre 2014</w:t>
            </w:r>
          </w:p>
          <w:p w:rsidR="00303608" w:rsidRPr="00E06B95" w:rsidRDefault="00303608" w:rsidP="00E06B95">
            <w:pPr>
              <w:jc w:val="both"/>
              <w:rPr>
                <w:sz w:val="20"/>
                <w:lang w:val="fr-CA"/>
              </w:rPr>
            </w:pPr>
            <w:r w:rsidRPr="00E06B95">
              <w:rPr>
                <w:sz w:val="20"/>
                <w:lang w:val="fr-CA"/>
              </w:rPr>
              <w:t>Cour du Banc de la Reine de la Saskatchewan</w:t>
            </w:r>
          </w:p>
          <w:p w:rsidR="00303608" w:rsidRPr="00E06B95" w:rsidRDefault="00303608" w:rsidP="00E06B95">
            <w:pPr>
              <w:jc w:val="both"/>
              <w:rPr>
                <w:sz w:val="20"/>
                <w:lang w:val="fr-CA"/>
              </w:rPr>
            </w:pPr>
            <w:r w:rsidRPr="00E06B95">
              <w:rPr>
                <w:sz w:val="20"/>
                <w:lang w:val="fr-CA"/>
              </w:rPr>
              <w:t>(Juge Smith)</w:t>
            </w:r>
          </w:p>
          <w:p w:rsidR="00303608" w:rsidRPr="00E06B95" w:rsidRDefault="00303608" w:rsidP="00E06B95">
            <w:pPr>
              <w:jc w:val="both"/>
              <w:rPr>
                <w:sz w:val="20"/>
                <w:lang w:val="fr-CA"/>
              </w:rPr>
            </w:pPr>
            <w:hyperlink r:id="rId28" w:history="1">
              <w:r w:rsidRPr="00E06B95">
                <w:rPr>
                  <w:rStyle w:val="Hyperlink"/>
                  <w:sz w:val="20"/>
                  <w:lang w:val="fr-CA"/>
                </w:rPr>
                <w:t>2014 SKQB 327</w:t>
              </w:r>
            </w:hyperlink>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Jugement accueillant la requête en jugement sommaire des défendeurs (Canada, Saskatchewan et Saskatchewan Power Corporation);</w:t>
            </w:r>
          </w:p>
          <w:p w:rsidR="00303608" w:rsidRPr="00E06B95" w:rsidRDefault="00303608" w:rsidP="00E06B95">
            <w:pPr>
              <w:jc w:val="both"/>
              <w:rPr>
                <w:sz w:val="20"/>
                <w:lang w:val="fr-CA"/>
              </w:rPr>
            </w:pPr>
          </w:p>
          <w:p w:rsidR="00303608" w:rsidRPr="00E06B95" w:rsidRDefault="00303608" w:rsidP="00E06B95">
            <w:pPr>
              <w:jc w:val="both"/>
              <w:rPr>
                <w:sz w:val="20"/>
                <w:lang w:val="fr-CA"/>
              </w:rPr>
            </w:pPr>
            <w:r w:rsidRPr="00E06B95">
              <w:rPr>
                <w:sz w:val="20"/>
                <w:lang w:val="fr-CA"/>
              </w:rPr>
              <w:t>Rejet de l’action des demandeurs (Peter Ballantyne Cree Nation et al.)</w:t>
            </w:r>
          </w:p>
          <w:p w:rsidR="00303608" w:rsidRPr="00E06B95" w:rsidRDefault="00303608" w:rsidP="00E06B95">
            <w:pPr>
              <w:jc w:val="both"/>
              <w:rPr>
                <w:sz w:val="20"/>
                <w:lang w:val="fr-CA"/>
              </w:rPr>
            </w:pP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t>28 septembre 2016</w:t>
            </w:r>
          </w:p>
          <w:p w:rsidR="00303608" w:rsidRPr="00E06B95" w:rsidRDefault="00303608" w:rsidP="00E06B95">
            <w:pPr>
              <w:jc w:val="both"/>
              <w:rPr>
                <w:sz w:val="20"/>
                <w:lang w:val="fr-CA"/>
              </w:rPr>
            </w:pPr>
            <w:r w:rsidRPr="00E06B95">
              <w:rPr>
                <w:sz w:val="20"/>
                <w:lang w:val="fr-CA"/>
              </w:rPr>
              <w:t>Cour d’appel de la Saskatchewan</w:t>
            </w:r>
          </w:p>
          <w:p w:rsidR="00303608" w:rsidRPr="00E06B95" w:rsidRDefault="00303608" w:rsidP="00E06B95">
            <w:pPr>
              <w:jc w:val="both"/>
              <w:rPr>
                <w:sz w:val="20"/>
                <w:lang w:val="fr-CA"/>
              </w:rPr>
            </w:pPr>
            <w:r w:rsidRPr="00E06B95">
              <w:rPr>
                <w:sz w:val="20"/>
                <w:lang w:val="fr-CA"/>
              </w:rPr>
              <w:t>(Juges Herauf, Ottenbreit et Whitmore)</w:t>
            </w:r>
          </w:p>
          <w:p w:rsidR="00303608" w:rsidRPr="00E06B95" w:rsidRDefault="00303608" w:rsidP="00E06B95">
            <w:pPr>
              <w:jc w:val="both"/>
              <w:rPr>
                <w:sz w:val="20"/>
                <w:lang w:val="fr-CA"/>
              </w:rPr>
            </w:pPr>
            <w:hyperlink r:id="rId29" w:history="1">
              <w:r w:rsidRPr="00E06B95">
                <w:rPr>
                  <w:rStyle w:val="Hyperlink"/>
                  <w:sz w:val="20"/>
                  <w:lang w:val="fr-CA"/>
                </w:rPr>
                <w:t>2016 SKCA 124</w:t>
              </w:r>
            </w:hyperlink>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Arrêt accueillant en partie l’appel des demandeurs et renvoyant l’affaire à la Cour du Banc de la Reine pour qu’elle tranche la demande pour le délit continu d’intrusion contre la Saskatchewan et contre Saskatchewan Power Corporation</w:t>
            </w:r>
          </w:p>
          <w:p w:rsidR="00303608" w:rsidRPr="00E06B95" w:rsidRDefault="00303608" w:rsidP="00E06B95">
            <w:pPr>
              <w:jc w:val="both"/>
              <w:rPr>
                <w:sz w:val="20"/>
                <w:lang w:val="fr-CA"/>
              </w:rPr>
            </w:pP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t>19 janvier 2017</w:t>
            </w:r>
          </w:p>
          <w:p w:rsidR="00303608" w:rsidRPr="00E06B95" w:rsidRDefault="00303608" w:rsidP="00E06B95">
            <w:pPr>
              <w:jc w:val="both"/>
              <w:rPr>
                <w:sz w:val="20"/>
                <w:lang w:val="fr-CA"/>
              </w:rPr>
            </w:pPr>
            <w:r w:rsidRPr="00E06B95">
              <w:rPr>
                <w:sz w:val="20"/>
                <w:lang w:val="fr-CA"/>
              </w:rPr>
              <w:t>Cour d’appel de la Saskatchewan</w:t>
            </w:r>
          </w:p>
          <w:p w:rsidR="00303608" w:rsidRPr="00E06B95" w:rsidRDefault="00303608" w:rsidP="00E06B95">
            <w:pPr>
              <w:jc w:val="both"/>
              <w:rPr>
                <w:sz w:val="20"/>
                <w:lang w:val="fr-CA"/>
              </w:rPr>
            </w:pPr>
            <w:r w:rsidRPr="00E06B95">
              <w:rPr>
                <w:sz w:val="20"/>
                <w:lang w:val="fr-CA"/>
              </w:rPr>
              <w:t>(Juges Herauf, Ottenbreit et Whitmore)</w:t>
            </w:r>
          </w:p>
          <w:p w:rsidR="00303608" w:rsidRPr="00E06B95" w:rsidRDefault="00303608" w:rsidP="00E06B95">
            <w:pPr>
              <w:jc w:val="both"/>
              <w:rPr>
                <w:sz w:val="20"/>
                <w:lang w:val="fr-CA"/>
              </w:rPr>
            </w:pPr>
            <w:hyperlink r:id="rId30" w:history="1">
              <w:r w:rsidRPr="00E06B95">
                <w:rPr>
                  <w:rStyle w:val="Hyperlink"/>
                  <w:sz w:val="20"/>
                  <w:lang w:val="fr-CA"/>
                </w:rPr>
                <w:t>2017 SKCA 5</w:t>
              </w:r>
            </w:hyperlink>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Rejet des demandes de nouvelle audience déposées par Peter Ballantyne Cree Nation et al. et par Saskatchewan Power Corporation</w:t>
            </w: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t>15 mars 2017</w:t>
            </w:r>
          </w:p>
          <w:p w:rsidR="00303608" w:rsidRPr="00E06B95" w:rsidRDefault="00303608" w:rsidP="00E06B95">
            <w:pPr>
              <w:jc w:val="both"/>
              <w:rPr>
                <w:sz w:val="20"/>
                <w:lang w:val="fr-CA"/>
              </w:rPr>
            </w:pPr>
            <w:r w:rsidRPr="00E06B95">
              <w:rPr>
                <w:sz w:val="20"/>
                <w:lang w:val="fr-CA"/>
              </w:rPr>
              <w:t>Cour suprême du Canada</w:t>
            </w:r>
          </w:p>
          <w:p w:rsidR="00303608" w:rsidRPr="00E06B95" w:rsidRDefault="00303608" w:rsidP="00E06B95">
            <w:pPr>
              <w:jc w:val="both"/>
              <w:rPr>
                <w:sz w:val="20"/>
                <w:lang w:val="fr-CA"/>
              </w:rPr>
            </w:pPr>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Dépôt de la demande d’autorisation d’appel par Peter Ballantyne Cree Nation et al.</w:t>
            </w: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t>17 mars 2017</w:t>
            </w:r>
          </w:p>
          <w:p w:rsidR="00303608" w:rsidRPr="00E06B95" w:rsidRDefault="00303608" w:rsidP="00E06B95">
            <w:pPr>
              <w:jc w:val="both"/>
              <w:rPr>
                <w:sz w:val="20"/>
                <w:lang w:val="fr-CA"/>
              </w:rPr>
            </w:pPr>
            <w:r w:rsidRPr="00E06B95">
              <w:rPr>
                <w:sz w:val="20"/>
                <w:lang w:val="fr-CA"/>
              </w:rPr>
              <w:t>Cour suprême du Canada</w:t>
            </w:r>
          </w:p>
          <w:p w:rsidR="00303608" w:rsidRPr="00E06B95" w:rsidRDefault="00303608" w:rsidP="00E06B95">
            <w:pPr>
              <w:jc w:val="both"/>
              <w:rPr>
                <w:sz w:val="20"/>
                <w:lang w:val="fr-CA"/>
              </w:rPr>
            </w:pPr>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tabs>
                <w:tab w:val="left" w:pos="449"/>
              </w:tabs>
              <w:jc w:val="both"/>
              <w:rPr>
                <w:sz w:val="20"/>
                <w:lang w:val="fr-CA"/>
              </w:rPr>
            </w:pPr>
            <w:r w:rsidRPr="00E06B95">
              <w:rPr>
                <w:sz w:val="20"/>
                <w:lang w:val="fr-CA"/>
              </w:rPr>
              <w:t>Dépôt de la demande d’autorisation d’appel par</w:t>
            </w:r>
            <w:r w:rsidR="00E06B95">
              <w:rPr>
                <w:sz w:val="20"/>
                <w:lang w:val="fr-CA"/>
              </w:rPr>
              <w:t xml:space="preserve"> Saskatchewan Power Corporation</w:t>
            </w: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lastRenderedPageBreak/>
              <w:t>17 mars 2017</w:t>
            </w:r>
          </w:p>
          <w:p w:rsidR="00303608" w:rsidRPr="00E06B95" w:rsidRDefault="00303608" w:rsidP="00E06B95">
            <w:pPr>
              <w:jc w:val="both"/>
              <w:rPr>
                <w:sz w:val="20"/>
                <w:lang w:val="fr-CA"/>
              </w:rPr>
            </w:pPr>
            <w:r w:rsidRPr="00E06B95">
              <w:rPr>
                <w:sz w:val="20"/>
                <w:lang w:val="fr-CA"/>
              </w:rPr>
              <w:t>Cour suprême du Canada</w:t>
            </w:r>
          </w:p>
          <w:p w:rsidR="00303608" w:rsidRPr="00E06B95" w:rsidRDefault="00303608" w:rsidP="00E06B95">
            <w:pPr>
              <w:jc w:val="both"/>
              <w:rPr>
                <w:sz w:val="20"/>
                <w:lang w:val="fr-CA"/>
              </w:rPr>
            </w:pPr>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Dépôt de la demande d’autorisation d’appel par le gouvernement de la Saskatchewan</w:t>
            </w: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t>5 mai 2017</w:t>
            </w:r>
          </w:p>
          <w:p w:rsidR="00303608" w:rsidRPr="00E06B95" w:rsidRDefault="00303608" w:rsidP="00E06B95">
            <w:pPr>
              <w:jc w:val="both"/>
              <w:rPr>
                <w:sz w:val="20"/>
                <w:lang w:val="fr-CA"/>
              </w:rPr>
            </w:pPr>
            <w:r w:rsidRPr="00E06B95">
              <w:rPr>
                <w:sz w:val="20"/>
                <w:lang w:val="fr-CA"/>
              </w:rPr>
              <w:t>Cour suprême du Canada</w:t>
            </w:r>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Dépôt de la requête en prorogation du délai de signification et de dépôt de la réponse par Hudson</w:t>
            </w:r>
          </w:p>
        </w:tc>
      </w:tr>
    </w:tbl>
    <w:p w:rsidR="00303608" w:rsidRPr="00E06B95" w:rsidRDefault="00303608" w:rsidP="00E06B95">
      <w:pPr>
        <w:jc w:val="both"/>
        <w:rPr>
          <w:sz w:val="20"/>
          <w:lang w:val="fr-CA"/>
        </w:rPr>
      </w:pPr>
    </w:p>
    <w:p w:rsidR="00A95728" w:rsidRPr="00E06B95" w:rsidRDefault="00A95728" w:rsidP="00E06B95">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3608" w:rsidRPr="00E06B95" w:rsidTr="00E95A6A">
        <w:tc>
          <w:tcPr>
            <w:tcW w:w="543" w:type="pct"/>
          </w:tcPr>
          <w:p w:rsidR="00303608" w:rsidRPr="00E06B95" w:rsidRDefault="00303608" w:rsidP="00E06B95">
            <w:pPr>
              <w:jc w:val="both"/>
              <w:rPr>
                <w:sz w:val="20"/>
              </w:rPr>
            </w:pPr>
            <w:r w:rsidRPr="00E06B95">
              <w:rPr>
                <w:rStyle w:val="SCCFileNumberChar"/>
                <w:sz w:val="20"/>
                <w:szCs w:val="20"/>
              </w:rPr>
              <w:t>37277</w:t>
            </w:r>
          </w:p>
        </w:tc>
        <w:tc>
          <w:tcPr>
            <w:tcW w:w="4457" w:type="pct"/>
            <w:gridSpan w:val="3"/>
          </w:tcPr>
          <w:p w:rsidR="00303608" w:rsidRPr="00E06B95" w:rsidRDefault="00303608" w:rsidP="00E06B95">
            <w:pPr>
              <w:pStyle w:val="SCCLsocParty"/>
              <w:jc w:val="both"/>
              <w:rPr>
                <w:b/>
                <w:sz w:val="20"/>
                <w:szCs w:val="20"/>
                <w:lang w:val="en-US"/>
              </w:rPr>
            </w:pPr>
            <w:r w:rsidRPr="00E06B95">
              <w:rPr>
                <w:b/>
                <w:sz w:val="20"/>
                <w:szCs w:val="20"/>
                <w:lang w:val="en-US"/>
              </w:rPr>
              <w:t xml:space="preserve">Chief John </w:t>
            </w:r>
            <w:proofErr w:type="spellStart"/>
            <w:r w:rsidRPr="00E06B95">
              <w:rPr>
                <w:b/>
                <w:sz w:val="20"/>
                <w:szCs w:val="20"/>
                <w:lang w:val="en-US"/>
              </w:rPr>
              <w:t>Ermineskin</w:t>
            </w:r>
            <w:proofErr w:type="spellEnd"/>
            <w:r w:rsidRPr="00E06B95">
              <w:rPr>
                <w:b/>
                <w:sz w:val="20"/>
                <w:szCs w:val="20"/>
                <w:lang w:val="en-US"/>
              </w:rPr>
              <w:t xml:space="preserve">, Lawrence Wildcat, Gordon Lee, Art </w:t>
            </w:r>
            <w:proofErr w:type="spellStart"/>
            <w:r w:rsidRPr="00E06B95">
              <w:rPr>
                <w:b/>
                <w:sz w:val="20"/>
                <w:szCs w:val="20"/>
                <w:lang w:val="en-US"/>
              </w:rPr>
              <w:t>Littlechild</w:t>
            </w:r>
            <w:proofErr w:type="spellEnd"/>
            <w:r w:rsidRPr="00E06B95">
              <w:rPr>
                <w:b/>
                <w:sz w:val="20"/>
                <w:szCs w:val="20"/>
                <w:lang w:val="en-US"/>
              </w:rPr>
              <w:t xml:space="preserve">, Maurice Wolfe, Curtis </w:t>
            </w:r>
            <w:proofErr w:type="spellStart"/>
            <w:r w:rsidRPr="00E06B95">
              <w:rPr>
                <w:b/>
                <w:sz w:val="20"/>
                <w:szCs w:val="20"/>
                <w:lang w:val="en-US"/>
              </w:rPr>
              <w:t>Ermineskin</w:t>
            </w:r>
            <w:proofErr w:type="spellEnd"/>
            <w:r w:rsidRPr="00E06B95">
              <w:rPr>
                <w:b/>
                <w:sz w:val="20"/>
                <w:szCs w:val="20"/>
                <w:lang w:val="en-US"/>
              </w:rPr>
              <w:t xml:space="preserve">, Gerry </w:t>
            </w:r>
            <w:proofErr w:type="spellStart"/>
            <w:r w:rsidRPr="00E06B95">
              <w:rPr>
                <w:b/>
                <w:sz w:val="20"/>
                <w:szCs w:val="20"/>
                <w:lang w:val="en-US"/>
              </w:rPr>
              <w:t>Ermineskin</w:t>
            </w:r>
            <w:proofErr w:type="spellEnd"/>
            <w:r w:rsidRPr="00E06B95">
              <w:rPr>
                <w:b/>
                <w:sz w:val="20"/>
                <w:szCs w:val="20"/>
                <w:lang w:val="en-US"/>
              </w:rPr>
              <w:t xml:space="preserve">, Earl </w:t>
            </w:r>
            <w:proofErr w:type="spellStart"/>
            <w:r w:rsidRPr="00E06B95">
              <w:rPr>
                <w:b/>
                <w:sz w:val="20"/>
                <w:szCs w:val="20"/>
                <w:lang w:val="en-US"/>
              </w:rPr>
              <w:t>Ermineskin</w:t>
            </w:r>
            <w:proofErr w:type="spellEnd"/>
            <w:r w:rsidRPr="00E06B95">
              <w:rPr>
                <w:b/>
                <w:sz w:val="20"/>
                <w:szCs w:val="20"/>
                <w:lang w:val="en-US"/>
              </w:rPr>
              <w:t xml:space="preserve">, Rick Wolfe, Ken </w:t>
            </w:r>
            <w:proofErr w:type="spellStart"/>
            <w:r w:rsidRPr="00E06B95">
              <w:rPr>
                <w:b/>
                <w:sz w:val="20"/>
                <w:szCs w:val="20"/>
                <w:lang w:val="en-US"/>
              </w:rPr>
              <w:t>Cutarm</w:t>
            </w:r>
            <w:proofErr w:type="spellEnd"/>
            <w:r w:rsidRPr="00E06B95">
              <w:rPr>
                <w:b/>
                <w:sz w:val="20"/>
                <w:szCs w:val="20"/>
                <w:lang w:val="en-US"/>
              </w:rPr>
              <w:t xml:space="preserve">, Brian Lee, elected Chief and </w:t>
            </w:r>
            <w:proofErr w:type="spellStart"/>
            <w:r w:rsidRPr="00E06B95">
              <w:rPr>
                <w:b/>
                <w:sz w:val="20"/>
                <w:szCs w:val="20"/>
                <w:lang w:val="en-US"/>
              </w:rPr>
              <w:t>Councillors</w:t>
            </w:r>
            <w:proofErr w:type="spellEnd"/>
            <w:r w:rsidRPr="00E06B95">
              <w:rPr>
                <w:b/>
                <w:sz w:val="20"/>
                <w:szCs w:val="20"/>
                <w:lang w:val="en-US"/>
              </w:rPr>
              <w:t xml:space="preserve"> of the </w:t>
            </w:r>
            <w:proofErr w:type="spellStart"/>
            <w:r w:rsidRPr="00E06B95">
              <w:rPr>
                <w:b/>
                <w:sz w:val="20"/>
                <w:szCs w:val="20"/>
                <w:lang w:val="en-US"/>
              </w:rPr>
              <w:t>Ermeineskin</w:t>
            </w:r>
            <w:proofErr w:type="spellEnd"/>
            <w:r w:rsidRPr="00E06B95">
              <w:rPr>
                <w:b/>
                <w:sz w:val="20"/>
                <w:szCs w:val="20"/>
                <w:lang w:val="en-US"/>
              </w:rPr>
              <w:t xml:space="preserve"> Indian Band and Nation suing on their own behalf and on behalf of all the other members of the </w:t>
            </w:r>
            <w:proofErr w:type="spellStart"/>
            <w:r w:rsidRPr="00E06B95">
              <w:rPr>
                <w:b/>
                <w:sz w:val="20"/>
                <w:szCs w:val="20"/>
                <w:lang w:val="en-US"/>
              </w:rPr>
              <w:t>Ermineskin</w:t>
            </w:r>
            <w:proofErr w:type="spellEnd"/>
            <w:r w:rsidRPr="00E06B95">
              <w:rPr>
                <w:b/>
                <w:sz w:val="20"/>
                <w:szCs w:val="20"/>
                <w:lang w:val="en-US"/>
              </w:rPr>
              <w:t xml:space="preserve"> Indian Band and Nation v. Her Majesty the Queen in Right of Canada, Minister of Indian Affairs and Northern Development and Minister of Finance</w:t>
            </w:r>
          </w:p>
          <w:p w:rsidR="00303608" w:rsidRPr="00E06B95" w:rsidRDefault="00303608" w:rsidP="00E06B95">
            <w:pPr>
              <w:pStyle w:val="SCCLsocOtherPartySeparator"/>
              <w:rPr>
                <w:sz w:val="20"/>
                <w:szCs w:val="20"/>
              </w:rPr>
            </w:pPr>
            <w:r w:rsidRPr="00E06B95">
              <w:rPr>
                <w:sz w:val="20"/>
                <w:szCs w:val="20"/>
              </w:rPr>
              <w:t>- and -</w:t>
            </w:r>
          </w:p>
          <w:p w:rsidR="00303608" w:rsidRPr="00E06B95" w:rsidRDefault="00303608" w:rsidP="00E06B95">
            <w:pPr>
              <w:pStyle w:val="SCCLsocParty"/>
              <w:jc w:val="both"/>
              <w:rPr>
                <w:b/>
                <w:sz w:val="20"/>
                <w:szCs w:val="20"/>
                <w:lang w:val="en-US"/>
              </w:rPr>
            </w:pPr>
            <w:r w:rsidRPr="00E06B95">
              <w:rPr>
                <w:b/>
                <w:sz w:val="20"/>
                <w:szCs w:val="20"/>
                <w:lang w:val="en-US"/>
              </w:rPr>
              <w:t>Attorney General of Alberta</w:t>
            </w:r>
          </w:p>
          <w:p w:rsidR="00303608" w:rsidRPr="00E06B95" w:rsidRDefault="00303608" w:rsidP="00E06B95">
            <w:pPr>
              <w:jc w:val="both"/>
              <w:rPr>
                <w:sz w:val="20"/>
              </w:rPr>
            </w:pPr>
            <w:r w:rsidRPr="00E06B95">
              <w:rPr>
                <w:sz w:val="20"/>
              </w:rPr>
              <w:t>(FC) (Civil) (By Leave)</w:t>
            </w:r>
          </w:p>
        </w:tc>
      </w:tr>
      <w:tr w:rsidR="00303608" w:rsidRPr="00E06B95" w:rsidTr="00E95A6A">
        <w:tc>
          <w:tcPr>
            <w:tcW w:w="5000" w:type="pct"/>
            <w:gridSpan w:val="4"/>
          </w:tcPr>
          <w:p w:rsidR="00303608" w:rsidRPr="00E06B95" w:rsidRDefault="00303608" w:rsidP="00E06B95">
            <w:pPr>
              <w:jc w:val="both"/>
              <w:rPr>
                <w:sz w:val="20"/>
              </w:rPr>
            </w:pPr>
            <w:r w:rsidRPr="00E06B95">
              <w:rPr>
                <w:sz w:val="20"/>
              </w:rPr>
              <w:t xml:space="preserve">Constitutional law — Aboriginal law — Treaty rights — Limitation of actions — First Nation suing Crown for infringement of treaty rights and breaches of fiduciary duties with respect to oil and gas royalties — Courts below granting Crown’s motion for summary judgment and dismissing claim as being statute-barred — Provincial limitation periods incorporated by reference into federal law and applicable to treaty claims — Whether this Court ought to be taken as having ruled on the constitutional applicability or validity of limitation statutes in cases where no constitutional issue has been properly brought before the Court — Whether limitations statutes are subject to challenge under section 35 of the </w:t>
            </w:r>
            <w:r w:rsidRPr="00E06B95">
              <w:rPr>
                <w:i/>
                <w:sz w:val="20"/>
              </w:rPr>
              <w:t xml:space="preserve">Constitution Act, 1982 </w:t>
            </w:r>
            <w:r w:rsidRPr="00E06B95">
              <w:rPr>
                <w:sz w:val="20"/>
              </w:rPr>
              <w:t xml:space="preserve">— Whether the constitutional protection accorded to aboriginal treaty promises carries with it a constitutionally protected right to enforce the Crown’s promise which is </w:t>
            </w:r>
            <w:r w:rsidRPr="00E06B95">
              <w:rPr>
                <w:i/>
                <w:sz w:val="20"/>
              </w:rPr>
              <w:t>prima facie</w:t>
            </w:r>
            <w:r w:rsidRPr="00E06B95">
              <w:rPr>
                <w:sz w:val="20"/>
              </w:rPr>
              <w:t xml:space="preserve"> infringed by limitations statutes — What should be the approach to justification of a </w:t>
            </w:r>
            <w:r w:rsidRPr="00E06B95">
              <w:rPr>
                <w:i/>
                <w:sz w:val="20"/>
              </w:rPr>
              <w:t>prima facie</w:t>
            </w:r>
            <w:r w:rsidRPr="00E06B95">
              <w:rPr>
                <w:sz w:val="20"/>
              </w:rPr>
              <w:t xml:space="preserve"> infringement in the context of a challenge to a limitations statute — When, if ever, it is appropriate to decide constitutional issues by way of summary judgement — </w:t>
            </w:r>
            <w:r w:rsidRPr="00E06B95">
              <w:rPr>
                <w:i/>
                <w:sz w:val="20"/>
              </w:rPr>
              <w:t>Federal Courts Act</w:t>
            </w:r>
            <w:r w:rsidRPr="00E06B95">
              <w:rPr>
                <w:sz w:val="20"/>
              </w:rPr>
              <w:t xml:space="preserve">, R.S.C. 1985, c. F-7, s. 39 — </w:t>
            </w:r>
            <w:r w:rsidRPr="00E06B95">
              <w:rPr>
                <w:i/>
                <w:sz w:val="20"/>
              </w:rPr>
              <w:t>Indian Oil and Gas Act</w:t>
            </w:r>
            <w:r w:rsidRPr="00E06B95">
              <w:rPr>
                <w:sz w:val="20"/>
              </w:rPr>
              <w:t xml:space="preserve">, R.S.C. 1985, c. I-7, s. 4 — </w:t>
            </w:r>
            <w:r w:rsidRPr="00E06B95">
              <w:rPr>
                <w:i/>
                <w:sz w:val="20"/>
              </w:rPr>
              <w:t>Limitation of Actions Act</w:t>
            </w:r>
            <w:r w:rsidRPr="00E06B95">
              <w:rPr>
                <w:sz w:val="20"/>
              </w:rPr>
              <w:t xml:space="preserve">, R.S.A. 1980, c. L-15, s. 4(1) — </w:t>
            </w:r>
            <w:r w:rsidRPr="00E06B95">
              <w:rPr>
                <w:i/>
                <w:sz w:val="20"/>
              </w:rPr>
              <w:t>Constitution Act, 1982</w:t>
            </w:r>
            <w:r w:rsidRPr="00E06B95">
              <w:rPr>
                <w:sz w:val="20"/>
              </w:rPr>
              <w:t>, s. 35</w:t>
            </w:r>
          </w:p>
        </w:tc>
      </w:tr>
      <w:tr w:rsidR="00303608" w:rsidRPr="00E06B95" w:rsidTr="00E95A6A">
        <w:tc>
          <w:tcPr>
            <w:tcW w:w="5000" w:type="pct"/>
            <w:gridSpan w:val="4"/>
          </w:tcPr>
          <w:p w:rsidR="00303608" w:rsidRPr="00E06B95" w:rsidRDefault="00303608" w:rsidP="00E06B95">
            <w:pPr>
              <w:jc w:val="both"/>
              <w:rPr>
                <w:sz w:val="20"/>
              </w:rPr>
            </w:pPr>
          </w:p>
        </w:tc>
      </w:tr>
      <w:tr w:rsidR="00303608" w:rsidRPr="00E06B95" w:rsidTr="00E95A6A">
        <w:tc>
          <w:tcPr>
            <w:tcW w:w="5000" w:type="pct"/>
            <w:gridSpan w:val="4"/>
          </w:tcPr>
          <w:p w:rsidR="00303608" w:rsidRPr="00E06B95" w:rsidRDefault="00303608" w:rsidP="00E06B95">
            <w:pPr>
              <w:jc w:val="both"/>
              <w:rPr>
                <w:sz w:val="20"/>
              </w:rPr>
            </w:pPr>
            <w:r w:rsidRPr="00E06B95">
              <w:rPr>
                <w:sz w:val="20"/>
              </w:rPr>
              <w:t>In 1946, the applicant First Nation surrendered their mineral interests in their reserve to the Crown, which permitted the Crown to grant leases to oil and gas companies, who then paid royalties to the Crown in trust for the First Nation. In 1973, Canada developed a national strategy to deal with the effects of rapidly rising international oil prices, including the implementation of an export tax (and later, an export charge) on oil export sales. The tax or charge was levied on any exported oil produced on the reserve between 1973 and 1985. In 1992, the First Nation brought an action in Federal Court asserting a number of claims against Canada arising out of these facts, alleging that the regulated price regime constituted, among other things, a breach of the Crown’s trust and fiduciary duties, as well as infringements of treaty rights and obligations. The federal Crown brought a motion for summary judgment, seeking the dismissal of the claim as being time-barred by a six-year statutory limitation period.</w:t>
            </w:r>
          </w:p>
          <w:p w:rsidR="00303608" w:rsidRPr="00E06B95" w:rsidRDefault="00303608" w:rsidP="00E06B95">
            <w:pPr>
              <w:jc w:val="both"/>
              <w:rPr>
                <w:sz w:val="20"/>
              </w:rPr>
            </w:pPr>
          </w:p>
          <w:p w:rsidR="00303608" w:rsidRPr="00E06B95" w:rsidRDefault="00303608" w:rsidP="00E06B95">
            <w:pPr>
              <w:jc w:val="both"/>
              <w:rPr>
                <w:sz w:val="20"/>
              </w:rPr>
            </w:pPr>
            <w:r w:rsidRPr="00E06B95">
              <w:rPr>
                <w:sz w:val="20"/>
              </w:rPr>
              <w:t>The Federal Court granted the Crown’s motion for summary judgment against the First Nation, on the basis that their claim raised no triable issue in light of the application of statutory limitation periods. A majority of the Federal Court of Appeal dismissed the First Nation’s appeal, finding no error in the Federal Court’s reasoning and decision. In the Court of Appeal’s view, the motions judge properly applied the existing jurisprudence which confirms that limitation periods are applicable to all Aboriginal claims, including those based on infringements of treaty rights.</w:t>
            </w:r>
          </w:p>
          <w:p w:rsidR="00303608" w:rsidRPr="00E06B95" w:rsidRDefault="00303608" w:rsidP="00E06B95">
            <w:pPr>
              <w:jc w:val="both"/>
              <w:rPr>
                <w:sz w:val="20"/>
              </w:rPr>
            </w:pPr>
          </w:p>
        </w:tc>
      </w:tr>
      <w:tr w:rsidR="00303608" w:rsidRPr="00E06B95" w:rsidTr="00E95A6A">
        <w:tc>
          <w:tcPr>
            <w:tcW w:w="2427" w:type="pct"/>
            <w:gridSpan w:val="2"/>
          </w:tcPr>
          <w:p w:rsidR="00303608" w:rsidRPr="00E06B95" w:rsidRDefault="00303608" w:rsidP="00E06B95">
            <w:pPr>
              <w:jc w:val="both"/>
              <w:rPr>
                <w:sz w:val="20"/>
              </w:rPr>
            </w:pPr>
            <w:r w:rsidRPr="00E06B95">
              <w:rPr>
                <w:sz w:val="20"/>
              </w:rPr>
              <w:t>July 9, 2015</w:t>
            </w:r>
          </w:p>
          <w:p w:rsidR="00303608" w:rsidRPr="00E06B95" w:rsidRDefault="00303608" w:rsidP="00E06B95">
            <w:pPr>
              <w:jc w:val="both"/>
              <w:rPr>
                <w:sz w:val="20"/>
              </w:rPr>
            </w:pPr>
            <w:r w:rsidRPr="00E06B95">
              <w:rPr>
                <w:sz w:val="20"/>
              </w:rPr>
              <w:t>Federal Court (Russell, J.)</w:t>
            </w:r>
          </w:p>
          <w:p w:rsidR="00303608" w:rsidRPr="00E06B95" w:rsidRDefault="00303608" w:rsidP="00E06B95">
            <w:pPr>
              <w:jc w:val="both"/>
              <w:rPr>
                <w:sz w:val="20"/>
              </w:rPr>
            </w:pPr>
            <w:hyperlink r:id="rId31" w:history="1">
              <w:r w:rsidRPr="00E06B95">
                <w:rPr>
                  <w:rStyle w:val="Hyperlink"/>
                  <w:sz w:val="20"/>
                </w:rPr>
                <w:t>2015 FC 836</w:t>
              </w:r>
            </w:hyperlink>
            <w:r w:rsidRPr="00E06B95">
              <w:rPr>
                <w:sz w:val="20"/>
              </w:rPr>
              <w:t xml:space="preserve"> </w:t>
            </w:r>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Crown’s motion for summary judgment granted; plaintiff’s claim dismissed as being statute-barred</w:t>
            </w:r>
          </w:p>
        </w:tc>
      </w:tr>
      <w:tr w:rsidR="00303608" w:rsidRPr="00E06B95" w:rsidTr="00E95A6A">
        <w:tc>
          <w:tcPr>
            <w:tcW w:w="2427" w:type="pct"/>
            <w:gridSpan w:val="2"/>
          </w:tcPr>
          <w:p w:rsidR="00303608" w:rsidRPr="00E06B95" w:rsidRDefault="00303608" w:rsidP="00E06B95">
            <w:pPr>
              <w:jc w:val="both"/>
              <w:rPr>
                <w:sz w:val="20"/>
              </w:rPr>
            </w:pPr>
            <w:r w:rsidRPr="00E06B95">
              <w:rPr>
                <w:sz w:val="20"/>
              </w:rPr>
              <w:t>September 8, 2016</w:t>
            </w:r>
          </w:p>
          <w:p w:rsidR="00303608" w:rsidRPr="00E06B95" w:rsidRDefault="00303608" w:rsidP="00E06B95">
            <w:pPr>
              <w:jc w:val="both"/>
              <w:rPr>
                <w:sz w:val="20"/>
              </w:rPr>
            </w:pPr>
            <w:r w:rsidRPr="00E06B95">
              <w:rPr>
                <w:sz w:val="20"/>
              </w:rPr>
              <w:t>Federal Court of Appeal</w:t>
            </w:r>
          </w:p>
          <w:p w:rsidR="00303608" w:rsidRPr="00E06B95" w:rsidRDefault="00303608" w:rsidP="00E06B95">
            <w:pPr>
              <w:jc w:val="both"/>
              <w:rPr>
                <w:sz w:val="20"/>
              </w:rPr>
            </w:pPr>
            <w:r w:rsidRPr="00E06B95">
              <w:rPr>
                <w:sz w:val="20"/>
              </w:rPr>
              <w:lastRenderedPageBreak/>
              <w:t>(</w:t>
            </w:r>
            <w:proofErr w:type="spellStart"/>
            <w:r w:rsidRPr="00E06B95">
              <w:rPr>
                <w:sz w:val="20"/>
              </w:rPr>
              <w:t>Nadon</w:t>
            </w:r>
            <w:proofErr w:type="spellEnd"/>
            <w:r w:rsidRPr="00E06B95">
              <w:rPr>
                <w:sz w:val="20"/>
              </w:rPr>
              <w:t xml:space="preserve"> and Dawson JJ.A., and Webb J.A. </w:t>
            </w:r>
          </w:p>
          <w:p w:rsidR="00303608" w:rsidRPr="00E06B95" w:rsidRDefault="00303608" w:rsidP="00E06B95">
            <w:pPr>
              <w:jc w:val="both"/>
              <w:rPr>
                <w:sz w:val="20"/>
              </w:rPr>
            </w:pPr>
            <w:r w:rsidRPr="00E06B95">
              <w:rPr>
                <w:sz w:val="20"/>
              </w:rPr>
              <w:t>[dissenting in part])</w:t>
            </w:r>
          </w:p>
          <w:p w:rsidR="00303608" w:rsidRPr="00E06B95" w:rsidRDefault="00303608" w:rsidP="00E06B95">
            <w:pPr>
              <w:jc w:val="both"/>
              <w:rPr>
                <w:sz w:val="20"/>
              </w:rPr>
            </w:pPr>
            <w:hyperlink r:id="rId32" w:history="1">
              <w:r w:rsidRPr="00E06B95">
                <w:rPr>
                  <w:rStyle w:val="Hyperlink"/>
                  <w:sz w:val="20"/>
                </w:rPr>
                <w:t>2016 FCA 223</w:t>
              </w:r>
            </w:hyperlink>
            <w:r w:rsidRPr="00E06B95">
              <w:rPr>
                <w:sz w:val="20"/>
              </w:rPr>
              <w:t xml:space="preserve"> </w:t>
            </w:r>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Plaintiff’s appeal dismissed</w:t>
            </w:r>
          </w:p>
        </w:tc>
      </w:tr>
      <w:tr w:rsidR="00303608" w:rsidRPr="00E06B95" w:rsidTr="00E95A6A">
        <w:tc>
          <w:tcPr>
            <w:tcW w:w="2427" w:type="pct"/>
            <w:gridSpan w:val="2"/>
          </w:tcPr>
          <w:p w:rsidR="00303608" w:rsidRPr="00E06B95" w:rsidRDefault="00303608" w:rsidP="00E06B95">
            <w:pPr>
              <w:jc w:val="both"/>
              <w:rPr>
                <w:sz w:val="20"/>
              </w:rPr>
            </w:pPr>
            <w:r w:rsidRPr="00E06B95">
              <w:rPr>
                <w:sz w:val="20"/>
              </w:rPr>
              <w:lastRenderedPageBreak/>
              <w:t>November 4, 2016</w:t>
            </w:r>
          </w:p>
          <w:p w:rsidR="00303608" w:rsidRPr="00E06B95" w:rsidRDefault="00303608" w:rsidP="00E06B95">
            <w:pPr>
              <w:jc w:val="both"/>
              <w:rPr>
                <w:sz w:val="20"/>
              </w:rPr>
            </w:pPr>
            <w:r w:rsidRPr="00E06B95">
              <w:rPr>
                <w:sz w:val="20"/>
              </w:rPr>
              <w:t>Supreme Court of Canada</w:t>
            </w: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Application for leave to appeal filed by plaintiff</w:t>
            </w:r>
          </w:p>
        </w:tc>
      </w:tr>
    </w:tbl>
    <w:p w:rsidR="00303608" w:rsidRDefault="00303608" w:rsidP="00E06B95">
      <w:pPr>
        <w:jc w:val="both"/>
        <w:rPr>
          <w:sz w:val="20"/>
        </w:rPr>
      </w:pPr>
    </w:p>
    <w:p w:rsidR="00E06B95" w:rsidRPr="00E06B95" w:rsidRDefault="00E06B95" w:rsidP="00E06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3608" w:rsidRPr="00E06B95" w:rsidTr="00E95A6A">
        <w:tc>
          <w:tcPr>
            <w:tcW w:w="543" w:type="pct"/>
          </w:tcPr>
          <w:p w:rsidR="00303608" w:rsidRPr="00E06B95" w:rsidRDefault="00303608" w:rsidP="00E06B95">
            <w:pPr>
              <w:jc w:val="both"/>
              <w:rPr>
                <w:sz w:val="20"/>
                <w:lang w:val="fr-CA"/>
              </w:rPr>
            </w:pPr>
            <w:r w:rsidRPr="00E06B95">
              <w:rPr>
                <w:rStyle w:val="SCCFileNumberChar"/>
                <w:sz w:val="20"/>
                <w:szCs w:val="20"/>
                <w:lang w:val="fr-CA"/>
              </w:rPr>
              <w:t>37277</w:t>
            </w:r>
          </w:p>
        </w:tc>
        <w:tc>
          <w:tcPr>
            <w:tcW w:w="4457" w:type="pct"/>
            <w:gridSpan w:val="3"/>
          </w:tcPr>
          <w:p w:rsidR="00303608" w:rsidRPr="00E06B95" w:rsidRDefault="00303608" w:rsidP="00E06B95">
            <w:pPr>
              <w:pStyle w:val="SCCLsocParty"/>
              <w:jc w:val="both"/>
              <w:rPr>
                <w:b/>
                <w:sz w:val="20"/>
                <w:szCs w:val="20"/>
              </w:rPr>
            </w:pPr>
            <w:r w:rsidRPr="00E06B95">
              <w:rPr>
                <w:b/>
                <w:sz w:val="20"/>
                <w:szCs w:val="20"/>
              </w:rPr>
              <w:t>Chef John </w:t>
            </w:r>
            <w:proofErr w:type="spellStart"/>
            <w:r w:rsidRPr="00E06B95">
              <w:rPr>
                <w:b/>
                <w:sz w:val="20"/>
                <w:szCs w:val="20"/>
              </w:rPr>
              <w:t>Ermineskin</w:t>
            </w:r>
            <w:proofErr w:type="spellEnd"/>
            <w:r w:rsidRPr="00E06B95">
              <w:rPr>
                <w:b/>
                <w:sz w:val="20"/>
                <w:szCs w:val="20"/>
              </w:rPr>
              <w:t xml:space="preserve">, Lawrence </w:t>
            </w:r>
            <w:proofErr w:type="spellStart"/>
            <w:r w:rsidRPr="00E06B95">
              <w:rPr>
                <w:b/>
                <w:sz w:val="20"/>
                <w:szCs w:val="20"/>
              </w:rPr>
              <w:t>Wildcat</w:t>
            </w:r>
            <w:proofErr w:type="spellEnd"/>
            <w:r w:rsidRPr="00E06B95">
              <w:rPr>
                <w:b/>
                <w:sz w:val="20"/>
                <w:szCs w:val="20"/>
              </w:rPr>
              <w:t>, Gordon Lee, Art Littlechild, Maurice Wolfe, Curtis Ermineskin, Gerry Ermineskin, Earl Ermineskin, Rick Wolfe, Ken Cutarm, Brian Lee, le chef et les conseillers élus de la bande et nation indiennes d’Ermeineskin, en leur nom et en celui de tous les autres membres de la bande et nation indiennes d’</w:t>
            </w:r>
            <w:proofErr w:type="spellStart"/>
            <w:r w:rsidRPr="00E06B95">
              <w:rPr>
                <w:b/>
                <w:sz w:val="20"/>
                <w:szCs w:val="20"/>
              </w:rPr>
              <w:t>Ermineskin</w:t>
            </w:r>
            <w:proofErr w:type="spellEnd"/>
            <w:r w:rsidRPr="00E06B95">
              <w:rPr>
                <w:b/>
                <w:sz w:val="20"/>
                <w:szCs w:val="20"/>
              </w:rPr>
              <w:t xml:space="preserve"> c. Sa Majesté la Reine du chef du Canada, ministre des Affaires indiennes et du Nord canadien et ministre des Finances </w:t>
            </w:r>
          </w:p>
          <w:p w:rsidR="00303608" w:rsidRPr="00E06B95" w:rsidRDefault="00303608" w:rsidP="00E06B95">
            <w:pPr>
              <w:pStyle w:val="SCCLsocParty"/>
              <w:jc w:val="both"/>
              <w:rPr>
                <w:b/>
                <w:sz w:val="20"/>
                <w:szCs w:val="20"/>
              </w:rPr>
            </w:pPr>
            <w:r w:rsidRPr="00E06B95">
              <w:rPr>
                <w:b/>
                <w:sz w:val="20"/>
                <w:szCs w:val="20"/>
              </w:rPr>
              <w:t>- et –</w:t>
            </w:r>
          </w:p>
          <w:p w:rsidR="00303608" w:rsidRPr="00E06B95" w:rsidRDefault="00303608" w:rsidP="00E06B95">
            <w:pPr>
              <w:pStyle w:val="SCCLsocParty"/>
              <w:jc w:val="both"/>
              <w:rPr>
                <w:b/>
                <w:sz w:val="20"/>
                <w:szCs w:val="20"/>
              </w:rPr>
            </w:pPr>
            <w:r w:rsidRPr="00E06B95">
              <w:rPr>
                <w:b/>
                <w:sz w:val="20"/>
                <w:szCs w:val="20"/>
              </w:rPr>
              <w:t>Procureur général de l’Alberta</w:t>
            </w:r>
          </w:p>
          <w:p w:rsidR="00303608" w:rsidRPr="00E06B95" w:rsidRDefault="00303608" w:rsidP="00E06B95">
            <w:pPr>
              <w:jc w:val="both"/>
              <w:rPr>
                <w:sz w:val="20"/>
                <w:lang w:val="fr-CA"/>
              </w:rPr>
            </w:pPr>
            <w:r w:rsidRPr="00E06B95">
              <w:rPr>
                <w:sz w:val="20"/>
                <w:lang w:val="fr-CA"/>
              </w:rPr>
              <w:t>(CF) (Civile) (Sur autorisation)</w:t>
            </w:r>
          </w:p>
        </w:tc>
      </w:tr>
      <w:tr w:rsidR="00303608" w:rsidRPr="00E06B95" w:rsidTr="00E95A6A">
        <w:tc>
          <w:tcPr>
            <w:tcW w:w="5000" w:type="pct"/>
            <w:gridSpan w:val="4"/>
          </w:tcPr>
          <w:p w:rsidR="00303608" w:rsidRPr="00E06B95" w:rsidRDefault="00303608" w:rsidP="00E06B95">
            <w:pPr>
              <w:jc w:val="both"/>
              <w:rPr>
                <w:sz w:val="20"/>
                <w:lang w:val="fr-CA"/>
              </w:rPr>
            </w:pPr>
            <w:r w:rsidRPr="00E06B95">
              <w:rPr>
                <w:sz w:val="20"/>
                <w:lang w:val="fr-CA"/>
              </w:rPr>
              <w:t xml:space="preserve">Droit constitutionnel — Droit des Autochtones — Droits issus de traités — Prescription — Action intentée par une Première Nation contre la Couronne pour violation de droits issus de traités et manquements à des obligations fiduciaires à l’égard de redevances pétrolières et gazières — Les juridictions inférieures ont accueilli la requête en jugement sommaire de la Couronne et rejeté la réclamation au motif qu’elle était prescrite — Délais de prescription provinciaux incorporés par renvoi au droit fédéral et applicables aux revendications fondées sur des droits issus de traités — Y </w:t>
            </w:r>
            <w:proofErr w:type="spellStart"/>
            <w:r w:rsidRPr="00E06B95">
              <w:rPr>
                <w:sz w:val="20"/>
                <w:lang w:val="fr-CA"/>
              </w:rPr>
              <w:t>a-t-il</w:t>
            </w:r>
            <w:proofErr w:type="spellEnd"/>
            <w:r w:rsidRPr="00E06B95">
              <w:rPr>
                <w:sz w:val="20"/>
                <w:lang w:val="fr-CA"/>
              </w:rPr>
              <w:t xml:space="preserve"> lieu de présumer que notre Cour s’est prononcée sur l’applicabilité ou la validité constitutionnelle des lois sur la prescription dans les cas où aucune question constitutionnelle n’a été soulevée en bonne et due forme devant elle? — Les lois sur la prescription peuvent-elles être contestées au titre de l’article 35 de la </w:t>
            </w:r>
            <w:r w:rsidRPr="00E06B95">
              <w:rPr>
                <w:i/>
                <w:sz w:val="20"/>
                <w:lang w:val="fr-CA"/>
              </w:rPr>
              <w:t>Loi constitutionnelle de 1982</w:t>
            </w:r>
            <w:r w:rsidRPr="00E06B95">
              <w:rPr>
                <w:sz w:val="20"/>
                <w:lang w:val="fr-CA"/>
              </w:rPr>
              <w:t>?</w:t>
            </w:r>
            <w:r w:rsidRPr="00E06B95">
              <w:rPr>
                <w:i/>
                <w:sz w:val="20"/>
                <w:lang w:val="fr-CA"/>
              </w:rPr>
              <w:t xml:space="preserve"> </w:t>
            </w:r>
            <w:r w:rsidRPr="00E06B95">
              <w:rPr>
                <w:sz w:val="20"/>
                <w:lang w:val="fr-CA"/>
              </w:rPr>
              <w:t xml:space="preserve">— La protection constitutionnelle accordée aux promesses contenues dans les traités autochtones comporte-t-elle un droit, protégé par la Constitution, de faire valoir une promesse de la Couronne à laquelle les lois sur la prescription ont porté atteinte à première vue? — Comment la justification d’une atteinte à première vue devrait-elle être analysée dans le contexte de la contestation d’une loi sur la prescription? — Dans quels cas convient-il de trancher des questions constitutionnelles par voie de jugement sommaire? — </w:t>
            </w:r>
            <w:r w:rsidRPr="00E06B95">
              <w:rPr>
                <w:i/>
                <w:sz w:val="20"/>
                <w:lang w:val="fr-CA"/>
              </w:rPr>
              <w:t>Loi sur les Cours fédérales,</w:t>
            </w:r>
            <w:r w:rsidRPr="00E06B95">
              <w:rPr>
                <w:sz w:val="20"/>
                <w:lang w:val="fr-CA"/>
              </w:rPr>
              <w:t xml:space="preserve"> L.R.C. 1985, c. F-7, art. 39 — </w:t>
            </w:r>
            <w:r w:rsidRPr="00E06B95">
              <w:rPr>
                <w:i/>
                <w:sz w:val="20"/>
                <w:lang w:val="fr-CA"/>
              </w:rPr>
              <w:t xml:space="preserve">Loi sur le pétrole et le gaz des terres indiennes, </w:t>
            </w:r>
            <w:r w:rsidRPr="00E06B95">
              <w:rPr>
                <w:sz w:val="20"/>
                <w:lang w:val="fr-CA"/>
              </w:rPr>
              <w:t xml:space="preserve">L.R.C. 1985, c. I-7, art. 4 — </w:t>
            </w:r>
            <w:r w:rsidRPr="00E06B95">
              <w:rPr>
                <w:i/>
                <w:sz w:val="20"/>
                <w:lang w:val="fr-CA"/>
              </w:rPr>
              <w:t xml:space="preserve">Limitation of Actions </w:t>
            </w:r>
            <w:proofErr w:type="spellStart"/>
            <w:r w:rsidRPr="00E06B95">
              <w:rPr>
                <w:i/>
                <w:sz w:val="20"/>
                <w:lang w:val="fr-CA"/>
              </w:rPr>
              <w:t>Act</w:t>
            </w:r>
            <w:proofErr w:type="spellEnd"/>
            <w:r w:rsidRPr="00E06B95">
              <w:rPr>
                <w:sz w:val="20"/>
                <w:lang w:val="fr-CA"/>
              </w:rPr>
              <w:t xml:space="preserve">, R.S.A. 1980, c. L-15, par. 4(1) — </w:t>
            </w:r>
            <w:r w:rsidRPr="00E06B95">
              <w:rPr>
                <w:i/>
                <w:sz w:val="20"/>
                <w:lang w:val="fr-CA"/>
              </w:rPr>
              <w:t>Loi constitutionnelle de 1982</w:t>
            </w:r>
            <w:r w:rsidRPr="00E06B95">
              <w:rPr>
                <w:sz w:val="20"/>
                <w:lang w:val="fr-CA"/>
              </w:rPr>
              <w:t>, art. 35.</w:t>
            </w:r>
          </w:p>
        </w:tc>
      </w:tr>
      <w:tr w:rsidR="00303608" w:rsidRPr="00E06B95" w:rsidTr="00E95A6A">
        <w:tc>
          <w:tcPr>
            <w:tcW w:w="5000" w:type="pct"/>
            <w:gridSpan w:val="4"/>
          </w:tcPr>
          <w:p w:rsidR="00303608" w:rsidRPr="00E06B95" w:rsidRDefault="00303608" w:rsidP="00E06B95">
            <w:pPr>
              <w:jc w:val="both"/>
              <w:rPr>
                <w:sz w:val="20"/>
                <w:lang w:val="fr-CA"/>
              </w:rPr>
            </w:pPr>
          </w:p>
        </w:tc>
      </w:tr>
      <w:tr w:rsidR="00303608" w:rsidRPr="00E06B95" w:rsidTr="00E95A6A">
        <w:tc>
          <w:tcPr>
            <w:tcW w:w="5000" w:type="pct"/>
            <w:gridSpan w:val="4"/>
          </w:tcPr>
          <w:p w:rsidR="00303608" w:rsidRPr="00E06B95" w:rsidRDefault="00303608" w:rsidP="00E06B95">
            <w:pPr>
              <w:jc w:val="both"/>
              <w:rPr>
                <w:sz w:val="20"/>
                <w:lang w:val="fr-CA"/>
              </w:rPr>
            </w:pPr>
            <w:r w:rsidRPr="00E06B95">
              <w:rPr>
                <w:sz w:val="20"/>
                <w:lang w:val="fr-CA"/>
              </w:rPr>
              <w:t xml:space="preserve">En 1946, la Première Nation demanderesse a renoncé à ses droits miniers dans sa réserve en faveur de Sa Majesté, ce qui a permis à celle-ci d’octroyer des baux à des sociétés pétrolières et gazières, qui ont ensuite versé des redevances à l’État en fiducie pour la Première Nation. En 1973, le Canada a élaboré une stratégie nationale pour contrer la flambée des cours internationaux du pétrole. Cette stratégie prévoyait notamment l’imposition d’une taxe (et, plus tard, de droits) sur l’exportation du pétrole. La taxe ou les droits ont été prélevés sur le pétrole exporté produit dans la réserve entre 1973 et 1985. En 1992, la Première Nation a intenté devant la Cour fédérale une action dans laquelle elle a formulé contre le Canada  un certain nombre d’allégations découlant de ces faits, soutenant que le régime de prix réglementés constituait, notamment, un manquement aux obligations fiduciaires et fiduciales de Sa Majesté ainsi qu’une violation de droits et d’obligations issus de traités. La Couronne fédérale a présenté une requête en jugement sommaire dans laquelle elle a sollicité le rejet de l’action au motif qu’elle avait été intentée après l’expiration du délai de prescription légal de six ans. </w:t>
            </w:r>
          </w:p>
          <w:p w:rsidR="00303608" w:rsidRPr="00E06B95" w:rsidRDefault="00303608" w:rsidP="00E06B95">
            <w:pPr>
              <w:jc w:val="both"/>
              <w:rPr>
                <w:sz w:val="20"/>
                <w:lang w:val="fr-CA"/>
              </w:rPr>
            </w:pPr>
          </w:p>
          <w:p w:rsidR="00303608" w:rsidRPr="00E06B95" w:rsidRDefault="00303608" w:rsidP="00E06B95">
            <w:pPr>
              <w:jc w:val="both"/>
              <w:rPr>
                <w:sz w:val="20"/>
                <w:lang w:val="fr-CA"/>
              </w:rPr>
            </w:pPr>
            <w:r w:rsidRPr="00E06B95">
              <w:rPr>
                <w:sz w:val="20"/>
                <w:lang w:val="fr-CA"/>
              </w:rPr>
              <w:t>La Cour fédérale a accueilli la requête en jugement sommaire de la Couronne contre la Première Nation, concluant que l’action de celle-ci ne soulevait aucune question donnant matière à procès, en raison des délais de prescription légaux applicables. La Cour d’appel fédérale a rejeté, à la majorité, l’appel de la Première Nation, n’ayant relevé aucune erreur dans le raisonnement et la décision de la Cour fédérale. De l’avis de la Cour d’appel, le juge des requêtes avait correctement appliqué la jurisprudence existante, qui confirme que les délais de prescription s’appliquent à toutes les revendications des peuples autochtones, y compris celles fondées sur la violation de droits issus de traités.</w:t>
            </w:r>
          </w:p>
          <w:p w:rsidR="00303608" w:rsidRPr="00E06B95" w:rsidRDefault="00303608" w:rsidP="00E06B95">
            <w:pPr>
              <w:jc w:val="both"/>
              <w:rPr>
                <w:sz w:val="20"/>
                <w:lang w:val="fr-CA"/>
              </w:rPr>
            </w:pPr>
          </w:p>
        </w:tc>
      </w:tr>
      <w:tr w:rsidR="00303608" w:rsidRPr="00E06B95" w:rsidTr="00990FC4">
        <w:tc>
          <w:tcPr>
            <w:tcW w:w="2427" w:type="pct"/>
            <w:gridSpan w:val="2"/>
          </w:tcPr>
          <w:p w:rsidR="00303608" w:rsidRPr="00E06B95" w:rsidRDefault="00303608" w:rsidP="00E06B95">
            <w:pPr>
              <w:jc w:val="both"/>
              <w:rPr>
                <w:sz w:val="20"/>
                <w:lang w:val="fr-CA"/>
              </w:rPr>
            </w:pPr>
            <w:r w:rsidRPr="00E06B95">
              <w:rPr>
                <w:sz w:val="20"/>
                <w:lang w:val="fr-CA"/>
              </w:rPr>
              <w:lastRenderedPageBreak/>
              <w:t>9 juillet 2015</w:t>
            </w:r>
          </w:p>
          <w:p w:rsidR="00303608" w:rsidRPr="00E06B95" w:rsidRDefault="00303608" w:rsidP="00E06B95">
            <w:pPr>
              <w:jc w:val="both"/>
              <w:rPr>
                <w:sz w:val="20"/>
                <w:lang w:val="fr-CA"/>
              </w:rPr>
            </w:pPr>
            <w:r w:rsidRPr="00E06B95">
              <w:rPr>
                <w:sz w:val="20"/>
                <w:lang w:val="fr-CA"/>
              </w:rPr>
              <w:t xml:space="preserve">Cour fédérale </w:t>
            </w:r>
          </w:p>
          <w:p w:rsidR="00303608" w:rsidRPr="00E06B95" w:rsidRDefault="00303608" w:rsidP="00E06B95">
            <w:pPr>
              <w:jc w:val="both"/>
              <w:rPr>
                <w:sz w:val="20"/>
                <w:lang w:val="fr-CA"/>
              </w:rPr>
            </w:pPr>
            <w:r w:rsidRPr="00E06B95">
              <w:rPr>
                <w:sz w:val="20"/>
                <w:lang w:val="fr-CA"/>
              </w:rPr>
              <w:t>(Juge Russell)</w:t>
            </w:r>
          </w:p>
          <w:p w:rsidR="00303608" w:rsidRPr="00E06B95" w:rsidRDefault="00303608" w:rsidP="00E06B95">
            <w:pPr>
              <w:jc w:val="both"/>
              <w:rPr>
                <w:sz w:val="20"/>
                <w:lang w:val="fr-CA"/>
              </w:rPr>
            </w:pPr>
            <w:hyperlink r:id="rId33" w:history="1">
              <w:r w:rsidRPr="00E06B95">
                <w:rPr>
                  <w:rStyle w:val="Hyperlink"/>
                  <w:sz w:val="20"/>
                  <w:lang w:val="fr-CA"/>
                </w:rPr>
                <w:t>2015 CF 836</w:t>
              </w:r>
            </w:hyperlink>
            <w:r w:rsidRPr="00E06B95">
              <w:rPr>
                <w:sz w:val="20"/>
                <w:lang w:val="fr-CA"/>
              </w:rPr>
              <w:t xml:space="preserve"> </w:t>
            </w:r>
          </w:p>
          <w:p w:rsidR="00303608" w:rsidRPr="00E06B95" w:rsidRDefault="00303608" w:rsidP="00E06B95">
            <w:pPr>
              <w:jc w:val="both"/>
              <w:rPr>
                <w:sz w:val="20"/>
                <w:lang w:val="fr-CA"/>
              </w:rPr>
            </w:pPr>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Requête en jugement sommaire de la Couronne accueillie; action du demandeur rejetée pour cause de prescription</w:t>
            </w:r>
          </w:p>
        </w:tc>
      </w:tr>
      <w:tr w:rsidR="00303608" w:rsidRPr="00E06B95" w:rsidTr="00990FC4">
        <w:tc>
          <w:tcPr>
            <w:tcW w:w="2427" w:type="pct"/>
            <w:gridSpan w:val="2"/>
          </w:tcPr>
          <w:p w:rsidR="00303608" w:rsidRPr="00E06B95" w:rsidRDefault="00303608" w:rsidP="00E06B95">
            <w:pPr>
              <w:jc w:val="both"/>
              <w:rPr>
                <w:sz w:val="20"/>
                <w:lang w:val="fr-CA"/>
              </w:rPr>
            </w:pPr>
            <w:r w:rsidRPr="00E06B95">
              <w:rPr>
                <w:sz w:val="20"/>
                <w:lang w:val="fr-CA"/>
              </w:rPr>
              <w:t>8 septembre 2016</w:t>
            </w:r>
          </w:p>
          <w:p w:rsidR="00303608" w:rsidRPr="00E06B95" w:rsidRDefault="00303608" w:rsidP="00E06B95">
            <w:pPr>
              <w:jc w:val="both"/>
              <w:rPr>
                <w:sz w:val="20"/>
                <w:lang w:val="fr-CA"/>
              </w:rPr>
            </w:pPr>
            <w:r w:rsidRPr="00E06B95">
              <w:rPr>
                <w:sz w:val="20"/>
                <w:lang w:val="fr-CA"/>
              </w:rPr>
              <w:t xml:space="preserve">Cour d’appel fédérale </w:t>
            </w:r>
          </w:p>
          <w:p w:rsidR="00303608" w:rsidRPr="00E06B95" w:rsidRDefault="00303608" w:rsidP="00E06B95">
            <w:pPr>
              <w:jc w:val="both"/>
              <w:rPr>
                <w:sz w:val="20"/>
                <w:lang w:val="fr-CA"/>
              </w:rPr>
            </w:pPr>
            <w:r w:rsidRPr="00E06B95">
              <w:rPr>
                <w:sz w:val="20"/>
                <w:lang w:val="fr-CA"/>
              </w:rPr>
              <w:t xml:space="preserve">(Juges Nadon et Dawson, le juge Webb étant </w:t>
            </w:r>
          </w:p>
          <w:p w:rsidR="00303608" w:rsidRPr="00E06B95" w:rsidRDefault="00303608" w:rsidP="00E06B95">
            <w:pPr>
              <w:jc w:val="both"/>
              <w:rPr>
                <w:sz w:val="20"/>
                <w:lang w:val="fr-CA"/>
              </w:rPr>
            </w:pPr>
            <w:r w:rsidRPr="00E06B95">
              <w:rPr>
                <w:sz w:val="20"/>
                <w:lang w:val="fr-CA"/>
              </w:rPr>
              <w:t>dissident en partie)</w:t>
            </w:r>
          </w:p>
          <w:p w:rsidR="00303608" w:rsidRPr="00E06B95" w:rsidRDefault="00303608" w:rsidP="00E06B95">
            <w:pPr>
              <w:jc w:val="both"/>
              <w:rPr>
                <w:sz w:val="20"/>
                <w:lang w:val="fr-CA"/>
              </w:rPr>
            </w:pPr>
            <w:hyperlink r:id="rId34" w:history="1">
              <w:r w:rsidRPr="00E06B95">
                <w:rPr>
                  <w:rStyle w:val="Hyperlink"/>
                  <w:sz w:val="20"/>
                  <w:lang w:val="fr-CA"/>
                </w:rPr>
                <w:t>2016 CAF 223</w:t>
              </w:r>
            </w:hyperlink>
            <w:r w:rsidRPr="00E06B95">
              <w:rPr>
                <w:sz w:val="20"/>
                <w:lang w:val="fr-CA"/>
              </w:rPr>
              <w:t xml:space="preserve"> </w:t>
            </w:r>
          </w:p>
          <w:p w:rsidR="00303608" w:rsidRPr="00E06B95" w:rsidRDefault="00303608" w:rsidP="00E06B95">
            <w:pPr>
              <w:jc w:val="both"/>
              <w:rPr>
                <w:sz w:val="20"/>
                <w:lang w:val="fr-CA"/>
              </w:rPr>
            </w:pPr>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Rejet de l’appel du demandeur</w:t>
            </w:r>
          </w:p>
        </w:tc>
      </w:tr>
      <w:tr w:rsidR="00303608" w:rsidRPr="00E06B95" w:rsidTr="00990FC4">
        <w:tc>
          <w:tcPr>
            <w:tcW w:w="2427" w:type="pct"/>
            <w:gridSpan w:val="2"/>
          </w:tcPr>
          <w:p w:rsidR="00303608" w:rsidRPr="00E06B95" w:rsidRDefault="00303608" w:rsidP="00E06B95">
            <w:pPr>
              <w:jc w:val="both"/>
              <w:rPr>
                <w:sz w:val="20"/>
                <w:lang w:val="fr-CA"/>
              </w:rPr>
            </w:pPr>
            <w:r w:rsidRPr="00E06B95">
              <w:rPr>
                <w:sz w:val="20"/>
                <w:lang w:val="fr-CA"/>
              </w:rPr>
              <w:t>4 novembre 2016</w:t>
            </w:r>
          </w:p>
          <w:p w:rsidR="00303608" w:rsidRPr="00E06B95" w:rsidRDefault="00303608" w:rsidP="00E06B95">
            <w:pPr>
              <w:jc w:val="both"/>
              <w:rPr>
                <w:sz w:val="20"/>
                <w:lang w:val="fr-CA"/>
              </w:rPr>
            </w:pPr>
            <w:r w:rsidRPr="00E06B95">
              <w:rPr>
                <w:sz w:val="20"/>
                <w:lang w:val="fr-CA"/>
              </w:rPr>
              <w:t xml:space="preserve">Cour suprême du Canada </w:t>
            </w:r>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Dépôt de la demande d’autorisation d’appel du demandeur</w:t>
            </w:r>
          </w:p>
        </w:tc>
      </w:tr>
    </w:tbl>
    <w:p w:rsidR="00303608" w:rsidRPr="00E06B95" w:rsidRDefault="00303608" w:rsidP="00E06B95">
      <w:pPr>
        <w:jc w:val="both"/>
        <w:rPr>
          <w:sz w:val="20"/>
          <w:lang w:val="fr-CA"/>
        </w:rPr>
      </w:pPr>
    </w:p>
    <w:p w:rsidR="00A95728" w:rsidRPr="00E06B95" w:rsidRDefault="00A95728" w:rsidP="00E06B95">
      <w:pPr>
        <w:ind w:left="360" w:hanging="360"/>
        <w:jc w:val="both"/>
        <w:rPr>
          <w:sz w:val="20"/>
          <w:lang w:val="fr-CA" w:eastAsia="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3608" w:rsidRPr="00E06B95" w:rsidTr="00E95A6A">
        <w:tc>
          <w:tcPr>
            <w:tcW w:w="543" w:type="pct"/>
          </w:tcPr>
          <w:p w:rsidR="00303608" w:rsidRPr="00E06B95" w:rsidRDefault="00303608" w:rsidP="00E06B95">
            <w:pPr>
              <w:jc w:val="both"/>
              <w:rPr>
                <w:sz w:val="20"/>
              </w:rPr>
            </w:pPr>
            <w:r w:rsidRPr="00E06B95">
              <w:rPr>
                <w:rStyle w:val="SCCFileNumberChar"/>
                <w:sz w:val="20"/>
                <w:szCs w:val="20"/>
              </w:rPr>
              <w:t>37280</w:t>
            </w:r>
          </w:p>
        </w:tc>
        <w:tc>
          <w:tcPr>
            <w:tcW w:w="4457" w:type="pct"/>
            <w:gridSpan w:val="3"/>
          </w:tcPr>
          <w:p w:rsidR="00303608" w:rsidRPr="00E06B95" w:rsidRDefault="00303608" w:rsidP="00E06B95">
            <w:pPr>
              <w:pStyle w:val="SCCLsocParty"/>
              <w:jc w:val="both"/>
              <w:rPr>
                <w:b/>
                <w:sz w:val="20"/>
                <w:szCs w:val="20"/>
                <w:lang w:val="en-US"/>
              </w:rPr>
            </w:pPr>
            <w:r w:rsidRPr="00E06B95">
              <w:rPr>
                <w:b/>
                <w:sz w:val="20"/>
                <w:szCs w:val="20"/>
                <w:lang w:val="en-US"/>
              </w:rPr>
              <w:t>Chief Victor Buffalo acting on his own behalf and on behalf of all the other members of the Samson Indian Nation and Band, Samson Indian Band and Nation v. Her Majesty the Queen in Right of Canada, Minister of Indian Affairs and Northern Development and Minister of Finance</w:t>
            </w:r>
          </w:p>
          <w:p w:rsidR="00303608" w:rsidRPr="00E06B95" w:rsidRDefault="00303608" w:rsidP="00E06B95">
            <w:pPr>
              <w:pStyle w:val="SCCLsocOtherPartySeparator"/>
              <w:rPr>
                <w:sz w:val="20"/>
                <w:szCs w:val="20"/>
              </w:rPr>
            </w:pPr>
            <w:r w:rsidRPr="00E06B95">
              <w:rPr>
                <w:sz w:val="20"/>
                <w:szCs w:val="20"/>
              </w:rPr>
              <w:t>- and -</w:t>
            </w:r>
          </w:p>
          <w:p w:rsidR="00303608" w:rsidRPr="00E06B95" w:rsidRDefault="00303608" w:rsidP="00E06B95">
            <w:pPr>
              <w:pStyle w:val="SCCLsocParty"/>
              <w:jc w:val="both"/>
              <w:rPr>
                <w:b/>
                <w:sz w:val="20"/>
                <w:szCs w:val="20"/>
                <w:lang w:val="en-US"/>
              </w:rPr>
            </w:pPr>
            <w:r w:rsidRPr="00E06B95">
              <w:rPr>
                <w:b/>
                <w:sz w:val="20"/>
                <w:szCs w:val="20"/>
                <w:lang w:val="en-US"/>
              </w:rPr>
              <w:t>Attorney General of Alberta</w:t>
            </w:r>
          </w:p>
          <w:p w:rsidR="00303608" w:rsidRPr="00E06B95" w:rsidRDefault="00303608" w:rsidP="00E06B95">
            <w:pPr>
              <w:jc w:val="both"/>
              <w:rPr>
                <w:sz w:val="20"/>
              </w:rPr>
            </w:pPr>
            <w:r w:rsidRPr="00E06B95">
              <w:rPr>
                <w:sz w:val="20"/>
              </w:rPr>
              <w:t>(FC) (Civil) (By Leave)</w:t>
            </w:r>
          </w:p>
        </w:tc>
      </w:tr>
      <w:tr w:rsidR="00303608" w:rsidRPr="00E06B95" w:rsidTr="00E95A6A">
        <w:tc>
          <w:tcPr>
            <w:tcW w:w="5000" w:type="pct"/>
            <w:gridSpan w:val="4"/>
          </w:tcPr>
          <w:p w:rsidR="00303608" w:rsidRPr="00E06B95" w:rsidRDefault="00303608" w:rsidP="00E06B95">
            <w:pPr>
              <w:jc w:val="both"/>
              <w:rPr>
                <w:sz w:val="20"/>
              </w:rPr>
            </w:pPr>
            <w:r w:rsidRPr="00E06B95">
              <w:rPr>
                <w:sz w:val="20"/>
              </w:rPr>
              <w:t xml:space="preserve">Constitutional law — Aboriginal law — Treaty rights — Limitation of actions — First Nation suing Crown for infringement of treaty rights and breaches of fiduciary duties with respect to oil and gas royalties — Courts below granting Crown’s motion for summary judgment and dismissing claim as being statute-barred — Provincial limitation periods incorporated by reference into federal law and applicable to treaty claims — Whether statutory limitation periods are applicable to the constitutionally-protected rights of First Nations in a manner that does not promote reconciliation between First Nations and the Crown — Whether Canada is entitled to extinguish constitutionally-protected treaty rights through the wholesale application of generic limitation periods — Whether Canada has the obligations of a </w:t>
            </w:r>
            <w:r w:rsidRPr="00E06B95">
              <w:rPr>
                <w:i/>
                <w:sz w:val="20"/>
              </w:rPr>
              <w:t>de facto</w:t>
            </w:r>
            <w:r w:rsidRPr="00E06B95">
              <w:rPr>
                <w:sz w:val="20"/>
              </w:rPr>
              <w:t xml:space="preserve"> common law trustee with respect to oil and gas royalties and for the purposes of applying limitation periods — Whether the applicants are precluded from challenging all aspects of federal oil and gas legislation, including those that continued to be applicable after the filing of the applicants’ statement of claim, on the basis that the applicants’ claims “crystallized” upon the initial passage of legislation — Whether it is appropriate, in a summary judgment motion, to rule on the merits of the claim when the only issue before the Court was whether the claims were made within the applicable limitation period — </w:t>
            </w:r>
            <w:r w:rsidRPr="00E06B95">
              <w:rPr>
                <w:i/>
                <w:sz w:val="20"/>
              </w:rPr>
              <w:t>Federal Courts Act</w:t>
            </w:r>
            <w:r w:rsidRPr="00E06B95">
              <w:rPr>
                <w:sz w:val="20"/>
              </w:rPr>
              <w:t xml:space="preserve">, R.S.C. 1985, c. F-7, s. 39 — </w:t>
            </w:r>
            <w:r w:rsidRPr="00E06B95">
              <w:rPr>
                <w:i/>
                <w:sz w:val="20"/>
              </w:rPr>
              <w:t>Indian Oil and Gas Act</w:t>
            </w:r>
            <w:r w:rsidRPr="00E06B95">
              <w:rPr>
                <w:sz w:val="20"/>
              </w:rPr>
              <w:t xml:space="preserve">, R.S.C. 1985, c. I-7, s. 4 — </w:t>
            </w:r>
            <w:r w:rsidRPr="00E06B95">
              <w:rPr>
                <w:i/>
                <w:sz w:val="20"/>
              </w:rPr>
              <w:t>Limitation of Actions Act</w:t>
            </w:r>
            <w:r w:rsidRPr="00E06B95">
              <w:rPr>
                <w:sz w:val="20"/>
              </w:rPr>
              <w:t xml:space="preserve">, R.S.A. 1980, c. L-15, s. 4(1) — </w:t>
            </w:r>
            <w:r w:rsidRPr="00E06B95">
              <w:rPr>
                <w:i/>
                <w:sz w:val="20"/>
              </w:rPr>
              <w:t>Constitution Act, 1982</w:t>
            </w:r>
            <w:r w:rsidRPr="00E06B95">
              <w:rPr>
                <w:sz w:val="20"/>
              </w:rPr>
              <w:t>, s. 35</w:t>
            </w:r>
          </w:p>
        </w:tc>
      </w:tr>
      <w:tr w:rsidR="00303608" w:rsidRPr="00E06B95" w:rsidTr="00E95A6A">
        <w:tc>
          <w:tcPr>
            <w:tcW w:w="5000" w:type="pct"/>
            <w:gridSpan w:val="4"/>
          </w:tcPr>
          <w:p w:rsidR="00303608" w:rsidRPr="00E06B95" w:rsidRDefault="00303608" w:rsidP="00E06B95">
            <w:pPr>
              <w:jc w:val="both"/>
              <w:rPr>
                <w:sz w:val="20"/>
              </w:rPr>
            </w:pPr>
          </w:p>
        </w:tc>
      </w:tr>
      <w:tr w:rsidR="00303608" w:rsidRPr="00E06B95" w:rsidTr="00E95A6A">
        <w:tc>
          <w:tcPr>
            <w:tcW w:w="5000" w:type="pct"/>
            <w:gridSpan w:val="4"/>
          </w:tcPr>
          <w:p w:rsidR="00303608" w:rsidRPr="00E06B95" w:rsidRDefault="00303608" w:rsidP="00E06B95">
            <w:pPr>
              <w:jc w:val="both"/>
              <w:rPr>
                <w:sz w:val="20"/>
              </w:rPr>
            </w:pPr>
            <w:r w:rsidRPr="00E06B95">
              <w:rPr>
                <w:sz w:val="20"/>
              </w:rPr>
              <w:t>In 1946, the applicant First Nation surrendered their mineral interests in their reserve to the Crown, which permitted the Crown to grant leases to oil and gas companies, who then paid royalties to the Crown in trust for the First Nation. In 1973, Canada developed a national strategy to deal with the effects of rapidly rising international oil prices, including the implementation of an export tax (and later, an export charge) on oil export sales. The tax or charge was levied on any exported oil produced on the reserve between 1973 and 1985. In 1989, the First Nation brought an action in Federal Court asserting a number of claims against Canada arising out of these facts, alleging that the regulated price regime constituted, among other things, a breach of the Crown’s trust and fiduciary duties, as well as infringements of treaty rights and obligations. The federal Crown brought a motion for summary judgment, seeking the dismissal of the claim as being time-barred by a six-year statutory limitation period.</w:t>
            </w:r>
          </w:p>
          <w:p w:rsidR="00303608" w:rsidRPr="00E06B95" w:rsidRDefault="00303608" w:rsidP="00E06B95">
            <w:pPr>
              <w:jc w:val="both"/>
              <w:rPr>
                <w:sz w:val="20"/>
              </w:rPr>
            </w:pPr>
          </w:p>
          <w:p w:rsidR="00303608" w:rsidRPr="00E06B95" w:rsidRDefault="00303608" w:rsidP="00E06B95">
            <w:pPr>
              <w:jc w:val="both"/>
              <w:rPr>
                <w:sz w:val="20"/>
              </w:rPr>
            </w:pPr>
            <w:r w:rsidRPr="00E06B95">
              <w:rPr>
                <w:sz w:val="20"/>
              </w:rPr>
              <w:t xml:space="preserve">The Federal Court granted the Crown’s motion for summary judgment against the First Nation, on the basis that their claim raised no triable issue in light of the application of statutory limitation periods. A majority of the Federal Court of Appeal dismissed the First Nation’s appeal, finding no error in the Federal Court’s reasoning and decision. In the Court of Appeal’s view, the motions judge properly applied the existing jurisprudence which confirms that limitation periods are applicable to all Aboriginal claims, including those based on infringements of treaty rights. In partial dissent, one judge of the Court of Appeal would have allowed the First Nation’s appeal to the extent of permitting </w:t>
            </w:r>
            <w:r w:rsidRPr="00E06B95">
              <w:rPr>
                <w:sz w:val="20"/>
              </w:rPr>
              <w:lastRenderedPageBreak/>
              <w:t>its claim that Canada improperly collected a tax to continue, in relation to amounts collected in the six years prior to the First Nation filing its statement of claim.</w:t>
            </w:r>
          </w:p>
          <w:p w:rsidR="00303608" w:rsidRPr="00E06B95" w:rsidRDefault="00303608" w:rsidP="00E06B95">
            <w:pPr>
              <w:jc w:val="both"/>
              <w:rPr>
                <w:sz w:val="20"/>
              </w:rPr>
            </w:pPr>
          </w:p>
        </w:tc>
      </w:tr>
      <w:tr w:rsidR="00303608" w:rsidRPr="00E06B95" w:rsidTr="00E95A6A">
        <w:tc>
          <w:tcPr>
            <w:tcW w:w="2427" w:type="pct"/>
            <w:gridSpan w:val="2"/>
          </w:tcPr>
          <w:p w:rsidR="00303608" w:rsidRPr="00E06B95" w:rsidRDefault="00303608" w:rsidP="00E06B95">
            <w:pPr>
              <w:jc w:val="both"/>
              <w:rPr>
                <w:sz w:val="20"/>
              </w:rPr>
            </w:pPr>
            <w:r w:rsidRPr="00E06B95">
              <w:rPr>
                <w:sz w:val="20"/>
              </w:rPr>
              <w:lastRenderedPageBreak/>
              <w:t>July 9, 2015</w:t>
            </w:r>
          </w:p>
          <w:p w:rsidR="00303608" w:rsidRPr="00E06B95" w:rsidRDefault="00303608" w:rsidP="00E06B95">
            <w:pPr>
              <w:jc w:val="both"/>
              <w:rPr>
                <w:sz w:val="20"/>
              </w:rPr>
            </w:pPr>
            <w:r w:rsidRPr="00E06B95">
              <w:rPr>
                <w:sz w:val="20"/>
              </w:rPr>
              <w:t>Federal Court (Russell, J.)</w:t>
            </w:r>
          </w:p>
          <w:p w:rsidR="00303608" w:rsidRPr="00E06B95" w:rsidRDefault="00303608" w:rsidP="00E06B95">
            <w:pPr>
              <w:jc w:val="both"/>
              <w:rPr>
                <w:sz w:val="20"/>
              </w:rPr>
            </w:pPr>
            <w:hyperlink r:id="rId35" w:history="1">
              <w:r w:rsidRPr="00E06B95">
                <w:rPr>
                  <w:rStyle w:val="Hyperlink"/>
                  <w:sz w:val="20"/>
                </w:rPr>
                <w:t>2015 FC 836</w:t>
              </w:r>
            </w:hyperlink>
            <w:r w:rsidRPr="00E06B95">
              <w:rPr>
                <w:sz w:val="20"/>
              </w:rPr>
              <w:t xml:space="preserve"> </w:t>
            </w:r>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Crown’s motion for summary judgment granted; plaintiff’s claim dismissed as being statute-barred</w:t>
            </w:r>
          </w:p>
        </w:tc>
      </w:tr>
      <w:tr w:rsidR="00303608" w:rsidRPr="00E06B95" w:rsidTr="00E95A6A">
        <w:tc>
          <w:tcPr>
            <w:tcW w:w="2427" w:type="pct"/>
            <w:gridSpan w:val="2"/>
          </w:tcPr>
          <w:p w:rsidR="00303608" w:rsidRPr="00E06B95" w:rsidRDefault="00303608" w:rsidP="00E06B95">
            <w:pPr>
              <w:jc w:val="both"/>
              <w:rPr>
                <w:sz w:val="20"/>
              </w:rPr>
            </w:pPr>
            <w:r w:rsidRPr="00E06B95">
              <w:rPr>
                <w:sz w:val="20"/>
              </w:rPr>
              <w:t>September 8, 2016</w:t>
            </w:r>
          </w:p>
          <w:p w:rsidR="00303608" w:rsidRPr="00E06B95" w:rsidRDefault="00303608" w:rsidP="00E06B95">
            <w:pPr>
              <w:jc w:val="both"/>
              <w:rPr>
                <w:sz w:val="20"/>
              </w:rPr>
            </w:pPr>
            <w:r w:rsidRPr="00E06B95">
              <w:rPr>
                <w:sz w:val="20"/>
              </w:rPr>
              <w:t>Federal Court of Appeal</w:t>
            </w:r>
          </w:p>
          <w:p w:rsidR="00303608" w:rsidRPr="00E06B95" w:rsidRDefault="00303608" w:rsidP="00E06B95">
            <w:pPr>
              <w:jc w:val="both"/>
              <w:rPr>
                <w:sz w:val="20"/>
              </w:rPr>
            </w:pPr>
            <w:r w:rsidRPr="00E06B95">
              <w:rPr>
                <w:sz w:val="20"/>
              </w:rPr>
              <w:t>(</w:t>
            </w:r>
            <w:proofErr w:type="spellStart"/>
            <w:r w:rsidRPr="00E06B95">
              <w:rPr>
                <w:sz w:val="20"/>
              </w:rPr>
              <w:t>Nadon</w:t>
            </w:r>
            <w:proofErr w:type="spellEnd"/>
            <w:r w:rsidRPr="00E06B95">
              <w:rPr>
                <w:sz w:val="20"/>
              </w:rPr>
              <w:t xml:space="preserve"> and Dawson </w:t>
            </w:r>
            <w:proofErr w:type="gramStart"/>
            <w:r w:rsidRPr="00E06B95">
              <w:rPr>
                <w:sz w:val="20"/>
              </w:rPr>
              <w:t>JJ.A.,</w:t>
            </w:r>
            <w:proofErr w:type="gramEnd"/>
            <w:r w:rsidRPr="00E06B95">
              <w:rPr>
                <w:sz w:val="20"/>
              </w:rPr>
              <w:t xml:space="preserve"> and Webb J.A. </w:t>
            </w:r>
          </w:p>
          <w:p w:rsidR="00303608" w:rsidRPr="00E06B95" w:rsidRDefault="00303608" w:rsidP="00E06B95">
            <w:pPr>
              <w:jc w:val="both"/>
              <w:rPr>
                <w:sz w:val="20"/>
              </w:rPr>
            </w:pPr>
            <w:r w:rsidRPr="00E06B95">
              <w:rPr>
                <w:sz w:val="20"/>
              </w:rPr>
              <w:t>[dissenting in part])</w:t>
            </w:r>
          </w:p>
          <w:p w:rsidR="00303608" w:rsidRPr="00E06B95" w:rsidRDefault="00303608" w:rsidP="00E06B95">
            <w:pPr>
              <w:jc w:val="both"/>
              <w:rPr>
                <w:sz w:val="20"/>
              </w:rPr>
            </w:pPr>
            <w:hyperlink r:id="rId36" w:history="1">
              <w:r w:rsidRPr="00E06B95">
                <w:rPr>
                  <w:rStyle w:val="Hyperlink"/>
                  <w:sz w:val="20"/>
                </w:rPr>
                <w:t>2016 FCA 223</w:t>
              </w:r>
            </w:hyperlink>
            <w:r w:rsidRPr="00E06B95">
              <w:rPr>
                <w:sz w:val="20"/>
              </w:rPr>
              <w:t xml:space="preserve"> </w:t>
            </w:r>
          </w:p>
          <w:p w:rsidR="00303608" w:rsidRPr="00E06B95" w:rsidRDefault="00303608" w:rsidP="00E06B95">
            <w:pPr>
              <w:jc w:val="both"/>
              <w:rPr>
                <w:sz w:val="20"/>
              </w:rPr>
            </w:pP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Plaintiff’s appeal dismissed</w:t>
            </w:r>
          </w:p>
        </w:tc>
      </w:tr>
      <w:tr w:rsidR="00303608" w:rsidRPr="00E06B95" w:rsidTr="00E95A6A">
        <w:tc>
          <w:tcPr>
            <w:tcW w:w="2427" w:type="pct"/>
            <w:gridSpan w:val="2"/>
          </w:tcPr>
          <w:p w:rsidR="00303608" w:rsidRPr="00E06B95" w:rsidRDefault="00303608" w:rsidP="00E06B95">
            <w:pPr>
              <w:jc w:val="both"/>
              <w:rPr>
                <w:sz w:val="20"/>
              </w:rPr>
            </w:pPr>
            <w:r w:rsidRPr="00E06B95">
              <w:rPr>
                <w:sz w:val="20"/>
              </w:rPr>
              <w:t>November 4, 2016</w:t>
            </w:r>
          </w:p>
          <w:p w:rsidR="00303608" w:rsidRPr="00E06B95" w:rsidRDefault="00303608" w:rsidP="00E06B95">
            <w:pPr>
              <w:jc w:val="both"/>
              <w:rPr>
                <w:sz w:val="20"/>
              </w:rPr>
            </w:pPr>
            <w:r w:rsidRPr="00E06B95">
              <w:rPr>
                <w:sz w:val="20"/>
              </w:rPr>
              <w:t>Supreme Court of Canada</w:t>
            </w:r>
          </w:p>
        </w:tc>
        <w:tc>
          <w:tcPr>
            <w:tcW w:w="243" w:type="pct"/>
          </w:tcPr>
          <w:p w:rsidR="00303608" w:rsidRPr="00E06B95" w:rsidRDefault="00303608" w:rsidP="00E06B95">
            <w:pPr>
              <w:jc w:val="both"/>
              <w:rPr>
                <w:sz w:val="20"/>
              </w:rPr>
            </w:pPr>
          </w:p>
        </w:tc>
        <w:tc>
          <w:tcPr>
            <w:tcW w:w="2330" w:type="pct"/>
          </w:tcPr>
          <w:p w:rsidR="00303608" w:rsidRPr="00E06B95" w:rsidRDefault="00303608" w:rsidP="00E06B95">
            <w:pPr>
              <w:jc w:val="both"/>
              <w:rPr>
                <w:sz w:val="20"/>
              </w:rPr>
            </w:pPr>
            <w:r w:rsidRPr="00E06B95">
              <w:rPr>
                <w:sz w:val="20"/>
              </w:rPr>
              <w:t>Application for leave to appeal filed by plaintiff</w:t>
            </w:r>
          </w:p>
        </w:tc>
      </w:tr>
    </w:tbl>
    <w:p w:rsidR="00303608" w:rsidRDefault="00303608" w:rsidP="00E06B95">
      <w:pPr>
        <w:jc w:val="both"/>
        <w:rPr>
          <w:sz w:val="20"/>
        </w:rPr>
      </w:pPr>
    </w:p>
    <w:p w:rsidR="00E06B95" w:rsidRPr="00E06B95" w:rsidRDefault="00E06B95" w:rsidP="00E06B95">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303608" w:rsidRPr="00E06B95" w:rsidTr="00E95A6A">
        <w:tc>
          <w:tcPr>
            <w:tcW w:w="543" w:type="pct"/>
          </w:tcPr>
          <w:p w:rsidR="00303608" w:rsidRPr="00E06B95" w:rsidRDefault="00303608" w:rsidP="00E06B95">
            <w:pPr>
              <w:jc w:val="both"/>
              <w:rPr>
                <w:sz w:val="20"/>
                <w:lang w:val="fr-CA"/>
              </w:rPr>
            </w:pPr>
            <w:r w:rsidRPr="00E06B95">
              <w:rPr>
                <w:rStyle w:val="SCCFileNumberChar"/>
                <w:sz w:val="20"/>
                <w:szCs w:val="20"/>
                <w:lang w:val="fr-CA"/>
              </w:rPr>
              <w:t>37280</w:t>
            </w:r>
          </w:p>
        </w:tc>
        <w:tc>
          <w:tcPr>
            <w:tcW w:w="4457" w:type="pct"/>
            <w:gridSpan w:val="3"/>
          </w:tcPr>
          <w:p w:rsidR="00303608" w:rsidRPr="00E06B95" w:rsidRDefault="00303608" w:rsidP="00E06B95">
            <w:pPr>
              <w:pStyle w:val="SCCLsocParty"/>
              <w:jc w:val="both"/>
              <w:rPr>
                <w:b/>
                <w:sz w:val="20"/>
                <w:szCs w:val="20"/>
              </w:rPr>
            </w:pPr>
            <w:r w:rsidRPr="00E06B95">
              <w:rPr>
                <w:b/>
                <w:sz w:val="20"/>
                <w:szCs w:val="20"/>
              </w:rPr>
              <w:t xml:space="preserve">Chef Victor Buffalo, en son nom et en celui de tous les autres membres de la bande et nation indiennes de Samson, et bande et nation indiennes de Samson c. Sa Majesté la Reine du chef du Canada, ministre des Affaires indiennes et du Nord canadien et ministre des Finances </w:t>
            </w:r>
          </w:p>
          <w:p w:rsidR="00303608" w:rsidRPr="00E06B95" w:rsidRDefault="00303608" w:rsidP="00E06B95">
            <w:pPr>
              <w:pStyle w:val="SCCLsocParty"/>
              <w:jc w:val="both"/>
              <w:rPr>
                <w:b/>
                <w:sz w:val="20"/>
                <w:szCs w:val="20"/>
              </w:rPr>
            </w:pPr>
            <w:r w:rsidRPr="00E06B95">
              <w:rPr>
                <w:b/>
                <w:sz w:val="20"/>
                <w:szCs w:val="20"/>
              </w:rPr>
              <w:t xml:space="preserve">- et - </w:t>
            </w:r>
          </w:p>
          <w:p w:rsidR="00303608" w:rsidRPr="00E06B95" w:rsidRDefault="00303608" w:rsidP="00E06B95">
            <w:pPr>
              <w:pStyle w:val="SCCLsocParty"/>
              <w:jc w:val="both"/>
              <w:rPr>
                <w:b/>
                <w:sz w:val="20"/>
                <w:szCs w:val="20"/>
              </w:rPr>
            </w:pPr>
            <w:r w:rsidRPr="00E06B95">
              <w:rPr>
                <w:b/>
                <w:sz w:val="20"/>
                <w:szCs w:val="20"/>
              </w:rPr>
              <w:t xml:space="preserve">Procureur général de l’Alberta </w:t>
            </w:r>
          </w:p>
          <w:p w:rsidR="00303608" w:rsidRPr="00E06B95" w:rsidRDefault="00303608" w:rsidP="00E06B95">
            <w:pPr>
              <w:jc w:val="both"/>
              <w:rPr>
                <w:sz w:val="20"/>
                <w:lang w:val="fr-CA"/>
              </w:rPr>
            </w:pPr>
            <w:r w:rsidRPr="00E06B95">
              <w:rPr>
                <w:sz w:val="20"/>
                <w:lang w:val="fr-CA"/>
              </w:rPr>
              <w:t>(C.F.) (Civile) (Sur autorisation)</w:t>
            </w:r>
          </w:p>
        </w:tc>
      </w:tr>
      <w:tr w:rsidR="00303608" w:rsidRPr="00E06B95" w:rsidTr="00E95A6A">
        <w:tc>
          <w:tcPr>
            <w:tcW w:w="5000" w:type="pct"/>
            <w:gridSpan w:val="4"/>
          </w:tcPr>
          <w:p w:rsidR="00303608" w:rsidRPr="00E06B95" w:rsidRDefault="00303608" w:rsidP="00E06B95">
            <w:pPr>
              <w:jc w:val="both"/>
              <w:rPr>
                <w:sz w:val="20"/>
                <w:lang w:val="fr-CA"/>
              </w:rPr>
            </w:pPr>
            <w:r w:rsidRPr="00E06B95">
              <w:rPr>
                <w:sz w:val="20"/>
                <w:lang w:val="fr-CA"/>
              </w:rPr>
              <w:t xml:space="preserve">Droit constitutionnel — Droit des Autochtones — Droits issus de traités — Prescription — Action intentée par une Première Nation contre la Couronne pour violation de droits issus de traités et manquements à des obligations fiduciaires à l’égard de redevances pétrolières et gazières — Les juridictions inférieures ont accueilli la requête en jugement sommaire de la Couronne et rejeté la réclamation au motif qu’elle était prescrite — Délais de prescription provinciaux incorporés par renvoi au droit fédéral et applicables aux revendications fondées sur des droits issus de traités — Les délais de prescription prévus par la loi s’appliquent-ils aux droits des Premières Nations protégés par la Constitution d’une façon qui ne favorise pas la réconciliation entre les Premières Nations et l’État? — Le Canada </w:t>
            </w:r>
            <w:proofErr w:type="spellStart"/>
            <w:r w:rsidRPr="00E06B95">
              <w:rPr>
                <w:sz w:val="20"/>
                <w:lang w:val="fr-CA"/>
              </w:rPr>
              <w:t>a-t-il</w:t>
            </w:r>
            <w:proofErr w:type="spellEnd"/>
            <w:r w:rsidRPr="00E06B95">
              <w:rPr>
                <w:sz w:val="20"/>
                <w:lang w:val="fr-CA"/>
              </w:rPr>
              <w:t xml:space="preserve"> le droit d’éteindre des droits issus de traités protégés par la Constitution en appliquant sans discernement des délais de prescription génériques? — Le Canada </w:t>
            </w:r>
            <w:proofErr w:type="spellStart"/>
            <w:r w:rsidRPr="00E06B95">
              <w:rPr>
                <w:sz w:val="20"/>
                <w:lang w:val="fr-CA"/>
              </w:rPr>
              <w:t>a-t-il</w:t>
            </w:r>
            <w:proofErr w:type="spellEnd"/>
            <w:r w:rsidRPr="00E06B95">
              <w:rPr>
                <w:sz w:val="20"/>
                <w:lang w:val="fr-CA"/>
              </w:rPr>
              <w:t xml:space="preserve"> les obligations d’un fiduciaire de </w:t>
            </w:r>
            <w:proofErr w:type="spellStart"/>
            <w:r w:rsidRPr="00E06B95">
              <w:rPr>
                <w:sz w:val="20"/>
                <w:lang w:val="fr-CA"/>
              </w:rPr>
              <w:t>common</w:t>
            </w:r>
            <w:proofErr w:type="spellEnd"/>
            <w:r w:rsidRPr="00E06B95">
              <w:rPr>
                <w:sz w:val="20"/>
                <w:lang w:val="fr-CA"/>
              </w:rPr>
              <w:t xml:space="preserve"> </w:t>
            </w:r>
            <w:proofErr w:type="spellStart"/>
            <w:r w:rsidRPr="00E06B95">
              <w:rPr>
                <w:sz w:val="20"/>
                <w:lang w:val="fr-CA"/>
              </w:rPr>
              <w:t>law</w:t>
            </w:r>
            <w:proofErr w:type="spellEnd"/>
            <w:r w:rsidRPr="00E06B95">
              <w:rPr>
                <w:sz w:val="20"/>
                <w:lang w:val="fr-CA"/>
              </w:rPr>
              <w:t xml:space="preserve"> </w:t>
            </w:r>
            <w:r w:rsidRPr="00E06B95">
              <w:rPr>
                <w:i/>
                <w:sz w:val="20"/>
                <w:lang w:val="fr-CA"/>
              </w:rPr>
              <w:t xml:space="preserve">de facto </w:t>
            </w:r>
            <w:r w:rsidRPr="00E06B95">
              <w:rPr>
                <w:sz w:val="20"/>
                <w:lang w:val="fr-CA"/>
              </w:rPr>
              <w:t>en ce qui concerne les redevances pétrolières et gazières et l’application des délais de prescription? — Les demandeurs sont</w:t>
            </w:r>
            <w:r w:rsidRPr="00E06B95">
              <w:rPr>
                <w:sz w:val="20"/>
                <w:lang w:val="fr-CA"/>
              </w:rPr>
              <w:noBreakHyphen/>
              <w:t xml:space="preserve">ils irrecevables à contester tous les aspects des lois fédérales portant sur le pétrole et le gaz, y compris les lois qui s’appliquaient encore après le dépôt de leur déclaration, au motif que les faits générateurs sur lesquels reposent leurs réclamations se sont « concrétisés » lors de l’adoption initiale des lois? — Convient-il, dans une requête en jugement sommaire, de statuer sur le fond de la demande lorsque la seule question dont la Cour est saisie est celle de savoir si les réclamations ont été présentées avant l’expiration du délai de prescription applicable? — </w:t>
            </w:r>
            <w:r w:rsidRPr="00E06B95">
              <w:rPr>
                <w:i/>
                <w:sz w:val="20"/>
                <w:lang w:val="fr-CA"/>
              </w:rPr>
              <w:t xml:space="preserve">Loi sur les Cours fédérales, </w:t>
            </w:r>
            <w:r w:rsidRPr="00E06B95">
              <w:rPr>
                <w:sz w:val="20"/>
                <w:lang w:val="fr-CA"/>
              </w:rPr>
              <w:t xml:space="preserve">L.R.C. 1985, c. F-7, art. 39 — </w:t>
            </w:r>
            <w:r w:rsidRPr="00E06B95">
              <w:rPr>
                <w:i/>
                <w:sz w:val="20"/>
                <w:lang w:val="fr-CA"/>
              </w:rPr>
              <w:t xml:space="preserve">Loi sur le pétrole et le gaz des terres indiennes, </w:t>
            </w:r>
            <w:r w:rsidRPr="00E06B95">
              <w:rPr>
                <w:sz w:val="20"/>
                <w:lang w:val="fr-CA"/>
              </w:rPr>
              <w:t xml:space="preserve">L.R.C. 1985, c. I-7, art. 4 — </w:t>
            </w:r>
            <w:r w:rsidRPr="00E06B95">
              <w:rPr>
                <w:i/>
                <w:sz w:val="20"/>
                <w:lang w:val="fr-CA"/>
              </w:rPr>
              <w:t xml:space="preserve">Limitation of Actions </w:t>
            </w:r>
            <w:proofErr w:type="spellStart"/>
            <w:r w:rsidRPr="00E06B95">
              <w:rPr>
                <w:i/>
                <w:sz w:val="20"/>
                <w:lang w:val="fr-CA"/>
              </w:rPr>
              <w:t>Act</w:t>
            </w:r>
            <w:proofErr w:type="spellEnd"/>
            <w:r w:rsidRPr="00E06B95">
              <w:rPr>
                <w:sz w:val="20"/>
                <w:lang w:val="fr-CA"/>
              </w:rPr>
              <w:t>, R.S.A. 1980, ch. L</w:t>
            </w:r>
            <w:r w:rsidRPr="00E06B95">
              <w:rPr>
                <w:sz w:val="20"/>
                <w:lang w:val="fr-CA"/>
              </w:rPr>
              <w:noBreakHyphen/>
              <w:t xml:space="preserve">15, par. 4(1) — </w:t>
            </w:r>
            <w:r w:rsidRPr="00E06B95">
              <w:rPr>
                <w:i/>
                <w:sz w:val="20"/>
                <w:lang w:val="fr-CA"/>
              </w:rPr>
              <w:t>Loi constitutionnelle de 1982</w:t>
            </w:r>
            <w:r w:rsidRPr="00E06B95">
              <w:rPr>
                <w:sz w:val="20"/>
                <w:lang w:val="fr-CA"/>
              </w:rPr>
              <w:t>, art. 35.</w:t>
            </w:r>
          </w:p>
        </w:tc>
      </w:tr>
      <w:tr w:rsidR="00303608" w:rsidRPr="00E06B95" w:rsidTr="00E95A6A">
        <w:tc>
          <w:tcPr>
            <w:tcW w:w="5000" w:type="pct"/>
            <w:gridSpan w:val="4"/>
          </w:tcPr>
          <w:p w:rsidR="00303608" w:rsidRPr="00E06B95" w:rsidRDefault="00303608" w:rsidP="00E06B95">
            <w:pPr>
              <w:jc w:val="both"/>
              <w:rPr>
                <w:sz w:val="20"/>
                <w:lang w:val="fr-CA"/>
              </w:rPr>
            </w:pPr>
          </w:p>
        </w:tc>
      </w:tr>
      <w:tr w:rsidR="00303608" w:rsidRPr="00E06B95" w:rsidTr="00E95A6A">
        <w:tc>
          <w:tcPr>
            <w:tcW w:w="5000" w:type="pct"/>
            <w:gridSpan w:val="4"/>
          </w:tcPr>
          <w:p w:rsidR="00303608" w:rsidRPr="00E06B95" w:rsidRDefault="00303608" w:rsidP="00E06B95">
            <w:pPr>
              <w:jc w:val="both"/>
              <w:rPr>
                <w:sz w:val="20"/>
                <w:lang w:val="fr-CA"/>
              </w:rPr>
            </w:pPr>
            <w:r w:rsidRPr="00E06B95">
              <w:rPr>
                <w:sz w:val="20"/>
                <w:lang w:val="fr-CA"/>
              </w:rPr>
              <w:t xml:space="preserve">En 1946, la Première Nation demanderesse a renoncé à ses droits miniers dans sa réserve en faveur de Sa Majesté, ce qui a permis à celle-ci d’octroyer des baux à des sociétés pétrolières et gazières, qui ont ensuite versé des redevances à l’État en fiducie pour la Première Nation. En 1973, le Canada a élaboré une stratégie nationale pour contrer la flambée des cours internationaux du pétrole. Cette stratégie prévoyait notamment l’imposition d’une taxe (et, plus tard, de droits) sur l’exportation du pétrole. La taxe ou les droits ont été prélevés sur le pétrole exporté produit dans la réserve entre 1973 et 1985. En 1989, la Première Nation a intenté devant la Cour fédérale une action dans laquelle elle a formulé contre le Canada un certain nombre d’allégations découlant de ces faits, soutenant que le régime de prix réglementés constituait, notamment, un manquement aux obligations fiduciaires et </w:t>
            </w:r>
            <w:proofErr w:type="spellStart"/>
            <w:r w:rsidRPr="00E06B95">
              <w:rPr>
                <w:sz w:val="20"/>
                <w:lang w:val="fr-CA"/>
              </w:rPr>
              <w:t>fiduciales</w:t>
            </w:r>
            <w:proofErr w:type="spellEnd"/>
            <w:r w:rsidRPr="00E06B95">
              <w:rPr>
                <w:sz w:val="20"/>
                <w:lang w:val="fr-CA"/>
              </w:rPr>
              <w:t xml:space="preserve"> de Sa Majesté ainsi qu’une violation de droits et d’obligations issus de traités. La Couronne fédérale a présenté une requête en jugement sommaire dans laquelle elle sollicitait le rejet de l’action au motif qu’elle avait été intentée après l’expiration du délai de prescription légal de six ans. </w:t>
            </w:r>
          </w:p>
          <w:p w:rsidR="00303608" w:rsidRPr="00E06B95" w:rsidRDefault="00303608" w:rsidP="00E06B95">
            <w:pPr>
              <w:jc w:val="both"/>
              <w:rPr>
                <w:sz w:val="20"/>
                <w:lang w:val="fr-CA"/>
              </w:rPr>
            </w:pPr>
          </w:p>
          <w:p w:rsidR="00303608" w:rsidRPr="00E06B95" w:rsidRDefault="00303608" w:rsidP="00E06B95">
            <w:pPr>
              <w:jc w:val="both"/>
              <w:rPr>
                <w:sz w:val="20"/>
                <w:lang w:val="fr-CA"/>
              </w:rPr>
            </w:pPr>
            <w:r w:rsidRPr="00E06B95">
              <w:rPr>
                <w:sz w:val="20"/>
                <w:lang w:val="fr-CA"/>
              </w:rPr>
              <w:t>La Cour fédérale a accueilli la requête en jugement sommaire de la Couronne contre la Première Nation, concluant que l’action de celle-ci ne soulevait aucune question donnant matière à procès, en raison des délais de prescription légaux applicables. La Cour d’appel fédérale a rejeté, à la majorité, l’appel de la Première Nation, n’ayant relevé aucune erreur dans le raisonnement et la décision de la Cour fédérale. De l’avis de la Cour d’appel, le juge des requêtes avait correctement appliqué la jurisprudence existante, qui confirme que les délais de prescription s’appliquent à toutes les revendications des peuples autochtones, y compris celles fondées sur la violation de droits issus de traités. Dissident en partie, un juge de la Cour d’appel aurait accueilli l’appel de la Première Nation afin de permettre l’examen de l’allégation de celle-ci selon laquelle le Canada avait perçu à tort une taxe, dans le cas des sommes perçues au cours de la période de six ans précédant le dépôt de la déclaration de la Première Nation.</w:t>
            </w:r>
          </w:p>
          <w:p w:rsidR="00303608" w:rsidRPr="00E06B95" w:rsidRDefault="00303608" w:rsidP="00E06B95">
            <w:pPr>
              <w:jc w:val="both"/>
              <w:rPr>
                <w:sz w:val="20"/>
                <w:lang w:val="fr-CA"/>
              </w:rPr>
            </w:pP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lastRenderedPageBreak/>
              <w:t>9 juillet 2015</w:t>
            </w:r>
          </w:p>
          <w:p w:rsidR="00303608" w:rsidRPr="00E06B95" w:rsidRDefault="00303608" w:rsidP="00E06B95">
            <w:pPr>
              <w:jc w:val="both"/>
              <w:rPr>
                <w:sz w:val="20"/>
                <w:lang w:val="fr-CA"/>
              </w:rPr>
            </w:pPr>
            <w:r w:rsidRPr="00E06B95">
              <w:rPr>
                <w:sz w:val="20"/>
                <w:lang w:val="fr-CA"/>
              </w:rPr>
              <w:t>Cour fédérale</w:t>
            </w:r>
          </w:p>
          <w:p w:rsidR="00303608" w:rsidRPr="00E06B95" w:rsidRDefault="00303608" w:rsidP="00E06B95">
            <w:pPr>
              <w:jc w:val="both"/>
              <w:rPr>
                <w:sz w:val="20"/>
                <w:lang w:val="fr-CA"/>
              </w:rPr>
            </w:pPr>
            <w:r w:rsidRPr="00E06B95">
              <w:rPr>
                <w:sz w:val="20"/>
                <w:lang w:val="fr-CA"/>
              </w:rPr>
              <w:t>(Juge Russell)</w:t>
            </w:r>
          </w:p>
          <w:p w:rsidR="00303608" w:rsidRPr="00E06B95" w:rsidRDefault="00303608" w:rsidP="00E06B95">
            <w:pPr>
              <w:jc w:val="both"/>
              <w:rPr>
                <w:sz w:val="20"/>
                <w:lang w:val="fr-CA"/>
              </w:rPr>
            </w:pPr>
            <w:hyperlink r:id="rId37" w:history="1">
              <w:r w:rsidRPr="00E06B95">
                <w:rPr>
                  <w:rStyle w:val="Hyperlink"/>
                  <w:sz w:val="20"/>
                  <w:lang w:val="fr-CA"/>
                </w:rPr>
                <w:t>2015 CF 836</w:t>
              </w:r>
            </w:hyperlink>
            <w:r w:rsidRPr="00E06B95">
              <w:rPr>
                <w:sz w:val="20"/>
                <w:lang w:val="fr-CA"/>
              </w:rPr>
              <w:t xml:space="preserve"> </w:t>
            </w:r>
          </w:p>
          <w:p w:rsidR="00303608" w:rsidRPr="00E06B95" w:rsidRDefault="00303608" w:rsidP="00E06B95">
            <w:pPr>
              <w:jc w:val="both"/>
              <w:rPr>
                <w:sz w:val="20"/>
                <w:lang w:val="fr-CA"/>
              </w:rPr>
            </w:pPr>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Requête en jugement sommaire de la Couronne accueillie; action du demandeur rejetée pour cause de prescription</w:t>
            </w:r>
            <w:bookmarkStart w:id="0" w:name="_GoBack"/>
            <w:bookmarkEnd w:id="0"/>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t>8 septembre 2016</w:t>
            </w:r>
          </w:p>
          <w:p w:rsidR="00303608" w:rsidRPr="00E06B95" w:rsidRDefault="00303608" w:rsidP="00E06B95">
            <w:pPr>
              <w:jc w:val="both"/>
              <w:rPr>
                <w:sz w:val="20"/>
                <w:lang w:val="fr-CA"/>
              </w:rPr>
            </w:pPr>
            <w:r w:rsidRPr="00E06B95">
              <w:rPr>
                <w:sz w:val="20"/>
                <w:lang w:val="fr-CA"/>
              </w:rPr>
              <w:t xml:space="preserve">Cour d’appel fédérale </w:t>
            </w:r>
          </w:p>
          <w:p w:rsidR="00303608" w:rsidRPr="00E06B95" w:rsidRDefault="00303608" w:rsidP="00E06B95">
            <w:pPr>
              <w:jc w:val="both"/>
              <w:rPr>
                <w:sz w:val="20"/>
                <w:lang w:val="fr-CA"/>
              </w:rPr>
            </w:pPr>
            <w:r w:rsidRPr="00E06B95">
              <w:rPr>
                <w:sz w:val="20"/>
                <w:lang w:val="fr-CA"/>
              </w:rPr>
              <w:t xml:space="preserve">(Juges Nadon et Dawson, le juge Webb </w:t>
            </w:r>
          </w:p>
          <w:p w:rsidR="00303608" w:rsidRPr="00E06B95" w:rsidRDefault="00303608" w:rsidP="00E06B95">
            <w:pPr>
              <w:jc w:val="both"/>
              <w:rPr>
                <w:sz w:val="20"/>
                <w:lang w:val="fr-CA"/>
              </w:rPr>
            </w:pPr>
            <w:r w:rsidRPr="00E06B95">
              <w:rPr>
                <w:sz w:val="20"/>
                <w:lang w:val="fr-CA"/>
              </w:rPr>
              <w:t>étant dissident en partie)</w:t>
            </w:r>
          </w:p>
          <w:p w:rsidR="00303608" w:rsidRPr="00E06B95" w:rsidRDefault="00303608" w:rsidP="00E06B95">
            <w:pPr>
              <w:jc w:val="both"/>
              <w:rPr>
                <w:sz w:val="20"/>
                <w:lang w:val="fr-CA"/>
              </w:rPr>
            </w:pPr>
            <w:hyperlink r:id="rId38" w:history="1">
              <w:r w:rsidRPr="00E06B95">
                <w:rPr>
                  <w:rStyle w:val="Hyperlink"/>
                  <w:sz w:val="20"/>
                  <w:lang w:val="fr-CA"/>
                </w:rPr>
                <w:t>2016 CAF 223</w:t>
              </w:r>
            </w:hyperlink>
            <w:r w:rsidRPr="00E06B95">
              <w:rPr>
                <w:sz w:val="20"/>
                <w:lang w:val="fr-CA"/>
              </w:rPr>
              <w:t xml:space="preserve"> </w:t>
            </w:r>
          </w:p>
          <w:p w:rsidR="00303608" w:rsidRPr="00E06B95" w:rsidRDefault="00303608" w:rsidP="00E06B95">
            <w:pPr>
              <w:jc w:val="both"/>
              <w:rPr>
                <w:sz w:val="20"/>
                <w:lang w:val="fr-CA"/>
              </w:rPr>
            </w:pPr>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Rejet de l’appel du demandeur</w:t>
            </w:r>
          </w:p>
        </w:tc>
      </w:tr>
      <w:tr w:rsidR="00303608" w:rsidRPr="00E06B95" w:rsidTr="00E95A6A">
        <w:tc>
          <w:tcPr>
            <w:tcW w:w="2427" w:type="pct"/>
            <w:gridSpan w:val="2"/>
          </w:tcPr>
          <w:p w:rsidR="00303608" w:rsidRPr="00E06B95" w:rsidRDefault="00303608" w:rsidP="00E06B95">
            <w:pPr>
              <w:jc w:val="both"/>
              <w:rPr>
                <w:sz w:val="20"/>
                <w:lang w:val="fr-CA"/>
              </w:rPr>
            </w:pPr>
            <w:r w:rsidRPr="00E06B95">
              <w:rPr>
                <w:sz w:val="20"/>
                <w:lang w:val="fr-CA"/>
              </w:rPr>
              <w:t>4 novembre 2016</w:t>
            </w:r>
          </w:p>
          <w:p w:rsidR="00303608" w:rsidRPr="00E06B95" w:rsidRDefault="00E06B95" w:rsidP="00E06B95">
            <w:pPr>
              <w:jc w:val="both"/>
              <w:rPr>
                <w:sz w:val="20"/>
                <w:lang w:val="fr-CA"/>
              </w:rPr>
            </w:pPr>
            <w:r>
              <w:rPr>
                <w:sz w:val="20"/>
                <w:lang w:val="fr-CA"/>
              </w:rPr>
              <w:t>Cour suprême du Canada</w:t>
            </w:r>
          </w:p>
        </w:tc>
        <w:tc>
          <w:tcPr>
            <w:tcW w:w="243" w:type="pct"/>
          </w:tcPr>
          <w:p w:rsidR="00303608" w:rsidRPr="00E06B95" w:rsidRDefault="00303608" w:rsidP="00E06B95">
            <w:pPr>
              <w:jc w:val="both"/>
              <w:rPr>
                <w:sz w:val="20"/>
                <w:lang w:val="fr-CA"/>
              </w:rPr>
            </w:pPr>
          </w:p>
        </w:tc>
        <w:tc>
          <w:tcPr>
            <w:tcW w:w="2330" w:type="pct"/>
          </w:tcPr>
          <w:p w:rsidR="00303608" w:rsidRPr="00E06B95" w:rsidRDefault="00303608" w:rsidP="00E06B95">
            <w:pPr>
              <w:jc w:val="both"/>
              <w:rPr>
                <w:sz w:val="20"/>
                <w:lang w:val="fr-CA"/>
              </w:rPr>
            </w:pPr>
            <w:r w:rsidRPr="00E06B95">
              <w:rPr>
                <w:sz w:val="20"/>
                <w:lang w:val="fr-CA"/>
              </w:rPr>
              <w:t>Dépôt de la demande d’autorisation d’appel du demandeur</w:t>
            </w:r>
          </w:p>
        </w:tc>
      </w:tr>
    </w:tbl>
    <w:p w:rsidR="00A95728" w:rsidRPr="00303608" w:rsidRDefault="00A95728" w:rsidP="00F13671">
      <w:pPr>
        <w:ind w:left="360" w:hanging="360"/>
        <w:jc w:val="both"/>
        <w:rPr>
          <w:sz w:val="20"/>
          <w:lang w:val="fr-CA" w:eastAsia="en-CA"/>
        </w:rPr>
      </w:pPr>
    </w:p>
    <w:p w:rsidR="00A95728" w:rsidRPr="00303608" w:rsidRDefault="00A95728" w:rsidP="00F13671">
      <w:pPr>
        <w:ind w:left="360" w:hanging="360"/>
        <w:jc w:val="both"/>
        <w:rPr>
          <w:sz w:val="20"/>
          <w:lang w:val="fr-CA" w:eastAsia="en-CA"/>
        </w:rPr>
      </w:pPr>
    </w:p>
    <w:p w:rsidR="00AF63E5" w:rsidRPr="00303608" w:rsidRDefault="00AF63E5" w:rsidP="00F13671">
      <w:pPr>
        <w:ind w:left="360" w:hanging="360"/>
        <w:jc w:val="both"/>
        <w:rPr>
          <w:sz w:val="20"/>
          <w:lang w:val="fr-CA" w:eastAsia="en-CA"/>
        </w:rPr>
      </w:pPr>
    </w:p>
    <w:p w:rsidR="00D3344A" w:rsidRPr="00934498" w:rsidRDefault="00D3344A" w:rsidP="00D3344A">
      <w:pPr>
        <w:widowControl w:val="0"/>
        <w:outlineLvl w:val="0"/>
      </w:pPr>
      <w:r w:rsidRPr="00934498">
        <w:t xml:space="preserve">Supreme Court of Canada / Cour suprême du </w:t>
      </w:r>
      <w:proofErr w:type="gramStart"/>
      <w:r w:rsidRPr="00934498">
        <w:t>Canad</w:t>
      </w:r>
      <w:r w:rsidR="00EE289F" w:rsidRPr="00934498">
        <w:t>a</w:t>
      </w:r>
      <w:r w:rsidRPr="00934498">
        <w:t xml:space="preserve"> :</w:t>
      </w:r>
      <w:proofErr w:type="gramEnd"/>
    </w:p>
    <w:p w:rsidR="00D3344A" w:rsidRPr="00934498" w:rsidRDefault="00E06B95" w:rsidP="00D3344A">
      <w:pPr>
        <w:widowControl w:val="0"/>
        <w:outlineLvl w:val="0"/>
        <w:rPr>
          <w:u w:val="single"/>
        </w:rPr>
      </w:pPr>
      <w:hyperlink r:id="rId39" w:history="1">
        <w:r w:rsidR="009B7391" w:rsidRPr="00934498">
          <w:rPr>
            <w:rStyle w:val="Hyperlink"/>
          </w:rPr>
          <w:t>comments-commentaires@scc-csc.ca</w:t>
        </w:r>
      </w:hyperlink>
    </w:p>
    <w:p w:rsidR="00D3344A" w:rsidRPr="00934498" w:rsidRDefault="0065588C" w:rsidP="00D3344A">
      <w:pPr>
        <w:widowControl w:val="0"/>
        <w:outlineLvl w:val="0"/>
      </w:pPr>
      <w:r w:rsidRPr="00934498">
        <w:t>613-</w:t>
      </w:r>
      <w:r w:rsidR="00D3344A" w:rsidRPr="00934498">
        <w:t>995-4330</w:t>
      </w:r>
    </w:p>
    <w:p w:rsidR="00497B5E" w:rsidRPr="00934498" w:rsidRDefault="00497B5E" w:rsidP="00497B5E">
      <w:pPr>
        <w:widowControl w:val="0"/>
        <w:rPr>
          <w:sz w:val="20"/>
        </w:rPr>
      </w:pPr>
    </w:p>
    <w:p w:rsidR="00F6251B" w:rsidRPr="006E558B" w:rsidRDefault="003F43E6" w:rsidP="00F6251B">
      <w:pPr>
        <w:pStyle w:val="Footer"/>
        <w:jc w:val="center"/>
      </w:pPr>
      <w:r w:rsidRPr="00934498">
        <w:t>- 30 -</w:t>
      </w:r>
    </w:p>
    <w:p w:rsidR="00F6251B" w:rsidRPr="006E558B" w:rsidRDefault="00F6251B" w:rsidP="00F6251B">
      <w:pPr>
        <w:pStyle w:val="Footer"/>
        <w:jc w:val="center"/>
      </w:pPr>
    </w:p>
    <w:sectPr w:rsidR="00F6251B" w:rsidRPr="006E558B" w:rsidSect="00524822">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576" w:footer="7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172" w:rsidRDefault="00D46172" w:rsidP="0034178A">
      <w:r>
        <w:separator/>
      </w:r>
    </w:p>
  </w:endnote>
  <w:endnote w:type="continuationSeparator" w:id="0">
    <w:p w:rsidR="00D46172" w:rsidRDefault="00D46172"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172" w:rsidRPr="009F77F0" w:rsidRDefault="00D46172"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172" w:rsidRDefault="00D46172" w:rsidP="0034178A">
      <w:r>
        <w:separator/>
      </w:r>
    </w:p>
  </w:footnote>
  <w:footnote w:type="continuationSeparator" w:id="0">
    <w:p w:rsidR="00D46172" w:rsidRDefault="00D46172"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B21" w:rsidRDefault="00A20B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03931"/>
    <w:multiLevelType w:val="hybridMultilevel"/>
    <w:tmpl w:val="00F040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F97C66"/>
    <w:multiLevelType w:val="hybridMultilevel"/>
    <w:tmpl w:val="79703E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736994"/>
    <w:multiLevelType w:val="hybridMultilevel"/>
    <w:tmpl w:val="552E23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2B6428"/>
    <w:multiLevelType w:val="hybridMultilevel"/>
    <w:tmpl w:val="2F5E6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D5A58"/>
    <w:multiLevelType w:val="hybridMultilevel"/>
    <w:tmpl w:val="EF844478"/>
    <w:lvl w:ilvl="0" w:tplc="296A3426">
      <w:start w:val="5"/>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E9D1D02"/>
    <w:multiLevelType w:val="hybridMultilevel"/>
    <w:tmpl w:val="C10447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202278EC"/>
    <w:multiLevelType w:val="hybridMultilevel"/>
    <w:tmpl w:val="AC9C8176"/>
    <w:lvl w:ilvl="0" w:tplc="F7341CE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FC371A"/>
    <w:multiLevelType w:val="hybridMultilevel"/>
    <w:tmpl w:val="303E36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4EC2069"/>
    <w:multiLevelType w:val="hybridMultilevel"/>
    <w:tmpl w:val="13BEC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21DA8"/>
    <w:multiLevelType w:val="hybridMultilevel"/>
    <w:tmpl w:val="93E2D1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D721B55"/>
    <w:multiLevelType w:val="hybridMultilevel"/>
    <w:tmpl w:val="8766F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72556"/>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A363C9"/>
    <w:multiLevelType w:val="hybridMultilevel"/>
    <w:tmpl w:val="3236A848"/>
    <w:lvl w:ilvl="0" w:tplc="500C35D4">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41215033"/>
    <w:multiLevelType w:val="hybridMultilevel"/>
    <w:tmpl w:val="DDF48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FD1B70"/>
    <w:multiLevelType w:val="hybridMultilevel"/>
    <w:tmpl w:val="FCDE949E"/>
    <w:lvl w:ilvl="0" w:tplc="4DC6FE30">
      <w:start w:val="4"/>
      <w:numFmt w:val="decimal"/>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5851381"/>
    <w:multiLevelType w:val="hybridMultilevel"/>
    <w:tmpl w:val="A0C64E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466BFE"/>
    <w:multiLevelType w:val="hybridMultilevel"/>
    <w:tmpl w:val="A138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2311A5"/>
    <w:multiLevelType w:val="hybridMultilevel"/>
    <w:tmpl w:val="19F8820E"/>
    <w:lvl w:ilvl="0" w:tplc="E66EA206">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BB91052"/>
    <w:multiLevelType w:val="hybridMultilevel"/>
    <w:tmpl w:val="7FC2CBF0"/>
    <w:lvl w:ilvl="0" w:tplc="EB84D46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C002DA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13F7D91"/>
    <w:multiLevelType w:val="hybridMultilevel"/>
    <w:tmpl w:val="2E8293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5246BBF"/>
    <w:multiLevelType w:val="hybridMultilevel"/>
    <w:tmpl w:val="8A8EE4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5A8241D"/>
    <w:multiLevelType w:val="hybridMultilevel"/>
    <w:tmpl w:val="42EE0CF4"/>
    <w:lvl w:ilvl="0" w:tplc="50727C8C">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1" w15:restartNumberingAfterBreak="0">
    <w:nsid w:val="6B416E9C"/>
    <w:multiLevelType w:val="hybridMultilevel"/>
    <w:tmpl w:val="6826D6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DE549A4"/>
    <w:multiLevelType w:val="hybridMultilevel"/>
    <w:tmpl w:val="0D6C2E6A"/>
    <w:lvl w:ilvl="0" w:tplc="189A4340">
      <w:start w:val="2"/>
      <w:numFmt w:val="decimal"/>
      <w:lvlText w:val="%1."/>
      <w:lvlJc w:val="left"/>
      <w:pPr>
        <w:ind w:left="720" w:hanging="360"/>
      </w:pPr>
      <w:rPr>
        <w:i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70147822"/>
    <w:multiLevelType w:val="hybridMultilevel"/>
    <w:tmpl w:val="5844B900"/>
    <w:lvl w:ilvl="0" w:tplc="B8CA8CF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E430F0"/>
    <w:multiLevelType w:val="hybridMultilevel"/>
    <w:tmpl w:val="454E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3CA4F50"/>
    <w:multiLevelType w:val="hybridMultilevel"/>
    <w:tmpl w:val="D9786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A752C6"/>
    <w:multiLevelType w:val="hybridMultilevel"/>
    <w:tmpl w:val="57409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7237F8"/>
    <w:multiLevelType w:val="hybridMultilevel"/>
    <w:tmpl w:val="C97895E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A01038"/>
    <w:multiLevelType w:val="hybridMultilevel"/>
    <w:tmpl w:val="14C8A6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7DD30DA"/>
    <w:multiLevelType w:val="hybridMultilevel"/>
    <w:tmpl w:val="7DEEB5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8053A9F"/>
    <w:multiLevelType w:val="hybridMultilevel"/>
    <w:tmpl w:val="512ED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D268F8"/>
    <w:multiLevelType w:val="hybridMultilevel"/>
    <w:tmpl w:val="8E887A14"/>
    <w:lvl w:ilvl="0" w:tplc="F3C6B756">
      <w:start w:val="3"/>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1"/>
  </w:num>
  <w:num w:numId="2">
    <w:abstractNumId w:val="10"/>
  </w:num>
  <w:num w:numId="3">
    <w:abstractNumId w:val="18"/>
  </w:num>
  <w:num w:numId="4">
    <w:abstractNumId w:val="39"/>
  </w:num>
  <w:num w:numId="5">
    <w:abstractNumId w:val="24"/>
  </w:num>
  <w:num w:numId="6">
    <w:abstractNumId w:val="15"/>
  </w:num>
  <w:num w:numId="7">
    <w:abstractNumId w:val="3"/>
  </w:num>
  <w:num w:numId="8">
    <w:abstractNumId w:val="2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2"/>
  </w:num>
  <w:num w:numId="11">
    <w:abstractNumId w:val="31"/>
  </w:num>
  <w:num w:numId="12">
    <w:abstractNumId w:val="41"/>
  </w:num>
  <w:num w:numId="13">
    <w:abstractNumId w:val="35"/>
  </w:num>
  <w:num w:numId="14">
    <w:abstractNumId w:val="6"/>
  </w:num>
  <w:num w:numId="15">
    <w:abstractNumId w:val="37"/>
  </w:num>
  <w:num w:numId="16">
    <w:abstractNumId w:val="27"/>
  </w:num>
  <w:num w:numId="17">
    <w:abstractNumId w:val="14"/>
  </w:num>
  <w:num w:numId="18">
    <w:abstractNumId w:val="9"/>
  </w:num>
  <w:num w:numId="19">
    <w:abstractNumId w:val="28"/>
  </w:num>
  <w:num w:numId="20">
    <w:abstractNumId w:val="7"/>
  </w:num>
  <w:num w:numId="21">
    <w:abstractNumId w:val="0"/>
  </w:num>
  <w:num w:numId="22">
    <w:abstractNumId w:val="29"/>
  </w:num>
  <w:num w:numId="23">
    <w:abstractNumId w:val="5"/>
  </w:num>
  <w:num w:numId="24">
    <w:abstractNumId w:val="16"/>
  </w:num>
  <w:num w:numId="25">
    <w:abstractNumId w:val="1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4"/>
  </w:num>
  <w:num w:numId="29">
    <w:abstractNumId w:val="12"/>
  </w:num>
  <w:num w:numId="30">
    <w:abstractNumId w:val="38"/>
  </w:num>
  <w:num w:numId="31">
    <w:abstractNumId w:val="2"/>
  </w:num>
  <w:num w:numId="32">
    <w:abstractNumId w:val="26"/>
  </w:num>
  <w:num w:numId="33">
    <w:abstractNumId w:val="13"/>
  </w:num>
  <w:num w:numId="34">
    <w:abstractNumId w:val="11"/>
  </w:num>
  <w:num w:numId="35">
    <w:abstractNumId w:val="33"/>
  </w:num>
  <w:num w:numId="3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20"/>
  </w:num>
  <w:num w:numId="40">
    <w:abstractNumId w:val="25"/>
  </w:num>
  <w:num w:numId="41">
    <w:abstractNumId w:val="43"/>
  </w:num>
  <w:num w:numId="42">
    <w:abstractNumId w:val="4"/>
  </w:num>
  <w:num w:numId="43">
    <w:abstractNumId w:val="36"/>
  </w:num>
  <w:num w:numId="44">
    <w:abstractNumId w:val="4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558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1846"/>
    <w:rsid w:val="000018E3"/>
    <w:rsid w:val="000026D6"/>
    <w:rsid w:val="00003072"/>
    <w:rsid w:val="00003A2D"/>
    <w:rsid w:val="00003D1C"/>
    <w:rsid w:val="00003FFB"/>
    <w:rsid w:val="000043C3"/>
    <w:rsid w:val="00006057"/>
    <w:rsid w:val="00006648"/>
    <w:rsid w:val="00006868"/>
    <w:rsid w:val="0000743E"/>
    <w:rsid w:val="000076E7"/>
    <w:rsid w:val="00010A38"/>
    <w:rsid w:val="000128A2"/>
    <w:rsid w:val="000136CC"/>
    <w:rsid w:val="0001374A"/>
    <w:rsid w:val="00014C19"/>
    <w:rsid w:val="00015958"/>
    <w:rsid w:val="000164DB"/>
    <w:rsid w:val="00016932"/>
    <w:rsid w:val="00016D65"/>
    <w:rsid w:val="00016D95"/>
    <w:rsid w:val="0001736B"/>
    <w:rsid w:val="00017D08"/>
    <w:rsid w:val="00020797"/>
    <w:rsid w:val="00020816"/>
    <w:rsid w:val="00020DAE"/>
    <w:rsid w:val="00021515"/>
    <w:rsid w:val="0002267C"/>
    <w:rsid w:val="00022EFE"/>
    <w:rsid w:val="00024962"/>
    <w:rsid w:val="000250B7"/>
    <w:rsid w:val="00025F42"/>
    <w:rsid w:val="000276EE"/>
    <w:rsid w:val="000277E1"/>
    <w:rsid w:val="00032BD3"/>
    <w:rsid w:val="00032E02"/>
    <w:rsid w:val="00033257"/>
    <w:rsid w:val="00033935"/>
    <w:rsid w:val="00033D1E"/>
    <w:rsid w:val="00033D28"/>
    <w:rsid w:val="000343B3"/>
    <w:rsid w:val="0003496D"/>
    <w:rsid w:val="00034A7F"/>
    <w:rsid w:val="000352F8"/>
    <w:rsid w:val="00035790"/>
    <w:rsid w:val="000368C3"/>
    <w:rsid w:val="00040247"/>
    <w:rsid w:val="00041302"/>
    <w:rsid w:val="0004159F"/>
    <w:rsid w:val="00041B58"/>
    <w:rsid w:val="00042069"/>
    <w:rsid w:val="00042390"/>
    <w:rsid w:val="0004298B"/>
    <w:rsid w:val="000437B4"/>
    <w:rsid w:val="00043D20"/>
    <w:rsid w:val="00043FDE"/>
    <w:rsid w:val="000467DE"/>
    <w:rsid w:val="00046CB2"/>
    <w:rsid w:val="00047188"/>
    <w:rsid w:val="00047CD6"/>
    <w:rsid w:val="00051DE6"/>
    <w:rsid w:val="00053BAF"/>
    <w:rsid w:val="00054F8E"/>
    <w:rsid w:val="00055DB2"/>
    <w:rsid w:val="000577D9"/>
    <w:rsid w:val="000579A0"/>
    <w:rsid w:val="00060753"/>
    <w:rsid w:val="00060B62"/>
    <w:rsid w:val="00061283"/>
    <w:rsid w:val="000627A2"/>
    <w:rsid w:val="000629D7"/>
    <w:rsid w:val="0006325B"/>
    <w:rsid w:val="0006417A"/>
    <w:rsid w:val="00065F8F"/>
    <w:rsid w:val="0006649C"/>
    <w:rsid w:val="00066B80"/>
    <w:rsid w:val="00067F50"/>
    <w:rsid w:val="00070830"/>
    <w:rsid w:val="00074EB7"/>
    <w:rsid w:val="00077CCC"/>
    <w:rsid w:val="00077E16"/>
    <w:rsid w:val="00080675"/>
    <w:rsid w:val="000809B3"/>
    <w:rsid w:val="00080EAB"/>
    <w:rsid w:val="00081348"/>
    <w:rsid w:val="00081C6A"/>
    <w:rsid w:val="00082444"/>
    <w:rsid w:val="000825A5"/>
    <w:rsid w:val="00082885"/>
    <w:rsid w:val="00082D8D"/>
    <w:rsid w:val="00082E05"/>
    <w:rsid w:val="00083162"/>
    <w:rsid w:val="0008327A"/>
    <w:rsid w:val="000841F9"/>
    <w:rsid w:val="000843DB"/>
    <w:rsid w:val="000845AF"/>
    <w:rsid w:val="00085D13"/>
    <w:rsid w:val="00086629"/>
    <w:rsid w:val="00087808"/>
    <w:rsid w:val="000879BA"/>
    <w:rsid w:val="0009046F"/>
    <w:rsid w:val="00091FFC"/>
    <w:rsid w:val="00093693"/>
    <w:rsid w:val="00094C56"/>
    <w:rsid w:val="00095627"/>
    <w:rsid w:val="00096BDC"/>
    <w:rsid w:val="000975EC"/>
    <w:rsid w:val="00097C55"/>
    <w:rsid w:val="000A0444"/>
    <w:rsid w:val="000A0472"/>
    <w:rsid w:val="000A0F64"/>
    <w:rsid w:val="000A152E"/>
    <w:rsid w:val="000A20B0"/>
    <w:rsid w:val="000A245A"/>
    <w:rsid w:val="000A4311"/>
    <w:rsid w:val="000A50F9"/>
    <w:rsid w:val="000A6C60"/>
    <w:rsid w:val="000A6F64"/>
    <w:rsid w:val="000A76D7"/>
    <w:rsid w:val="000A78FC"/>
    <w:rsid w:val="000A7C00"/>
    <w:rsid w:val="000B07FB"/>
    <w:rsid w:val="000B10DF"/>
    <w:rsid w:val="000B163F"/>
    <w:rsid w:val="000B46A2"/>
    <w:rsid w:val="000B6193"/>
    <w:rsid w:val="000B7258"/>
    <w:rsid w:val="000B754A"/>
    <w:rsid w:val="000B76DB"/>
    <w:rsid w:val="000B7CBE"/>
    <w:rsid w:val="000B7EF2"/>
    <w:rsid w:val="000C0262"/>
    <w:rsid w:val="000C02C5"/>
    <w:rsid w:val="000C0E20"/>
    <w:rsid w:val="000C164B"/>
    <w:rsid w:val="000C182C"/>
    <w:rsid w:val="000C18B8"/>
    <w:rsid w:val="000C236F"/>
    <w:rsid w:val="000C2CA7"/>
    <w:rsid w:val="000C3667"/>
    <w:rsid w:val="000C41A6"/>
    <w:rsid w:val="000C41C9"/>
    <w:rsid w:val="000C467B"/>
    <w:rsid w:val="000C4781"/>
    <w:rsid w:val="000C4D58"/>
    <w:rsid w:val="000C572E"/>
    <w:rsid w:val="000C61C7"/>
    <w:rsid w:val="000C6AA2"/>
    <w:rsid w:val="000C6C97"/>
    <w:rsid w:val="000C7BD5"/>
    <w:rsid w:val="000D1DDF"/>
    <w:rsid w:val="000D262B"/>
    <w:rsid w:val="000D2F5C"/>
    <w:rsid w:val="000D3129"/>
    <w:rsid w:val="000D4BBF"/>
    <w:rsid w:val="000D556A"/>
    <w:rsid w:val="000D6FB8"/>
    <w:rsid w:val="000E0D38"/>
    <w:rsid w:val="000E1AEC"/>
    <w:rsid w:val="000E1FB7"/>
    <w:rsid w:val="000E3195"/>
    <w:rsid w:val="000E35CD"/>
    <w:rsid w:val="000E4F1E"/>
    <w:rsid w:val="000E50F2"/>
    <w:rsid w:val="000E514D"/>
    <w:rsid w:val="000E51E9"/>
    <w:rsid w:val="000E5407"/>
    <w:rsid w:val="000E5979"/>
    <w:rsid w:val="000F0595"/>
    <w:rsid w:val="000F12B8"/>
    <w:rsid w:val="000F233F"/>
    <w:rsid w:val="000F3118"/>
    <w:rsid w:val="000F3522"/>
    <w:rsid w:val="000F4C35"/>
    <w:rsid w:val="000F525E"/>
    <w:rsid w:val="000F5511"/>
    <w:rsid w:val="000F6CBD"/>
    <w:rsid w:val="0010013D"/>
    <w:rsid w:val="00100C1C"/>
    <w:rsid w:val="00100CEE"/>
    <w:rsid w:val="001017D1"/>
    <w:rsid w:val="00101E4B"/>
    <w:rsid w:val="001029D6"/>
    <w:rsid w:val="00102F8F"/>
    <w:rsid w:val="001033B2"/>
    <w:rsid w:val="001043C6"/>
    <w:rsid w:val="00105612"/>
    <w:rsid w:val="001068F5"/>
    <w:rsid w:val="00107219"/>
    <w:rsid w:val="00107DAF"/>
    <w:rsid w:val="001101BB"/>
    <w:rsid w:val="00110FE1"/>
    <w:rsid w:val="0011219D"/>
    <w:rsid w:val="00113F0C"/>
    <w:rsid w:val="001147A4"/>
    <w:rsid w:val="00115CF1"/>
    <w:rsid w:val="001170C6"/>
    <w:rsid w:val="00117137"/>
    <w:rsid w:val="00117AF3"/>
    <w:rsid w:val="001200D6"/>
    <w:rsid w:val="00120360"/>
    <w:rsid w:val="0012068C"/>
    <w:rsid w:val="00120BC7"/>
    <w:rsid w:val="00120CA0"/>
    <w:rsid w:val="0012101A"/>
    <w:rsid w:val="0012202C"/>
    <w:rsid w:val="00122CE1"/>
    <w:rsid w:val="00123976"/>
    <w:rsid w:val="00124629"/>
    <w:rsid w:val="00124DEC"/>
    <w:rsid w:val="00124EFD"/>
    <w:rsid w:val="0012577E"/>
    <w:rsid w:val="001262EF"/>
    <w:rsid w:val="0012732F"/>
    <w:rsid w:val="0013159F"/>
    <w:rsid w:val="00131EB1"/>
    <w:rsid w:val="00132635"/>
    <w:rsid w:val="0013283A"/>
    <w:rsid w:val="00134190"/>
    <w:rsid w:val="001354E7"/>
    <w:rsid w:val="00135A54"/>
    <w:rsid w:val="00136710"/>
    <w:rsid w:val="001400A0"/>
    <w:rsid w:val="00140982"/>
    <w:rsid w:val="00141200"/>
    <w:rsid w:val="00141591"/>
    <w:rsid w:val="0014172A"/>
    <w:rsid w:val="0014187A"/>
    <w:rsid w:val="00141FBC"/>
    <w:rsid w:val="001422C9"/>
    <w:rsid w:val="0014243F"/>
    <w:rsid w:val="0014294E"/>
    <w:rsid w:val="00142C72"/>
    <w:rsid w:val="001432CD"/>
    <w:rsid w:val="001432DF"/>
    <w:rsid w:val="00143447"/>
    <w:rsid w:val="00143519"/>
    <w:rsid w:val="00144111"/>
    <w:rsid w:val="00144A29"/>
    <w:rsid w:val="00147BE4"/>
    <w:rsid w:val="00147CDB"/>
    <w:rsid w:val="00147DE3"/>
    <w:rsid w:val="00150453"/>
    <w:rsid w:val="00150A0F"/>
    <w:rsid w:val="00150C10"/>
    <w:rsid w:val="00150D1B"/>
    <w:rsid w:val="00151336"/>
    <w:rsid w:val="00152366"/>
    <w:rsid w:val="00152EC0"/>
    <w:rsid w:val="00153B85"/>
    <w:rsid w:val="00155FD8"/>
    <w:rsid w:val="0015605D"/>
    <w:rsid w:val="001560EC"/>
    <w:rsid w:val="001561DC"/>
    <w:rsid w:val="00156508"/>
    <w:rsid w:val="00157B04"/>
    <w:rsid w:val="0016057A"/>
    <w:rsid w:val="00160866"/>
    <w:rsid w:val="00161774"/>
    <w:rsid w:val="00161E40"/>
    <w:rsid w:val="00161F83"/>
    <w:rsid w:val="00165EAA"/>
    <w:rsid w:val="001665EA"/>
    <w:rsid w:val="00167721"/>
    <w:rsid w:val="001708BE"/>
    <w:rsid w:val="0017098A"/>
    <w:rsid w:val="001716F7"/>
    <w:rsid w:val="001739C2"/>
    <w:rsid w:val="00173B3A"/>
    <w:rsid w:val="00173FCF"/>
    <w:rsid w:val="00174655"/>
    <w:rsid w:val="00174D90"/>
    <w:rsid w:val="00175977"/>
    <w:rsid w:val="0017656E"/>
    <w:rsid w:val="00176790"/>
    <w:rsid w:val="00176D8B"/>
    <w:rsid w:val="0017751F"/>
    <w:rsid w:val="00181375"/>
    <w:rsid w:val="001813C3"/>
    <w:rsid w:val="001819DA"/>
    <w:rsid w:val="00182693"/>
    <w:rsid w:val="001826A0"/>
    <w:rsid w:val="00182705"/>
    <w:rsid w:val="00182DFB"/>
    <w:rsid w:val="001838E0"/>
    <w:rsid w:val="00183A15"/>
    <w:rsid w:val="00185355"/>
    <w:rsid w:val="00185483"/>
    <w:rsid w:val="00185D52"/>
    <w:rsid w:val="001866BF"/>
    <w:rsid w:val="00186884"/>
    <w:rsid w:val="00187119"/>
    <w:rsid w:val="001878EB"/>
    <w:rsid w:val="0019000C"/>
    <w:rsid w:val="0019030D"/>
    <w:rsid w:val="0019092C"/>
    <w:rsid w:val="00190C7A"/>
    <w:rsid w:val="00190E9E"/>
    <w:rsid w:val="00190F7F"/>
    <w:rsid w:val="001939CB"/>
    <w:rsid w:val="00194559"/>
    <w:rsid w:val="001947C1"/>
    <w:rsid w:val="001948EC"/>
    <w:rsid w:val="00194F2A"/>
    <w:rsid w:val="0019508F"/>
    <w:rsid w:val="001953F2"/>
    <w:rsid w:val="0019547E"/>
    <w:rsid w:val="0019734C"/>
    <w:rsid w:val="001A0137"/>
    <w:rsid w:val="001A06DE"/>
    <w:rsid w:val="001A08FF"/>
    <w:rsid w:val="001A1AE7"/>
    <w:rsid w:val="001A2314"/>
    <w:rsid w:val="001A3100"/>
    <w:rsid w:val="001A3A22"/>
    <w:rsid w:val="001A3AA1"/>
    <w:rsid w:val="001A3F98"/>
    <w:rsid w:val="001A4109"/>
    <w:rsid w:val="001A4547"/>
    <w:rsid w:val="001A48FB"/>
    <w:rsid w:val="001A4C89"/>
    <w:rsid w:val="001A562F"/>
    <w:rsid w:val="001A646C"/>
    <w:rsid w:val="001B09DF"/>
    <w:rsid w:val="001B1019"/>
    <w:rsid w:val="001B2704"/>
    <w:rsid w:val="001B2F6B"/>
    <w:rsid w:val="001B3657"/>
    <w:rsid w:val="001B3EDD"/>
    <w:rsid w:val="001B43FF"/>
    <w:rsid w:val="001B4478"/>
    <w:rsid w:val="001B4569"/>
    <w:rsid w:val="001B4B99"/>
    <w:rsid w:val="001B5EB4"/>
    <w:rsid w:val="001B68D3"/>
    <w:rsid w:val="001B72AE"/>
    <w:rsid w:val="001B76EB"/>
    <w:rsid w:val="001B7B29"/>
    <w:rsid w:val="001C0B1F"/>
    <w:rsid w:val="001C0C39"/>
    <w:rsid w:val="001C0E0C"/>
    <w:rsid w:val="001C1A1F"/>
    <w:rsid w:val="001C2F21"/>
    <w:rsid w:val="001C321B"/>
    <w:rsid w:val="001C3C19"/>
    <w:rsid w:val="001C3ED4"/>
    <w:rsid w:val="001C5E6C"/>
    <w:rsid w:val="001C6B3A"/>
    <w:rsid w:val="001C7591"/>
    <w:rsid w:val="001D0423"/>
    <w:rsid w:val="001D1020"/>
    <w:rsid w:val="001D1E16"/>
    <w:rsid w:val="001D235D"/>
    <w:rsid w:val="001D2555"/>
    <w:rsid w:val="001D337C"/>
    <w:rsid w:val="001D380D"/>
    <w:rsid w:val="001D65C6"/>
    <w:rsid w:val="001E1EE3"/>
    <w:rsid w:val="001E1F20"/>
    <w:rsid w:val="001E3BCD"/>
    <w:rsid w:val="001E4E84"/>
    <w:rsid w:val="001E55D4"/>
    <w:rsid w:val="001E7B18"/>
    <w:rsid w:val="001F15CD"/>
    <w:rsid w:val="001F1F3F"/>
    <w:rsid w:val="001F27B1"/>
    <w:rsid w:val="001F2F00"/>
    <w:rsid w:val="001F348D"/>
    <w:rsid w:val="001F3AE7"/>
    <w:rsid w:val="001F47D0"/>
    <w:rsid w:val="001F5B11"/>
    <w:rsid w:val="001F7038"/>
    <w:rsid w:val="00200F31"/>
    <w:rsid w:val="00201B26"/>
    <w:rsid w:val="0020221F"/>
    <w:rsid w:val="00203AEA"/>
    <w:rsid w:val="00203D33"/>
    <w:rsid w:val="00205051"/>
    <w:rsid w:val="0020794A"/>
    <w:rsid w:val="00207A23"/>
    <w:rsid w:val="00207C7F"/>
    <w:rsid w:val="00210B48"/>
    <w:rsid w:val="00211174"/>
    <w:rsid w:val="0021175A"/>
    <w:rsid w:val="002120BD"/>
    <w:rsid w:val="00212962"/>
    <w:rsid w:val="00214731"/>
    <w:rsid w:val="00214F01"/>
    <w:rsid w:val="0021540E"/>
    <w:rsid w:val="00215C9A"/>
    <w:rsid w:val="002169FE"/>
    <w:rsid w:val="00216F58"/>
    <w:rsid w:val="00217135"/>
    <w:rsid w:val="0022132D"/>
    <w:rsid w:val="00221D16"/>
    <w:rsid w:val="00222064"/>
    <w:rsid w:val="00222CAE"/>
    <w:rsid w:val="00223622"/>
    <w:rsid w:val="00223B83"/>
    <w:rsid w:val="00223DAB"/>
    <w:rsid w:val="00225A53"/>
    <w:rsid w:val="00225C88"/>
    <w:rsid w:val="002262C4"/>
    <w:rsid w:val="002264F4"/>
    <w:rsid w:val="00227A81"/>
    <w:rsid w:val="00231427"/>
    <w:rsid w:val="00231B27"/>
    <w:rsid w:val="00232934"/>
    <w:rsid w:val="00233057"/>
    <w:rsid w:val="00234A3D"/>
    <w:rsid w:val="00235ACB"/>
    <w:rsid w:val="00235DEC"/>
    <w:rsid w:val="00236B10"/>
    <w:rsid w:val="00236EEA"/>
    <w:rsid w:val="002372B2"/>
    <w:rsid w:val="002407C6"/>
    <w:rsid w:val="00240AF3"/>
    <w:rsid w:val="00241714"/>
    <w:rsid w:val="00243D06"/>
    <w:rsid w:val="00244CDD"/>
    <w:rsid w:val="00245302"/>
    <w:rsid w:val="00245D73"/>
    <w:rsid w:val="002460F2"/>
    <w:rsid w:val="002472FE"/>
    <w:rsid w:val="0025030E"/>
    <w:rsid w:val="00250F72"/>
    <w:rsid w:val="002514CA"/>
    <w:rsid w:val="00252FDB"/>
    <w:rsid w:val="00254AAA"/>
    <w:rsid w:val="00255E07"/>
    <w:rsid w:val="002567CD"/>
    <w:rsid w:val="00257287"/>
    <w:rsid w:val="00257322"/>
    <w:rsid w:val="002574ED"/>
    <w:rsid w:val="0025785E"/>
    <w:rsid w:val="00260B9A"/>
    <w:rsid w:val="002613AC"/>
    <w:rsid w:val="00261D3C"/>
    <w:rsid w:val="00262C42"/>
    <w:rsid w:val="0026349D"/>
    <w:rsid w:val="00266E0E"/>
    <w:rsid w:val="00266FD4"/>
    <w:rsid w:val="002671CC"/>
    <w:rsid w:val="00267241"/>
    <w:rsid w:val="002676FA"/>
    <w:rsid w:val="0027099E"/>
    <w:rsid w:val="002709E7"/>
    <w:rsid w:val="0027369C"/>
    <w:rsid w:val="00274B8F"/>
    <w:rsid w:val="00274D9D"/>
    <w:rsid w:val="00276C42"/>
    <w:rsid w:val="002775A0"/>
    <w:rsid w:val="0027764C"/>
    <w:rsid w:val="00280E55"/>
    <w:rsid w:val="0028141B"/>
    <w:rsid w:val="00282FEC"/>
    <w:rsid w:val="00282FF3"/>
    <w:rsid w:val="0028364E"/>
    <w:rsid w:val="002848CB"/>
    <w:rsid w:val="00285776"/>
    <w:rsid w:val="002858BA"/>
    <w:rsid w:val="0028661B"/>
    <w:rsid w:val="0028686B"/>
    <w:rsid w:val="0029235D"/>
    <w:rsid w:val="00292574"/>
    <w:rsid w:val="00292F9A"/>
    <w:rsid w:val="0029396A"/>
    <w:rsid w:val="00293DE2"/>
    <w:rsid w:val="00295E8C"/>
    <w:rsid w:val="00296148"/>
    <w:rsid w:val="0029649C"/>
    <w:rsid w:val="0029771E"/>
    <w:rsid w:val="002A0621"/>
    <w:rsid w:val="002A07B1"/>
    <w:rsid w:val="002A17E0"/>
    <w:rsid w:val="002A21C3"/>
    <w:rsid w:val="002A4823"/>
    <w:rsid w:val="002A50D2"/>
    <w:rsid w:val="002A5245"/>
    <w:rsid w:val="002A55D1"/>
    <w:rsid w:val="002A5C41"/>
    <w:rsid w:val="002A5CF5"/>
    <w:rsid w:val="002A60FB"/>
    <w:rsid w:val="002A6EA4"/>
    <w:rsid w:val="002A7839"/>
    <w:rsid w:val="002A7B04"/>
    <w:rsid w:val="002A7E9D"/>
    <w:rsid w:val="002B0F51"/>
    <w:rsid w:val="002B15AC"/>
    <w:rsid w:val="002B19FB"/>
    <w:rsid w:val="002B36C3"/>
    <w:rsid w:val="002B532E"/>
    <w:rsid w:val="002B5525"/>
    <w:rsid w:val="002B5A2E"/>
    <w:rsid w:val="002B5A4B"/>
    <w:rsid w:val="002B61A8"/>
    <w:rsid w:val="002B678E"/>
    <w:rsid w:val="002C0BC3"/>
    <w:rsid w:val="002C10D1"/>
    <w:rsid w:val="002C239C"/>
    <w:rsid w:val="002C30B8"/>
    <w:rsid w:val="002C3A5F"/>
    <w:rsid w:val="002C3CEB"/>
    <w:rsid w:val="002C5754"/>
    <w:rsid w:val="002C6BF5"/>
    <w:rsid w:val="002D0C49"/>
    <w:rsid w:val="002D0F70"/>
    <w:rsid w:val="002D2333"/>
    <w:rsid w:val="002D2553"/>
    <w:rsid w:val="002D43A1"/>
    <w:rsid w:val="002D63D6"/>
    <w:rsid w:val="002D6680"/>
    <w:rsid w:val="002D6EFA"/>
    <w:rsid w:val="002E00CC"/>
    <w:rsid w:val="002E0473"/>
    <w:rsid w:val="002E0BB8"/>
    <w:rsid w:val="002E1197"/>
    <w:rsid w:val="002E1AF1"/>
    <w:rsid w:val="002E24D4"/>
    <w:rsid w:val="002E2A27"/>
    <w:rsid w:val="002E3911"/>
    <w:rsid w:val="002E527B"/>
    <w:rsid w:val="002E5ACF"/>
    <w:rsid w:val="002F06D0"/>
    <w:rsid w:val="002F2CF2"/>
    <w:rsid w:val="002F369F"/>
    <w:rsid w:val="002F3830"/>
    <w:rsid w:val="002F38D7"/>
    <w:rsid w:val="002F42D9"/>
    <w:rsid w:val="002F4929"/>
    <w:rsid w:val="002F5989"/>
    <w:rsid w:val="002F694D"/>
    <w:rsid w:val="002F73F4"/>
    <w:rsid w:val="002F7DD0"/>
    <w:rsid w:val="002F7DDE"/>
    <w:rsid w:val="002F7E97"/>
    <w:rsid w:val="003000FF"/>
    <w:rsid w:val="003006A1"/>
    <w:rsid w:val="003012A2"/>
    <w:rsid w:val="003018B7"/>
    <w:rsid w:val="003020C6"/>
    <w:rsid w:val="00303608"/>
    <w:rsid w:val="00304ACA"/>
    <w:rsid w:val="0030704A"/>
    <w:rsid w:val="003127F4"/>
    <w:rsid w:val="003133C7"/>
    <w:rsid w:val="00313652"/>
    <w:rsid w:val="0031376D"/>
    <w:rsid w:val="003151B5"/>
    <w:rsid w:val="00315AF8"/>
    <w:rsid w:val="003175F3"/>
    <w:rsid w:val="00317835"/>
    <w:rsid w:val="00317A71"/>
    <w:rsid w:val="00317C72"/>
    <w:rsid w:val="00320ED9"/>
    <w:rsid w:val="003225D9"/>
    <w:rsid w:val="00322AF3"/>
    <w:rsid w:val="0032306C"/>
    <w:rsid w:val="003235CC"/>
    <w:rsid w:val="00324EC4"/>
    <w:rsid w:val="00325668"/>
    <w:rsid w:val="00325823"/>
    <w:rsid w:val="00325E60"/>
    <w:rsid w:val="0032752E"/>
    <w:rsid w:val="0033097A"/>
    <w:rsid w:val="00330C51"/>
    <w:rsid w:val="00330DCC"/>
    <w:rsid w:val="003310D4"/>
    <w:rsid w:val="00331CFC"/>
    <w:rsid w:val="0033241A"/>
    <w:rsid w:val="00332627"/>
    <w:rsid w:val="00332E97"/>
    <w:rsid w:val="00332F1F"/>
    <w:rsid w:val="0033535C"/>
    <w:rsid w:val="0033625F"/>
    <w:rsid w:val="003362C9"/>
    <w:rsid w:val="003379DC"/>
    <w:rsid w:val="00340D7B"/>
    <w:rsid w:val="00341556"/>
    <w:rsid w:val="0034178A"/>
    <w:rsid w:val="003429E0"/>
    <w:rsid w:val="00343A3B"/>
    <w:rsid w:val="00343B7B"/>
    <w:rsid w:val="00343C1E"/>
    <w:rsid w:val="003441F0"/>
    <w:rsid w:val="00346127"/>
    <w:rsid w:val="00346B36"/>
    <w:rsid w:val="0034796D"/>
    <w:rsid w:val="003509E6"/>
    <w:rsid w:val="00351237"/>
    <w:rsid w:val="00351946"/>
    <w:rsid w:val="0035210E"/>
    <w:rsid w:val="003521FD"/>
    <w:rsid w:val="00352802"/>
    <w:rsid w:val="00353085"/>
    <w:rsid w:val="003535EF"/>
    <w:rsid w:val="003538EF"/>
    <w:rsid w:val="0035515E"/>
    <w:rsid w:val="00355868"/>
    <w:rsid w:val="00355E2C"/>
    <w:rsid w:val="003575B9"/>
    <w:rsid w:val="00357828"/>
    <w:rsid w:val="00357895"/>
    <w:rsid w:val="00357916"/>
    <w:rsid w:val="00357B15"/>
    <w:rsid w:val="00360B19"/>
    <w:rsid w:val="00360FCE"/>
    <w:rsid w:val="00362E82"/>
    <w:rsid w:val="00364001"/>
    <w:rsid w:val="00365B5F"/>
    <w:rsid w:val="00365DC3"/>
    <w:rsid w:val="0036633C"/>
    <w:rsid w:val="00366CA4"/>
    <w:rsid w:val="00366CC9"/>
    <w:rsid w:val="0036763E"/>
    <w:rsid w:val="00367C14"/>
    <w:rsid w:val="00367E02"/>
    <w:rsid w:val="0037013D"/>
    <w:rsid w:val="0037078A"/>
    <w:rsid w:val="00370DA4"/>
    <w:rsid w:val="003710CD"/>
    <w:rsid w:val="00372E91"/>
    <w:rsid w:val="00372FAD"/>
    <w:rsid w:val="00372FD5"/>
    <w:rsid w:val="003731FD"/>
    <w:rsid w:val="003739D8"/>
    <w:rsid w:val="00375433"/>
    <w:rsid w:val="0037552F"/>
    <w:rsid w:val="0037633B"/>
    <w:rsid w:val="00376958"/>
    <w:rsid w:val="00376B25"/>
    <w:rsid w:val="00376C1A"/>
    <w:rsid w:val="0037769F"/>
    <w:rsid w:val="0037792A"/>
    <w:rsid w:val="00377C17"/>
    <w:rsid w:val="00377C46"/>
    <w:rsid w:val="003817A9"/>
    <w:rsid w:val="0038431A"/>
    <w:rsid w:val="0038547C"/>
    <w:rsid w:val="00385A88"/>
    <w:rsid w:val="00385BA5"/>
    <w:rsid w:val="00386E93"/>
    <w:rsid w:val="00387900"/>
    <w:rsid w:val="00387AF8"/>
    <w:rsid w:val="00387BE8"/>
    <w:rsid w:val="00390065"/>
    <w:rsid w:val="00390A1E"/>
    <w:rsid w:val="00393660"/>
    <w:rsid w:val="003940A4"/>
    <w:rsid w:val="003957B6"/>
    <w:rsid w:val="003958AE"/>
    <w:rsid w:val="00395D43"/>
    <w:rsid w:val="0039618A"/>
    <w:rsid w:val="0039624A"/>
    <w:rsid w:val="0039709D"/>
    <w:rsid w:val="00397213"/>
    <w:rsid w:val="003A00C9"/>
    <w:rsid w:val="003A0258"/>
    <w:rsid w:val="003A08CE"/>
    <w:rsid w:val="003A11C4"/>
    <w:rsid w:val="003A1F69"/>
    <w:rsid w:val="003A58BA"/>
    <w:rsid w:val="003B00B8"/>
    <w:rsid w:val="003B02EC"/>
    <w:rsid w:val="003B0718"/>
    <w:rsid w:val="003B1455"/>
    <w:rsid w:val="003B1639"/>
    <w:rsid w:val="003B196D"/>
    <w:rsid w:val="003B23AF"/>
    <w:rsid w:val="003B2AC6"/>
    <w:rsid w:val="003B2F30"/>
    <w:rsid w:val="003B3019"/>
    <w:rsid w:val="003B34C2"/>
    <w:rsid w:val="003B39D7"/>
    <w:rsid w:val="003B4B2E"/>
    <w:rsid w:val="003B61F0"/>
    <w:rsid w:val="003B64B3"/>
    <w:rsid w:val="003B693A"/>
    <w:rsid w:val="003B6E18"/>
    <w:rsid w:val="003B7053"/>
    <w:rsid w:val="003B7102"/>
    <w:rsid w:val="003B7EA2"/>
    <w:rsid w:val="003C0862"/>
    <w:rsid w:val="003C0C25"/>
    <w:rsid w:val="003C2377"/>
    <w:rsid w:val="003C2BBD"/>
    <w:rsid w:val="003C2D62"/>
    <w:rsid w:val="003C3816"/>
    <w:rsid w:val="003C4234"/>
    <w:rsid w:val="003C5F5E"/>
    <w:rsid w:val="003C5FC2"/>
    <w:rsid w:val="003C6A1E"/>
    <w:rsid w:val="003C6BB7"/>
    <w:rsid w:val="003C7603"/>
    <w:rsid w:val="003D0A88"/>
    <w:rsid w:val="003D19A0"/>
    <w:rsid w:val="003D27BD"/>
    <w:rsid w:val="003D353C"/>
    <w:rsid w:val="003D6472"/>
    <w:rsid w:val="003D7756"/>
    <w:rsid w:val="003E19E7"/>
    <w:rsid w:val="003E29B3"/>
    <w:rsid w:val="003E36C0"/>
    <w:rsid w:val="003E3724"/>
    <w:rsid w:val="003E3957"/>
    <w:rsid w:val="003E5F4F"/>
    <w:rsid w:val="003E6A80"/>
    <w:rsid w:val="003E6EF7"/>
    <w:rsid w:val="003E7F59"/>
    <w:rsid w:val="003F0D8B"/>
    <w:rsid w:val="003F1E6F"/>
    <w:rsid w:val="003F1F9E"/>
    <w:rsid w:val="003F2A93"/>
    <w:rsid w:val="003F3BC1"/>
    <w:rsid w:val="003F43E6"/>
    <w:rsid w:val="003F4894"/>
    <w:rsid w:val="003F4DDB"/>
    <w:rsid w:val="003F704D"/>
    <w:rsid w:val="003F77FC"/>
    <w:rsid w:val="004000BE"/>
    <w:rsid w:val="004026BA"/>
    <w:rsid w:val="00403038"/>
    <w:rsid w:val="004030D5"/>
    <w:rsid w:val="0040388F"/>
    <w:rsid w:val="00406755"/>
    <w:rsid w:val="004069C5"/>
    <w:rsid w:val="0040709C"/>
    <w:rsid w:val="00407F30"/>
    <w:rsid w:val="004116DA"/>
    <w:rsid w:val="004117D6"/>
    <w:rsid w:val="00411834"/>
    <w:rsid w:val="00411963"/>
    <w:rsid w:val="00412A23"/>
    <w:rsid w:val="004149DA"/>
    <w:rsid w:val="00415755"/>
    <w:rsid w:val="004161DE"/>
    <w:rsid w:val="00416211"/>
    <w:rsid w:val="004162D1"/>
    <w:rsid w:val="004167B1"/>
    <w:rsid w:val="0042035D"/>
    <w:rsid w:val="00420604"/>
    <w:rsid w:val="00420841"/>
    <w:rsid w:val="004226AA"/>
    <w:rsid w:val="00422793"/>
    <w:rsid w:val="00423732"/>
    <w:rsid w:val="0042396F"/>
    <w:rsid w:val="00423FCE"/>
    <w:rsid w:val="004259F9"/>
    <w:rsid w:val="00425B31"/>
    <w:rsid w:val="00425BAA"/>
    <w:rsid w:val="0042648D"/>
    <w:rsid w:val="00426957"/>
    <w:rsid w:val="00426976"/>
    <w:rsid w:val="00426D02"/>
    <w:rsid w:val="00427722"/>
    <w:rsid w:val="00427F4F"/>
    <w:rsid w:val="00430E76"/>
    <w:rsid w:val="00431731"/>
    <w:rsid w:val="00431779"/>
    <w:rsid w:val="00431A2A"/>
    <w:rsid w:val="00431CE6"/>
    <w:rsid w:val="00431F2E"/>
    <w:rsid w:val="00433C39"/>
    <w:rsid w:val="00433C3E"/>
    <w:rsid w:val="00433DA2"/>
    <w:rsid w:val="00434AC5"/>
    <w:rsid w:val="00437108"/>
    <w:rsid w:val="00437D2F"/>
    <w:rsid w:val="00440246"/>
    <w:rsid w:val="00440912"/>
    <w:rsid w:val="00441588"/>
    <w:rsid w:val="00441CF2"/>
    <w:rsid w:val="0044307B"/>
    <w:rsid w:val="00443B1B"/>
    <w:rsid w:val="00444072"/>
    <w:rsid w:val="00444204"/>
    <w:rsid w:val="00446A46"/>
    <w:rsid w:val="00446BAE"/>
    <w:rsid w:val="004473E9"/>
    <w:rsid w:val="0045044A"/>
    <w:rsid w:val="004504BB"/>
    <w:rsid w:val="004511AB"/>
    <w:rsid w:val="004511FA"/>
    <w:rsid w:val="004514DB"/>
    <w:rsid w:val="0045235F"/>
    <w:rsid w:val="004533F1"/>
    <w:rsid w:val="00453797"/>
    <w:rsid w:val="00453ABE"/>
    <w:rsid w:val="004542A8"/>
    <w:rsid w:val="004576E8"/>
    <w:rsid w:val="00457CEE"/>
    <w:rsid w:val="00460794"/>
    <w:rsid w:val="00461DF1"/>
    <w:rsid w:val="00463731"/>
    <w:rsid w:val="00463A9F"/>
    <w:rsid w:val="00463CEF"/>
    <w:rsid w:val="00463DEF"/>
    <w:rsid w:val="00464FEE"/>
    <w:rsid w:val="004672B7"/>
    <w:rsid w:val="00467391"/>
    <w:rsid w:val="004706A0"/>
    <w:rsid w:val="00472190"/>
    <w:rsid w:val="004724BF"/>
    <w:rsid w:val="00472695"/>
    <w:rsid w:val="004729E0"/>
    <w:rsid w:val="00473E9C"/>
    <w:rsid w:val="004744D7"/>
    <w:rsid w:val="00474AAA"/>
    <w:rsid w:val="00474BF7"/>
    <w:rsid w:val="00474D9B"/>
    <w:rsid w:val="00474F62"/>
    <w:rsid w:val="00475E1A"/>
    <w:rsid w:val="004762ED"/>
    <w:rsid w:val="00477469"/>
    <w:rsid w:val="004774B6"/>
    <w:rsid w:val="004775E8"/>
    <w:rsid w:val="00481888"/>
    <w:rsid w:val="00482BE4"/>
    <w:rsid w:val="0048370B"/>
    <w:rsid w:val="00486750"/>
    <w:rsid w:val="00487EBC"/>
    <w:rsid w:val="00490DDC"/>
    <w:rsid w:val="00490E33"/>
    <w:rsid w:val="00491D56"/>
    <w:rsid w:val="00491D60"/>
    <w:rsid w:val="0049492A"/>
    <w:rsid w:val="00494CD1"/>
    <w:rsid w:val="00494CDA"/>
    <w:rsid w:val="004957BA"/>
    <w:rsid w:val="0049590A"/>
    <w:rsid w:val="00495CE9"/>
    <w:rsid w:val="004962C7"/>
    <w:rsid w:val="004963CC"/>
    <w:rsid w:val="004970C9"/>
    <w:rsid w:val="00497428"/>
    <w:rsid w:val="00497574"/>
    <w:rsid w:val="004978DC"/>
    <w:rsid w:val="00497B5E"/>
    <w:rsid w:val="004A0C7E"/>
    <w:rsid w:val="004A224A"/>
    <w:rsid w:val="004A28DD"/>
    <w:rsid w:val="004A3074"/>
    <w:rsid w:val="004A570E"/>
    <w:rsid w:val="004A59B2"/>
    <w:rsid w:val="004A74F3"/>
    <w:rsid w:val="004A7CEC"/>
    <w:rsid w:val="004B06E1"/>
    <w:rsid w:val="004B129A"/>
    <w:rsid w:val="004B24F7"/>
    <w:rsid w:val="004B26C7"/>
    <w:rsid w:val="004B31C7"/>
    <w:rsid w:val="004B4BDC"/>
    <w:rsid w:val="004B4D42"/>
    <w:rsid w:val="004B4E10"/>
    <w:rsid w:val="004B612C"/>
    <w:rsid w:val="004B62A5"/>
    <w:rsid w:val="004B7E3E"/>
    <w:rsid w:val="004C0544"/>
    <w:rsid w:val="004C07ED"/>
    <w:rsid w:val="004C1AF9"/>
    <w:rsid w:val="004C228F"/>
    <w:rsid w:val="004C2469"/>
    <w:rsid w:val="004C2585"/>
    <w:rsid w:val="004C279B"/>
    <w:rsid w:val="004C281D"/>
    <w:rsid w:val="004C2E9D"/>
    <w:rsid w:val="004C4513"/>
    <w:rsid w:val="004C4BEC"/>
    <w:rsid w:val="004C5A9B"/>
    <w:rsid w:val="004C7663"/>
    <w:rsid w:val="004C7FC6"/>
    <w:rsid w:val="004D055D"/>
    <w:rsid w:val="004D25B5"/>
    <w:rsid w:val="004D47B9"/>
    <w:rsid w:val="004D49C8"/>
    <w:rsid w:val="004D5428"/>
    <w:rsid w:val="004D5D5C"/>
    <w:rsid w:val="004D6E67"/>
    <w:rsid w:val="004E00B4"/>
    <w:rsid w:val="004E0963"/>
    <w:rsid w:val="004E0B2F"/>
    <w:rsid w:val="004E1B3F"/>
    <w:rsid w:val="004E2A8E"/>
    <w:rsid w:val="004E458C"/>
    <w:rsid w:val="004E714B"/>
    <w:rsid w:val="004F000D"/>
    <w:rsid w:val="004F0EC9"/>
    <w:rsid w:val="004F27DD"/>
    <w:rsid w:val="004F40AB"/>
    <w:rsid w:val="004F47F7"/>
    <w:rsid w:val="004F7CCB"/>
    <w:rsid w:val="0050050B"/>
    <w:rsid w:val="0050132A"/>
    <w:rsid w:val="00502F3E"/>
    <w:rsid w:val="00503196"/>
    <w:rsid w:val="00503967"/>
    <w:rsid w:val="00503ADE"/>
    <w:rsid w:val="0050467F"/>
    <w:rsid w:val="00504706"/>
    <w:rsid w:val="00504E60"/>
    <w:rsid w:val="0050553B"/>
    <w:rsid w:val="00505D13"/>
    <w:rsid w:val="0050674F"/>
    <w:rsid w:val="00506767"/>
    <w:rsid w:val="00506A2E"/>
    <w:rsid w:val="00510478"/>
    <w:rsid w:val="00510BE0"/>
    <w:rsid w:val="00510C5C"/>
    <w:rsid w:val="00511E62"/>
    <w:rsid w:val="00515EAB"/>
    <w:rsid w:val="005208AC"/>
    <w:rsid w:val="00520B14"/>
    <w:rsid w:val="005219BF"/>
    <w:rsid w:val="00521DC2"/>
    <w:rsid w:val="00521EFA"/>
    <w:rsid w:val="0052230A"/>
    <w:rsid w:val="00523237"/>
    <w:rsid w:val="00523A16"/>
    <w:rsid w:val="00523D2D"/>
    <w:rsid w:val="00524432"/>
    <w:rsid w:val="00524822"/>
    <w:rsid w:val="005256BB"/>
    <w:rsid w:val="005256DB"/>
    <w:rsid w:val="00525AC4"/>
    <w:rsid w:val="00525B79"/>
    <w:rsid w:val="005264A5"/>
    <w:rsid w:val="00526D01"/>
    <w:rsid w:val="00531932"/>
    <w:rsid w:val="00531C3D"/>
    <w:rsid w:val="00532EB0"/>
    <w:rsid w:val="005336CE"/>
    <w:rsid w:val="00533CD5"/>
    <w:rsid w:val="00534621"/>
    <w:rsid w:val="00534871"/>
    <w:rsid w:val="00535069"/>
    <w:rsid w:val="00535A60"/>
    <w:rsid w:val="005368AB"/>
    <w:rsid w:val="005372AF"/>
    <w:rsid w:val="00540D5C"/>
    <w:rsid w:val="00541971"/>
    <w:rsid w:val="00541FF9"/>
    <w:rsid w:val="00544481"/>
    <w:rsid w:val="005444FD"/>
    <w:rsid w:val="0054689F"/>
    <w:rsid w:val="00546DAD"/>
    <w:rsid w:val="0054701C"/>
    <w:rsid w:val="0055024A"/>
    <w:rsid w:val="00550D90"/>
    <w:rsid w:val="0055248D"/>
    <w:rsid w:val="00552EC6"/>
    <w:rsid w:val="005538CF"/>
    <w:rsid w:val="005542A1"/>
    <w:rsid w:val="005549AB"/>
    <w:rsid w:val="005557FE"/>
    <w:rsid w:val="00555A0C"/>
    <w:rsid w:val="00555A17"/>
    <w:rsid w:val="00555EC7"/>
    <w:rsid w:val="00557DCC"/>
    <w:rsid w:val="00561169"/>
    <w:rsid w:val="005617DA"/>
    <w:rsid w:val="00561B18"/>
    <w:rsid w:val="005624E0"/>
    <w:rsid w:val="0056339B"/>
    <w:rsid w:val="00563DF3"/>
    <w:rsid w:val="00564EBB"/>
    <w:rsid w:val="0056580C"/>
    <w:rsid w:val="00565B20"/>
    <w:rsid w:val="00566C79"/>
    <w:rsid w:val="00570169"/>
    <w:rsid w:val="00571FF4"/>
    <w:rsid w:val="005748A1"/>
    <w:rsid w:val="00575001"/>
    <w:rsid w:val="005757C3"/>
    <w:rsid w:val="005809B5"/>
    <w:rsid w:val="005812EF"/>
    <w:rsid w:val="00582010"/>
    <w:rsid w:val="0058254B"/>
    <w:rsid w:val="0058351E"/>
    <w:rsid w:val="005858C5"/>
    <w:rsid w:val="00587914"/>
    <w:rsid w:val="0059181C"/>
    <w:rsid w:val="005921B3"/>
    <w:rsid w:val="005925EC"/>
    <w:rsid w:val="0059611F"/>
    <w:rsid w:val="005964F5"/>
    <w:rsid w:val="00597224"/>
    <w:rsid w:val="005A0727"/>
    <w:rsid w:val="005A1B7D"/>
    <w:rsid w:val="005A3592"/>
    <w:rsid w:val="005A4082"/>
    <w:rsid w:val="005A46DD"/>
    <w:rsid w:val="005A64FE"/>
    <w:rsid w:val="005B0AAB"/>
    <w:rsid w:val="005B3F91"/>
    <w:rsid w:val="005B4EB8"/>
    <w:rsid w:val="005B5497"/>
    <w:rsid w:val="005B5790"/>
    <w:rsid w:val="005B5E9D"/>
    <w:rsid w:val="005B5FD3"/>
    <w:rsid w:val="005B66C5"/>
    <w:rsid w:val="005B6F1B"/>
    <w:rsid w:val="005B711B"/>
    <w:rsid w:val="005C1453"/>
    <w:rsid w:val="005C196C"/>
    <w:rsid w:val="005C1C71"/>
    <w:rsid w:val="005C2CA2"/>
    <w:rsid w:val="005C3064"/>
    <w:rsid w:val="005C3191"/>
    <w:rsid w:val="005C3C86"/>
    <w:rsid w:val="005C4651"/>
    <w:rsid w:val="005C725E"/>
    <w:rsid w:val="005C7653"/>
    <w:rsid w:val="005C7BBF"/>
    <w:rsid w:val="005D019B"/>
    <w:rsid w:val="005D22E9"/>
    <w:rsid w:val="005D3069"/>
    <w:rsid w:val="005D370F"/>
    <w:rsid w:val="005D3730"/>
    <w:rsid w:val="005D3BD1"/>
    <w:rsid w:val="005D5D26"/>
    <w:rsid w:val="005D5EBA"/>
    <w:rsid w:val="005E0B86"/>
    <w:rsid w:val="005E2F89"/>
    <w:rsid w:val="005E362C"/>
    <w:rsid w:val="005E374E"/>
    <w:rsid w:val="005E4545"/>
    <w:rsid w:val="005E4A75"/>
    <w:rsid w:val="005E4E13"/>
    <w:rsid w:val="005E5020"/>
    <w:rsid w:val="005E5138"/>
    <w:rsid w:val="005E5616"/>
    <w:rsid w:val="005E5730"/>
    <w:rsid w:val="005E73A1"/>
    <w:rsid w:val="005E7458"/>
    <w:rsid w:val="005E76FD"/>
    <w:rsid w:val="005F013F"/>
    <w:rsid w:val="005F0547"/>
    <w:rsid w:val="005F19C6"/>
    <w:rsid w:val="005F4197"/>
    <w:rsid w:val="005F4B38"/>
    <w:rsid w:val="005F4C67"/>
    <w:rsid w:val="005F4F12"/>
    <w:rsid w:val="005F5163"/>
    <w:rsid w:val="005F52C6"/>
    <w:rsid w:val="005F541C"/>
    <w:rsid w:val="005F5A77"/>
    <w:rsid w:val="005F6596"/>
    <w:rsid w:val="006055FE"/>
    <w:rsid w:val="006067DB"/>
    <w:rsid w:val="006073F9"/>
    <w:rsid w:val="00607F86"/>
    <w:rsid w:val="0061009A"/>
    <w:rsid w:val="00610BC0"/>
    <w:rsid w:val="006114ED"/>
    <w:rsid w:val="0061157C"/>
    <w:rsid w:val="0061282A"/>
    <w:rsid w:val="006131E5"/>
    <w:rsid w:val="006132AE"/>
    <w:rsid w:val="00615427"/>
    <w:rsid w:val="006167B8"/>
    <w:rsid w:val="00617C22"/>
    <w:rsid w:val="00620D7C"/>
    <w:rsid w:val="00621A6D"/>
    <w:rsid w:val="00621DB3"/>
    <w:rsid w:val="00621F03"/>
    <w:rsid w:val="0062265E"/>
    <w:rsid w:val="00622F11"/>
    <w:rsid w:val="00623213"/>
    <w:rsid w:val="006246E4"/>
    <w:rsid w:val="006251DE"/>
    <w:rsid w:val="006254EE"/>
    <w:rsid w:val="00625B63"/>
    <w:rsid w:val="00627517"/>
    <w:rsid w:val="00630B1A"/>
    <w:rsid w:val="00632281"/>
    <w:rsid w:val="006327BE"/>
    <w:rsid w:val="00632A4A"/>
    <w:rsid w:val="00634573"/>
    <w:rsid w:val="00635A24"/>
    <w:rsid w:val="00635DDF"/>
    <w:rsid w:val="00636ADD"/>
    <w:rsid w:val="00640221"/>
    <w:rsid w:val="006406E5"/>
    <w:rsid w:val="00640B24"/>
    <w:rsid w:val="0064110A"/>
    <w:rsid w:val="006417BC"/>
    <w:rsid w:val="0064185B"/>
    <w:rsid w:val="00641C9C"/>
    <w:rsid w:val="00641EE6"/>
    <w:rsid w:val="00642EB3"/>
    <w:rsid w:val="006441AD"/>
    <w:rsid w:val="006442C8"/>
    <w:rsid w:val="0064476C"/>
    <w:rsid w:val="00646E32"/>
    <w:rsid w:val="00647687"/>
    <w:rsid w:val="00651AD8"/>
    <w:rsid w:val="0065230F"/>
    <w:rsid w:val="0065353F"/>
    <w:rsid w:val="006546B9"/>
    <w:rsid w:val="00654B60"/>
    <w:rsid w:val="00655090"/>
    <w:rsid w:val="0065588C"/>
    <w:rsid w:val="00656F58"/>
    <w:rsid w:val="00657727"/>
    <w:rsid w:val="00660B48"/>
    <w:rsid w:val="0066366C"/>
    <w:rsid w:val="006648D1"/>
    <w:rsid w:val="00664E1D"/>
    <w:rsid w:val="00666BA1"/>
    <w:rsid w:val="00667D20"/>
    <w:rsid w:val="006700CB"/>
    <w:rsid w:val="0067011A"/>
    <w:rsid w:val="00670428"/>
    <w:rsid w:val="006708BC"/>
    <w:rsid w:val="00670BF6"/>
    <w:rsid w:val="006721DF"/>
    <w:rsid w:val="00672956"/>
    <w:rsid w:val="00672A20"/>
    <w:rsid w:val="0067345B"/>
    <w:rsid w:val="006734ED"/>
    <w:rsid w:val="00674329"/>
    <w:rsid w:val="00674808"/>
    <w:rsid w:val="00674CE6"/>
    <w:rsid w:val="00675D53"/>
    <w:rsid w:val="006767DB"/>
    <w:rsid w:val="00676BB6"/>
    <w:rsid w:val="00677279"/>
    <w:rsid w:val="00677979"/>
    <w:rsid w:val="00680316"/>
    <w:rsid w:val="006803A0"/>
    <w:rsid w:val="0068141A"/>
    <w:rsid w:val="00682088"/>
    <w:rsid w:val="0068303F"/>
    <w:rsid w:val="006830FC"/>
    <w:rsid w:val="00683770"/>
    <w:rsid w:val="00683B58"/>
    <w:rsid w:val="006849D2"/>
    <w:rsid w:val="00686A7E"/>
    <w:rsid w:val="00686CAE"/>
    <w:rsid w:val="00690509"/>
    <w:rsid w:val="00690963"/>
    <w:rsid w:val="00690B95"/>
    <w:rsid w:val="00691156"/>
    <w:rsid w:val="00691601"/>
    <w:rsid w:val="00691FAB"/>
    <w:rsid w:val="00693751"/>
    <w:rsid w:val="00693795"/>
    <w:rsid w:val="006937ED"/>
    <w:rsid w:val="00693CE6"/>
    <w:rsid w:val="006940D6"/>
    <w:rsid w:val="0069414F"/>
    <w:rsid w:val="00695005"/>
    <w:rsid w:val="0069571C"/>
    <w:rsid w:val="00695E56"/>
    <w:rsid w:val="00696375"/>
    <w:rsid w:val="006965DF"/>
    <w:rsid w:val="00696CA3"/>
    <w:rsid w:val="006A0169"/>
    <w:rsid w:val="006A09A4"/>
    <w:rsid w:val="006A21CC"/>
    <w:rsid w:val="006A3856"/>
    <w:rsid w:val="006A438F"/>
    <w:rsid w:val="006A503A"/>
    <w:rsid w:val="006A65A6"/>
    <w:rsid w:val="006A6750"/>
    <w:rsid w:val="006A7D6E"/>
    <w:rsid w:val="006A7FA7"/>
    <w:rsid w:val="006B0634"/>
    <w:rsid w:val="006B0F9B"/>
    <w:rsid w:val="006B1C34"/>
    <w:rsid w:val="006B1FF1"/>
    <w:rsid w:val="006B293F"/>
    <w:rsid w:val="006B34DE"/>
    <w:rsid w:val="006B35F3"/>
    <w:rsid w:val="006B40C1"/>
    <w:rsid w:val="006B5F49"/>
    <w:rsid w:val="006B6A20"/>
    <w:rsid w:val="006C078D"/>
    <w:rsid w:val="006C1EDD"/>
    <w:rsid w:val="006C22E4"/>
    <w:rsid w:val="006C2F5C"/>
    <w:rsid w:val="006C3593"/>
    <w:rsid w:val="006C4010"/>
    <w:rsid w:val="006C477E"/>
    <w:rsid w:val="006C50D1"/>
    <w:rsid w:val="006C5AD3"/>
    <w:rsid w:val="006C6D7A"/>
    <w:rsid w:val="006C7F0A"/>
    <w:rsid w:val="006D0350"/>
    <w:rsid w:val="006D0C02"/>
    <w:rsid w:val="006D0F19"/>
    <w:rsid w:val="006D1BE0"/>
    <w:rsid w:val="006D24F7"/>
    <w:rsid w:val="006D2B2B"/>
    <w:rsid w:val="006D2DE9"/>
    <w:rsid w:val="006D35F8"/>
    <w:rsid w:val="006D39A5"/>
    <w:rsid w:val="006D3FB0"/>
    <w:rsid w:val="006D443D"/>
    <w:rsid w:val="006D4512"/>
    <w:rsid w:val="006D5E38"/>
    <w:rsid w:val="006D614A"/>
    <w:rsid w:val="006D65EC"/>
    <w:rsid w:val="006D6B5E"/>
    <w:rsid w:val="006D6CA1"/>
    <w:rsid w:val="006D7DA7"/>
    <w:rsid w:val="006E08F5"/>
    <w:rsid w:val="006E0FAD"/>
    <w:rsid w:val="006E27D1"/>
    <w:rsid w:val="006E2953"/>
    <w:rsid w:val="006E2CD8"/>
    <w:rsid w:val="006E43D2"/>
    <w:rsid w:val="006E4462"/>
    <w:rsid w:val="006E465C"/>
    <w:rsid w:val="006E4B08"/>
    <w:rsid w:val="006E4EB7"/>
    <w:rsid w:val="006E558B"/>
    <w:rsid w:val="006E753A"/>
    <w:rsid w:val="006E7D59"/>
    <w:rsid w:val="006E7F4D"/>
    <w:rsid w:val="006E7F81"/>
    <w:rsid w:val="006F1443"/>
    <w:rsid w:val="006F1C69"/>
    <w:rsid w:val="006F2579"/>
    <w:rsid w:val="006F2855"/>
    <w:rsid w:val="006F2887"/>
    <w:rsid w:val="006F2958"/>
    <w:rsid w:val="006F5439"/>
    <w:rsid w:val="006F713E"/>
    <w:rsid w:val="006F750C"/>
    <w:rsid w:val="006F7EB1"/>
    <w:rsid w:val="00700A36"/>
    <w:rsid w:val="00700AD5"/>
    <w:rsid w:val="00701834"/>
    <w:rsid w:val="007019C6"/>
    <w:rsid w:val="00702B93"/>
    <w:rsid w:val="00702D4F"/>
    <w:rsid w:val="00703D5F"/>
    <w:rsid w:val="007045FC"/>
    <w:rsid w:val="0070488F"/>
    <w:rsid w:val="00704CDE"/>
    <w:rsid w:val="00704CF9"/>
    <w:rsid w:val="00704ECD"/>
    <w:rsid w:val="00705199"/>
    <w:rsid w:val="00705711"/>
    <w:rsid w:val="0070582E"/>
    <w:rsid w:val="00706AAB"/>
    <w:rsid w:val="007073E2"/>
    <w:rsid w:val="0070772C"/>
    <w:rsid w:val="00710713"/>
    <w:rsid w:val="00711B38"/>
    <w:rsid w:val="007123C3"/>
    <w:rsid w:val="0071266E"/>
    <w:rsid w:val="007130F7"/>
    <w:rsid w:val="00714183"/>
    <w:rsid w:val="00715CA4"/>
    <w:rsid w:val="00715E75"/>
    <w:rsid w:val="0071691D"/>
    <w:rsid w:val="00720C6C"/>
    <w:rsid w:val="00721EC2"/>
    <w:rsid w:val="007225C9"/>
    <w:rsid w:val="00722634"/>
    <w:rsid w:val="007226F3"/>
    <w:rsid w:val="0072344E"/>
    <w:rsid w:val="007237EE"/>
    <w:rsid w:val="007240C3"/>
    <w:rsid w:val="007243CC"/>
    <w:rsid w:val="0072530B"/>
    <w:rsid w:val="007263B7"/>
    <w:rsid w:val="0072677C"/>
    <w:rsid w:val="00727632"/>
    <w:rsid w:val="007301CB"/>
    <w:rsid w:val="00731957"/>
    <w:rsid w:val="007323E0"/>
    <w:rsid w:val="00732744"/>
    <w:rsid w:val="00732BB6"/>
    <w:rsid w:val="00733697"/>
    <w:rsid w:val="00733C12"/>
    <w:rsid w:val="00733EF3"/>
    <w:rsid w:val="007356BB"/>
    <w:rsid w:val="00735B0B"/>
    <w:rsid w:val="00735BED"/>
    <w:rsid w:val="0073666D"/>
    <w:rsid w:val="0073669E"/>
    <w:rsid w:val="00736799"/>
    <w:rsid w:val="0073707B"/>
    <w:rsid w:val="00737C67"/>
    <w:rsid w:val="00737D1D"/>
    <w:rsid w:val="00737F76"/>
    <w:rsid w:val="00741002"/>
    <w:rsid w:val="00741637"/>
    <w:rsid w:val="007418D4"/>
    <w:rsid w:val="00741E81"/>
    <w:rsid w:val="00742121"/>
    <w:rsid w:val="00743353"/>
    <w:rsid w:val="0074467F"/>
    <w:rsid w:val="00744F24"/>
    <w:rsid w:val="0074501E"/>
    <w:rsid w:val="00745868"/>
    <w:rsid w:val="00746472"/>
    <w:rsid w:val="00746CD0"/>
    <w:rsid w:val="00747C5A"/>
    <w:rsid w:val="00751DE7"/>
    <w:rsid w:val="00752CE8"/>
    <w:rsid w:val="00753790"/>
    <w:rsid w:val="0075428A"/>
    <w:rsid w:val="0075561B"/>
    <w:rsid w:val="00760A78"/>
    <w:rsid w:val="00763C94"/>
    <w:rsid w:val="00764725"/>
    <w:rsid w:val="0076472C"/>
    <w:rsid w:val="00764B6B"/>
    <w:rsid w:val="00764F0C"/>
    <w:rsid w:val="00766029"/>
    <w:rsid w:val="00766432"/>
    <w:rsid w:val="00766983"/>
    <w:rsid w:val="00767A28"/>
    <w:rsid w:val="00770893"/>
    <w:rsid w:val="007712C3"/>
    <w:rsid w:val="00771D33"/>
    <w:rsid w:val="00771F1C"/>
    <w:rsid w:val="007725DF"/>
    <w:rsid w:val="00772E1A"/>
    <w:rsid w:val="007736D0"/>
    <w:rsid w:val="00773D01"/>
    <w:rsid w:val="0077411F"/>
    <w:rsid w:val="007754D1"/>
    <w:rsid w:val="007758CF"/>
    <w:rsid w:val="00775FEC"/>
    <w:rsid w:val="00776317"/>
    <w:rsid w:val="00776B10"/>
    <w:rsid w:val="00776D06"/>
    <w:rsid w:val="007810BC"/>
    <w:rsid w:val="00781EB4"/>
    <w:rsid w:val="007823D7"/>
    <w:rsid w:val="00782E96"/>
    <w:rsid w:val="007844DE"/>
    <w:rsid w:val="007848DA"/>
    <w:rsid w:val="00785A39"/>
    <w:rsid w:val="007861AA"/>
    <w:rsid w:val="00787447"/>
    <w:rsid w:val="0078776F"/>
    <w:rsid w:val="007900EA"/>
    <w:rsid w:val="00790BDA"/>
    <w:rsid w:val="0079103F"/>
    <w:rsid w:val="007918A1"/>
    <w:rsid w:val="00792169"/>
    <w:rsid w:val="00793091"/>
    <w:rsid w:val="007943A8"/>
    <w:rsid w:val="007947F4"/>
    <w:rsid w:val="00795FC0"/>
    <w:rsid w:val="007963D7"/>
    <w:rsid w:val="00796527"/>
    <w:rsid w:val="007966D8"/>
    <w:rsid w:val="007975AC"/>
    <w:rsid w:val="00797CF6"/>
    <w:rsid w:val="007A0F7C"/>
    <w:rsid w:val="007A10D6"/>
    <w:rsid w:val="007A1167"/>
    <w:rsid w:val="007A12A7"/>
    <w:rsid w:val="007A14FC"/>
    <w:rsid w:val="007A20A0"/>
    <w:rsid w:val="007A2AD1"/>
    <w:rsid w:val="007A2BE6"/>
    <w:rsid w:val="007A340C"/>
    <w:rsid w:val="007A36E5"/>
    <w:rsid w:val="007A4A3D"/>
    <w:rsid w:val="007A5A11"/>
    <w:rsid w:val="007A6F16"/>
    <w:rsid w:val="007A7512"/>
    <w:rsid w:val="007A752A"/>
    <w:rsid w:val="007A7B6E"/>
    <w:rsid w:val="007A7F7F"/>
    <w:rsid w:val="007A7FD6"/>
    <w:rsid w:val="007B09DF"/>
    <w:rsid w:val="007B16A1"/>
    <w:rsid w:val="007B2DB6"/>
    <w:rsid w:val="007B300E"/>
    <w:rsid w:val="007B30CA"/>
    <w:rsid w:val="007B3A11"/>
    <w:rsid w:val="007B3AFD"/>
    <w:rsid w:val="007B567F"/>
    <w:rsid w:val="007B57E8"/>
    <w:rsid w:val="007B65D4"/>
    <w:rsid w:val="007B67FE"/>
    <w:rsid w:val="007B7B2B"/>
    <w:rsid w:val="007B7B34"/>
    <w:rsid w:val="007C398B"/>
    <w:rsid w:val="007C5323"/>
    <w:rsid w:val="007C6187"/>
    <w:rsid w:val="007C63B8"/>
    <w:rsid w:val="007C67EE"/>
    <w:rsid w:val="007C7A8C"/>
    <w:rsid w:val="007D05C7"/>
    <w:rsid w:val="007D07F8"/>
    <w:rsid w:val="007D0EE9"/>
    <w:rsid w:val="007D1707"/>
    <w:rsid w:val="007D24AB"/>
    <w:rsid w:val="007D3405"/>
    <w:rsid w:val="007D41C2"/>
    <w:rsid w:val="007D42D5"/>
    <w:rsid w:val="007D4BFC"/>
    <w:rsid w:val="007D5080"/>
    <w:rsid w:val="007D6193"/>
    <w:rsid w:val="007D6B1C"/>
    <w:rsid w:val="007D7A92"/>
    <w:rsid w:val="007E0750"/>
    <w:rsid w:val="007E0F2C"/>
    <w:rsid w:val="007E0FAF"/>
    <w:rsid w:val="007E112F"/>
    <w:rsid w:val="007E1C60"/>
    <w:rsid w:val="007E450C"/>
    <w:rsid w:val="007E4A09"/>
    <w:rsid w:val="007E4C9C"/>
    <w:rsid w:val="007E5486"/>
    <w:rsid w:val="007E5B1C"/>
    <w:rsid w:val="007E5F2E"/>
    <w:rsid w:val="007E5FB5"/>
    <w:rsid w:val="007E6196"/>
    <w:rsid w:val="007E6656"/>
    <w:rsid w:val="007E6E12"/>
    <w:rsid w:val="007E70BF"/>
    <w:rsid w:val="007E724E"/>
    <w:rsid w:val="007E735A"/>
    <w:rsid w:val="007E7432"/>
    <w:rsid w:val="007F0085"/>
    <w:rsid w:val="007F080F"/>
    <w:rsid w:val="007F0F01"/>
    <w:rsid w:val="007F155F"/>
    <w:rsid w:val="007F1A99"/>
    <w:rsid w:val="007F22A7"/>
    <w:rsid w:val="007F22ED"/>
    <w:rsid w:val="007F24DA"/>
    <w:rsid w:val="007F3253"/>
    <w:rsid w:val="007F4DE5"/>
    <w:rsid w:val="007F4F42"/>
    <w:rsid w:val="007F536B"/>
    <w:rsid w:val="007F59CD"/>
    <w:rsid w:val="007F7F32"/>
    <w:rsid w:val="00800A70"/>
    <w:rsid w:val="00800DF8"/>
    <w:rsid w:val="00801E32"/>
    <w:rsid w:val="008021FD"/>
    <w:rsid w:val="00802554"/>
    <w:rsid w:val="008026FA"/>
    <w:rsid w:val="00802DB4"/>
    <w:rsid w:val="008036BE"/>
    <w:rsid w:val="00803B18"/>
    <w:rsid w:val="00803B2E"/>
    <w:rsid w:val="00804BA2"/>
    <w:rsid w:val="00804FE6"/>
    <w:rsid w:val="00805224"/>
    <w:rsid w:val="0080556B"/>
    <w:rsid w:val="00806ABD"/>
    <w:rsid w:val="00807D00"/>
    <w:rsid w:val="00807EA4"/>
    <w:rsid w:val="00807EB6"/>
    <w:rsid w:val="008106E3"/>
    <w:rsid w:val="00810F07"/>
    <w:rsid w:val="008115B8"/>
    <w:rsid w:val="008115CF"/>
    <w:rsid w:val="00811E77"/>
    <w:rsid w:val="00812315"/>
    <w:rsid w:val="00813018"/>
    <w:rsid w:val="00814DCA"/>
    <w:rsid w:val="0081539C"/>
    <w:rsid w:val="008154EA"/>
    <w:rsid w:val="00815D1B"/>
    <w:rsid w:val="008164A8"/>
    <w:rsid w:val="00816C1F"/>
    <w:rsid w:val="008174AD"/>
    <w:rsid w:val="00820876"/>
    <w:rsid w:val="0082143F"/>
    <w:rsid w:val="0082159A"/>
    <w:rsid w:val="00822064"/>
    <w:rsid w:val="008220AD"/>
    <w:rsid w:val="00822969"/>
    <w:rsid w:val="00823196"/>
    <w:rsid w:val="00823610"/>
    <w:rsid w:val="008237DE"/>
    <w:rsid w:val="00824E32"/>
    <w:rsid w:val="00827EFF"/>
    <w:rsid w:val="008301C6"/>
    <w:rsid w:val="0083049A"/>
    <w:rsid w:val="008321A6"/>
    <w:rsid w:val="00833393"/>
    <w:rsid w:val="0083380F"/>
    <w:rsid w:val="00835CF4"/>
    <w:rsid w:val="00835FCE"/>
    <w:rsid w:val="008368DE"/>
    <w:rsid w:val="00840E25"/>
    <w:rsid w:val="0084161A"/>
    <w:rsid w:val="00841962"/>
    <w:rsid w:val="008424BB"/>
    <w:rsid w:val="00842B3A"/>
    <w:rsid w:val="0084383C"/>
    <w:rsid w:val="0084456D"/>
    <w:rsid w:val="00844729"/>
    <w:rsid w:val="008465CB"/>
    <w:rsid w:val="0085127E"/>
    <w:rsid w:val="008517C6"/>
    <w:rsid w:val="00852898"/>
    <w:rsid w:val="00852F4F"/>
    <w:rsid w:val="00853308"/>
    <w:rsid w:val="008534CC"/>
    <w:rsid w:val="00853C98"/>
    <w:rsid w:val="00854103"/>
    <w:rsid w:val="008549B1"/>
    <w:rsid w:val="0085543E"/>
    <w:rsid w:val="008568B0"/>
    <w:rsid w:val="008578F2"/>
    <w:rsid w:val="00857A16"/>
    <w:rsid w:val="008600ED"/>
    <w:rsid w:val="00860366"/>
    <w:rsid w:val="008614BF"/>
    <w:rsid w:val="00861CAB"/>
    <w:rsid w:val="008623CA"/>
    <w:rsid w:val="008627A8"/>
    <w:rsid w:val="00862B21"/>
    <w:rsid w:val="008636D6"/>
    <w:rsid w:val="00863E02"/>
    <w:rsid w:val="0086489A"/>
    <w:rsid w:val="00865274"/>
    <w:rsid w:val="00865301"/>
    <w:rsid w:val="00865940"/>
    <w:rsid w:val="00865EEC"/>
    <w:rsid w:val="00866416"/>
    <w:rsid w:val="00866A27"/>
    <w:rsid w:val="00866C88"/>
    <w:rsid w:val="008701DC"/>
    <w:rsid w:val="00870234"/>
    <w:rsid w:val="0087081B"/>
    <w:rsid w:val="008714CD"/>
    <w:rsid w:val="00872A6E"/>
    <w:rsid w:val="008739F1"/>
    <w:rsid w:val="00873F33"/>
    <w:rsid w:val="00874308"/>
    <w:rsid w:val="00874882"/>
    <w:rsid w:val="00875375"/>
    <w:rsid w:val="008753E4"/>
    <w:rsid w:val="00876C7F"/>
    <w:rsid w:val="00877B13"/>
    <w:rsid w:val="00880AB5"/>
    <w:rsid w:val="00880AD5"/>
    <w:rsid w:val="00880C01"/>
    <w:rsid w:val="00881457"/>
    <w:rsid w:val="00882802"/>
    <w:rsid w:val="00882B0F"/>
    <w:rsid w:val="008836A7"/>
    <w:rsid w:val="00883749"/>
    <w:rsid w:val="00884467"/>
    <w:rsid w:val="008872D7"/>
    <w:rsid w:val="00887E8C"/>
    <w:rsid w:val="00887F03"/>
    <w:rsid w:val="00893B95"/>
    <w:rsid w:val="008941B2"/>
    <w:rsid w:val="0089486E"/>
    <w:rsid w:val="00896875"/>
    <w:rsid w:val="008A1084"/>
    <w:rsid w:val="008A1DA7"/>
    <w:rsid w:val="008A3884"/>
    <w:rsid w:val="008A3A4B"/>
    <w:rsid w:val="008A49EA"/>
    <w:rsid w:val="008A4ABF"/>
    <w:rsid w:val="008A6614"/>
    <w:rsid w:val="008A739F"/>
    <w:rsid w:val="008A790C"/>
    <w:rsid w:val="008B0108"/>
    <w:rsid w:val="008B18E3"/>
    <w:rsid w:val="008B3670"/>
    <w:rsid w:val="008B392A"/>
    <w:rsid w:val="008B3E82"/>
    <w:rsid w:val="008B4157"/>
    <w:rsid w:val="008B4A24"/>
    <w:rsid w:val="008B5AFF"/>
    <w:rsid w:val="008B5E0B"/>
    <w:rsid w:val="008B758A"/>
    <w:rsid w:val="008B7CD2"/>
    <w:rsid w:val="008C053C"/>
    <w:rsid w:val="008C0C4F"/>
    <w:rsid w:val="008C0F75"/>
    <w:rsid w:val="008C12F3"/>
    <w:rsid w:val="008C1433"/>
    <w:rsid w:val="008C277A"/>
    <w:rsid w:val="008C561D"/>
    <w:rsid w:val="008C62EC"/>
    <w:rsid w:val="008C7911"/>
    <w:rsid w:val="008C7FAF"/>
    <w:rsid w:val="008D0BE4"/>
    <w:rsid w:val="008D19DB"/>
    <w:rsid w:val="008D35E2"/>
    <w:rsid w:val="008D41B5"/>
    <w:rsid w:val="008D5BE0"/>
    <w:rsid w:val="008D72C3"/>
    <w:rsid w:val="008D7B10"/>
    <w:rsid w:val="008E04F6"/>
    <w:rsid w:val="008E0FD3"/>
    <w:rsid w:val="008E154C"/>
    <w:rsid w:val="008E1DCB"/>
    <w:rsid w:val="008E2248"/>
    <w:rsid w:val="008E2DF1"/>
    <w:rsid w:val="008E53E7"/>
    <w:rsid w:val="008E5B3B"/>
    <w:rsid w:val="008E63EA"/>
    <w:rsid w:val="008E7537"/>
    <w:rsid w:val="008E7C23"/>
    <w:rsid w:val="008E7F8D"/>
    <w:rsid w:val="008F06E9"/>
    <w:rsid w:val="008F11C4"/>
    <w:rsid w:val="008F2850"/>
    <w:rsid w:val="008F2FC2"/>
    <w:rsid w:val="008F302C"/>
    <w:rsid w:val="008F5D1E"/>
    <w:rsid w:val="008F7242"/>
    <w:rsid w:val="008F75F1"/>
    <w:rsid w:val="00901457"/>
    <w:rsid w:val="0090233F"/>
    <w:rsid w:val="009026E8"/>
    <w:rsid w:val="009030B0"/>
    <w:rsid w:val="009031E3"/>
    <w:rsid w:val="009035A2"/>
    <w:rsid w:val="00904674"/>
    <w:rsid w:val="00904BC9"/>
    <w:rsid w:val="009056CA"/>
    <w:rsid w:val="009057C5"/>
    <w:rsid w:val="009062BB"/>
    <w:rsid w:val="0090688C"/>
    <w:rsid w:val="0090766E"/>
    <w:rsid w:val="0091038B"/>
    <w:rsid w:val="009119D3"/>
    <w:rsid w:val="00911F66"/>
    <w:rsid w:val="00913DCC"/>
    <w:rsid w:val="00914F27"/>
    <w:rsid w:val="00917B21"/>
    <w:rsid w:val="00920557"/>
    <w:rsid w:val="00922101"/>
    <w:rsid w:val="00922A4B"/>
    <w:rsid w:val="009236F3"/>
    <w:rsid w:val="009241BB"/>
    <w:rsid w:val="009244F7"/>
    <w:rsid w:val="00924C0D"/>
    <w:rsid w:val="0092501B"/>
    <w:rsid w:val="0092587F"/>
    <w:rsid w:val="00925AA4"/>
    <w:rsid w:val="00930FA6"/>
    <w:rsid w:val="009313BE"/>
    <w:rsid w:val="00932FE2"/>
    <w:rsid w:val="00933907"/>
    <w:rsid w:val="009340AB"/>
    <w:rsid w:val="00934498"/>
    <w:rsid w:val="00936192"/>
    <w:rsid w:val="00937516"/>
    <w:rsid w:val="0094066E"/>
    <w:rsid w:val="0094182D"/>
    <w:rsid w:val="0094245B"/>
    <w:rsid w:val="00942913"/>
    <w:rsid w:val="00942A08"/>
    <w:rsid w:val="00942CAD"/>
    <w:rsid w:val="00943363"/>
    <w:rsid w:val="009434CF"/>
    <w:rsid w:val="00944491"/>
    <w:rsid w:val="00946910"/>
    <w:rsid w:val="00947C38"/>
    <w:rsid w:val="00952CCB"/>
    <w:rsid w:val="00953BFE"/>
    <w:rsid w:val="009550BB"/>
    <w:rsid w:val="00955992"/>
    <w:rsid w:val="00956067"/>
    <w:rsid w:val="00957342"/>
    <w:rsid w:val="009574F2"/>
    <w:rsid w:val="00957921"/>
    <w:rsid w:val="00957A76"/>
    <w:rsid w:val="00957C00"/>
    <w:rsid w:val="00960719"/>
    <w:rsid w:val="009619CF"/>
    <w:rsid w:val="00962255"/>
    <w:rsid w:val="00962B2A"/>
    <w:rsid w:val="00963502"/>
    <w:rsid w:val="00963C96"/>
    <w:rsid w:val="009648EF"/>
    <w:rsid w:val="00966B53"/>
    <w:rsid w:val="00970F04"/>
    <w:rsid w:val="0097114B"/>
    <w:rsid w:val="00971F36"/>
    <w:rsid w:val="0097358B"/>
    <w:rsid w:val="00973A12"/>
    <w:rsid w:val="00973AFE"/>
    <w:rsid w:val="00974614"/>
    <w:rsid w:val="00975084"/>
    <w:rsid w:val="009754BC"/>
    <w:rsid w:val="0097588C"/>
    <w:rsid w:val="00975C3B"/>
    <w:rsid w:val="00976FE8"/>
    <w:rsid w:val="009771A0"/>
    <w:rsid w:val="0097799A"/>
    <w:rsid w:val="00977C25"/>
    <w:rsid w:val="009807C9"/>
    <w:rsid w:val="00980CAF"/>
    <w:rsid w:val="0098122A"/>
    <w:rsid w:val="009816C8"/>
    <w:rsid w:val="00981FC9"/>
    <w:rsid w:val="00982327"/>
    <w:rsid w:val="009833CB"/>
    <w:rsid w:val="009836FB"/>
    <w:rsid w:val="009837A3"/>
    <w:rsid w:val="009843E2"/>
    <w:rsid w:val="0098582B"/>
    <w:rsid w:val="00985F94"/>
    <w:rsid w:val="009861EE"/>
    <w:rsid w:val="0098795A"/>
    <w:rsid w:val="0099011B"/>
    <w:rsid w:val="009912E2"/>
    <w:rsid w:val="00991536"/>
    <w:rsid w:val="009918AC"/>
    <w:rsid w:val="0099255B"/>
    <w:rsid w:val="00992A8B"/>
    <w:rsid w:val="00993DAC"/>
    <w:rsid w:val="00996373"/>
    <w:rsid w:val="00996A23"/>
    <w:rsid w:val="00997046"/>
    <w:rsid w:val="00997585"/>
    <w:rsid w:val="00997705"/>
    <w:rsid w:val="009A0B7F"/>
    <w:rsid w:val="009A0E19"/>
    <w:rsid w:val="009A1215"/>
    <w:rsid w:val="009A1416"/>
    <w:rsid w:val="009A20E4"/>
    <w:rsid w:val="009A2440"/>
    <w:rsid w:val="009A2448"/>
    <w:rsid w:val="009A28F6"/>
    <w:rsid w:val="009A3D15"/>
    <w:rsid w:val="009A3FD3"/>
    <w:rsid w:val="009A5F3F"/>
    <w:rsid w:val="009A6007"/>
    <w:rsid w:val="009A6F9E"/>
    <w:rsid w:val="009A714A"/>
    <w:rsid w:val="009B0602"/>
    <w:rsid w:val="009B0987"/>
    <w:rsid w:val="009B121B"/>
    <w:rsid w:val="009B14F4"/>
    <w:rsid w:val="009B177F"/>
    <w:rsid w:val="009B17DB"/>
    <w:rsid w:val="009B3199"/>
    <w:rsid w:val="009B38BC"/>
    <w:rsid w:val="009B4EC5"/>
    <w:rsid w:val="009B50CC"/>
    <w:rsid w:val="009B51A4"/>
    <w:rsid w:val="009B67B3"/>
    <w:rsid w:val="009B7391"/>
    <w:rsid w:val="009B739B"/>
    <w:rsid w:val="009B7407"/>
    <w:rsid w:val="009B7BAA"/>
    <w:rsid w:val="009C08E6"/>
    <w:rsid w:val="009C09D7"/>
    <w:rsid w:val="009C0D27"/>
    <w:rsid w:val="009C1B38"/>
    <w:rsid w:val="009C205F"/>
    <w:rsid w:val="009C2E0C"/>
    <w:rsid w:val="009C307F"/>
    <w:rsid w:val="009C3B2A"/>
    <w:rsid w:val="009C44E4"/>
    <w:rsid w:val="009C4614"/>
    <w:rsid w:val="009C477B"/>
    <w:rsid w:val="009C4918"/>
    <w:rsid w:val="009C4C78"/>
    <w:rsid w:val="009C5124"/>
    <w:rsid w:val="009C5C5F"/>
    <w:rsid w:val="009C5F2B"/>
    <w:rsid w:val="009C6454"/>
    <w:rsid w:val="009C6CF4"/>
    <w:rsid w:val="009C78E3"/>
    <w:rsid w:val="009C7FFB"/>
    <w:rsid w:val="009D04DD"/>
    <w:rsid w:val="009D2018"/>
    <w:rsid w:val="009D2D62"/>
    <w:rsid w:val="009D31CD"/>
    <w:rsid w:val="009D4E10"/>
    <w:rsid w:val="009D7121"/>
    <w:rsid w:val="009E01B8"/>
    <w:rsid w:val="009E0843"/>
    <w:rsid w:val="009E1B79"/>
    <w:rsid w:val="009E38AF"/>
    <w:rsid w:val="009E52A8"/>
    <w:rsid w:val="009E673E"/>
    <w:rsid w:val="009E7AD8"/>
    <w:rsid w:val="009F096D"/>
    <w:rsid w:val="009F0C01"/>
    <w:rsid w:val="009F0D41"/>
    <w:rsid w:val="009F161C"/>
    <w:rsid w:val="009F1BC2"/>
    <w:rsid w:val="009F29A4"/>
    <w:rsid w:val="009F2F18"/>
    <w:rsid w:val="009F4EF8"/>
    <w:rsid w:val="009F4F1B"/>
    <w:rsid w:val="009F5872"/>
    <w:rsid w:val="009F6DB9"/>
    <w:rsid w:val="009F740D"/>
    <w:rsid w:val="009F77F0"/>
    <w:rsid w:val="00A0020E"/>
    <w:rsid w:val="00A00370"/>
    <w:rsid w:val="00A00F88"/>
    <w:rsid w:val="00A01A02"/>
    <w:rsid w:val="00A01AAA"/>
    <w:rsid w:val="00A02007"/>
    <w:rsid w:val="00A024F6"/>
    <w:rsid w:val="00A02A8B"/>
    <w:rsid w:val="00A030F3"/>
    <w:rsid w:val="00A03652"/>
    <w:rsid w:val="00A041C7"/>
    <w:rsid w:val="00A04E7C"/>
    <w:rsid w:val="00A04F4B"/>
    <w:rsid w:val="00A06B3C"/>
    <w:rsid w:val="00A10003"/>
    <w:rsid w:val="00A1084E"/>
    <w:rsid w:val="00A114CC"/>
    <w:rsid w:val="00A11A74"/>
    <w:rsid w:val="00A12CC9"/>
    <w:rsid w:val="00A1449A"/>
    <w:rsid w:val="00A1467F"/>
    <w:rsid w:val="00A14921"/>
    <w:rsid w:val="00A151D1"/>
    <w:rsid w:val="00A20173"/>
    <w:rsid w:val="00A2060D"/>
    <w:rsid w:val="00A20B21"/>
    <w:rsid w:val="00A216B7"/>
    <w:rsid w:val="00A21708"/>
    <w:rsid w:val="00A23EF0"/>
    <w:rsid w:val="00A242AE"/>
    <w:rsid w:val="00A242EA"/>
    <w:rsid w:val="00A2504D"/>
    <w:rsid w:val="00A271B3"/>
    <w:rsid w:val="00A272BE"/>
    <w:rsid w:val="00A27757"/>
    <w:rsid w:val="00A2797C"/>
    <w:rsid w:val="00A30231"/>
    <w:rsid w:val="00A30545"/>
    <w:rsid w:val="00A309B7"/>
    <w:rsid w:val="00A30B94"/>
    <w:rsid w:val="00A31850"/>
    <w:rsid w:val="00A318DD"/>
    <w:rsid w:val="00A31D0C"/>
    <w:rsid w:val="00A322BE"/>
    <w:rsid w:val="00A33274"/>
    <w:rsid w:val="00A33342"/>
    <w:rsid w:val="00A3344C"/>
    <w:rsid w:val="00A33719"/>
    <w:rsid w:val="00A33DF9"/>
    <w:rsid w:val="00A3529A"/>
    <w:rsid w:val="00A40262"/>
    <w:rsid w:val="00A40A77"/>
    <w:rsid w:val="00A41B5E"/>
    <w:rsid w:val="00A41E03"/>
    <w:rsid w:val="00A42042"/>
    <w:rsid w:val="00A422C2"/>
    <w:rsid w:val="00A4281A"/>
    <w:rsid w:val="00A44228"/>
    <w:rsid w:val="00A44C41"/>
    <w:rsid w:val="00A44E81"/>
    <w:rsid w:val="00A45529"/>
    <w:rsid w:val="00A461E4"/>
    <w:rsid w:val="00A466AC"/>
    <w:rsid w:val="00A47031"/>
    <w:rsid w:val="00A4765E"/>
    <w:rsid w:val="00A50604"/>
    <w:rsid w:val="00A50E26"/>
    <w:rsid w:val="00A522C3"/>
    <w:rsid w:val="00A52331"/>
    <w:rsid w:val="00A524A6"/>
    <w:rsid w:val="00A54818"/>
    <w:rsid w:val="00A550AB"/>
    <w:rsid w:val="00A55DC6"/>
    <w:rsid w:val="00A55DD4"/>
    <w:rsid w:val="00A56070"/>
    <w:rsid w:val="00A56859"/>
    <w:rsid w:val="00A569E0"/>
    <w:rsid w:val="00A56D42"/>
    <w:rsid w:val="00A5707D"/>
    <w:rsid w:val="00A6008D"/>
    <w:rsid w:val="00A60997"/>
    <w:rsid w:val="00A60CA4"/>
    <w:rsid w:val="00A61446"/>
    <w:rsid w:val="00A61D87"/>
    <w:rsid w:val="00A62285"/>
    <w:rsid w:val="00A6390A"/>
    <w:rsid w:val="00A64A9B"/>
    <w:rsid w:val="00A65A66"/>
    <w:rsid w:val="00A65C73"/>
    <w:rsid w:val="00A66EE4"/>
    <w:rsid w:val="00A67235"/>
    <w:rsid w:val="00A675DD"/>
    <w:rsid w:val="00A70197"/>
    <w:rsid w:val="00A70585"/>
    <w:rsid w:val="00A715EF"/>
    <w:rsid w:val="00A71BDB"/>
    <w:rsid w:val="00A720B7"/>
    <w:rsid w:val="00A72719"/>
    <w:rsid w:val="00A72BCC"/>
    <w:rsid w:val="00A731D2"/>
    <w:rsid w:val="00A73387"/>
    <w:rsid w:val="00A73405"/>
    <w:rsid w:val="00A745D3"/>
    <w:rsid w:val="00A7462D"/>
    <w:rsid w:val="00A7549A"/>
    <w:rsid w:val="00A77A0F"/>
    <w:rsid w:val="00A77F4A"/>
    <w:rsid w:val="00A8029C"/>
    <w:rsid w:val="00A8033D"/>
    <w:rsid w:val="00A826A0"/>
    <w:rsid w:val="00A826B4"/>
    <w:rsid w:val="00A82E1A"/>
    <w:rsid w:val="00A8395A"/>
    <w:rsid w:val="00A83B75"/>
    <w:rsid w:val="00A83C7E"/>
    <w:rsid w:val="00A8418C"/>
    <w:rsid w:val="00A84DA1"/>
    <w:rsid w:val="00A85676"/>
    <w:rsid w:val="00A856DD"/>
    <w:rsid w:val="00A85812"/>
    <w:rsid w:val="00A864D8"/>
    <w:rsid w:val="00A871C9"/>
    <w:rsid w:val="00A87FE2"/>
    <w:rsid w:val="00A91271"/>
    <w:rsid w:val="00A915C6"/>
    <w:rsid w:val="00A917FF"/>
    <w:rsid w:val="00A9205F"/>
    <w:rsid w:val="00A92AC2"/>
    <w:rsid w:val="00A93498"/>
    <w:rsid w:val="00A93C3D"/>
    <w:rsid w:val="00A9456E"/>
    <w:rsid w:val="00A948B2"/>
    <w:rsid w:val="00A95355"/>
    <w:rsid w:val="00A95728"/>
    <w:rsid w:val="00A95F70"/>
    <w:rsid w:val="00A960E9"/>
    <w:rsid w:val="00A97B41"/>
    <w:rsid w:val="00A97DC4"/>
    <w:rsid w:val="00A97F0C"/>
    <w:rsid w:val="00A97F93"/>
    <w:rsid w:val="00AA0E4D"/>
    <w:rsid w:val="00AA219A"/>
    <w:rsid w:val="00AA25C5"/>
    <w:rsid w:val="00AA2B8B"/>
    <w:rsid w:val="00AA2C6E"/>
    <w:rsid w:val="00AA53A0"/>
    <w:rsid w:val="00AA66A3"/>
    <w:rsid w:val="00AB05C9"/>
    <w:rsid w:val="00AB0BC7"/>
    <w:rsid w:val="00AB1831"/>
    <w:rsid w:val="00AB20AB"/>
    <w:rsid w:val="00AB2AAE"/>
    <w:rsid w:val="00AB2C0F"/>
    <w:rsid w:val="00AB40A0"/>
    <w:rsid w:val="00AB5528"/>
    <w:rsid w:val="00AB5538"/>
    <w:rsid w:val="00AB6656"/>
    <w:rsid w:val="00AB7178"/>
    <w:rsid w:val="00AB74C3"/>
    <w:rsid w:val="00AC0E72"/>
    <w:rsid w:val="00AC1250"/>
    <w:rsid w:val="00AC21C6"/>
    <w:rsid w:val="00AC3779"/>
    <w:rsid w:val="00AC422A"/>
    <w:rsid w:val="00AD0097"/>
    <w:rsid w:val="00AD020B"/>
    <w:rsid w:val="00AD08E5"/>
    <w:rsid w:val="00AD0D5C"/>
    <w:rsid w:val="00AD1A96"/>
    <w:rsid w:val="00AD1E79"/>
    <w:rsid w:val="00AD2385"/>
    <w:rsid w:val="00AD2A29"/>
    <w:rsid w:val="00AD2FCF"/>
    <w:rsid w:val="00AD4728"/>
    <w:rsid w:val="00AD4CC2"/>
    <w:rsid w:val="00AD52A6"/>
    <w:rsid w:val="00AD5AEC"/>
    <w:rsid w:val="00AD669D"/>
    <w:rsid w:val="00AD6AD0"/>
    <w:rsid w:val="00AD6D0B"/>
    <w:rsid w:val="00AD7DC1"/>
    <w:rsid w:val="00AE07B8"/>
    <w:rsid w:val="00AE2C85"/>
    <w:rsid w:val="00AE328A"/>
    <w:rsid w:val="00AE42F5"/>
    <w:rsid w:val="00AE4721"/>
    <w:rsid w:val="00AE4C09"/>
    <w:rsid w:val="00AE541B"/>
    <w:rsid w:val="00AE56D5"/>
    <w:rsid w:val="00AE747B"/>
    <w:rsid w:val="00AE7B1F"/>
    <w:rsid w:val="00AE7DE5"/>
    <w:rsid w:val="00AF12DE"/>
    <w:rsid w:val="00AF1653"/>
    <w:rsid w:val="00AF3BF4"/>
    <w:rsid w:val="00AF3F93"/>
    <w:rsid w:val="00AF50BF"/>
    <w:rsid w:val="00AF5369"/>
    <w:rsid w:val="00AF63E5"/>
    <w:rsid w:val="00AF71D2"/>
    <w:rsid w:val="00B01410"/>
    <w:rsid w:val="00B02B2E"/>
    <w:rsid w:val="00B02C5B"/>
    <w:rsid w:val="00B02DE3"/>
    <w:rsid w:val="00B037AA"/>
    <w:rsid w:val="00B03A9D"/>
    <w:rsid w:val="00B054BA"/>
    <w:rsid w:val="00B06804"/>
    <w:rsid w:val="00B07908"/>
    <w:rsid w:val="00B1005C"/>
    <w:rsid w:val="00B11F8A"/>
    <w:rsid w:val="00B122A0"/>
    <w:rsid w:val="00B1256E"/>
    <w:rsid w:val="00B13430"/>
    <w:rsid w:val="00B13787"/>
    <w:rsid w:val="00B14007"/>
    <w:rsid w:val="00B1445B"/>
    <w:rsid w:val="00B15801"/>
    <w:rsid w:val="00B1644E"/>
    <w:rsid w:val="00B16CE0"/>
    <w:rsid w:val="00B17AAC"/>
    <w:rsid w:val="00B215D0"/>
    <w:rsid w:val="00B21F73"/>
    <w:rsid w:val="00B22D7B"/>
    <w:rsid w:val="00B2329D"/>
    <w:rsid w:val="00B2343E"/>
    <w:rsid w:val="00B23822"/>
    <w:rsid w:val="00B23A32"/>
    <w:rsid w:val="00B23A60"/>
    <w:rsid w:val="00B23D80"/>
    <w:rsid w:val="00B243A4"/>
    <w:rsid w:val="00B245B8"/>
    <w:rsid w:val="00B24ABA"/>
    <w:rsid w:val="00B255C5"/>
    <w:rsid w:val="00B25FB2"/>
    <w:rsid w:val="00B26A92"/>
    <w:rsid w:val="00B274C7"/>
    <w:rsid w:val="00B27A36"/>
    <w:rsid w:val="00B27DB4"/>
    <w:rsid w:val="00B30861"/>
    <w:rsid w:val="00B33676"/>
    <w:rsid w:val="00B33FC9"/>
    <w:rsid w:val="00B34D05"/>
    <w:rsid w:val="00B34E1F"/>
    <w:rsid w:val="00B35194"/>
    <w:rsid w:val="00B36C97"/>
    <w:rsid w:val="00B37AAA"/>
    <w:rsid w:val="00B37AE6"/>
    <w:rsid w:val="00B37C41"/>
    <w:rsid w:val="00B4078C"/>
    <w:rsid w:val="00B40D0C"/>
    <w:rsid w:val="00B4191E"/>
    <w:rsid w:val="00B42C6D"/>
    <w:rsid w:val="00B43418"/>
    <w:rsid w:val="00B437D7"/>
    <w:rsid w:val="00B43B49"/>
    <w:rsid w:val="00B4481E"/>
    <w:rsid w:val="00B4516E"/>
    <w:rsid w:val="00B455D4"/>
    <w:rsid w:val="00B45B27"/>
    <w:rsid w:val="00B45D33"/>
    <w:rsid w:val="00B467ED"/>
    <w:rsid w:val="00B46CB0"/>
    <w:rsid w:val="00B5139A"/>
    <w:rsid w:val="00B52315"/>
    <w:rsid w:val="00B5294D"/>
    <w:rsid w:val="00B52D8A"/>
    <w:rsid w:val="00B52DAB"/>
    <w:rsid w:val="00B539BE"/>
    <w:rsid w:val="00B5549D"/>
    <w:rsid w:val="00B56011"/>
    <w:rsid w:val="00B56EF5"/>
    <w:rsid w:val="00B6070A"/>
    <w:rsid w:val="00B60A02"/>
    <w:rsid w:val="00B62043"/>
    <w:rsid w:val="00B63682"/>
    <w:rsid w:val="00B6581A"/>
    <w:rsid w:val="00B6639E"/>
    <w:rsid w:val="00B670E5"/>
    <w:rsid w:val="00B70807"/>
    <w:rsid w:val="00B70890"/>
    <w:rsid w:val="00B71CAF"/>
    <w:rsid w:val="00B7320C"/>
    <w:rsid w:val="00B73752"/>
    <w:rsid w:val="00B749EC"/>
    <w:rsid w:val="00B74DA0"/>
    <w:rsid w:val="00B7733B"/>
    <w:rsid w:val="00B809A7"/>
    <w:rsid w:val="00B80F85"/>
    <w:rsid w:val="00B81CDF"/>
    <w:rsid w:val="00B824E7"/>
    <w:rsid w:val="00B829D3"/>
    <w:rsid w:val="00B82D29"/>
    <w:rsid w:val="00B83B7C"/>
    <w:rsid w:val="00B83EBF"/>
    <w:rsid w:val="00B84F90"/>
    <w:rsid w:val="00B85A66"/>
    <w:rsid w:val="00B86E92"/>
    <w:rsid w:val="00B90370"/>
    <w:rsid w:val="00B90F3B"/>
    <w:rsid w:val="00B91270"/>
    <w:rsid w:val="00B916F3"/>
    <w:rsid w:val="00B92397"/>
    <w:rsid w:val="00B92EB5"/>
    <w:rsid w:val="00B92EEB"/>
    <w:rsid w:val="00B9309E"/>
    <w:rsid w:val="00B93544"/>
    <w:rsid w:val="00B94A45"/>
    <w:rsid w:val="00B957C1"/>
    <w:rsid w:val="00B95A58"/>
    <w:rsid w:val="00B95A9E"/>
    <w:rsid w:val="00B96795"/>
    <w:rsid w:val="00B96958"/>
    <w:rsid w:val="00B974A4"/>
    <w:rsid w:val="00B9752D"/>
    <w:rsid w:val="00B979F7"/>
    <w:rsid w:val="00BA01C1"/>
    <w:rsid w:val="00BA06FA"/>
    <w:rsid w:val="00BA0A23"/>
    <w:rsid w:val="00BA33A9"/>
    <w:rsid w:val="00BA3460"/>
    <w:rsid w:val="00BA39C2"/>
    <w:rsid w:val="00BA5EB3"/>
    <w:rsid w:val="00BA5F1E"/>
    <w:rsid w:val="00BA6D44"/>
    <w:rsid w:val="00BA6F31"/>
    <w:rsid w:val="00BA7782"/>
    <w:rsid w:val="00BB0472"/>
    <w:rsid w:val="00BB134D"/>
    <w:rsid w:val="00BB2F5F"/>
    <w:rsid w:val="00BB3D35"/>
    <w:rsid w:val="00BB3DB6"/>
    <w:rsid w:val="00BB4B53"/>
    <w:rsid w:val="00BC0A42"/>
    <w:rsid w:val="00BC286A"/>
    <w:rsid w:val="00BC35D9"/>
    <w:rsid w:val="00BC3C65"/>
    <w:rsid w:val="00BC45E1"/>
    <w:rsid w:val="00BC471A"/>
    <w:rsid w:val="00BC52D2"/>
    <w:rsid w:val="00BC5FEE"/>
    <w:rsid w:val="00BC6152"/>
    <w:rsid w:val="00BC6C9D"/>
    <w:rsid w:val="00BC6F58"/>
    <w:rsid w:val="00BD00C4"/>
    <w:rsid w:val="00BD07C7"/>
    <w:rsid w:val="00BD1371"/>
    <w:rsid w:val="00BD14CE"/>
    <w:rsid w:val="00BD2421"/>
    <w:rsid w:val="00BD3541"/>
    <w:rsid w:val="00BD4652"/>
    <w:rsid w:val="00BD4A8F"/>
    <w:rsid w:val="00BD513D"/>
    <w:rsid w:val="00BD5EDD"/>
    <w:rsid w:val="00BD62A2"/>
    <w:rsid w:val="00BD6A96"/>
    <w:rsid w:val="00BD6BF0"/>
    <w:rsid w:val="00BD74B1"/>
    <w:rsid w:val="00BE0172"/>
    <w:rsid w:val="00BE037A"/>
    <w:rsid w:val="00BE112A"/>
    <w:rsid w:val="00BE17E6"/>
    <w:rsid w:val="00BE17EB"/>
    <w:rsid w:val="00BE1D6C"/>
    <w:rsid w:val="00BE27CF"/>
    <w:rsid w:val="00BE2C4B"/>
    <w:rsid w:val="00BE2D7E"/>
    <w:rsid w:val="00BE3EAD"/>
    <w:rsid w:val="00BE4084"/>
    <w:rsid w:val="00BE40C9"/>
    <w:rsid w:val="00BE4426"/>
    <w:rsid w:val="00BE540B"/>
    <w:rsid w:val="00BE6364"/>
    <w:rsid w:val="00BE6576"/>
    <w:rsid w:val="00BE7CB6"/>
    <w:rsid w:val="00BF048F"/>
    <w:rsid w:val="00BF159A"/>
    <w:rsid w:val="00BF1A2A"/>
    <w:rsid w:val="00BF1EEF"/>
    <w:rsid w:val="00BF1FCA"/>
    <w:rsid w:val="00BF5160"/>
    <w:rsid w:val="00BF7494"/>
    <w:rsid w:val="00C00650"/>
    <w:rsid w:val="00C00E23"/>
    <w:rsid w:val="00C012C4"/>
    <w:rsid w:val="00C021BB"/>
    <w:rsid w:val="00C037A3"/>
    <w:rsid w:val="00C03932"/>
    <w:rsid w:val="00C03D86"/>
    <w:rsid w:val="00C0626D"/>
    <w:rsid w:val="00C06B98"/>
    <w:rsid w:val="00C06DE4"/>
    <w:rsid w:val="00C1171A"/>
    <w:rsid w:val="00C1312A"/>
    <w:rsid w:val="00C143CD"/>
    <w:rsid w:val="00C14B68"/>
    <w:rsid w:val="00C15480"/>
    <w:rsid w:val="00C166E5"/>
    <w:rsid w:val="00C204EF"/>
    <w:rsid w:val="00C21013"/>
    <w:rsid w:val="00C234F7"/>
    <w:rsid w:val="00C23824"/>
    <w:rsid w:val="00C23B84"/>
    <w:rsid w:val="00C24599"/>
    <w:rsid w:val="00C264D9"/>
    <w:rsid w:val="00C2655A"/>
    <w:rsid w:val="00C269D6"/>
    <w:rsid w:val="00C26F6A"/>
    <w:rsid w:val="00C30F83"/>
    <w:rsid w:val="00C31069"/>
    <w:rsid w:val="00C3126C"/>
    <w:rsid w:val="00C31354"/>
    <w:rsid w:val="00C3135E"/>
    <w:rsid w:val="00C319FB"/>
    <w:rsid w:val="00C31C5A"/>
    <w:rsid w:val="00C31EAC"/>
    <w:rsid w:val="00C325F4"/>
    <w:rsid w:val="00C3269C"/>
    <w:rsid w:val="00C342CA"/>
    <w:rsid w:val="00C34515"/>
    <w:rsid w:val="00C34A03"/>
    <w:rsid w:val="00C34D9A"/>
    <w:rsid w:val="00C350DE"/>
    <w:rsid w:val="00C35A85"/>
    <w:rsid w:val="00C36498"/>
    <w:rsid w:val="00C36C08"/>
    <w:rsid w:val="00C36CF8"/>
    <w:rsid w:val="00C36FF2"/>
    <w:rsid w:val="00C37183"/>
    <w:rsid w:val="00C373FF"/>
    <w:rsid w:val="00C412AD"/>
    <w:rsid w:val="00C418F0"/>
    <w:rsid w:val="00C419F7"/>
    <w:rsid w:val="00C42040"/>
    <w:rsid w:val="00C4313B"/>
    <w:rsid w:val="00C435AB"/>
    <w:rsid w:val="00C45F01"/>
    <w:rsid w:val="00C4698C"/>
    <w:rsid w:val="00C516F1"/>
    <w:rsid w:val="00C5207F"/>
    <w:rsid w:val="00C52AC9"/>
    <w:rsid w:val="00C52D21"/>
    <w:rsid w:val="00C54C93"/>
    <w:rsid w:val="00C5509F"/>
    <w:rsid w:val="00C5543B"/>
    <w:rsid w:val="00C573B1"/>
    <w:rsid w:val="00C600EE"/>
    <w:rsid w:val="00C611F9"/>
    <w:rsid w:val="00C6294C"/>
    <w:rsid w:val="00C62B06"/>
    <w:rsid w:val="00C62DF8"/>
    <w:rsid w:val="00C62E03"/>
    <w:rsid w:val="00C64192"/>
    <w:rsid w:val="00C647CB"/>
    <w:rsid w:val="00C66BB7"/>
    <w:rsid w:val="00C67D33"/>
    <w:rsid w:val="00C72D39"/>
    <w:rsid w:val="00C72EB7"/>
    <w:rsid w:val="00C7351D"/>
    <w:rsid w:val="00C73A25"/>
    <w:rsid w:val="00C73D60"/>
    <w:rsid w:val="00C747F2"/>
    <w:rsid w:val="00C752EB"/>
    <w:rsid w:val="00C75878"/>
    <w:rsid w:val="00C75BD1"/>
    <w:rsid w:val="00C76BBB"/>
    <w:rsid w:val="00C7713E"/>
    <w:rsid w:val="00C779D4"/>
    <w:rsid w:val="00C77C0E"/>
    <w:rsid w:val="00C80125"/>
    <w:rsid w:val="00C809C6"/>
    <w:rsid w:val="00C81430"/>
    <w:rsid w:val="00C83899"/>
    <w:rsid w:val="00C8569F"/>
    <w:rsid w:val="00C86377"/>
    <w:rsid w:val="00C86829"/>
    <w:rsid w:val="00C86A4F"/>
    <w:rsid w:val="00C86DA3"/>
    <w:rsid w:val="00C871F5"/>
    <w:rsid w:val="00C879EA"/>
    <w:rsid w:val="00C87EBA"/>
    <w:rsid w:val="00C9135D"/>
    <w:rsid w:val="00C914F8"/>
    <w:rsid w:val="00C935F6"/>
    <w:rsid w:val="00C95234"/>
    <w:rsid w:val="00C9788C"/>
    <w:rsid w:val="00C97C59"/>
    <w:rsid w:val="00CA047B"/>
    <w:rsid w:val="00CA06A9"/>
    <w:rsid w:val="00CA0C2B"/>
    <w:rsid w:val="00CA418B"/>
    <w:rsid w:val="00CA42DE"/>
    <w:rsid w:val="00CA52C0"/>
    <w:rsid w:val="00CB12E9"/>
    <w:rsid w:val="00CB16E0"/>
    <w:rsid w:val="00CB1766"/>
    <w:rsid w:val="00CB1E90"/>
    <w:rsid w:val="00CB1EB4"/>
    <w:rsid w:val="00CB328F"/>
    <w:rsid w:val="00CB3573"/>
    <w:rsid w:val="00CB364D"/>
    <w:rsid w:val="00CB3A38"/>
    <w:rsid w:val="00CB3B10"/>
    <w:rsid w:val="00CB425D"/>
    <w:rsid w:val="00CB4831"/>
    <w:rsid w:val="00CB5DBA"/>
    <w:rsid w:val="00CB5FBD"/>
    <w:rsid w:val="00CB7F2D"/>
    <w:rsid w:val="00CC16EE"/>
    <w:rsid w:val="00CC1763"/>
    <w:rsid w:val="00CC21F6"/>
    <w:rsid w:val="00CC2600"/>
    <w:rsid w:val="00CC4526"/>
    <w:rsid w:val="00CC4B0F"/>
    <w:rsid w:val="00CC4B86"/>
    <w:rsid w:val="00CC5A1A"/>
    <w:rsid w:val="00CC5EA6"/>
    <w:rsid w:val="00CC6CE2"/>
    <w:rsid w:val="00CC70C2"/>
    <w:rsid w:val="00CC71C7"/>
    <w:rsid w:val="00CC759C"/>
    <w:rsid w:val="00CD0363"/>
    <w:rsid w:val="00CD171A"/>
    <w:rsid w:val="00CD2B43"/>
    <w:rsid w:val="00CD33A6"/>
    <w:rsid w:val="00CD4E01"/>
    <w:rsid w:val="00CD4F9A"/>
    <w:rsid w:val="00CD5608"/>
    <w:rsid w:val="00CD6935"/>
    <w:rsid w:val="00CD6C36"/>
    <w:rsid w:val="00CD7204"/>
    <w:rsid w:val="00CE0A6E"/>
    <w:rsid w:val="00CE113C"/>
    <w:rsid w:val="00CE2C20"/>
    <w:rsid w:val="00CE2CC9"/>
    <w:rsid w:val="00CE42F4"/>
    <w:rsid w:val="00CE47E8"/>
    <w:rsid w:val="00CE633C"/>
    <w:rsid w:val="00CE6C1C"/>
    <w:rsid w:val="00CE7B3F"/>
    <w:rsid w:val="00CE7C81"/>
    <w:rsid w:val="00CF0D83"/>
    <w:rsid w:val="00CF0EF2"/>
    <w:rsid w:val="00CF234B"/>
    <w:rsid w:val="00CF40C5"/>
    <w:rsid w:val="00CF47E5"/>
    <w:rsid w:val="00CF5B2D"/>
    <w:rsid w:val="00CF732A"/>
    <w:rsid w:val="00D00533"/>
    <w:rsid w:val="00D00540"/>
    <w:rsid w:val="00D00AA4"/>
    <w:rsid w:val="00D01406"/>
    <w:rsid w:val="00D015A7"/>
    <w:rsid w:val="00D0250E"/>
    <w:rsid w:val="00D0423A"/>
    <w:rsid w:val="00D04A90"/>
    <w:rsid w:val="00D05D7C"/>
    <w:rsid w:val="00D06573"/>
    <w:rsid w:val="00D06EF2"/>
    <w:rsid w:val="00D07131"/>
    <w:rsid w:val="00D07526"/>
    <w:rsid w:val="00D07E3B"/>
    <w:rsid w:val="00D1233D"/>
    <w:rsid w:val="00D1308F"/>
    <w:rsid w:val="00D13678"/>
    <w:rsid w:val="00D1460D"/>
    <w:rsid w:val="00D14B1E"/>
    <w:rsid w:val="00D152F0"/>
    <w:rsid w:val="00D1550B"/>
    <w:rsid w:val="00D166CC"/>
    <w:rsid w:val="00D17E05"/>
    <w:rsid w:val="00D17F23"/>
    <w:rsid w:val="00D207B2"/>
    <w:rsid w:val="00D2106D"/>
    <w:rsid w:val="00D216CF"/>
    <w:rsid w:val="00D220F4"/>
    <w:rsid w:val="00D22B49"/>
    <w:rsid w:val="00D22C80"/>
    <w:rsid w:val="00D23F60"/>
    <w:rsid w:val="00D240C0"/>
    <w:rsid w:val="00D24A6C"/>
    <w:rsid w:val="00D24AC2"/>
    <w:rsid w:val="00D25A76"/>
    <w:rsid w:val="00D2692A"/>
    <w:rsid w:val="00D278F4"/>
    <w:rsid w:val="00D27C28"/>
    <w:rsid w:val="00D27E31"/>
    <w:rsid w:val="00D308D8"/>
    <w:rsid w:val="00D311F7"/>
    <w:rsid w:val="00D318AF"/>
    <w:rsid w:val="00D322C3"/>
    <w:rsid w:val="00D32350"/>
    <w:rsid w:val="00D3344A"/>
    <w:rsid w:val="00D3355A"/>
    <w:rsid w:val="00D34CA3"/>
    <w:rsid w:val="00D35AA2"/>
    <w:rsid w:val="00D362BE"/>
    <w:rsid w:val="00D36BE9"/>
    <w:rsid w:val="00D3722A"/>
    <w:rsid w:val="00D37579"/>
    <w:rsid w:val="00D379CE"/>
    <w:rsid w:val="00D40B0A"/>
    <w:rsid w:val="00D42ACE"/>
    <w:rsid w:val="00D43F58"/>
    <w:rsid w:val="00D4457A"/>
    <w:rsid w:val="00D45734"/>
    <w:rsid w:val="00D46172"/>
    <w:rsid w:val="00D46D5A"/>
    <w:rsid w:val="00D47282"/>
    <w:rsid w:val="00D47829"/>
    <w:rsid w:val="00D47E7C"/>
    <w:rsid w:val="00D50AD1"/>
    <w:rsid w:val="00D542A9"/>
    <w:rsid w:val="00D54789"/>
    <w:rsid w:val="00D54F6A"/>
    <w:rsid w:val="00D5501F"/>
    <w:rsid w:val="00D55807"/>
    <w:rsid w:val="00D56BA3"/>
    <w:rsid w:val="00D57F64"/>
    <w:rsid w:val="00D604C4"/>
    <w:rsid w:val="00D605E1"/>
    <w:rsid w:val="00D624DF"/>
    <w:rsid w:val="00D63645"/>
    <w:rsid w:val="00D63929"/>
    <w:rsid w:val="00D63C1C"/>
    <w:rsid w:val="00D63E1C"/>
    <w:rsid w:val="00D6421D"/>
    <w:rsid w:val="00D645E0"/>
    <w:rsid w:val="00D65124"/>
    <w:rsid w:val="00D65231"/>
    <w:rsid w:val="00D65507"/>
    <w:rsid w:val="00D6599A"/>
    <w:rsid w:val="00D66534"/>
    <w:rsid w:val="00D66977"/>
    <w:rsid w:val="00D669A4"/>
    <w:rsid w:val="00D66E91"/>
    <w:rsid w:val="00D66EFA"/>
    <w:rsid w:val="00D67C8A"/>
    <w:rsid w:val="00D709B7"/>
    <w:rsid w:val="00D71211"/>
    <w:rsid w:val="00D7143F"/>
    <w:rsid w:val="00D72409"/>
    <w:rsid w:val="00D72A0C"/>
    <w:rsid w:val="00D72AD0"/>
    <w:rsid w:val="00D73033"/>
    <w:rsid w:val="00D73621"/>
    <w:rsid w:val="00D73785"/>
    <w:rsid w:val="00D74162"/>
    <w:rsid w:val="00D74745"/>
    <w:rsid w:val="00D7507B"/>
    <w:rsid w:val="00D7557F"/>
    <w:rsid w:val="00D75794"/>
    <w:rsid w:val="00D75BC9"/>
    <w:rsid w:val="00D77016"/>
    <w:rsid w:val="00D77153"/>
    <w:rsid w:val="00D77D62"/>
    <w:rsid w:val="00D80B5C"/>
    <w:rsid w:val="00D81BB1"/>
    <w:rsid w:val="00D84F6A"/>
    <w:rsid w:val="00D8506B"/>
    <w:rsid w:val="00D855D0"/>
    <w:rsid w:val="00D85A8B"/>
    <w:rsid w:val="00D86ADC"/>
    <w:rsid w:val="00D876CD"/>
    <w:rsid w:val="00D90791"/>
    <w:rsid w:val="00D90A08"/>
    <w:rsid w:val="00D90F27"/>
    <w:rsid w:val="00D90F8B"/>
    <w:rsid w:val="00D91524"/>
    <w:rsid w:val="00D928A3"/>
    <w:rsid w:val="00D93A74"/>
    <w:rsid w:val="00D9440E"/>
    <w:rsid w:val="00D95433"/>
    <w:rsid w:val="00D95689"/>
    <w:rsid w:val="00D956B6"/>
    <w:rsid w:val="00D95F43"/>
    <w:rsid w:val="00D9772E"/>
    <w:rsid w:val="00DA07B1"/>
    <w:rsid w:val="00DA0DC8"/>
    <w:rsid w:val="00DA17B0"/>
    <w:rsid w:val="00DA2C00"/>
    <w:rsid w:val="00DA33EC"/>
    <w:rsid w:val="00DA3B79"/>
    <w:rsid w:val="00DA3F09"/>
    <w:rsid w:val="00DA48B0"/>
    <w:rsid w:val="00DA5E1F"/>
    <w:rsid w:val="00DA6D82"/>
    <w:rsid w:val="00DA7E29"/>
    <w:rsid w:val="00DB06D2"/>
    <w:rsid w:val="00DB1330"/>
    <w:rsid w:val="00DB169C"/>
    <w:rsid w:val="00DB180E"/>
    <w:rsid w:val="00DB21E9"/>
    <w:rsid w:val="00DB27AF"/>
    <w:rsid w:val="00DB292F"/>
    <w:rsid w:val="00DB3608"/>
    <w:rsid w:val="00DB3966"/>
    <w:rsid w:val="00DB3F0F"/>
    <w:rsid w:val="00DB597B"/>
    <w:rsid w:val="00DB5A3F"/>
    <w:rsid w:val="00DB6496"/>
    <w:rsid w:val="00DB78EC"/>
    <w:rsid w:val="00DC124A"/>
    <w:rsid w:val="00DC2393"/>
    <w:rsid w:val="00DC23B0"/>
    <w:rsid w:val="00DC2AD7"/>
    <w:rsid w:val="00DC2CDA"/>
    <w:rsid w:val="00DC6EBF"/>
    <w:rsid w:val="00DC796E"/>
    <w:rsid w:val="00DD3483"/>
    <w:rsid w:val="00DD40A3"/>
    <w:rsid w:val="00DD4D17"/>
    <w:rsid w:val="00DD5846"/>
    <w:rsid w:val="00DD620A"/>
    <w:rsid w:val="00DD7392"/>
    <w:rsid w:val="00DE0462"/>
    <w:rsid w:val="00DE11D6"/>
    <w:rsid w:val="00DE1AEE"/>
    <w:rsid w:val="00DE2212"/>
    <w:rsid w:val="00DE2457"/>
    <w:rsid w:val="00DE2C8D"/>
    <w:rsid w:val="00DE5E69"/>
    <w:rsid w:val="00DE610C"/>
    <w:rsid w:val="00DE6776"/>
    <w:rsid w:val="00DE7B73"/>
    <w:rsid w:val="00DE7CEB"/>
    <w:rsid w:val="00DE7F13"/>
    <w:rsid w:val="00DF06C4"/>
    <w:rsid w:val="00DF1212"/>
    <w:rsid w:val="00DF12DD"/>
    <w:rsid w:val="00DF234C"/>
    <w:rsid w:val="00DF2C09"/>
    <w:rsid w:val="00DF3A31"/>
    <w:rsid w:val="00DF3DDB"/>
    <w:rsid w:val="00DF563C"/>
    <w:rsid w:val="00DF5D6C"/>
    <w:rsid w:val="00DF631D"/>
    <w:rsid w:val="00DF6C2D"/>
    <w:rsid w:val="00DF6D88"/>
    <w:rsid w:val="00DF74F4"/>
    <w:rsid w:val="00E00415"/>
    <w:rsid w:val="00E010DC"/>
    <w:rsid w:val="00E01D4D"/>
    <w:rsid w:val="00E028C1"/>
    <w:rsid w:val="00E02941"/>
    <w:rsid w:val="00E03081"/>
    <w:rsid w:val="00E04119"/>
    <w:rsid w:val="00E04A8B"/>
    <w:rsid w:val="00E0592D"/>
    <w:rsid w:val="00E05B90"/>
    <w:rsid w:val="00E05BF7"/>
    <w:rsid w:val="00E06224"/>
    <w:rsid w:val="00E06B80"/>
    <w:rsid w:val="00E06B95"/>
    <w:rsid w:val="00E06E46"/>
    <w:rsid w:val="00E10EA2"/>
    <w:rsid w:val="00E10F8D"/>
    <w:rsid w:val="00E114D9"/>
    <w:rsid w:val="00E126BB"/>
    <w:rsid w:val="00E134A9"/>
    <w:rsid w:val="00E135F9"/>
    <w:rsid w:val="00E136F7"/>
    <w:rsid w:val="00E14AED"/>
    <w:rsid w:val="00E14D31"/>
    <w:rsid w:val="00E150E0"/>
    <w:rsid w:val="00E155F6"/>
    <w:rsid w:val="00E167A2"/>
    <w:rsid w:val="00E2108D"/>
    <w:rsid w:val="00E214F0"/>
    <w:rsid w:val="00E21F9F"/>
    <w:rsid w:val="00E220EA"/>
    <w:rsid w:val="00E2262C"/>
    <w:rsid w:val="00E23054"/>
    <w:rsid w:val="00E236F6"/>
    <w:rsid w:val="00E237A8"/>
    <w:rsid w:val="00E24F7C"/>
    <w:rsid w:val="00E25852"/>
    <w:rsid w:val="00E259D4"/>
    <w:rsid w:val="00E25B67"/>
    <w:rsid w:val="00E25FDB"/>
    <w:rsid w:val="00E26DDA"/>
    <w:rsid w:val="00E30009"/>
    <w:rsid w:val="00E30B9B"/>
    <w:rsid w:val="00E30FF3"/>
    <w:rsid w:val="00E3151F"/>
    <w:rsid w:val="00E31BA9"/>
    <w:rsid w:val="00E31DD1"/>
    <w:rsid w:val="00E31E1C"/>
    <w:rsid w:val="00E31E48"/>
    <w:rsid w:val="00E337C4"/>
    <w:rsid w:val="00E337E8"/>
    <w:rsid w:val="00E33A8F"/>
    <w:rsid w:val="00E34AA2"/>
    <w:rsid w:val="00E35486"/>
    <w:rsid w:val="00E35A3A"/>
    <w:rsid w:val="00E37FAF"/>
    <w:rsid w:val="00E4090B"/>
    <w:rsid w:val="00E40ABB"/>
    <w:rsid w:val="00E416FB"/>
    <w:rsid w:val="00E419BD"/>
    <w:rsid w:val="00E41F06"/>
    <w:rsid w:val="00E422DC"/>
    <w:rsid w:val="00E42B30"/>
    <w:rsid w:val="00E42DA2"/>
    <w:rsid w:val="00E4596A"/>
    <w:rsid w:val="00E45E6B"/>
    <w:rsid w:val="00E465FE"/>
    <w:rsid w:val="00E476B7"/>
    <w:rsid w:val="00E47A35"/>
    <w:rsid w:val="00E50167"/>
    <w:rsid w:val="00E5097C"/>
    <w:rsid w:val="00E51DDA"/>
    <w:rsid w:val="00E52A08"/>
    <w:rsid w:val="00E5361B"/>
    <w:rsid w:val="00E5366E"/>
    <w:rsid w:val="00E54925"/>
    <w:rsid w:val="00E57188"/>
    <w:rsid w:val="00E604A4"/>
    <w:rsid w:val="00E61C4E"/>
    <w:rsid w:val="00E62147"/>
    <w:rsid w:val="00E631DE"/>
    <w:rsid w:val="00E63872"/>
    <w:rsid w:val="00E63C6C"/>
    <w:rsid w:val="00E63F87"/>
    <w:rsid w:val="00E6527E"/>
    <w:rsid w:val="00E65A41"/>
    <w:rsid w:val="00E70C65"/>
    <w:rsid w:val="00E710C9"/>
    <w:rsid w:val="00E71666"/>
    <w:rsid w:val="00E71676"/>
    <w:rsid w:val="00E724E4"/>
    <w:rsid w:val="00E73155"/>
    <w:rsid w:val="00E73312"/>
    <w:rsid w:val="00E735D4"/>
    <w:rsid w:val="00E73AFD"/>
    <w:rsid w:val="00E7411D"/>
    <w:rsid w:val="00E7483A"/>
    <w:rsid w:val="00E7525A"/>
    <w:rsid w:val="00E76439"/>
    <w:rsid w:val="00E76CBC"/>
    <w:rsid w:val="00E77D98"/>
    <w:rsid w:val="00E77EE6"/>
    <w:rsid w:val="00E80317"/>
    <w:rsid w:val="00E80877"/>
    <w:rsid w:val="00E810DA"/>
    <w:rsid w:val="00E81E0D"/>
    <w:rsid w:val="00E829FE"/>
    <w:rsid w:val="00E82B29"/>
    <w:rsid w:val="00E82B62"/>
    <w:rsid w:val="00E841D8"/>
    <w:rsid w:val="00E850A8"/>
    <w:rsid w:val="00E858D9"/>
    <w:rsid w:val="00E85DC1"/>
    <w:rsid w:val="00E862F4"/>
    <w:rsid w:val="00E9032B"/>
    <w:rsid w:val="00E90B5E"/>
    <w:rsid w:val="00E92DE1"/>
    <w:rsid w:val="00E936A7"/>
    <w:rsid w:val="00E93717"/>
    <w:rsid w:val="00E94339"/>
    <w:rsid w:val="00E944FD"/>
    <w:rsid w:val="00E94FA2"/>
    <w:rsid w:val="00E9546A"/>
    <w:rsid w:val="00E95563"/>
    <w:rsid w:val="00E97CCA"/>
    <w:rsid w:val="00E97E2B"/>
    <w:rsid w:val="00EA0177"/>
    <w:rsid w:val="00EA0D5B"/>
    <w:rsid w:val="00EA3FF6"/>
    <w:rsid w:val="00EA6DC0"/>
    <w:rsid w:val="00EA7FBE"/>
    <w:rsid w:val="00EB0C5B"/>
    <w:rsid w:val="00EB159B"/>
    <w:rsid w:val="00EB2033"/>
    <w:rsid w:val="00EB2481"/>
    <w:rsid w:val="00EB257B"/>
    <w:rsid w:val="00EB2A1F"/>
    <w:rsid w:val="00EB2D88"/>
    <w:rsid w:val="00EB370F"/>
    <w:rsid w:val="00EB404A"/>
    <w:rsid w:val="00EB5234"/>
    <w:rsid w:val="00EB610E"/>
    <w:rsid w:val="00EB722E"/>
    <w:rsid w:val="00EC0E72"/>
    <w:rsid w:val="00EC2028"/>
    <w:rsid w:val="00EC2317"/>
    <w:rsid w:val="00EC25BA"/>
    <w:rsid w:val="00EC2990"/>
    <w:rsid w:val="00EC2A4D"/>
    <w:rsid w:val="00EC43F0"/>
    <w:rsid w:val="00EC4BBD"/>
    <w:rsid w:val="00EC4FBB"/>
    <w:rsid w:val="00EC61E5"/>
    <w:rsid w:val="00EC63BD"/>
    <w:rsid w:val="00EC6654"/>
    <w:rsid w:val="00EC67A3"/>
    <w:rsid w:val="00EC7EEF"/>
    <w:rsid w:val="00ED1037"/>
    <w:rsid w:val="00ED11BA"/>
    <w:rsid w:val="00ED1764"/>
    <w:rsid w:val="00ED200B"/>
    <w:rsid w:val="00ED2520"/>
    <w:rsid w:val="00ED2E12"/>
    <w:rsid w:val="00ED3EDC"/>
    <w:rsid w:val="00ED4F03"/>
    <w:rsid w:val="00ED52B2"/>
    <w:rsid w:val="00ED552A"/>
    <w:rsid w:val="00EE0ADC"/>
    <w:rsid w:val="00EE173D"/>
    <w:rsid w:val="00EE231A"/>
    <w:rsid w:val="00EE24D6"/>
    <w:rsid w:val="00EE289F"/>
    <w:rsid w:val="00EE59C6"/>
    <w:rsid w:val="00EE69B9"/>
    <w:rsid w:val="00EE75E5"/>
    <w:rsid w:val="00EF0066"/>
    <w:rsid w:val="00EF1864"/>
    <w:rsid w:val="00EF26B4"/>
    <w:rsid w:val="00EF33BF"/>
    <w:rsid w:val="00EF41F1"/>
    <w:rsid w:val="00EF491E"/>
    <w:rsid w:val="00EF6E6D"/>
    <w:rsid w:val="00EF775A"/>
    <w:rsid w:val="00EF7A66"/>
    <w:rsid w:val="00F00020"/>
    <w:rsid w:val="00F00DA4"/>
    <w:rsid w:val="00F01A7F"/>
    <w:rsid w:val="00F02E36"/>
    <w:rsid w:val="00F03426"/>
    <w:rsid w:val="00F04707"/>
    <w:rsid w:val="00F04ACD"/>
    <w:rsid w:val="00F04D5B"/>
    <w:rsid w:val="00F0539D"/>
    <w:rsid w:val="00F0571B"/>
    <w:rsid w:val="00F07867"/>
    <w:rsid w:val="00F10181"/>
    <w:rsid w:val="00F107A8"/>
    <w:rsid w:val="00F10F01"/>
    <w:rsid w:val="00F110F6"/>
    <w:rsid w:val="00F11D6E"/>
    <w:rsid w:val="00F122E7"/>
    <w:rsid w:val="00F13671"/>
    <w:rsid w:val="00F13D28"/>
    <w:rsid w:val="00F1428B"/>
    <w:rsid w:val="00F14BA7"/>
    <w:rsid w:val="00F152B2"/>
    <w:rsid w:val="00F16949"/>
    <w:rsid w:val="00F16D8C"/>
    <w:rsid w:val="00F177AD"/>
    <w:rsid w:val="00F17C72"/>
    <w:rsid w:val="00F17D2D"/>
    <w:rsid w:val="00F20894"/>
    <w:rsid w:val="00F20D34"/>
    <w:rsid w:val="00F2241D"/>
    <w:rsid w:val="00F22AEB"/>
    <w:rsid w:val="00F22AFE"/>
    <w:rsid w:val="00F23754"/>
    <w:rsid w:val="00F237A4"/>
    <w:rsid w:val="00F23F6D"/>
    <w:rsid w:val="00F24087"/>
    <w:rsid w:val="00F24A5E"/>
    <w:rsid w:val="00F265F6"/>
    <w:rsid w:val="00F26653"/>
    <w:rsid w:val="00F27291"/>
    <w:rsid w:val="00F2770C"/>
    <w:rsid w:val="00F31113"/>
    <w:rsid w:val="00F314C0"/>
    <w:rsid w:val="00F32084"/>
    <w:rsid w:val="00F32457"/>
    <w:rsid w:val="00F32541"/>
    <w:rsid w:val="00F3254D"/>
    <w:rsid w:val="00F32569"/>
    <w:rsid w:val="00F33889"/>
    <w:rsid w:val="00F357FA"/>
    <w:rsid w:val="00F35C22"/>
    <w:rsid w:val="00F377FB"/>
    <w:rsid w:val="00F37FE3"/>
    <w:rsid w:val="00F41337"/>
    <w:rsid w:val="00F4140B"/>
    <w:rsid w:val="00F41940"/>
    <w:rsid w:val="00F43E13"/>
    <w:rsid w:val="00F44405"/>
    <w:rsid w:val="00F44796"/>
    <w:rsid w:val="00F44D8E"/>
    <w:rsid w:val="00F46255"/>
    <w:rsid w:val="00F47DC5"/>
    <w:rsid w:val="00F50A23"/>
    <w:rsid w:val="00F50E9F"/>
    <w:rsid w:val="00F518F3"/>
    <w:rsid w:val="00F5367B"/>
    <w:rsid w:val="00F54B12"/>
    <w:rsid w:val="00F55934"/>
    <w:rsid w:val="00F5608F"/>
    <w:rsid w:val="00F6027C"/>
    <w:rsid w:val="00F60DAD"/>
    <w:rsid w:val="00F60DE0"/>
    <w:rsid w:val="00F617DE"/>
    <w:rsid w:val="00F6194D"/>
    <w:rsid w:val="00F61F8E"/>
    <w:rsid w:val="00F62233"/>
    <w:rsid w:val="00F6251B"/>
    <w:rsid w:val="00F626C6"/>
    <w:rsid w:val="00F62CF6"/>
    <w:rsid w:val="00F63405"/>
    <w:rsid w:val="00F63C7A"/>
    <w:rsid w:val="00F64156"/>
    <w:rsid w:val="00F6576A"/>
    <w:rsid w:val="00F66924"/>
    <w:rsid w:val="00F66FA6"/>
    <w:rsid w:val="00F67BD1"/>
    <w:rsid w:val="00F708A1"/>
    <w:rsid w:val="00F70C8A"/>
    <w:rsid w:val="00F71087"/>
    <w:rsid w:val="00F71242"/>
    <w:rsid w:val="00F7246A"/>
    <w:rsid w:val="00F73A04"/>
    <w:rsid w:val="00F74DE7"/>
    <w:rsid w:val="00F76A83"/>
    <w:rsid w:val="00F774C8"/>
    <w:rsid w:val="00F802C8"/>
    <w:rsid w:val="00F81D96"/>
    <w:rsid w:val="00F826E7"/>
    <w:rsid w:val="00F82C6C"/>
    <w:rsid w:val="00F83978"/>
    <w:rsid w:val="00F83ED3"/>
    <w:rsid w:val="00F857B4"/>
    <w:rsid w:val="00F85C14"/>
    <w:rsid w:val="00F85C44"/>
    <w:rsid w:val="00F85F4D"/>
    <w:rsid w:val="00F86002"/>
    <w:rsid w:val="00F86371"/>
    <w:rsid w:val="00F86648"/>
    <w:rsid w:val="00F86C88"/>
    <w:rsid w:val="00F86D13"/>
    <w:rsid w:val="00F87535"/>
    <w:rsid w:val="00F91915"/>
    <w:rsid w:val="00F921C0"/>
    <w:rsid w:val="00F92282"/>
    <w:rsid w:val="00F9337A"/>
    <w:rsid w:val="00F962B4"/>
    <w:rsid w:val="00F972B0"/>
    <w:rsid w:val="00FA0210"/>
    <w:rsid w:val="00FA2BF8"/>
    <w:rsid w:val="00FA381D"/>
    <w:rsid w:val="00FA3AA3"/>
    <w:rsid w:val="00FA3D00"/>
    <w:rsid w:val="00FA4324"/>
    <w:rsid w:val="00FA4C1F"/>
    <w:rsid w:val="00FA538C"/>
    <w:rsid w:val="00FA5C2C"/>
    <w:rsid w:val="00FA5D62"/>
    <w:rsid w:val="00FA6040"/>
    <w:rsid w:val="00FA6293"/>
    <w:rsid w:val="00FA6373"/>
    <w:rsid w:val="00FA686A"/>
    <w:rsid w:val="00FA6C96"/>
    <w:rsid w:val="00FA7214"/>
    <w:rsid w:val="00FB00F7"/>
    <w:rsid w:val="00FB08CC"/>
    <w:rsid w:val="00FB1304"/>
    <w:rsid w:val="00FB1514"/>
    <w:rsid w:val="00FB1AF1"/>
    <w:rsid w:val="00FB3686"/>
    <w:rsid w:val="00FB3CD7"/>
    <w:rsid w:val="00FB4545"/>
    <w:rsid w:val="00FB478F"/>
    <w:rsid w:val="00FB5045"/>
    <w:rsid w:val="00FB56BD"/>
    <w:rsid w:val="00FB578C"/>
    <w:rsid w:val="00FB58BB"/>
    <w:rsid w:val="00FB597D"/>
    <w:rsid w:val="00FB634D"/>
    <w:rsid w:val="00FB66D9"/>
    <w:rsid w:val="00FC0D59"/>
    <w:rsid w:val="00FC1A3D"/>
    <w:rsid w:val="00FC1A5C"/>
    <w:rsid w:val="00FC1C53"/>
    <w:rsid w:val="00FC1D2A"/>
    <w:rsid w:val="00FC2D03"/>
    <w:rsid w:val="00FC2D4C"/>
    <w:rsid w:val="00FC39EA"/>
    <w:rsid w:val="00FC469C"/>
    <w:rsid w:val="00FC4943"/>
    <w:rsid w:val="00FC4AA6"/>
    <w:rsid w:val="00FC56B8"/>
    <w:rsid w:val="00FC5CFE"/>
    <w:rsid w:val="00FC60B8"/>
    <w:rsid w:val="00FC6DE6"/>
    <w:rsid w:val="00FC6E48"/>
    <w:rsid w:val="00FD0A9D"/>
    <w:rsid w:val="00FD0A9E"/>
    <w:rsid w:val="00FD0F14"/>
    <w:rsid w:val="00FD15AF"/>
    <w:rsid w:val="00FD2F1A"/>
    <w:rsid w:val="00FD3053"/>
    <w:rsid w:val="00FD3715"/>
    <w:rsid w:val="00FD37D0"/>
    <w:rsid w:val="00FD440C"/>
    <w:rsid w:val="00FD4EC8"/>
    <w:rsid w:val="00FD5E81"/>
    <w:rsid w:val="00FD5FF0"/>
    <w:rsid w:val="00FD7F01"/>
    <w:rsid w:val="00FE0775"/>
    <w:rsid w:val="00FE0F88"/>
    <w:rsid w:val="00FE3782"/>
    <w:rsid w:val="00FE3AC5"/>
    <w:rsid w:val="00FE44CF"/>
    <w:rsid w:val="00FE4721"/>
    <w:rsid w:val="00FE4D2A"/>
    <w:rsid w:val="00FE4FD0"/>
    <w:rsid w:val="00FE5051"/>
    <w:rsid w:val="00FE53DC"/>
    <w:rsid w:val="00FE5839"/>
    <w:rsid w:val="00FE5B58"/>
    <w:rsid w:val="00FE6E80"/>
    <w:rsid w:val="00FF02E4"/>
    <w:rsid w:val="00FF2F3F"/>
    <w:rsid w:val="00FF524F"/>
    <w:rsid w:val="00FF58A5"/>
    <w:rsid w:val="00FF58F3"/>
    <w:rsid w:val="00FF5AA4"/>
    <w:rsid w:val="00FF6251"/>
    <w:rsid w:val="00FF7151"/>
    <w:rsid w:val="00FF7B13"/>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8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paragraph" w:customStyle="1" w:styleId="SCCLsocSubfileSeparator">
    <w:name w:val="SCC.Lsoc.SubfileSeparator"/>
    <w:basedOn w:val="Normal"/>
    <w:next w:val="Normal"/>
    <w:link w:val="SCCLsocSubfileSeparatorChar"/>
    <w:rsid w:val="00303608"/>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03608"/>
    <w:rPr>
      <w:rFonts w:ascii="Times New Roman" w:eastAsiaTheme="minorHAnsi" w:hAnsi="Times New Roman"/>
      <w:b/>
      <w:sz w:val="24"/>
      <w:szCs w:val="24"/>
      <w:lang w:val="en-CA"/>
    </w:rPr>
  </w:style>
  <w:style w:type="paragraph" w:customStyle="1" w:styleId="SCCLsocOtherPartySeparator">
    <w:name w:val="SCC.Lsoc.OtherPartySeparator"/>
    <w:basedOn w:val="Normal"/>
    <w:next w:val="Normal"/>
    <w:link w:val="SCCLsocOtherPartySeparatorChar"/>
    <w:rsid w:val="00303608"/>
    <w:pPr>
      <w:jc w:val="both"/>
    </w:pPr>
    <w:rPr>
      <w:rFonts w:eastAsiaTheme="minorHAnsi" w:cstheme="minorBidi"/>
      <w:b/>
      <w:szCs w:val="22"/>
      <w:lang w:val="en-CA"/>
    </w:rPr>
  </w:style>
  <w:style w:type="character" w:customStyle="1" w:styleId="SCCLsocOtherPartySeparatorChar">
    <w:name w:val="SCC.Lsoc.OtherPartySeparator Char"/>
    <w:basedOn w:val="DefaultParagraphFont"/>
    <w:link w:val="SCCLsocOtherPartySeparator"/>
    <w:rsid w:val="00303608"/>
    <w:rPr>
      <w:rFonts w:ascii="Times New Roman" w:eastAsiaTheme="minorHAnsi" w:hAnsi="Times New Roman" w:cstheme="minorBidi"/>
      <w:b/>
      <w:sz w:val="24"/>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7342" TargetMode="External"/><Relationship Id="rId13" Type="http://schemas.openxmlformats.org/officeDocument/2006/relationships/hyperlink" Target="http://www.canlii.org/en/ca/fct/doc/2014/2014fc1243/2014fc1243.html?resultIndex=1&amp;searchUrlHash=AAAAAQAHaG9zcGlyYQAAAAAB&amp;offset=648" TargetMode="External"/><Relationship Id="rId18" Type="http://schemas.openxmlformats.org/officeDocument/2006/relationships/hyperlink" Target="http://www.canlii.org/en/ca/laws/regu/sor-90-688a/latest/sor-90-688a.html" TargetMode="External"/><Relationship Id="rId26" Type="http://schemas.openxmlformats.org/officeDocument/2006/relationships/hyperlink" Target="https://www.canlii.org/en/sk/skca/doc/2016/2016skca124/2016skca124.html?autocompleteStr=2016%20SKCA%20124&amp;autocompletePos=1" TargetMode="External"/><Relationship Id="rId39" Type="http://schemas.openxmlformats.org/officeDocument/2006/relationships/hyperlink" Target="mailto:comments-commentaires@scc-csc.ca" TargetMode="External"/><Relationship Id="rId3" Type="http://schemas.openxmlformats.org/officeDocument/2006/relationships/styles" Target="styles.xml"/><Relationship Id="rId21" Type="http://schemas.openxmlformats.org/officeDocument/2006/relationships/hyperlink" Target="http://canlii.ca/t/gvxqh" TargetMode="External"/><Relationship Id="rId34" Type="http://schemas.openxmlformats.org/officeDocument/2006/relationships/hyperlink" Target="http://www.canlii.org/en/ca/fca/doc/2016/2016fca223/2016fca223.html?autocompleteStr=2016%20FCA%20223&amp;autocompletePos=1"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cc-csc.ca/case-dossier/info/sum-som-eng.aspx?cas=37280" TargetMode="External"/><Relationship Id="rId17" Type="http://schemas.openxmlformats.org/officeDocument/2006/relationships/hyperlink" Target="http://www.canlii.org/en/ca/laws/stat/rsc-1985-c-1-5th-supp/latest/rsc-1985-c-1-5th-supp.html" TargetMode="External"/><Relationship Id="rId25" Type="http://schemas.openxmlformats.org/officeDocument/2006/relationships/hyperlink" Target="https://www.canlii.org/en/sk/skqb/doc/2014/2014skqb327/2014skqb327.html?autocompleteStr=2014%20SKQB%20327&amp;autocompletePos=1" TargetMode="External"/><Relationship Id="rId33" Type="http://schemas.openxmlformats.org/officeDocument/2006/relationships/hyperlink" Target="http://www.canlii.org/en/ca/fct/doc/2015/2015fc836/2015fc836.html?autocompleteStr=2015%20FC%20836&amp;autocompletePos=1" TargetMode="External"/><Relationship Id="rId38" Type="http://schemas.openxmlformats.org/officeDocument/2006/relationships/hyperlink" Target="http://www.canlii.org/en/ca/fca/doc/2016/2016fca223/2016fca223.html?autocompleteStr=2016%20FCA%20223&amp;autocompletePos=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nlii.org/fr/ca/caf/doc/2016/2016caf248/2016caf248.html" TargetMode="External"/><Relationship Id="rId20" Type="http://schemas.openxmlformats.org/officeDocument/2006/relationships/hyperlink" Target="http://canlii.ca/t/gm13g" TargetMode="External"/><Relationship Id="rId29" Type="http://schemas.openxmlformats.org/officeDocument/2006/relationships/hyperlink" Target="https://www.canlii.org/en/sk/skca/doc/2016/2016skca124/2016skca124.html?autocompleteStr=2016%20SKCA%20124&amp;autocompletePos=1"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277" TargetMode="External"/><Relationship Id="rId24" Type="http://schemas.openxmlformats.org/officeDocument/2006/relationships/hyperlink" Target="https://www.canlii.org/en/ca/fca/doc/2016/2016fca304/2016fca304.html%3bjsessionid=6BC34F7D07BE0E7612B042B3E425D848" TargetMode="External"/><Relationship Id="rId32" Type="http://schemas.openxmlformats.org/officeDocument/2006/relationships/hyperlink" Target="http://www.canlii.org/en/ca/fca/doc/2016/2016fca223/2016fca223.html?autocompleteStr=2016%20FCA%20223&amp;autocompletePos=1" TargetMode="External"/><Relationship Id="rId37" Type="http://schemas.openxmlformats.org/officeDocument/2006/relationships/hyperlink" Target="http://www.canlii.org/en/ca/fct/doc/2015/2015fc836/2015fc836.html?autocompleteStr=2015%20FC%20836&amp;autocompletePos=1"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canlii.org/fr/ca/cfpi/doc/2014/2014cf1243/2014cf1243.html" TargetMode="External"/><Relationship Id="rId23" Type="http://schemas.openxmlformats.org/officeDocument/2006/relationships/hyperlink" Target="https://www.canlii.org/fr/ca/cci/doc/2015/2015cci274/2015cci274.html" TargetMode="External"/><Relationship Id="rId28" Type="http://schemas.openxmlformats.org/officeDocument/2006/relationships/hyperlink" Target="https://www.canlii.org/en/sk/skqb/doc/2014/2014skqb327/2014skqb327.html?autocompleteStr=2014%20SKQB%20327&amp;autocompletePos=1" TargetMode="External"/><Relationship Id="rId36" Type="http://schemas.openxmlformats.org/officeDocument/2006/relationships/hyperlink" Target="http://www.canlii.org/en/ca/fca/doc/2016/2016fca223/2016fca223.html?autocompleteStr=2016%20FCA%20223&amp;autocompletePos=1" TargetMode="External"/><Relationship Id="rId10" Type="http://schemas.openxmlformats.org/officeDocument/2006/relationships/hyperlink" Target="http://www.scc-csc.ca/case-dossier/info/sum-som-eng.aspx?cas=37485" TargetMode="External"/><Relationship Id="rId19" Type="http://schemas.openxmlformats.org/officeDocument/2006/relationships/hyperlink" Target="http://www.canlii.org/en/ca/laws/stat/rsc-1985-c-1-5th-supp/latest/rsc-1985-c-1-5th-supp.html" TargetMode="External"/><Relationship Id="rId31" Type="http://schemas.openxmlformats.org/officeDocument/2006/relationships/hyperlink" Target="http://www.canlii.org/en/ca/fct/doc/2015/2015fc836/2015fc836.html?autocompleteStr=2015%20FC%20836&amp;autocompletePos=1"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cc-csc.ca/case-dossier/info/sum-som-eng.aspx?cas=37425" TargetMode="External"/><Relationship Id="rId14" Type="http://schemas.openxmlformats.org/officeDocument/2006/relationships/hyperlink" Target="http://www.canlii.org/en/ca/fca/doc/2016/2016fca248/2016fca248.html?autocompleteStr=2016%20FCA%20248&amp;autocompletePos=1" TargetMode="External"/><Relationship Id="rId22" Type="http://schemas.openxmlformats.org/officeDocument/2006/relationships/hyperlink" Target="http://www.canlii.org/en/ca/laws/stat/rsc-1985-c-1-5th-supp/latest/rsc-1985-c-1-5th-supp.html" TargetMode="External"/><Relationship Id="rId27" Type="http://schemas.openxmlformats.org/officeDocument/2006/relationships/hyperlink" Target="https://www.canlii.org/en/sk/skca/doc/2017/2017skca5/2017skca5.html?autocompleteStr=2017%20SKCA%205&amp;autocompletePos=1" TargetMode="External"/><Relationship Id="rId30" Type="http://schemas.openxmlformats.org/officeDocument/2006/relationships/hyperlink" Target="https://www.canlii.org/en/sk/skca/doc/2017/2017skca5/2017skca5.html?autocompleteStr=2017%20SKCA%205&amp;autocompletePos=1" TargetMode="External"/><Relationship Id="rId35" Type="http://schemas.openxmlformats.org/officeDocument/2006/relationships/hyperlink" Target="http://www.canlii.org/en/ca/fct/doc/2015/2015fc836/2015fc836.html?autocompleteStr=2015%20FC%20836&amp;autocompletePos=1" TargetMode="External"/><Relationship Id="rId43"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F149E-6EC2-4EAF-BC1E-99114A98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7061</Words>
  <Characters>40252</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47219</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2017-06-16T14:57:00Z</dcterms:created>
  <dcterms:modified xsi:type="dcterms:W3CDTF">2017-06-16T15:07:00Z</dcterms:modified>
</cp:coreProperties>
</file>