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15" w:rsidRPr="00F7512D" w:rsidRDefault="001C4415" w:rsidP="001C4415">
      <w:pPr>
        <w:pStyle w:val="Header"/>
        <w:jc w:val="center"/>
        <w:rPr>
          <w:b/>
          <w:sz w:val="32"/>
        </w:rPr>
      </w:pPr>
      <w:r w:rsidRPr="00F7512D">
        <w:rPr>
          <w:b/>
          <w:sz w:val="32"/>
        </w:rPr>
        <w:t>Supreme Court of Canada / Cour suprême du Canada</w:t>
      </w:r>
    </w:p>
    <w:p w:rsidR="001C4415" w:rsidRPr="00F7512D" w:rsidRDefault="001C4415" w:rsidP="001C4415">
      <w:pPr>
        <w:widowControl w:val="0"/>
        <w:rPr>
          <w:i/>
        </w:rPr>
      </w:pPr>
    </w:p>
    <w:p w:rsidR="001C4415" w:rsidRPr="00F7512D" w:rsidRDefault="001C4415" w:rsidP="001C4415">
      <w:pPr>
        <w:widowControl w:val="0"/>
        <w:rPr>
          <w:i/>
        </w:rPr>
      </w:pPr>
    </w:p>
    <w:p w:rsidR="001C4415" w:rsidRPr="00F7512D" w:rsidRDefault="001C4415" w:rsidP="001C4415">
      <w:pPr>
        <w:widowControl w:val="0"/>
        <w:rPr>
          <w:i/>
        </w:rPr>
      </w:pPr>
      <w:r w:rsidRPr="00F7512D">
        <w:rPr>
          <w:i/>
        </w:rPr>
        <w:t>(le français suit)</w:t>
      </w:r>
    </w:p>
    <w:p w:rsidR="001C4415" w:rsidRPr="00F7512D" w:rsidRDefault="001C4415" w:rsidP="001C4415">
      <w:pPr>
        <w:widowControl w:val="0"/>
      </w:pPr>
    </w:p>
    <w:p w:rsidR="001C4415" w:rsidRPr="00F7512D" w:rsidRDefault="000347C1" w:rsidP="00214729">
      <w:pPr>
        <w:widowControl w:val="0"/>
        <w:jc w:val="center"/>
        <w:rPr>
          <w:b/>
        </w:rPr>
      </w:pPr>
      <w:r w:rsidRPr="00F7512D">
        <w:fldChar w:fldCharType="begin"/>
      </w:r>
      <w:r w:rsidR="00FA7412" w:rsidRPr="00F7512D">
        <w:instrText xml:space="preserve"> SEQ CHAPTER \h \r 1</w:instrText>
      </w:r>
      <w:r w:rsidRPr="00F7512D">
        <w:fldChar w:fldCharType="end"/>
      </w:r>
      <w:r w:rsidR="00455BB9" w:rsidRPr="00F7512D">
        <w:rPr>
          <w:b/>
        </w:rPr>
        <w:t>JUDGMENT</w:t>
      </w:r>
      <w:r w:rsidR="00FA7412" w:rsidRPr="00F7512D">
        <w:rPr>
          <w:b/>
        </w:rPr>
        <w:t xml:space="preserve"> TO BE RENDERED IN APPEA</w:t>
      </w:r>
      <w:r w:rsidR="00342E49" w:rsidRPr="00F7512D">
        <w:rPr>
          <w:b/>
        </w:rPr>
        <w:t>L</w:t>
      </w:r>
    </w:p>
    <w:p w:rsidR="005A7C1B" w:rsidRPr="00F7512D" w:rsidRDefault="005A7C1B" w:rsidP="005A7C1B">
      <w:pPr>
        <w:widowControl w:val="0"/>
      </w:pPr>
    </w:p>
    <w:p w:rsidR="00EC79B0" w:rsidRPr="00F7512D" w:rsidRDefault="001F1B2F" w:rsidP="00EC79B0">
      <w:pPr>
        <w:widowControl w:val="0"/>
        <w:rPr>
          <w:b/>
        </w:rPr>
      </w:pPr>
      <w:r w:rsidRPr="00F7512D">
        <w:rPr>
          <w:b/>
        </w:rPr>
        <w:t>June</w:t>
      </w:r>
      <w:r w:rsidR="00C86395" w:rsidRPr="00F7512D">
        <w:rPr>
          <w:b/>
        </w:rPr>
        <w:t xml:space="preserve"> </w:t>
      </w:r>
      <w:r w:rsidR="0070294E" w:rsidRPr="00F7512D">
        <w:rPr>
          <w:b/>
        </w:rPr>
        <w:t>29</w:t>
      </w:r>
      <w:r w:rsidR="00EC79B0" w:rsidRPr="00F7512D">
        <w:rPr>
          <w:b/>
        </w:rPr>
        <w:t>, 201</w:t>
      </w:r>
      <w:r w:rsidR="00833C42" w:rsidRPr="00F7512D">
        <w:rPr>
          <w:b/>
        </w:rPr>
        <w:t>7</w:t>
      </w:r>
    </w:p>
    <w:p w:rsidR="00EC79B0" w:rsidRPr="00F7512D" w:rsidRDefault="00EC79B0" w:rsidP="00EC79B0">
      <w:pPr>
        <w:widowControl w:val="0"/>
        <w:rPr>
          <w:b/>
        </w:rPr>
      </w:pPr>
      <w:r w:rsidRPr="00F7512D">
        <w:rPr>
          <w:b/>
        </w:rPr>
        <w:t>For immediate release</w:t>
      </w:r>
    </w:p>
    <w:p w:rsidR="00EC79B0" w:rsidRPr="00F7512D" w:rsidRDefault="00EC79B0" w:rsidP="00EC79B0">
      <w:pPr>
        <w:widowControl w:val="0"/>
      </w:pPr>
    </w:p>
    <w:p w:rsidR="00EC79B0" w:rsidRPr="00F7512D" w:rsidRDefault="00EC79B0" w:rsidP="00EC79B0">
      <w:pPr>
        <w:widowControl w:val="0"/>
      </w:pPr>
      <w:r w:rsidRPr="00F7512D">
        <w:rPr>
          <w:b/>
        </w:rPr>
        <w:t>OTTAWA</w:t>
      </w:r>
      <w:r w:rsidRPr="00F7512D">
        <w:t xml:space="preserve"> – The Supreme Court of Canad</w:t>
      </w:r>
      <w:r w:rsidR="00455BB9" w:rsidRPr="00F7512D">
        <w:t>a announced today that judgment</w:t>
      </w:r>
      <w:r w:rsidRPr="00F7512D">
        <w:t xml:space="preserve"> in the following appeal will be delivered at 9:45 a.m. E</w:t>
      </w:r>
      <w:r w:rsidR="006E416A" w:rsidRPr="00F7512D">
        <w:t>D</w:t>
      </w:r>
      <w:r w:rsidR="00DC6C1E" w:rsidRPr="00F7512D">
        <w:t>T</w:t>
      </w:r>
      <w:r w:rsidR="00D74667" w:rsidRPr="00F7512D">
        <w:t xml:space="preserve"> on</w:t>
      </w:r>
      <w:r w:rsidR="00DC6C1E" w:rsidRPr="00F7512D">
        <w:t xml:space="preserve"> </w:t>
      </w:r>
      <w:r w:rsidR="00DB406B" w:rsidRPr="00F7512D">
        <w:t>Thursday</w:t>
      </w:r>
      <w:r w:rsidR="000A7900" w:rsidRPr="00F7512D">
        <w:t xml:space="preserve">, </w:t>
      </w:r>
      <w:r w:rsidR="001F1B2F" w:rsidRPr="00F7512D">
        <w:t>Ju</w:t>
      </w:r>
      <w:r w:rsidR="00DB406B" w:rsidRPr="00F7512D">
        <w:t>ly</w:t>
      </w:r>
      <w:r w:rsidR="004E605A" w:rsidRPr="00F7512D">
        <w:t xml:space="preserve"> </w:t>
      </w:r>
      <w:r w:rsidR="00DB406B" w:rsidRPr="00F7512D">
        <w:t>6</w:t>
      </w:r>
      <w:r w:rsidR="00E63199" w:rsidRPr="00F7512D">
        <w:t>, 2</w:t>
      </w:r>
      <w:r w:rsidR="0086609D" w:rsidRPr="00F7512D">
        <w:t>01</w:t>
      </w:r>
      <w:r w:rsidR="00AC3DA6" w:rsidRPr="00F7512D">
        <w:t>7</w:t>
      </w:r>
      <w:r w:rsidR="00455BB9" w:rsidRPr="00F7512D">
        <w:t>. This</w:t>
      </w:r>
      <w:r w:rsidRPr="00F7512D">
        <w:t xml:space="preserve"> list is subject to change.</w:t>
      </w:r>
    </w:p>
    <w:p w:rsidR="001C4415" w:rsidRPr="00F7512D" w:rsidRDefault="001C4415" w:rsidP="001C4415">
      <w:pPr>
        <w:widowControl w:val="0"/>
        <w:rPr>
          <w:szCs w:val="24"/>
        </w:rPr>
      </w:pPr>
    </w:p>
    <w:p w:rsidR="001C4415" w:rsidRPr="00F7512D" w:rsidRDefault="001C4415" w:rsidP="001C4415">
      <w:pPr>
        <w:widowControl w:val="0"/>
      </w:pPr>
    </w:p>
    <w:p w:rsidR="001335A1" w:rsidRPr="00F7512D" w:rsidRDefault="001335A1" w:rsidP="001335A1">
      <w:pPr>
        <w:widowControl w:val="0"/>
        <w:jc w:val="center"/>
        <w:rPr>
          <w:b/>
          <w:lang w:val="fr-CA"/>
        </w:rPr>
      </w:pPr>
      <w:r w:rsidRPr="00F7512D">
        <w:rPr>
          <w:b/>
          <w:lang w:val="fr-CA"/>
        </w:rPr>
        <w:t>PROCHAIN JUGEMENT</w:t>
      </w:r>
      <w:r w:rsidR="00455BB9" w:rsidRPr="00F7512D">
        <w:rPr>
          <w:b/>
          <w:lang w:val="fr-CA"/>
        </w:rPr>
        <w:t xml:space="preserve"> SUR APPEL</w:t>
      </w:r>
    </w:p>
    <w:p w:rsidR="001335A1" w:rsidRPr="00F7512D" w:rsidRDefault="001335A1" w:rsidP="001335A1">
      <w:pPr>
        <w:widowControl w:val="0"/>
        <w:rPr>
          <w:lang w:val="fr-CA"/>
        </w:rPr>
      </w:pPr>
    </w:p>
    <w:p w:rsidR="00EC79B0" w:rsidRPr="00F7512D" w:rsidRDefault="00EC79B0" w:rsidP="00EC79B0">
      <w:pPr>
        <w:widowControl w:val="0"/>
        <w:rPr>
          <w:b/>
          <w:lang w:val="fr-CA"/>
        </w:rPr>
      </w:pPr>
      <w:r w:rsidRPr="00F7512D">
        <w:rPr>
          <w:b/>
          <w:lang w:val="fr-CA"/>
        </w:rPr>
        <w:t xml:space="preserve">Le </w:t>
      </w:r>
      <w:r w:rsidR="0070294E" w:rsidRPr="00F7512D">
        <w:rPr>
          <w:b/>
          <w:lang w:val="fr-CA"/>
        </w:rPr>
        <w:t>29</w:t>
      </w:r>
      <w:r w:rsidR="002F28E0" w:rsidRPr="00F7512D">
        <w:rPr>
          <w:b/>
          <w:lang w:val="fr-CA"/>
        </w:rPr>
        <w:t xml:space="preserve"> </w:t>
      </w:r>
      <w:r w:rsidR="001F1B2F" w:rsidRPr="00F7512D">
        <w:rPr>
          <w:b/>
          <w:lang w:val="fr-CA"/>
        </w:rPr>
        <w:t>juin</w:t>
      </w:r>
      <w:r w:rsidR="00C86395" w:rsidRPr="00F7512D">
        <w:rPr>
          <w:b/>
          <w:lang w:val="fr-CA"/>
        </w:rPr>
        <w:t xml:space="preserve"> </w:t>
      </w:r>
      <w:r w:rsidR="0086609D" w:rsidRPr="00F7512D">
        <w:rPr>
          <w:b/>
          <w:lang w:val="fr-CA"/>
        </w:rPr>
        <w:t>201</w:t>
      </w:r>
      <w:r w:rsidR="00AC3DA6" w:rsidRPr="00F7512D">
        <w:rPr>
          <w:b/>
          <w:lang w:val="fr-CA"/>
        </w:rPr>
        <w:t>7</w:t>
      </w:r>
    </w:p>
    <w:p w:rsidR="00EC79B0" w:rsidRPr="00F7512D" w:rsidRDefault="00EC79B0" w:rsidP="00EC79B0">
      <w:pPr>
        <w:widowControl w:val="0"/>
        <w:rPr>
          <w:b/>
          <w:lang w:val="fr-CA"/>
        </w:rPr>
      </w:pPr>
      <w:r w:rsidRPr="00F7512D">
        <w:rPr>
          <w:b/>
          <w:lang w:val="fr-CA"/>
        </w:rPr>
        <w:t>Pour diffusion immédiate</w:t>
      </w:r>
    </w:p>
    <w:p w:rsidR="00EC79B0" w:rsidRPr="00F7512D" w:rsidRDefault="00EC79B0" w:rsidP="00EC79B0">
      <w:pPr>
        <w:widowControl w:val="0"/>
        <w:rPr>
          <w:b/>
          <w:lang w:val="fr-CA"/>
        </w:rPr>
      </w:pPr>
    </w:p>
    <w:p w:rsidR="00EC79B0" w:rsidRPr="00F7512D" w:rsidRDefault="00EC79B0" w:rsidP="00EC79B0">
      <w:pPr>
        <w:widowControl w:val="0"/>
        <w:rPr>
          <w:lang w:val="fr-CA"/>
        </w:rPr>
      </w:pPr>
      <w:r w:rsidRPr="00F7512D">
        <w:rPr>
          <w:b/>
          <w:lang w:val="fr-CA"/>
        </w:rPr>
        <w:t>OTTAWA</w:t>
      </w:r>
      <w:r w:rsidRPr="00F7512D">
        <w:rPr>
          <w:lang w:val="fr-CA"/>
        </w:rPr>
        <w:t xml:space="preserve"> – La Cour suprême du Canada annonce que jugement ser</w:t>
      </w:r>
      <w:r w:rsidR="00C86395" w:rsidRPr="00F7512D">
        <w:rPr>
          <w:lang w:val="fr-CA"/>
        </w:rPr>
        <w:t>a</w:t>
      </w:r>
      <w:r w:rsidRPr="00F7512D">
        <w:rPr>
          <w:lang w:val="fr-CA"/>
        </w:rPr>
        <w:t xml:space="preserve"> rendu dans </w:t>
      </w:r>
      <w:r w:rsidR="001F1643" w:rsidRPr="00F7512D">
        <w:rPr>
          <w:lang w:val="fr-CA"/>
        </w:rPr>
        <w:t>l</w:t>
      </w:r>
      <w:r w:rsidR="00C86395" w:rsidRPr="00F7512D">
        <w:rPr>
          <w:lang w:val="fr-CA"/>
        </w:rPr>
        <w:t>’</w:t>
      </w:r>
      <w:r w:rsidR="001F1643" w:rsidRPr="00F7512D">
        <w:rPr>
          <w:lang w:val="fr-CA"/>
        </w:rPr>
        <w:t xml:space="preserve">appel </w:t>
      </w:r>
      <w:r w:rsidRPr="00F7512D">
        <w:rPr>
          <w:lang w:val="fr-CA"/>
        </w:rPr>
        <w:t xml:space="preserve">suivant le </w:t>
      </w:r>
      <w:r w:rsidR="00DB406B" w:rsidRPr="00F7512D">
        <w:rPr>
          <w:lang w:val="fr-CA"/>
        </w:rPr>
        <w:t>jeudi</w:t>
      </w:r>
      <w:r w:rsidR="00970EDF" w:rsidRPr="00F7512D">
        <w:rPr>
          <w:lang w:val="fr-CA"/>
        </w:rPr>
        <w:t xml:space="preserve"> </w:t>
      </w:r>
      <w:r w:rsidR="00DB406B" w:rsidRPr="00F7512D">
        <w:rPr>
          <w:lang w:val="fr-CA"/>
        </w:rPr>
        <w:t>6</w:t>
      </w:r>
      <w:r w:rsidR="004E605A" w:rsidRPr="00F7512D">
        <w:rPr>
          <w:lang w:val="fr-CA"/>
        </w:rPr>
        <w:t xml:space="preserve"> </w:t>
      </w:r>
      <w:r w:rsidR="001F1B2F" w:rsidRPr="00F7512D">
        <w:rPr>
          <w:lang w:val="fr-CA"/>
        </w:rPr>
        <w:t>jui</w:t>
      </w:r>
      <w:r w:rsidR="00DB406B" w:rsidRPr="00F7512D">
        <w:rPr>
          <w:lang w:val="fr-CA"/>
        </w:rPr>
        <w:t>llet</w:t>
      </w:r>
      <w:r w:rsidR="00282563" w:rsidRPr="00F7512D">
        <w:rPr>
          <w:lang w:val="fr-CA"/>
        </w:rPr>
        <w:t xml:space="preserve"> </w:t>
      </w:r>
      <w:r w:rsidRPr="00F7512D">
        <w:rPr>
          <w:lang w:val="fr-CA"/>
        </w:rPr>
        <w:t>201</w:t>
      </w:r>
      <w:r w:rsidR="00AC3DA6" w:rsidRPr="00F7512D">
        <w:rPr>
          <w:lang w:val="fr-CA"/>
        </w:rPr>
        <w:t>7</w:t>
      </w:r>
      <w:r w:rsidRPr="00F7512D">
        <w:rPr>
          <w:lang w:val="fr-CA"/>
        </w:rPr>
        <w:t>, à 9 h 45 H</w:t>
      </w:r>
      <w:r w:rsidR="006E416A" w:rsidRPr="00F7512D">
        <w:rPr>
          <w:lang w:val="fr-CA"/>
        </w:rPr>
        <w:t>A</w:t>
      </w:r>
      <w:r w:rsidRPr="00F7512D">
        <w:rPr>
          <w:lang w:val="fr-CA"/>
        </w:rPr>
        <w:t>E. Cette liste est sujette à modifications.</w:t>
      </w:r>
    </w:p>
    <w:p w:rsidR="001335A1" w:rsidRPr="00F7512D" w:rsidRDefault="001335A1" w:rsidP="001335A1">
      <w:pPr>
        <w:widowControl w:val="0"/>
        <w:rPr>
          <w:sz w:val="20"/>
          <w:lang w:val="fr-CA"/>
        </w:rPr>
      </w:pPr>
    </w:p>
    <w:p w:rsidR="001335A1" w:rsidRPr="00F7512D" w:rsidRDefault="005C7A4F" w:rsidP="001335A1">
      <w:pPr>
        <w:widowControl w:val="0"/>
        <w:rPr>
          <w:sz w:val="20"/>
          <w:lang w:val="fr-CA"/>
        </w:rPr>
      </w:pPr>
      <w:r w:rsidRPr="00F751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6985" r="1143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13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Q1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fQYxjMYV0BUpbY2NEiP6tW8aPrdIaWrjqiWx+C3k4HcLGQk71LCxRkoshs+awYxBPDj&#10;rI6N7QMkTAEdoySnmyT86BGFj5NsMhvPph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ASTnQ1HwIAADs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40C6D" w:rsidRPr="00F7512D" w:rsidRDefault="00340C6D" w:rsidP="00340C6D">
      <w:pPr>
        <w:jc w:val="both"/>
        <w:rPr>
          <w:bCs/>
          <w:lang w:val="fr-CA"/>
        </w:rPr>
      </w:pPr>
    </w:p>
    <w:p w:rsidR="00772636" w:rsidRPr="00F7512D" w:rsidRDefault="0025265E" w:rsidP="00772636">
      <w:pPr>
        <w:jc w:val="both"/>
        <w:rPr>
          <w:szCs w:val="24"/>
        </w:rPr>
      </w:pPr>
      <w:r w:rsidRPr="00F7512D">
        <w:rPr>
          <w:i/>
          <w:szCs w:val="24"/>
        </w:rPr>
        <w:t>Dion Henry Alex</w:t>
      </w:r>
      <w:r w:rsidR="00772636" w:rsidRPr="00F7512D">
        <w:rPr>
          <w:i/>
          <w:szCs w:val="24"/>
        </w:rPr>
        <w:t xml:space="preserve"> v. </w:t>
      </w:r>
      <w:r w:rsidRPr="00F7512D">
        <w:rPr>
          <w:i/>
          <w:szCs w:val="24"/>
        </w:rPr>
        <w:t>Her Majesty the Queen</w:t>
      </w:r>
      <w:r w:rsidR="00772636" w:rsidRPr="00F7512D">
        <w:rPr>
          <w:i/>
          <w:szCs w:val="24"/>
        </w:rPr>
        <w:t xml:space="preserve"> </w:t>
      </w:r>
      <w:r w:rsidR="00772636" w:rsidRPr="00F7512D">
        <w:rPr>
          <w:szCs w:val="24"/>
        </w:rPr>
        <w:t>(</w:t>
      </w:r>
      <w:r w:rsidRPr="00F7512D">
        <w:rPr>
          <w:szCs w:val="24"/>
        </w:rPr>
        <w:t>B</w:t>
      </w:r>
      <w:r w:rsidR="00772636" w:rsidRPr="00F7512D">
        <w:rPr>
          <w:szCs w:val="24"/>
        </w:rPr>
        <w:t xml:space="preserve">.C.) </w:t>
      </w:r>
      <w:r w:rsidR="00772636" w:rsidRPr="00F7512D">
        <w:t>(</w:t>
      </w:r>
      <w:hyperlink r:id="rId7" w:history="1">
        <w:r w:rsidR="00772636" w:rsidRPr="00F7512D">
          <w:rPr>
            <w:rStyle w:val="Hyperlink"/>
          </w:rPr>
          <w:t>36</w:t>
        </w:r>
        <w:r w:rsidRPr="00F7512D">
          <w:rPr>
            <w:rStyle w:val="Hyperlink"/>
          </w:rPr>
          <w:t>771</w:t>
        </w:r>
      </w:hyperlink>
      <w:r w:rsidR="00772636" w:rsidRPr="00F7512D">
        <w:t>)</w:t>
      </w:r>
    </w:p>
    <w:p w:rsidR="009F18D7" w:rsidRPr="00F7512D" w:rsidRDefault="009F18D7" w:rsidP="00340C6D">
      <w:pPr>
        <w:jc w:val="both"/>
      </w:pPr>
    </w:p>
    <w:p w:rsidR="00072A63" w:rsidRPr="00F7512D" w:rsidRDefault="00072A63" w:rsidP="00340C6D">
      <w:pPr>
        <w:jc w:val="both"/>
        <w:rPr>
          <w:szCs w:val="24"/>
        </w:rPr>
      </w:pPr>
    </w:p>
    <w:bookmarkStart w:id="0" w:name="1"/>
    <w:bookmarkEnd w:id="0"/>
    <w:p w:rsidR="00905984" w:rsidRPr="00F7512D" w:rsidRDefault="00905984" w:rsidP="00110221">
      <w:pPr>
        <w:widowControl w:val="0"/>
        <w:ind w:left="720" w:hanging="720"/>
        <w:jc w:val="both"/>
        <w:rPr>
          <w:b/>
          <w:i/>
          <w:sz w:val="20"/>
          <w:lang w:val="en-CA"/>
        </w:rPr>
      </w:pPr>
      <w:r w:rsidRPr="00F7512D">
        <w:rPr>
          <w:b/>
          <w:sz w:val="20"/>
          <w:lang w:val="en-CA"/>
        </w:rPr>
        <w:fldChar w:fldCharType="begin"/>
      </w:r>
      <w:r w:rsidRPr="00F7512D">
        <w:rPr>
          <w:b/>
          <w:sz w:val="20"/>
        </w:rPr>
        <w:instrText xml:space="preserve"> SEQ CHAPTER \h \r 1</w:instrText>
      </w:r>
      <w:r w:rsidRPr="00F7512D">
        <w:rPr>
          <w:b/>
          <w:sz w:val="20"/>
        </w:rPr>
        <w:fldChar w:fldCharType="end"/>
      </w:r>
      <w:bookmarkStart w:id="1" w:name="3"/>
      <w:bookmarkEnd w:id="1"/>
      <w:r w:rsidRPr="00F7512D">
        <w:rPr>
          <w:b/>
          <w:sz w:val="20"/>
          <w:lang w:val="en-CA"/>
        </w:rPr>
        <w:t>36771</w:t>
      </w:r>
      <w:r w:rsidRPr="00F7512D">
        <w:rPr>
          <w:sz w:val="20"/>
          <w:lang w:val="en-CA"/>
        </w:rPr>
        <w:tab/>
      </w:r>
      <w:r w:rsidRPr="00F7512D">
        <w:rPr>
          <w:b/>
          <w:i/>
          <w:sz w:val="20"/>
        </w:rPr>
        <w:t>Dion</w:t>
      </w:r>
      <w:r w:rsidRPr="00F7512D">
        <w:rPr>
          <w:b/>
          <w:i/>
          <w:sz w:val="20"/>
          <w:lang w:val="en-CA"/>
        </w:rPr>
        <w:t xml:space="preserve"> Henry Alex v. Her Majesty the Queen</w:t>
      </w:r>
    </w:p>
    <w:p w:rsidR="00905984" w:rsidRPr="00F7512D" w:rsidRDefault="00905984" w:rsidP="00110221">
      <w:pPr>
        <w:widowControl w:val="0"/>
        <w:ind w:left="1440" w:hanging="720"/>
        <w:jc w:val="both"/>
        <w:rPr>
          <w:sz w:val="20"/>
          <w:lang w:val="en-CA"/>
        </w:rPr>
      </w:pPr>
      <w:r w:rsidRPr="00F7512D">
        <w:rPr>
          <w:sz w:val="20"/>
          <w:lang w:val="en-CA"/>
        </w:rPr>
        <w:t>(B.C.) (Criminal) (By leave)</w:t>
      </w:r>
    </w:p>
    <w:p w:rsidR="00905984" w:rsidRPr="00F7512D" w:rsidRDefault="00905984">
      <w:pPr>
        <w:widowControl w:val="0"/>
        <w:jc w:val="both"/>
        <w:rPr>
          <w:sz w:val="20"/>
          <w:lang w:val="en-CA"/>
        </w:rPr>
      </w:pPr>
    </w:p>
    <w:p w:rsidR="00905984" w:rsidRPr="00F7512D" w:rsidRDefault="00905984" w:rsidP="00B20E94">
      <w:pPr>
        <w:jc w:val="both"/>
        <w:rPr>
          <w:sz w:val="20"/>
        </w:rPr>
      </w:pPr>
      <w:r w:rsidRPr="00F7512D">
        <w:rPr>
          <w:i/>
          <w:sz w:val="20"/>
        </w:rPr>
        <w:t>Charter of Rights</w:t>
      </w:r>
      <w:r w:rsidRPr="00F7512D">
        <w:rPr>
          <w:sz w:val="20"/>
        </w:rPr>
        <w:t xml:space="preserve"> </w:t>
      </w:r>
      <w:r w:rsidRPr="00F7512D">
        <w:rPr>
          <w:i/>
          <w:iCs/>
          <w:sz w:val="20"/>
        </w:rPr>
        <w:t>and Freedoms</w:t>
      </w:r>
      <w:r w:rsidRPr="00F7512D">
        <w:rPr>
          <w:sz w:val="20"/>
        </w:rPr>
        <w:t xml:space="preserve"> - Search and Seizure - Criminal law - Evidence - Application of </w:t>
      </w:r>
      <w:r w:rsidRPr="00F7512D">
        <w:rPr>
          <w:i/>
          <w:iCs/>
          <w:sz w:val="20"/>
        </w:rPr>
        <w:t xml:space="preserve">R. v. Rilling </w:t>
      </w:r>
      <w:r w:rsidRPr="00F7512D">
        <w:rPr>
          <w:sz w:val="20"/>
        </w:rPr>
        <w:t xml:space="preserve">[1976] 2 S.C.R. 183 - Should </w:t>
      </w:r>
      <w:r w:rsidRPr="00F7512D">
        <w:rPr>
          <w:i/>
          <w:iCs/>
          <w:sz w:val="20"/>
        </w:rPr>
        <w:t>Rilling</w:t>
      </w:r>
      <w:r w:rsidRPr="00F7512D">
        <w:rPr>
          <w:iCs/>
          <w:sz w:val="20"/>
        </w:rPr>
        <w:t xml:space="preserve"> be reconsidered</w:t>
      </w:r>
      <w:r w:rsidRPr="00F7512D">
        <w:rPr>
          <w:i/>
          <w:iCs/>
          <w:sz w:val="20"/>
        </w:rPr>
        <w:t xml:space="preserve"> </w:t>
      </w:r>
      <w:r w:rsidRPr="00F7512D">
        <w:rPr>
          <w:sz w:val="20"/>
        </w:rPr>
        <w:t>in light</w:t>
      </w:r>
      <w:r w:rsidRPr="00F7512D">
        <w:rPr>
          <w:i/>
          <w:iCs/>
          <w:sz w:val="20"/>
        </w:rPr>
        <w:t xml:space="preserve"> </w:t>
      </w:r>
      <w:r w:rsidRPr="00F7512D">
        <w:rPr>
          <w:iCs/>
          <w:sz w:val="20"/>
        </w:rPr>
        <w:t xml:space="preserve">of </w:t>
      </w:r>
      <w:r w:rsidRPr="00F7512D">
        <w:rPr>
          <w:sz w:val="20"/>
        </w:rPr>
        <w:t xml:space="preserve">the subsequent enactment of the </w:t>
      </w:r>
      <w:r w:rsidRPr="00F7512D">
        <w:rPr>
          <w:i/>
          <w:iCs/>
          <w:sz w:val="20"/>
        </w:rPr>
        <w:t xml:space="preserve">Charter </w:t>
      </w:r>
      <w:r w:rsidRPr="00F7512D">
        <w:rPr>
          <w:sz w:val="20"/>
        </w:rPr>
        <w:t>-</w:t>
      </w:r>
      <w:r w:rsidRPr="00F7512D">
        <w:rPr>
          <w:b/>
          <w:sz w:val="20"/>
          <w:lang w:val="en-CA"/>
        </w:rPr>
        <w:t xml:space="preserve"> </w:t>
      </w:r>
      <w:r w:rsidRPr="00F7512D">
        <w:rPr>
          <w:sz w:val="20"/>
          <w:lang w:val="en-CA"/>
        </w:rPr>
        <w:t xml:space="preserve">Is the majority or minority interpretation in </w:t>
      </w:r>
      <w:r w:rsidRPr="00F7512D">
        <w:rPr>
          <w:i/>
          <w:sz w:val="20"/>
          <w:lang w:val="en-CA"/>
        </w:rPr>
        <w:t>Rilling</w:t>
      </w:r>
      <w:r w:rsidRPr="00F7512D">
        <w:rPr>
          <w:sz w:val="20"/>
          <w:lang w:val="en-CA"/>
        </w:rPr>
        <w:t xml:space="preserve"> of sections 254 and 258 of the </w:t>
      </w:r>
      <w:r w:rsidRPr="00F7512D">
        <w:rPr>
          <w:i/>
          <w:sz w:val="20"/>
          <w:lang w:val="en-CA"/>
        </w:rPr>
        <w:t>Criminal Code</w:t>
      </w:r>
      <w:r w:rsidRPr="00F7512D">
        <w:rPr>
          <w:sz w:val="20"/>
          <w:lang w:val="en-CA"/>
        </w:rPr>
        <w:t xml:space="preserve"> the proper one to apply in light of the constitutional requirement to interpret legislation in a manner that is compliant with </w:t>
      </w:r>
      <w:r w:rsidRPr="00F7512D">
        <w:rPr>
          <w:i/>
          <w:sz w:val="20"/>
          <w:lang w:val="en-CA"/>
        </w:rPr>
        <w:t>Charter</w:t>
      </w:r>
      <w:r w:rsidRPr="00F7512D">
        <w:rPr>
          <w:sz w:val="20"/>
          <w:lang w:val="en-CA"/>
        </w:rPr>
        <w:t xml:space="preserve"> values - Is </w:t>
      </w:r>
      <w:r w:rsidRPr="00F7512D">
        <w:rPr>
          <w:i/>
          <w:sz w:val="20"/>
          <w:lang w:val="en-CA"/>
        </w:rPr>
        <w:t>Rilling</w:t>
      </w:r>
      <w:r w:rsidRPr="00F7512D">
        <w:rPr>
          <w:sz w:val="20"/>
          <w:lang w:val="en-CA"/>
        </w:rPr>
        <w:t xml:space="preserve"> irreconcilable with the other decisions of this Court on the necessity for strict compliance with statutory preconditions to the use of evidentiary presumptions or “shortcuts” </w:t>
      </w:r>
      <w:r w:rsidRPr="00F7512D">
        <w:rPr>
          <w:sz w:val="20"/>
        </w:rPr>
        <w:t xml:space="preserve">- </w:t>
      </w:r>
      <w:r w:rsidRPr="00F7512D">
        <w:rPr>
          <w:i/>
          <w:sz w:val="20"/>
        </w:rPr>
        <w:t>Charter</w:t>
      </w:r>
      <w:r w:rsidRPr="00F7512D">
        <w:rPr>
          <w:sz w:val="20"/>
        </w:rPr>
        <w:t xml:space="preserve"> ss. 8, 24(2).</w:t>
      </w:r>
    </w:p>
    <w:p w:rsidR="00905984" w:rsidRPr="00F7512D" w:rsidRDefault="00905984" w:rsidP="00B20E94">
      <w:pPr>
        <w:jc w:val="both"/>
        <w:rPr>
          <w:sz w:val="20"/>
        </w:rPr>
      </w:pPr>
    </w:p>
    <w:p w:rsidR="00905984" w:rsidRPr="00F7512D" w:rsidRDefault="00905984" w:rsidP="00B20E94">
      <w:pPr>
        <w:jc w:val="both"/>
        <w:rPr>
          <w:sz w:val="20"/>
        </w:rPr>
      </w:pPr>
      <w:r w:rsidRPr="00F7512D">
        <w:rPr>
          <w:iCs/>
          <w:sz w:val="20"/>
        </w:rPr>
        <w:t>The appellant was stopped while driving a van, by a police officer who was carrying out seatbelt checks. The officer testified that he formed the suspicion that appellant had been driving while impaired and he requested a breath sample from him. The sample registered “fail” on an ASD, and later breathalyzer test confirmed blood alcohol of “130”.</w:t>
      </w:r>
      <w:r w:rsidRPr="00F7512D">
        <w:rPr>
          <w:sz w:val="20"/>
        </w:rPr>
        <w:t xml:space="preserve"> The appellant was convicted for the offence of having care or control of his vehicle with a blood alcohol level in excess of the legal limit, contrary to s. 253(b) of the </w:t>
      </w:r>
      <w:r w:rsidRPr="00F7512D">
        <w:rPr>
          <w:i/>
          <w:sz w:val="20"/>
        </w:rPr>
        <w:t xml:space="preserve">Criminal </w:t>
      </w:r>
      <w:r w:rsidRPr="00F7512D">
        <w:rPr>
          <w:i/>
          <w:iCs/>
          <w:sz w:val="20"/>
        </w:rPr>
        <w:t>Code</w:t>
      </w:r>
      <w:r w:rsidRPr="00F7512D">
        <w:rPr>
          <w:iCs/>
          <w:sz w:val="20"/>
        </w:rPr>
        <w:t xml:space="preserve"> (</w:t>
      </w:r>
      <w:r w:rsidRPr="00F7512D">
        <w:rPr>
          <w:sz w:val="20"/>
        </w:rPr>
        <w:t>the “over 80” count)</w:t>
      </w:r>
      <w:r w:rsidRPr="00F7512D">
        <w:rPr>
          <w:i/>
          <w:iCs/>
          <w:sz w:val="20"/>
        </w:rPr>
        <w:t xml:space="preserve">. </w:t>
      </w:r>
      <w:r w:rsidRPr="00F7512D">
        <w:rPr>
          <w:sz w:val="20"/>
        </w:rPr>
        <w:t>He was also convicted of driving while prohibited, but has not appealed that conviction.</w:t>
      </w:r>
    </w:p>
    <w:p w:rsidR="00905984" w:rsidRPr="00F7512D" w:rsidRDefault="00905984" w:rsidP="00B20E94">
      <w:pPr>
        <w:jc w:val="both"/>
        <w:rPr>
          <w:sz w:val="20"/>
        </w:rPr>
      </w:pPr>
    </w:p>
    <w:p w:rsidR="00905984" w:rsidRPr="00F7512D" w:rsidRDefault="00905984" w:rsidP="00110221">
      <w:pPr>
        <w:jc w:val="both"/>
        <w:rPr>
          <w:sz w:val="20"/>
        </w:rPr>
      </w:pPr>
      <w:r w:rsidRPr="00F7512D">
        <w:rPr>
          <w:sz w:val="20"/>
        </w:rPr>
        <w:t xml:space="preserve">The Court of Appeal dismissed the appeal. </w:t>
      </w:r>
      <w:r w:rsidRPr="00F7512D">
        <w:rPr>
          <w:iCs/>
          <w:sz w:val="20"/>
        </w:rPr>
        <w:t xml:space="preserve">The Court of Appeal found that </w:t>
      </w:r>
      <w:r w:rsidRPr="00F7512D">
        <w:rPr>
          <w:i/>
          <w:iCs/>
          <w:sz w:val="20"/>
        </w:rPr>
        <w:t>Rilling</w:t>
      </w:r>
      <w:r w:rsidRPr="00F7512D">
        <w:rPr>
          <w:iCs/>
          <w:sz w:val="20"/>
        </w:rPr>
        <w:t xml:space="preserve"> remains good law in Canada, following similar decisions by other appellate courts, including the Ontario Court of Appeal in </w:t>
      </w:r>
      <w:r w:rsidRPr="00F7512D">
        <w:rPr>
          <w:i/>
          <w:iCs/>
          <w:sz w:val="20"/>
        </w:rPr>
        <w:t>Charette</w:t>
      </w:r>
      <w:r w:rsidRPr="00F7512D">
        <w:rPr>
          <w:iCs/>
          <w:sz w:val="20"/>
        </w:rPr>
        <w:t xml:space="preserve"> and </w:t>
      </w:r>
      <w:r w:rsidRPr="00F7512D">
        <w:rPr>
          <w:i/>
          <w:iCs/>
          <w:sz w:val="20"/>
        </w:rPr>
        <w:t>Gundy</w:t>
      </w:r>
      <w:r w:rsidRPr="00F7512D">
        <w:rPr>
          <w:iCs/>
          <w:sz w:val="20"/>
        </w:rPr>
        <w:t xml:space="preserve">. The consequence is that unless and until </w:t>
      </w:r>
      <w:r w:rsidRPr="00F7512D">
        <w:rPr>
          <w:i/>
          <w:iCs/>
          <w:sz w:val="20"/>
        </w:rPr>
        <w:t>Rilling</w:t>
      </w:r>
      <w:r w:rsidRPr="00F7512D">
        <w:rPr>
          <w:iCs/>
          <w:sz w:val="20"/>
        </w:rPr>
        <w:t xml:space="preserve"> is overruled by the Supreme Court of Canada, an accused who wishes to challenge the legality of a breathalyzer analysis certificate at trial, must assert a challenge under s. 8 of the </w:t>
      </w:r>
      <w:r w:rsidRPr="00F7512D">
        <w:rPr>
          <w:i/>
          <w:iCs/>
          <w:sz w:val="20"/>
        </w:rPr>
        <w:t>Charter</w:t>
      </w:r>
      <w:r w:rsidRPr="00F7512D">
        <w:rPr>
          <w:iCs/>
          <w:sz w:val="20"/>
        </w:rPr>
        <w:t xml:space="preserve"> before or at the time the certificate is tendered into evidence by the Crown.</w:t>
      </w:r>
      <w:r w:rsidRPr="00F7512D">
        <w:rPr>
          <w:sz w:val="20"/>
        </w:rPr>
        <w:t xml:space="preserve"> Here, the </w:t>
      </w:r>
      <w:r w:rsidRPr="00F7512D">
        <w:rPr>
          <w:i/>
          <w:iCs/>
          <w:sz w:val="20"/>
        </w:rPr>
        <w:t>Charter</w:t>
      </w:r>
      <w:r w:rsidRPr="00F7512D">
        <w:rPr>
          <w:sz w:val="20"/>
        </w:rPr>
        <w:t xml:space="preserve"> was </w:t>
      </w:r>
      <w:r w:rsidRPr="00F7512D">
        <w:rPr>
          <w:sz w:val="20"/>
          <w:u w:val="single"/>
        </w:rPr>
        <w:t>not</w:t>
      </w:r>
      <w:r w:rsidRPr="00F7512D">
        <w:rPr>
          <w:sz w:val="20"/>
        </w:rPr>
        <w:t xml:space="preserve"> invoked by the appellant as a bar to the admissibility of a breathalyzer certificate. At trial, defence counsel told the trial judge that he did not wish to invoke s. 8.</w:t>
      </w:r>
      <w:bookmarkStart w:id="2" w:name="QuickMark_1"/>
      <w:bookmarkEnd w:id="2"/>
    </w:p>
    <w:p w:rsidR="00905984" w:rsidRPr="00F7512D" w:rsidRDefault="00905984" w:rsidP="00110221">
      <w:pPr>
        <w:jc w:val="both"/>
        <w:rPr>
          <w:sz w:val="20"/>
        </w:rPr>
      </w:pPr>
    </w:p>
    <w:p w:rsidR="00905984" w:rsidRPr="00F7512D" w:rsidRDefault="00905984" w:rsidP="00110221">
      <w:pPr>
        <w:jc w:val="both"/>
        <w:rPr>
          <w:sz w:val="20"/>
          <w:lang w:val="en-CA"/>
        </w:rPr>
      </w:pPr>
    </w:p>
    <w:p w:rsidR="00905984" w:rsidRPr="00F7512D" w:rsidRDefault="00905984" w:rsidP="00DB0C1D">
      <w:pPr>
        <w:widowControl w:val="0"/>
        <w:ind w:left="720" w:hanging="720"/>
        <w:jc w:val="both"/>
        <w:rPr>
          <w:b/>
          <w:i/>
          <w:sz w:val="20"/>
          <w:lang w:val="fr-CA"/>
        </w:rPr>
      </w:pPr>
      <w:r w:rsidRPr="00F7512D">
        <w:rPr>
          <w:b/>
          <w:sz w:val="20"/>
          <w:lang w:val="fr-CA"/>
        </w:rPr>
        <w:fldChar w:fldCharType="begin"/>
      </w:r>
      <w:r w:rsidRPr="00F7512D">
        <w:rPr>
          <w:b/>
          <w:sz w:val="20"/>
          <w:lang w:val="fr-CA"/>
        </w:rPr>
        <w:instrText xml:space="preserve"> SEQ CHAPTER \h \r 1</w:instrText>
      </w:r>
      <w:r w:rsidRPr="00F7512D">
        <w:rPr>
          <w:b/>
          <w:sz w:val="20"/>
          <w:lang w:val="fr-CA"/>
        </w:rPr>
        <w:fldChar w:fldCharType="end"/>
      </w:r>
      <w:r w:rsidRPr="00F7512D">
        <w:rPr>
          <w:b/>
          <w:sz w:val="20"/>
          <w:lang w:val="fr-CA"/>
        </w:rPr>
        <w:t>36771</w:t>
      </w:r>
      <w:r w:rsidRPr="00F7512D">
        <w:rPr>
          <w:sz w:val="20"/>
          <w:lang w:val="fr-CA"/>
        </w:rPr>
        <w:tab/>
      </w:r>
      <w:r w:rsidRPr="00F7512D">
        <w:rPr>
          <w:b/>
          <w:i/>
          <w:sz w:val="20"/>
          <w:lang w:val="fr-CA"/>
        </w:rPr>
        <w:t>Dion Henry Alex c. Sa Majesté la Reine</w:t>
      </w:r>
    </w:p>
    <w:p w:rsidR="00905984" w:rsidRPr="00F7512D" w:rsidRDefault="00905984" w:rsidP="00DB0C1D">
      <w:pPr>
        <w:widowControl w:val="0"/>
        <w:ind w:left="1440" w:hanging="720"/>
        <w:jc w:val="both"/>
        <w:rPr>
          <w:sz w:val="20"/>
          <w:lang w:val="fr-CA"/>
        </w:rPr>
      </w:pPr>
      <w:r w:rsidRPr="00F7512D">
        <w:rPr>
          <w:sz w:val="20"/>
          <w:lang w:val="fr-CA"/>
        </w:rPr>
        <w:t>(C.-B.) (Criminelle) (Sur autorisation)</w:t>
      </w:r>
    </w:p>
    <w:p w:rsidR="00905984" w:rsidRPr="00F7512D" w:rsidRDefault="00905984" w:rsidP="00DB0C1D">
      <w:pPr>
        <w:widowControl w:val="0"/>
        <w:jc w:val="both"/>
        <w:rPr>
          <w:sz w:val="20"/>
          <w:lang w:val="fr-CA"/>
        </w:rPr>
      </w:pPr>
    </w:p>
    <w:p w:rsidR="00905984" w:rsidRPr="00F7512D" w:rsidRDefault="00905984" w:rsidP="00DB0C1D">
      <w:pPr>
        <w:jc w:val="both"/>
        <w:rPr>
          <w:sz w:val="20"/>
          <w:lang w:val="fr-CA"/>
        </w:rPr>
      </w:pPr>
      <w:r w:rsidRPr="00F7512D">
        <w:rPr>
          <w:i/>
          <w:sz w:val="20"/>
          <w:lang w:val="fr-CA"/>
        </w:rPr>
        <w:t xml:space="preserve">Charte des droits et libertés </w:t>
      </w:r>
      <w:r w:rsidRPr="00F7512D">
        <w:rPr>
          <w:sz w:val="20"/>
          <w:lang w:val="fr-CA"/>
        </w:rPr>
        <w:t xml:space="preserve">- Fouilles, perquisitions et saisies - Droit criminel - Preuve - Application de l’arrêt </w:t>
      </w:r>
      <w:r w:rsidRPr="00F7512D">
        <w:rPr>
          <w:i/>
          <w:iCs/>
          <w:sz w:val="20"/>
          <w:lang w:val="fr-CA"/>
        </w:rPr>
        <w:t xml:space="preserve">R. c. Rilling </w:t>
      </w:r>
      <w:r w:rsidRPr="00F7512D">
        <w:rPr>
          <w:sz w:val="20"/>
          <w:lang w:val="fr-CA"/>
        </w:rPr>
        <w:t xml:space="preserve">[1976] 2 R.C.S. 183 - L’arrêt </w:t>
      </w:r>
      <w:r w:rsidRPr="00F7512D">
        <w:rPr>
          <w:i/>
          <w:iCs/>
          <w:sz w:val="20"/>
          <w:lang w:val="fr-CA"/>
        </w:rPr>
        <w:t>Rilling</w:t>
      </w:r>
      <w:r w:rsidRPr="00F7512D">
        <w:rPr>
          <w:iCs/>
          <w:sz w:val="20"/>
          <w:lang w:val="fr-CA"/>
        </w:rPr>
        <w:t xml:space="preserve"> doit-il être réexaminé à la suite de l’adoption de la </w:t>
      </w:r>
      <w:r w:rsidRPr="00F7512D">
        <w:rPr>
          <w:i/>
          <w:iCs/>
          <w:sz w:val="20"/>
          <w:lang w:val="fr-CA"/>
        </w:rPr>
        <w:t>Charte</w:t>
      </w:r>
      <w:r w:rsidRPr="00F7512D">
        <w:rPr>
          <w:iCs/>
          <w:sz w:val="20"/>
          <w:lang w:val="fr-CA"/>
        </w:rPr>
        <w:t>?</w:t>
      </w:r>
      <w:r w:rsidRPr="00F7512D">
        <w:rPr>
          <w:i/>
          <w:iCs/>
          <w:sz w:val="20"/>
          <w:lang w:val="fr-CA"/>
        </w:rPr>
        <w:t xml:space="preserve"> </w:t>
      </w:r>
      <w:r w:rsidRPr="00F7512D">
        <w:rPr>
          <w:sz w:val="20"/>
          <w:lang w:val="fr-CA"/>
        </w:rPr>
        <w:t xml:space="preserve">- Vu l’obligation constitutionnelle d’interpréter des dispositions législatives conformément aux valeurs consacrées par la </w:t>
      </w:r>
      <w:r w:rsidRPr="00F7512D">
        <w:rPr>
          <w:i/>
          <w:sz w:val="20"/>
          <w:lang w:val="fr-CA"/>
        </w:rPr>
        <w:t>Charte,</w:t>
      </w:r>
      <w:r w:rsidRPr="00F7512D">
        <w:rPr>
          <w:sz w:val="20"/>
          <w:lang w:val="fr-CA"/>
        </w:rPr>
        <w:t xml:space="preserve"> faut-il appliquer l’interprétation donnée aux articles 254 et 258 du </w:t>
      </w:r>
      <w:r w:rsidRPr="00F7512D">
        <w:rPr>
          <w:i/>
          <w:sz w:val="20"/>
          <w:lang w:val="fr-CA"/>
        </w:rPr>
        <w:t>Code criminel</w:t>
      </w:r>
      <w:r w:rsidRPr="00F7512D">
        <w:rPr>
          <w:sz w:val="20"/>
          <w:lang w:val="fr-CA"/>
        </w:rPr>
        <w:t xml:space="preserve"> par les juges majoritaires dans l’arrêt </w:t>
      </w:r>
      <w:r w:rsidRPr="00F7512D">
        <w:rPr>
          <w:i/>
          <w:sz w:val="20"/>
          <w:lang w:val="fr-CA"/>
        </w:rPr>
        <w:t>Rilling</w:t>
      </w:r>
      <w:r w:rsidRPr="00F7512D">
        <w:rPr>
          <w:sz w:val="20"/>
          <w:lang w:val="fr-CA"/>
        </w:rPr>
        <w:t xml:space="preserve"> ou celle donnée par les juges minoritaires dans cet arrêt? - L’arrêt </w:t>
      </w:r>
      <w:r w:rsidRPr="00F7512D">
        <w:rPr>
          <w:i/>
          <w:iCs/>
          <w:sz w:val="20"/>
          <w:lang w:val="fr-CA"/>
        </w:rPr>
        <w:t>Rilling</w:t>
      </w:r>
      <w:r w:rsidRPr="00F7512D">
        <w:rPr>
          <w:sz w:val="20"/>
          <w:lang w:val="fr-CA"/>
        </w:rPr>
        <w:t xml:space="preserve"> est-il irréconciliable avec les autres arrêts de la Cour sur la nécessité de se conformer strictement aux conditions légales qui doivent être préalablement remplies pour pouvoir utiliser des présomptions de preuve? - </w:t>
      </w:r>
      <w:r w:rsidRPr="00F7512D">
        <w:rPr>
          <w:i/>
          <w:sz w:val="20"/>
          <w:lang w:val="fr-CA"/>
        </w:rPr>
        <w:t>Charte</w:t>
      </w:r>
      <w:r w:rsidRPr="00F7512D">
        <w:rPr>
          <w:sz w:val="20"/>
          <w:lang w:val="fr-CA"/>
        </w:rPr>
        <w:t>, art. 8, 24(2).</w:t>
      </w:r>
    </w:p>
    <w:p w:rsidR="00905984" w:rsidRPr="00F7512D" w:rsidRDefault="00905984" w:rsidP="00DB0C1D">
      <w:pPr>
        <w:jc w:val="both"/>
        <w:rPr>
          <w:sz w:val="20"/>
          <w:lang w:val="fr-CA"/>
        </w:rPr>
      </w:pPr>
    </w:p>
    <w:p w:rsidR="00905984" w:rsidRPr="00F7512D" w:rsidRDefault="00905984" w:rsidP="00DB0C1D">
      <w:pPr>
        <w:jc w:val="both"/>
        <w:rPr>
          <w:sz w:val="20"/>
          <w:lang w:val="fr-CA"/>
        </w:rPr>
      </w:pPr>
      <w:r w:rsidRPr="00F7512D">
        <w:rPr>
          <w:iCs/>
          <w:sz w:val="20"/>
          <w:lang w:val="fr-CA"/>
        </w:rPr>
        <w:t>Alors qu’il conduisait une fourgonnette, l’appelant a été intercepté par un policier qui effectuait des contrôles du port de la ceinture de sécurité. Dans son témoignage, le policier a affirmé avoir eu des raisons de soupçonner que l’appelant conduisait avec les facultés affaiblies et il lui a demandé de fournir un échantillon d’haleine. L’échantillon a donné le résultat « échec » sur</w:t>
      </w:r>
      <w:bookmarkStart w:id="3" w:name="_GoBack"/>
      <w:bookmarkEnd w:id="3"/>
      <w:r w:rsidRPr="00F7512D">
        <w:rPr>
          <w:iCs/>
          <w:sz w:val="20"/>
          <w:lang w:val="fr-CA"/>
        </w:rPr>
        <w:t xml:space="preserve"> l’ADA et l’analyseur d’haleine a confirmé une alcoolémie de « 130 ». L’appelant a été déclaré coupable d’avoir eu la garde ou le contrôle de son véhicule avec une alcoolémie supérieure à la limite légale (plus de 80 mg), une infraction prévue à l’al. 253b) du</w:t>
      </w:r>
      <w:r w:rsidRPr="00F7512D">
        <w:rPr>
          <w:i/>
          <w:iCs/>
          <w:sz w:val="20"/>
          <w:lang w:val="fr-CA"/>
        </w:rPr>
        <w:t xml:space="preserve"> Code criminel. </w:t>
      </w:r>
      <w:r w:rsidRPr="00F7512D">
        <w:rPr>
          <w:iCs/>
          <w:sz w:val="20"/>
          <w:lang w:val="fr-CA"/>
        </w:rPr>
        <w:t>Il a également été déclaré coupable de conduite durant une interdiction, mais il n’a pas interjeté appel de cette condamnation.</w:t>
      </w:r>
    </w:p>
    <w:p w:rsidR="00905984" w:rsidRPr="00F7512D" w:rsidRDefault="00905984" w:rsidP="00DB0C1D">
      <w:pPr>
        <w:jc w:val="both"/>
        <w:rPr>
          <w:sz w:val="20"/>
          <w:lang w:val="fr-CA"/>
        </w:rPr>
      </w:pPr>
    </w:p>
    <w:p w:rsidR="00905984" w:rsidRPr="00F7512D" w:rsidRDefault="00905984" w:rsidP="00DB0C1D">
      <w:pPr>
        <w:jc w:val="both"/>
        <w:rPr>
          <w:sz w:val="20"/>
          <w:lang w:val="fr-CA"/>
        </w:rPr>
      </w:pPr>
      <w:r w:rsidRPr="00F7512D">
        <w:rPr>
          <w:iCs/>
          <w:sz w:val="20"/>
          <w:lang w:val="fr-CA"/>
        </w:rPr>
        <w:t xml:space="preserve">La Cour d’appel a rejeté l’appel. La Cour d’appel a conclu que l’arrêt </w:t>
      </w:r>
      <w:r w:rsidRPr="00F7512D">
        <w:rPr>
          <w:i/>
          <w:iCs/>
          <w:sz w:val="20"/>
          <w:lang w:val="fr-CA"/>
        </w:rPr>
        <w:t>Rilling</w:t>
      </w:r>
      <w:r w:rsidRPr="00F7512D">
        <w:rPr>
          <w:iCs/>
          <w:sz w:val="20"/>
          <w:lang w:val="fr-CA"/>
        </w:rPr>
        <w:t xml:space="preserve"> s’appliquait toujours au Canada, suivant des arrêts semblables rendus par d’autres tribunaux d’appel, y compris la Cour d’appel de l’Ontario dans les arrêts </w:t>
      </w:r>
      <w:r w:rsidRPr="00F7512D">
        <w:rPr>
          <w:i/>
          <w:iCs/>
          <w:sz w:val="20"/>
          <w:lang w:val="fr-CA"/>
        </w:rPr>
        <w:t>Charette</w:t>
      </w:r>
      <w:r w:rsidRPr="00F7512D">
        <w:rPr>
          <w:iCs/>
          <w:sz w:val="20"/>
          <w:lang w:val="fr-CA"/>
        </w:rPr>
        <w:t xml:space="preserve"> et </w:t>
      </w:r>
      <w:r w:rsidRPr="00F7512D">
        <w:rPr>
          <w:i/>
          <w:iCs/>
          <w:sz w:val="20"/>
          <w:lang w:val="fr-CA"/>
        </w:rPr>
        <w:t>Gundy</w:t>
      </w:r>
      <w:r w:rsidRPr="00F7512D">
        <w:rPr>
          <w:iCs/>
          <w:sz w:val="20"/>
          <w:lang w:val="fr-CA"/>
        </w:rPr>
        <w:t xml:space="preserve">. Par conséquent, tant et aussi longtemps que la Cour suprême du Canada n’infirmera pas l’arrêt </w:t>
      </w:r>
      <w:r w:rsidRPr="00F7512D">
        <w:rPr>
          <w:i/>
          <w:iCs/>
          <w:sz w:val="20"/>
          <w:lang w:val="fr-CA"/>
        </w:rPr>
        <w:t>Rilling</w:t>
      </w:r>
      <w:r w:rsidRPr="00F7512D">
        <w:rPr>
          <w:iCs/>
          <w:sz w:val="20"/>
          <w:lang w:val="fr-CA"/>
        </w:rPr>
        <w:t xml:space="preserve">, l’accusé qui souhaite contester la légalité d’un certificat d’analyse d’haleine au procès doit faire valoir une contestation fondée sur l’art. 8 de la </w:t>
      </w:r>
      <w:r w:rsidRPr="00F7512D">
        <w:rPr>
          <w:i/>
          <w:iCs/>
          <w:sz w:val="20"/>
          <w:lang w:val="fr-CA"/>
        </w:rPr>
        <w:t>Charte</w:t>
      </w:r>
      <w:r w:rsidRPr="00F7512D">
        <w:rPr>
          <w:iCs/>
          <w:sz w:val="20"/>
          <w:lang w:val="fr-CA"/>
        </w:rPr>
        <w:t xml:space="preserve"> au plus tard au moment du dépôt en preuve du certificat par le ministère public. En l’espèce, l’appelant n’a </w:t>
      </w:r>
      <w:r w:rsidRPr="00F7512D">
        <w:rPr>
          <w:iCs/>
          <w:sz w:val="20"/>
          <w:u w:val="single"/>
          <w:lang w:val="fr-CA"/>
        </w:rPr>
        <w:t>pas</w:t>
      </w:r>
      <w:r w:rsidRPr="00F7512D">
        <w:rPr>
          <w:iCs/>
          <w:sz w:val="20"/>
          <w:lang w:val="fr-CA"/>
        </w:rPr>
        <w:t xml:space="preserve"> invoqué la </w:t>
      </w:r>
      <w:r w:rsidRPr="00F7512D">
        <w:rPr>
          <w:i/>
          <w:iCs/>
          <w:sz w:val="20"/>
          <w:lang w:val="fr-CA"/>
        </w:rPr>
        <w:t>Charte</w:t>
      </w:r>
      <w:r w:rsidRPr="00F7512D">
        <w:rPr>
          <w:iCs/>
          <w:sz w:val="20"/>
          <w:lang w:val="fr-CA"/>
        </w:rPr>
        <w:t xml:space="preserve"> comme moyen d’irrecevabilité du certificat d’analyse d’haleine. Au procès, l’avocat de la défense a dit au juge qu’il ne souhaitait pas invoquer l’art. 8</w:t>
      </w:r>
      <w:r w:rsidRPr="00F7512D">
        <w:rPr>
          <w:sz w:val="20"/>
          <w:lang w:val="fr-CA"/>
        </w:rPr>
        <w:t>.</w:t>
      </w:r>
    </w:p>
    <w:p w:rsidR="00905984" w:rsidRPr="00F7512D" w:rsidRDefault="00905984" w:rsidP="00340C6D">
      <w:pPr>
        <w:jc w:val="both"/>
        <w:rPr>
          <w:szCs w:val="24"/>
          <w:lang w:val="fr-CA"/>
        </w:rPr>
      </w:pPr>
    </w:p>
    <w:p w:rsidR="00905984" w:rsidRPr="00F7512D" w:rsidRDefault="00905984" w:rsidP="00340C6D">
      <w:pPr>
        <w:jc w:val="both"/>
        <w:rPr>
          <w:szCs w:val="24"/>
          <w:lang w:val="fr-CA"/>
        </w:rPr>
      </w:pPr>
    </w:p>
    <w:p w:rsidR="00072A63" w:rsidRPr="00F7512D" w:rsidRDefault="00072A63" w:rsidP="00EC79B0">
      <w:pPr>
        <w:jc w:val="both"/>
        <w:rPr>
          <w:szCs w:val="24"/>
          <w:lang w:val="fr-CA"/>
        </w:rPr>
      </w:pPr>
    </w:p>
    <w:p w:rsidR="001C4415" w:rsidRPr="00F7512D" w:rsidRDefault="001C4415" w:rsidP="001C4415">
      <w:pPr>
        <w:widowControl w:val="0"/>
        <w:outlineLvl w:val="0"/>
      </w:pPr>
      <w:r w:rsidRPr="00F7512D">
        <w:t xml:space="preserve">Supreme Court of Canada / Cour suprême du </w:t>
      </w:r>
      <w:proofErr w:type="gramStart"/>
      <w:r w:rsidRPr="00F7512D">
        <w:t>Canada :</w:t>
      </w:r>
      <w:proofErr w:type="gramEnd"/>
      <w:r w:rsidRPr="00F7512D">
        <w:t xml:space="preserve"> </w:t>
      </w:r>
    </w:p>
    <w:p w:rsidR="001C4415" w:rsidRPr="00F7512D" w:rsidRDefault="00F7512D" w:rsidP="001C4415">
      <w:pPr>
        <w:widowControl w:val="0"/>
        <w:outlineLvl w:val="0"/>
      </w:pPr>
      <w:hyperlink r:id="rId8" w:history="1">
        <w:r w:rsidR="001C4415" w:rsidRPr="00F7512D">
          <w:rPr>
            <w:rStyle w:val="Hyperlink"/>
          </w:rPr>
          <w:t>comments-commentaires@scc-csc.ca</w:t>
        </w:r>
      </w:hyperlink>
    </w:p>
    <w:p w:rsidR="001C4415" w:rsidRPr="00F7512D" w:rsidRDefault="001C4415" w:rsidP="001C4415">
      <w:pPr>
        <w:widowControl w:val="0"/>
        <w:outlineLvl w:val="0"/>
      </w:pPr>
      <w:r w:rsidRPr="00F7512D">
        <w:t>(613) 995-4330</w:t>
      </w:r>
    </w:p>
    <w:p w:rsidR="001C4415" w:rsidRPr="00F7512D" w:rsidRDefault="001C4415" w:rsidP="001C4415">
      <w:pPr>
        <w:widowControl w:val="0"/>
        <w:rPr>
          <w:sz w:val="20"/>
        </w:rPr>
      </w:pPr>
    </w:p>
    <w:p w:rsidR="0036476C" w:rsidRPr="00A8502B" w:rsidRDefault="001C4415" w:rsidP="0036476C">
      <w:pPr>
        <w:pStyle w:val="Footer"/>
        <w:jc w:val="center"/>
        <w:rPr>
          <w:lang w:val="fr-CA"/>
        </w:rPr>
      </w:pPr>
      <w:r w:rsidRPr="00F7512D">
        <w:rPr>
          <w:lang w:val="fr-CA"/>
        </w:rPr>
        <w:t xml:space="preserve">- 30 </w:t>
      </w:r>
      <w:r w:rsidR="003C1B6E" w:rsidRPr="00F7512D">
        <w:rPr>
          <w:lang w:val="fr-CA"/>
        </w:rPr>
        <w:t>-</w:t>
      </w:r>
    </w:p>
    <w:p w:rsidR="0036476C" w:rsidRPr="00A8502B" w:rsidRDefault="0036476C" w:rsidP="0036476C">
      <w:pPr>
        <w:pStyle w:val="Footer"/>
        <w:jc w:val="center"/>
        <w:rPr>
          <w:lang w:val="fr-CA"/>
        </w:rPr>
      </w:pPr>
    </w:p>
    <w:sectPr w:rsidR="0036476C" w:rsidRPr="00A8502B" w:rsidSect="00D3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AD" w:rsidRDefault="00FF3CAD">
      <w:r>
        <w:separator/>
      </w:r>
    </w:p>
  </w:endnote>
  <w:endnote w:type="continuationSeparator" w:id="0">
    <w:p w:rsidR="00FF3CAD" w:rsidRDefault="00F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AD" w:rsidRDefault="00FF3CAD">
      <w:r>
        <w:separator/>
      </w:r>
    </w:p>
  </w:footnote>
  <w:footnote w:type="continuationSeparator" w:id="0">
    <w:p w:rsidR="00FF3CAD" w:rsidRDefault="00FF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015B6"/>
    <w:rsid w:val="000100BA"/>
    <w:rsid w:val="00010D78"/>
    <w:rsid w:val="0001212E"/>
    <w:rsid w:val="0001605B"/>
    <w:rsid w:val="0001634B"/>
    <w:rsid w:val="0002161B"/>
    <w:rsid w:val="00021901"/>
    <w:rsid w:val="0003356F"/>
    <w:rsid w:val="000347C1"/>
    <w:rsid w:val="00035555"/>
    <w:rsid w:val="00035B99"/>
    <w:rsid w:val="0003611D"/>
    <w:rsid w:val="0003620E"/>
    <w:rsid w:val="00037405"/>
    <w:rsid w:val="00042B21"/>
    <w:rsid w:val="000446D3"/>
    <w:rsid w:val="000454BF"/>
    <w:rsid w:val="00053111"/>
    <w:rsid w:val="00060140"/>
    <w:rsid w:val="00060B39"/>
    <w:rsid w:val="00061A14"/>
    <w:rsid w:val="00072A63"/>
    <w:rsid w:val="0008116D"/>
    <w:rsid w:val="000855FD"/>
    <w:rsid w:val="00087122"/>
    <w:rsid w:val="0009615F"/>
    <w:rsid w:val="000A063C"/>
    <w:rsid w:val="000A21DA"/>
    <w:rsid w:val="000A30BB"/>
    <w:rsid w:val="000A33B2"/>
    <w:rsid w:val="000A401F"/>
    <w:rsid w:val="000A7900"/>
    <w:rsid w:val="000B0E38"/>
    <w:rsid w:val="000B216A"/>
    <w:rsid w:val="000B6CE0"/>
    <w:rsid w:val="000C1225"/>
    <w:rsid w:val="000C466B"/>
    <w:rsid w:val="000C7C9D"/>
    <w:rsid w:val="000D25C5"/>
    <w:rsid w:val="000D4096"/>
    <w:rsid w:val="000D413D"/>
    <w:rsid w:val="000D682D"/>
    <w:rsid w:val="000E1FA5"/>
    <w:rsid w:val="000E33A8"/>
    <w:rsid w:val="000E457A"/>
    <w:rsid w:val="000F2225"/>
    <w:rsid w:val="000F2F73"/>
    <w:rsid w:val="000F5730"/>
    <w:rsid w:val="000F7714"/>
    <w:rsid w:val="001002A7"/>
    <w:rsid w:val="00103400"/>
    <w:rsid w:val="00105085"/>
    <w:rsid w:val="001065AF"/>
    <w:rsid w:val="00114B52"/>
    <w:rsid w:val="00114D6F"/>
    <w:rsid w:val="00116CE5"/>
    <w:rsid w:val="001170D1"/>
    <w:rsid w:val="00127E76"/>
    <w:rsid w:val="00131418"/>
    <w:rsid w:val="001335A1"/>
    <w:rsid w:val="001364D9"/>
    <w:rsid w:val="0013792F"/>
    <w:rsid w:val="00141A4B"/>
    <w:rsid w:val="001439C6"/>
    <w:rsid w:val="00143A58"/>
    <w:rsid w:val="001448DF"/>
    <w:rsid w:val="00145925"/>
    <w:rsid w:val="001476BD"/>
    <w:rsid w:val="00150BC6"/>
    <w:rsid w:val="001563FF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801D4"/>
    <w:rsid w:val="0018124A"/>
    <w:rsid w:val="00191F98"/>
    <w:rsid w:val="001936BC"/>
    <w:rsid w:val="00194B53"/>
    <w:rsid w:val="001A1632"/>
    <w:rsid w:val="001A24F4"/>
    <w:rsid w:val="001A29BA"/>
    <w:rsid w:val="001A4A73"/>
    <w:rsid w:val="001B092D"/>
    <w:rsid w:val="001B0D7E"/>
    <w:rsid w:val="001B4934"/>
    <w:rsid w:val="001B599A"/>
    <w:rsid w:val="001B71AA"/>
    <w:rsid w:val="001C0462"/>
    <w:rsid w:val="001C149E"/>
    <w:rsid w:val="001C3E08"/>
    <w:rsid w:val="001C4415"/>
    <w:rsid w:val="001C6FEC"/>
    <w:rsid w:val="001D75ED"/>
    <w:rsid w:val="001E4A60"/>
    <w:rsid w:val="001E5E23"/>
    <w:rsid w:val="001E70CD"/>
    <w:rsid w:val="001F1643"/>
    <w:rsid w:val="001F1B2F"/>
    <w:rsid w:val="001F27D7"/>
    <w:rsid w:val="001F37AC"/>
    <w:rsid w:val="001F57C9"/>
    <w:rsid w:val="001F5973"/>
    <w:rsid w:val="001F7F62"/>
    <w:rsid w:val="002029F5"/>
    <w:rsid w:val="00204BED"/>
    <w:rsid w:val="00205278"/>
    <w:rsid w:val="00207BC4"/>
    <w:rsid w:val="00211F62"/>
    <w:rsid w:val="00214729"/>
    <w:rsid w:val="002160B0"/>
    <w:rsid w:val="00221703"/>
    <w:rsid w:val="002257CF"/>
    <w:rsid w:val="00226AE8"/>
    <w:rsid w:val="00234845"/>
    <w:rsid w:val="00234B46"/>
    <w:rsid w:val="0023600D"/>
    <w:rsid w:val="002404C4"/>
    <w:rsid w:val="00240881"/>
    <w:rsid w:val="00241C35"/>
    <w:rsid w:val="00241F69"/>
    <w:rsid w:val="00242EC8"/>
    <w:rsid w:val="00243B49"/>
    <w:rsid w:val="00244461"/>
    <w:rsid w:val="00244D04"/>
    <w:rsid w:val="00245FBD"/>
    <w:rsid w:val="0024634F"/>
    <w:rsid w:val="002506ED"/>
    <w:rsid w:val="002511EB"/>
    <w:rsid w:val="00251D1B"/>
    <w:rsid w:val="00252555"/>
    <w:rsid w:val="0025265E"/>
    <w:rsid w:val="00253698"/>
    <w:rsid w:val="0025452B"/>
    <w:rsid w:val="002617BB"/>
    <w:rsid w:val="0026289A"/>
    <w:rsid w:val="00264AA1"/>
    <w:rsid w:val="002667BA"/>
    <w:rsid w:val="002667ED"/>
    <w:rsid w:val="00266A8B"/>
    <w:rsid w:val="002723AE"/>
    <w:rsid w:val="00272EAB"/>
    <w:rsid w:val="002768F6"/>
    <w:rsid w:val="00282563"/>
    <w:rsid w:val="0028630C"/>
    <w:rsid w:val="00290F21"/>
    <w:rsid w:val="00291F84"/>
    <w:rsid w:val="00297E1D"/>
    <w:rsid w:val="002A23AD"/>
    <w:rsid w:val="002A2F5A"/>
    <w:rsid w:val="002A3DD8"/>
    <w:rsid w:val="002A4252"/>
    <w:rsid w:val="002A44BE"/>
    <w:rsid w:val="002A5496"/>
    <w:rsid w:val="002A6BD5"/>
    <w:rsid w:val="002A7752"/>
    <w:rsid w:val="002B06A9"/>
    <w:rsid w:val="002B23EF"/>
    <w:rsid w:val="002B4D23"/>
    <w:rsid w:val="002B4F4E"/>
    <w:rsid w:val="002C23CB"/>
    <w:rsid w:val="002C5CA9"/>
    <w:rsid w:val="002C5FAF"/>
    <w:rsid w:val="002D62BE"/>
    <w:rsid w:val="002D631B"/>
    <w:rsid w:val="002D6424"/>
    <w:rsid w:val="002D6539"/>
    <w:rsid w:val="002D68ED"/>
    <w:rsid w:val="002E3F05"/>
    <w:rsid w:val="002E5644"/>
    <w:rsid w:val="002F28E0"/>
    <w:rsid w:val="002F2E89"/>
    <w:rsid w:val="002F4212"/>
    <w:rsid w:val="003023B2"/>
    <w:rsid w:val="003054B8"/>
    <w:rsid w:val="003078A0"/>
    <w:rsid w:val="003112E4"/>
    <w:rsid w:val="00311F53"/>
    <w:rsid w:val="00317C58"/>
    <w:rsid w:val="00321B31"/>
    <w:rsid w:val="00324B83"/>
    <w:rsid w:val="003255C3"/>
    <w:rsid w:val="00334A90"/>
    <w:rsid w:val="00334E40"/>
    <w:rsid w:val="00336089"/>
    <w:rsid w:val="00336F85"/>
    <w:rsid w:val="00337D5F"/>
    <w:rsid w:val="00340C6D"/>
    <w:rsid w:val="00342E49"/>
    <w:rsid w:val="00346B6F"/>
    <w:rsid w:val="00346F0D"/>
    <w:rsid w:val="00350C6A"/>
    <w:rsid w:val="00350CE0"/>
    <w:rsid w:val="00352B94"/>
    <w:rsid w:val="00353AB0"/>
    <w:rsid w:val="00357919"/>
    <w:rsid w:val="00362484"/>
    <w:rsid w:val="0036476C"/>
    <w:rsid w:val="00365867"/>
    <w:rsid w:val="0037261F"/>
    <w:rsid w:val="00374148"/>
    <w:rsid w:val="0037569E"/>
    <w:rsid w:val="00380CC3"/>
    <w:rsid w:val="003835A6"/>
    <w:rsid w:val="00387EA2"/>
    <w:rsid w:val="0039248C"/>
    <w:rsid w:val="003932EE"/>
    <w:rsid w:val="00393419"/>
    <w:rsid w:val="003959D2"/>
    <w:rsid w:val="0039607F"/>
    <w:rsid w:val="003A1FB4"/>
    <w:rsid w:val="003A2267"/>
    <w:rsid w:val="003B038F"/>
    <w:rsid w:val="003B10C6"/>
    <w:rsid w:val="003B3AD5"/>
    <w:rsid w:val="003B4E7E"/>
    <w:rsid w:val="003B6ECB"/>
    <w:rsid w:val="003C1B6E"/>
    <w:rsid w:val="003C381F"/>
    <w:rsid w:val="003D4D2A"/>
    <w:rsid w:val="003D74E7"/>
    <w:rsid w:val="003E0326"/>
    <w:rsid w:val="003E101F"/>
    <w:rsid w:val="003E1BBF"/>
    <w:rsid w:val="003E222C"/>
    <w:rsid w:val="003E31F8"/>
    <w:rsid w:val="003E5C8D"/>
    <w:rsid w:val="003F127B"/>
    <w:rsid w:val="003F2710"/>
    <w:rsid w:val="003F7920"/>
    <w:rsid w:val="004005FE"/>
    <w:rsid w:val="004016BB"/>
    <w:rsid w:val="004019D4"/>
    <w:rsid w:val="0040345E"/>
    <w:rsid w:val="00405F0F"/>
    <w:rsid w:val="004066AC"/>
    <w:rsid w:val="00406D7D"/>
    <w:rsid w:val="004102D0"/>
    <w:rsid w:val="004115B2"/>
    <w:rsid w:val="0041533E"/>
    <w:rsid w:val="00421CC7"/>
    <w:rsid w:val="0042330C"/>
    <w:rsid w:val="00423876"/>
    <w:rsid w:val="00424E50"/>
    <w:rsid w:val="00425FF3"/>
    <w:rsid w:val="00426675"/>
    <w:rsid w:val="00426798"/>
    <w:rsid w:val="00426F87"/>
    <w:rsid w:val="00427239"/>
    <w:rsid w:val="00432DE1"/>
    <w:rsid w:val="00433466"/>
    <w:rsid w:val="00442F1A"/>
    <w:rsid w:val="0045070D"/>
    <w:rsid w:val="00452E96"/>
    <w:rsid w:val="0045409A"/>
    <w:rsid w:val="00455BB9"/>
    <w:rsid w:val="00460580"/>
    <w:rsid w:val="00464E71"/>
    <w:rsid w:val="0046531B"/>
    <w:rsid w:val="00467AE4"/>
    <w:rsid w:val="0047787E"/>
    <w:rsid w:val="004824D8"/>
    <w:rsid w:val="00486701"/>
    <w:rsid w:val="0048671C"/>
    <w:rsid w:val="0048741E"/>
    <w:rsid w:val="00491284"/>
    <w:rsid w:val="004927D1"/>
    <w:rsid w:val="004A017B"/>
    <w:rsid w:val="004A2228"/>
    <w:rsid w:val="004A40E1"/>
    <w:rsid w:val="004A4570"/>
    <w:rsid w:val="004A56AC"/>
    <w:rsid w:val="004A6F06"/>
    <w:rsid w:val="004B22B5"/>
    <w:rsid w:val="004B4821"/>
    <w:rsid w:val="004B6E20"/>
    <w:rsid w:val="004B6F3A"/>
    <w:rsid w:val="004C070B"/>
    <w:rsid w:val="004D033B"/>
    <w:rsid w:val="004D2539"/>
    <w:rsid w:val="004D4322"/>
    <w:rsid w:val="004D465A"/>
    <w:rsid w:val="004D488A"/>
    <w:rsid w:val="004E5455"/>
    <w:rsid w:val="004E605A"/>
    <w:rsid w:val="004E7227"/>
    <w:rsid w:val="004F0A44"/>
    <w:rsid w:val="004F215A"/>
    <w:rsid w:val="004F22F6"/>
    <w:rsid w:val="004F3FB9"/>
    <w:rsid w:val="004F76A1"/>
    <w:rsid w:val="00504582"/>
    <w:rsid w:val="0051320D"/>
    <w:rsid w:val="005132EC"/>
    <w:rsid w:val="00520A3C"/>
    <w:rsid w:val="00525362"/>
    <w:rsid w:val="00525B8E"/>
    <w:rsid w:val="00531567"/>
    <w:rsid w:val="00534E1E"/>
    <w:rsid w:val="00537187"/>
    <w:rsid w:val="005400BA"/>
    <w:rsid w:val="0054378D"/>
    <w:rsid w:val="00545B3E"/>
    <w:rsid w:val="005511F1"/>
    <w:rsid w:val="00552278"/>
    <w:rsid w:val="0055520C"/>
    <w:rsid w:val="00560D32"/>
    <w:rsid w:val="005631B8"/>
    <w:rsid w:val="00563EF8"/>
    <w:rsid w:val="005717F4"/>
    <w:rsid w:val="00572E24"/>
    <w:rsid w:val="00575FA2"/>
    <w:rsid w:val="00580897"/>
    <w:rsid w:val="00580EBF"/>
    <w:rsid w:val="00591F70"/>
    <w:rsid w:val="005932DF"/>
    <w:rsid w:val="00595150"/>
    <w:rsid w:val="00595922"/>
    <w:rsid w:val="005A0FB1"/>
    <w:rsid w:val="005A5B16"/>
    <w:rsid w:val="005A5D20"/>
    <w:rsid w:val="005A7C1B"/>
    <w:rsid w:val="005B10FA"/>
    <w:rsid w:val="005B4F58"/>
    <w:rsid w:val="005B7E1A"/>
    <w:rsid w:val="005C258D"/>
    <w:rsid w:val="005C2979"/>
    <w:rsid w:val="005C3F3D"/>
    <w:rsid w:val="005C571B"/>
    <w:rsid w:val="005C7767"/>
    <w:rsid w:val="005C7A4F"/>
    <w:rsid w:val="005D1FAA"/>
    <w:rsid w:val="005D4151"/>
    <w:rsid w:val="005E1617"/>
    <w:rsid w:val="005E1FA2"/>
    <w:rsid w:val="005E3E02"/>
    <w:rsid w:val="005E696E"/>
    <w:rsid w:val="005E74B7"/>
    <w:rsid w:val="005F3B17"/>
    <w:rsid w:val="005F6821"/>
    <w:rsid w:val="005F6E1A"/>
    <w:rsid w:val="006004E2"/>
    <w:rsid w:val="00600C43"/>
    <w:rsid w:val="00615DA3"/>
    <w:rsid w:val="006219EE"/>
    <w:rsid w:val="00622F54"/>
    <w:rsid w:val="006256B4"/>
    <w:rsid w:val="006268A3"/>
    <w:rsid w:val="006269C3"/>
    <w:rsid w:val="006306BF"/>
    <w:rsid w:val="0063116A"/>
    <w:rsid w:val="0063254B"/>
    <w:rsid w:val="00632844"/>
    <w:rsid w:val="006334F5"/>
    <w:rsid w:val="0063679E"/>
    <w:rsid w:val="0063766F"/>
    <w:rsid w:val="00640A4E"/>
    <w:rsid w:val="006429EF"/>
    <w:rsid w:val="00650518"/>
    <w:rsid w:val="00651F3A"/>
    <w:rsid w:val="006630E5"/>
    <w:rsid w:val="00666E0D"/>
    <w:rsid w:val="0067017D"/>
    <w:rsid w:val="00676709"/>
    <w:rsid w:val="00680968"/>
    <w:rsid w:val="00682A71"/>
    <w:rsid w:val="00685A30"/>
    <w:rsid w:val="006942C4"/>
    <w:rsid w:val="006A3523"/>
    <w:rsid w:val="006A58E0"/>
    <w:rsid w:val="006A6C0C"/>
    <w:rsid w:val="006B4B4E"/>
    <w:rsid w:val="006B5529"/>
    <w:rsid w:val="006C4A8F"/>
    <w:rsid w:val="006C5AA6"/>
    <w:rsid w:val="006C7633"/>
    <w:rsid w:val="006D2CD6"/>
    <w:rsid w:val="006D2DF8"/>
    <w:rsid w:val="006D69C4"/>
    <w:rsid w:val="006E1781"/>
    <w:rsid w:val="006E3A6A"/>
    <w:rsid w:val="006E416A"/>
    <w:rsid w:val="006E5414"/>
    <w:rsid w:val="006E6156"/>
    <w:rsid w:val="006E7CC3"/>
    <w:rsid w:val="006E7FD1"/>
    <w:rsid w:val="006F1899"/>
    <w:rsid w:val="006F1A6D"/>
    <w:rsid w:val="006F202E"/>
    <w:rsid w:val="006F3B04"/>
    <w:rsid w:val="006F636B"/>
    <w:rsid w:val="006F73CC"/>
    <w:rsid w:val="006F7FC8"/>
    <w:rsid w:val="0070294E"/>
    <w:rsid w:val="00711DBC"/>
    <w:rsid w:val="0071224C"/>
    <w:rsid w:val="0071392B"/>
    <w:rsid w:val="00716381"/>
    <w:rsid w:val="00724998"/>
    <w:rsid w:val="00727681"/>
    <w:rsid w:val="00731F00"/>
    <w:rsid w:val="00732616"/>
    <w:rsid w:val="00732764"/>
    <w:rsid w:val="007364BD"/>
    <w:rsid w:val="00743AB2"/>
    <w:rsid w:val="00743CD0"/>
    <w:rsid w:val="007464AD"/>
    <w:rsid w:val="007505FE"/>
    <w:rsid w:val="00753E0D"/>
    <w:rsid w:val="00753FDD"/>
    <w:rsid w:val="00755A54"/>
    <w:rsid w:val="00762239"/>
    <w:rsid w:val="00767B87"/>
    <w:rsid w:val="00772636"/>
    <w:rsid w:val="00777C18"/>
    <w:rsid w:val="007805CD"/>
    <w:rsid w:val="00780B16"/>
    <w:rsid w:val="0078318A"/>
    <w:rsid w:val="00785CE8"/>
    <w:rsid w:val="00791AA4"/>
    <w:rsid w:val="00793134"/>
    <w:rsid w:val="0079370B"/>
    <w:rsid w:val="00794A43"/>
    <w:rsid w:val="00794D8B"/>
    <w:rsid w:val="0079562F"/>
    <w:rsid w:val="00795926"/>
    <w:rsid w:val="007A0A44"/>
    <w:rsid w:val="007A2100"/>
    <w:rsid w:val="007A4A45"/>
    <w:rsid w:val="007A6290"/>
    <w:rsid w:val="007A6330"/>
    <w:rsid w:val="007A71C4"/>
    <w:rsid w:val="007A7383"/>
    <w:rsid w:val="007B1B40"/>
    <w:rsid w:val="007B2E91"/>
    <w:rsid w:val="007B47FB"/>
    <w:rsid w:val="007C288F"/>
    <w:rsid w:val="007C30F2"/>
    <w:rsid w:val="007D1B42"/>
    <w:rsid w:val="007D20F6"/>
    <w:rsid w:val="007D4862"/>
    <w:rsid w:val="007D5D5B"/>
    <w:rsid w:val="007D6B10"/>
    <w:rsid w:val="007E7DF1"/>
    <w:rsid w:val="007F29FE"/>
    <w:rsid w:val="007F3D16"/>
    <w:rsid w:val="007F45A9"/>
    <w:rsid w:val="00800066"/>
    <w:rsid w:val="00803329"/>
    <w:rsid w:val="00807EAE"/>
    <w:rsid w:val="00811E14"/>
    <w:rsid w:val="00815249"/>
    <w:rsid w:val="00815E69"/>
    <w:rsid w:val="00815F42"/>
    <w:rsid w:val="008203B9"/>
    <w:rsid w:val="00820A00"/>
    <w:rsid w:val="008227A7"/>
    <w:rsid w:val="0083044B"/>
    <w:rsid w:val="008313A9"/>
    <w:rsid w:val="00831AFC"/>
    <w:rsid w:val="00833C42"/>
    <w:rsid w:val="00843914"/>
    <w:rsid w:val="00844A0C"/>
    <w:rsid w:val="00845B97"/>
    <w:rsid w:val="0085122E"/>
    <w:rsid w:val="00851B24"/>
    <w:rsid w:val="00857775"/>
    <w:rsid w:val="00861E1D"/>
    <w:rsid w:val="0086609D"/>
    <w:rsid w:val="00870608"/>
    <w:rsid w:val="008709FF"/>
    <w:rsid w:val="008716D8"/>
    <w:rsid w:val="00875923"/>
    <w:rsid w:val="00875B30"/>
    <w:rsid w:val="008766B1"/>
    <w:rsid w:val="00877C9F"/>
    <w:rsid w:val="008814A0"/>
    <w:rsid w:val="0088190D"/>
    <w:rsid w:val="00893647"/>
    <w:rsid w:val="008B0841"/>
    <w:rsid w:val="008B305D"/>
    <w:rsid w:val="008B5FA3"/>
    <w:rsid w:val="008B5FDB"/>
    <w:rsid w:val="008B6308"/>
    <w:rsid w:val="008C2F61"/>
    <w:rsid w:val="008C5D03"/>
    <w:rsid w:val="008D2829"/>
    <w:rsid w:val="008D3DE1"/>
    <w:rsid w:val="008D557C"/>
    <w:rsid w:val="008D5B1F"/>
    <w:rsid w:val="008D6BC4"/>
    <w:rsid w:val="008E0CF4"/>
    <w:rsid w:val="008E5108"/>
    <w:rsid w:val="008E7015"/>
    <w:rsid w:val="008F15CD"/>
    <w:rsid w:val="008F246A"/>
    <w:rsid w:val="008F6C55"/>
    <w:rsid w:val="0090380F"/>
    <w:rsid w:val="00905984"/>
    <w:rsid w:val="009062BF"/>
    <w:rsid w:val="009079AF"/>
    <w:rsid w:val="00911071"/>
    <w:rsid w:val="00916404"/>
    <w:rsid w:val="00916B9F"/>
    <w:rsid w:val="009202FD"/>
    <w:rsid w:val="00921102"/>
    <w:rsid w:val="009214B3"/>
    <w:rsid w:val="0092264F"/>
    <w:rsid w:val="009234CE"/>
    <w:rsid w:val="009241F6"/>
    <w:rsid w:val="009246D2"/>
    <w:rsid w:val="00931A3C"/>
    <w:rsid w:val="009408A3"/>
    <w:rsid w:val="009421D0"/>
    <w:rsid w:val="009448B0"/>
    <w:rsid w:val="00945199"/>
    <w:rsid w:val="00945849"/>
    <w:rsid w:val="00946EC7"/>
    <w:rsid w:val="00955BCE"/>
    <w:rsid w:val="009603A2"/>
    <w:rsid w:val="00962301"/>
    <w:rsid w:val="00970CA2"/>
    <w:rsid w:val="00970EDF"/>
    <w:rsid w:val="00972F05"/>
    <w:rsid w:val="00975F1B"/>
    <w:rsid w:val="0097705F"/>
    <w:rsid w:val="009773EE"/>
    <w:rsid w:val="009813C5"/>
    <w:rsid w:val="009907CD"/>
    <w:rsid w:val="0099092D"/>
    <w:rsid w:val="009927A8"/>
    <w:rsid w:val="00992E03"/>
    <w:rsid w:val="00993EF1"/>
    <w:rsid w:val="00995BAC"/>
    <w:rsid w:val="009A229C"/>
    <w:rsid w:val="009A7FCE"/>
    <w:rsid w:val="009B06DD"/>
    <w:rsid w:val="009B68EF"/>
    <w:rsid w:val="009B72F4"/>
    <w:rsid w:val="009C0D0F"/>
    <w:rsid w:val="009C2A17"/>
    <w:rsid w:val="009C643F"/>
    <w:rsid w:val="009C7B71"/>
    <w:rsid w:val="009D109B"/>
    <w:rsid w:val="009D30BC"/>
    <w:rsid w:val="009E15E2"/>
    <w:rsid w:val="009E23BF"/>
    <w:rsid w:val="009E478A"/>
    <w:rsid w:val="009E6E2B"/>
    <w:rsid w:val="009E7F8F"/>
    <w:rsid w:val="009F18D7"/>
    <w:rsid w:val="009F1E2B"/>
    <w:rsid w:val="009F5005"/>
    <w:rsid w:val="009F5F96"/>
    <w:rsid w:val="009F74D0"/>
    <w:rsid w:val="00A06BFF"/>
    <w:rsid w:val="00A129AE"/>
    <w:rsid w:val="00A12B84"/>
    <w:rsid w:val="00A13112"/>
    <w:rsid w:val="00A17FF7"/>
    <w:rsid w:val="00A20D09"/>
    <w:rsid w:val="00A21A0F"/>
    <w:rsid w:val="00A253E7"/>
    <w:rsid w:val="00A2764E"/>
    <w:rsid w:val="00A40505"/>
    <w:rsid w:val="00A409CF"/>
    <w:rsid w:val="00A42C03"/>
    <w:rsid w:val="00A45E77"/>
    <w:rsid w:val="00A47417"/>
    <w:rsid w:val="00A52FC3"/>
    <w:rsid w:val="00A539FF"/>
    <w:rsid w:val="00A60F48"/>
    <w:rsid w:val="00A64DFD"/>
    <w:rsid w:val="00A709E8"/>
    <w:rsid w:val="00A8420B"/>
    <w:rsid w:val="00A8502B"/>
    <w:rsid w:val="00A86226"/>
    <w:rsid w:val="00A86D9C"/>
    <w:rsid w:val="00A920FB"/>
    <w:rsid w:val="00A9462E"/>
    <w:rsid w:val="00A96F68"/>
    <w:rsid w:val="00A97C36"/>
    <w:rsid w:val="00AA6478"/>
    <w:rsid w:val="00AB4EFD"/>
    <w:rsid w:val="00AB6E49"/>
    <w:rsid w:val="00AB7298"/>
    <w:rsid w:val="00AB76F5"/>
    <w:rsid w:val="00AC0E55"/>
    <w:rsid w:val="00AC1EBB"/>
    <w:rsid w:val="00AC29C3"/>
    <w:rsid w:val="00AC3DA6"/>
    <w:rsid w:val="00AD28E3"/>
    <w:rsid w:val="00AE57A4"/>
    <w:rsid w:val="00AE77AE"/>
    <w:rsid w:val="00AF291D"/>
    <w:rsid w:val="00AF51A0"/>
    <w:rsid w:val="00AF5D67"/>
    <w:rsid w:val="00B00765"/>
    <w:rsid w:val="00B0211B"/>
    <w:rsid w:val="00B0252F"/>
    <w:rsid w:val="00B02858"/>
    <w:rsid w:val="00B10539"/>
    <w:rsid w:val="00B10F2E"/>
    <w:rsid w:val="00B11D20"/>
    <w:rsid w:val="00B11D74"/>
    <w:rsid w:val="00B14DCE"/>
    <w:rsid w:val="00B15276"/>
    <w:rsid w:val="00B17303"/>
    <w:rsid w:val="00B26A2D"/>
    <w:rsid w:val="00B348B0"/>
    <w:rsid w:val="00B435C2"/>
    <w:rsid w:val="00B46027"/>
    <w:rsid w:val="00B46448"/>
    <w:rsid w:val="00B46917"/>
    <w:rsid w:val="00B50803"/>
    <w:rsid w:val="00B57CEE"/>
    <w:rsid w:val="00B622BC"/>
    <w:rsid w:val="00B62425"/>
    <w:rsid w:val="00B67B8C"/>
    <w:rsid w:val="00B7734D"/>
    <w:rsid w:val="00B80672"/>
    <w:rsid w:val="00B8086C"/>
    <w:rsid w:val="00B809D3"/>
    <w:rsid w:val="00B80A40"/>
    <w:rsid w:val="00B84353"/>
    <w:rsid w:val="00B87097"/>
    <w:rsid w:val="00B90B28"/>
    <w:rsid w:val="00B92053"/>
    <w:rsid w:val="00BA5D3E"/>
    <w:rsid w:val="00BB4305"/>
    <w:rsid w:val="00BB4CC8"/>
    <w:rsid w:val="00BB5F43"/>
    <w:rsid w:val="00BC097C"/>
    <w:rsid w:val="00BC4F13"/>
    <w:rsid w:val="00BD0BD6"/>
    <w:rsid w:val="00BD2EF8"/>
    <w:rsid w:val="00BD4D56"/>
    <w:rsid w:val="00BD762D"/>
    <w:rsid w:val="00BF00CF"/>
    <w:rsid w:val="00BF07B1"/>
    <w:rsid w:val="00BF0DC4"/>
    <w:rsid w:val="00BF1E18"/>
    <w:rsid w:val="00BF336E"/>
    <w:rsid w:val="00BF4B52"/>
    <w:rsid w:val="00BF5E12"/>
    <w:rsid w:val="00C02565"/>
    <w:rsid w:val="00C02A35"/>
    <w:rsid w:val="00C05DB6"/>
    <w:rsid w:val="00C06000"/>
    <w:rsid w:val="00C06CDF"/>
    <w:rsid w:val="00C07D18"/>
    <w:rsid w:val="00C103A9"/>
    <w:rsid w:val="00C14970"/>
    <w:rsid w:val="00C173E2"/>
    <w:rsid w:val="00C210C3"/>
    <w:rsid w:val="00C23E02"/>
    <w:rsid w:val="00C26855"/>
    <w:rsid w:val="00C26ED7"/>
    <w:rsid w:val="00C343BF"/>
    <w:rsid w:val="00C34DBC"/>
    <w:rsid w:val="00C3754A"/>
    <w:rsid w:val="00C443AF"/>
    <w:rsid w:val="00C51144"/>
    <w:rsid w:val="00C54C7F"/>
    <w:rsid w:val="00C55365"/>
    <w:rsid w:val="00C56B06"/>
    <w:rsid w:val="00C65E58"/>
    <w:rsid w:val="00C724D2"/>
    <w:rsid w:val="00C72BFA"/>
    <w:rsid w:val="00C7692E"/>
    <w:rsid w:val="00C76C3D"/>
    <w:rsid w:val="00C77D60"/>
    <w:rsid w:val="00C80CEE"/>
    <w:rsid w:val="00C86395"/>
    <w:rsid w:val="00C87AA9"/>
    <w:rsid w:val="00C92D07"/>
    <w:rsid w:val="00C9499A"/>
    <w:rsid w:val="00C96187"/>
    <w:rsid w:val="00C96700"/>
    <w:rsid w:val="00CA0D0B"/>
    <w:rsid w:val="00CA4014"/>
    <w:rsid w:val="00CA425B"/>
    <w:rsid w:val="00CA4B10"/>
    <w:rsid w:val="00CB05B1"/>
    <w:rsid w:val="00CB0F26"/>
    <w:rsid w:val="00CB3AE2"/>
    <w:rsid w:val="00CB3FBB"/>
    <w:rsid w:val="00CB5906"/>
    <w:rsid w:val="00CB65F1"/>
    <w:rsid w:val="00CC2CF7"/>
    <w:rsid w:val="00CC59ED"/>
    <w:rsid w:val="00CD00F0"/>
    <w:rsid w:val="00CD2A1C"/>
    <w:rsid w:val="00CD2EFD"/>
    <w:rsid w:val="00CD4BC4"/>
    <w:rsid w:val="00CD75D2"/>
    <w:rsid w:val="00CD77BC"/>
    <w:rsid w:val="00CE1B9F"/>
    <w:rsid w:val="00CE6F80"/>
    <w:rsid w:val="00CF18AB"/>
    <w:rsid w:val="00D00632"/>
    <w:rsid w:val="00D01F37"/>
    <w:rsid w:val="00D03A26"/>
    <w:rsid w:val="00D05D59"/>
    <w:rsid w:val="00D17D39"/>
    <w:rsid w:val="00D17D8F"/>
    <w:rsid w:val="00D22031"/>
    <w:rsid w:val="00D303D6"/>
    <w:rsid w:val="00D32687"/>
    <w:rsid w:val="00D3314A"/>
    <w:rsid w:val="00D362A2"/>
    <w:rsid w:val="00D37B27"/>
    <w:rsid w:val="00D424D2"/>
    <w:rsid w:val="00D51791"/>
    <w:rsid w:val="00D5468E"/>
    <w:rsid w:val="00D61701"/>
    <w:rsid w:val="00D63A7D"/>
    <w:rsid w:val="00D641AC"/>
    <w:rsid w:val="00D64BC8"/>
    <w:rsid w:val="00D65268"/>
    <w:rsid w:val="00D70C1C"/>
    <w:rsid w:val="00D710A9"/>
    <w:rsid w:val="00D715E9"/>
    <w:rsid w:val="00D73A55"/>
    <w:rsid w:val="00D74667"/>
    <w:rsid w:val="00D75A2B"/>
    <w:rsid w:val="00D8474E"/>
    <w:rsid w:val="00D86814"/>
    <w:rsid w:val="00D8701B"/>
    <w:rsid w:val="00D93AE3"/>
    <w:rsid w:val="00D94FA0"/>
    <w:rsid w:val="00DA1A84"/>
    <w:rsid w:val="00DA2EAA"/>
    <w:rsid w:val="00DA6A86"/>
    <w:rsid w:val="00DB2F91"/>
    <w:rsid w:val="00DB406B"/>
    <w:rsid w:val="00DB531C"/>
    <w:rsid w:val="00DC32EB"/>
    <w:rsid w:val="00DC42B7"/>
    <w:rsid w:val="00DC4589"/>
    <w:rsid w:val="00DC4734"/>
    <w:rsid w:val="00DC4E25"/>
    <w:rsid w:val="00DC6C1E"/>
    <w:rsid w:val="00DD4383"/>
    <w:rsid w:val="00DD78FE"/>
    <w:rsid w:val="00DE04BB"/>
    <w:rsid w:val="00DE3506"/>
    <w:rsid w:val="00DE746A"/>
    <w:rsid w:val="00DF349B"/>
    <w:rsid w:val="00DF42A7"/>
    <w:rsid w:val="00DF44C2"/>
    <w:rsid w:val="00DF4A3F"/>
    <w:rsid w:val="00DF54E7"/>
    <w:rsid w:val="00DF614F"/>
    <w:rsid w:val="00E02404"/>
    <w:rsid w:val="00E046A3"/>
    <w:rsid w:val="00E07FAA"/>
    <w:rsid w:val="00E128DB"/>
    <w:rsid w:val="00E12E0B"/>
    <w:rsid w:val="00E14E68"/>
    <w:rsid w:val="00E16926"/>
    <w:rsid w:val="00E21239"/>
    <w:rsid w:val="00E228C8"/>
    <w:rsid w:val="00E363C5"/>
    <w:rsid w:val="00E36DE8"/>
    <w:rsid w:val="00E40153"/>
    <w:rsid w:val="00E41DF4"/>
    <w:rsid w:val="00E44A3B"/>
    <w:rsid w:val="00E450FF"/>
    <w:rsid w:val="00E47A93"/>
    <w:rsid w:val="00E51DCC"/>
    <w:rsid w:val="00E575D4"/>
    <w:rsid w:val="00E602CC"/>
    <w:rsid w:val="00E60BCF"/>
    <w:rsid w:val="00E63199"/>
    <w:rsid w:val="00E631BB"/>
    <w:rsid w:val="00E66FC2"/>
    <w:rsid w:val="00E701AC"/>
    <w:rsid w:val="00E71B6C"/>
    <w:rsid w:val="00E71F47"/>
    <w:rsid w:val="00E7552C"/>
    <w:rsid w:val="00E75EDC"/>
    <w:rsid w:val="00E76F19"/>
    <w:rsid w:val="00E77DF7"/>
    <w:rsid w:val="00E802FE"/>
    <w:rsid w:val="00E823D3"/>
    <w:rsid w:val="00E828F0"/>
    <w:rsid w:val="00E82DB5"/>
    <w:rsid w:val="00E8450A"/>
    <w:rsid w:val="00E857F1"/>
    <w:rsid w:val="00E93DBE"/>
    <w:rsid w:val="00E9584F"/>
    <w:rsid w:val="00EA2FA7"/>
    <w:rsid w:val="00EA389B"/>
    <w:rsid w:val="00EB1B1D"/>
    <w:rsid w:val="00EB5BC7"/>
    <w:rsid w:val="00EB6CB3"/>
    <w:rsid w:val="00EC0B90"/>
    <w:rsid w:val="00EC103C"/>
    <w:rsid w:val="00EC79B0"/>
    <w:rsid w:val="00ED1C3A"/>
    <w:rsid w:val="00ED2D18"/>
    <w:rsid w:val="00ED4D5F"/>
    <w:rsid w:val="00ED67B7"/>
    <w:rsid w:val="00EE1079"/>
    <w:rsid w:val="00EE1D6B"/>
    <w:rsid w:val="00EE642E"/>
    <w:rsid w:val="00EE677E"/>
    <w:rsid w:val="00EE77E0"/>
    <w:rsid w:val="00EF0BD7"/>
    <w:rsid w:val="00EF778F"/>
    <w:rsid w:val="00EF7999"/>
    <w:rsid w:val="00F006DA"/>
    <w:rsid w:val="00F020DF"/>
    <w:rsid w:val="00F03BFD"/>
    <w:rsid w:val="00F118D3"/>
    <w:rsid w:val="00F1242C"/>
    <w:rsid w:val="00F128C3"/>
    <w:rsid w:val="00F1711D"/>
    <w:rsid w:val="00F223F4"/>
    <w:rsid w:val="00F23EAF"/>
    <w:rsid w:val="00F25C3E"/>
    <w:rsid w:val="00F269BB"/>
    <w:rsid w:val="00F317F9"/>
    <w:rsid w:val="00F33A4A"/>
    <w:rsid w:val="00F353AE"/>
    <w:rsid w:val="00F36D46"/>
    <w:rsid w:val="00F43DC9"/>
    <w:rsid w:val="00F441EF"/>
    <w:rsid w:val="00F443E2"/>
    <w:rsid w:val="00F52595"/>
    <w:rsid w:val="00F530EE"/>
    <w:rsid w:val="00F54B30"/>
    <w:rsid w:val="00F57324"/>
    <w:rsid w:val="00F64A4F"/>
    <w:rsid w:val="00F67027"/>
    <w:rsid w:val="00F71933"/>
    <w:rsid w:val="00F74DE7"/>
    <w:rsid w:val="00F7512D"/>
    <w:rsid w:val="00F7795B"/>
    <w:rsid w:val="00F803D9"/>
    <w:rsid w:val="00F823B0"/>
    <w:rsid w:val="00F82D1B"/>
    <w:rsid w:val="00F85483"/>
    <w:rsid w:val="00F950E6"/>
    <w:rsid w:val="00F960F5"/>
    <w:rsid w:val="00F97939"/>
    <w:rsid w:val="00FA0ED7"/>
    <w:rsid w:val="00FA3210"/>
    <w:rsid w:val="00FA62A2"/>
    <w:rsid w:val="00FA7412"/>
    <w:rsid w:val="00FB0F59"/>
    <w:rsid w:val="00FB3BF9"/>
    <w:rsid w:val="00FB55B6"/>
    <w:rsid w:val="00FB56B2"/>
    <w:rsid w:val="00FB5B7E"/>
    <w:rsid w:val="00FB709E"/>
    <w:rsid w:val="00FC57AE"/>
    <w:rsid w:val="00FC6C27"/>
    <w:rsid w:val="00FE3585"/>
    <w:rsid w:val="00FF16A1"/>
    <w:rsid w:val="00FF330A"/>
    <w:rsid w:val="00FF3CAD"/>
    <w:rsid w:val="00FF483D"/>
    <w:rsid w:val="00FF49A5"/>
    <w:rsid w:val="00FF6B2B"/>
    <w:rsid w:val="00FF6CAF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034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677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589830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http://www.scc-csc.gc.ca/case-dossier/info/sum-som-eng.aspx?cas=36064</vt:lpwstr>
      </vt:variant>
      <vt:variant>
        <vt:lpwstr/>
      </vt:variant>
      <vt:variant>
        <vt:i4>720911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http://www.scc-csc.gc.ca/case-dossier/info/sum-som-eng.aspx?cas=35977</vt:lpwstr>
      </vt:variant>
      <vt:variant>
        <vt:lpwstr/>
      </vt:variant>
      <vt:variant>
        <vt:i4>720898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http://www.scc-csc.gc.ca/case-dossier/info/sum-som-eng.aspx?cas=35475</vt:lpwstr>
      </vt:variant>
      <vt:variant>
        <vt:lpwstr/>
      </vt:variant>
      <vt:variant>
        <vt:i4>2424895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http://scc-csc.lexum.com/scc-csc/news/fr/item/4916/index.do</vt:lpwstr>
      </vt:variant>
      <vt:variant>
        <vt:lpwstr/>
      </vt:variant>
      <vt:variant>
        <vt:i4>3735612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http://scc-csc.lexum.com/scc-csc/news/en/item/4916/index.do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2017-06-29T18:42:00Z</dcterms:created>
  <dcterms:modified xsi:type="dcterms:W3CDTF">2017-06-29T18:44:00Z</dcterms:modified>
</cp:coreProperties>
</file>