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91EDD" w:rsidRDefault="003F43E6" w:rsidP="00122CE1">
      <w:pPr>
        <w:pStyle w:val="Header"/>
        <w:tabs>
          <w:tab w:val="left" w:pos="1620"/>
          <w:tab w:val="left" w:pos="1710"/>
        </w:tabs>
        <w:jc w:val="center"/>
        <w:rPr>
          <w:b/>
          <w:sz w:val="32"/>
        </w:rPr>
      </w:pPr>
      <w:r w:rsidRPr="00B91EDD">
        <w:rPr>
          <w:b/>
          <w:sz w:val="32"/>
        </w:rPr>
        <w:t>Supreme Court of Canada / Cour suprême du Canada</w:t>
      </w:r>
    </w:p>
    <w:p w:rsidR="003F43E6" w:rsidRPr="00B91EDD" w:rsidRDefault="003F43E6" w:rsidP="006F2579">
      <w:pPr>
        <w:widowControl w:val="0"/>
        <w:rPr>
          <w:i/>
        </w:rPr>
      </w:pPr>
    </w:p>
    <w:p w:rsidR="006F2579" w:rsidRPr="00B91EDD" w:rsidRDefault="006F2579" w:rsidP="006F2579">
      <w:pPr>
        <w:widowControl w:val="0"/>
        <w:rPr>
          <w:i/>
        </w:rPr>
      </w:pPr>
      <w:r w:rsidRPr="00B91EDD">
        <w:rPr>
          <w:i/>
        </w:rPr>
        <w:t>(le français suit)</w:t>
      </w:r>
    </w:p>
    <w:p w:rsidR="006F2579" w:rsidRPr="00B91EDD" w:rsidRDefault="006F2579" w:rsidP="006F2579">
      <w:pPr>
        <w:widowControl w:val="0"/>
      </w:pPr>
    </w:p>
    <w:p w:rsidR="006F2579" w:rsidRPr="00B91EDD" w:rsidRDefault="00B07908" w:rsidP="006F2579">
      <w:pPr>
        <w:widowControl w:val="0"/>
        <w:jc w:val="center"/>
        <w:rPr>
          <w:b/>
        </w:rPr>
      </w:pPr>
      <w:r w:rsidRPr="00B91EDD">
        <w:fldChar w:fldCharType="begin"/>
      </w:r>
      <w:r w:rsidR="006F2579" w:rsidRPr="00B91EDD">
        <w:instrText xml:space="preserve"> SEQ CHAPTER \h \r 1</w:instrText>
      </w:r>
      <w:r w:rsidRPr="00B91EDD">
        <w:fldChar w:fldCharType="end"/>
      </w:r>
      <w:r w:rsidR="006F2579" w:rsidRPr="00B91EDD">
        <w:rPr>
          <w:b/>
        </w:rPr>
        <w:t>JUDGMENT</w:t>
      </w:r>
      <w:r w:rsidR="00B17AAC" w:rsidRPr="00B91EDD">
        <w:rPr>
          <w:b/>
        </w:rPr>
        <w:t>S</w:t>
      </w:r>
      <w:r w:rsidR="006F2579" w:rsidRPr="00B91EDD">
        <w:rPr>
          <w:b/>
        </w:rPr>
        <w:t xml:space="preserve"> TO B</w:t>
      </w:r>
      <w:r w:rsidR="00001846" w:rsidRPr="00B91EDD">
        <w:rPr>
          <w:b/>
        </w:rPr>
        <w:t>E RENDERED IN LEAVE APPLICATION</w:t>
      </w:r>
      <w:r w:rsidR="00AE4C09" w:rsidRPr="00B91EDD">
        <w:rPr>
          <w:b/>
        </w:rPr>
        <w:t>S</w:t>
      </w:r>
    </w:p>
    <w:p w:rsidR="006F2579" w:rsidRPr="00B91EDD" w:rsidRDefault="006F2579" w:rsidP="006F2579">
      <w:pPr>
        <w:widowControl w:val="0"/>
      </w:pPr>
    </w:p>
    <w:p w:rsidR="006F2579" w:rsidRPr="00B91EDD" w:rsidRDefault="00A93498" w:rsidP="006F2579">
      <w:pPr>
        <w:widowControl w:val="0"/>
        <w:rPr>
          <w:b/>
        </w:rPr>
      </w:pPr>
      <w:r w:rsidRPr="00B91EDD">
        <w:rPr>
          <w:b/>
        </w:rPr>
        <w:t>Ju</w:t>
      </w:r>
      <w:r w:rsidR="00252675" w:rsidRPr="00B91EDD">
        <w:rPr>
          <w:b/>
        </w:rPr>
        <w:t>ly</w:t>
      </w:r>
      <w:r w:rsidR="00FD37D0" w:rsidRPr="00B91EDD">
        <w:rPr>
          <w:b/>
        </w:rPr>
        <w:t xml:space="preserve"> </w:t>
      </w:r>
      <w:r w:rsidR="00EC2282" w:rsidRPr="00B91EDD">
        <w:rPr>
          <w:b/>
        </w:rPr>
        <w:t>10</w:t>
      </w:r>
      <w:r w:rsidR="00AB5538" w:rsidRPr="00B91EDD">
        <w:rPr>
          <w:b/>
        </w:rPr>
        <w:t>,</w:t>
      </w:r>
      <w:r w:rsidR="006F2579" w:rsidRPr="00B91EDD">
        <w:rPr>
          <w:b/>
        </w:rPr>
        <w:t xml:space="preserve"> </w:t>
      </w:r>
      <w:r w:rsidR="0054689F" w:rsidRPr="00B91EDD">
        <w:rPr>
          <w:b/>
        </w:rPr>
        <w:t>201</w:t>
      </w:r>
      <w:r w:rsidR="00A151D1" w:rsidRPr="00B91EDD">
        <w:rPr>
          <w:b/>
        </w:rPr>
        <w:t>7</w:t>
      </w:r>
    </w:p>
    <w:p w:rsidR="006F2579" w:rsidRPr="00B91EDD" w:rsidRDefault="006F2579" w:rsidP="006F2579">
      <w:pPr>
        <w:widowControl w:val="0"/>
        <w:rPr>
          <w:b/>
        </w:rPr>
      </w:pPr>
      <w:r w:rsidRPr="00B91EDD">
        <w:rPr>
          <w:b/>
        </w:rPr>
        <w:t>For immediate releas</w:t>
      </w:r>
      <w:r w:rsidR="00B84B44" w:rsidRPr="00B91EDD">
        <w:rPr>
          <w:b/>
        </w:rPr>
        <w:t>e</w:t>
      </w:r>
    </w:p>
    <w:p w:rsidR="006F2579" w:rsidRPr="00B91EDD" w:rsidRDefault="006F2579" w:rsidP="006F2579">
      <w:pPr>
        <w:widowControl w:val="0"/>
      </w:pPr>
    </w:p>
    <w:p w:rsidR="006F2579" w:rsidRPr="00B91EDD" w:rsidRDefault="006F2579" w:rsidP="006F2579">
      <w:pPr>
        <w:widowControl w:val="0"/>
        <w:rPr>
          <w:lang w:val="fr-CA"/>
        </w:rPr>
      </w:pPr>
      <w:r w:rsidRPr="00B91EDD">
        <w:rPr>
          <w:b/>
        </w:rPr>
        <w:t>OTTAWA</w:t>
      </w:r>
      <w:r w:rsidRPr="00B91EDD">
        <w:t xml:space="preserve"> – The Supreme Court of Canad</w:t>
      </w:r>
      <w:r w:rsidR="006246E4" w:rsidRPr="00B91EDD">
        <w:t>a</w:t>
      </w:r>
      <w:r w:rsidRPr="00B91EDD">
        <w:t xml:space="preserve"> announced today that judgment in the following application</w:t>
      </w:r>
      <w:r w:rsidR="008600ED" w:rsidRPr="00B91EDD">
        <w:t>s</w:t>
      </w:r>
      <w:r w:rsidRPr="00B91EDD">
        <w:t xml:space="preserve"> for leave to appeal will be delivered at 9:45 a.m. E</w:t>
      </w:r>
      <w:r w:rsidR="009F6DB9" w:rsidRPr="00B91EDD">
        <w:t>D</w:t>
      </w:r>
      <w:r w:rsidRPr="00B91EDD">
        <w:t xml:space="preserve">T on Thursday, </w:t>
      </w:r>
      <w:r w:rsidR="00F86648" w:rsidRPr="00B91EDD">
        <w:t>Ju</w:t>
      </w:r>
      <w:r w:rsidR="00252675" w:rsidRPr="00B91EDD">
        <w:t>ly</w:t>
      </w:r>
      <w:r w:rsidR="00D72AD0" w:rsidRPr="00B91EDD">
        <w:t xml:space="preserve"> </w:t>
      </w:r>
      <w:r w:rsidR="00EC2282" w:rsidRPr="00B91EDD">
        <w:t>13</w:t>
      </w:r>
      <w:r w:rsidR="007E112F" w:rsidRPr="00B91EDD">
        <w:t>,</w:t>
      </w:r>
      <w:r w:rsidR="002F38D7" w:rsidRPr="00B91EDD">
        <w:t xml:space="preserve"> </w:t>
      </w:r>
      <w:r w:rsidR="006648D1" w:rsidRPr="00B91EDD">
        <w:t>201</w:t>
      </w:r>
      <w:r w:rsidR="00A151D1" w:rsidRPr="00B91EDD">
        <w:t>7</w:t>
      </w:r>
      <w:r w:rsidRPr="00B91EDD">
        <w:t xml:space="preserve">. </w:t>
      </w:r>
      <w:r w:rsidRPr="00B91EDD">
        <w:rPr>
          <w:lang w:val="fr-CA"/>
        </w:rPr>
        <w:t>This list is subject to chang</w:t>
      </w:r>
      <w:r w:rsidR="00192F7F" w:rsidRPr="00B91EDD">
        <w:rPr>
          <w:lang w:val="fr-CA"/>
        </w:rPr>
        <w:t>e</w:t>
      </w:r>
      <w:r w:rsidRPr="00B91EDD">
        <w:rPr>
          <w:lang w:val="fr-CA"/>
        </w:rPr>
        <w:t>.</w:t>
      </w:r>
    </w:p>
    <w:p w:rsidR="00FF5AA4" w:rsidRPr="00B91EDD" w:rsidRDefault="00FF5AA4" w:rsidP="006F2579">
      <w:pPr>
        <w:widowControl w:val="0"/>
        <w:rPr>
          <w:lang w:val="fr-CA"/>
        </w:rPr>
      </w:pPr>
    </w:p>
    <w:p w:rsidR="00B43418" w:rsidRPr="00B91EDD" w:rsidRDefault="00B43418" w:rsidP="006F2579">
      <w:pPr>
        <w:widowControl w:val="0"/>
        <w:rPr>
          <w:lang w:val="fr-CA"/>
        </w:rPr>
      </w:pPr>
    </w:p>
    <w:p w:rsidR="006F2579" w:rsidRPr="00B91EDD" w:rsidRDefault="006F2579" w:rsidP="006F2579">
      <w:pPr>
        <w:widowControl w:val="0"/>
        <w:jc w:val="center"/>
        <w:rPr>
          <w:lang w:val="fr-CA"/>
        </w:rPr>
      </w:pPr>
      <w:r w:rsidRPr="00B91EDD">
        <w:rPr>
          <w:b/>
          <w:lang w:val="fr-CA"/>
        </w:rPr>
        <w:t>PROCHAIN</w:t>
      </w:r>
      <w:r w:rsidR="00B17AAC" w:rsidRPr="00B91EDD">
        <w:rPr>
          <w:b/>
          <w:lang w:val="fr-CA"/>
        </w:rPr>
        <w:t>S</w:t>
      </w:r>
      <w:r w:rsidRPr="00B91EDD">
        <w:rPr>
          <w:b/>
          <w:lang w:val="fr-CA"/>
        </w:rPr>
        <w:t xml:space="preserve"> JUGEMENT</w:t>
      </w:r>
      <w:r w:rsidR="00B17AAC" w:rsidRPr="00B91EDD">
        <w:rPr>
          <w:b/>
          <w:lang w:val="fr-CA"/>
        </w:rPr>
        <w:t>S</w:t>
      </w:r>
      <w:r w:rsidR="00001846" w:rsidRPr="00B91EDD">
        <w:rPr>
          <w:b/>
          <w:lang w:val="fr-CA"/>
        </w:rPr>
        <w:t xml:space="preserve"> SUR DEMANDE</w:t>
      </w:r>
      <w:r w:rsidR="00B17AAC" w:rsidRPr="00B91EDD">
        <w:rPr>
          <w:b/>
          <w:lang w:val="fr-CA"/>
        </w:rPr>
        <w:t>S</w:t>
      </w:r>
      <w:r w:rsidRPr="00B91EDD">
        <w:rPr>
          <w:b/>
          <w:lang w:val="fr-CA"/>
        </w:rPr>
        <w:t xml:space="preserve"> D’AUTORISATION</w:t>
      </w:r>
    </w:p>
    <w:p w:rsidR="006F2579" w:rsidRPr="00B91EDD" w:rsidRDefault="006F2579" w:rsidP="006F2579">
      <w:pPr>
        <w:widowControl w:val="0"/>
        <w:rPr>
          <w:lang w:val="fr-CA"/>
        </w:rPr>
      </w:pPr>
    </w:p>
    <w:p w:rsidR="006F2579" w:rsidRPr="00B91EDD" w:rsidRDefault="006F2579" w:rsidP="006F2579">
      <w:pPr>
        <w:widowControl w:val="0"/>
        <w:rPr>
          <w:b/>
          <w:lang w:val="fr-CA"/>
        </w:rPr>
      </w:pPr>
      <w:r w:rsidRPr="00B91EDD">
        <w:rPr>
          <w:b/>
          <w:lang w:val="fr-CA"/>
        </w:rPr>
        <w:t>Le</w:t>
      </w:r>
      <w:r w:rsidR="00957A76" w:rsidRPr="00B91EDD">
        <w:rPr>
          <w:b/>
          <w:lang w:val="fr-CA"/>
        </w:rPr>
        <w:t xml:space="preserve"> </w:t>
      </w:r>
      <w:r w:rsidR="00EC2282" w:rsidRPr="00B91EDD">
        <w:rPr>
          <w:b/>
          <w:lang w:val="fr-CA"/>
        </w:rPr>
        <w:t>10</w:t>
      </w:r>
      <w:r w:rsidR="00FD37D0" w:rsidRPr="00B91EDD">
        <w:rPr>
          <w:b/>
          <w:lang w:val="fr-CA"/>
        </w:rPr>
        <w:t xml:space="preserve"> </w:t>
      </w:r>
      <w:r w:rsidR="00A93498" w:rsidRPr="00B91EDD">
        <w:rPr>
          <w:b/>
          <w:lang w:val="fr-CA"/>
        </w:rPr>
        <w:t>jui</w:t>
      </w:r>
      <w:r w:rsidR="00252675" w:rsidRPr="00B91EDD">
        <w:rPr>
          <w:b/>
          <w:lang w:val="fr-CA"/>
        </w:rPr>
        <w:t>l</w:t>
      </w:r>
      <w:r w:rsidR="00311663" w:rsidRPr="00B91EDD">
        <w:rPr>
          <w:b/>
          <w:lang w:val="fr-CA"/>
        </w:rPr>
        <w:t>l</w:t>
      </w:r>
      <w:r w:rsidR="00252675" w:rsidRPr="00B91EDD">
        <w:rPr>
          <w:b/>
          <w:lang w:val="fr-CA"/>
        </w:rPr>
        <w:t>et</w:t>
      </w:r>
      <w:r w:rsidR="00A151D1" w:rsidRPr="00B91EDD">
        <w:rPr>
          <w:b/>
          <w:lang w:val="fr-CA"/>
        </w:rPr>
        <w:t xml:space="preserve"> 2017</w:t>
      </w:r>
    </w:p>
    <w:p w:rsidR="006F2579" w:rsidRPr="00B91EDD" w:rsidRDefault="006F2579" w:rsidP="006F2579">
      <w:pPr>
        <w:widowControl w:val="0"/>
        <w:rPr>
          <w:b/>
          <w:lang w:val="fr-CA"/>
        </w:rPr>
      </w:pPr>
      <w:r w:rsidRPr="00B91EDD">
        <w:rPr>
          <w:b/>
          <w:lang w:val="fr-CA"/>
        </w:rPr>
        <w:t>Pour diffusion immédiate</w:t>
      </w:r>
    </w:p>
    <w:p w:rsidR="006F2579" w:rsidRPr="00B91EDD" w:rsidRDefault="006F2579" w:rsidP="006F2579">
      <w:pPr>
        <w:widowControl w:val="0"/>
        <w:rPr>
          <w:b/>
          <w:lang w:val="fr-CA"/>
        </w:rPr>
      </w:pPr>
    </w:p>
    <w:p w:rsidR="006F2579" w:rsidRPr="00B91EDD" w:rsidRDefault="006F2579" w:rsidP="006F2579">
      <w:pPr>
        <w:widowControl w:val="0"/>
        <w:rPr>
          <w:lang w:val="fr-CA"/>
        </w:rPr>
      </w:pPr>
      <w:r w:rsidRPr="00B91EDD">
        <w:rPr>
          <w:b/>
          <w:lang w:val="fr-CA"/>
        </w:rPr>
        <w:t>OTTAWA</w:t>
      </w:r>
      <w:r w:rsidRPr="00B91EDD">
        <w:rPr>
          <w:lang w:val="fr-CA"/>
        </w:rPr>
        <w:t xml:space="preserve"> – La Cour suprême du Canada annonce que jugement ser</w:t>
      </w:r>
      <w:r w:rsidR="004259F9" w:rsidRPr="00B91EDD">
        <w:rPr>
          <w:lang w:val="fr-CA"/>
        </w:rPr>
        <w:t>a</w:t>
      </w:r>
      <w:r w:rsidRPr="00B91EDD">
        <w:rPr>
          <w:lang w:val="fr-CA"/>
        </w:rPr>
        <w:t xml:space="preserve"> rendu dans l</w:t>
      </w:r>
      <w:r w:rsidR="008600ED" w:rsidRPr="00B91EDD">
        <w:rPr>
          <w:lang w:val="fr-CA"/>
        </w:rPr>
        <w:t>es</w:t>
      </w:r>
      <w:r w:rsidRPr="00B91EDD">
        <w:rPr>
          <w:lang w:val="fr-CA"/>
        </w:rPr>
        <w:t xml:space="preserve"> demande</w:t>
      </w:r>
      <w:r w:rsidR="008600ED" w:rsidRPr="00B91EDD">
        <w:rPr>
          <w:lang w:val="fr-CA"/>
        </w:rPr>
        <w:t>s</w:t>
      </w:r>
      <w:r w:rsidRPr="00B91EDD">
        <w:rPr>
          <w:lang w:val="fr-CA"/>
        </w:rPr>
        <w:t xml:space="preserve"> d</w:t>
      </w:r>
      <w:r w:rsidR="00001846" w:rsidRPr="00B91EDD">
        <w:rPr>
          <w:lang w:val="fr-CA"/>
        </w:rPr>
        <w:t>’autorisation d’appel suivante</w:t>
      </w:r>
      <w:r w:rsidR="008600ED" w:rsidRPr="00B91EDD">
        <w:rPr>
          <w:lang w:val="fr-CA"/>
        </w:rPr>
        <w:t>s</w:t>
      </w:r>
      <w:r w:rsidRPr="00B91EDD">
        <w:rPr>
          <w:lang w:val="fr-CA"/>
        </w:rPr>
        <w:t xml:space="preserve"> le jeudi </w:t>
      </w:r>
      <w:r w:rsidR="00EC2282" w:rsidRPr="00B91EDD">
        <w:rPr>
          <w:lang w:val="fr-CA"/>
        </w:rPr>
        <w:t>13</w:t>
      </w:r>
      <w:r w:rsidR="00D72AD0" w:rsidRPr="00B91EDD">
        <w:rPr>
          <w:lang w:val="fr-CA"/>
        </w:rPr>
        <w:t xml:space="preserve"> </w:t>
      </w:r>
      <w:r w:rsidR="00F86648" w:rsidRPr="00B91EDD">
        <w:rPr>
          <w:lang w:val="fr-CA"/>
        </w:rPr>
        <w:t>jui</w:t>
      </w:r>
      <w:r w:rsidR="00252675" w:rsidRPr="00B91EDD">
        <w:rPr>
          <w:lang w:val="fr-CA"/>
        </w:rPr>
        <w:t>llet</w:t>
      </w:r>
      <w:r w:rsidR="00674329" w:rsidRPr="00B91EDD">
        <w:rPr>
          <w:lang w:val="fr-CA"/>
        </w:rPr>
        <w:t xml:space="preserve"> </w:t>
      </w:r>
      <w:r w:rsidR="006648D1" w:rsidRPr="00B91EDD">
        <w:rPr>
          <w:lang w:val="fr-CA"/>
        </w:rPr>
        <w:t>201</w:t>
      </w:r>
      <w:r w:rsidR="00A151D1" w:rsidRPr="00B91EDD">
        <w:rPr>
          <w:lang w:val="fr-CA"/>
        </w:rPr>
        <w:t>7</w:t>
      </w:r>
      <w:r w:rsidRPr="00B91EDD">
        <w:rPr>
          <w:lang w:val="fr-CA"/>
        </w:rPr>
        <w:t xml:space="preserve">, à 9 h 45 </w:t>
      </w:r>
      <w:r w:rsidR="000627A2" w:rsidRPr="00B91EDD">
        <w:rPr>
          <w:lang w:val="fr-CA"/>
        </w:rPr>
        <w:t>H</w:t>
      </w:r>
      <w:r w:rsidR="009F6DB9" w:rsidRPr="00B91EDD">
        <w:rPr>
          <w:lang w:val="fr-CA"/>
        </w:rPr>
        <w:t>A</w:t>
      </w:r>
      <w:r w:rsidRPr="00B91EDD">
        <w:rPr>
          <w:lang w:val="fr-CA"/>
        </w:rPr>
        <w:t>E. Cette liste est sujette à modifications.</w:t>
      </w:r>
    </w:p>
    <w:p w:rsidR="0080556B" w:rsidRPr="00B91EDD" w:rsidRDefault="0080556B" w:rsidP="009B14F4">
      <w:pPr>
        <w:widowControl w:val="0"/>
        <w:jc w:val="both"/>
        <w:rPr>
          <w:sz w:val="20"/>
          <w:lang w:val="fr-CA"/>
        </w:rPr>
      </w:pPr>
    </w:p>
    <w:p w:rsidR="001838E0" w:rsidRPr="00B91EDD" w:rsidRDefault="003D353C" w:rsidP="009B14F4">
      <w:pPr>
        <w:widowControl w:val="0"/>
        <w:jc w:val="both"/>
        <w:rPr>
          <w:sz w:val="20"/>
          <w:lang w:val="fr-CA"/>
        </w:rPr>
      </w:pPr>
      <w:r w:rsidRPr="00B91ED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B91EDD" w:rsidRDefault="00AD4728" w:rsidP="009A4ECB">
      <w:pPr>
        <w:ind w:left="360" w:hanging="360"/>
        <w:rPr>
          <w:sz w:val="20"/>
          <w:lang w:val="fr-CA" w:eastAsia="en-CA"/>
        </w:rPr>
      </w:pPr>
    </w:p>
    <w:p w:rsidR="00EC2282" w:rsidRPr="00B91EDD" w:rsidRDefault="00EC2282" w:rsidP="00EC2282">
      <w:pPr>
        <w:pStyle w:val="ListParagraph"/>
        <w:numPr>
          <w:ilvl w:val="0"/>
          <w:numId w:val="50"/>
        </w:numPr>
        <w:ind w:left="360"/>
        <w:jc w:val="both"/>
        <w:rPr>
          <w:sz w:val="20"/>
          <w:lang w:val="en-CA"/>
        </w:rPr>
      </w:pPr>
      <w:r w:rsidRPr="00B91EDD">
        <w:rPr>
          <w:i/>
          <w:sz w:val="20"/>
          <w:lang w:val="en-CA"/>
        </w:rPr>
        <w:t>Her Majesty the Queen v. Dennis James Oland</w:t>
      </w:r>
      <w:r w:rsidRPr="00B91EDD">
        <w:rPr>
          <w:sz w:val="20"/>
          <w:lang w:val="en-CA"/>
        </w:rPr>
        <w:t xml:space="preserve"> (N.B.) (Criminal) (By Leave) </w:t>
      </w:r>
      <w:r w:rsidRPr="00B91EDD">
        <w:rPr>
          <w:sz w:val="20"/>
          <w:lang w:eastAsia="en-CA"/>
        </w:rPr>
        <w:t>(</w:t>
      </w:r>
      <w:hyperlink r:id="rId8" w:history="1">
        <w:r w:rsidRPr="00B91EDD">
          <w:rPr>
            <w:rStyle w:val="Hyperlink"/>
            <w:sz w:val="20"/>
            <w:lang w:eastAsia="en-CA"/>
          </w:rPr>
          <w:t>36986</w:t>
        </w:r>
      </w:hyperlink>
      <w:r w:rsidRPr="00B91EDD">
        <w:rPr>
          <w:sz w:val="20"/>
          <w:lang w:eastAsia="en-CA"/>
        </w:rPr>
        <w:t>)</w:t>
      </w:r>
    </w:p>
    <w:p w:rsidR="00EC2282" w:rsidRPr="00B91EDD" w:rsidRDefault="00EC2282" w:rsidP="00EC2282">
      <w:pPr>
        <w:ind w:left="360" w:hanging="360"/>
        <w:rPr>
          <w:sz w:val="20"/>
          <w:lang w:val="en-CA"/>
        </w:rPr>
      </w:pPr>
    </w:p>
    <w:p w:rsidR="00EC2282" w:rsidRPr="00B91EDD" w:rsidRDefault="00EC2282" w:rsidP="00EC2282">
      <w:pPr>
        <w:pStyle w:val="ListParagraph"/>
        <w:numPr>
          <w:ilvl w:val="0"/>
          <w:numId w:val="50"/>
        </w:numPr>
        <w:ind w:left="360"/>
        <w:jc w:val="both"/>
        <w:rPr>
          <w:sz w:val="20"/>
          <w:lang w:val="en-CA"/>
        </w:rPr>
      </w:pPr>
      <w:r w:rsidRPr="00B91EDD">
        <w:rPr>
          <w:i/>
          <w:sz w:val="20"/>
          <w:lang w:val="en-CA"/>
        </w:rPr>
        <w:t xml:space="preserve">Denis Saciragic v. Her Majesty the Queen </w:t>
      </w:r>
      <w:r w:rsidRPr="00B91EDD">
        <w:rPr>
          <w:sz w:val="20"/>
          <w:lang w:val="en-CA"/>
        </w:rPr>
        <w:t xml:space="preserve">(Ont.) (Criminal) (By Leave) </w:t>
      </w:r>
      <w:r w:rsidRPr="00B91EDD">
        <w:rPr>
          <w:sz w:val="20"/>
          <w:lang w:eastAsia="en-CA"/>
        </w:rPr>
        <w:t>(</w:t>
      </w:r>
      <w:hyperlink r:id="rId9" w:history="1">
        <w:r w:rsidRPr="00B91EDD">
          <w:rPr>
            <w:rStyle w:val="Hyperlink"/>
            <w:sz w:val="20"/>
            <w:lang w:eastAsia="en-CA"/>
          </w:rPr>
          <w:t>37505</w:t>
        </w:r>
      </w:hyperlink>
      <w:r w:rsidRPr="00B91EDD">
        <w:rPr>
          <w:sz w:val="20"/>
          <w:lang w:eastAsia="en-CA"/>
        </w:rPr>
        <w:t>)</w:t>
      </w:r>
    </w:p>
    <w:p w:rsidR="00EC2282" w:rsidRPr="00B91EDD" w:rsidRDefault="00EC2282" w:rsidP="00EC2282">
      <w:pPr>
        <w:ind w:left="360" w:hanging="360"/>
        <w:jc w:val="both"/>
        <w:rPr>
          <w:sz w:val="20"/>
          <w:lang w:val="en-CA"/>
        </w:rPr>
      </w:pPr>
    </w:p>
    <w:p w:rsidR="00EC2282" w:rsidRPr="00B91EDD" w:rsidRDefault="00EC2282" w:rsidP="00EC2282">
      <w:pPr>
        <w:pStyle w:val="ListParagraph"/>
        <w:numPr>
          <w:ilvl w:val="0"/>
          <w:numId w:val="50"/>
        </w:numPr>
        <w:ind w:left="360"/>
        <w:jc w:val="both"/>
        <w:rPr>
          <w:sz w:val="20"/>
          <w:lang w:val="en-CA"/>
        </w:rPr>
      </w:pPr>
      <w:r w:rsidRPr="00B91EDD">
        <w:rPr>
          <w:i/>
          <w:sz w:val="20"/>
          <w:lang w:val="en-CA"/>
        </w:rPr>
        <w:t xml:space="preserve">Masaru Gennai v. Minister of Citizenship and Immigration </w:t>
      </w:r>
      <w:r w:rsidRPr="00B91EDD">
        <w:rPr>
          <w:sz w:val="20"/>
          <w:lang w:val="en-CA"/>
        </w:rPr>
        <w:t xml:space="preserve">(F.C.) (Civil) (By Leave) </w:t>
      </w:r>
      <w:r w:rsidRPr="00B91EDD">
        <w:rPr>
          <w:sz w:val="20"/>
          <w:lang w:eastAsia="en-CA"/>
        </w:rPr>
        <w:t>(</w:t>
      </w:r>
      <w:hyperlink r:id="rId10" w:history="1">
        <w:r w:rsidRPr="00B91EDD">
          <w:rPr>
            <w:rStyle w:val="Hyperlink"/>
            <w:sz w:val="20"/>
            <w:lang w:eastAsia="en-CA"/>
          </w:rPr>
          <w:t>37525</w:t>
        </w:r>
      </w:hyperlink>
      <w:r w:rsidRPr="00B91EDD">
        <w:rPr>
          <w:sz w:val="20"/>
          <w:lang w:eastAsia="en-CA"/>
        </w:rPr>
        <w:t>)</w:t>
      </w:r>
    </w:p>
    <w:p w:rsidR="00252675" w:rsidRPr="00B91EDD" w:rsidRDefault="00252675" w:rsidP="00EC2282">
      <w:pPr>
        <w:rPr>
          <w:sz w:val="20"/>
          <w:lang w:eastAsia="en-CA"/>
        </w:rPr>
      </w:pPr>
    </w:p>
    <w:p w:rsidR="001E0AE1" w:rsidRPr="00B91EDD" w:rsidRDefault="001E0AE1" w:rsidP="00D6579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65797" w:rsidRPr="00B91EDD" w:rsidTr="00B108BB">
        <w:trPr>
          <w:gridAfter w:val="1"/>
          <w:wAfter w:w="48" w:type="pct"/>
        </w:trPr>
        <w:tc>
          <w:tcPr>
            <w:tcW w:w="537" w:type="pct"/>
          </w:tcPr>
          <w:p w:rsidR="00D65797" w:rsidRPr="00B91EDD" w:rsidRDefault="00D65797" w:rsidP="00D65797">
            <w:pPr>
              <w:jc w:val="both"/>
              <w:rPr>
                <w:sz w:val="20"/>
              </w:rPr>
            </w:pPr>
            <w:r w:rsidRPr="00B91EDD">
              <w:rPr>
                <w:rStyle w:val="SCCFileNumberChar"/>
                <w:sz w:val="20"/>
                <w:szCs w:val="20"/>
              </w:rPr>
              <w:t>36986</w:t>
            </w:r>
          </w:p>
        </w:tc>
        <w:tc>
          <w:tcPr>
            <w:tcW w:w="4415" w:type="pct"/>
            <w:gridSpan w:val="3"/>
          </w:tcPr>
          <w:p w:rsidR="00D65797" w:rsidRPr="00B91EDD" w:rsidRDefault="00D65797" w:rsidP="00D65797">
            <w:pPr>
              <w:pStyle w:val="SCCLsocParty"/>
              <w:jc w:val="both"/>
              <w:rPr>
                <w:b/>
                <w:sz w:val="20"/>
                <w:szCs w:val="20"/>
                <w:lang w:val="en-US"/>
              </w:rPr>
            </w:pPr>
            <w:r w:rsidRPr="00B91EDD">
              <w:rPr>
                <w:b/>
                <w:sz w:val="20"/>
                <w:szCs w:val="20"/>
                <w:lang w:val="en-US"/>
              </w:rPr>
              <w:t>Dennis James Oland v. Her Majesty the Queen</w:t>
            </w:r>
          </w:p>
          <w:p w:rsidR="00D65797" w:rsidRPr="00B91EDD" w:rsidRDefault="00D65797" w:rsidP="00D65797">
            <w:pPr>
              <w:pStyle w:val="SCCLsocSubfileSeparator"/>
              <w:rPr>
                <w:sz w:val="20"/>
                <w:szCs w:val="20"/>
              </w:rPr>
            </w:pPr>
            <w:r w:rsidRPr="00B91EDD">
              <w:rPr>
                <w:sz w:val="20"/>
                <w:szCs w:val="20"/>
              </w:rPr>
              <w:t>- and between -</w:t>
            </w:r>
          </w:p>
          <w:p w:rsidR="00D65797" w:rsidRPr="00B91EDD" w:rsidRDefault="00D65797" w:rsidP="00D65797">
            <w:pPr>
              <w:pStyle w:val="SCCLsocParty"/>
              <w:jc w:val="both"/>
              <w:rPr>
                <w:b/>
                <w:sz w:val="20"/>
                <w:szCs w:val="20"/>
                <w:lang w:val="en-US"/>
              </w:rPr>
            </w:pPr>
            <w:r w:rsidRPr="00B91EDD">
              <w:rPr>
                <w:b/>
                <w:sz w:val="20"/>
                <w:szCs w:val="20"/>
                <w:lang w:val="en-US"/>
              </w:rPr>
              <w:t>Her Majesty the Queen v. Dennis James Oland</w:t>
            </w:r>
          </w:p>
          <w:p w:rsidR="00D65797" w:rsidRPr="00B91EDD" w:rsidRDefault="00D65797" w:rsidP="00D65797">
            <w:pPr>
              <w:jc w:val="both"/>
              <w:rPr>
                <w:sz w:val="20"/>
              </w:rPr>
            </w:pPr>
            <w:r w:rsidRPr="00B91EDD">
              <w:rPr>
                <w:sz w:val="20"/>
              </w:rPr>
              <w:t>(N.B.) (Criminal) (By Leave)</w:t>
            </w:r>
          </w:p>
        </w:tc>
      </w:tr>
      <w:tr w:rsidR="00D65797" w:rsidRPr="00B91EDD" w:rsidTr="00B108BB">
        <w:trPr>
          <w:gridAfter w:val="1"/>
          <w:wAfter w:w="48" w:type="pct"/>
        </w:trPr>
        <w:tc>
          <w:tcPr>
            <w:tcW w:w="4952" w:type="pct"/>
            <w:gridSpan w:val="4"/>
          </w:tcPr>
          <w:p w:rsidR="00D65797" w:rsidRPr="00B91EDD" w:rsidRDefault="00D65797" w:rsidP="00D65797">
            <w:pPr>
              <w:jc w:val="both"/>
              <w:rPr>
                <w:sz w:val="20"/>
              </w:rPr>
            </w:pPr>
            <w:r w:rsidRPr="00B91EDD">
              <w:rPr>
                <w:sz w:val="20"/>
              </w:rPr>
              <w:t>Criminal law — Procedure — Trial judge’s charge to jury — Inferences of guilt — Accused’s father was bludgeoned to death in his office — Accused lied to police about wearing certain jacket, which was found to contain victim’s blood and DNA, when he attended father’s office that day — Accused convicted of second-degree murder — Court of Appeal ordered new trial because trial judge’s instructions on accused’s statement about jacket were erroneous — What rules apply to post-offence false statements? — How should appellate courts assess apparently credible and reliable exculpatory evidence under s. 686(1</w:t>
            </w:r>
            <w:proofErr w:type="gramStart"/>
            <w:r w:rsidRPr="00B91EDD">
              <w:rPr>
                <w:sz w:val="20"/>
              </w:rPr>
              <w:t>)(</w:t>
            </w:r>
            <w:proofErr w:type="gramEnd"/>
            <w:r w:rsidRPr="00B91EDD">
              <w:rPr>
                <w:sz w:val="20"/>
              </w:rPr>
              <w:t>a)(</w:t>
            </w:r>
            <w:proofErr w:type="spellStart"/>
            <w:r w:rsidRPr="00B91EDD">
              <w:rPr>
                <w:sz w:val="20"/>
              </w:rPr>
              <w:t>i</w:t>
            </w:r>
            <w:proofErr w:type="spellEnd"/>
            <w:r w:rsidRPr="00B91EDD">
              <w:rPr>
                <w:sz w:val="20"/>
              </w:rPr>
              <w:t xml:space="preserve">) of </w:t>
            </w:r>
            <w:r w:rsidRPr="00B91EDD">
              <w:rPr>
                <w:i/>
                <w:sz w:val="20"/>
              </w:rPr>
              <w:t>Criminal Code</w:t>
            </w:r>
            <w:r w:rsidRPr="00B91EDD">
              <w:rPr>
                <w:sz w:val="20"/>
              </w:rPr>
              <w:t xml:space="preserve">? — Do s. 487 search warrants implicitly authorize forensic/DNA testing? — What is nature and scope of “independent evidence” required to prove concoction — When does ambiguous after-the-fact conduct require “no probative value” instruction? — How should courts classify, and assess reliability of, computer generated evidence? — How should rule in </w:t>
            </w:r>
            <w:r w:rsidRPr="00B91EDD">
              <w:rPr>
                <w:i/>
                <w:sz w:val="20"/>
              </w:rPr>
              <w:t>Browne v. Dunn</w:t>
            </w:r>
            <w:r w:rsidRPr="00B91EDD">
              <w:rPr>
                <w:sz w:val="20"/>
              </w:rPr>
              <w:t xml:space="preserve"> (1893) 6 R. 67 (H.L.), apply to cross-examination of accused?</w:t>
            </w:r>
          </w:p>
        </w:tc>
      </w:tr>
      <w:tr w:rsidR="00D65797" w:rsidRPr="00B91EDD" w:rsidTr="00B108BB">
        <w:trPr>
          <w:gridAfter w:val="1"/>
          <w:wAfter w:w="48" w:type="pct"/>
        </w:trPr>
        <w:tc>
          <w:tcPr>
            <w:tcW w:w="4952" w:type="pct"/>
            <w:gridSpan w:val="4"/>
          </w:tcPr>
          <w:p w:rsidR="00D65797" w:rsidRPr="00B91EDD" w:rsidRDefault="00D65797" w:rsidP="00D65797">
            <w:pPr>
              <w:jc w:val="both"/>
              <w:rPr>
                <w:sz w:val="20"/>
              </w:rPr>
            </w:pPr>
          </w:p>
        </w:tc>
      </w:tr>
      <w:tr w:rsidR="00D65797" w:rsidRPr="00B91EDD" w:rsidTr="00B108BB">
        <w:trPr>
          <w:gridAfter w:val="1"/>
          <w:wAfter w:w="48" w:type="pct"/>
        </w:trPr>
        <w:tc>
          <w:tcPr>
            <w:tcW w:w="4952" w:type="pct"/>
            <w:gridSpan w:val="4"/>
          </w:tcPr>
          <w:p w:rsidR="00D65797" w:rsidRPr="00B91EDD" w:rsidRDefault="00D65797" w:rsidP="00D65797">
            <w:pPr>
              <w:jc w:val="both"/>
              <w:rPr>
                <w:sz w:val="20"/>
              </w:rPr>
            </w:pPr>
            <w:r w:rsidRPr="00B91EDD">
              <w:rPr>
                <w:sz w:val="20"/>
              </w:rPr>
              <w:t xml:space="preserve">Mr. Oland’s father was bludgeoned to death in his office. On the day of the killing, Mr. Oland attended his father’s office. Mr. Oland told the police that he was wearing a navy jacket that day. However, video evidence showed </w:t>
            </w:r>
            <w:r w:rsidRPr="00B91EDD">
              <w:rPr>
                <w:sz w:val="20"/>
              </w:rPr>
              <w:lastRenderedPageBreak/>
              <w:t>conclusively and he admitted at trial that he was wearing a brown jacket. Forensic testing subsequently confirmed the presence of the victim’s blood and DNA on that jacket. After 30 hours of deliberation, a jury unanimously concluded that Mr. Oland was the killer, and he was therefore convicted of second-degree murder. Mr. Oland sought to appeal his conviction on the basis that the jury’s verdict was unreasonable. Alternatively, he argued that the trial judge made erroneous evidential rulings, specifically in respect to call detail records, the evidence derived from the forensic testing of the jacket and his communications with his wife. Finally, Mr. Oland argued that the judge misdirected the jury, notably in connection with a post-offence statement that he made to the police about the jacket that he was wearing. A unanimous Court of Appeal dismissed Mr. Oland’s application for an acquittal pursuant to s. 686(1</w:t>
            </w:r>
            <w:proofErr w:type="gramStart"/>
            <w:r w:rsidRPr="00B91EDD">
              <w:rPr>
                <w:sz w:val="20"/>
              </w:rPr>
              <w:t>)(</w:t>
            </w:r>
            <w:proofErr w:type="gramEnd"/>
            <w:r w:rsidRPr="00B91EDD">
              <w:rPr>
                <w:sz w:val="20"/>
              </w:rPr>
              <w:t>a)(</w:t>
            </w:r>
            <w:proofErr w:type="spellStart"/>
            <w:r w:rsidRPr="00B91EDD">
              <w:rPr>
                <w:sz w:val="20"/>
              </w:rPr>
              <w:t>i</w:t>
            </w:r>
            <w:proofErr w:type="spellEnd"/>
            <w:r w:rsidRPr="00B91EDD">
              <w:rPr>
                <w:sz w:val="20"/>
              </w:rPr>
              <w:t xml:space="preserve">) of the </w:t>
            </w:r>
            <w:r w:rsidRPr="00B91EDD">
              <w:rPr>
                <w:i/>
                <w:sz w:val="20"/>
              </w:rPr>
              <w:t>Criminal Code</w:t>
            </w:r>
            <w:r w:rsidRPr="00B91EDD">
              <w:rPr>
                <w:sz w:val="20"/>
              </w:rPr>
              <w:t>. However, it quashed his conviction for second-degree murder and ordered a new trial, holding that the judge misdirected the jury on Mr. Oland’s statement about the jacket.</w:t>
            </w:r>
          </w:p>
          <w:p w:rsidR="00D65797" w:rsidRPr="00B91EDD" w:rsidRDefault="00D65797" w:rsidP="00D65797">
            <w:pPr>
              <w:jc w:val="both"/>
              <w:rPr>
                <w:sz w:val="20"/>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rPr>
            </w:pPr>
            <w:r w:rsidRPr="00B91EDD">
              <w:rPr>
                <w:sz w:val="20"/>
              </w:rPr>
              <w:lastRenderedPageBreak/>
              <w:t>December 19, 2015</w:t>
            </w:r>
          </w:p>
          <w:p w:rsidR="00D65797" w:rsidRPr="00B91EDD" w:rsidRDefault="00D65797" w:rsidP="00D65797">
            <w:pPr>
              <w:jc w:val="both"/>
              <w:rPr>
                <w:sz w:val="20"/>
              </w:rPr>
            </w:pPr>
            <w:r w:rsidRPr="00B91EDD">
              <w:rPr>
                <w:sz w:val="20"/>
              </w:rPr>
              <w:t>Court of Queen’s Bench of New Brunswick</w:t>
            </w:r>
          </w:p>
          <w:p w:rsidR="00D65797" w:rsidRPr="00B91EDD" w:rsidRDefault="00D65797" w:rsidP="00D65797">
            <w:pPr>
              <w:jc w:val="both"/>
              <w:rPr>
                <w:sz w:val="20"/>
              </w:rPr>
            </w:pPr>
            <w:r w:rsidRPr="00B91EDD">
              <w:rPr>
                <w:sz w:val="20"/>
              </w:rPr>
              <w:t>(Walsh J.)</w:t>
            </w:r>
          </w:p>
          <w:p w:rsidR="00D65797" w:rsidRPr="00B91EDD" w:rsidRDefault="00D65797" w:rsidP="00D65797">
            <w:pPr>
              <w:jc w:val="both"/>
              <w:rPr>
                <w:sz w:val="20"/>
              </w:rPr>
            </w:pPr>
          </w:p>
        </w:tc>
        <w:tc>
          <w:tcPr>
            <w:tcW w:w="267" w:type="pct"/>
          </w:tcPr>
          <w:p w:rsidR="00D65797" w:rsidRPr="00B91EDD" w:rsidRDefault="00D65797" w:rsidP="00D65797">
            <w:pPr>
              <w:jc w:val="both"/>
              <w:rPr>
                <w:sz w:val="20"/>
              </w:rPr>
            </w:pPr>
          </w:p>
        </w:tc>
        <w:tc>
          <w:tcPr>
            <w:tcW w:w="2366" w:type="pct"/>
            <w:gridSpan w:val="2"/>
          </w:tcPr>
          <w:p w:rsidR="00D65797" w:rsidRPr="00B91EDD" w:rsidRDefault="00D65797" w:rsidP="00D65797">
            <w:pPr>
              <w:jc w:val="both"/>
              <w:rPr>
                <w:sz w:val="20"/>
              </w:rPr>
            </w:pPr>
            <w:r w:rsidRPr="00B91EDD">
              <w:rPr>
                <w:sz w:val="20"/>
              </w:rPr>
              <w:t>Mr. Oland was convicted by jury of second-degree murder.</w:t>
            </w:r>
          </w:p>
          <w:p w:rsidR="00D65797" w:rsidRPr="00B91EDD" w:rsidRDefault="00D65797" w:rsidP="00D65797">
            <w:pPr>
              <w:jc w:val="both"/>
              <w:rPr>
                <w:sz w:val="20"/>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rPr>
            </w:pPr>
            <w:r w:rsidRPr="00B91EDD">
              <w:rPr>
                <w:sz w:val="20"/>
              </w:rPr>
              <w:t>October 24, 2016</w:t>
            </w:r>
          </w:p>
          <w:p w:rsidR="00D65797" w:rsidRPr="00B91EDD" w:rsidRDefault="00D65797" w:rsidP="00D65797">
            <w:pPr>
              <w:jc w:val="both"/>
              <w:rPr>
                <w:sz w:val="20"/>
              </w:rPr>
            </w:pPr>
            <w:r w:rsidRPr="00B91EDD">
              <w:rPr>
                <w:sz w:val="20"/>
              </w:rPr>
              <w:t>Court of Appeal of New Brunswick</w:t>
            </w:r>
          </w:p>
          <w:p w:rsidR="00D65797" w:rsidRPr="00B91EDD" w:rsidRDefault="00D65797" w:rsidP="00D65797">
            <w:pPr>
              <w:jc w:val="both"/>
              <w:rPr>
                <w:sz w:val="20"/>
              </w:rPr>
            </w:pPr>
            <w:r w:rsidRPr="00B91EDD">
              <w:rPr>
                <w:sz w:val="20"/>
              </w:rPr>
              <w:t>(</w:t>
            </w:r>
            <w:proofErr w:type="spellStart"/>
            <w:r w:rsidRPr="00B91EDD">
              <w:rPr>
                <w:sz w:val="20"/>
              </w:rPr>
              <w:t>Drapeau</w:t>
            </w:r>
            <w:proofErr w:type="spellEnd"/>
            <w:r w:rsidRPr="00B91EDD">
              <w:rPr>
                <w:sz w:val="20"/>
              </w:rPr>
              <w:t xml:space="preserve"> C.J.N.B. and </w:t>
            </w:r>
            <w:proofErr w:type="spellStart"/>
            <w:r w:rsidRPr="00B91EDD">
              <w:rPr>
                <w:sz w:val="20"/>
              </w:rPr>
              <w:t>Larlee</w:t>
            </w:r>
            <w:proofErr w:type="spellEnd"/>
            <w:r w:rsidRPr="00B91EDD">
              <w:rPr>
                <w:sz w:val="20"/>
              </w:rPr>
              <w:t xml:space="preserve"> and </w:t>
            </w:r>
            <w:proofErr w:type="spellStart"/>
            <w:r w:rsidRPr="00B91EDD">
              <w:rPr>
                <w:sz w:val="20"/>
              </w:rPr>
              <w:t>Quigg</w:t>
            </w:r>
            <w:proofErr w:type="spellEnd"/>
            <w:r w:rsidRPr="00B91EDD">
              <w:rPr>
                <w:sz w:val="20"/>
              </w:rPr>
              <w:t xml:space="preserve"> </w:t>
            </w:r>
          </w:p>
          <w:p w:rsidR="00D65797" w:rsidRPr="00B91EDD" w:rsidRDefault="00D65797" w:rsidP="00D65797">
            <w:pPr>
              <w:jc w:val="both"/>
              <w:rPr>
                <w:sz w:val="20"/>
              </w:rPr>
            </w:pPr>
            <w:r w:rsidRPr="00B91EDD">
              <w:rPr>
                <w:sz w:val="20"/>
              </w:rPr>
              <w:t>JJ.A.)</w:t>
            </w:r>
          </w:p>
          <w:p w:rsidR="00D65797" w:rsidRPr="00B91EDD" w:rsidRDefault="00D65797" w:rsidP="00D65797">
            <w:pPr>
              <w:jc w:val="both"/>
              <w:rPr>
                <w:sz w:val="20"/>
              </w:rPr>
            </w:pPr>
            <w:hyperlink r:id="rId11" w:history="1">
              <w:r w:rsidRPr="00B91EDD">
                <w:rPr>
                  <w:rStyle w:val="Hyperlink"/>
                  <w:sz w:val="20"/>
                </w:rPr>
                <w:t>2016 NBCA 58</w:t>
              </w:r>
            </w:hyperlink>
          </w:p>
          <w:p w:rsidR="00D65797" w:rsidRPr="00B91EDD" w:rsidRDefault="00D65797" w:rsidP="00D65797">
            <w:pPr>
              <w:jc w:val="both"/>
              <w:rPr>
                <w:sz w:val="20"/>
              </w:rPr>
            </w:pPr>
          </w:p>
        </w:tc>
        <w:tc>
          <w:tcPr>
            <w:tcW w:w="267" w:type="pct"/>
          </w:tcPr>
          <w:p w:rsidR="00D65797" w:rsidRPr="00B91EDD" w:rsidRDefault="00D65797" w:rsidP="00D65797">
            <w:pPr>
              <w:jc w:val="both"/>
              <w:rPr>
                <w:sz w:val="20"/>
              </w:rPr>
            </w:pPr>
          </w:p>
        </w:tc>
        <w:tc>
          <w:tcPr>
            <w:tcW w:w="2366" w:type="pct"/>
            <w:gridSpan w:val="2"/>
          </w:tcPr>
          <w:p w:rsidR="00D65797" w:rsidRPr="00B91EDD" w:rsidRDefault="00D65797" w:rsidP="00D65797">
            <w:pPr>
              <w:jc w:val="both"/>
              <w:rPr>
                <w:sz w:val="20"/>
              </w:rPr>
            </w:pPr>
            <w:r w:rsidRPr="00B91EDD">
              <w:rPr>
                <w:sz w:val="20"/>
              </w:rPr>
              <w:t>Mr. Oland’s application for an acquittal pursuant to s. 686(1</w:t>
            </w:r>
            <w:proofErr w:type="gramStart"/>
            <w:r w:rsidRPr="00B91EDD">
              <w:rPr>
                <w:sz w:val="20"/>
              </w:rPr>
              <w:t>)(</w:t>
            </w:r>
            <w:proofErr w:type="gramEnd"/>
            <w:r w:rsidRPr="00B91EDD">
              <w:rPr>
                <w:sz w:val="20"/>
              </w:rPr>
              <w:t>a)(</w:t>
            </w:r>
            <w:proofErr w:type="spellStart"/>
            <w:r w:rsidRPr="00B91EDD">
              <w:rPr>
                <w:sz w:val="20"/>
              </w:rPr>
              <w:t>i</w:t>
            </w:r>
            <w:proofErr w:type="spellEnd"/>
            <w:r w:rsidRPr="00B91EDD">
              <w:rPr>
                <w:sz w:val="20"/>
              </w:rPr>
              <w:t xml:space="preserve">) of the </w:t>
            </w:r>
            <w:r w:rsidRPr="00B91EDD">
              <w:rPr>
                <w:i/>
                <w:sz w:val="20"/>
              </w:rPr>
              <w:t>Criminal Code</w:t>
            </w:r>
            <w:r w:rsidRPr="00B91EDD">
              <w:rPr>
                <w:sz w:val="20"/>
              </w:rPr>
              <w:t xml:space="preserve"> was dismissed; however, his conviction for second-degree murder was quashed and a new trial ordered.</w:t>
            </w:r>
          </w:p>
          <w:p w:rsidR="00D65797" w:rsidRPr="00B91EDD" w:rsidRDefault="00D65797" w:rsidP="00D65797">
            <w:pPr>
              <w:jc w:val="both"/>
              <w:rPr>
                <w:sz w:val="20"/>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rPr>
            </w:pPr>
            <w:r w:rsidRPr="00B91EDD">
              <w:rPr>
                <w:sz w:val="20"/>
              </w:rPr>
              <w:t>December 16, 2016</w:t>
            </w:r>
          </w:p>
          <w:p w:rsidR="00D65797" w:rsidRPr="00B91EDD" w:rsidRDefault="00D65797" w:rsidP="00D65797">
            <w:pPr>
              <w:jc w:val="both"/>
              <w:rPr>
                <w:sz w:val="20"/>
              </w:rPr>
            </w:pPr>
            <w:r w:rsidRPr="00B91EDD">
              <w:rPr>
                <w:sz w:val="20"/>
              </w:rPr>
              <w:t>Supreme Court of Canada</w:t>
            </w:r>
          </w:p>
          <w:p w:rsidR="00D65797" w:rsidRPr="00B91EDD" w:rsidRDefault="00D65797" w:rsidP="00D65797">
            <w:pPr>
              <w:jc w:val="both"/>
              <w:rPr>
                <w:sz w:val="20"/>
              </w:rPr>
            </w:pPr>
          </w:p>
        </w:tc>
        <w:tc>
          <w:tcPr>
            <w:tcW w:w="267" w:type="pct"/>
          </w:tcPr>
          <w:p w:rsidR="00D65797" w:rsidRPr="00B91EDD" w:rsidRDefault="00D65797" w:rsidP="00D65797">
            <w:pPr>
              <w:jc w:val="both"/>
              <w:rPr>
                <w:sz w:val="20"/>
              </w:rPr>
            </w:pPr>
          </w:p>
        </w:tc>
        <w:tc>
          <w:tcPr>
            <w:tcW w:w="2366" w:type="pct"/>
            <w:gridSpan w:val="2"/>
          </w:tcPr>
          <w:p w:rsidR="00D65797" w:rsidRPr="00B91EDD" w:rsidRDefault="00D65797" w:rsidP="00D65797">
            <w:pPr>
              <w:jc w:val="both"/>
              <w:rPr>
                <w:sz w:val="20"/>
              </w:rPr>
            </w:pPr>
            <w:r w:rsidRPr="00B91EDD">
              <w:rPr>
                <w:sz w:val="20"/>
              </w:rPr>
              <w:t>The parties filed a joint motion for an extension of time to serve and file: the applicant’s application for leave to appeal; and both the respondent’s response to the application for leave to appeal and the respondent’s application for leave to cross-appeal.</w:t>
            </w:r>
          </w:p>
          <w:p w:rsidR="00D65797" w:rsidRPr="00B91EDD" w:rsidRDefault="00D65797" w:rsidP="00D65797">
            <w:pPr>
              <w:jc w:val="both"/>
              <w:rPr>
                <w:sz w:val="20"/>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rPr>
            </w:pPr>
            <w:r w:rsidRPr="00B91EDD">
              <w:rPr>
                <w:sz w:val="20"/>
              </w:rPr>
              <w:t>January 12, 2017</w:t>
            </w:r>
          </w:p>
          <w:p w:rsidR="00D65797" w:rsidRPr="00B91EDD" w:rsidRDefault="00D65797" w:rsidP="00D65797">
            <w:pPr>
              <w:jc w:val="both"/>
              <w:rPr>
                <w:sz w:val="20"/>
              </w:rPr>
            </w:pPr>
            <w:r w:rsidRPr="00B91EDD">
              <w:rPr>
                <w:sz w:val="20"/>
              </w:rPr>
              <w:t>Court of Appeal of New Brunswick</w:t>
            </w:r>
          </w:p>
          <w:p w:rsidR="00D65797" w:rsidRPr="00B91EDD" w:rsidRDefault="00D65797" w:rsidP="00D65797">
            <w:pPr>
              <w:jc w:val="both"/>
              <w:rPr>
                <w:sz w:val="20"/>
              </w:rPr>
            </w:pPr>
            <w:r w:rsidRPr="00B91EDD">
              <w:rPr>
                <w:sz w:val="20"/>
              </w:rPr>
              <w:t>(</w:t>
            </w:r>
            <w:proofErr w:type="spellStart"/>
            <w:r w:rsidRPr="00B91EDD">
              <w:rPr>
                <w:sz w:val="20"/>
              </w:rPr>
              <w:t>Drapeau</w:t>
            </w:r>
            <w:proofErr w:type="spellEnd"/>
            <w:r w:rsidRPr="00B91EDD">
              <w:rPr>
                <w:sz w:val="20"/>
              </w:rPr>
              <w:t xml:space="preserve"> C.J.N.B. and </w:t>
            </w:r>
            <w:proofErr w:type="spellStart"/>
            <w:r w:rsidRPr="00B91EDD">
              <w:rPr>
                <w:sz w:val="20"/>
              </w:rPr>
              <w:t>Larlee</w:t>
            </w:r>
            <w:proofErr w:type="spellEnd"/>
            <w:r w:rsidRPr="00B91EDD">
              <w:rPr>
                <w:sz w:val="20"/>
              </w:rPr>
              <w:t xml:space="preserve"> and </w:t>
            </w:r>
            <w:proofErr w:type="spellStart"/>
            <w:r w:rsidRPr="00B91EDD">
              <w:rPr>
                <w:sz w:val="20"/>
              </w:rPr>
              <w:t>Quigg</w:t>
            </w:r>
            <w:proofErr w:type="spellEnd"/>
            <w:r w:rsidRPr="00B91EDD">
              <w:rPr>
                <w:sz w:val="20"/>
              </w:rPr>
              <w:t xml:space="preserve"> </w:t>
            </w:r>
          </w:p>
          <w:p w:rsidR="00D65797" w:rsidRPr="00B91EDD" w:rsidRDefault="00D65797" w:rsidP="00D65797">
            <w:pPr>
              <w:jc w:val="both"/>
              <w:rPr>
                <w:sz w:val="20"/>
              </w:rPr>
            </w:pPr>
            <w:r w:rsidRPr="00B91EDD">
              <w:rPr>
                <w:sz w:val="20"/>
              </w:rPr>
              <w:t>JJ.A.)</w:t>
            </w:r>
          </w:p>
          <w:p w:rsidR="00D65797" w:rsidRPr="00B91EDD" w:rsidRDefault="00D65797" w:rsidP="00D65797">
            <w:pPr>
              <w:jc w:val="both"/>
              <w:rPr>
                <w:sz w:val="20"/>
              </w:rPr>
            </w:pPr>
            <w:hyperlink r:id="rId12" w:history="1">
              <w:r w:rsidRPr="00B91EDD">
                <w:rPr>
                  <w:rStyle w:val="Hyperlink"/>
                  <w:sz w:val="20"/>
                </w:rPr>
                <w:t xml:space="preserve">2016 </w:t>
              </w:r>
              <w:proofErr w:type="spellStart"/>
              <w:r w:rsidRPr="00B91EDD">
                <w:rPr>
                  <w:rStyle w:val="Hyperlink"/>
                  <w:sz w:val="20"/>
                </w:rPr>
                <w:t>CanLII</w:t>
              </w:r>
              <w:proofErr w:type="spellEnd"/>
              <w:r w:rsidRPr="00B91EDD">
                <w:rPr>
                  <w:rStyle w:val="Hyperlink"/>
                  <w:sz w:val="20"/>
                </w:rPr>
                <w:t xml:space="preserve"> 101484</w:t>
              </w:r>
            </w:hyperlink>
          </w:p>
          <w:p w:rsidR="00D65797" w:rsidRPr="00B91EDD" w:rsidRDefault="00D65797" w:rsidP="00D65797">
            <w:pPr>
              <w:jc w:val="both"/>
              <w:rPr>
                <w:sz w:val="20"/>
              </w:rPr>
            </w:pPr>
          </w:p>
        </w:tc>
        <w:tc>
          <w:tcPr>
            <w:tcW w:w="267" w:type="pct"/>
          </w:tcPr>
          <w:p w:rsidR="00D65797" w:rsidRPr="00B91EDD" w:rsidRDefault="00D65797" w:rsidP="00D65797">
            <w:pPr>
              <w:jc w:val="both"/>
              <w:rPr>
                <w:sz w:val="20"/>
              </w:rPr>
            </w:pPr>
          </w:p>
        </w:tc>
        <w:tc>
          <w:tcPr>
            <w:tcW w:w="2366" w:type="pct"/>
            <w:gridSpan w:val="2"/>
          </w:tcPr>
          <w:p w:rsidR="00D65797" w:rsidRPr="00B91EDD" w:rsidRDefault="00D65797" w:rsidP="00D65797">
            <w:pPr>
              <w:jc w:val="both"/>
              <w:rPr>
                <w:sz w:val="20"/>
              </w:rPr>
            </w:pPr>
            <w:r w:rsidRPr="00B91EDD">
              <w:rPr>
                <w:sz w:val="20"/>
              </w:rPr>
              <w:t>The Court of Appeal issued further reasons for its October 24, 2016 decision (see above).</w:t>
            </w:r>
          </w:p>
          <w:p w:rsidR="00D65797" w:rsidRPr="00B91EDD" w:rsidRDefault="00D65797" w:rsidP="00D65797">
            <w:pPr>
              <w:jc w:val="both"/>
              <w:rPr>
                <w:sz w:val="20"/>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rPr>
            </w:pPr>
            <w:r w:rsidRPr="00B91EDD">
              <w:rPr>
                <w:sz w:val="20"/>
              </w:rPr>
              <w:t>January 23, 2017</w:t>
            </w:r>
          </w:p>
          <w:p w:rsidR="00D65797" w:rsidRPr="00B91EDD" w:rsidRDefault="00D65797" w:rsidP="00D65797">
            <w:pPr>
              <w:jc w:val="both"/>
              <w:rPr>
                <w:sz w:val="20"/>
              </w:rPr>
            </w:pPr>
            <w:r w:rsidRPr="00B91EDD">
              <w:rPr>
                <w:sz w:val="20"/>
              </w:rPr>
              <w:t>Supreme Court of Canada</w:t>
            </w:r>
          </w:p>
          <w:p w:rsidR="00D65797" w:rsidRPr="00B91EDD" w:rsidRDefault="00D65797" w:rsidP="00D65797">
            <w:pPr>
              <w:jc w:val="both"/>
              <w:rPr>
                <w:sz w:val="20"/>
              </w:rPr>
            </w:pPr>
          </w:p>
        </w:tc>
        <w:tc>
          <w:tcPr>
            <w:tcW w:w="267" w:type="pct"/>
          </w:tcPr>
          <w:p w:rsidR="00D65797" w:rsidRPr="00B91EDD" w:rsidRDefault="00D65797" w:rsidP="00D65797">
            <w:pPr>
              <w:jc w:val="both"/>
              <w:rPr>
                <w:sz w:val="20"/>
              </w:rPr>
            </w:pPr>
          </w:p>
        </w:tc>
        <w:tc>
          <w:tcPr>
            <w:tcW w:w="2366" w:type="pct"/>
            <w:gridSpan w:val="2"/>
          </w:tcPr>
          <w:p w:rsidR="00D65797" w:rsidRPr="00B91EDD" w:rsidRDefault="00D65797" w:rsidP="00D65797">
            <w:pPr>
              <w:jc w:val="both"/>
              <w:rPr>
                <w:sz w:val="20"/>
              </w:rPr>
            </w:pPr>
            <w:r w:rsidRPr="00B91EDD">
              <w:rPr>
                <w:sz w:val="20"/>
              </w:rPr>
              <w:t>Application for leave to appeal filed.</w:t>
            </w:r>
          </w:p>
          <w:p w:rsidR="00D65797" w:rsidRPr="00B91EDD" w:rsidRDefault="00D65797" w:rsidP="00D65797">
            <w:pPr>
              <w:jc w:val="both"/>
              <w:rPr>
                <w:sz w:val="20"/>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rPr>
            </w:pPr>
            <w:r w:rsidRPr="00B91EDD">
              <w:rPr>
                <w:sz w:val="20"/>
              </w:rPr>
              <w:t>March 24, 2017</w:t>
            </w:r>
          </w:p>
          <w:p w:rsidR="00D65797" w:rsidRPr="00B91EDD" w:rsidRDefault="00D65797" w:rsidP="00D65797">
            <w:pPr>
              <w:jc w:val="both"/>
              <w:rPr>
                <w:sz w:val="20"/>
              </w:rPr>
            </w:pPr>
            <w:r w:rsidRPr="00B91EDD">
              <w:rPr>
                <w:sz w:val="20"/>
              </w:rPr>
              <w:t>Supreme Court of Canada</w:t>
            </w:r>
          </w:p>
        </w:tc>
        <w:tc>
          <w:tcPr>
            <w:tcW w:w="267" w:type="pct"/>
          </w:tcPr>
          <w:p w:rsidR="00D65797" w:rsidRPr="00B91EDD" w:rsidRDefault="00D65797" w:rsidP="00D65797">
            <w:pPr>
              <w:jc w:val="both"/>
              <w:rPr>
                <w:sz w:val="20"/>
              </w:rPr>
            </w:pPr>
          </w:p>
        </w:tc>
        <w:tc>
          <w:tcPr>
            <w:tcW w:w="2366" w:type="pct"/>
            <w:gridSpan w:val="2"/>
          </w:tcPr>
          <w:p w:rsidR="00D65797" w:rsidRPr="00B91EDD" w:rsidRDefault="00D65797" w:rsidP="00D65797">
            <w:pPr>
              <w:jc w:val="both"/>
              <w:rPr>
                <w:sz w:val="20"/>
              </w:rPr>
            </w:pPr>
            <w:r w:rsidRPr="00B91EDD">
              <w:rPr>
                <w:sz w:val="20"/>
              </w:rPr>
              <w:t>Application for leave to cross-appeal filed.</w:t>
            </w:r>
          </w:p>
          <w:p w:rsidR="00D65797" w:rsidRPr="00B91EDD" w:rsidRDefault="00D65797" w:rsidP="00D65797">
            <w:pPr>
              <w:jc w:val="both"/>
              <w:rPr>
                <w:sz w:val="20"/>
              </w:rPr>
            </w:pPr>
          </w:p>
        </w:tc>
      </w:tr>
    </w:tbl>
    <w:p w:rsidR="00D65797" w:rsidRPr="00B91EDD" w:rsidRDefault="00D65797" w:rsidP="00D65797">
      <w:pPr>
        <w:jc w:val="both"/>
        <w:rPr>
          <w:sz w:val="20"/>
        </w:rPr>
      </w:pPr>
    </w:p>
    <w:p w:rsidR="00D65797" w:rsidRPr="00B91EDD" w:rsidRDefault="00D65797" w:rsidP="00D6579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65797" w:rsidRPr="00B91EDD" w:rsidTr="00B108BB">
        <w:trPr>
          <w:gridAfter w:val="1"/>
          <w:wAfter w:w="48" w:type="pct"/>
        </w:trPr>
        <w:tc>
          <w:tcPr>
            <w:tcW w:w="537" w:type="pct"/>
          </w:tcPr>
          <w:p w:rsidR="00D65797" w:rsidRPr="00B91EDD" w:rsidRDefault="00D65797" w:rsidP="00D65797">
            <w:pPr>
              <w:jc w:val="both"/>
              <w:rPr>
                <w:sz w:val="20"/>
                <w:lang w:val="fr-CA"/>
              </w:rPr>
            </w:pPr>
            <w:r w:rsidRPr="00B91EDD">
              <w:rPr>
                <w:rStyle w:val="SCCFileNumberChar"/>
                <w:sz w:val="20"/>
                <w:szCs w:val="20"/>
                <w:lang w:val="fr-CA"/>
              </w:rPr>
              <w:t>36986</w:t>
            </w:r>
          </w:p>
        </w:tc>
        <w:tc>
          <w:tcPr>
            <w:tcW w:w="4415" w:type="pct"/>
            <w:gridSpan w:val="3"/>
          </w:tcPr>
          <w:p w:rsidR="00D65797" w:rsidRPr="00B91EDD" w:rsidRDefault="00D65797" w:rsidP="00D65797">
            <w:pPr>
              <w:pStyle w:val="SCCLsocParty"/>
              <w:jc w:val="both"/>
              <w:rPr>
                <w:b/>
                <w:sz w:val="20"/>
                <w:szCs w:val="20"/>
              </w:rPr>
            </w:pPr>
            <w:r w:rsidRPr="00B91EDD">
              <w:rPr>
                <w:b/>
                <w:sz w:val="20"/>
                <w:szCs w:val="20"/>
              </w:rPr>
              <w:t>Dennis James Oland c. Sa Majesté la Reine</w:t>
            </w:r>
          </w:p>
          <w:p w:rsidR="00D65797" w:rsidRPr="00B91EDD" w:rsidRDefault="00D65797" w:rsidP="00D65797">
            <w:pPr>
              <w:pStyle w:val="SCCLsocSubfileSeparator"/>
              <w:rPr>
                <w:sz w:val="20"/>
                <w:szCs w:val="20"/>
                <w:lang w:val="fr-CA"/>
              </w:rPr>
            </w:pPr>
            <w:r w:rsidRPr="00B91EDD">
              <w:rPr>
                <w:sz w:val="20"/>
                <w:szCs w:val="20"/>
                <w:lang w:val="fr-CA"/>
              </w:rPr>
              <w:t>- et entre -</w:t>
            </w:r>
          </w:p>
          <w:p w:rsidR="00D65797" w:rsidRPr="00B91EDD" w:rsidRDefault="00D65797" w:rsidP="00D65797">
            <w:pPr>
              <w:pStyle w:val="SCCLsocParty"/>
              <w:jc w:val="both"/>
              <w:rPr>
                <w:b/>
                <w:sz w:val="20"/>
                <w:szCs w:val="20"/>
              </w:rPr>
            </w:pPr>
            <w:r w:rsidRPr="00B91EDD">
              <w:rPr>
                <w:b/>
                <w:sz w:val="20"/>
                <w:szCs w:val="20"/>
              </w:rPr>
              <w:t>Sa Majesté la Reine c. Dennis James Oland</w:t>
            </w:r>
          </w:p>
          <w:p w:rsidR="00D65797" w:rsidRPr="00B91EDD" w:rsidRDefault="00D65797" w:rsidP="00D65797">
            <w:pPr>
              <w:jc w:val="both"/>
              <w:rPr>
                <w:sz w:val="20"/>
                <w:lang w:val="fr-CA"/>
              </w:rPr>
            </w:pPr>
            <w:r w:rsidRPr="00B91EDD">
              <w:rPr>
                <w:sz w:val="20"/>
                <w:lang w:val="fr-CA"/>
              </w:rPr>
              <w:t>(N.-B.) (Criminelle) (Sur autorisation)</w:t>
            </w:r>
          </w:p>
        </w:tc>
      </w:tr>
      <w:tr w:rsidR="00D65797" w:rsidRPr="00B91EDD" w:rsidTr="00B108BB">
        <w:trPr>
          <w:gridAfter w:val="1"/>
          <w:wAfter w:w="48" w:type="pct"/>
        </w:trPr>
        <w:tc>
          <w:tcPr>
            <w:tcW w:w="4952" w:type="pct"/>
            <w:gridSpan w:val="4"/>
          </w:tcPr>
          <w:p w:rsidR="00D65797" w:rsidRPr="00B91EDD" w:rsidRDefault="00D65797" w:rsidP="00D65797">
            <w:pPr>
              <w:jc w:val="both"/>
              <w:rPr>
                <w:sz w:val="20"/>
                <w:lang w:val="fr-CA"/>
              </w:rPr>
            </w:pPr>
            <w:r w:rsidRPr="00B91EDD">
              <w:rPr>
                <w:sz w:val="20"/>
                <w:lang w:val="fr-CA"/>
              </w:rPr>
              <w:t xml:space="preserve">Droit criminel — Procédure — Exposé du juge du procès au jury — Inférences de culpabilité — Le père de l’accusé a été battu à mort dans son bureau — L’accusé a menti à la police au sujet du veston qu’il portait lorsqu’il s’est rendu au bureau de son père ce jour-là,  un veston sur lequel on a trouvé du sang et de l’ADN de la victime — L’accusé a été déclaré coupable de meurtre au deuxième degré — La Cour d’appel a ordonné un nouveau procès parce que les directives du juge du procès sur la déclaration de l’accusé au sujet du veston avaient été erronées — Quelles règles s’appliquent aux fausses déclarations postérieures à l’infraction? — Comment les cours d’appel doivent-elles évaluer des éléments de preuve disculpatoires apparemment crédibles et fiables sous le régime du sous-al. 686(1)a)(i) du </w:t>
            </w:r>
            <w:r w:rsidRPr="00B91EDD">
              <w:rPr>
                <w:i/>
                <w:sz w:val="20"/>
                <w:lang w:val="fr-CA"/>
              </w:rPr>
              <w:t>Code criminel</w:t>
            </w:r>
            <w:r w:rsidRPr="00B91EDD">
              <w:rPr>
                <w:sz w:val="20"/>
                <w:lang w:val="fr-CA"/>
              </w:rPr>
              <w:t xml:space="preserve">? — Les mandats de perquisition décernés en application de l’art. 487 autorisent-ils les analyses criminalistiques et la conduite de tests ADN? — Quelles sont la nature et la portée de la « preuve indépendante » nécessaire pour établir l’invention? — Dans quelles situations un comportement ambigu après le fait nécessite-t-il une directive portant que cette conduite n’a « aucune valeur probante »? — Comment les tribunaux doivent-ils classer </w:t>
            </w:r>
            <w:r w:rsidRPr="00B91EDD">
              <w:rPr>
                <w:sz w:val="20"/>
                <w:lang w:val="fr-CA"/>
              </w:rPr>
              <w:lastRenderedPageBreak/>
              <w:t xml:space="preserve">la preuve générée par ordinateur et en évaluer la fiabilité? — Comment la règle de l’arrêt </w:t>
            </w:r>
            <w:r w:rsidRPr="00B91EDD">
              <w:rPr>
                <w:i/>
                <w:sz w:val="20"/>
                <w:lang w:val="fr-CA"/>
              </w:rPr>
              <w:t>Browne c. Dunn</w:t>
            </w:r>
            <w:r w:rsidRPr="00B91EDD">
              <w:rPr>
                <w:sz w:val="20"/>
                <w:lang w:val="fr-CA"/>
              </w:rPr>
              <w:t xml:space="preserve"> (1893) 6 R. 67 (H.L.), s’applique-t-elle au contre-interrogatoire de l’accusé?</w:t>
            </w:r>
          </w:p>
        </w:tc>
      </w:tr>
      <w:tr w:rsidR="00D65797" w:rsidRPr="00B91EDD" w:rsidTr="00B108BB">
        <w:trPr>
          <w:gridAfter w:val="1"/>
          <w:wAfter w:w="48" w:type="pct"/>
        </w:trPr>
        <w:tc>
          <w:tcPr>
            <w:tcW w:w="4952" w:type="pct"/>
            <w:gridSpan w:val="4"/>
          </w:tcPr>
          <w:p w:rsidR="00D65797" w:rsidRPr="00B91EDD" w:rsidRDefault="00D65797" w:rsidP="00D65797">
            <w:pPr>
              <w:jc w:val="both"/>
              <w:rPr>
                <w:sz w:val="20"/>
                <w:lang w:val="fr-CA"/>
              </w:rPr>
            </w:pPr>
          </w:p>
        </w:tc>
      </w:tr>
      <w:tr w:rsidR="00D65797" w:rsidRPr="00B91EDD" w:rsidTr="00B108BB">
        <w:trPr>
          <w:gridAfter w:val="1"/>
          <w:wAfter w:w="48" w:type="pct"/>
        </w:trPr>
        <w:tc>
          <w:tcPr>
            <w:tcW w:w="4952" w:type="pct"/>
            <w:gridSpan w:val="4"/>
          </w:tcPr>
          <w:p w:rsidR="00D65797" w:rsidRPr="00B91EDD" w:rsidRDefault="00D65797" w:rsidP="00D65797">
            <w:pPr>
              <w:jc w:val="both"/>
              <w:rPr>
                <w:sz w:val="20"/>
                <w:lang w:val="fr-CA"/>
              </w:rPr>
            </w:pPr>
            <w:r w:rsidRPr="00B91EDD">
              <w:rPr>
                <w:sz w:val="20"/>
                <w:lang w:val="fr-CA"/>
              </w:rPr>
              <w:t>Le père de M. </w:t>
            </w:r>
            <w:proofErr w:type="spellStart"/>
            <w:r w:rsidRPr="00B91EDD">
              <w:rPr>
                <w:sz w:val="20"/>
                <w:lang w:val="fr-CA"/>
              </w:rPr>
              <w:t>Oland</w:t>
            </w:r>
            <w:proofErr w:type="spellEnd"/>
            <w:r w:rsidRPr="00B91EDD">
              <w:rPr>
                <w:sz w:val="20"/>
                <w:lang w:val="fr-CA"/>
              </w:rPr>
              <w:t xml:space="preserve"> a été battu à mort dans son bureau. Le jour du meurtre, M. </w:t>
            </w:r>
            <w:proofErr w:type="spellStart"/>
            <w:r w:rsidRPr="00B91EDD">
              <w:rPr>
                <w:sz w:val="20"/>
                <w:lang w:val="fr-CA"/>
              </w:rPr>
              <w:t>Oland</w:t>
            </w:r>
            <w:proofErr w:type="spellEnd"/>
            <w:r w:rsidRPr="00B91EDD">
              <w:rPr>
                <w:sz w:val="20"/>
                <w:lang w:val="fr-CA"/>
              </w:rPr>
              <w:t xml:space="preserve"> s’était rendu au bureau de son père. Monsieur Oland a dit à la police qu’il portait un veston bleu marine ce jour-là. Cependant, des enregistrements vidéo montraient de façon concluante qu’il portait effectivement un veston brun, un fait qu’il a admis au procès. Une analyse criminalistique a par la suite confirmé la présence de sang et d’ADN de la victime sur ce veston. Après trente heures de délibération, un jury a conclu à l’unanimité que M. </w:t>
            </w:r>
            <w:proofErr w:type="spellStart"/>
            <w:r w:rsidRPr="00B91EDD">
              <w:rPr>
                <w:sz w:val="20"/>
                <w:lang w:val="fr-CA"/>
              </w:rPr>
              <w:t>Oland</w:t>
            </w:r>
            <w:proofErr w:type="spellEnd"/>
            <w:r w:rsidRPr="00B91EDD">
              <w:rPr>
                <w:sz w:val="20"/>
                <w:lang w:val="fr-CA"/>
              </w:rPr>
              <w:t xml:space="preserve"> était le tueur, et il a donc été déclaré coupable de meurtre au deuxième degré. Monsieur Oland a interjeté appel de la déclaration de culpabilité, plaidant que le verdict du jury était déraisonnable. Subsidiairement, il a plaidé que le juge du procès avait pris des décisions erronées sur la preuve, plus particulièrement en ce qui concerne l’enregistrement détaillé des appels, la preuve tirée d’une analyse criminalistique du veston et des communications avec sa femme. Enfin, M. </w:t>
            </w:r>
            <w:proofErr w:type="spellStart"/>
            <w:r w:rsidRPr="00B91EDD">
              <w:rPr>
                <w:sz w:val="20"/>
                <w:lang w:val="fr-CA"/>
              </w:rPr>
              <w:t>Oland</w:t>
            </w:r>
            <w:proofErr w:type="spellEnd"/>
            <w:r w:rsidRPr="00B91EDD">
              <w:rPr>
                <w:sz w:val="20"/>
                <w:lang w:val="fr-CA"/>
              </w:rPr>
              <w:t xml:space="preserve"> a plaidé que le juge avait donné des directives erronées au jury, notamment relativement à la déclaration postérieure à l’infraction qu’il a faite à la police au sujet du veston qu’il portait. À l’unanimité, les juges de la Cour d’appel ont rejeté la demande d’acquittement de M. </w:t>
            </w:r>
            <w:proofErr w:type="spellStart"/>
            <w:r w:rsidRPr="00B91EDD">
              <w:rPr>
                <w:sz w:val="20"/>
                <w:lang w:val="fr-CA"/>
              </w:rPr>
              <w:t>Oland</w:t>
            </w:r>
            <w:proofErr w:type="spellEnd"/>
            <w:r w:rsidRPr="00B91EDD">
              <w:rPr>
                <w:sz w:val="20"/>
                <w:lang w:val="fr-CA"/>
              </w:rPr>
              <w:t xml:space="preserve"> sous le régime du sous-al. 686(1)a)(i) du </w:t>
            </w:r>
            <w:r w:rsidRPr="00B91EDD">
              <w:rPr>
                <w:i/>
                <w:sz w:val="20"/>
                <w:lang w:val="fr-CA"/>
              </w:rPr>
              <w:t>Code criminel</w:t>
            </w:r>
            <w:r w:rsidRPr="00B91EDD">
              <w:rPr>
                <w:sz w:val="20"/>
                <w:lang w:val="fr-CA"/>
              </w:rPr>
              <w:t>. Toutefois, la Cour d’appel a annulé la déclaration de culpabilité de meurtre au deuxième degré et a ordonné la tenue d’un nouveau procès, statuant que le juge du procès avait donné des directives erronées au jury relativement à la déclaration de M. </w:t>
            </w:r>
            <w:proofErr w:type="spellStart"/>
            <w:r w:rsidRPr="00B91EDD">
              <w:rPr>
                <w:sz w:val="20"/>
                <w:lang w:val="fr-CA"/>
              </w:rPr>
              <w:t>Oland</w:t>
            </w:r>
            <w:proofErr w:type="spellEnd"/>
            <w:r w:rsidRPr="00B91EDD">
              <w:rPr>
                <w:sz w:val="20"/>
                <w:lang w:val="fr-CA"/>
              </w:rPr>
              <w:t xml:space="preserve"> au sujet du veston.</w:t>
            </w:r>
          </w:p>
          <w:p w:rsidR="00D65797" w:rsidRPr="00B91EDD" w:rsidRDefault="00D65797" w:rsidP="00D65797">
            <w:pPr>
              <w:jc w:val="both"/>
              <w:rPr>
                <w:sz w:val="20"/>
                <w:lang w:val="fr-CA"/>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lang w:val="fr-CA"/>
              </w:rPr>
            </w:pPr>
            <w:r w:rsidRPr="00B91EDD">
              <w:rPr>
                <w:sz w:val="20"/>
                <w:lang w:val="fr-CA"/>
              </w:rPr>
              <w:t>19 décembre 2015</w:t>
            </w:r>
          </w:p>
          <w:p w:rsidR="00D65797" w:rsidRPr="00B91EDD" w:rsidRDefault="00D65797" w:rsidP="00D65797">
            <w:pPr>
              <w:jc w:val="both"/>
              <w:rPr>
                <w:sz w:val="20"/>
                <w:lang w:val="fr-CA"/>
              </w:rPr>
            </w:pPr>
            <w:r w:rsidRPr="00B91EDD">
              <w:rPr>
                <w:sz w:val="20"/>
                <w:lang w:val="fr-CA"/>
              </w:rPr>
              <w:t>Cour du Banc de la Reine du Nouveau-Brunswick</w:t>
            </w:r>
          </w:p>
          <w:p w:rsidR="00D65797" w:rsidRPr="00B91EDD" w:rsidRDefault="00D65797" w:rsidP="00D65797">
            <w:pPr>
              <w:jc w:val="both"/>
              <w:rPr>
                <w:sz w:val="20"/>
                <w:lang w:val="fr-CA"/>
              </w:rPr>
            </w:pPr>
            <w:r w:rsidRPr="00B91EDD">
              <w:rPr>
                <w:sz w:val="20"/>
                <w:lang w:val="fr-CA"/>
              </w:rPr>
              <w:t>(Juge Walsh)</w:t>
            </w:r>
          </w:p>
          <w:p w:rsidR="00D65797" w:rsidRPr="00B91EDD" w:rsidRDefault="00D65797" w:rsidP="00D65797">
            <w:pPr>
              <w:jc w:val="both"/>
              <w:rPr>
                <w:sz w:val="20"/>
                <w:lang w:val="fr-CA"/>
              </w:rPr>
            </w:pPr>
          </w:p>
        </w:tc>
        <w:tc>
          <w:tcPr>
            <w:tcW w:w="267" w:type="pct"/>
          </w:tcPr>
          <w:p w:rsidR="00D65797" w:rsidRPr="00B91EDD" w:rsidRDefault="00D65797" w:rsidP="00D65797">
            <w:pPr>
              <w:jc w:val="both"/>
              <w:rPr>
                <w:sz w:val="20"/>
                <w:lang w:val="fr-CA"/>
              </w:rPr>
            </w:pPr>
          </w:p>
        </w:tc>
        <w:tc>
          <w:tcPr>
            <w:tcW w:w="2366" w:type="pct"/>
            <w:gridSpan w:val="2"/>
          </w:tcPr>
          <w:p w:rsidR="00D65797" w:rsidRPr="00B91EDD" w:rsidRDefault="00D65797" w:rsidP="00D65797">
            <w:pPr>
              <w:jc w:val="both"/>
              <w:rPr>
                <w:sz w:val="20"/>
                <w:lang w:val="fr-CA"/>
              </w:rPr>
            </w:pPr>
            <w:r w:rsidRPr="00B91EDD">
              <w:rPr>
                <w:sz w:val="20"/>
                <w:lang w:val="fr-CA"/>
              </w:rPr>
              <w:t>Déclaration de culpabilité de M. </w:t>
            </w:r>
            <w:proofErr w:type="spellStart"/>
            <w:r w:rsidRPr="00B91EDD">
              <w:rPr>
                <w:sz w:val="20"/>
                <w:lang w:val="fr-CA"/>
              </w:rPr>
              <w:t>Oland</w:t>
            </w:r>
            <w:proofErr w:type="spellEnd"/>
            <w:r w:rsidRPr="00B91EDD">
              <w:rPr>
                <w:sz w:val="20"/>
                <w:lang w:val="fr-CA"/>
              </w:rPr>
              <w:t>, par un jury, de meurtre au deuxième degré.</w:t>
            </w:r>
          </w:p>
          <w:p w:rsidR="00D65797" w:rsidRPr="00B91EDD" w:rsidRDefault="00D65797" w:rsidP="00D65797">
            <w:pPr>
              <w:jc w:val="both"/>
              <w:rPr>
                <w:sz w:val="20"/>
                <w:lang w:val="fr-CA"/>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lang w:val="fr-CA"/>
              </w:rPr>
            </w:pPr>
            <w:r w:rsidRPr="00B91EDD">
              <w:rPr>
                <w:sz w:val="20"/>
                <w:lang w:val="fr-CA"/>
              </w:rPr>
              <w:t>24 octobre 2016</w:t>
            </w:r>
          </w:p>
          <w:p w:rsidR="00D65797" w:rsidRPr="00B91EDD" w:rsidRDefault="00D65797" w:rsidP="00D65797">
            <w:pPr>
              <w:jc w:val="both"/>
              <w:rPr>
                <w:sz w:val="20"/>
                <w:lang w:val="fr-CA"/>
              </w:rPr>
            </w:pPr>
            <w:r w:rsidRPr="00B91EDD">
              <w:rPr>
                <w:sz w:val="20"/>
                <w:lang w:val="fr-CA"/>
              </w:rPr>
              <w:t>Cour d’appel du Nouveau-Brunswick</w:t>
            </w:r>
          </w:p>
          <w:p w:rsidR="00D65797" w:rsidRPr="00B91EDD" w:rsidRDefault="00D65797" w:rsidP="00D65797">
            <w:pPr>
              <w:jc w:val="both"/>
              <w:rPr>
                <w:sz w:val="20"/>
                <w:lang w:val="fr-CA"/>
              </w:rPr>
            </w:pPr>
            <w:r w:rsidRPr="00B91EDD">
              <w:rPr>
                <w:sz w:val="20"/>
                <w:lang w:val="fr-CA"/>
              </w:rPr>
              <w:t>(Juge en chef Drapeau, juges Larlee et Quigg)</w:t>
            </w:r>
          </w:p>
          <w:p w:rsidR="00D65797" w:rsidRPr="00B91EDD" w:rsidRDefault="00D65797" w:rsidP="00D65797">
            <w:pPr>
              <w:jc w:val="both"/>
              <w:rPr>
                <w:sz w:val="20"/>
                <w:lang w:val="fr-CA"/>
              </w:rPr>
            </w:pPr>
            <w:hyperlink r:id="rId13" w:history="1">
              <w:r w:rsidRPr="00B91EDD">
                <w:rPr>
                  <w:rStyle w:val="Hyperlink"/>
                  <w:sz w:val="20"/>
                  <w:lang w:val="fr-CA"/>
                </w:rPr>
                <w:t>2016 NBCA 58</w:t>
              </w:r>
            </w:hyperlink>
          </w:p>
          <w:p w:rsidR="00D65797" w:rsidRPr="00B91EDD" w:rsidRDefault="00D65797" w:rsidP="00D65797">
            <w:pPr>
              <w:jc w:val="both"/>
              <w:rPr>
                <w:sz w:val="20"/>
                <w:lang w:val="fr-CA"/>
              </w:rPr>
            </w:pPr>
          </w:p>
        </w:tc>
        <w:tc>
          <w:tcPr>
            <w:tcW w:w="267" w:type="pct"/>
          </w:tcPr>
          <w:p w:rsidR="00D65797" w:rsidRPr="00B91EDD" w:rsidRDefault="00D65797" w:rsidP="00D65797">
            <w:pPr>
              <w:jc w:val="both"/>
              <w:rPr>
                <w:sz w:val="20"/>
                <w:lang w:val="fr-CA"/>
              </w:rPr>
            </w:pPr>
          </w:p>
        </w:tc>
        <w:tc>
          <w:tcPr>
            <w:tcW w:w="2366" w:type="pct"/>
            <w:gridSpan w:val="2"/>
          </w:tcPr>
          <w:p w:rsidR="00D65797" w:rsidRPr="00B91EDD" w:rsidRDefault="00D65797" w:rsidP="00D65797">
            <w:pPr>
              <w:jc w:val="both"/>
              <w:rPr>
                <w:sz w:val="20"/>
                <w:lang w:val="fr-CA"/>
              </w:rPr>
            </w:pPr>
            <w:r w:rsidRPr="00B91EDD">
              <w:rPr>
                <w:sz w:val="20"/>
                <w:lang w:val="fr-CA"/>
              </w:rPr>
              <w:t>Rejet de la demande d’acquittement de M. </w:t>
            </w:r>
            <w:proofErr w:type="spellStart"/>
            <w:r w:rsidRPr="00B91EDD">
              <w:rPr>
                <w:sz w:val="20"/>
                <w:lang w:val="fr-CA"/>
              </w:rPr>
              <w:t>Oland</w:t>
            </w:r>
            <w:proofErr w:type="spellEnd"/>
            <w:r w:rsidRPr="00B91EDD">
              <w:rPr>
                <w:sz w:val="20"/>
                <w:lang w:val="fr-CA"/>
              </w:rPr>
              <w:t xml:space="preserve"> en application du sous-al. 686(1)a)(i) du </w:t>
            </w:r>
            <w:r w:rsidRPr="00B91EDD">
              <w:rPr>
                <w:i/>
                <w:sz w:val="20"/>
                <w:lang w:val="fr-CA"/>
              </w:rPr>
              <w:t>Code criminel</w:t>
            </w:r>
            <w:r w:rsidRPr="00B91EDD">
              <w:rPr>
                <w:sz w:val="20"/>
                <w:lang w:val="fr-CA"/>
              </w:rPr>
              <w:t>; jugement annulant la déclaration de culpabilité de meurtre au deuxième degré et ordonnant de tenue d’un nouveau procès.</w:t>
            </w:r>
          </w:p>
          <w:p w:rsidR="00D65797" w:rsidRPr="00B91EDD" w:rsidRDefault="00D65797" w:rsidP="00D65797">
            <w:pPr>
              <w:jc w:val="both"/>
              <w:rPr>
                <w:sz w:val="20"/>
                <w:lang w:val="fr-CA"/>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lang w:val="fr-CA"/>
              </w:rPr>
            </w:pPr>
            <w:r w:rsidRPr="00B91EDD">
              <w:rPr>
                <w:sz w:val="20"/>
                <w:lang w:val="fr-CA"/>
              </w:rPr>
              <w:t>16 décembre 2016</w:t>
            </w:r>
          </w:p>
          <w:p w:rsidR="00D65797" w:rsidRPr="00B91EDD" w:rsidRDefault="00D65797" w:rsidP="00D65797">
            <w:pPr>
              <w:jc w:val="both"/>
              <w:rPr>
                <w:sz w:val="20"/>
                <w:lang w:val="fr-CA"/>
              </w:rPr>
            </w:pPr>
            <w:r w:rsidRPr="00B91EDD">
              <w:rPr>
                <w:sz w:val="20"/>
                <w:lang w:val="fr-CA"/>
              </w:rPr>
              <w:t>Cour suprême du Canada</w:t>
            </w:r>
          </w:p>
          <w:p w:rsidR="00D65797" w:rsidRPr="00B91EDD" w:rsidRDefault="00D65797" w:rsidP="00D65797">
            <w:pPr>
              <w:jc w:val="both"/>
              <w:rPr>
                <w:sz w:val="20"/>
                <w:lang w:val="fr-CA"/>
              </w:rPr>
            </w:pPr>
            <w:bookmarkStart w:id="0" w:name="_GoBack"/>
            <w:bookmarkEnd w:id="0"/>
          </w:p>
        </w:tc>
        <w:tc>
          <w:tcPr>
            <w:tcW w:w="267" w:type="pct"/>
          </w:tcPr>
          <w:p w:rsidR="00D65797" w:rsidRPr="00B91EDD" w:rsidRDefault="00D65797" w:rsidP="00D65797">
            <w:pPr>
              <w:jc w:val="both"/>
              <w:rPr>
                <w:sz w:val="20"/>
                <w:lang w:val="fr-CA"/>
              </w:rPr>
            </w:pPr>
          </w:p>
        </w:tc>
        <w:tc>
          <w:tcPr>
            <w:tcW w:w="2366" w:type="pct"/>
            <w:gridSpan w:val="2"/>
          </w:tcPr>
          <w:p w:rsidR="00D65797" w:rsidRPr="00B91EDD" w:rsidRDefault="00D65797" w:rsidP="00D65797">
            <w:pPr>
              <w:jc w:val="both"/>
              <w:rPr>
                <w:sz w:val="20"/>
                <w:lang w:val="fr-CA"/>
              </w:rPr>
            </w:pPr>
            <w:r w:rsidRPr="00B91EDD">
              <w:rPr>
                <w:sz w:val="20"/>
                <w:lang w:val="fr-CA"/>
              </w:rPr>
              <w:t>Dépôt par les parties d’une requête conjointe en prorogation du délai de signification et de dépôt de la demande d’autorisation d’appel du demandeur, de la réponse de l’intimée à la demande d’autorisation d’appel et de la demande d’autorisation d’appel incident de l’intimée.</w:t>
            </w:r>
          </w:p>
          <w:p w:rsidR="00D65797" w:rsidRPr="00B91EDD" w:rsidRDefault="00D65797" w:rsidP="00D65797">
            <w:pPr>
              <w:jc w:val="both"/>
              <w:rPr>
                <w:sz w:val="20"/>
                <w:lang w:val="fr-CA"/>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lang w:val="fr-CA"/>
              </w:rPr>
            </w:pPr>
            <w:r w:rsidRPr="00B91EDD">
              <w:rPr>
                <w:sz w:val="20"/>
                <w:lang w:val="fr-CA"/>
              </w:rPr>
              <w:t>12 janvier 2017</w:t>
            </w:r>
          </w:p>
          <w:p w:rsidR="00D65797" w:rsidRPr="00B91EDD" w:rsidRDefault="00D65797" w:rsidP="00D65797">
            <w:pPr>
              <w:jc w:val="both"/>
              <w:rPr>
                <w:sz w:val="20"/>
                <w:lang w:val="fr-CA"/>
              </w:rPr>
            </w:pPr>
            <w:r w:rsidRPr="00B91EDD">
              <w:rPr>
                <w:sz w:val="20"/>
                <w:lang w:val="fr-CA"/>
              </w:rPr>
              <w:t>Cour d’appel du Nouveau-Brunswick</w:t>
            </w:r>
          </w:p>
          <w:p w:rsidR="00D65797" w:rsidRPr="00B91EDD" w:rsidRDefault="00D65797" w:rsidP="00D65797">
            <w:pPr>
              <w:jc w:val="both"/>
              <w:rPr>
                <w:sz w:val="20"/>
                <w:lang w:val="fr-CA"/>
              </w:rPr>
            </w:pPr>
            <w:r w:rsidRPr="00B91EDD">
              <w:rPr>
                <w:sz w:val="20"/>
                <w:lang w:val="fr-CA"/>
              </w:rPr>
              <w:t>(Juge en chef Drapeau, juges Larlee et Quigg)</w:t>
            </w:r>
          </w:p>
          <w:p w:rsidR="00D65797" w:rsidRPr="00B91EDD" w:rsidRDefault="00D65797" w:rsidP="00D65797">
            <w:pPr>
              <w:jc w:val="both"/>
              <w:rPr>
                <w:sz w:val="20"/>
                <w:lang w:val="fr-CA"/>
              </w:rPr>
            </w:pPr>
            <w:hyperlink r:id="rId14" w:history="1">
              <w:r w:rsidRPr="00B91EDD">
                <w:rPr>
                  <w:rStyle w:val="Hyperlink"/>
                  <w:sz w:val="20"/>
                  <w:lang w:val="fr-CA"/>
                </w:rPr>
                <w:t>2016 CanLII 101484</w:t>
              </w:r>
            </w:hyperlink>
          </w:p>
          <w:p w:rsidR="00D65797" w:rsidRPr="00B91EDD" w:rsidRDefault="00D65797" w:rsidP="00D65797">
            <w:pPr>
              <w:jc w:val="both"/>
              <w:rPr>
                <w:sz w:val="20"/>
                <w:lang w:val="fr-CA"/>
              </w:rPr>
            </w:pPr>
          </w:p>
        </w:tc>
        <w:tc>
          <w:tcPr>
            <w:tcW w:w="267" w:type="pct"/>
          </w:tcPr>
          <w:p w:rsidR="00D65797" w:rsidRPr="00B91EDD" w:rsidRDefault="00D65797" w:rsidP="00D65797">
            <w:pPr>
              <w:jc w:val="both"/>
              <w:rPr>
                <w:sz w:val="20"/>
                <w:lang w:val="fr-CA"/>
              </w:rPr>
            </w:pPr>
          </w:p>
        </w:tc>
        <w:tc>
          <w:tcPr>
            <w:tcW w:w="2366" w:type="pct"/>
            <w:gridSpan w:val="2"/>
          </w:tcPr>
          <w:p w:rsidR="00D65797" w:rsidRPr="00B91EDD" w:rsidRDefault="00D65797" w:rsidP="00D65797">
            <w:pPr>
              <w:jc w:val="both"/>
              <w:rPr>
                <w:sz w:val="20"/>
                <w:lang w:val="fr-CA"/>
              </w:rPr>
            </w:pPr>
            <w:r w:rsidRPr="00B91EDD">
              <w:rPr>
                <w:sz w:val="20"/>
                <w:lang w:val="fr-CA"/>
              </w:rPr>
              <w:t>Motifs supplémentaires de la Cour d’appel au soutien de son arrêt du 24 octobre 2016 (voir ci-dessus).</w:t>
            </w:r>
          </w:p>
          <w:p w:rsidR="00D65797" w:rsidRPr="00B91EDD" w:rsidRDefault="00D65797" w:rsidP="00D65797">
            <w:pPr>
              <w:jc w:val="both"/>
              <w:rPr>
                <w:sz w:val="20"/>
                <w:lang w:val="fr-CA"/>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lang w:val="fr-CA"/>
              </w:rPr>
            </w:pPr>
            <w:r w:rsidRPr="00B91EDD">
              <w:rPr>
                <w:sz w:val="20"/>
                <w:lang w:val="fr-CA"/>
              </w:rPr>
              <w:t>23 janvier 2017</w:t>
            </w:r>
          </w:p>
          <w:p w:rsidR="00D65797" w:rsidRPr="00B91EDD" w:rsidRDefault="00D65797" w:rsidP="00D65797">
            <w:pPr>
              <w:jc w:val="both"/>
              <w:rPr>
                <w:sz w:val="20"/>
                <w:lang w:val="fr-CA"/>
              </w:rPr>
            </w:pPr>
            <w:r w:rsidRPr="00B91EDD">
              <w:rPr>
                <w:sz w:val="20"/>
                <w:lang w:val="fr-CA"/>
              </w:rPr>
              <w:t>Cour suprême du Canada</w:t>
            </w:r>
          </w:p>
          <w:p w:rsidR="00D65797" w:rsidRPr="00B91EDD" w:rsidRDefault="00D65797" w:rsidP="00D65797">
            <w:pPr>
              <w:jc w:val="both"/>
              <w:rPr>
                <w:sz w:val="20"/>
                <w:lang w:val="fr-CA"/>
              </w:rPr>
            </w:pPr>
          </w:p>
        </w:tc>
        <w:tc>
          <w:tcPr>
            <w:tcW w:w="267" w:type="pct"/>
          </w:tcPr>
          <w:p w:rsidR="00D65797" w:rsidRPr="00B91EDD" w:rsidRDefault="00D65797" w:rsidP="00D65797">
            <w:pPr>
              <w:jc w:val="both"/>
              <w:rPr>
                <w:sz w:val="20"/>
                <w:lang w:val="fr-CA"/>
              </w:rPr>
            </w:pPr>
          </w:p>
        </w:tc>
        <w:tc>
          <w:tcPr>
            <w:tcW w:w="2366" w:type="pct"/>
            <w:gridSpan w:val="2"/>
          </w:tcPr>
          <w:p w:rsidR="00D65797" w:rsidRPr="00B91EDD" w:rsidRDefault="00D65797" w:rsidP="00D65797">
            <w:pPr>
              <w:jc w:val="both"/>
              <w:rPr>
                <w:sz w:val="20"/>
                <w:lang w:val="fr-CA"/>
              </w:rPr>
            </w:pPr>
            <w:r w:rsidRPr="00B91EDD">
              <w:rPr>
                <w:sz w:val="20"/>
                <w:lang w:val="fr-CA"/>
              </w:rPr>
              <w:t>Dépôt de la demande d’autorisation d’appel.</w:t>
            </w:r>
          </w:p>
          <w:p w:rsidR="00D65797" w:rsidRPr="00B91EDD" w:rsidRDefault="00D65797" w:rsidP="00D65797">
            <w:pPr>
              <w:jc w:val="both"/>
              <w:rPr>
                <w:sz w:val="20"/>
                <w:lang w:val="fr-CA"/>
              </w:rPr>
            </w:pPr>
          </w:p>
        </w:tc>
      </w:tr>
      <w:tr w:rsidR="00D65797" w:rsidRPr="00B91EDD" w:rsidTr="00B108BB">
        <w:tblPrEx>
          <w:tblCellMar>
            <w:bottom w:w="0" w:type="dxa"/>
          </w:tblCellMar>
        </w:tblPrEx>
        <w:tc>
          <w:tcPr>
            <w:tcW w:w="2367" w:type="pct"/>
            <w:gridSpan w:val="2"/>
          </w:tcPr>
          <w:p w:rsidR="00D65797" w:rsidRPr="00B91EDD" w:rsidRDefault="00D65797" w:rsidP="00D65797">
            <w:pPr>
              <w:jc w:val="both"/>
              <w:rPr>
                <w:sz w:val="20"/>
                <w:lang w:val="fr-CA"/>
              </w:rPr>
            </w:pPr>
            <w:r w:rsidRPr="00B91EDD">
              <w:rPr>
                <w:sz w:val="20"/>
                <w:lang w:val="fr-CA"/>
              </w:rPr>
              <w:t>24 mars 2017</w:t>
            </w:r>
          </w:p>
          <w:p w:rsidR="00D65797" w:rsidRPr="00B91EDD" w:rsidRDefault="00D65797" w:rsidP="00D65797">
            <w:pPr>
              <w:jc w:val="both"/>
              <w:rPr>
                <w:sz w:val="20"/>
                <w:lang w:val="fr-CA"/>
              </w:rPr>
            </w:pPr>
            <w:r w:rsidRPr="00B91EDD">
              <w:rPr>
                <w:sz w:val="20"/>
                <w:lang w:val="fr-CA"/>
              </w:rPr>
              <w:t>Cour suprême du Canada</w:t>
            </w:r>
          </w:p>
        </w:tc>
        <w:tc>
          <w:tcPr>
            <w:tcW w:w="267" w:type="pct"/>
          </w:tcPr>
          <w:p w:rsidR="00D65797" w:rsidRPr="00B91EDD" w:rsidRDefault="00D65797" w:rsidP="00D65797">
            <w:pPr>
              <w:jc w:val="both"/>
              <w:rPr>
                <w:sz w:val="20"/>
                <w:lang w:val="fr-CA"/>
              </w:rPr>
            </w:pPr>
          </w:p>
        </w:tc>
        <w:tc>
          <w:tcPr>
            <w:tcW w:w="2366" w:type="pct"/>
            <w:gridSpan w:val="2"/>
          </w:tcPr>
          <w:p w:rsidR="00D65797" w:rsidRPr="00B91EDD" w:rsidRDefault="00D65797" w:rsidP="00D65797">
            <w:pPr>
              <w:jc w:val="both"/>
              <w:rPr>
                <w:sz w:val="20"/>
                <w:lang w:val="fr-CA"/>
              </w:rPr>
            </w:pPr>
            <w:r w:rsidRPr="00B91EDD">
              <w:rPr>
                <w:sz w:val="20"/>
                <w:lang w:val="fr-CA"/>
              </w:rPr>
              <w:t>Dépôt de la demande d’autorisation d’appel incident.</w:t>
            </w:r>
          </w:p>
          <w:p w:rsidR="00D65797" w:rsidRPr="00B91EDD" w:rsidRDefault="00D65797" w:rsidP="00D65797">
            <w:pPr>
              <w:jc w:val="both"/>
              <w:rPr>
                <w:sz w:val="20"/>
                <w:lang w:val="fr-CA"/>
              </w:rPr>
            </w:pPr>
          </w:p>
        </w:tc>
      </w:tr>
    </w:tbl>
    <w:p w:rsidR="00D65797" w:rsidRPr="00B91EDD" w:rsidRDefault="00D65797" w:rsidP="001E0AE1">
      <w:pPr>
        <w:ind w:left="360" w:hanging="360"/>
        <w:jc w:val="both"/>
        <w:rPr>
          <w:sz w:val="20"/>
          <w:lang w:val="fr-CA" w:eastAsia="en-CA"/>
        </w:rPr>
      </w:pPr>
    </w:p>
    <w:p w:rsidR="00D65797" w:rsidRPr="00B91EDD" w:rsidRDefault="00D65797" w:rsidP="001E0AE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0AE1" w:rsidRPr="00B91EDD" w:rsidTr="00E92BFE">
        <w:tc>
          <w:tcPr>
            <w:tcW w:w="543" w:type="pct"/>
          </w:tcPr>
          <w:p w:rsidR="001E0AE1" w:rsidRPr="00B91EDD" w:rsidRDefault="001E0AE1" w:rsidP="001E0AE1">
            <w:pPr>
              <w:jc w:val="both"/>
              <w:rPr>
                <w:sz w:val="20"/>
              </w:rPr>
            </w:pPr>
            <w:r w:rsidRPr="00B91EDD">
              <w:rPr>
                <w:rStyle w:val="SCCFileNumberChar"/>
                <w:sz w:val="20"/>
                <w:szCs w:val="20"/>
              </w:rPr>
              <w:t>37505</w:t>
            </w:r>
          </w:p>
        </w:tc>
        <w:tc>
          <w:tcPr>
            <w:tcW w:w="4457" w:type="pct"/>
            <w:gridSpan w:val="3"/>
          </w:tcPr>
          <w:p w:rsidR="001E0AE1" w:rsidRPr="00B91EDD" w:rsidRDefault="001E0AE1" w:rsidP="001E0AE1">
            <w:pPr>
              <w:pStyle w:val="SCCLsocParty"/>
              <w:jc w:val="both"/>
              <w:rPr>
                <w:b/>
                <w:sz w:val="20"/>
                <w:szCs w:val="20"/>
                <w:lang w:val="en-US"/>
              </w:rPr>
            </w:pPr>
            <w:r w:rsidRPr="00B91EDD">
              <w:rPr>
                <w:b/>
                <w:sz w:val="20"/>
                <w:szCs w:val="20"/>
                <w:lang w:val="en-US"/>
              </w:rPr>
              <w:t xml:space="preserve">Denis </w:t>
            </w:r>
            <w:proofErr w:type="spellStart"/>
            <w:r w:rsidRPr="00B91EDD">
              <w:rPr>
                <w:b/>
                <w:sz w:val="20"/>
                <w:szCs w:val="20"/>
                <w:lang w:val="en-US"/>
              </w:rPr>
              <w:t>Saciragic</w:t>
            </w:r>
            <w:proofErr w:type="spellEnd"/>
            <w:r w:rsidRPr="00B91EDD">
              <w:rPr>
                <w:b/>
                <w:sz w:val="20"/>
                <w:szCs w:val="20"/>
                <w:lang w:val="en-US"/>
              </w:rPr>
              <w:t xml:space="preserve"> v. Her Majesty the Queen</w:t>
            </w:r>
          </w:p>
          <w:p w:rsidR="001E0AE1" w:rsidRPr="00B91EDD" w:rsidRDefault="001E0AE1" w:rsidP="001E0AE1">
            <w:pPr>
              <w:jc w:val="both"/>
              <w:rPr>
                <w:sz w:val="20"/>
              </w:rPr>
            </w:pPr>
            <w:r w:rsidRPr="00B91EDD">
              <w:rPr>
                <w:sz w:val="20"/>
              </w:rPr>
              <w:t>(Ont.) (Criminal) (By Leave)</w:t>
            </w:r>
          </w:p>
        </w:tc>
      </w:tr>
      <w:tr w:rsidR="001E0AE1" w:rsidRPr="00B91EDD" w:rsidTr="00E92BFE">
        <w:tc>
          <w:tcPr>
            <w:tcW w:w="5000" w:type="pct"/>
            <w:gridSpan w:val="4"/>
          </w:tcPr>
          <w:p w:rsidR="001E0AE1" w:rsidRPr="00B91EDD" w:rsidRDefault="001E0AE1" w:rsidP="001E0AE1">
            <w:pPr>
              <w:jc w:val="both"/>
              <w:rPr>
                <w:sz w:val="20"/>
              </w:rPr>
            </w:pPr>
            <w:r w:rsidRPr="00B91EDD">
              <w:rPr>
                <w:i/>
                <w:sz w:val="20"/>
              </w:rPr>
              <w:t>Charter of Rights</w:t>
            </w:r>
            <w:r w:rsidRPr="00B91EDD">
              <w:rPr>
                <w:sz w:val="20"/>
              </w:rPr>
              <w:t xml:space="preserve"> – Criminal law – Search and seizure – Is there a reasonable expectation of privacy in information gathered in the common areas of multi-unit buildings – Did the Court of Appeal for Ontario err in law in concluding that the applicant's rights under section 8 of the </w:t>
            </w:r>
            <w:r w:rsidRPr="00B91EDD">
              <w:rPr>
                <w:i/>
                <w:iCs/>
                <w:sz w:val="20"/>
              </w:rPr>
              <w:t xml:space="preserve">Canadian Charter of Rights and Freedoms </w:t>
            </w:r>
            <w:r w:rsidRPr="00B91EDD">
              <w:rPr>
                <w:sz w:val="20"/>
              </w:rPr>
              <w:t xml:space="preserve">were not violated as he </w:t>
            </w:r>
            <w:r w:rsidRPr="00B91EDD">
              <w:rPr>
                <w:sz w:val="20"/>
              </w:rPr>
              <w:lastRenderedPageBreak/>
              <w:t>lacked any reasonable expectation of privacy in relation to the records held by the building management and the information provided to the police.</w:t>
            </w:r>
          </w:p>
          <w:p w:rsidR="001E0AE1" w:rsidRPr="00B91EDD" w:rsidRDefault="001E0AE1" w:rsidP="001E0AE1">
            <w:pPr>
              <w:jc w:val="both"/>
              <w:rPr>
                <w:sz w:val="20"/>
              </w:rPr>
            </w:pPr>
          </w:p>
        </w:tc>
      </w:tr>
      <w:tr w:rsidR="001E0AE1" w:rsidRPr="00B91EDD" w:rsidTr="00E92BFE">
        <w:tc>
          <w:tcPr>
            <w:tcW w:w="5000" w:type="pct"/>
            <w:gridSpan w:val="4"/>
          </w:tcPr>
          <w:p w:rsidR="001E0AE1" w:rsidRPr="00B91EDD" w:rsidRDefault="001E0AE1" w:rsidP="001E0AE1">
            <w:pPr>
              <w:jc w:val="both"/>
              <w:rPr>
                <w:sz w:val="20"/>
              </w:rPr>
            </w:pPr>
            <w:r w:rsidRPr="00B91EDD">
              <w:rPr>
                <w:sz w:val="20"/>
              </w:rPr>
              <w:lastRenderedPageBreak/>
              <w:t xml:space="preserve">While under police surveillance, the applicant was seen stopping in the garage of a condominium complex for 23 minutes, then subsequently driving to meet another person in an isolated parking lot. The applicant handed the second person a package. Both men were eventually apprehended, and the package was found to contain cocaine. The applicant was charged with trafficking cocaine and possession for the purpose of trafficking cocaine. The applicant’s car was searched at the time of his arrest, and keys and a fob were found. Based upon information from the fob and from the property manager of the condominium complex, police identified the unit likely entered by the applicant and considered it likely that the unit was being used as the applicant’s stash house. They carried out a warrantless search and subsequently obtained and executed a search warrant that day. Police found and seized nine kilograms of cocaine in the unit. </w:t>
            </w:r>
          </w:p>
          <w:p w:rsidR="001E0AE1" w:rsidRPr="00B91EDD" w:rsidRDefault="001E0AE1" w:rsidP="001E0AE1">
            <w:pPr>
              <w:jc w:val="both"/>
              <w:rPr>
                <w:sz w:val="20"/>
              </w:rPr>
            </w:pPr>
          </w:p>
          <w:p w:rsidR="001E0AE1" w:rsidRPr="00B91EDD" w:rsidRDefault="001E0AE1" w:rsidP="001E0AE1">
            <w:pPr>
              <w:jc w:val="both"/>
              <w:rPr>
                <w:sz w:val="20"/>
              </w:rPr>
            </w:pPr>
            <w:r w:rsidRPr="00B91EDD">
              <w:rPr>
                <w:sz w:val="20"/>
              </w:rPr>
              <w:t xml:space="preserve">On a pre-trial application the applicant successfully argued that an absence of exigent circumstances rendered the warrantless search of the condominium unreasonable and an infringement of his s. 8 </w:t>
            </w:r>
            <w:r w:rsidRPr="00B91EDD">
              <w:rPr>
                <w:i/>
                <w:sz w:val="20"/>
              </w:rPr>
              <w:t>Charter</w:t>
            </w:r>
            <w:r w:rsidRPr="00B91EDD">
              <w:rPr>
                <w:sz w:val="20"/>
              </w:rPr>
              <w:t xml:space="preserve"> right. However, the Ontario Superior Court of Justice dismissed the applicant’s application to exclude all evidence seized pursuant to his arrest and the warrant authorized search of the condominium. He was convicted of drug trafficking and possession for the purposes of trafficking. The Court of Appeal for Ontario dismissed his appeal. The applicant challenges that decision as not recognizing a reasonable expectation of privacy for information held by property managers and activities taking place in the common areas of multi-unit buildings.</w:t>
            </w:r>
          </w:p>
        </w:tc>
      </w:tr>
      <w:tr w:rsidR="001E0AE1" w:rsidRPr="00B91EDD" w:rsidTr="00E92BFE">
        <w:tc>
          <w:tcPr>
            <w:tcW w:w="5000" w:type="pct"/>
            <w:gridSpan w:val="4"/>
          </w:tcPr>
          <w:p w:rsidR="001E0AE1" w:rsidRPr="00B91EDD" w:rsidRDefault="001E0AE1" w:rsidP="001E0AE1">
            <w:pPr>
              <w:jc w:val="both"/>
              <w:rPr>
                <w:sz w:val="20"/>
              </w:rPr>
            </w:pPr>
          </w:p>
        </w:tc>
      </w:tr>
      <w:tr w:rsidR="001E0AE1" w:rsidRPr="00B91EDD" w:rsidTr="00E92BFE">
        <w:tc>
          <w:tcPr>
            <w:tcW w:w="2427" w:type="pct"/>
            <w:gridSpan w:val="2"/>
          </w:tcPr>
          <w:p w:rsidR="001E0AE1" w:rsidRPr="00B91EDD" w:rsidRDefault="001E0AE1" w:rsidP="001E0AE1">
            <w:pPr>
              <w:jc w:val="both"/>
              <w:rPr>
                <w:sz w:val="20"/>
              </w:rPr>
            </w:pPr>
            <w:r w:rsidRPr="00B91EDD">
              <w:rPr>
                <w:sz w:val="20"/>
              </w:rPr>
              <w:t>December 11, 2013</w:t>
            </w:r>
          </w:p>
          <w:p w:rsidR="001E0AE1" w:rsidRPr="00B91EDD" w:rsidRDefault="001E0AE1" w:rsidP="001E0AE1">
            <w:pPr>
              <w:jc w:val="both"/>
              <w:rPr>
                <w:sz w:val="20"/>
              </w:rPr>
            </w:pPr>
            <w:r w:rsidRPr="00B91EDD">
              <w:rPr>
                <w:sz w:val="20"/>
              </w:rPr>
              <w:t>Ontario Superior Court of Justice</w:t>
            </w:r>
          </w:p>
          <w:p w:rsidR="001E0AE1" w:rsidRPr="00B91EDD" w:rsidRDefault="001E0AE1" w:rsidP="001E0AE1">
            <w:pPr>
              <w:jc w:val="both"/>
              <w:rPr>
                <w:sz w:val="20"/>
              </w:rPr>
            </w:pPr>
            <w:r w:rsidRPr="00B91EDD">
              <w:rPr>
                <w:sz w:val="20"/>
              </w:rPr>
              <w:t>(</w:t>
            </w:r>
            <w:proofErr w:type="spellStart"/>
            <w:r w:rsidRPr="00B91EDD">
              <w:rPr>
                <w:sz w:val="20"/>
              </w:rPr>
              <w:t>Croll</w:t>
            </w:r>
            <w:proofErr w:type="spellEnd"/>
            <w:r w:rsidRPr="00B91EDD">
              <w:rPr>
                <w:sz w:val="20"/>
              </w:rPr>
              <w:t xml:space="preserve"> J.)</w:t>
            </w:r>
          </w:p>
          <w:p w:rsidR="001E0AE1" w:rsidRPr="00B91EDD" w:rsidRDefault="00B91EDD" w:rsidP="001E0AE1">
            <w:pPr>
              <w:jc w:val="both"/>
              <w:rPr>
                <w:sz w:val="20"/>
              </w:rPr>
            </w:pPr>
            <w:hyperlink r:id="rId15" w:history="1">
              <w:r w:rsidR="001E0AE1" w:rsidRPr="00B91EDD">
                <w:rPr>
                  <w:rStyle w:val="Hyperlink"/>
                  <w:sz w:val="20"/>
                </w:rPr>
                <w:t>2013 ONSC 7648</w:t>
              </w:r>
            </w:hyperlink>
          </w:p>
          <w:p w:rsidR="001E0AE1" w:rsidRPr="00B91EDD" w:rsidRDefault="001E0AE1" w:rsidP="001E0AE1">
            <w:pPr>
              <w:jc w:val="both"/>
              <w:rPr>
                <w:sz w:val="20"/>
              </w:rPr>
            </w:pPr>
          </w:p>
        </w:tc>
        <w:tc>
          <w:tcPr>
            <w:tcW w:w="243" w:type="pct"/>
          </w:tcPr>
          <w:p w:rsidR="001E0AE1" w:rsidRPr="00B91EDD" w:rsidRDefault="001E0AE1" w:rsidP="001E0AE1">
            <w:pPr>
              <w:jc w:val="both"/>
              <w:rPr>
                <w:sz w:val="20"/>
              </w:rPr>
            </w:pPr>
          </w:p>
        </w:tc>
        <w:tc>
          <w:tcPr>
            <w:tcW w:w="2330" w:type="pct"/>
          </w:tcPr>
          <w:p w:rsidR="001E0AE1" w:rsidRPr="00B91EDD" w:rsidRDefault="001E0AE1" w:rsidP="001E0AE1">
            <w:pPr>
              <w:jc w:val="both"/>
              <w:rPr>
                <w:sz w:val="20"/>
              </w:rPr>
            </w:pPr>
            <w:r w:rsidRPr="00B91EDD">
              <w:rPr>
                <w:sz w:val="20"/>
              </w:rPr>
              <w:t>Applicant’s application to exclude all evidence seized pursuant to his arrest and search of a condominium, dismissed</w:t>
            </w:r>
          </w:p>
          <w:p w:rsidR="001E0AE1" w:rsidRPr="00B91EDD" w:rsidRDefault="001E0AE1" w:rsidP="001E0AE1">
            <w:pPr>
              <w:jc w:val="both"/>
              <w:rPr>
                <w:sz w:val="20"/>
              </w:rPr>
            </w:pPr>
          </w:p>
        </w:tc>
      </w:tr>
      <w:tr w:rsidR="001E0AE1" w:rsidRPr="00B91EDD" w:rsidTr="00E92BFE">
        <w:tc>
          <w:tcPr>
            <w:tcW w:w="2427" w:type="pct"/>
            <w:gridSpan w:val="2"/>
          </w:tcPr>
          <w:p w:rsidR="001E0AE1" w:rsidRPr="00B91EDD" w:rsidRDefault="001E0AE1" w:rsidP="001E0AE1">
            <w:pPr>
              <w:jc w:val="both"/>
              <w:rPr>
                <w:sz w:val="20"/>
              </w:rPr>
            </w:pPr>
            <w:r w:rsidRPr="00B91EDD">
              <w:rPr>
                <w:sz w:val="20"/>
              </w:rPr>
              <w:t>February 2, 2017</w:t>
            </w:r>
          </w:p>
          <w:p w:rsidR="001E0AE1" w:rsidRPr="00B91EDD" w:rsidRDefault="001E0AE1" w:rsidP="001E0AE1">
            <w:pPr>
              <w:jc w:val="both"/>
              <w:rPr>
                <w:sz w:val="20"/>
              </w:rPr>
            </w:pPr>
            <w:r w:rsidRPr="00B91EDD">
              <w:rPr>
                <w:sz w:val="20"/>
              </w:rPr>
              <w:t>Court of Appeal for Ontario</w:t>
            </w:r>
          </w:p>
          <w:p w:rsidR="001E0AE1" w:rsidRPr="00B91EDD" w:rsidRDefault="001E0AE1" w:rsidP="001E0AE1">
            <w:pPr>
              <w:jc w:val="both"/>
              <w:rPr>
                <w:sz w:val="20"/>
              </w:rPr>
            </w:pPr>
            <w:r w:rsidRPr="00B91EDD">
              <w:rPr>
                <w:sz w:val="20"/>
              </w:rPr>
              <w:t xml:space="preserve">(Feldman, </w:t>
            </w:r>
            <w:proofErr w:type="spellStart"/>
            <w:r w:rsidRPr="00B91EDD">
              <w:rPr>
                <w:sz w:val="20"/>
              </w:rPr>
              <w:t>Benotto</w:t>
            </w:r>
            <w:proofErr w:type="spellEnd"/>
            <w:r w:rsidRPr="00B91EDD">
              <w:rPr>
                <w:sz w:val="20"/>
              </w:rPr>
              <w:t xml:space="preserve"> and Miller JJ.A.)</w:t>
            </w:r>
          </w:p>
          <w:p w:rsidR="001E0AE1" w:rsidRPr="00B91EDD" w:rsidRDefault="00B91EDD" w:rsidP="001E0AE1">
            <w:pPr>
              <w:jc w:val="both"/>
              <w:rPr>
                <w:sz w:val="20"/>
              </w:rPr>
            </w:pPr>
            <w:hyperlink r:id="rId16" w:history="1">
              <w:r w:rsidR="001E0AE1" w:rsidRPr="00B91EDD">
                <w:rPr>
                  <w:rStyle w:val="Hyperlink"/>
                  <w:sz w:val="20"/>
                </w:rPr>
                <w:t>2017 ONCA 91</w:t>
              </w:r>
            </w:hyperlink>
            <w:r w:rsidR="001E0AE1" w:rsidRPr="00B91EDD">
              <w:rPr>
                <w:sz w:val="20"/>
              </w:rPr>
              <w:t>; C58368</w:t>
            </w:r>
          </w:p>
          <w:p w:rsidR="001E0AE1" w:rsidRPr="00B91EDD" w:rsidRDefault="001E0AE1" w:rsidP="001E0AE1">
            <w:pPr>
              <w:jc w:val="both"/>
              <w:rPr>
                <w:sz w:val="20"/>
              </w:rPr>
            </w:pPr>
          </w:p>
        </w:tc>
        <w:tc>
          <w:tcPr>
            <w:tcW w:w="243" w:type="pct"/>
          </w:tcPr>
          <w:p w:rsidR="001E0AE1" w:rsidRPr="00B91EDD" w:rsidRDefault="001E0AE1" w:rsidP="001E0AE1">
            <w:pPr>
              <w:jc w:val="both"/>
              <w:rPr>
                <w:sz w:val="20"/>
              </w:rPr>
            </w:pPr>
          </w:p>
        </w:tc>
        <w:tc>
          <w:tcPr>
            <w:tcW w:w="2330" w:type="pct"/>
          </w:tcPr>
          <w:p w:rsidR="001E0AE1" w:rsidRPr="00B91EDD" w:rsidRDefault="001E0AE1" w:rsidP="001E0AE1">
            <w:pPr>
              <w:jc w:val="both"/>
              <w:rPr>
                <w:sz w:val="20"/>
              </w:rPr>
            </w:pPr>
            <w:r w:rsidRPr="00B91EDD">
              <w:rPr>
                <w:sz w:val="20"/>
              </w:rPr>
              <w:t>Appeal dismissed</w:t>
            </w:r>
          </w:p>
          <w:p w:rsidR="001E0AE1" w:rsidRPr="00B91EDD" w:rsidRDefault="001E0AE1" w:rsidP="001E0AE1">
            <w:pPr>
              <w:jc w:val="both"/>
              <w:rPr>
                <w:sz w:val="20"/>
              </w:rPr>
            </w:pPr>
          </w:p>
        </w:tc>
      </w:tr>
      <w:tr w:rsidR="001E0AE1" w:rsidRPr="00B91EDD" w:rsidTr="00E92BFE">
        <w:tc>
          <w:tcPr>
            <w:tcW w:w="2427" w:type="pct"/>
            <w:gridSpan w:val="2"/>
          </w:tcPr>
          <w:p w:rsidR="001E0AE1" w:rsidRPr="00B91EDD" w:rsidRDefault="001E0AE1" w:rsidP="001E0AE1">
            <w:pPr>
              <w:jc w:val="both"/>
              <w:rPr>
                <w:sz w:val="20"/>
              </w:rPr>
            </w:pPr>
            <w:r w:rsidRPr="00B91EDD">
              <w:rPr>
                <w:sz w:val="20"/>
              </w:rPr>
              <w:t>March 30, 2017</w:t>
            </w:r>
          </w:p>
          <w:p w:rsidR="001E0AE1" w:rsidRPr="00B91EDD" w:rsidRDefault="001E0AE1" w:rsidP="001E0AE1">
            <w:pPr>
              <w:jc w:val="both"/>
              <w:rPr>
                <w:sz w:val="20"/>
              </w:rPr>
            </w:pPr>
            <w:r w:rsidRPr="00B91EDD">
              <w:rPr>
                <w:sz w:val="20"/>
              </w:rPr>
              <w:t>Supreme Court of Canada</w:t>
            </w:r>
          </w:p>
        </w:tc>
        <w:tc>
          <w:tcPr>
            <w:tcW w:w="243" w:type="pct"/>
          </w:tcPr>
          <w:p w:rsidR="001E0AE1" w:rsidRPr="00B91EDD" w:rsidRDefault="001E0AE1" w:rsidP="001E0AE1">
            <w:pPr>
              <w:jc w:val="both"/>
              <w:rPr>
                <w:sz w:val="20"/>
              </w:rPr>
            </w:pPr>
          </w:p>
        </w:tc>
        <w:tc>
          <w:tcPr>
            <w:tcW w:w="2330" w:type="pct"/>
          </w:tcPr>
          <w:p w:rsidR="001E0AE1" w:rsidRPr="00B91EDD" w:rsidRDefault="001E0AE1" w:rsidP="001E0AE1">
            <w:pPr>
              <w:jc w:val="both"/>
              <w:rPr>
                <w:sz w:val="20"/>
              </w:rPr>
            </w:pPr>
            <w:r w:rsidRPr="00B91EDD">
              <w:rPr>
                <w:sz w:val="20"/>
              </w:rPr>
              <w:t>Application for leave to appeal filed</w:t>
            </w:r>
          </w:p>
          <w:p w:rsidR="001E0AE1" w:rsidRPr="00B91EDD" w:rsidRDefault="001E0AE1" w:rsidP="001E0AE1">
            <w:pPr>
              <w:jc w:val="both"/>
              <w:rPr>
                <w:sz w:val="20"/>
              </w:rPr>
            </w:pPr>
          </w:p>
        </w:tc>
      </w:tr>
    </w:tbl>
    <w:p w:rsidR="001E0AE1" w:rsidRPr="00B91EDD" w:rsidRDefault="001E0AE1" w:rsidP="001E0AE1">
      <w:pPr>
        <w:jc w:val="both"/>
        <w:rPr>
          <w:sz w:val="20"/>
        </w:rPr>
      </w:pPr>
    </w:p>
    <w:p w:rsidR="00F800E6" w:rsidRPr="00B91EDD" w:rsidRDefault="00F800E6" w:rsidP="001E0AE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0AE1" w:rsidRPr="00B91EDD" w:rsidTr="00E92BFE">
        <w:tc>
          <w:tcPr>
            <w:tcW w:w="543" w:type="pct"/>
          </w:tcPr>
          <w:p w:rsidR="001E0AE1" w:rsidRPr="00B91EDD" w:rsidRDefault="001E0AE1" w:rsidP="001E0AE1">
            <w:pPr>
              <w:jc w:val="both"/>
              <w:rPr>
                <w:sz w:val="20"/>
                <w:lang w:val="fr-CA"/>
              </w:rPr>
            </w:pPr>
            <w:r w:rsidRPr="00B91EDD">
              <w:rPr>
                <w:rStyle w:val="SCCFileNumberChar"/>
                <w:sz w:val="20"/>
                <w:szCs w:val="20"/>
                <w:lang w:val="fr-CA"/>
              </w:rPr>
              <w:t>37505</w:t>
            </w:r>
          </w:p>
        </w:tc>
        <w:tc>
          <w:tcPr>
            <w:tcW w:w="4457" w:type="pct"/>
            <w:gridSpan w:val="3"/>
          </w:tcPr>
          <w:p w:rsidR="001E0AE1" w:rsidRPr="00B91EDD" w:rsidRDefault="001E0AE1" w:rsidP="001E0AE1">
            <w:pPr>
              <w:pStyle w:val="SCCLsocParty"/>
              <w:jc w:val="both"/>
              <w:rPr>
                <w:b/>
                <w:sz w:val="20"/>
                <w:szCs w:val="20"/>
              </w:rPr>
            </w:pPr>
            <w:r w:rsidRPr="00B91EDD">
              <w:rPr>
                <w:b/>
                <w:sz w:val="20"/>
                <w:szCs w:val="20"/>
              </w:rPr>
              <w:t>Denis Saciragic c. Sa Majesté la Reine</w:t>
            </w:r>
          </w:p>
          <w:p w:rsidR="001E0AE1" w:rsidRPr="00B91EDD" w:rsidRDefault="001E0AE1" w:rsidP="001E0AE1">
            <w:pPr>
              <w:jc w:val="both"/>
              <w:rPr>
                <w:sz w:val="20"/>
                <w:lang w:val="fr-CA"/>
              </w:rPr>
            </w:pPr>
            <w:r w:rsidRPr="00B91EDD">
              <w:rPr>
                <w:sz w:val="20"/>
                <w:lang w:val="fr-CA"/>
              </w:rPr>
              <w:t>(Ont.) (Criminelle) (Sur autorisation)</w:t>
            </w:r>
          </w:p>
        </w:tc>
      </w:tr>
      <w:tr w:rsidR="001E0AE1" w:rsidRPr="00B91EDD" w:rsidTr="00E92BFE">
        <w:tc>
          <w:tcPr>
            <w:tcW w:w="5000" w:type="pct"/>
            <w:gridSpan w:val="4"/>
          </w:tcPr>
          <w:p w:rsidR="001E0AE1" w:rsidRPr="00B91EDD" w:rsidRDefault="001E0AE1" w:rsidP="001E0AE1">
            <w:pPr>
              <w:jc w:val="both"/>
              <w:rPr>
                <w:sz w:val="20"/>
                <w:lang w:val="fr-CA"/>
              </w:rPr>
            </w:pPr>
            <w:r w:rsidRPr="00B91EDD">
              <w:rPr>
                <w:i/>
                <w:sz w:val="20"/>
                <w:lang w:val="fr-CA"/>
              </w:rPr>
              <w:t>Charte des droits</w:t>
            </w:r>
            <w:r w:rsidRPr="00B91EDD">
              <w:rPr>
                <w:sz w:val="20"/>
                <w:lang w:val="fr-CA"/>
              </w:rPr>
              <w:t xml:space="preserve"> – Droit criminel – Fouilles, perquisitions et saisies – Existe-t-il une attente raisonnable en matière de protection de la vie privée à l’égard de renseignements recueillis dans les aires communes d’immeubles à logements multiples? – La Cour d’appel de l’Ontario a-t-elle commis une erreur de droit en concluant que les droits que l’art. 8 de la </w:t>
            </w:r>
            <w:r w:rsidRPr="00B91EDD">
              <w:rPr>
                <w:i/>
                <w:iCs/>
                <w:sz w:val="20"/>
                <w:lang w:val="fr-CA"/>
              </w:rPr>
              <w:t xml:space="preserve">Charte canadienne des droits et libertés </w:t>
            </w:r>
            <w:r w:rsidRPr="00B91EDD">
              <w:rPr>
                <w:iCs/>
                <w:sz w:val="20"/>
                <w:lang w:val="fr-CA"/>
              </w:rPr>
              <w:t>garantit au demandeur</w:t>
            </w:r>
            <w:r w:rsidRPr="00B91EDD">
              <w:rPr>
                <w:i/>
                <w:iCs/>
                <w:sz w:val="20"/>
                <w:lang w:val="fr-CA"/>
              </w:rPr>
              <w:t xml:space="preserve"> </w:t>
            </w:r>
            <w:r w:rsidRPr="00B91EDD">
              <w:rPr>
                <w:sz w:val="20"/>
                <w:lang w:val="fr-CA"/>
              </w:rPr>
              <w:t>n’avaient pas été violés, puisque ce dernier ne pouvait avoir d’attente raisonnable en matière de protection de la vie privée à l’égard des documents détenus par la direction de l’immeuble et des renseignements fournis à la police?</w:t>
            </w:r>
          </w:p>
          <w:p w:rsidR="001E0AE1" w:rsidRPr="00B91EDD" w:rsidRDefault="001E0AE1" w:rsidP="001E0AE1">
            <w:pPr>
              <w:jc w:val="both"/>
              <w:rPr>
                <w:sz w:val="20"/>
                <w:lang w:val="fr-CA"/>
              </w:rPr>
            </w:pPr>
          </w:p>
        </w:tc>
      </w:tr>
      <w:tr w:rsidR="001E0AE1" w:rsidRPr="00B91EDD" w:rsidTr="00E92BFE">
        <w:tc>
          <w:tcPr>
            <w:tcW w:w="5000" w:type="pct"/>
            <w:gridSpan w:val="4"/>
          </w:tcPr>
          <w:p w:rsidR="001E0AE1" w:rsidRPr="00B91EDD" w:rsidRDefault="001E0AE1" w:rsidP="001E0AE1">
            <w:pPr>
              <w:jc w:val="both"/>
              <w:rPr>
                <w:sz w:val="20"/>
                <w:lang w:val="fr-CA"/>
              </w:rPr>
            </w:pPr>
            <w:r w:rsidRPr="00B91EDD">
              <w:rPr>
                <w:sz w:val="20"/>
                <w:lang w:val="fr-CA"/>
              </w:rPr>
              <w:t xml:space="preserve">Alors qu’il se trouvait sous surveillance policière, le demandeur a été aperçu s’arrêtant dans le garage d’un complexe d’habitation en copropriété pendant 23 minutes, puis se dirigeant en voiture à la rencontre quelqu’un d’autre dans un terrain de stationnement isolé. Le demandeur a remis un paquet à l’autre personne. Les deux hommes ont fini par être appréhendés, et on a découvert que le paquet contenait de la cocaïne. Le demandeur a été accusé de trafic de cocaïne et de possession de cocaïne en vue d’en faire le trafic. La voiture du demandeur a été fouillée au moment de son arrestation et on y a trouvé des clés et une télécommande. Sur le fondement de l’information tirée de la télécommande et de renseignements fournis par le gestionnaire du complexe d’habitation en copropriété, les policiers ont identifié l’unité dans laquelle le demandeur est vraisemblablement entré et ils ont considéré probable que l’unité </w:t>
            </w:r>
            <w:r w:rsidRPr="00B91EDD">
              <w:rPr>
                <w:sz w:val="20"/>
                <w:lang w:val="fr-CA"/>
              </w:rPr>
              <w:lastRenderedPageBreak/>
              <w:t xml:space="preserve">servait de planque au demandeur. Ils ont effectué une perquisition sans mandat et subséquemment obtenu et exécuté un mandat de perquisition le jour même. Les policiers ont trouvé et saisi neuf kilogrammes de cocaïne dans l’unité. </w:t>
            </w:r>
          </w:p>
          <w:p w:rsidR="001E0AE1" w:rsidRPr="00B91EDD" w:rsidRDefault="001E0AE1" w:rsidP="001E0AE1">
            <w:pPr>
              <w:jc w:val="both"/>
              <w:rPr>
                <w:sz w:val="20"/>
                <w:lang w:val="fr-CA"/>
              </w:rPr>
            </w:pPr>
          </w:p>
          <w:p w:rsidR="001E0AE1" w:rsidRPr="00B91EDD" w:rsidRDefault="001E0AE1" w:rsidP="001E0AE1">
            <w:pPr>
              <w:jc w:val="both"/>
              <w:rPr>
                <w:sz w:val="20"/>
                <w:lang w:val="fr-CA"/>
              </w:rPr>
            </w:pPr>
            <w:r w:rsidRPr="00B91EDD">
              <w:rPr>
                <w:sz w:val="20"/>
                <w:lang w:val="fr-CA"/>
              </w:rPr>
              <w:t xml:space="preserve">Sur requête préliminaire au procès, le demandeur a plaidé avec succès que l’absence d’urgence de la situation faisait en sorte que la perquisition sans mandat du condominium était déraisonnable et une atteinte au droit que lui garantit l’art. 8 de la </w:t>
            </w:r>
            <w:r w:rsidRPr="00B91EDD">
              <w:rPr>
                <w:i/>
                <w:sz w:val="20"/>
                <w:lang w:val="fr-CA"/>
              </w:rPr>
              <w:t>Charte</w:t>
            </w:r>
            <w:r w:rsidRPr="00B91EDD">
              <w:rPr>
                <w:sz w:val="20"/>
                <w:lang w:val="fr-CA"/>
              </w:rPr>
              <w:t>. Toutefois, la Cour supérieure de justice de l’Ontario a rejeté la demande du demandeur en vue d’exclure tous les éléments de preuve saisis dans le cadre de son arrestation et de la perquisition du condominium autorisée par mandat. Le demandeur a été déclaré coupable de trafic de drogue et de possession en vue d’en faire le trafic. La Cour d’appel de l’Ontario a rejeté son appel. Le demandeur conteste cette décision, puisque, selon lui, elle ne reconnaît pas l’existence d’une attente raisonnable en matière de protection de la vie privée à l’égard des renseignements détenus par les gestionnaires d’immeubles et des activités qui ont lieu dans les aires communes   d’immeubles à logements multiples.</w:t>
            </w:r>
          </w:p>
        </w:tc>
      </w:tr>
      <w:tr w:rsidR="001E0AE1" w:rsidRPr="00B91EDD" w:rsidTr="00E92BFE">
        <w:tc>
          <w:tcPr>
            <w:tcW w:w="5000" w:type="pct"/>
            <w:gridSpan w:val="4"/>
          </w:tcPr>
          <w:p w:rsidR="001E0AE1" w:rsidRPr="00B91EDD" w:rsidRDefault="001E0AE1" w:rsidP="001E0AE1">
            <w:pPr>
              <w:jc w:val="both"/>
              <w:rPr>
                <w:sz w:val="20"/>
                <w:lang w:val="fr-CA"/>
              </w:rPr>
            </w:pPr>
          </w:p>
        </w:tc>
      </w:tr>
      <w:tr w:rsidR="001E0AE1" w:rsidRPr="00B91EDD" w:rsidTr="00E92BFE">
        <w:tc>
          <w:tcPr>
            <w:tcW w:w="2427" w:type="pct"/>
            <w:gridSpan w:val="2"/>
          </w:tcPr>
          <w:p w:rsidR="001E0AE1" w:rsidRPr="00B91EDD" w:rsidRDefault="001E0AE1" w:rsidP="001E0AE1">
            <w:pPr>
              <w:jc w:val="both"/>
              <w:rPr>
                <w:sz w:val="20"/>
                <w:lang w:val="fr-CA"/>
              </w:rPr>
            </w:pPr>
            <w:r w:rsidRPr="00B91EDD">
              <w:rPr>
                <w:sz w:val="20"/>
                <w:lang w:val="fr-CA"/>
              </w:rPr>
              <w:t>11 décembre 2013</w:t>
            </w:r>
          </w:p>
          <w:p w:rsidR="001E0AE1" w:rsidRPr="00B91EDD" w:rsidRDefault="001E0AE1" w:rsidP="001E0AE1">
            <w:pPr>
              <w:jc w:val="both"/>
              <w:rPr>
                <w:sz w:val="20"/>
                <w:lang w:val="fr-CA"/>
              </w:rPr>
            </w:pPr>
            <w:r w:rsidRPr="00B91EDD">
              <w:rPr>
                <w:sz w:val="20"/>
                <w:lang w:val="fr-CA"/>
              </w:rPr>
              <w:t>Cour supérieure de justice de l’Ontario</w:t>
            </w:r>
          </w:p>
          <w:p w:rsidR="001E0AE1" w:rsidRPr="00B91EDD" w:rsidRDefault="001E0AE1" w:rsidP="001E0AE1">
            <w:pPr>
              <w:jc w:val="both"/>
              <w:rPr>
                <w:sz w:val="20"/>
                <w:lang w:val="fr-CA"/>
              </w:rPr>
            </w:pPr>
            <w:r w:rsidRPr="00B91EDD">
              <w:rPr>
                <w:sz w:val="20"/>
                <w:lang w:val="fr-CA"/>
              </w:rPr>
              <w:t>(Juge Croll)</w:t>
            </w:r>
          </w:p>
          <w:p w:rsidR="001E0AE1" w:rsidRPr="00B91EDD" w:rsidRDefault="00B91EDD" w:rsidP="001E0AE1">
            <w:pPr>
              <w:jc w:val="both"/>
              <w:rPr>
                <w:sz w:val="20"/>
                <w:lang w:val="fr-CA"/>
              </w:rPr>
            </w:pPr>
            <w:hyperlink r:id="rId17" w:history="1">
              <w:r w:rsidR="001E0AE1" w:rsidRPr="00B91EDD">
                <w:rPr>
                  <w:rStyle w:val="Hyperlink"/>
                  <w:sz w:val="20"/>
                  <w:lang w:val="fr-CA"/>
                </w:rPr>
                <w:t>2013 ONSC 7648</w:t>
              </w:r>
            </w:hyperlink>
          </w:p>
          <w:p w:rsidR="001E0AE1" w:rsidRPr="00B91EDD" w:rsidRDefault="001E0AE1" w:rsidP="001E0AE1">
            <w:pPr>
              <w:jc w:val="both"/>
              <w:rPr>
                <w:sz w:val="20"/>
                <w:lang w:val="fr-CA"/>
              </w:rPr>
            </w:pPr>
          </w:p>
        </w:tc>
        <w:tc>
          <w:tcPr>
            <w:tcW w:w="243" w:type="pct"/>
          </w:tcPr>
          <w:p w:rsidR="001E0AE1" w:rsidRPr="00B91EDD" w:rsidRDefault="001E0AE1" w:rsidP="001E0AE1">
            <w:pPr>
              <w:jc w:val="both"/>
              <w:rPr>
                <w:sz w:val="20"/>
                <w:lang w:val="fr-CA"/>
              </w:rPr>
            </w:pPr>
          </w:p>
        </w:tc>
        <w:tc>
          <w:tcPr>
            <w:tcW w:w="2330" w:type="pct"/>
          </w:tcPr>
          <w:p w:rsidR="001E0AE1" w:rsidRPr="00B91EDD" w:rsidRDefault="001E0AE1" w:rsidP="001E0AE1">
            <w:pPr>
              <w:jc w:val="both"/>
              <w:rPr>
                <w:sz w:val="20"/>
                <w:lang w:val="fr-CA"/>
              </w:rPr>
            </w:pPr>
            <w:r w:rsidRPr="00B91EDD">
              <w:rPr>
                <w:sz w:val="20"/>
                <w:lang w:val="fr-CA"/>
              </w:rPr>
              <w:t>Rejet de la requête du demandeur en exclusion de tous les éléments de preuve saisis dans le cadre de son arrestation et de la perquisition d’un condominium</w:t>
            </w:r>
          </w:p>
          <w:p w:rsidR="001E0AE1" w:rsidRPr="00B91EDD" w:rsidRDefault="001E0AE1" w:rsidP="001E0AE1">
            <w:pPr>
              <w:jc w:val="both"/>
              <w:rPr>
                <w:sz w:val="20"/>
                <w:lang w:val="fr-CA"/>
              </w:rPr>
            </w:pPr>
          </w:p>
        </w:tc>
      </w:tr>
      <w:tr w:rsidR="001E0AE1" w:rsidRPr="00B91EDD" w:rsidTr="00E92BFE">
        <w:tc>
          <w:tcPr>
            <w:tcW w:w="2427" w:type="pct"/>
            <w:gridSpan w:val="2"/>
          </w:tcPr>
          <w:p w:rsidR="001E0AE1" w:rsidRPr="00B91EDD" w:rsidRDefault="001E0AE1" w:rsidP="001E0AE1">
            <w:pPr>
              <w:jc w:val="both"/>
              <w:rPr>
                <w:sz w:val="20"/>
                <w:lang w:val="fr-CA"/>
              </w:rPr>
            </w:pPr>
            <w:r w:rsidRPr="00B91EDD">
              <w:rPr>
                <w:sz w:val="20"/>
                <w:lang w:val="fr-CA"/>
              </w:rPr>
              <w:t>2 février 2017</w:t>
            </w:r>
          </w:p>
          <w:p w:rsidR="001E0AE1" w:rsidRPr="00B91EDD" w:rsidRDefault="001E0AE1" w:rsidP="001E0AE1">
            <w:pPr>
              <w:jc w:val="both"/>
              <w:rPr>
                <w:sz w:val="20"/>
                <w:lang w:val="fr-CA"/>
              </w:rPr>
            </w:pPr>
            <w:r w:rsidRPr="00B91EDD">
              <w:rPr>
                <w:sz w:val="20"/>
                <w:lang w:val="fr-CA"/>
              </w:rPr>
              <w:t>Cour d’appel de l’Ontario</w:t>
            </w:r>
          </w:p>
          <w:p w:rsidR="001E0AE1" w:rsidRPr="00B91EDD" w:rsidRDefault="001E0AE1" w:rsidP="001E0AE1">
            <w:pPr>
              <w:jc w:val="both"/>
              <w:rPr>
                <w:sz w:val="20"/>
                <w:lang w:val="fr-CA"/>
              </w:rPr>
            </w:pPr>
            <w:r w:rsidRPr="00B91EDD">
              <w:rPr>
                <w:sz w:val="20"/>
                <w:lang w:val="fr-CA"/>
              </w:rPr>
              <w:t>(Juges Feldman, Benotto et Miller)</w:t>
            </w:r>
          </w:p>
          <w:p w:rsidR="001E0AE1" w:rsidRPr="00B91EDD" w:rsidRDefault="00B91EDD" w:rsidP="001E0AE1">
            <w:pPr>
              <w:jc w:val="both"/>
              <w:rPr>
                <w:sz w:val="20"/>
                <w:lang w:val="fr-CA"/>
              </w:rPr>
            </w:pPr>
            <w:hyperlink r:id="rId18" w:history="1">
              <w:r w:rsidR="001E0AE1" w:rsidRPr="00B91EDD">
                <w:rPr>
                  <w:rStyle w:val="Hyperlink"/>
                  <w:sz w:val="20"/>
                  <w:lang w:val="fr-CA"/>
                </w:rPr>
                <w:t>2017 ONCA 91</w:t>
              </w:r>
            </w:hyperlink>
            <w:r w:rsidR="001E0AE1" w:rsidRPr="00B91EDD">
              <w:rPr>
                <w:sz w:val="20"/>
                <w:lang w:val="fr-CA"/>
              </w:rPr>
              <w:t>; C58368</w:t>
            </w:r>
          </w:p>
          <w:p w:rsidR="001E0AE1" w:rsidRPr="00B91EDD" w:rsidRDefault="001E0AE1" w:rsidP="001E0AE1">
            <w:pPr>
              <w:jc w:val="both"/>
              <w:rPr>
                <w:sz w:val="20"/>
                <w:lang w:val="fr-CA"/>
              </w:rPr>
            </w:pPr>
          </w:p>
        </w:tc>
        <w:tc>
          <w:tcPr>
            <w:tcW w:w="243" w:type="pct"/>
          </w:tcPr>
          <w:p w:rsidR="001E0AE1" w:rsidRPr="00B91EDD" w:rsidRDefault="001E0AE1" w:rsidP="001E0AE1">
            <w:pPr>
              <w:jc w:val="both"/>
              <w:rPr>
                <w:sz w:val="20"/>
                <w:lang w:val="fr-CA"/>
              </w:rPr>
            </w:pPr>
          </w:p>
        </w:tc>
        <w:tc>
          <w:tcPr>
            <w:tcW w:w="2330" w:type="pct"/>
          </w:tcPr>
          <w:p w:rsidR="001E0AE1" w:rsidRPr="00B91EDD" w:rsidRDefault="001E0AE1" w:rsidP="001E0AE1">
            <w:pPr>
              <w:jc w:val="both"/>
              <w:rPr>
                <w:sz w:val="20"/>
                <w:lang w:val="fr-CA"/>
              </w:rPr>
            </w:pPr>
            <w:r w:rsidRPr="00B91EDD">
              <w:rPr>
                <w:sz w:val="20"/>
                <w:lang w:val="fr-CA"/>
              </w:rPr>
              <w:t>Rejet de l’appel</w:t>
            </w:r>
          </w:p>
          <w:p w:rsidR="001E0AE1" w:rsidRPr="00B91EDD" w:rsidRDefault="001E0AE1" w:rsidP="001E0AE1">
            <w:pPr>
              <w:jc w:val="both"/>
              <w:rPr>
                <w:sz w:val="20"/>
                <w:lang w:val="fr-CA"/>
              </w:rPr>
            </w:pPr>
          </w:p>
        </w:tc>
      </w:tr>
      <w:tr w:rsidR="001E0AE1" w:rsidRPr="00B91EDD" w:rsidTr="00E92BFE">
        <w:tc>
          <w:tcPr>
            <w:tcW w:w="2427" w:type="pct"/>
            <w:gridSpan w:val="2"/>
          </w:tcPr>
          <w:p w:rsidR="001E0AE1" w:rsidRPr="00B91EDD" w:rsidRDefault="001E0AE1" w:rsidP="001E0AE1">
            <w:pPr>
              <w:jc w:val="both"/>
              <w:rPr>
                <w:sz w:val="20"/>
                <w:lang w:val="fr-CA"/>
              </w:rPr>
            </w:pPr>
            <w:r w:rsidRPr="00B91EDD">
              <w:rPr>
                <w:sz w:val="20"/>
                <w:lang w:val="fr-CA"/>
              </w:rPr>
              <w:t>30 mars 2017</w:t>
            </w:r>
          </w:p>
          <w:p w:rsidR="001E0AE1" w:rsidRPr="00B91EDD" w:rsidRDefault="001E0AE1" w:rsidP="001E0AE1">
            <w:pPr>
              <w:jc w:val="both"/>
              <w:rPr>
                <w:sz w:val="20"/>
                <w:lang w:val="fr-CA"/>
              </w:rPr>
            </w:pPr>
            <w:r w:rsidRPr="00B91EDD">
              <w:rPr>
                <w:sz w:val="20"/>
                <w:lang w:val="fr-CA"/>
              </w:rPr>
              <w:t>Cour suprême du Canada</w:t>
            </w:r>
          </w:p>
        </w:tc>
        <w:tc>
          <w:tcPr>
            <w:tcW w:w="243" w:type="pct"/>
          </w:tcPr>
          <w:p w:rsidR="001E0AE1" w:rsidRPr="00B91EDD" w:rsidRDefault="001E0AE1" w:rsidP="001E0AE1">
            <w:pPr>
              <w:jc w:val="both"/>
              <w:rPr>
                <w:sz w:val="20"/>
                <w:lang w:val="fr-CA"/>
              </w:rPr>
            </w:pPr>
          </w:p>
        </w:tc>
        <w:tc>
          <w:tcPr>
            <w:tcW w:w="2330" w:type="pct"/>
          </w:tcPr>
          <w:p w:rsidR="001E0AE1" w:rsidRPr="00B91EDD" w:rsidRDefault="001E0AE1" w:rsidP="001E0AE1">
            <w:pPr>
              <w:jc w:val="both"/>
              <w:rPr>
                <w:sz w:val="20"/>
                <w:lang w:val="fr-CA"/>
              </w:rPr>
            </w:pPr>
            <w:r w:rsidRPr="00B91EDD">
              <w:rPr>
                <w:sz w:val="20"/>
                <w:lang w:val="fr-CA"/>
              </w:rPr>
              <w:t>Dépôt de la demande d’autorisation d’appel</w:t>
            </w:r>
          </w:p>
          <w:p w:rsidR="001E0AE1" w:rsidRPr="00B91EDD" w:rsidRDefault="001E0AE1" w:rsidP="001E0AE1">
            <w:pPr>
              <w:jc w:val="both"/>
              <w:rPr>
                <w:sz w:val="20"/>
                <w:lang w:val="fr-CA"/>
              </w:rPr>
            </w:pPr>
          </w:p>
        </w:tc>
      </w:tr>
    </w:tbl>
    <w:p w:rsidR="001E0AE1" w:rsidRPr="00B91EDD" w:rsidRDefault="001E0AE1" w:rsidP="001E0AE1">
      <w:pPr>
        <w:jc w:val="both"/>
        <w:rPr>
          <w:sz w:val="20"/>
          <w:lang w:val="fr-CA"/>
        </w:rPr>
      </w:pPr>
    </w:p>
    <w:p w:rsidR="001E0AE1" w:rsidRPr="00B91EDD" w:rsidRDefault="001E0AE1" w:rsidP="001E0AE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0AE1" w:rsidRPr="00B91EDD" w:rsidTr="00E95A6A">
        <w:tc>
          <w:tcPr>
            <w:tcW w:w="543" w:type="pct"/>
          </w:tcPr>
          <w:p w:rsidR="001E0AE1" w:rsidRPr="00B91EDD" w:rsidRDefault="001E0AE1" w:rsidP="001E0AE1">
            <w:pPr>
              <w:jc w:val="both"/>
              <w:rPr>
                <w:sz w:val="20"/>
              </w:rPr>
            </w:pPr>
            <w:r w:rsidRPr="00B91EDD">
              <w:rPr>
                <w:rStyle w:val="SCCFileNumberChar"/>
                <w:sz w:val="20"/>
                <w:szCs w:val="20"/>
              </w:rPr>
              <w:t>37525</w:t>
            </w:r>
          </w:p>
        </w:tc>
        <w:tc>
          <w:tcPr>
            <w:tcW w:w="4457" w:type="pct"/>
            <w:gridSpan w:val="3"/>
          </w:tcPr>
          <w:p w:rsidR="001E0AE1" w:rsidRPr="00B91EDD" w:rsidRDefault="001E0AE1" w:rsidP="001E0AE1">
            <w:pPr>
              <w:pStyle w:val="SCCLsocParty"/>
              <w:jc w:val="both"/>
              <w:rPr>
                <w:b/>
                <w:sz w:val="20"/>
                <w:szCs w:val="20"/>
                <w:lang w:val="en-US"/>
              </w:rPr>
            </w:pPr>
            <w:r w:rsidRPr="00B91EDD">
              <w:rPr>
                <w:b/>
                <w:sz w:val="20"/>
                <w:szCs w:val="20"/>
                <w:lang w:val="en-US"/>
              </w:rPr>
              <w:t xml:space="preserve">Masaru </w:t>
            </w:r>
            <w:proofErr w:type="spellStart"/>
            <w:r w:rsidRPr="00B91EDD">
              <w:rPr>
                <w:b/>
                <w:sz w:val="20"/>
                <w:szCs w:val="20"/>
                <w:lang w:val="en-US"/>
              </w:rPr>
              <w:t>Gennai</w:t>
            </w:r>
            <w:proofErr w:type="spellEnd"/>
            <w:r w:rsidRPr="00B91EDD">
              <w:rPr>
                <w:b/>
                <w:sz w:val="20"/>
                <w:szCs w:val="20"/>
                <w:lang w:val="en-US"/>
              </w:rPr>
              <w:t xml:space="preserve"> v. Minister of Citizenship and Immigration</w:t>
            </w:r>
          </w:p>
          <w:p w:rsidR="001E0AE1" w:rsidRPr="00B91EDD" w:rsidRDefault="001E0AE1" w:rsidP="001E0AE1">
            <w:pPr>
              <w:jc w:val="both"/>
              <w:rPr>
                <w:sz w:val="20"/>
              </w:rPr>
            </w:pPr>
            <w:r w:rsidRPr="00B91EDD">
              <w:rPr>
                <w:sz w:val="20"/>
              </w:rPr>
              <w:t>(FC) (Civil) (By Leave)</w:t>
            </w:r>
          </w:p>
        </w:tc>
      </w:tr>
      <w:tr w:rsidR="001E0AE1" w:rsidRPr="00B91EDD" w:rsidTr="00E95A6A">
        <w:tc>
          <w:tcPr>
            <w:tcW w:w="5000" w:type="pct"/>
            <w:gridSpan w:val="4"/>
          </w:tcPr>
          <w:p w:rsidR="001E0AE1" w:rsidRPr="00B91EDD" w:rsidRDefault="001E0AE1" w:rsidP="001E0AE1">
            <w:pPr>
              <w:jc w:val="both"/>
              <w:rPr>
                <w:sz w:val="20"/>
              </w:rPr>
            </w:pPr>
            <w:r w:rsidRPr="00B91EDD">
              <w:rPr>
                <w:sz w:val="20"/>
              </w:rPr>
              <w:t>Immigration law – Permanent residence application – Judicial review – Procedural fairness – Whether the courts below erred in concluding the doctrine of reasonable (legitimate) expectations as applied to the facts did not amount to a breach of procedural fairness.</w:t>
            </w:r>
          </w:p>
        </w:tc>
      </w:tr>
      <w:tr w:rsidR="001E0AE1" w:rsidRPr="00B91EDD" w:rsidTr="00E95A6A">
        <w:tc>
          <w:tcPr>
            <w:tcW w:w="5000" w:type="pct"/>
            <w:gridSpan w:val="4"/>
          </w:tcPr>
          <w:p w:rsidR="001E0AE1" w:rsidRPr="00B91EDD" w:rsidRDefault="001E0AE1" w:rsidP="001E0AE1">
            <w:pPr>
              <w:jc w:val="both"/>
              <w:rPr>
                <w:sz w:val="20"/>
              </w:rPr>
            </w:pPr>
          </w:p>
        </w:tc>
      </w:tr>
      <w:tr w:rsidR="001E0AE1" w:rsidRPr="00B91EDD" w:rsidTr="00E95A6A">
        <w:tc>
          <w:tcPr>
            <w:tcW w:w="5000" w:type="pct"/>
            <w:gridSpan w:val="4"/>
          </w:tcPr>
          <w:p w:rsidR="001E0AE1" w:rsidRPr="00B91EDD" w:rsidRDefault="001E0AE1" w:rsidP="001E0AE1">
            <w:pPr>
              <w:jc w:val="both"/>
              <w:rPr>
                <w:sz w:val="20"/>
              </w:rPr>
            </w:pPr>
            <w:r w:rsidRPr="00B91EDD">
              <w:rPr>
                <w:sz w:val="20"/>
              </w:rPr>
              <w:t xml:space="preserve">In October 2014, Masaru </w:t>
            </w:r>
            <w:proofErr w:type="spellStart"/>
            <w:r w:rsidRPr="00B91EDD">
              <w:rPr>
                <w:sz w:val="20"/>
              </w:rPr>
              <w:t>Gennai</w:t>
            </w:r>
            <w:proofErr w:type="spellEnd"/>
            <w:r w:rsidRPr="00B91EDD">
              <w:rPr>
                <w:sz w:val="20"/>
              </w:rPr>
              <w:t xml:space="preserve"> applied for permanent residence in Canada under the Canadian Experience Class (“CEC”) program. His application was returned on January 8, 2015, because it did not comply with the requirements for the completion of the application; specifically, the payment for the application fee was declined several times by his credit card company. On February 10, 2010, Mr. </w:t>
            </w:r>
            <w:proofErr w:type="spellStart"/>
            <w:r w:rsidRPr="00B91EDD">
              <w:rPr>
                <w:sz w:val="20"/>
              </w:rPr>
              <w:t>Gennai</w:t>
            </w:r>
            <w:proofErr w:type="spellEnd"/>
            <w:r w:rsidRPr="00B91EDD">
              <w:rPr>
                <w:sz w:val="20"/>
              </w:rPr>
              <w:t xml:space="preserve"> resubmitted the application and the fees were paid by an international money order. On February 20, 2015, the respondent refused to consider and returned that application for the reason that on December 1, 2014, Ministerial Instructions were issued requiring all CEC applications made after January 1, 2015 be filed through the new online “Express Entry” system. Mr. </w:t>
            </w:r>
            <w:proofErr w:type="spellStart"/>
            <w:r w:rsidRPr="00B91EDD">
              <w:rPr>
                <w:sz w:val="20"/>
              </w:rPr>
              <w:t>Gennai</w:t>
            </w:r>
            <w:proofErr w:type="spellEnd"/>
            <w:r w:rsidRPr="00B91EDD">
              <w:rPr>
                <w:sz w:val="20"/>
              </w:rPr>
              <w:t xml:space="preserve"> was advised that since his application had been received after January 1, 2015, it was necessary to resubmit the application for processing through that system. Mr. </w:t>
            </w:r>
            <w:proofErr w:type="spellStart"/>
            <w:r w:rsidRPr="00B91EDD">
              <w:rPr>
                <w:sz w:val="20"/>
              </w:rPr>
              <w:t>Gennai</w:t>
            </w:r>
            <w:proofErr w:type="spellEnd"/>
            <w:r w:rsidRPr="00B91EDD">
              <w:rPr>
                <w:sz w:val="20"/>
              </w:rPr>
              <w:t xml:space="preserve"> subsequently sought judicial review of the Minister’s February 20, 2015 refusal to consider his application.</w:t>
            </w:r>
          </w:p>
          <w:p w:rsidR="001E0AE1" w:rsidRPr="00B91EDD" w:rsidRDefault="001E0AE1" w:rsidP="001E0AE1">
            <w:pPr>
              <w:jc w:val="both"/>
              <w:rPr>
                <w:sz w:val="20"/>
              </w:rPr>
            </w:pPr>
          </w:p>
          <w:p w:rsidR="001E0AE1" w:rsidRPr="00B91EDD" w:rsidRDefault="001E0AE1" w:rsidP="001E0AE1">
            <w:pPr>
              <w:jc w:val="both"/>
              <w:rPr>
                <w:sz w:val="20"/>
              </w:rPr>
            </w:pPr>
            <w:r w:rsidRPr="00B91EDD">
              <w:rPr>
                <w:sz w:val="20"/>
              </w:rPr>
              <w:t>The Federal Court dismissed Mr. </w:t>
            </w:r>
            <w:proofErr w:type="spellStart"/>
            <w:r w:rsidRPr="00B91EDD">
              <w:rPr>
                <w:sz w:val="20"/>
              </w:rPr>
              <w:t>Gennai’s</w:t>
            </w:r>
            <w:proofErr w:type="spellEnd"/>
            <w:r w:rsidRPr="00B91EDD">
              <w:rPr>
                <w:sz w:val="20"/>
              </w:rPr>
              <w:t xml:space="preserve"> application for judicial review, finding the Minister reasonably refused to consider Mr. </w:t>
            </w:r>
            <w:proofErr w:type="spellStart"/>
            <w:r w:rsidRPr="00B91EDD">
              <w:rPr>
                <w:sz w:val="20"/>
              </w:rPr>
              <w:t>Gennai’s</w:t>
            </w:r>
            <w:proofErr w:type="spellEnd"/>
            <w:r w:rsidRPr="00B91EDD">
              <w:rPr>
                <w:sz w:val="20"/>
              </w:rPr>
              <w:t xml:space="preserve"> application for permanent residence because he had not complied with the requirement in place at the time to submit applications online. The Federal Court of Appeal dismissed the Mr. </w:t>
            </w:r>
            <w:proofErr w:type="spellStart"/>
            <w:r w:rsidRPr="00B91EDD">
              <w:rPr>
                <w:sz w:val="20"/>
              </w:rPr>
              <w:t>Gennai’s</w:t>
            </w:r>
            <w:proofErr w:type="spellEnd"/>
            <w:r w:rsidRPr="00B91EDD">
              <w:rPr>
                <w:sz w:val="20"/>
              </w:rPr>
              <w:t xml:space="preserve"> appeal.</w:t>
            </w:r>
          </w:p>
          <w:p w:rsidR="001E0AE1" w:rsidRPr="00B91EDD" w:rsidRDefault="001E0AE1" w:rsidP="001E0AE1">
            <w:pPr>
              <w:jc w:val="both"/>
              <w:rPr>
                <w:sz w:val="20"/>
              </w:rPr>
            </w:pPr>
          </w:p>
        </w:tc>
      </w:tr>
      <w:tr w:rsidR="001E0AE1" w:rsidRPr="00B91EDD" w:rsidTr="00E95A6A">
        <w:tc>
          <w:tcPr>
            <w:tcW w:w="2427" w:type="pct"/>
            <w:gridSpan w:val="2"/>
          </w:tcPr>
          <w:p w:rsidR="001E0AE1" w:rsidRPr="00B91EDD" w:rsidRDefault="001E0AE1" w:rsidP="001E0AE1">
            <w:pPr>
              <w:jc w:val="both"/>
              <w:rPr>
                <w:sz w:val="20"/>
              </w:rPr>
            </w:pPr>
            <w:r w:rsidRPr="00B91EDD">
              <w:rPr>
                <w:sz w:val="20"/>
              </w:rPr>
              <w:t>April 29, 2016</w:t>
            </w:r>
          </w:p>
          <w:p w:rsidR="001E0AE1" w:rsidRPr="00B91EDD" w:rsidRDefault="001E0AE1" w:rsidP="001E0AE1">
            <w:pPr>
              <w:jc w:val="both"/>
              <w:rPr>
                <w:sz w:val="20"/>
              </w:rPr>
            </w:pPr>
            <w:r w:rsidRPr="00B91EDD">
              <w:rPr>
                <w:sz w:val="20"/>
              </w:rPr>
              <w:t>Federal Court</w:t>
            </w:r>
          </w:p>
          <w:p w:rsidR="001E0AE1" w:rsidRPr="00B91EDD" w:rsidRDefault="001E0AE1" w:rsidP="001E0AE1">
            <w:pPr>
              <w:jc w:val="both"/>
              <w:rPr>
                <w:sz w:val="20"/>
              </w:rPr>
            </w:pPr>
            <w:r w:rsidRPr="00B91EDD">
              <w:rPr>
                <w:sz w:val="20"/>
              </w:rPr>
              <w:t>(</w:t>
            </w:r>
            <w:proofErr w:type="spellStart"/>
            <w:r w:rsidRPr="00B91EDD">
              <w:rPr>
                <w:sz w:val="20"/>
              </w:rPr>
              <w:t>Heneghan</w:t>
            </w:r>
            <w:proofErr w:type="spellEnd"/>
            <w:r w:rsidRPr="00B91EDD">
              <w:rPr>
                <w:sz w:val="20"/>
              </w:rPr>
              <w:t xml:space="preserve"> J.)</w:t>
            </w:r>
          </w:p>
          <w:p w:rsidR="001E0AE1" w:rsidRPr="00B91EDD" w:rsidRDefault="00B91EDD" w:rsidP="001E0AE1">
            <w:pPr>
              <w:jc w:val="both"/>
              <w:rPr>
                <w:sz w:val="20"/>
              </w:rPr>
            </w:pPr>
            <w:hyperlink r:id="rId19" w:history="1">
              <w:r w:rsidR="001E0AE1" w:rsidRPr="00B91EDD">
                <w:rPr>
                  <w:rStyle w:val="Hyperlink"/>
                  <w:sz w:val="20"/>
                </w:rPr>
                <w:t>2016 FC 484</w:t>
              </w:r>
            </w:hyperlink>
          </w:p>
          <w:p w:rsidR="001E0AE1" w:rsidRPr="00B91EDD" w:rsidRDefault="001E0AE1" w:rsidP="001E0AE1">
            <w:pPr>
              <w:jc w:val="both"/>
              <w:rPr>
                <w:sz w:val="20"/>
              </w:rPr>
            </w:pPr>
          </w:p>
        </w:tc>
        <w:tc>
          <w:tcPr>
            <w:tcW w:w="243" w:type="pct"/>
          </w:tcPr>
          <w:p w:rsidR="001E0AE1" w:rsidRPr="00B91EDD" w:rsidRDefault="001E0AE1" w:rsidP="001E0AE1">
            <w:pPr>
              <w:jc w:val="both"/>
              <w:rPr>
                <w:sz w:val="20"/>
              </w:rPr>
            </w:pPr>
          </w:p>
        </w:tc>
        <w:tc>
          <w:tcPr>
            <w:tcW w:w="2330" w:type="pct"/>
          </w:tcPr>
          <w:p w:rsidR="001E0AE1" w:rsidRPr="00B91EDD" w:rsidRDefault="001E0AE1" w:rsidP="001E0AE1">
            <w:pPr>
              <w:jc w:val="both"/>
              <w:rPr>
                <w:sz w:val="20"/>
              </w:rPr>
            </w:pPr>
            <w:r w:rsidRPr="00B91EDD">
              <w:rPr>
                <w:sz w:val="20"/>
              </w:rPr>
              <w:t>Applicant’s application for judicial review, dismissed.</w:t>
            </w:r>
          </w:p>
          <w:p w:rsidR="001E0AE1" w:rsidRPr="00B91EDD" w:rsidRDefault="001E0AE1" w:rsidP="001E0AE1">
            <w:pPr>
              <w:jc w:val="both"/>
              <w:rPr>
                <w:sz w:val="20"/>
              </w:rPr>
            </w:pPr>
          </w:p>
        </w:tc>
      </w:tr>
      <w:tr w:rsidR="001E0AE1" w:rsidRPr="00B91EDD" w:rsidTr="00E95A6A">
        <w:tc>
          <w:tcPr>
            <w:tcW w:w="2427" w:type="pct"/>
            <w:gridSpan w:val="2"/>
          </w:tcPr>
          <w:p w:rsidR="001E0AE1" w:rsidRPr="00B91EDD" w:rsidRDefault="001E0AE1" w:rsidP="001E0AE1">
            <w:pPr>
              <w:jc w:val="both"/>
              <w:rPr>
                <w:sz w:val="20"/>
              </w:rPr>
            </w:pPr>
            <w:r w:rsidRPr="00B91EDD">
              <w:rPr>
                <w:sz w:val="20"/>
              </w:rPr>
              <w:t>February 10, 2017</w:t>
            </w:r>
          </w:p>
          <w:p w:rsidR="001E0AE1" w:rsidRPr="00B91EDD" w:rsidRDefault="001E0AE1" w:rsidP="001E0AE1">
            <w:pPr>
              <w:jc w:val="both"/>
              <w:rPr>
                <w:sz w:val="20"/>
              </w:rPr>
            </w:pPr>
            <w:r w:rsidRPr="00B91EDD">
              <w:rPr>
                <w:sz w:val="20"/>
              </w:rPr>
              <w:t>Federal Court of Appeal</w:t>
            </w:r>
          </w:p>
          <w:p w:rsidR="001E0AE1" w:rsidRPr="00B91EDD" w:rsidRDefault="001E0AE1" w:rsidP="001E0AE1">
            <w:pPr>
              <w:jc w:val="both"/>
              <w:rPr>
                <w:sz w:val="20"/>
              </w:rPr>
            </w:pPr>
            <w:r w:rsidRPr="00B91EDD">
              <w:rPr>
                <w:sz w:val="20"/>
              </w:rPr>
              <w:t>(Pelletier, Near and Rennie JJ.A.)</w:t>
            </w:r>
          </w:p>
          <w:p w:rsidR="001E0AE1" w:rsidRPr="00B91EDD" w:rsidRDefault="00B91EDD" w:rsidP="001E0AE1">
            <w:pPr>
              <w:jc w:val="both"/>
              <w:rPr>
                <w:sz w:val="20"/>
              </w:rPr>
            </w:pPr>
            <w:hyperlink r:id="rId20" w:history="1">
              <w:r w:rsidR="001E0AE1" w:rsidRPr="00B91EDD">
                <w:rPr>
                  <w:rStyle w:val="Hyperlink"/>
                  <w:sz w:val="20"/>
                </w:rPr>
                <w:t>2007 FCA 29</w:t>
              </w:r>
            </w:hyperlink>
          </w:p>
          <w:p w:rsidR="001E0AE1" w:rsidRPr="00B91EDD" w:rsidRDefault="001E0AE1" w:rsidP="001E0AE1">
            <w:pPr>
              <w:jc w:val="both"/>
              <w:rPr>
                <w:sz w:val="20"/>
              </w:rPr>
            </w:pPr>
          </w:p>
        </w:tc>
        <w:tc>
          <w:tcPr>
            <w:tcW w:w="243" w:type="pct"/>
          </w:tcPr>
          <w:p w:rsidR="001E0AE1" w:rsidRPr="00B91EDD" w:rsidRDefault="001E0AE1" w:rsidP="001E0AE1">
            <w:pPr>
              <w:jc w:val="both"/>
              <w:rPr>
                <w:sz w:val="20"/>
              </w:rPr>
            </w:pPr>
          </w:p>
        </w:tc>
        <w:tc>
          <w:tcPr>
            <w:tcW w:w="2330" w:type="pct"/>
          </w:tcPr>
          <w:p w:rsidR="001E0AE1" w:rsidRPr="00B91EDD" w:rsidRDefault="001E0AE1" w:rsidP="001E0AE1">
            <w:pPr>
              <w:jc w:val="both"/>
              <w:rPr>
                <w:sz w:val="20"/>
              </w:rPr>
            </w:pPr>
            <w:r w:rsidRPr="00B91EDD">
              <w:rPr>
                <w:sz w:val="20"/>
              </w:rPr>
              <w:t>Applicant’s appeal, dismissed.</w:t>
            </w:r>
          </w:p>
          <w:p w:rsidR="001E0AE1" w:rsidRPr="00B91EDD" w:rsidRDefault="001E0AE1" w:rsidP="001E0AE1">
            <w:pPr>
              <w:jc w:val="both"/>
              <w:rPr>
                <w:sz w:val="20"/>
              </w:rPr>
            </w:pPr>
          </w:p>
        </w:tc>
      </w:tr>
      <w:tr w:rsidR="001E0AE1" w:rsidRPr="00B91EDD" w:rsidTr="00E95A6A">
        <w:tc>
          <w:tcPr>
            <w:tcW w:w="2427" w:type="pct"/>
            <w:gridSpan w:val="2"/>
          </w:tcPr>
          <w:p w:rsidR="001E0AE1" w:rsidRPr="00B91EDD" w:rsidRDefault="001E0AE1" w:rsidP="001E0AE1">
            <w:pPr>
              <w:jc w:val="both"/>
              <w:rPr>
                <w:sz w:val="20"/>
              </w:rPr>
            </w:pPr>
            <w:r w:rsidRPr="00B91EDD">
              <w:rPr>
                <w:sz w:val="20"/>
              </w:rPr>
              <w:t>April 11, 2017</w:t>
            </w:r>
          </w:p>
          <w:p w:rsidR="001E0AE1" w:rsidRPr="00B91EDD" w:rsidRDefault="001E0AE1" w:rsidP="001E0AE1">
            <w:pPr>
              <w:jc w:val="both"/>
              <w:rPr>
                <w:sz w:val="20"/>
              </w:rPr>
            </w:pPr>
            <w:r w:rsidRPr="00B91EDD">
              <w:rPr>
                <w:sz w:val="20"/>
              </w:rPr>
              <w:t>Supreme Court of Canada</w:t>
            </w:r>
          </w:p>
        </w:tc>
        <w:tc>
          <w:tcPr>
            <w:tcW w:w="243" w:type="pct"/>
          </w:tcPr>
          <w:p w:rsidR="001E0AE1" w:rsidRPr="00B91EDD" w:rsidRDefault="001E0AE1" w:rsidP="001E0AE1">
            <w:pPr>
              <w:jc w:val="both"/>
              <w:rPr>
                <w:sz w:val="20"/>
              </w:rPr>
            </w:pPr>
          </w:p>
        </w:tc>
        <w:tc>
          <w:tcPr>
            <w:tcW w:w="2330" w:type="pct"/>
          </w:tcPr>
          <w:p w:rsidR="001E0AE1" w:rsidRPr="00B91EDD" w:rsidRDefault="001E0AE1" w:rsidP="001E0AE1">
            <w:pPr>
              <w:jc w:val="both"/>
              <w:rPr>
                <w:sz w:val="20"/>
              </w:rPr>
            </w:pPr>
            <w:r w:rsidRPr="00B91EDD">
              <w:rPr>
                <w:sz w:val="20"/>
              </w:rPr>
              <w:t>Application for leave to appeal filed.</w:t>
            </w:r>
          </w:p>
          <w:p w:rsidR="001E0AE1" w:rsidRPr="00B91EDD" w:rsidRDefault="001E0AE1" w:rsidP="001E0AE1">
            <w:pPr>
              <w:jc w:val="both"/>
              <w:rPr>
                <w:sz w:val="20"/>
              </w:rPr>
            </w:pPr>
          </w:p>
        </w:tc>
      </w:tr>
    </w:tbl>
    <w:p w:rsidR="001E0AE1" w:rsidRPr="00B91EDD" w:rsidRDefault="001E0AE1" w:rsidP="001E0AE1">
      <w:pPr>
        <w:jc w:val="both"/>
        <w:rPr>
          <w:sz w:val="20"/>
        </w:rPr>
      </w:pPr>
    </w:p>
    <w:p w:rsidR="00F800E6" w:rsidRPr="00B91EDD" w:rsidRDefault="00F800E6" w:rsidP="001E0AE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0AE1" w:rsidRPr="00B91EDD" w:rsidTr="00E95A6A">
        <w:tc>
          <w:tcPr>
            <w:tcW w:w="543" w:type="pct"/>
          </w:tcPr>
          <w:p w:rsidR="001E0AE1" w:rsidRPr="00B91EDD" w:rsidRDefault="001E0AE1" w:rsidP="001E0AE1">
            <w:pPr>
              <w:jc w:val="both"/>
              <w:rPr>
                <w:sz w:val="20"/>
                <w:lang w:val="fr-CA"/>
              </w:rPr>
            </w:pPr>
            <w:r w:rsidRPr="00B91EDD">
              <w:rPr>
                <w:rStyle w:val="SCCFileNumberChar"/>
                <w:sz w:val="20"/>
                <w:szCs w:val="20"/>
                <w:lang w:val="fr-CA"/>
              </w:rPr>
              <w:t>37525</w:t>
            </w:r>
          </w:p>
        </w:tc>
        <w:tc>
          <w:tcPr>
            <w:tcW w:w="4457" w:type="pct"/>
            <w:gridSpan w:val="3"/>
          </w:tcPr>
          <w:p w:rsidR="001E0AE1" w:rsidRPr="00B91EDD" w:rsidRDefault="001E0AE1" w:rsidP="001E0AE1">
            <w:pPr>
              <w:pStyle w:val="SCCLsocParty"/>
              <w:jc w:val="both"/>
              <w:rPr>
                <w:b/>
                <w:sz w:val="20"/>
                <w:szCs w:val="20"/>
              </w:rPr>
            </w:pPr>
            <w:r w:rsidRPr="00B91EDD">
              <w:rPr>
                <w:b/>
                <w:sz w:val="20"/>
                <w:szCs w:val="20"/>
              </w:rPr>
              <w:t>Masaru Gennai c. Ministre de la Citoyenneté et de l’Immigration</w:t>
            </w:r>
          </w:p>
          <w:p w:rsidR="001E0AE1" w:rsidRPr="00B91EDD" w:rsidRDefault="001E0AE1" w:rsidP="001E0AE1">
            <w:pPr>
              <w:jc w:val="both"/>
              <w:rPr>
                <w:sz w:val="20"/>
                <w:lang w:val="fr-CA"/>
              </w:rPr>
            </w:pPr>
            <w:r w:rsidRPr="00B91EDD">
              <w:rPr>
                <w:sz w:val="20"/>
                <w:lang w:val="fr-CA"/>
              </w:rPr>
              <w:t>(CF) (Civile) (Sur autorisation)</w:t>
            </w:r>
          </w:p>
        </w:tc>
      </w:tr>
      <w:tr w:rsidR="001E0AE1" w:rsidRPr="00B91EDD" w:rsidTr="00E95A6A">
        <w:tc>
          <w:tcPr>
            <w:tcW w:w="5000" w:type="pct"/>
            <w:gridSpan w:val="4"/>
          </w:tcPr>
          <w:p w:rsidR="001E0AE1" w:rsidRPr="00B91EDD" w:rsidRDefault="001E0AE1" w:rsidP="001E0AE1">
            <w:pPr>
              <w:jc w:val="both"/>
              <w:rPr>
                <w:sz w:val="20"/>
                <w:lang w:val="fr-CA"/>
              </w:rPr>
            </w:pPr>
            <w:r w:rsidRPr="00B91EDD">
              <w:rPr>
                <w:sz w:val="20"/>
                <w:lang w:val="fr-CA"/>
              </w:rPr>
              <w:t>Droit de l’immigration – Demande de résidence permanente – Contrôle judiciaire – Équité procédurale – Les juridictions inférieures ont-elles eu tort de conclure que l’application de la doctrine de l’attente raisonnable (légitime) aux faits en l’espèce ne constituait pas un manquement à l’équité procédurale?</w:t>
            </w:r>
          </w:p>
        </w:tc>
      </w:tr>
      <w:tr w:rsidR="001E0AE1" w:rsidRPr="00B91EDD" w:rsidTr="00E95A6A">
        <w:tc>
          <w:tcPr>
            <w:tcW w:w="5000" w:type="pct"/>
            <w:gridSpan w:val="4"/>
          </w:tcPr>
          <w:p w:rsidR="001E0AE1" w:rsidRPr="00B91EDD" w:rsidRDefault="001E0AE1" w:rsidP="001E0AE1">
            <w:pPr>
              <w:jc w:val="both"/>
              <w:rPr>
                <w:sz w:val="20"/>
                <w:lang w:val="fr-CA"/>
              </w:rPr>
            </w:pPr>
          </w:p>
        </w:tc>
      </w:tr>
      <w:tr w:rsidR="001E0AE1" w:rsidRPr="00B91EDD" w:rsidTr="00E95A6A">
        <w:tc>
          <w:tcPr>
            <w:tcW w:w="5000" w:type="pct"/>
            <w:gridSpan w:val="4"/>
          </w:tcPr>
          <w:p w:rsidR="001E0AE1" w:rsidRPr="00B91EDD" w:rsidRDefault="001E0AE1" w:rsidP="001E0AE1">
            <w:pPr>
              <w:jc w:val="both"/>
              <w:rPr>
                <w:sz w:val="20"/>
                <w:lang w:val="fr-CA"/>
              </w:rPr>
            </w:pPr>
            <w:r w:rsidRPr="00B91EDD">
              <w:rPr>
                <w:sz w:val="20"/>
                <w:lang w:val="fr-CA"/>
              </w:rPr>
              <w:t xml:space="preserve">En octobre 2014, Masaru </w:t>
            </w:r>
            <w:proofErr w:type="spellStart"/>
            <w:r w:rsidRPr="00B91EDD">
              <w:rPr>
                <w:sz w:val="20"/>
                <w:lang w:val="fr-CA"/>
              </w:rPr>
              <w:t>Gennai</w:t>
            </w:r>
            <w:proofErr w:type="spellEnd"/>
            <w:r w:rsidRPr="00B91EDD">
              <w:rPr>
                <w:sz w:val="20"/>
                <w:lang w:val="fr-CA"/>
              </w:rPr>
              <w:t xml:space="preserve"> a présenté une demande de résidence permanente au Canada en vertu du programme de catégorie de l’expérience canadienne (« CEC »). Le 8 janvier 2015, sa demande a été renvoyée, car elle ne respectait pas les exigences liées à la formulation de la demande; en particulier, le paiement des frais liés à la demande a été refusé à plusieurs reprises par la société émettrice de sa carte de crédit. Le 10 février 2010, M. </w:t>
            </w:r>
            <w:proofErr w:type="spellStart"/>
            <w:r w:rsidRPr="00B91EDD">
              <w:rPr>
                <w:sz w:val="20"/>
                <w:lang w:val="fr-CA"/>
              </w:rPr>
              <w:t>Gennai</w:t>
            </w:r>
            <w:proofErr w:type="spellEnd"/>
            <w:r w:rsidRPr="00B91EDD">
              <w:rPr>
                <w:sz w:val="20"/>
                <w:lang w:val="fr-CA"/>
              </w:rPr>
              <w:t xml:space="preserve"> a présenté la demande à nouveau et les frais ont été payés par mandat-poste international. Le 20 février 2015, l’intimé a refusé d’examiner cette demande et l’a retournée, puisque le 1</w:t>
            </w:r>
            <w:r w:rsidRPr="00B91EDD">
              <w:rPr>
                <w:sz w:val="20"/>
                <w:vertAlign w:val="superscript"/>
                <w:lang w:val="fr-CA"/>
              </w:rPr>
              <w:t>er</w:t>
            </w:r>
            <w:r w:rsidRPr="00B91EDD">
              <w:rPr>
                <w:sz w:val="20"/>
                <w:lang w:val="fr-CA"/>
              </w:rPr>
              <w:t> décembre 2014, des instructions ministérielles avaient été émises, nécessitant que toutes les demandes de CEC faites après le 1</w:t>
            </w:r>
            <w:r w:rsidRPr="00B91EDD">
              <w:rPr>
                <w:sz w:val="20"/>
                <w:vertAlign w:val="superscript"/>
                <w:lang w:val="fr-CA"/>
              </w:rPr>
              <w:t>er </w:t>
            </w:r>
            <w:r w:rsidRPr="00B91EDD">
              <w:rPr>
                <w:sz w:val="20"/>
                <w:lang w:val="fr-CA"/>
              </w:rPr>
              <w:t>janvier 2015 soient présentées au moyen du nouveau système en ligne « Entrée express ». Monsieur Gennai a été avisé que, puisque sa demande avait été reçue après le 1</w:t>
            </w:r>
            <w:r w:rsidRPr="00B91EDD">
              <w:rPr>
                <w:sz w:val="20"/>
                <w:vertAlign w:val="superscript"/>
                <w:lang w:val="fr-CA"/>
              </w:rPr>
              <w:t>er</w:t>
            </w:r>
            <w:r w:rsidRPr="00B91EDD">
              <w:rPr>
                <w:sz w:val="20"/>
                <w:lang w:val="fr-CA"/>
              </w:rPr>
              <w:t> janvier 2015, il était nécessaire de la renvoyer aux fins de traitement au moyen de ce système. Monsieur Gennai a subséquemment demandé le contrôle judiciaire du refus du ministre, le 20 février 2015, d’examiner sa demande.</w:t>
            </w:r>
          </w:p>
          <w:p w:rsidR="001E0AE1" w:rsidRPr="00B91EDD" w:rsidRDefault="001E0AE1" w:rsidP="001E0AE1">
            <w:pPr>
              <w:jc w:val="both"/>
              <w:rPr>
                <w:sz w:val="20"/>
                <w:lang w:val="fr-CA"/>
              </w:rPr>
            </w:pPr>
          </w:p>
          <w:p w:rsidR="001E0AE1" w:rsidRPr="00B91EDD" w:rsidRDefault="001E0AE1" w:rsidP="001E0AE1">
            <w:pPr>
              <w:jc w:val="both"/>
              <w:rPr>
                <w:sz w:val="20"/>
                <w:lang w:val="fr-CA"/>
              </w:rPr>
            </w:pPr>
            <w:r w:rsidRPr="00B91EDD">
              <w:rPr>
                <w:sz w:val="20"/>
                <w:lang w:val="fr-CA"/>
              </w:rPr>
              <w:t>La Cour fédérale a rejeté la demande de contrôle judiciaire présentée par M. Gennai, concluant que le ministre avait raisonnablement refusé d’examiner la demande de résidence permanente de M. </w:t>
            </w:r>
            <w:proofErr w:type="spellStart"/>
            <w:r w:rsidRPr="00B91EDD">
              <w:rPr>
                <w:sz w:val="20"/>
                <w:lang w:val="fr-CA"/>
              </w:rPr>
              <w:t>Gennai</w:t>
            </w:r>
            <w:proofErr w:type="spellEnd"/>
            <w:r w:rsidRPr="00B91EDD">
              <w:rPr>
                <w:sz w:val="20"/>
                <w:lang w:val="fr-CA"/>
              </w:rPr>
              <w:t>, puisque ce dernier ne s’était pas conformé à l’exigence en place à l’époque, à savoir de présenter les demandes en ligne. La Cour d’appel fédérale a rejeté l’appel de M. </w:t>
            </w:r>
            <w:proofErr w:type="spellStart"/>
            <w:r w:rsidRPr="00B91EDD">
              <w:rPr>
                <w:sz w:val="20"/>
                <w:lang w:val="fr-CA"/>
              </w:rPr>
              <w:t>Gennai</w:t>
            </w:r>
            <w:proofErr w:type="spellEnd"/>
            <w:r w:rsidRPr="00B91EDD">
              <w:rPr>
                <w:sz w:val="20"/>
                <w:lang w:val="fr-CA"/>
              </w:rPr>
              <w:t>.</w:t>
            </w:r>
          </w:p>
          <w:p w:rsidR="001E0AE1" w:rsidRPr="00B91EDD" w:rsidRDefault="001E0AE1" w:rsidP="001E0AE1">
            <w:pPr>
              <w:jc w:val="both"/>
              <w:rPr>
                <w:sz w:val="20"/>
                <w:lang w:val="fr-CA"/>
              </w:rPr>
            </w:pPr>
          </w:p>
        </w:tc>
      </w:tr>
      <w:tr w:rsidR="001E0AE1" w:rsidRPr="00B91EDD" w:rsidTr="00E95A6A">
        <w:tc>
          <w:tcPr>
            <w:tcW w:w="2427" w:type="pct"/>
            <w:gridSpan w:val="2"/>
          </w:tcPr>
          <w:p w:rsidR="001E0AE1" w:rsidRPr="00B91EDD" w:rsidRDefault="001E0AE1" w:rsidP="001E0AE1">
            <w:pPr>
              <w:jc w:val="both"/>
              <w:rPr>
                <w:sz w:val="20"/>
                <w:lang w:val="fr-CA"/>
              </w:rPr>
            </w:pPr>
            <w:r w:rsidRPr="00B91EDD">
              <w:rPr>
                <w:sz w:val="20"/>
                <w:lang w:val="fr-CA"/>
              </w:rPr>
              <w:t>29 avril 2016</w:t>
            </w:r>
          </w:p>
          <w:p w:rsidR="001E0AE1" w:rsidRPr="00B91EDD" w:rsidRDefault="001E0AE1" w:rsidP="001E0AE1">
            <w:pPr>
              <w:jc w:val="both"/>
              <w:rPr>
                <w:sz w:val="20"/>
                <w:lang w:val="fr-CA"/>
              </w:rPr>
            </w:pPr>
            <w:r w:rsidRPr="00B91EDD">
              <w:rPr>
                <w:sz w:val="20"/>
                <w:lang w:val="fr-CA"/>
              </w:rPr>
              <w:t>Cour fédérale</w:t>
            </w:r>
          </w:p>
          <w:p w:rsidR="001E0AE1" w:rsidRPr="00B91EDD" w:rsidRDefault="001E0AE1" w:rsidP="001E0AE1">
            <w:pPr>
              <w:jc w:val="both"/>
              <w:rPr>
                <w:sz w:val="20"/>
                <w:lang w:val="fr-CA"/>
              </w:rPr>
            </w:pPr>
            <w:r w:rsidRPr="00B91EDD">
              <w:rPr>
                <w:sz w:val="20"/>
                <w:lang w:val="fr-CA"/>
              </w:rPr>
              <w:t>(Juge Heneghan)</w:t>
            </w:r>
          </w:p>
          <w:p w:rsidR="001E0AE1" w:rsidRPr="00B91EDD" w:rsidRDefault="00B91EDD" w:rsidP="001E0AE1">
            <w:pPr>
              <w:jc w:val="both"/>
              <w:rPr>
                <w:sz w:val="20"/>
                <w:lang w:val="fr-CA"/>
              </w:rPr>
            </w:pPr>
            <w:hyperlink r:id="rId21" w:history="1">
              <w:r w:rsidR="001E0AE1" w:rsidRPr="00B91EDD">
                <w:rPr>
                  <w:rStyle w:val="Hyperlink"/>
                  <w:sz w:val="20"/>
                  <w:lang w:val="fr-CA"/>
                </w:rPr>
                <w:t>2016 FC 484</w:t>
              </w:r>
            </w:hyperlink>
          </w:p>
          <w:p w:rsidR="001E0AE1" w:rsidRPr="00B91EDD" w:rsidRDefault="001E0AE1" w:rsidP="001E0AE1">
            <w:pPr>
              <w:jc w:val="both"/>
              <w:rPr>
                <w:sz w:val="20"/>
                <w:lang w:val="fr-CA"/>
              </w:rPr>
            </w:pPr>
          </w:p>
        </w:tc>
        <w:tc>
          <w:tcPr>
            <w:tcW w:w="243" w:type="pct"/>
          </w:tcPr>
          <w:p w:rsidR="001E0AE1" w:rsidRPr="00B91EDD" w:rsidRDefault="001E0AE1" w:rsidP="001E0AE1">
            <w:pPr>
              <w:jc w:val="both"/>
              <w:rPr>
                <w:sz w:val="20"/>
                <w:lang w:val="fr-CA"/>
              </w:rPr>
            </w:pPr>
          </w:p>
        </w:tc>
        <w:tc>
          <w:tcPr>
            <w:tcW w:w="2330" w:type="pct"/>
          </w:tcPr>
          <w:p w:rsidR="001E0AE1" w:rsidRPr="00B91EDD" w:rsidRDefault="001E0AE1" w:rsidP="001E0AE1">
            <w:pPr>
              <w:jc w:val="both"/>
              <w:rPr>
                <w:sz w:val="20"/>
                <w:lang w:val="fr-CA"/>
              </w:rPr>
            </w:pPr>
            <w:r w:rsidRPr="00B91EDD">
              <w:rPr>
                <w:sz w:val="20"/>
                <w:lang w:val="fr-CA"/>
              </w:rPr>
              <w:t>Rejet de la demande de contrôle judiciaire présentée par le demandeur.</w:t>
            </w:r>
          </w:p>
          <w:p w:rsidR="001E0AE1" w:rsidRPr="00B91EDD" w:rsidRDefault="001E0AE1" w:rsidP="001E0AE1">
            <w:pPr>
              <w:jc w:val="both"/>
              <w:rPr>
                <w:sz w:val="20"/>
                <w:lang w:val="fr-CA"/>
              </w:rPr>
            </w:pPr>
          </w:p>
        </w:tc>
      </w:tr>
      <w:tr w:rsidR="001E0AE1" w:rsidRPr="00B91EDD" w:rsidTr="00E95A6A">
        <w:tc>
          <w:tcPr>
            <w:tcW w:w="2427" w:type="pct"/>
            <w:gridSpan w:val="2"/>
          </w:tcPr>
          <w:p w:rsidR="001E0AE1" w:rsidRPr="00B91EDD" w:rsidRDefault="001E0AE1" w:rsidP="001E0AE1">
            <w:pPr>
              <w:jc w:val="both"/>
              <w:rPr>
                <w:sz w:val="20"/>
                <w:lang w:val="fr-CA"/>
              </w:rPr>
            </w:pPr>
            <w:r w:rsidRPr="00B91EDD">
              <w:rPr>
                <w:sz w:val="20"/>
                <w:lang w:val="fr-CA"/>
              </w:rPr>
              <w:t>10 février 2017</w:t>
            </w:r>
          </w:p>
          <w:p w:rsidR="001E0AE1" w:rsidRPr="00B91EDD" w:rsidRDefault="001E0AE1" w:rsidP="001E0AE1">
            <w:pPr>
              <w:jc w:val="both"/>
              <w:rPr>
                <w:sz w:val="20"/>
                <w:lang w:val="fr-CA"/>
              </w:rPr>
            </w:pPr>
            <w:r w:rsidRPr="00B91EDD">
              <w:rPr>
                <w:sz w:val="20"/>
                <w:lang w:val="fr-CA"/>
              </w:rPr>
              <w:t>Cour d’appel fédérale</w:t>
            </w:r>
          </w:p>
          <w:p w:rsidR="001E0AE1" w:rsidRPr="00B91EDD" w:rsidRDefault="001E0AE1" w:rsidP="001E0AE1">
            <w:pPr>
              <w:jc w:val="both"/>
              <w:rPr>
                <w:sz w:val="20"/>
                <w:lang w:val="fr-CA"/>
              </w:rPr>
            </w:pPr>
            <w:r w:rsidRPr="00B91EDD">
              <w:rPr>
                <w:sz w:val="20"/>
                <w:lang w:val="fr-CA"/>
              </w:rPr>
              <w:t>(Juges Pelletier, Near et Rennie)</w:t>
            </w:r>
          </w:p>
          <w:p w:rsidR="001E0AE1" w:rsidRPr="00B91EDD" w:rsidRDefault="00B91EDD" w:rsidP="001E0AE1">
            <w:pPr>
              <w:jc w:val="both"/>
              <w:rPr>
                <w:sz w:val="20"/>
                <w:lang w:val="fr-CA"/>
              </w:rPr>
            </w:pPr>
            <w:hyperlink r:id="rId22" w:history="1">
              <w:r w:rsidR="001E0AE1" w:rsidRPr="00B91EDD">
                <w:rPr>
                  <w:rStyle w:val="Hyperlink"/>
                  <w:sz w:val="20"/>
                  <w:lang w:val="fr-CA"/>
                </w:rPr>
                <w:t>2007 FCA 29</w:t>
              </w:r>
            </w:hyperlink>
          </w:p>
          <w:p w:rsidR="001E0AE1" w:rsidRPr="00B91EDD" w:rsidRDefault="001E0AE1" w:rsidP="001E0AE1">
            <w:pPr>
              <w:jc w:val="both"/>
              <w:rPr>
                <w:sz w:val="20"/>
                <w:lang w:val="fr-CA"/>
              </w:rPr>
            </w:pPr>
          </w:p>
        </w:tc>
        <w:tc>
          <w:tcPr>
            <w:tcW w:w="243" w:type="pct"/>
          </w:tcPr>
          <w:p w:rsidR="001E0AE1" w:rsidRPr="00B91EDD" w:rsidRDefault="001E0AE1" w:rsidP="001E0AE1">
            <w:pPr>
              <w:jc w:val="both"/>
              <w:rPr>
                <w:sz w:val="20"/>
                <w:lang w:val="fr-CA"/>
              </w:rPr>
            </w:pPr>
          </w:p>
        </w:tc>
        <w:tc>
          <w:tcPr>
            <w:tcW w:w="2330" w:type="pct"/>
          </w:tcPr>
          <w:p w:rsidR="001E0AE1" w:rsidRPr="00B91EDD" w:rsidRDefault="001E0AE1" w:rsidP="001E0AE1">
            <w:pPr>
              <w:jc w:val="both"/>
              <w:rPr>
                <w:sz w:val="20"/>
                <w:lang w:val="fr-CA"/>
              </w:rPr>
            </w:pPr>
            <w:r w:rsidRPr="00B91EDD">
              <w:rPr>
                <w:sz w:val="20"/>
                <w:lang w:val="fr-CA"/>
              </w:rPr>
              <w:t>Rejet de l’appel du demandeur.</w:t>
            </w:r>
          </w:p>
          <w:p w:rsidR="001E0AE1" w:rsidRPr="00B91EDD" w:rsidRDefault="001E0AE1" w:rsidP="001E0AE1">
            <w:pPr>
              <w:jc w:val="both"/>
              <w:rPr>
                <w:sz w:val="20"/>
                <w:lang w:val="fr-CA"/>
              </w:rPr>
            </w:pPr>
          </w:p>
        </w:tc>
      </w:tr>
      <w:tr w:rsidR="001E0AE1" w:rsidRPr="00B91EDD" w:rsidTr="00E95A6A">
        <w:tc>
          <w:tcPr>
            <w:tcW w:w="2427" w:type="pct"/>
            <w:gridSpan w:val="2"/>
          </w:tcPr>
          <w:p w:rsidR="001E0AE1" w:rsidRPr="00B91EDD" w:rsidRDefault="001E0AE1" w:rsidP="001E0AE1">
            <w:pPr>
              <w:jc w:val="both"/>
              <w:rPr>
                <w:sz w:val="20"/>
                <w:lang w:val="fr-CA"/>
              </w:rPr>
            </w:pPr>
            <w:r w:rsidRPr="00B91EDD">
              <w:rPr>
                <w:sz w:val="20"/>
                <w:lang w:val="fr-CA"/>
              </w:rPr>
              <w:t>11 avril 2017</w:t>
            </w:r>
          </w:p>
          <w:p w:rsidR="001E0AE1" w:rsidRPr="00B91EDD" w:rsidRDefault="001E0AE1" w:rsidP="001E0AE1">
            <w:pPr>
              <w:jc w:val="both"/>
              <w:rPr>
                <w:sz w:val="20"/>
                <w:lang w:val="fr-CA"/>
              </w:rPr>
            </w:pPr>
            <w:r w:rsidRPr="00B91EDD">
              <w:rPr>
                <w:sz w:val="20"/>
                <w:lang w:val="fr-CA"/>
              </w:rPr>
              <w:t>Cour suprême du Canada</w:t>
            </w:r>
          </w:p>
        </w:tc>
        <w:tc>
          <w:tcPr>
            <w:tcW w:w="243" w:type="pct"/>
          </w:tcPr>
          <w:p w:rsidR="001E0AE1" w:rsidRPr="00B91EDD" w:rsidRDefault="001E0AE1" w:rsidP="001E0AE1">
            <w:pPr>
              <w:jc w:val="both"/>
              <w:rPr>
                <w:sz w:val="20"/>
                <w:lang w:val="fr-CA"/>
              </w:rPr>
            </w:pPr>
          </w:p>
        </w:tc>
        <w:tc>
          <w:tcPr>
            <w:tcW w:w="2330" w:type="pct"/>
          </w:tcPr>
          <w:p w:rsidR="001E0AE1" w:rsidRPr="00B91EDD" w:rsidRDefault="001E0AE1" w:rsidP="001E0AE1">
            <w:pPr>
              <w:jc w:val="both"/>
              <w:rPr>
                <w:sz w:val="20"/>
                <w:lang w:val="fr-CA"/>
              </w:rPr>
            </w:pPr>
            <w:r w:rsidRPr="00B91EDD">
              <w:rPr>
                <w:sz w:val="20"/>
                <w:lang w:val="fr-CA"/>
              </w:rPr>
              <w:t>Dépôt de la demande de contrôle judiciaire.</w:t>
            </w:r>
          </w:p>
          <w:p w:rsidR="001E0AE1" w:rsidRPr="00B91EDD" w:rsidRDefault="001E0AE1" w:rsidP="001E0AE1">
            <w:pPr>
              <w:jc w:val="both"/>
              <w:rPr>
                <w:sz w:val="20"/>
                <w:lang w:val="fr-CA"/>
              </w:rPr>
            </w:pPr>
          </w:p>
        </w:tc>
      </w:tr>
    </w:tbl>
    <w:p w:rsidR="001E0AE1" w:rsidRPr="00B91EDD" w:rsidRDefault="001E0AE1" w:rsidP="005444FD">
      <w:pPr>
        <w:ind w:left="360" w:hanging="360"/>
        <w:jc w:val="both"/>
        <w:rPr>
          <w:sz w:val="20"/>
          <w:lang w:val="fr-CA" w:eastAsia="en-CA"/>
        </w:rPr>
      </w:pPr>
    </w:p>
    <w:p w:rsidR="001E0AE1" w:rsidRPr="00B91EDD" w:rsidRDefault="001E0AE1" w:rsidP="005444FD">
      <w:pPr>
        <w:ind w:left="360" w:hanging="360"/>
        <w:jc w:val="both"/>
        <w:rPr>
          <w:sz w:val="20"/>
          <w:lang w:val="fr-CA" w:eastAsia="en-CA"/>
        </w:rPr>
      </w:pPr>
    </w:p>
    <w:p w:rsidR="00AF63E5" w:rsidRPr="00B91EDD" w:rsidRDefault="00AF63E5" w:rsidP="00F13671">
      <w:pPr>
        <w:ind w:left="360" w:hanging="360"/>
        <w:jc w:val="both"/>
        <w:rPr>
          <w:sz w:val="20"/>
          <w:lang w:val="fr-CA" w:eastAsia="en-CA"/>
        </w:rPr>
      </w:pPr>
    </w:p>
    <w:p w:rsidR="00D3344A" w:rsidRPr="00B91EDD" w:rsidRDefault="00D3344A" w:rsidP="00D3344A">
      <w:pPr>
        <w:widowControl w:val="0"/>
        <w:outlineLvl w:val="0"/>
      </w:pPr>
      <w:r w:rsidRPr="00B91EDD">
        <w:t xml:space="preserve">Supreme Court of Canada / Cour suprême du </w:t>
      </w:r>
      <w:proofErr w:type="gramStart"/>
      <w:r w:rsidRPr="00B91EDD">
        <w:t>Canad</w:t>
      </w:r>
      <w:r w:rsidR="00EE289F" w:rsidRPr="00B91EDD">
        <w:t>a</w:t>
      </w:r>
      <w:r w:rsidRPr="00B91EDD">
        <w:t xml:space="preserve"> :</w:t>
      </w:r>
      <w:proofErr w:type="gramEnd"/>
    </w:p>
    <w:p w:rsidR="00D3344A" w:rsidRPr="00B91EDD" w:rsidRDefault="00B91EDD" w:rsidP="00D3344A">
      <w:pPr>
        <w:widowControl w:val="0"/>
        <w:outlineLvl w:val="0"/>
        <w:rPr>
          <w:u w:val="single"/>
        </w:rPr>
      </w:pPr>
      <w:hyperlink r:id="rId23" w:history="1">
        <w:r w:rsidR="009B7391" w:rsidRPr="00B91EDD">
          <w:rPr>
            <w:rStyle w:val="Hyperlink"/>
          </w:rPr>
          <w:t>comments-commentaires@scc-csc.ca</w:t>
        </w:r>
      </w:hyperlink>
    </w:p>
    <w:p w:rsidR="00D3344A" w:rsidRPr="00B91EDD" w:rsidRDefault="0065588C" w:rsidP="00D3344A">
      <w:pPr>
        <w:widowControl w:val="0"/>
        <w:outlineLvl w:val="0"/>
      </w:pPr>
      <w:r w:rsidRPr="00B91EDD">
        <w:t>613-</w:t>
      </w:r>
      <w:r w:rsidR="00D3344A" w:rsidRPr="00B91EDD">
        <w:t>995-4330</w:t>
      </w:r>
    </w:p>
    <w:p w:rsidR="00497B5E" w:rsidRPr="00B91EDD" w:rsidRDefault="00497B5E" w:rsidP="00497B5E">
      <w:pPr>
        <w:widowControl w:val="0"/>
        <w:rPr>
          <w:sz w:val="20"/>
        </w:rPr>
      </w:pPr>
    </w:p>
    <w:p w:rsidR="00F6251B" w:rsidRPr="006E558B" w:rsidRDefault="003F43E6" w:rsidP="00F6251B">
      <w:pPr>
        <w:pStyle w:val="Footer"/>
        <w:jc w:val="center"/>
      </w:pPr>
      <w:r w:rsidRPr="00B91EDD">
        <w:t>- 30 -</w:t>
      </w:r>
    </w:p>
    <w:p w:rsidR="00F6251B" w:rsidRPr="006E558B" w:rsidRDefault="00F6251B" w:rsidP="00F6251B">
      <w:pPr>
        <w:pStyle w:val="Footer"/>
        <w:jc w:val="center"/>
      </w:pPr>
    </w:p>
    <w:sectPr w:rsidR="00F6251B" w:rsidRPr="006E558B" w:rsidSect="0052482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896F15"/>
    <w:multiLevelType w:val="hybridMultilevel"/>
    <w:tmpl w:val="8402A008"/>
    <w:lvl w:ilvl="0" w:tplc="D5F4A84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630111C"/>
    <w:multiLevelType w:val="hybridMultilevel"/>
    <w:tmpl w:val="93F22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FC1044"/>
    <w:multiLevelType w:val="hybridMultilevel"/>
    <w:tmpl w:val="39BE763A"/>
    <w:lvl w:ilvl="0" w:tplc="28C2ECB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1"/>
  </w:num>
  <w:num w:numId="3">
    <w:abstractNumId w:val="19"/>
  </w:num>
  <w:num w:numId="4">
    <w:abstractNumId w:val="45"/>
  </w:num>
  <w:num w:numId="5">
    <w:abstractNumId w:val="28"/>
  </w:num>
  <w:num w:numId="6">
    <w:abstractNumId w:val="16"/>
  </w:num>
  <w:num w:numId="7">
    <w:abstractNumId w:val="4"/>
  </w:num>
  <w:num w:numId="8">
    <w:abstractNumId w:val="2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37"/>
  </w:num>
  <w:num w:numId="12">
    <w:abstractNumId w:val="47"/>
  </w:num>
  <w:num w:numId="13">
    <w:abstractNumId w:val="41"/>
  </w:num>
  <w:num w:numId="14">
    <w:abstractNumId w:val="7"/>
  </w:num>
  <w:num w:numId="15">
    <w:abstractNumId w:val="43"/>
  </w:num>
  <w:num w:numId="16">
    <w:abstractNumId w:val="31"/>
  </w:num>
  <w:num w:numId="17">
    <w:abstractNumId w:val="15"/>
  </w:num>
  <w:num w:numId="18">
    <w:abstractNumId w:val="10"/>
  </w:num>
  <w:num w:numId="19">
    <w:abstractNumId w:val="32"/>
  </w:num>
  <w:num w:numId="20">
    <w:abstractNumId w:val="8"/>
  </w:num>
  <w:num w:numId="21">
    <w:abstractNumId w:val="0"/>
  </w:num>
  <w:num w:numId="22">
    <w:abstractNumId w:val="33"/>
  </w:num>
  <w:num w:numId="23">
    <w:abstractNumId w:val="6"/>
  </w:num>
  <w:num w:numId="24">
    <w:abstractNumId w:val="17"/>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0"/>
  </w:num>
  <w:num w:numId="29">
    <w:abstractNumId w:val="13"/>
  </w:num>
  <w:num w:numId="30">
    <w:abstractNumId w:val="44"/>
  </w:num>
  <w:num w:numId="31">
    <w:abstractNumId w:val="3"/>
  </w:num>
  <w:num w:numId="32">
    <w:abstractNumId w:val="30"/>
  </w:num>
  <w:num w:numId="33">
    <w:abstractNumId w:val="14"/>
  </w:num>
  <w:num w:numId="34">
    <w:abstractNumId w:val="12"/>
  </w:num>
  <w:num w:numId="35">
    <w:abstractNumId w:val="39"/>
  </w:num>
  <w:num w:numId="3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2"/>
  </w:num>
  <w:num w:numId="40">
    <w:abstractNumId w:val="29"/>
  </w:num>
  <w:num w:numId="41">
    <w:abstractNumId w:val="49"/>
  </w:num>
  <w:num w:numId="42">
    <w:abstractNumId w:val="5"/>
  </w:num>
  <w:num w:numId="43">
    <w:abstractNumId w:val="42"/>
  </w:num>
  <w:num w:numId="44">
    <w:abstractNumId w:val="46"/>
  </w:num>
  <w:num w:numId="45">
    <w:abstractNumId w:val="20"/>
  </w:num>
  <w:num w:numId="46">
    <w:abstractNumId w:val="35"/>
  </w:num>
  <w:num w:numId="47">
    <w:abstractNumId w:val="25"/>
  </w:num>
  <w:num w:numId="48">
    <w:abstractNumId w:val="36"/>
  </w:num>
  <w:num w:numId="49">
    <w:abstractNumId w:val="27"/>
  </w:num>
  <w:num w:numId="5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86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0AE1"/>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4F58"/>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0E33"/>
    <w:rsid w:val="00491D56"/>
    <w:rsid w:val="00491D60"/>
    <w:rsid w:val="004947D5"/>
    <w:rsid w:val="0049492A"/>
    <w:rsid w:val="00494A21"/>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3727"/>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01A8"/>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289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B44"/>
    <w:rsid w:val="00B84F90"/>
    <w:rsid w:val="00B85A66"/>
    <w:rsid w:val="00B86E92"/>
    <w:rsid w:val="00B90370"/>
    <w:rsid w:val="00B90F3B"/>
    <w:rsid w:val="00B91053"/>
    <w:rsid w:val="00B91270"/>
    <w:rsid w:val="00B916F3"/>
    <w:rsid w:val="00B91EDD"/>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79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5FE0"/>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282"/>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0E6"/>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6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D65797"/>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65797"/>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86" TargetMode="External"/><Relationship Id="rId13" Type="http://schemas.openxmlformats.org/officeDocument/2006/relationships/hyperlink" Target="https://www.canlii.org/en/nb/nbca/doc/2016/2016nbca58/2016nbca58.html?resultIndex=4" TargetMode="External"/><Relationship Id="rId18" Type="http://schemas.openxmlformats.org/officeDocument/2006/relationships/hyperlink" Target="https://www.canlii.org/en/on/onca/doc/2017/2017onca91/2017onca91.html?autocompleteStr=2017%20ONCA%2091&amp;autocompletePos=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nlii.org/en/ca/fct/doc/2016/2016fc484/2016fc484.html?resultIndex=1" TargetMode="External"/><Relationship Id="rId7" Type="http://schemas.openxmlformats.org/officeDocument/2006/relationships/endnotes" Target="endnotes.xml"/><Relationship Id="rId12" Type="http://schemas.openxmlformats.org/officeDocument/2006/relationships/hyperlink" Target="https://www.canlii.org/en/nb/nbca/doc/2016/2016canlii101484/2016canlii101484.html?autocompleteStr=2016%20canlii%20101484&amp;autocompletePos=1" TargetMode="External"/><Relationship Id="rId17" Type="http://schemas.openxmlformats.org/officeDocument/2006/relationships/hyperlink" Target="https://www.canlii.org/en/on/onsc/doc/2013/2013onsc7648/2013onsc7648.html?autocompleteStr=2013%20ONSC%207648&amp;autocompletePos=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en/on/onca/doc/2017/2017onca91/2017onca91.html?autocompleteStr=2017%20ONCA%2091&amp;autocompletePos=1" TargetMode="External"/><Relationship Id="rId20" Type="http://schemas.openxmlformats.org/officeDocument/2006/relationships/hyperlink" Target="https://www.canlii.org/en/ca/fca/doc/2017/2017fca29/2017fca29.html?autocompleteStr=Gennai&amp;autocompletePos=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nb/nbca/doc/2016/2016nbca58/2016nbca58.html?resultIndex=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nlii.org/en/on/onsc/doc/2013/2013onsc7648/2013onsc7648.html?autocompleteStr=2013%20ONSC%207648&amp;autocompletePos=1"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www.scc-csc.ca/case-dossier/info/sum-som-eng.aspx?cas=37525" TargetMode="External"/><Relationship Id="rId19" Type="http://schemas.openxmlformats.org/officeDocument/2006/relationships/hyperlink" Target="https://www.canlii.org/en/ca/fct/doc/2016/2016fc484/2016fc484.html?resultIndex=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505" TargetMode="External"/><Relationship Id="rId14" Type="http://schemas.openxmlformats.org/officeDocument/2006/relationships/hyperlink" Target="https://www.canlii.org/en/nb/nbca/doc/2016/2016canlii101484/2016canlii101484.html?autocompleteStr=2016%20canlii%20101484&amp;autocompletePos=1" TargetMode="External"/><Relationship Id="rId22" Type="http://schemas.openxmlformats.org/officeDocument/2006/relationships/hyperlink" Target="https://www.canlii.org/en/ca/fca/doc/2017/2017fca29/2017fca29.html?autocompleteStr=Gennai&amp;autocompletePos=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9ADA2-B253-4B8B-87D8-CD8524A5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21326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2017-07-10T12:43:00Z</dcterms:created>
  <dcterms:modified xsi:type="dcterms:W3CDTF">2017-07-10T18:13:00Z</dcterms:modified>
</cp:coreProperties>
</file>