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06879" w:rsidRDefault="003F43E6" w:rsidP="00122CE1">
      <w:pPr>
        <w:pStyle w:val="Header"/>
        <w:tabs>
          <w:tab w:val="left" w:pos="1620"/>
          <w:tab w:val="left" w:pos="1710"/>
        </w:tabs>
        <w:jc w:val="center"/>
        <w:rPr>
          <w:b/>
          <w:sz w:val="32"/>
        </w:rPr>
      </w:pPr>
      <w:r w:rsidRPr="00C06879">
        <w:rPr>
          <w:b/>
          <w:sz w:val="32"/>
        </w:rPr>
        <w:t>Supreme Court of Canada / Cour suprême du Canada</w:t>
      </w:r>
    </w:p>
    <w:p w:rsidR="003F43E6" w:rsidRPr="00C06879" w:rsidRDefault="003F43E6" w:rsidP="006F2579">
      <w:pPr>
        <w:widowControl w:val="0"/>
        <w:rPr>
          <w:i/>
        </w:rPr>
      </w:pPr>
    </w:p>
    <w:p w:rsidR="006F2579" w:rsidRPr="00C06879" w:rsidRDefault="006F2579" w:rsidP="006F2579">
      <w:pPr>
        <w:widowControl w:val="0"/>
        <w:rPr>
          <w:i/>
        </w:rPr>
      </w:pPr>
      <w:r w:rsidRPr="00C06879">
        <w:rPr>
          <w:i/>
        </w:rPr>
        <w:t>(le français suit)</w:t>
      </w:r>
    </w:p>
    <w:p w:rsidR="006F2579" w:rsidRPr="00C06879" w:rsidRDefault="006F2579" w:rsidP="006F2579">
      <w:pPr>
        <w:widowControl w:val="0"/>
      </w:pPr>
    </w:p>
    <w:p w:rsidR="006F2579" w:rsidRPr="00C06879" w:rsidRDefault="00B07908" w:rsidP="006F2579">
      <w:pPr>
        <w:widowControl w:val="0"/>
        <w:jc w:val="center"/>
        <w:rPr>
          <w:b/>
        </w:rPr>
      </w:pPr>
      <w:r w:rsidRPr="00C06879">
        <w:fldChar w:fldCharType="begin"/>
      </w:r>
      <w:r w:rsidR="006F2579" w:rsidRPr="00C06879">
        <w:instrText xml:space="preserve"> SEQ CHAPTER \h \r 1</w:instrText>
      </w:r>
      <w:r w:rsidRPr="00C06879">
        <w:fldChar w:fldCharType="end"/>
      </w:r>
      <w:r w:rsidR="006F2579" w:rsidRPr="00C06879">
        <w:rPr>
          <w:b/>
        </w:rPr>
        <w:t>JUDGMENT</w:t>
      </w:r>
      <w:r w:rsidR="00B17AAC" w:rsidRPr="00C06879">
        <w:rPr>
          <w:b/>
        </w:rPr>
        <w:t>S</w:t>
      </w:r>
      <w:r w:rsidR="006F2579" w:rsidRPr="00C06879">
        <w:rPr>
          <w:b/>
        </w:rPr>
        <w:t xml:space="preserve"> TO B</w:t>
      </w:r>
      <w:r w:rsidR="00001846" w:rsidRPr="00C06879">
        <w:rPr>
          <w:b/>
        </w:rPr>
        <w:t>E RENDERED IN LEAVE APPLICATION</w:t>
      </w:r>
      <w:r w:rsidR="005A6AB9">
        <w:rPr>
          <w:b/>
        </w:rPr>
        <w:t>S</w:t>
      </w:r>
    </w:p>
    <w:p w:rsidR="006F2579" w:rsidRPr="00C06879" w:rsidRDefault="006F2579" w:rsidP="006F2579">
      <w:pPr>
        <w:widowControl w:val="0"/>
      </w:pPr>
    </w:p>
    <w:p w:rsidR="006F2579" w:rsidRPr="00C06879" w:rsidRDefault="006B60A2" w:rsidP="006F2579">
      <w:pPr>
        <w:widowControl w:val="0"/>
        <w:rPr>
          <w:b/>
        </w:rPr>
      </w:pPr>
      <w:r w:rsidRPr="00C06879">
        <w:rPr>
          <w:b/>
        </w:rPr>
        <w:t>October</w:t>
      </w:r>
      <w:r w:rsidR="00FD37D0" w:rsidRPr="00C06879">
        <w:rPr>
          <w:b/>
        </w:rPr>
        <w:t xml:space="preserve"> </w:t>
      </w:r>
      <w:r w:rsidR="00782941">
        <w:rPr>
          <w:b/>
        </w:rPr>
        <w:t>10</w:t>
      </w:r>
      <w:r w:rsidR="00AB5538" w:rsidRPr="00C06879">
        <w:rPr>
          <w:b/>
        </w:rPr>
        <w:t>,</w:t>
      </w:r>
      <w:r w:rsidR="006F2579" w:rsidRPr="00C06879">
        <w:rPr>
          <w:b/>
        </w:rPr>
        <w:t xml:space="preserve"> </w:t>
      </w:r>
      <w:r w:rsidR="0054689F" w:rsidRPr="00C06879">
        <w:rPr>
          <w:b/>
        </w:rPr>
        <w:t>201</w:t>
      </w:r>
      <w:r w:rsidR="00A151D1" w:rsidRPr="00C06879">
        <w:rPr>
          <w:b/>
        </w:rPr>
        <w:t>7</w:t>
      </w:r>
    </w:p>
    <w:p w:rsidR="006F2579" w:rsidRPr="00C06879" w:rsidRDefault="006F2579" w:rsidP="006F2579">
      <w:pPr>
        <w:widowControl w:val="0"/>
        <w:rPr>
          <w:b/>
        </w:rPr>
      </w:pPr>
      <w:r w:rsidRPr="00C06879">
        <w:rPr>
          <w:b/>
        </w:rPr>
        <w:t>For immediate release</w:t>
      </w:r>
    </w:p>
    <w:p w:rsidR="006F2579" w:rsidRPr="00C06879" w:rsidRDefault="006F2579" w:rsidP="006F2579">
      <w:pPr>
        <w:widowControl w:val="0"/>
      </w:pPr>
    </w:p>
    <w:p w:rsidR="006F2579" w:rsidRPr="003952C2" w:rsidRDefault="006F2579" w:rsidP="006F2579">
      <w:pPr>
        <w:widowControl w:val="0"/>
        <w:rPr>
          <w:lang w:val="fr-CA"/>
        </w:rPr>
      </w:pPr>
      <w:r w:rsidRPr="00C06879">
        <w:rPr>
          <w:b/>
        </w:rPr>
        <w:t>OTTAWA</w:t>
      </w:r>
      <w:r w:rsidRPr="00C06879">
        <w:t xml:space="preserve"> – The Supreme Court of Canad</w:t>
      </w:r>
      <w:r w:rsidR="006246E4" w:rsidRPr="00C06879">
        <w:t>a</w:t>
      </w:r>
      <w:r w:rsidRPr="00C06879">
        <w:t xml:space="preserve"> announced today that judgment in the following application</w:t>
      </w:r>
      <w:r w:rsidR="008600ED" w:rsidRPr="00C06879">
        <w:t>s</w:t>
      </w:r>
      <w:r w:rsidRPr="00C06879">
        <w:t xml:space="preserve"> for leave to appeal will be delivered at 9:45 a.m. E</w:t>
      </w:r>
      <w:r w:rsidR="009F6DB9" w:rsidRPr="00C06879">
        <w:t>D</w:t>
      </w:r>
      <w:r w:rsidRPr="00C06879">
        <w:t xml:space="preserve">T on Thursday, </w:t>
      </w:r>
      <w:r w:rsidR="006B60A2" w:rsidRPr="00C06879">
        <w:t>October</w:t>
      </w:r>
      <w:r w:rsidR="00780317" w:rsidRPr="00C06879">
        <w:t xml:space="preserve"> </w:t>
      </w:r>
      <w:r w:rsidR="00782941">
        <w:t>12</w:t>
      </w:r>
      <w:r w:rsidR="007E112F" w:rsidRPr="00C06879">
        <w:t>,</w:t>
      </w:r>
      <w:r w:rsidR="002F38D7" w:rsidRPr="00C06879">
        <w:t xml:space="preserve"> </w:t>
      </w:r>
      <w:r w:rsidR="006648D1" w:rsidRPr="00C06879">
        <w:t>201</w:t>
      </w:r>
      <w:r w:rsidR="00A151D1" w:rsidRPr="00C06879">
        <w:t>7</w:t>
      </w:r>
      <w:r w:rsidRPr="00C06879">
        <w:t xml:space="preserve">. </w:t>
      </w:r>
      <w:r w:rsidRPr="003952C2">
        <w:rPr>
          <w:lang w:val="fr-CA"/>
        </w:rPr>
        <w:t>This list is subject to chang</w:t>
      </w:r>
      <w:r w:rsidR="00192F7F" w:rsidRPr="003952C2">
        <w:rPr>
          <w:lang w:val="fr-CA"/>
        </w:rPr>
        <w:t>e</w:t>
      </w:r>
      <w:r w:rsidRPr="003952C2">
        <w:rPr>
          <w:lang w:val="fr-CA"/>
        </w:rPr>
        <w:t>.</w:t>
      </w:r>
    </w:p>
    <w:p w:rsidR="00FF5AA4" w:rsidRPr="003952C2" w:rsidRDefault="00FF5AA4" w:rsidP="006F2579">
      <w:pPr>
        <w:widowControl w:val="0"/>
        <w:rPr>
          <w:lang w:val="fr-CA"/>
        </w:rPr>
      </w:pPr>
    </w:p>
    <w:p w:rsidR="00B43418" w:rsidRPr="003952C2" w:rsidRDefault="00B43418" w:rsidP="006F2579">
      <w:pPr>
        <w:widowControl w:val="0"/>
        <w:rPr>
          <w:lang w:val="fr-CA"/>
        </w:rPr>
      </w:pPr>
    </w:p>
    <w:p w:rsidR="006F2579" w:rsidRPr="00C06879" w:rsidRDefault="006F2579" w:rsidP="006F2579">
      <w:pPr>
        <w:widowControl w:val="0"/>
        <w:jc w:val="center"/>
        <w:rPr>
          <w:lang w:val="fr-CA"/>
        </w:rPr>
      </w:pPr>
      <w:r w:rsidRPr="00C06879">
        <w:rPr>
          <w:b/>
          <w:lang w:val="fr-CA"/>
        </w:rPr>
        <w:t>PROCHAIN</w:t>
      </w:r>
      <w:r w:rsidR="00B17AAC" w:rsidRPr="00C06879">
        <w:rPr>
          <w:b/>
          <w:lang w:val="fr-CA"/>
        </w:rPr>
        <w:t>S</w:t>
      </w:r>
      <w:r w:rsidRPr="00C06879">
        <w:rPr>
          <w:b/>
          <w:lang w:val="fr-CA"/>
        </w:rPr>
        <w:t xml:space="preserve"> JUGEMENT</w:t>
      </w:r>
      <w:r w:rsidR="00B17AAC" w:rsidRPr="00C06879">
        <w:rPr>
          <w:b/>
          <w:lang w:val="fr-CA"/>
        </w:rPr>
        <w:t>S</w:t>
      </w:r>
      <w:r w:rsidR="00001846" w:rsidRPr="00C06879">
        <w:rPr>
          <w:b/>
          <w:lang w:val="fr-CA"/>
        </w:rPr>
        <w:t xml:space="preserve"> SUR DEMANDE</w:t>
      </w:r>
      <w:r w:rsidR="00B17AAC" w:rsidRPr="00C06879">
        <w:rPr>
          <w:b/>
          <w:lang w:val="fr-CA"/>
        </w:rPr>
        <w:t>S</w:t>
      </w:r>
      <w:r w:rsidRPr="00C06879">
        <w:rPr>
          <w:b/>
          <w:lang w:val="fr-CA"/>
        </w:rPr>
        <w:t xml:space="preserve"> D’AUTORISATION</w:t>
      </w:r>
    </w:p>
    <w:p w:rsidR="006F2579" w:rsidRPr="00C06879" w:rsidRDefault="006F2579" w:rsidP="006F2579">
      <w:pPr>
        <w:widowControl w:val="0"/>
        <w:rPr>
          <w:lang w:val="fr-CA"/>
        </w:rPr>
      </w:pPr>
    </w:p>
    <w:p w:rsidR="006F2579" w:rsidRPr="00C06879" w:rsidRDefault="006F2579" w:rsidP="006F2579">
      <w:pPr>
        <w:widowControl w:val="0"/>
        <w:rPr>
          <w:b/>
          <w:lang w:val="fr-CA"/>
        </w:rPr>
      </w:pPr>
      <w:r w:rsidRPr="00C06879">
        <w:rPr>
          <w:b/>
          <w:lang w:val="fr-CA"/>
        </w:rPr>
        <w:t>Le</w:t>
      </w:r>
      <w:r w:rsidR="00957A76" w:rsidRPr="00C06879">
        <w:rPr>
          <w:b/>
          <w:lang w:val="fr-CA"/>
        </w:rPr>
        <w:t xml:space="preserve"> </w:t>
      </w:r>
      <w:r w:rsidR="00782941">
        <w:rPr>
          <w:b/>
          <w:lang w:val="fr-CA"/>
        </w:rPr>
        <w:t>10</w:t>
      </w:r>
      <w:r w:rsidR="00FD37D0" w:rsidRPr="00C06879">
        <w:rPr>
          <w:b/>
          <w:lang w:val="fr-CA"/>
        </w:rPr>
        <w:t xml:space="preserve"> </w:t>
      </w:r>
      <w:r w:rsidR="006B60A2" w:rsidRPr="00C06879">
        <w:rPr>
          <w:b/>
          <w:lang w:val="fr-CA"/>
        </w:rPr>
        <w:t>octo</w:t>
      </w:r>
      <w:r w:rsidR="00CA5C69" w:rsidRPr="00C06879">
        <w:rPr>
          <w:b/>
          <w:lang w:val="fr-CA"/>
        </w:rPr>
        <w:t>bre</w:t>
      </w:r>
      <w:r w:rsidR="00A151D1" w:rsidRPr="00C06879">
        <w:rPr>
          <w:b/>
          <w:lang w:val="fr-CA"/>
        </w:rPr>
        <w:t xml:space="preserve"> 2017</w:t>
      </w:r>
    </w:p>
    <w:p w:rsidR="006F2579" w:rsidRPr="00C06879" w:rsidRDefault="006F2579" w:rsidP="006F2579">
      <w:pPr>
        <w:widowControl w:val="0"/>
        <w:rPr>
          <w:b/>
          <w:lang w:val="fr-CA"/>
        </w:rPr>
      </w:pPr>
      <w:r w:rsidRPr="00C06879">
        <w:rPr>
          <w:b/>
          <w:lang w:val="fr-CA"/>
        </w:rPr>
        <w:t>Pour diffusion immédiate</w:t>
      </w:r>
    </w:p>
    <w:p w:rsidR="006F2579" w:rsidRPr="00C06879" w:rsidRDefault="006F2579" w:rsidP="006F2579">
      <w:pPr>
        <w:widowControl w:val="0"/>
        <w:rPr>
          <w:b/>
          <w:lang w:val="fr-CA"/>
        </w:rPr>
      </w:pPr>
    </w:p>
    <w:p w:rsidR="006F2579" w:rsidRPr="00C06879" w:rsidRDefault="006F2579" w:rsidP="006F2579">
      <w:pPr>
        <w:widowControl w:val="0"/>
        <w:rPr>
          <w:lang w:val="fr-CA"/>
        </w:rPr>
      </w:pPr>
      <w:r w:rsidRPr="00C06879">
        <w:rPr>
          <w:b/>
          <w:lang w:val="fr-CA"/>
        </w:rPr>
        <w:t>OTTAWA</w:t>
      </w:r>
      <w:r w:rsidRPr="00C06879">
        <w:rPr>
          <w:lang w:val="fr-CA"/>
        </w:rPr>
        <w:t xml:space="preserve"> – La Cour suprême du Canada annonce que jugement ser</w:t>
      </w:r>
      <w:r w:rsidR="004259F9" w:rsidRPr="00C06879">
        <w:rPr>
          <w:lang w:val="fr-CA"/>
        </w:rPr>
        <w:t>a</w:t>
      </w:r>
      <w:r w:rsidRPr="00C06879">
        <w:rPr>
          <w:lang w:val="fr-CA"/>
        </w:rPr>
        <w:t xml:space="preserve"> rendu dans l</w:t>
      </w:r>
      <w:r w:rsidR="008600ED" w:rsidRPr="00C06879">
        <w:rPr>
          <w:lang w:val="fr-CA"/>
        </w:rPr>
        <w:t>es</w:t>
      </w:r>
      <w:r w:rsidRPr="00C06879">
        <w:rPr>
          <w:lang w:val="fr-CA"/>
        </w:rPr>
        <w:t xml:space="preserve"> demande</w:t>
      </w:r>
      <w:r w:rsidR="008600ED" w:rsidRPr="00C06879">
        <w:rPr>
          <w:lang w:val="fr-CA"/>
        </w:rPr>
        <w:t>s</w:t>
      </w:r>
      <w:r w:rsidRPr="00C06879">
        <w:rPr>
          <w:lang w:val="fr-CA"/>
        </w:rPr>
        <w:t xml:space="preserve"> d</w:t>
      </w:r>
      <w:r w:rsidR="00001846" w:rsidRPr="00C06879">
        <w:rPr>
          <w:lang w:val="fr-CA"/>
        </w:rPr>
        <w:t>’autorisation d’appel suivante</w:t>
      </w:r>
      <w:r w:rsidR="008600ED" w:rsidRPr="00C06879">
        <w:rPr>
          <w:lang w:val="fr-CA"/>
        </w:rPr>
        <w:t>s</w:t>
      </w:r>
      <w:r w:rsidRPr="00C06879">
        <w:rPr>
          <w:lang w:val="fr-CA"/>
        </w:rPr>
        <w:t xml:space="preserve"> le jeudi </w:t>
      </w:r>
      <w:r w:rsidR="00782941">
        <w:rPr>
          <w:lang w:val="fr-CA"/>
        </w:rPr>
        <w:t>12</w:t>
      </w:r>
      <w:r w:rsidR="00780317" w:rsidRPr="00C06879">
        <w:rPr>
          <w:lang w:val="fr-CA"/>
        </w:rPr>
        <w:t xml:space="preserve"> </w:t>
      </w:r>
      <w:r w:rsidR="006B60A2" w:rsidRPr="00C06879">
        <w:rPr>
          <w:lang w:val="fr-CA"/>
        </w:rPr>
        <w:t>octobre</w:t>
      </w:r>
      <w:r w:rsidR="00674329" w:rsidRPr="00C06879">
        <w:rPr>
          <w:lang w:val="fr-CA"/>
        </w:rPr>
        <w:t xml:space="preserve"> </w:t>
      </w:r>
      <w:r w:rsidR="006648D1" w:rsidRPr="00C06879">
        <w:rPr>
          <w:lang w:val="fr-CA"/>
        </w:rPr>
        <w:t>201</w:t>
      </w:r>
      <w:r w:rsidR="00A151D1" w:rsidRPr="00C06879">
        <w:rPr>
          <w:lang w:val="fr-CA"/>
        </w:rPr>
        <w:t>7</w:t>
      </w:r>
      <w:r w:rsidRPr="00C06879">
        <w:rPr>
          <w:lang w:val="fr-CA"/>
        </w:rPr>
        <w:t xml:space="preserve">, à 9 h 45 </w:t>
      </w:r>
      <w:r w:rsidR="000627A2" w:rsidRPr="00C06879">
        <w:rPr>
          <w:lang w:val="fr-CA"/>
        </w:rPr>
        <w:t>H</w:t>
      </w:r>
      <w:r w:rsidR="009F6DB9" w:rsidRPr="00C06879">
        <w:rPr>
          <w:lang w:val="fr-CA"/>
        </w:rPr>
        <w:t>A</w:t>
      </w:r>
      <w:r w:rsidRPr="00C06879">
        <w:rPr>
          <w:lang w:val="fr-CA"/>
        </w:rPr>
        <w:t>E. Cette liste est sujette à modifications.</w:t>
      </w:r>
    </w:p>
    <w:p w:rsidR="0080556B" w:rsidRPr="00C06879" w:rsidRDefault="0080556B" w:rsidP="009B14F4">
      <w:pPr>
        <w:widowControl w:val="0"/>
        <w:jc w:val="both"/>
        <w:rPr>
          <w:sz w:val="20"/>
          <w:lang w:val="fr-CA"/>
        </w:rPr>
      </w:pPr>
    </w:p>
    <w:p w:rsidR="001838E0" w:rsidRPr="00C06879" w:rsidRDefault="003D353C" w:rsidP="009B14F4">
      <w:pPr>
        <w:widowControl w:val="0"/>
        <w:jc w:val="both"/>
        <w:rPr>
          <w:sz w:val="20"/>
          <w:lang w:val="fr-CA"/>
        </w:rPr>
      </w:pPr>
      <w:r w:rsidRPr="00C0687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Pr="00782941" w:rsidRDefault="00621FED" w:rsidP="00A169B5">
      <w:pPr>
        <w:tabs>
          <w:tab w:val="left" w:pos="900"/>
          <w:tab w:val="center" w:pos="5760"/>
        </w:tabs>
        <w:ind w:left="360" w:hanging="360"/>
        <w:rPr>
          <w:sz w:val="20"/>
          <w:lang w:val="fr-CA"/>
        </w:rPr>
      </w:pPr>
    </w:p>
    <w:p w:rsidR="00782941" w:rsidRPr="002D6310" w:rsidRDefault="00782941" w:rsidP="002D6310">
      <w:pPr>
        <w:pStyle w:val="ListParagraph"/>
        <w:numPr>
          <w:ilvl w:val="0"/>
          <w:numId w:val="19"/>
        </w:numPr>
        <w:ind w:left="360"/>
        <w:jc w:val="both"/>
        <w:rPr>
          <w:sz w:val="20"/>
          <w:lang w:val="fr-CA"/>
        </w:rPr>
      </w:pPr>
      <w:r w:rsidRPr="002D6310">
        <w:rPr>
          <w:i/>
          <w:sz w:val="20"/>
          <w:lang w:val="fr-CA"/>
        </w:rPr>
        <w:t xml:space="preserve">Gestion Christina Patron inc. et </w:t>
      </w:r>
      <w:r w:rsidR="00D45F69" w:rsidRPr="002D6310">
        <w:rPr>
          <w:i/>
          <w:sz w:val="20"/>
          <w:lang w:val="fr-CA"/>
        </w:rPr>
        <w:t xml:space="preserve">autre </w:t>
      </w:r>
      <w:r w:rsidRPr="002D6310">
        <w:rPr>
          <w:i/>
          <w:sz w:val="20"/>
          <w:lang w:val="fr-CA"/>
        </w:rPr>
        <w:t xml:space="preserve">c. Banque Royale du Canada </w:t>
      </w:r>
      <w:r w:rsidRPr="002D6310">
        <w:rPr>
          <w:sz w:val="20"/>
          <w:lang w:val="fr-CA"/>
        </w:rPr>
        <w:t>(Qc) (Civile) (Autorisation)</w:t>
      </w:r>
      <w:r w:rsidR="003E5DFE" w:rsidRPr="002D6310">
        <w:rPr>
          <w:sz w:val="20"/>
          <w:lang w:val="fr-CA"/>
        </w:rPr>
        <w:t xml:space="preserve"> (</w:t>
      </w:r>
      <w:hyperlink r:id="rId8" w:history="1">
        <w:r w:rsidR="003E5DFE" w:rsidRPr="002D6310">
          <w:rPr>
            <w:rStyle w:val="Hyperlink"/>
            <w:sz w:val="20"/>
            <w:lang w:val="fr-CA"/>
          </w:rPr>
          <w:t>37504</w:t>
        </w:r>
      </w:hyperlink>
      <w:r w:rsidR="003E5DFE" w:rsidRPr="002D6310">
        <w:rPr>
          <w:sz w:val="20"/>
          <w:lang w:val="fr-CA"/>
        </w:rPr>
        <w:t>)</w:t>
      </w:r>
    </w:p>
    <w:p w:rsidR="00782941" w:rsidRPr="00782941" w:rsidRDefault="00782941" w:rsidP="002D6310">
      <w:pPr>
        <w:widowControl w:val="0"/>
        <w:ind w:left="360" w:hanging="360"/>
        <w:jc w:val="both"/>
        <w:rPr>
          <w:sz w:val="20"/>
          <w:lang w:val="fr-CA"/>
        </w:rPr>
      </w:pPr>
    </w:p>
    <w:p w:rsidR="00782941" w:rsidRPr="002D6310" w:rsidRDefault="00782941" w:rsidP="002D6310">
      <w:pPr>
        <w:pStyle w:val="ListParagraph"/>
        <w:numPr>
          <w:ilvl w:val="0"/>
          <w:numId w:val="19"/>
        </w:numPr>
        <w:ind w:left="360"/>
        <w:jc w:val="both"/>
        <w:rPr>
          <w:sz w:val="20"/>
          <w:lang w:val="fr-CA"/>
        </w:rPr>
      </w:pPr>
      <w:r w:rsidRPr="002D6310">
        <w:rPr>
          <w:i/>
          <w:sz w:val="20"/>
          <w:lang w:val="fr-CA"/>
        </w:rPr>
        <w:t>Melanie Ann Dale</w:t>
      </w:r>
      <w:r w:rsidR="002D6310" w:rsidRPr="002D6310">
        <w:rPr>
          <w:i/>
          <w:sz w:val="20"/>
          <w:lang w:val="fr-CA"/>
        </w:rPr>
        <w:t xml:space="preserve"> et al.</w:t>
      </w:r>
      <w:r w:rsidRPr="002D6310">
        <w:rPr>
          <w:i/>
          <w:sz w:val="20"/>
          <w:lang w:val="fr-CA"/>
        </w:rPr>
        <w:t xml:space="preserve"> v. Cathy Sheila Frank</w:t>
      </w:r>
      <w:r w:rsidR="002D6310" w:rsidRPr="002D6310">
        <w:rPr>
          <w:i/>
          <w:sz w:val="20"/>
          <w:lang w:val="fr-CA"/>
        </w:rPr>
        <w:t xml:space="preserve"> et al.</w:t>
      </w:r>
      <w:r w:rsidRPr="002D6310">
        <w:rPr>
          <w:i/>
          <w:sz w:val="20"/>
          <w:lang w:val="fr-CA"/>
        </w:rPr>
        <w:t xml:space="preserve"> </w:t>
      </w:r>
      <w:r w:rsidRPr="002D6310">
        <w:rPr>
          <w:sz w:val="20"/>
          <w:lang w:val="fr-CA"/>
        </w:rPr>
        <w:t>(Ont.) (Civil) (By Leave)</w:t>
      </w:r>
      <w:bookmarkStart w:id="0" w:name="_GoBack"/>
      <w:bookmarkEnd w:id="0"/>
      <w:r w:rsidR="002D6310" w:rsidRPr="002D6310">
        <w:rPr>
          <w:sz w:val="20"/>
          <w:lang w:val="fr-CA"/>
        </w:rPr>
        <w:t xml:space="preserve"> (</w:t>
      </w:r>
      <w:hyperlink r:id="rId9" w:history="1">
        <w:r w:rsidR="002D6310" w:rsidRPr="002D6310">
          <w:rPr>
            <w:rStyle w:val="Hyperlink"/>
            <w:sz w:val="20"/>
            <w:lang w:val="fr-CA"/>
          </w:rPr>
          <w:t>37494</w:t>
        </w:r>
      </w:hyperlink>
      <w:r w:rsidR="002D6310" w:rsidRPr="002D6310">
        <w:rPr>
          <w:sz w:val="20"/>
          <w:lang w:val="fr-CA"/>
        </w:rPr>
        <w:t>)</w:t>
      </w:r>
    </w:p>
    <w:p w:rsidR="00782941" w:rsidRPr="002D6310" w:rsidRDefault="00782941" w:rsidP="002D6310">
      <w:pPr>
        <w:widowControl w:val="0"/>
        <w:ind w:left="360" w:hanging="360"/>
        <w:jc w:val="both"/>
        <w:rPr>
          <w:sz w:val="20"/>
          <w:lang w:val="fr-CA"/>
        </w:rPr>
      </w:pPr>
    </w:p>
    <w:p w:rsidR="00782941" w:rsidRPr="002D6310" w:rsidRDefault="00782941" w:rsidP="002D6310">
      <w:pPr>
        <w:pStyle w:val="ListParagraph"/>
        <w:numPr>
          <w:ilvl w:val="0"/>
          <w:numId w:val="19"/>
        </w:numPr>
        <w:ind w:left="360"/>
        <w:jc w:val="both"/>
        <w:rPr>
          <w:sz w:val="20"/>
        </w:rPr>
      </w:pPr>
      <w:r w:rsidRPr="002D6310">
        <w:rPr>
          <w:i/>
          <w:sz w:val="20"/>
          <w:lang w:val="fr-CA"/>
        </w:rPr>
        <w:t xml:space="preserve">Kenneth F. Salomon </w:t>
      </w:r>
      <w:r w:rsidR="002D6310" w:rsidRPr="002D6310">
        <w:rPr>
          <w:i/>
          <w:sz w:val="20"/>
          <w:lang w:val="fr-CA"/>
        </w:rPr>
        <w:t>et al.</w:t>
      </w:r>
      <w:r w:rsidRPr="002D6310">
        <w:rPr>
          <w:i/>
          <w:sz w:val="20"/>
          <w:lang w:val="fr-CA"/>
        </w:rPr>
        <w:t xml:space="preserve"> v. Judith Matte-Thompson</w:t>
      </w:r>
      <w:r w:rsidR="002D6310" w:rsidRPr="002D6310">
        <w:rPr>
          <w:i/>
          <w:sz w:val="20"/>
          <w:lang w:val="fr-CA"/>
        </w:rPr>
        <w:t xml:space="preserve"> et al.</w:t>
      </w:r>
      <w:r w:rsidRPr="002D6310">
        <w:rPr>
          <w:i/>
          <w:sz w:val="20"/>
          <w:lang w:val="fr-CA"/>
        </w:rPr>
        <w:t xml:space="preserve"> </w:t>
      </w:r>
      <w:r w:rsidRPr="002D6310">
        <w:rPr>
          <w:sz w:val="20"/>
          <w:lang w:val="en-CA"/>
        </w:rPr>
        <w:t>(Que.) (Civil) (By L</w:t>
      </w:r>
      <w:r w:rsidRPr="002D6310">
        <w:rPr>
          <w:sz w:val="20"/>
        </w:rPr>
        <w:t>eave)</w:t>
      </w:r>
      <w:r w:rsidR="002D6310" w:rsidRPr="002D6310">
        <w:rPr>
          <w:sz w:val="20"/>
        </w:rPr>
        <w:t xml:space="preserve"> (</w:t>
      </w:r>
      <w:hyperlink r:id="rId10" w:history="1">
        <w:r w:rsidR="002D6310" w:rsidRPr="002D6310">
          <w:rPr>
            <w:rStyle w:val="Hyperlink"/>
            <w:sz w:val="20"/>
          </w:rPr>
          <w:t>37537</w:t>
        </w:r>
      </w:hyperlink>
      <w:r w:rsidR="002D6310" w:rsidRPr="002D6310">
        <w:rPr>
          <w:sz w:val="20"/>
        </w:rPr>
        <w:t>)</w:t>
      </w:r>
    </w:p>
    <w:p w:rsidR="00691CDA" w:rsidRPr="00C06879" w:rsidRDefault="00691CDA" w:rsidP="00A169B5">
      <w:pPr>
        <w:tabs>
          <w:tab w:val="left" w:pos="900"/>
          <w:tab w:val="center" w:pos="5760"/>
        </w:tabs>
        <w:ind w:left="360" w:hanging="360"/>
        <w:rPr>
          <w:sz w:val="20"/>
        </w:rPr>
      </w:pPr>
    </w:p>
    <w:p w:rsidR="00691CDA" w:rsidRDefault="00691CDA" w:rsidP="00A169B5">
      <w:pPr>
        <w:tabs>
          <w:tab w:val="left" w:pos="900"/>
          <w:tab w:val="center" w:pos="5760"/>
        </w:tabs>
        <w:ind w:left="360" w:hanging="360"/>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1F1454" w:rsidRPr="001F1454" w:rsidTr="00A36F11">
        <w:tc>
          <w:tcPr>
            <w:tcW w:w="538" w:type="pct"/>
          </w:tcPr>
          <w:p w:rsidR="001F1454" w:rsidRPr="001F1454" w:rsidRDefault="001F1454" w:rsidP="001F1454">
            <w:pPr>
              <w:jc w:val="both"/>
              <w:rPr>
                <w:sz w:val="20"/>
                <w:lang w:val="en-CA"/>
              </w:rPr>
            </w:pPr>
            <w:r w:rsidRPr="001F1454">
              <w:rPr>
                <w:rStyle w:val="SCCFileNumberChar"/>
                <w:sz w:val="20"/>
                <w:szCs w:val="20"/>
              </w:rPr>
              <w:t>37504</w:t>
            </w:r>
          </w:p>
        </w:tc>
        <w:tc>
          <w:tcPr>
            <w:tcW w:w="4462" w:type="pct"/>
            <w:gridSpan w:val="3"/>
          </w:tcPr>
          <w:p w:rsidR="001F1454" w:rsidRPr="001F1454" w:rsidRDefault="001F1454" w:rsidP="001F1454">
            <w:pPr>
              <w:pStyle w:val="SCCLsocParty"/>
              <w:jc w:val="both"/>
              <w:rPr>
                <w:b/>
                <w:sz w:val="20"/>
                <w:szCs w:val="20"/>
                <w:lang w:val="en-CA"/>
              </w:rPr>
            </w:pPr>
            <w:proofErr w:type="spellStart"/>
            <w:r w:rsidRPr="001F1454">
              <w:rPr>
                <w:b/>
                <w:sz w:val="20"/>
                <w:szCs w:val="20"/>
                <w:lang w:val="en-CA"/>
              </w:rPr>
              <w:t>Gestion</w:t>
            </w:r>
            <w:proofErr w:type="spellEnd"/>
            <w:r w:rsidRPr="001F1454">
              <w:rPr>
                <w:b/>
                <w:sz w:val="20"/>
                <w:szCs w:val="20"/>
                <w:lang w:val="en-CA"/>
              </w:rPr>
              <w:t xml:space="preserve"> Christian Patron Inc., Christian Patron v. Royal Bank of Canada</w:t>
            </w:r>
          </w:p>
          <w:p w:rsidR="001F1454" w:rsidRPr="001F1454" w:rsidRDefault="001F1454" w:rsidP="001F1454">
            <w:pPr>
              <w:jc w:val="both"/>
              <w:rPr>
                <w:sz w:val="20"/>
                <w:lang w:val="en-CA"/>
              </w:rPr>
            </w:pPr>
            <w:r w:rsidRPr="001F1454">
              <w:rPr>
                <w:sz w:val="20"/>
                <w:lang w:val="en-CA"/>
              </w:rPr>
              <w:t>(Que.) (Civil) (By Leave)</w:t>
            </w:r>
          </w:p>
        </w:tc>
      </w:tr>
      <w:tr w:rsidR="001F1454" w:rsidRPr="001F1454" w:rsidTr="00A36F11">
        <w:tc>
          <w:tcPr>
            <w:tcW w:w="5000" w:type="pct"/>
            <w:gridSpan w:val="4"/>
          </w:tcPr>
          <w:p w:rsidR="001F1454" w:rsidRPr="001F1454" w:rsidRDefault="001F1454" w:rsidP="001F1454">
            <w:pPr>
              <w:jc w:val="both"/>
              <w:rPr>
                <w:sz w:val="20"/>
                <w:lang w:val="en-CA"/>
              </w:rPr>
            </w:pPr>
            <w:r w:rsidRPr="001F1454">
              <w:rPr>
                <w:sz w:val="20"/>
                <w:lang w:val="en-CA"/>
              </w:rPr>
              <w:t xml:space="preserve">Civil procedure — Case management — Failure to file inscription for proof and hearing within allotted time — Whether lawyers’ decision not to inscribe case for hearing was error or fault — Whether it was error or fault for which applicants liable in same way as their counsel — Whether motion for leave to appeal met criteria in art. 523 of </w:t>
            </w:r>
            <w:r w:rsidRPr="001F1454">
              <w:rPr>
                <w:i/>
                <w:sz w:val="20"/>
                <w:lang w:val="en-CA"/>
              </w:rPr>
              <w:t>Code of Civil Procedure</w:t>
            </w:r>
            <w:r w:rsidRPr="001F1454">
              <w:rPr>
                <w:sz w:val="20"/>
                <w:lang w:val="en-CA"/>
              </w:rPr>
              <w:t>, RSQ c. C</w:t>
            </w:r>
            <w:r w:rsidRPr="001F1454">
              <w:rPr>
                <w:sz w:val="20"/>
                <w:lang w:val="en-CA"/>
              </w:rPr>
              <w:noBreakHyphen/>
              <w:t>25.</w:t>
            </w:r>
          </w:p>
        </w:tc>
      </w:tr>
      <w:tr w:rsidR="001F1454" w:rsidRPr="001F1454" w:rsidTr="00A36F11">
        <w:tc>
          <w:tcPr>
            <w:tcW w:w="5000" w:type="pct"/>
            <w:gridSpan w:val="4"/>
          </w:tcPr>
          <w:p w:rsidR="001F1454" w:rsidRPr="001F1454" w:rsidRDefault="001F1454" w:rsidP="001F1454">
            <w:pPr>
              <w:jc w:val="both"/>
              <w:rPr>
                <w:sz w:val="20"/>
                <w:lang w:val="en-CA"/>
              </w:rPr>
            </w:pPr>
          </w:p>
        </w:tc>
      </w:tr>
      <w:tr w:rsidR="001F1454" w:rsidRPr="001F1454" w:rsidTr="00A36F11">
        <w:tc>
          <w:tcPr>
            <w:tcW w:w="5000" w:type="pct"/>
            <w:gridSpan w:val="4"/>
          </w:tcPr>
          <w:p w:rsidR="001F1454" w:rsidRPr="001F1454" w:rsidRDefault="001F1454" w:rsidP="001F1454">
            <w:pPr>
              <w:jc w:val="both"/>
              <w:rPr>
                <w:sz w:val="20"/>
                <w:lang w:val="en-CA"/>
              </w:rPr>
            </w:pPr>
            <w:r w:rsidRPr="001F1454">
              <w:rPr>
                <w:sz w:val="20"/>
                <w:lang w:val="en-CA"/>
              </w:rPr>
              <w:t>The applicants filed a motion to be relieved from their failure to file the inscription for proof and hearing within the allotted time. They alleged that their counsel had mistakenly believed that such an inscription was not necessary following the joinder of their file with a file in another judicial district.</w:t>
            </w:r>
          </w:p>
          <w:p w:rsidR="001F1454" w:rsidRPr="001F1454" w:rsidRDefault="001F1454" w:rsidP="001F1454">
            <w:pPr>
              <w:jc w:val="both"/>
              <w:rPr>
                <w:sz w:val="20"/>
                <w:lang w:val="en-CA"/>
              </w:rPr>
            </w:pPr>
          </w:p>
        </w:tc>
      </w:tr>
      <w:tr w:rsidR="001F1454" w:rsidRPr="001F1454" w:rsidTr="00A47946">
        <w:tblPrEx>
          <w:tblCellMar>
            <w:bottom w:w="0" w:type="dxa"/>
          </w:tblCellMar>
        </w:tblPrEx>
        <w:tc>
          <w:tcPr>
            <w:tcW w:w="2367" w:type="pct"/>
            <w:gridSpan w:val="2"/>
          </w:tcPr>
          <w:p w:rsidR="001F1454" w:rsidRPr="001F1454" w:rsidRDefault="001F1454" w:rsidP="001F1454">
            <w:pPr>
              <w:jc w:val="both"/>
              <w:rPr>
                <w:sz w:val="20"/>
                <w:lang w:val="en-CA"/>
              </w:rPr>
            </w:pPr>
            <w:r w:rsidRPr="001F1454">
              <w:rPr>
                <w:sz w:val="20"/>
                <w:lang w:val="en-CA"/>
              </w:rPr>
              <w:t>May 15, 2015</w:t>
            </w:r>
          </w:p>
          <w:p w:rsidR="001F1454" w:rsidRPr="001F1454" w:rsidRDefault="001F1454" w:rsidP="001F1454">
            <w:pPr>
              <w:jc w:val="both"/>
              <w:rPr>
                <w:sz w:val="20"/>
                <w:lang w:val="en-CA"/>
              </w:rPr>
            </w:pPr>
            <w:r w:rsidRPr="001F1454">
              <w:rPr>
                <w:sz w:val="20"/>
                <w:lang w:val="en-CA"/>
              </w:rPr>
              <w:t>Quebec Superior Court</w:t>
            </w:r>
          </w:p>
          <w:p w:rsidR="001F1454" w:rsidRPr="001F1454" w:rsidRDefault="001F1454" w:rsidP="001F1454">
            <w:pPr>
              <w:jc w:val="both"/>
              <w:rPr>
                <w:sz w:val="20"/>
                <w:lang w:val="en-CA"/>
              </w:rPr>
            </w:pPr>
            <w:r w:rsidRPr="001F1454">
              <w:rPr>
                <w:sz w:val="20"/>
                <w:lang w:val="en-CA"/>
              </w:rPr>
              <w:t>(Davis J.)</w:t>
            </w:r>
          </w:p>
          <w:p w:rsidR="001F1454" w:rsidRPr="001F1454" w:rsidRDefault="001F1454" w:rsidP="001F1454">
            <w:pPr>
              <w:jc w:val="both"/>
              <w:rPr>
                <w:sz w:val="20"/>
                <w:lang w:val="en-CA"/>
              </w:rPr>
            </w:pPr>
          </w:p>
        </w:tc>
        <w:tc>
          <w:tcPr>
            <w:tcW w:w="267" w:type="pct"/>
          </w:tcPr>
          <w:p w:rsidR="001F1454" w:rsidRPr="001F1454" w:rsidRDefault="001F1454" w:rsidP="001F1454">
            <w:pPr>
              <w:jc w:val="both"/>
              <w:rPr>
                <w:sz w:val="20"/>
                <w:lang w:val="en-CA"/>
              </w:rPr>
            </w:pPr>
          </w:p>
        </w:tc>
        <w:tc>
          <w:tcPr>
            <w:tcW w:w="2366" w:type="pct"/>
          </w:tcPr>
          <w:p w:rsidR="001F1454" w:rsidRPr="001F1454" w:rsidRDefault="001F1454" w:rsidP="001F1454">
            <w:pPr>
              <w:jc w:val="both"/>
              <w:rPr>
                <w:sz w:val="20"/>
                <w:lang w:val="en-CA"/>
              </w:rPr>
            </w:pPr>
            <w:r w:rsidRPr="001F1454">
              <w:rPr>
                <w:sz w:val="20"/>
                <w:lang w:val="en-CA"/>
              </w:rPr>
              <w:t>Motion to be relieved from failure to inscribe dismissed</w:t>
            </w:r>
          </w:p>
          <w:p w:rsidR="001F1454" w:rsidRPr="001F1454" w:rsidRDefault="001F1454" w:rsidP="001F1454">
            <w:pPr>
              <w:jc w:val="both"/>
              <w:rPr>
                <w:sz w:val="20"/>
                <w:lang w:val="en-CA"/>
              </w:rPr>
            </w:pPr>
          </w:p>
        </w:tc>
      </w:tr>
      <w:tr w:rsidR="001F1454" w:rsidRPr="001F1454" w:rsidTr="00A47946">
        <w:tblPrEx>
          <w:tblCellMar>
            <w:bottom w:w="0" w:type="dxa"/>
          </w:tblCellMar>
        </w:tblPrEx>
        <w:tc>
          <w:tcPr>
            <w:tcW w:w="2367" w:type="pct"/>
            <w:gridSpan w:val="2"/>
          </w:tcPr>
          <w:p w:rsidR="001F1454" w:rsidRPr="001F1454" w:rsidRDefault="001F1454" w:rsidP="001F1454">
            <w:pPr>
              <w:jc w:val="both"/>
              <w:rPr>
                <w:sz w:val="20"/>
                <w:lang w:val="en-CA"/>
              </w:rPr>
            </w:pPr>
            <w:r w:rsidRPr="001F1454">
              <w:rPr>
                <w:sz w:val="20"/>
                <w:lang w:val="en-CA"/>
              </w:rPr>
              <w:t>February 2, 2017</w:t>
            </w:r>
          </w:p>
          <w:p w:rsidR="001F1454" w:rsidRPr="001F1454" w:rsidRDefault="001F1454" w:rsidP="001F1454">
            <w:pPr>
              <w:jc w:val="both"/>
              <w:rPr>
                <w:sz w:val="20"/>
                <w:lang w:val="en-CA"/>
              </w:rPr>
            </w:pPr>
            <w:r w:rsidRPr="001F1454">
              <w:rPr>
                <w:sz w:val="20"/>
                <w:lang w:val="en-CA"/>
              </w:rPr>
              <w:t>Quebec Court of Appeal (Montréal)</w:t>
            </w:r>
          </w:p>
          <w:p w:rsidR="001F1454" w:rsidRPr="001F1454" w:rsidRDefault="001F1454" w:rsidP="001F1454">
            <w:pPr>
              <w:jc w:val="both"/>
              <w:rPr>
                <w:sz w:val="20"/>
                <w:lang w:val="en-CA"/>
              </w:rPr>
            </w:pPr>
            <w:r w:rsidRPr="001F1454">
              <w:rPr>
                <w:sz w:val="20"/>
                <w:lang w:val="en-CA"/>
              </w:rPr>
              <w:lastRenderedPageBreak/>
              <w:t>(</w:t>
            </w:r>
            <w:proofErr w:type="spellStart"/>
            <w:r w:rsidRPr="001F1454">
              <w:rPr>
                <w:sz w:val="20"/>
                <w:lang w:val="en-CA"/>
              </w:rPr>
              <w:t>Vézina</w:t>
            </w:r>
            <w:proofErr w:type="spellEnd"/>
            <w:r w:rsidRPr="001F1454">
              <w:rPr>
                <w:sz w:val="20"/>
                <w:lang w:val="en-CA"/>
              </w:rPr>
              <w:t xml:space="preserve">, Schrager and </w:t>
            </w:r>
            <w:proofErr w:type="spellStart"/>
            <w:r w:rsidRPr="001F1454">
              <w:rPr>
                <w:sz w:val="20"/>
                <w:lang w:val="en-CA"/>
              </w:rPr>
              <w:t>Mainville</w:t>
            </w:r>
            <w:proofErr w:type="spellEnd"/>
            <w:r w:rsidRPr="001F1454">
              <w:rPr>
                <w:sz w:val="20"/>
                <w:lang w:val="en-CA"/>
              </w:rPr>
              <w:t xml:space="preserve"> JJ.A.)</w:t>
            </w:r>
          </w:p>
          <w:p w:rsidR="001F1454" w:rsidRPr="001F1454" w:rsidRDefault="00462420" w:rsidP="001F1454">
            <w:pPr>
              <w:jc w:val="both"/>
              <w:rPr>
                <w:sz w:val="20"/>
                <w:lang w:val="en-CA"/>
              </w:rPr>
            </w:pPr>
            <w:hyperlink r:id="rId11" w:history="1">
              <w:r w:rsidR="001F1454" w:rsidRPr="001F1454">
                <w:rPr>
                  <w:rStyle w:val="Hyperlink"/>
                  <w:sz w:val="20"/>
                  <w:lang w:val="en-CA"/>
                </w:rPr>
                <w:t>2017 QCCA 181</w:t>
              </w:r>
            </w:hyperlink>
          </w:p>
          <w:p w:rsidR="001F1454" w:rsidRPr="001F1454" w:rsidRDefault="001F1454" w:rsidP="001F1454">
            <w:pPr>
              <w:jc w:val="both"/>
              <w:rPr>
                <w:sz w:val="20"/>
                <w:lang w:val="en-CA"/>
              </w:rPr>
            </w:pPr>
          </w:p>
        </w:tc>
        <w:tc>
          <w:tcPr>
            <w:tcW w:w="267" w:type="pct"/>
          </w:tcPr>
          <w:p w:rsidR="001F1454" w:rsidRPr="001F1454" w:rsidRDefault="001F1454" w:rsidP="001F1454">
            <w:pPr>
              <w:jc w:val="both"/>
              <w:rPr>
                <w:sz w:val="20"/>
                <w:lang w:val="en-CA"/>
              </w:rPr>
            </w:pPr>
          </w:p>
        </w:tc>
        <w:tc>
          <w:tcPr>
            <w:tcW w:w="2366" w:type="pct"/>
          </w:tcPr>
          <w:p w:rsidR="001F1454" w:rsidRPr="001F1454" w:rsidRDefault="001F1454" w:rsidP="001F1454">
            <w:pPr>
              <w:jc w:val="both"/>
              <w:rPr>
                <w:sz w:val="20"/>
                <w:lang w:val="en-CA"/>
              </w:rPr>
            </w:pPr>
            <w:r w:rsidRPr="001F1454">
              <w:rPr>
                <w:sz w:val="20"/>
                <w:lang w:val="en-CA"/>
              </w:rPr>
              <w:t>Appeal dismissed</w:t>
            </w:r>
          </w:p>
          <w:p w:rsidR="001F1454" w:rsidRPr="001F1454" w:rsidRDefault="001F1454" w:rsidP="001F1454">
            <w:pPr>
              <w:jc w:val="both"/>
              <w:rPr>
                <w:sz w:val="20"/>
                <w:lang w:val="en-CA"/>
              </w:rPr>
            </w:pPr>
          </w:p>
        </w:tc>
      </w:tr>
      <w:tr w:rsidR="001F1454" w:rsidRPr="001F1454" w:rsidTr="00A47946">
        <w:tblPrEx>
          <w:tblCellMar>
            <w:bottom w:w="0" w:type="dxa"/>
          </w:tblCellMar>
        </w:tblPrEx>
        <w:trPr>
          <w:trHeight w:val="68"/>
        </w:trPr>
        <w:tc>
          <w:tcPr>
            <w:tcW w:w="2367" w:type="pct"/>
            <w:gridSpan w:val="2"/>
          </w:tcPr>
          <w:p w:rsidR="001F1454" w:rsidRPr="001F1454" w:rsidRDefault="001F1454" w:rsidP="001F1454">
            <w:pPr>
              <w:jc w:val="both"/>
              <w:rPr>
                <w:sz w:val="20"/>
                <w:lang w:val="en-CA"/>
              </w:rPr>
            </w:pPr>
            <w:r w:rsidRPr="001F1454">
              <w:rPr>
                <w:sz w:val="20"/>
                <w:lang w:val="en-CA"/>
              </w:rPr>
              <w:t>March 30, 2017</w:t>
            </w:r>
          </w:p>
          <w:p w:rsidR="001F1454" w:rsidRPr="001F1454" w:rsidRDefault="001F1454" w:rsidP="001F1454">
            <w:pPr>
              <w:jc w:val="both"/>
              <w:rPr>
                <w:sz w:val="20"/>
                <w:lang w:val="en-CA"/>
              </w:rPr>
            </w:pPr>
            <w:r w:rsidRPr="001F1454">
              <w:rPr>
                <w:sz w:val="20"/>
                <w:lang w:val="en-CA"/>
              </w:rPr>
              <w:t>Supreme Court of Canada</w:t>
            </w:r>
          </w:p>
        </w:tc>
        <w:tc>
          <w:tcPr>
            <w:tcW w:w="267" w:type="pct"/>
          </w:tcPr>
          <w:p w:rsidR="001F1454" w:rsidRPr="001F1454" w:rsidRDefault="001F1454" w:rsidP="001F1454">
            <w:pPr>
              <w:jc w:val="both"/>
              <w:rPr>
                <w:sz w:val="20"/>
                <w:lang w:val="en-CA"/>
              </w:rPr>
            </w:pPr>
          </w:p>
        </w:tc>
        <w:tc>
          <w:tcPr>
            <w:tcW w:w="2366" w:type="pct"/>
          </w:tcPr>
          <w:p w:rsidR="001F1454" w:rsidRPr="001F1454" w:rsidRDefault="001F1454" w:rsidP="001F1454">
            <w:pPr>
              <w:jc w:val="both"/>
              <w:rPr>
                <w:sz w:val="20"/>
                <w:lang w:val="en-CA"/>
              </w:rPr>
            </w:pPr>
            <w:r w:rsidRPr="001F1454">
              <w:rPr>
                <w:sz w:val="20"/>
                <w:lang w:val="en-CA"/>
              </w:rPr>
              <w:t>Application for leave to appeal filed</w:t>
            </w:r>
          </w:p>
          <w:p w:rsidR="001F1454" w:rsidRPr="001F1454" w:rsidRDefault="001F1454" w:rsidP="001F1454">
            <w:pPr>
              <w:jc w:val="both"/>
              <w:rPr>
                <w:sz w:val="20"/>
                <w:lang w:val="en-CA"/>
              </w:rPr>
            </w:pPr>
          </w:p>
        </w:tc>
      </w:tr>
    </w:tbl>
    <w:p w:rsidR="001F1454" w:rsidRDefault="001F1454" w:rsidP="001F1454">
      <w:pPr>
        <w:jc w:val="both"/>
        <w:rPr>
          <w:sz w:val="20"/>
          <w:lang w:val="en-CA"/>
        </w:rPr>
      </w:pPr>
    </w:p>
    <w:p w:rsidR="001F1454" w:rsidRPr="001F1454" w:rsidRDefault="001F1454" w:rsidP="001F1454">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1F1454" w:rsidRPr="001F1454" w:rsidTr="00A36F11">
        <w:tc>
          <w:tcPr>
            <w:tcW w:w="538" w:type="pct"/>
          </w:tcPr>
          <w:p w:rsidR="001F1454" w:rsidRPr="001F1454" w:rsidRDefault="001F1454" w:rsidP="001F1454">
            <w:pPr>
              <w:jc w:val="both"/>
              <w:rPr>
                <w:sz w:val="20"/>
              </w:rPr>
            </w:pPr>
            <w:r w:rsidRPr="001F1454">
              <w:rPr>
                <w:rStyle w:val="SCCFileNumberChar"/>
                <w:sz w:val="20"/>
                <w:szCs w:val="20"/>
              </w:rPr>
              <w:t>37504</w:t>
            </w:r>
          </w:p>
        </w:tc>
        <w:tc>
          <w:tcPr>
            <w:tcW w:w="4462" w:type="pct"/>
            <w:gridSpan w:val="3"/>
          </w:tcPr>
          <w:p w:rsidR="001F1454" w:rsidRPr="001F1454" w:rsidRDefault="001F1454" w:rsidP="001F1454">
            <w:pPr>
              <w:pStyle w:val="SCCLsocParty"/>
              <w:jc w:val="both"/>
              <w:rPr>
                <w:b/>
                <w:sz w:val="20"/>
                <w:szCs w:val="20"/>
              </w:rPr>
            </w:pPr>
            <w:r w:rsidRPr="001F1454">
              <w:rPr>
                <w:b/>
                <w:sz w:val="20"/>
                <w:szCs w:val="20"/>
              </w:rPr>
              <w:t>Gestion Christian Patron Inc., Christian Patron c. Banque Royale du Canada</w:t>
            </w:r>
          </w:p>
          <w:p w:rsidR="001F1454" w:rsidRPr="001F1454" w:rsidRDefault="001F1454" w:rsidP="001F1454">
            <w:pPr>
              <w:jc w:val="both"/>
              <w:rPr>
                <w:sz w:val="20"/>
              </w:rPr>
            </w:pPr>
            <w:r w:rsidRPr="001F1454">
              <w:rPr>
                <w:sz w:val="20"/>
              </w:rPr>
              <w:t>(Qc) (Civile) (Autorisation)</w:t>
            </w:r>
          </w:p>
        </w:tc>
      </w:tr>
      <w:tr w:rsidR="001F1454" w:rsidRPr="00462420" w:rsidTr="00A36F11">
        <w:tc>
          <w:tcPr>
            <w:tcW w:w="5000" w:type="pct"/>
            <w:gridSpan w:val="4"/>
          </w:tcPr>
          <w:p w:rsidR="001F1454" w:rsidRPr="001F1454" w:rsidRDefault="001F1454" w:rsidP="001F1454">
            <w:pPr>
              <w:jc w:val="both"/>
              <w:rPr>
                <w:sz w:val="20"/>
                <w:lang w:val="fr-CA"/>
              </w:rPr>
            </w:pPr>
            <w:r w:rsidRPr="001F1454">
              <w:rPr>
                <w:sz w:val="20"/>
                <w:lang w:val="fr-CA"/>
              </w:rPr>
              <w:t xml:space="preserve">Procédure civile — Gestion de l’instance — Défaut de produire l’inscription pour enquête et audition dans le délai imparti — La décision des avocats de ne pas inscrire pour audition la cause constituait-elle une erreur ou une faute? — S’agit-il d’une erreur ou d’une faute pour laquelle les demandeurs sont responsables au même titre que leurs procureurs? — La requête pour permission d’en appeler rencontre-t-elle les critères énoncés à l’article 523 </w:t>
            </w:r>
            <w:r w:rsidRPr="001F1454">
              <w:rPr>
                <w:i/>
                <w:sz w:val="20"/>
                <w:lang w:val="fr-CA"/>
              </w:rPr>
              <w:t>Code de procédure civile</w:t>
            </w:r>
            <w:r w:rsidRPr="001F1454">
              <w:rPr>
                <w:sz w:val="20"/>
                <w:lang w:val="fr-CA"/>
              </w:rPr>
              <w:t>, LRQ C-25?</w:t>
            </w:r>
          </w:p>
        </w:tc>
      </w:tr>
      <w:tr w:rsidR="001F1454" w:rsidRPr="00462420" w:rsidTr="00A36F11">
        <w:tc>
          <w:tcPr>
            <w:tcW w:w="5000" w:type="pct"/>
            <w:gridSpan w:val="4"/>
          </w:tcPr>
          <w:p w:rsidR="001F1454" w:rsidRPr="001F1454" w:rsidRDefault="001F1454" w:rsidP="001F1454">
            <w:pPr>
              <w:jc w:val="both"/>
              <w:rPr>
                <w:sz w:val="20"/>
                <w:lang w:val="fr-CA"/>
              </w:rPr>
            </w:pPr>
          </w:p>
        </w:tc>
      </w:tr>
      <w:tr w:rsidR="001F1454" w:rsidRPr="00462420" w:rsidTr="00A36F11">
        <w:tc>
          <w:tcPr>
            <w:tcW w:w="5000" w:type="pct"/>
            <w:gridSpan w:val="4"/>
          </w:tcPr>
          <w:p w:rsidR="001F1454" w:rsidRPr="001F1454" w:rsidRDefault="001F1454" w:rsidP="001F1454">
            <w:pPr>
              <w:jc w:val="both"/>
              <w:rPr>
                <w:sz w:val="20"/>
                <w:lang w:val="fr-CA"/>
              </w:rPr>
            </w:pPr>
            <w:r w:rsidRPr="001F1454">
              <w:rPr>
                <w:sz w:val="20"/>
                <w:lang w:val="fr-CA"/>
              </w:rPr>
              <w:t>Les demandeurs déposent une requête pour être relevé de leur défaut de produire l’inscription pour enquête et audition dans le délai imparti. Ils allèguent une croyance erronée de leur procureur qu’une telle inscription n’était pas nécessaire à la suite de la réunion de leur dossier avec un dossier dan</w:t>
            </w:r>
            <w:r>
              <w:rPr>
                <w:sz w:val="20"/>
                <w:lang w:val="fr-CA"/>
              </w:rPr>
              <w:t>s un autre district judiciaire.</w:t>
            </w:r>
          </w:p>
          <w:p w:rsidR="001F1454" w:rsidRPr="001F1454" w:rsidRDefault="001F1454" w:rsidP="001F1454">
            <w:pPr>
              <w:jc w:val="both"/>
              <w:rPr>
                <w:sz w:val="20"/>
                <w:lang w:val="fr-CA"/>
              </w:rPr>
            </w:pPr>
          </w:p>
        </w:tc>
      </w:tr>
      <w:tr w:rsidR="001F1454" w:rsidRPr="00462420" w:rsidTr="00A47946">
        <w:tblPrEx>
          <w:tblCellMar>
            <w:bottom w:w="0" w:type="dxa"/>
          </w:tblCellMar>
        </w:tblPrEx>
        <w:tc>
          <w:tcPr>
            <w:tcW w:w="2367" w:type="pct"/>
            <w:gridSpan w:val="2"/>
          </w:tcPr>
          <w:p w:rsidR="001F1454" w:rsidRPr="001F1454" w:rsidRDefault="001F1454" w:rsidP="001F1454">
            <w:pPr>
              <w:jc w:val="both"/>
              <w:rPr>
                <w:sz w:val="20"/>
                <w:lang w:val="fr-CA"/>
              </w:rPr>
            </w:pPr>
            <w:r w:rsidRPr="001F1454">
              <w:rPr>
                <w:sz w:val="20"/>
                <w:lang w:val="fr-CA"/>
              </w:rPr>
              <w:t>Le 15 mai 2015</w:t>
            </w:r>
          </w:p>
          <w:p w:rsidR="001F1454" w:rsidRPr="001F1454" w:rsidRDefault="001F1454" w:rsidP="001F1454">
            <w:pPr>
              <w:jc w:val="both"/>
              <w:rPr>
                <w:sz w:val="20"/>
                <w:lang w:val="fr-CA"/>
              </w:rPr>
            </w:pPr>
            <w:r w:rsidRPr="001F1454">
              <w:rPr>
                <w:sz w:val="20"/>
                <w:lang w:val="fr-CA"/>
              </w:rPr>
              <w:t>Cour supérieure du Québec</w:t>
            </w:r>
          </w:p>
          <w:p w:rsidR="001F1454" w:rsidRPr="001F1454" w:rsidRDefault="001F1454" w:rsidP="001F1454">
            <w:pPr>
              <w:jc w:val="both"/>
              <w:rPr>
                <w:sz w:val="20"/>
              </w:rPr>
            </w:pPr>
            <w:r w:rsidRPr="001F1454">
              <w:rPr>
                <w:sz w:val="20"/>
              </w:rPr>
              <w:t xml:space="preserve">(Le </w:t>
            </w:r>
            <w:proofErr w:type="spellStart"/>
            <w:r w:rsidRPr="001F1454">
              <w:rPr>
                <w:sz w:val="20"/>
              </w:rPr>
              <w:t>juge</w:t>
            </w:r>
            <w:proofErr w:type="spellEnd"/>
            <w:r w:rsidRPr="001F1454">
              <w:rPr>
                <w:sz w:val="20"/>
              </w:rPr>
              <w:t xml:space="preserve"> Davis)</w:t>
            </w:r>
          </w:p>
          <w:p w:rsidR="001F1454" w:rsidRPr="001F1454" w:rsidRDefault="001F1454" w:rsidP="001F1454">
            <w:pPr>
              <w:jc w:val="both"/>
              <w:rPr>
                <w:sz w:val="20"/>
              </w:rPr>
            </w:pPr>
          </w:p>
        </w:tc>
        <w:tc>
          <w:tcPr>
            <w:tcW w:w="267" w:type="pct"/>
          </w:tcPr>
          <w:p w:rsidR="001F1454" w:rsidRPr="001F1454" w:rsidRDefault="001F1454" w:rsidP="001F1454">
            <w:pPr>
              <w:jc w:val="both"/>
              <w:rPr>
                <w:sz w:val="20"/>
              </w:rPr>
            </w:pPr>
          </w:p>
        </w:tc>
        <w:tc>
          <w:tcPr>
            <w:tcW w:w="2366" w:type="pct"/>
          </w:tcPr>
          <w:p w:rsidR="001F1454" w:rsidRPr="001F1454" w:rsidRDefault="001F1454" w:rsidP="001F1454">
            <w:pPr>
              <w:jc w:val="both"/>
              <w:rPr>
                <w:sz w:val="20"/>
                <w:lang w:val="fr-CA"/>
              </w:rPr>
            </w:pPr>
            <w:r w:rsidRPr="001F1454">
              <w:rPr>
                <w:sz w:val="20"/>
                <w:lang w:val="fr-CA"/>
              </w:rPr>
              <w:t>Requête pour être relevé du défaut d’inscrire rejetée</w:t>
            </w:r>
          </w:p>
          <w:p w:rsidR="001F1454" w:rsidRPr="001F1454" w:rsidRDefault="001F1454" w:rsidP="001F1454">
            <w:pPr>
              <w:jc w:val="both"/>
              <w:rPr>
                <w:sz w:val="20"/>
                <w:lang w:val="fr-CA"/>
              </w:rPr>
            </w:pPr>
          </w:p>
        </w:tc>
      </w:tr>
      <w:tr w:rsidR="001F1454" w:rsidRPr="001F1454" w:rsidTr="00A47946">
        <w:tblPrEx>
          <w:tblCellMar>
            <w:bottom w:w="0" w:type="dxa"/>
          </w:tblCellMar>
        </w:tblPrEx>
        <w:tc>
          <w:tcPr>
            <w:tcW w:w="2367" w:type="pct"/>
            <w:gridSpan w:val="2"/>
          </w:tcPr>
          <w:p w:rsidR="001F1454" w:rsidRPr="001F1454" w:rsidRDefault="001F1454" w:rsidP="001F1454">
            <w:pPr>
              <w:jc w:val="both"/>
              <w:rPr>
                <w:sz w:val="20"/>
                <w:lang w:val="fr-CA"/>
              </w:rPr>
            </w:pPr>
            <w:r w:rsidRPr="001F1454">
              <w:rPr>
                <w:sz w:val="20"/>
                <w:lang w:val="fr-CA"/>
              </w:rPr>
              <w:t>Le 2 février 2017</w:t>
            </w:r>
          </w:p>
          <w:p w:rsidR="001F1454" w:rsidRPr="001F1454" w:rsidRDefault="001F1454" w:rsidP="001F1454">
            <w:pPr>
              <w:jc w:val="both"/>
              <w:rPr>
                <w:sz w:val="20"/>
                <w:lang w:val="fr-CA"/>
              </w:rPr>
            </w:pPr>
            <w:r w:rsidRPr="001F1454">
              <w:rPr>
                <w:sz w:val="20"/>
                <w:lang w:val="fr-CA"/>
              </w:rPr>
              <w:t>Cour d’appel du Québec (Montréal)</w:t>
            </w:r>
          </w:p>
          <w:p w:rsidR="001F1454" w:rsidRPr="001F1454" w:rsidRDefault="001F1454" w:rsidP="001F1454">
            <w:pPr>
              <w:jc w:val="both"/>
              <w:rPr>
                <w:sz w:val="20"/>
                <w:lang w:val="fr-CA"/>
              </w:rPr>
            </w:pPr>
            <w:r w:rsidRPr="001F1454">
              <w:rPr>
                <w:sz w:val="20"/>
                <w:lang w:val="fr-CA"/>
              </w:rPr>
              <w:t xml:space="preserve">(Les juges Vézina, </w:t>
            </w:r>
            <w:proofErr w:type="spellStart"/>
            <w:r w:rsidRPr="001F1454">
              <w:rPr>
                <w:sz w:val="20"/>
                <w:lang w:val="fr-CA"/>
              </w:rPr>
              <w:t>Schrager</w:t>
            </w:r>
            <w:proofErr w:type="spellEnd"/>
            <w:r w:rsidRPr="001F1454">
              <w:rPr>
                <w:sz w:val="20"/>
                <w:lang w:val="fr-CA"/>
              </w:rPr>
              <w:t xml:space="preserve"> et Mainville)</w:t>
            </w:r>
          </w:p>
          <w:p w:rsidR="001F1454" w:rsidRPr="001F1454" w:rsidRDefault="00462420" w:rsidP="001F1454">
            <w:pPr>
              <w:jc w:val="both"/>
              <w:rPr>
                <w:sz w:val="20"/>
              </w:rPr>
            </w:pPr>
            <w:hyperlink r:id="rId12" w:history="1">
              <w:r w:rsidR="001F1454" w:rsidRPr="001F1454">
                <w:rPr>
                  <w:rStyle w:val="Hyperlink"/>
                  <w:sz w:val="20"/>
                </w:rPr>
                <w:t>2017 QCCA 181</w:t>
              </w:r>
            </w:hyperlink>
          </w:p>
          <w:p w:rsidR="001F1454" w:rsidRPr="001F1454" w:rsidRDefault="001F1454" w:rsidP="001F1454">
            <w:pPr>
              <w:jc w:val="both"/>
              <w:rPr>
                <w:sz w:val="20"/>
              </w:rPr>
            </w:pPr>
          </w:p>
        </w:tc>
        <w:tc>
          <w:tcPr>
            <w:tcW w:w="267" w:type="pct"/>
          </w:tcPr>
          <w:p w:rsidR="001F1454" w:rsidRPr="001F1454" w:rsidRDefault="001F1454" w:rsidP="001F1454">
            <w:pPr>
              <w:jc w:val="both"/>
              <w:rPr>
                <w:sz w:val="20"/>
              </w:rPr>
            </w:pPr>
          </w:p>
        </w:tc>
        <w:tc>
          <w:tcPr>
            <w:tcW w:w="2366" w:type="pct"/>
          </w:tcPr>
          <w:p w:rsidR="001F1454" w:rsidRPr="001F1454" w:rsidRDefault="001F1454" w:rsidP="001F1454">
            <w:pPr>
              <w:jc w:val="both"/>
              <w:rPr>
                <w:sz w:val="20"/>
              </w:rPr>
            </w:pPr>
            <w:r w:rsidRPr="001F1454">
              <w:rPr>
                <w:sz w:val="20"/>
              </w:rPr>
              <w:t xml:space="preserve">Appel </w:t>
            </w:r>
            <w:proofErr w:type="spellStart"/>
            <w:r w:rsidRPr="001F1454">
              <w:rPr>
                <w:sz w:val="20"/>
              </w:rPr>
              <w:t>rejeté</w:t>
            </w:r>
            <w:proofErr w:type="spellEnd"/>
          </w:p>
          <w:p w:rsidR="001F1454" w:rsidRPr="001F1454" w:rsidRDefault="001F1454" w:rsidP="001F1454">
            <w:pPr>
              <w:jc w:val="both"/>
              <w:rPr>
                <w:sz w:val="20"/>
              </w:rPr>
            </w:pPr>
          </w:p>
        </w:tc>
      </w:tr>
      <w:tr w:rsidR="001F1454" w:rsidRPr="001F1454" w:rsidTr="00A47946">
        <w:tblPrEx>
          <w:tblCellMar>
            <w:bottom w:w="0" w:type="dxa"/>
          </w:tblCellMar>
        </w:tblPrEx>
        <w:trPr>
          <w:trHeight w:val="68"/>
        </w:trPr>
        <w:tc>
          <w:tcPr>
            <w:tcW w:w="2367" w:type="pct"/>
            <w:gridSpan w:val="2"/>
          </w:tcPr>
          <w:p w:rsidR="001F1454" w:rsidRPr="001F1454" w:rsidRDefault="001F1454" w:rsidP="001F1454">
            <w:pPr>
              <w:jc w:val="both"/>
              <w:rPr>
                <w:sz w:val="20"/>
                <w:lang w:val="fr-CA"/>
              </w:rPr>
            </w:pPr>
            <w:r w:rsidRPr="001F1454">
              <w:rPr>
                <w:sz w:val="20"/>
                <w:lang w:val="fr-CA"/>
              </w:rPr>
              <w:t>Le 30 mars 2017</w:t>
            </w:r>
          </w:p>
          <w:p w:rsidR="001F1454" w:rsidRPr="001F1454" w:rsidRDefault="001F1454" w:rsidP="001F1454">
            <w:pPr>
              <w:jc w:val="both"/>
              <w:rPr>
                <w:sz w:val="20"/>
                <w:lang w:val="fr-CA"/>
              </w:rPr>
            </w:pPr>
            <w:r w:rsidRPr="001F1454">
              <w:rPr>
                <w:sz w:val="20"/>
                <w:lang w:val="fr-CA"/>
              </w:rPr>
              <w:t>Cour suprême du Canada</w:t>
            </w:r>
          </w:p>
        </w:tc>
        <w:tc>
          <w:tcPr>
            <w:tcW w:w="267" w:type="pct"/>
          </w:tcPr>
          <w:p w:rsidR="001F1454" w:rsidRPr="001F1454" w:rsidRDefault="001F1454" w:rsidP="001F1454">
            <w:pPr>
              <w:jc w:val="both"/>
              <w:rPr>
                <w:sz w:val="20"/>
                <w:lang w:val="fr-CA"/>
              </w:rPr>
            </w:pPr>
          </w:p>
        </w:tc>
        <w:tc>
          <w:tcPr>
            <w:tcW w:w="2366" w:type="pct"/>
          </w:tcPr>
          <w:p w:rsidR="001F1454" w:rsidRPr="001F1454" w:rsidRDefault="001F1454" w:rsidP="001F1454">
            <w:pPr>
              <w:jc w:val="both"/>
              <w:rPr>
                <w:sz w:val="20"/>
              </w:rPr>
            </w:pPr>
            <w:r w:rsidRPr="001F1454">
              <w:rPr>
                <w:sz w:val="20"/>
              </w:rPr>
              <w:t>Demande d’autorisation d’appel déposée</w:t>
            </w:r>
          </w:p>
          <w:p w:rsidR="001F1454" w:rsidRPr="001F1454" w:rsidRDefault="001F1454" w:rsidP="001F1454">
            <w:pPr>
              <w:jc w:val="both"/>
              <w:rPr>
                <w:sz w:val="20"/>
              </w:rPr>
            </w:pPr>
          </w:p>
        </w:tc>
      </w:tr>
    </w:tbl>
    <w:p w:rsidR="001F1454" w:rsidRPr="001F1454" w:rsidRDefault="001F1454" w:rsidP="001F1454">
      <w:pPr>
        <w:jc w:val="both"/>
        <w:rPr>
          <w:sz w:val="20"/>
        </w:rPr>
      </w:pPr>
    </w:p>
    <w:p w:rsidR="003952C2" w:rsidRPr="001F1454" w:rsidRDefault="003952C2" w:rsidP="001F1454">
      <w:pPr>
        <w:tabs>
          <w:tab w:val="left" w:pos="900"/>
          <w:tab w:val="center" w:pos="5760"/>
        </w:tabs>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454" w:rsidRPr="001F1454" w:rsidTr="00E95A6A">
        <w:tc>
          <w:tcPr>
            <w:tcW w:w="543" w:type="pct"/>
          </w:tcPr>
          <w:p w:rsidR="001F1454" w:rsidRPr="001F1454" w:rsidRDefault="001F1454" w:rsidP="001F1454">
            <w:pPr>
              <w:jc w:val="both"/>
              <w:rPr>
                <w:sz w:val="20"/>
              </w:rPr>
            </w:pPr>
            <w:r w:rsidRPr="001F1454">
              <w:rPr>
                <w:rStyle w:val="SCCFileNumberChar"/>
                <w:sz w:val="20"/>
                <w:szCs w:val="20"/>
              </w:rPr>
              <w:t>37494</w:t>
            </w:r>
          </w:p>
        </w:tc>
        <w:tc>
          <w:tcPr>
            <w:tcW w:w="4457" w:type="pct"/>
            <w:gridSpan w:val="3"/>
          </w:tcPr>
          <w:p w:rsidR="001F1454" w:rsidRPr="001F1454" w:rsidRDefault="001F1454" w:rsidP="001F1454">
            <w:pPr>
              <w:pStyle w:val="SCCLsocParty"/>
              <w:jc w:val="both"/>
              <w:rPr>
                <w:b/>
                <w:sz w:val="20"/>
                <w:szCs w:val="20"/>
                <w:lang w:val="en-US"/>
              </w:rPr>
            </w:pPr>
            <w:r w:rsidRPr="001F1454">
              <w:rPr>
                <w:b/>
                <w:sz w:val="20"/>
                <w:szCs w:val="20"/>
                <w:lang w:val="en-US"/>
              </w:rPr>
              <w:t>Melanie Ann Dale v. Cathy Sheila Frank</w:t>
            </w:r>
          </w:p>
          <w:p w:rsidR="001F1454" w:rsidRPr="001F1454" w:rsidRDefault="001F1454" w:rsidP="001F1454">
            <w:pPr>
              <w:pStyle w:val="SCCLsocSubfileSeparator"/>
              <w:rPr>
                <w:sz w:val="20"/>
                <w:szCs w:val="20"/>
              </w:rPr>
            </w:pPr>
            <w:r w:rsidRPr="001F1454">
              <w:rPr>
                <w:sz w:val="20"/>
                <w:szCs w:val="20"/>
              </w:rPr>
              <w:t>- and between -</w:t>
            </w:r>
          </w:p>
          <w:p w:rsidR="001F1454" w:rsidRPr="001F1454" w:rsidRDefault="001F1454" w:rsidP="001F1454">
            <w:pPr>
              <w:pStyle w:val="SCCLsocParty"/>
              <w:jc w:val="both"/>
              <w:rPr>
                <w:b/>
                <w:sz w:val="20"/>
                <w:szCs w:val="20"/>
                <w:lang w:val="en-US"/>
              </w:rPr>
            </w:pPr>
            <w:r w:rsidRPr="001F1454">
              <w:rPr>
                <w:b/>
                <w:sz w:val="20"/>
                <w:szCs w:val="20"/>
                <w:lang w:val="en-US"/>
              </w:rPr>
              <w:t xml:space="preserve">Rachel </w:t>
            </w:r>
            <w:proofErr w:type="spellStart"/>
            <w:r w:rsidRPr="001F1454">
              <w:rPr>
                <w:b/>
                <w:sz w:val="20"/>
                <w:szCs w:val="20"/>
                <w:lang w:val="en-US"/>
              </w:rPr>
              <w:t>Gladkowski</w:t>
            </w:r>
            <w:proofErr w:type="spellEnd"/>
            <w:r w:rsidRPr="001F1454">
              <w:rPr>
                <w:b/>
                <w:sz w:val="20"/>
                <w:szCs w:val="20"/>
                <w:lang w:val="en-US"/>
              </w:rPr>
              <w:t xml:space="preserve"> v. Cathy Sheila Frank and John Alexander McKenzie</w:t>
            </w:r>
          </w:p>
          <w:p w:rsidR="001F1454" w:rsidRPr="001F1454" w:rsidRDefault="001F1454" w:rsidP="001F1454">
            <w:pPr>
              <w:pStyle w:val="SCCLsocSubfileSeparator"/>
              <w:rPr>
                <w:sz w:val="20"/>
                <w:szCs w:val="20"/>
              </w:rPr>
            </w:pPr>
            <w:r w:rsidRPr="001F1454">
              <w:rPr>
                <w:sz w:val="20"/>
                <w:szCs w:val="20"/>
              </w:rPr>
              <w:t>- and between -</w:t>
            </w:r>
          </w:p>
          <w:p w:rsidR="001F1454" w:rsidRPr="001F1454" w:rsidRDefault="001F1454" w:rsidP="001F1454">
            <w:pPr>
              <w:pStyle w:val="SCCLsocParty"/>
              <w:jc w:val="both"/>
              <w:rPr>
                <w:b/>
                <w:sz w:val="20"/>
                <w:szCs w:val="20"/>
                <w:lang w:val="en-US"/>
              </w:rPr>
            </w:pPr>
            <w:r w:rsidRPr="001F1454">
              <w:rPr>
                <w:b/>
                <w:sz w:val="20"/>
                <w:szCs w:val="20"/>
                <w:lang w:val="en-US"/>
              </w:rPr>
              <w:t xml:space="preserve">Diane </w:t>
            </w:r>
            <w:proofErr w:type="spellStart"/>
            <w:r w:rsidRPr="001F1454">
              <w:rPr>
                <w:b/>
                <w:sz w:val="20"/>
                <w:szCs w:val="20"/>
                <w:lang w:val="en-US"/>
              </w:rPr>
              <w:t>Lesak</w:t>
            </w:r>
            <w:proofErr w:type="spellEnd"/>
            <w:r w:rsidRPr="001F1454">
              <w:rPr>
                <w:b/>
                <w:sz w:val="20"/>
                <w:szCs w:val="20"/>
                <w:lang w:val="en-US"/>
              </w:rPr>
              <w:t xml:space="preserve"> v. Cathy Sheila Frank and John Alexander McKenzie</w:t>
            </w:r>
          </w:p>
          <w:p w:rsidR="001F1454" w:rsidRPr="001F1454" w:rsidRDefault="001F1454" w:rsidP="001F1454">
            <w:pPr>
              <w:pStyle w:val="SCCLsocSubfileSeparator"/>
              <w:rPr>
                <w:sz w:val="20"/>
                <w:szCs w:val="20"/>
              </w:rPr>
            </w:pPr>
            <w:r w:rsidRPr="001F1454">
              <w:rPr>
                <w:sz w:val="20"/>
                <w:szCs w:val="20"/>
              </w:rPr>
              <w:t>- and between -</w:t>
            </w:r>
          </w:p>
          <w:p w:rsidR="001F1454" w:rsidRPr="001F1454" w:rsidRDefault="001F1454" w:rsidP="001F1454">
            <w:pPr>
              <w:pStyle w:val="SCCLsocParty"/>
              <w:jc w:val="both"/>
              <w:rPr>
                <w:b/>
                <w:sz w:val="20"/>
                <w:szCs w:val="20"/>
                <w:lang w:val="en-US"/>
              </w:rPr>
            </w:pPr>
            <w:r w:rsidRPr="001F1454">
              <w:rPr>
                <w:b/>
                <w:sz w:val="20"/>
                <w:szCs w:val="20"/>
                <w:lang w:val="en-US"/>
              </w:rPr>
              <w:t>Patricia Pettit v. Cathy Sheila Frank and John Alexander McKenzie</w:t>
            </w:r>
          </w:p>
          <w:p w:rsidR="001F1454" w:rsidRPr="001F1454" w:rsidRDefault="001F1454" w:rsidP="001F1454">
            <w:pPr>
              <w:pStyle w:val="SCCLsocSubfileSeparator"/>
              <w:rPr>
                <w:sz w:val="20"/>
                <w:szCs w:val="20"/>
              </w:rPr>
            </w:pPr>
            <w:r w:rsidRPr="001F1454">
              <w:rPr>
                <w:sz w:val="20"/>
                <w:szCs w:val="20"/>
              </w:rPr>
              <w:t>- and between -</w:t>
            </w:r>
          </w:p>
          <w:p w:rsidR="001F1454" w:rsidRPr="001F1454" w:rsidRDefault="001F1454" w:rsidP="001F1454">
            <w:pPr>
              <w:pStyle w:val="SCCLsocParty"/>
              <w:jc w:val="both"/>
              <w:rPr>
                <w:b/>
                <w:sz w:val="20"/>
                <w:szCs w:val="20"/>
                <w:lang w:val="en-US"/>
              </w:rPr>
            </w:pPr>
            <w:proofErr w:type="spellStart"/>
            <w:r w:rsidRPr="001F1454">
              <w:rPr>
                <w:b/>
                <w:sz w:val="20"/>
                <w:szCs w:val="20"/>
                <w:lang w:val="en-US"/>
              </w:rPr>
              <w:t>Lidija</w:t>
            </w:r>
            <w:proofErr w:type="spellEnd"/>
            <w:r w:rsidRPr="001F1454">
              <w:rPr>
                <w:b/>
                <w:sz w:val="20"/>
                <w:szCs w:val="20"/>
                <w:lang w:val="en-US"/>
              </w:rPr>
              <w:t xml:space="preserve"> </w:t>
            </w:r>
            <w:proofErr w:type="spellStart"/>
            <w:r w:rsidRPr="001F1454">
              <w:rPr>
                <w:b/>
                <w:sz w:val="20"/>
                <w:szCs w:val="20"/>
                <w:lang w:val="en-US"/>
              </w:rPr>
              <w:t>Poff</w:t>
            </w:r>
            <w:proofErr w:type="spellEnd"/>
            <w:r w:rsidRPr="001F1454">
              <w:rPr>
                <w:b/>
                <w:sz w:val="20"/>
                <w:szCs w:val="20"/>
                <w:lang w:val="en-US"/>
              </w:rPr>
              <w:t xml:space="preserve"> v. Cathy Sheila Frank</w:t>
            </w:r>
          </w:p>
          <w:p w:rsidR="001F1454" w:rsidRPr="001F1454" w:rsidRDefault="001F1454" w:rsidP="001F1454">
            <w:pPr>
              <w:jc w:val="both"/>
              <w:rPr>
                <w:sz w:val="20"/>
              </w:rPr>
            </w:pPr>
            <w:r w:rsidRPr="001F1454">
              <w:rPr>
                <w:sz w:val="20"/>
              </w:rPr>
              <w:t>(Ont.) (Civil) (By Leave)</w:t>
            </w:r>
          </w:p>
        </w:tc>
      </w:tr>
      <w:tr w:rsidR="001F1454" w:rsidRPr="001F1454" w:rsidTr="00E95A6A">
        <w:tc>
          <w:tcPr>
            <w:tcW w:w="5000" w:type="pct"/>
            <w:gridSpan w:val="4"/>
          </w:tcPr>
          <w:p w:rsidR="001F1454" w:rsidRPr="001F1454" w:rsidRDefault="001F1454" w:rsidP="001F1454">
            <w:pPr>
              <w:jc w:val="both"/>
              <w:rPr>
                <w:sz w:val="20"/>
              </w:rPr>
            </w:pPr>
            <w:r w:rsidRPr="001F1454">
              <w:rPr>
                <w:sz w:val="20"/>
              </w:rPr>
              <w:t xml:space="preserve">Limitation of actions — Discoverability — Summary judgment — Actions in negligence for medical malpractice — In order for a claim to be discovered, does a plaintiff need to have knowledge that an act or omission causing injury is wrongful? — Does knowledge of the facts for one type of claim (i.e. negligence) automatically result in the knowledge that a proceeding would be appropriate for another type of claim (i.e. breach of fiduciary duty)? — </w:t>
            </w:r>
            <w:r w:rsidRPr="001F1454">
              <w:rPr>
                <w:i/>
                <w:sz w:val="20"/>
              </w:rPr>
              <w:t>Limitation Act</w:t>
            </w:r>
            <w:r w:rsidRPr="001F1454">
              <w:rPr>
                <w:sz w:val="20"/>
              </w:rPr>
              <w:t>, 2002, S.O. 2002, c. 24, Sch. B, s. 5.</w:t>
            </w:r>
          </w:p>
        </w:tc>
      </w:tr>
      <w:tr w:rsidR="001F1454" w:rsidRPr="001F1454" w:rsidTr="00E95A6A">
        <w:tc>
          <w:tcPr>
            <w:tcW w:w="5000" w:type="pct"/>
            <w:gridSpan w:val="4"/>
          </w:tcPr>
          <w:p w:rsidR="001F1454" w:rsidRPr="001F1454" w:rsidRDefault="001F1454" w:rsidP="001F1454">
            <w:pPr>
              <w:jc w:val="both"/>
              <w:rPr>
                <w:sz w:val="20"/>
              </w:rPr>
            </w:pPr>
          </w:p>
        </w:tc>
      </w:tr>
      <w:tr w:rsidR="001F1454" w:rsidRPr="001F1454" w:rsidTr="00E95A6A">
        <w:tc>
          <w:tcPr>
            <w:tcW w:w="5000" w:type="pct"/>
            <w:gridSpan w:val="4"/>
          </w:tcPr>
          <w:p w:rsidR="001F1454" w:rsidRPr="001F1454" w:rsidRDefault="001F1454" w:rsidP="001F1454">
            <w:pPr>
              <w:jc w:val="both"/>
              <w:rPr>
                <w:sz w:val="20"/>
              </w:rPr>
            </w:pPr>
            <w:r w:rsidRPr="001F1454">
              <w:rPr>
                <w:sz w:val="20"/>
              </w:rPr>
              <w:t xml:space="preserve">The respondent, Dr. Cathy Sheila Frank, is an obstetrician and gynecologist </w:t>
            </w:r>
            <w:proofErr w:type="spellStart"/>
            <w:r w:rsidRPr="001F1454">
              <w:rPr>
                <w:sz w:val="20"/>
              </w:rPr>
              <w:t>practising</w:t>
            </w:r>
            <w:proofErr w:type="spellEnd"/>
            <w:r w:rsidRPr="001F1454">
              <w:rPr>
                <w:sz w:val="20"/>
              </w:rPr>
              <w:t xml:space="preserve"> at St. Thomas Elgin General Hospital. Between 2005 and 2007, she performed surgical procedures on the applicants. The respondent, Dr. John Alexander McKenzie, was assisting Dr. Frank in the operating room in some of these procedures. After the procedures, each applicant experienced a range of unexpected symptoms which required either unplanned corrective </w:t>
            </w:r>
            <w:r w:rsidRPr="001F1454">
              <w:rPr>
                <w:sz w:val="20"/>
              </w:rPr>
              <w:lastRenderedPageBreak/>
              <w:t xml:space="preserve">surgery or prolonged hospitalization. In November 2011, the law firm representing the applicants issued a press release indicating that Dr. Frank and related respondents were being sued for medical negligence and that a complaint had been filed with the College of Physicians and Surgeons. Although the applicants were not involved in the lawsuits referred to in the press release, they became aware of their potential claims through the media coverage. Between September 2012 and August 2013, they commenced their own actions against the respondents for negligence and breach of fiduciary duty. Consequently, the respondents brought a motion for summary judgment against each action as a result of the expiration of the limitation period as prescribed in the </w:t>
            </w:r>
            <w:r w:rsidRPr="001F1454">
              <w:rPr>
                <w:i/>
                <w:sz w:val="20"/>
              </w:rPr>
              <w:t>Limitations Act, 2002,</w:t>
            </w:r>
            <w:r w:rsidRPr="001F1454">
              <w:rPr>
                <w:sz w:val="20"/>
              </w:rPr>
              <w:t xml:space="preserve"> S.O. c. 24, Sch. B, </w:t>
            </w:r>
            <w:proofErr w:type="gramStart"/>
            <w:r w:rsidRPr="001F1454">
              <w:rPr>
                <w:sz w:val="20"/>
              </w:rPr>
              <w:t>Section</w:t>
            </w:r>
            <w:proofErr w:type="gramEnd"/>
            <w:r w:rsidRPr="001F1454">
              <w:rPr>
                <w:sz w:val="20"/>
              </w:rPr>
              <w:t xml:space="preserve"> 5.</w:t>
            </w:r>
          </w:p>
          <w:p w:rsidR="001F1454" w:rsidRPr="001F1454" w:rsidRDefault="001F1454" w:rsidP="001F1454">
            <w:pPr>
              <w:jc w:val="both"/>
              <w:rPr>
                <w:sz w:val="20"/>
              </w:rPr>
            </w:pPr>
          </w:p>
        </w:tc>
      </w:tr>
      <w:tr w:rsidR="001F1454" w:rsidRPr="001F1454" w:rsidTr="00E95A6A">
        <w:tc>
          <w:tcPr>
            <w:tcW w:w="2427" w:type="pct"/>
            <w:gridSpan w:val="2"/>
          </w:tcPr>
          <w:p w:rsidR="001F1454" w:rsidRPr="001F1454" w:rsidRDefault="001F1454" w:rsidP="001F1454">
            <w:pPr>
              <w:jc w:val="both"/>
              <w:rPr>
                <w:sz w:val="20"/>
              </w:rPr>
            </w:pPr>
            <w:r w:rsidRPr="001F1454">
              <w:rPr>
                <w:sz w:val="20"/>
              </w:rPr>
              <w:lastRenderedPageBreak/>
              <w:t>May 16, 2016</w:t>
            </w:r>
          </w:p>
          <w:p w:rsidR="001F1454" w:rsidRPr="001F1454" w:rsidRDefault="001F1454" w:rsidP="001F1454">
            <w:pPr>
              <w:jc w:val="both"/>
              <w:rPr>
                <w:sz w:val="20"/>
              </w:rPr>
            </w:pPr>
            <w:r w:rsidRPr="001F1454">
              <w:rPr>
                <w:sz w:val="20"/>
              </w:rPr>
              <w:t>Ontario Superior Court of Justice</w:t>
            </w:r>
          </w:p>
          <w:p w:rsidR="001F1454" w:rsidRPr="001F1454" w:rsidRDefault="001F1454" w:rsidP="001F1454">
            <w:pPr>
              <w:jc w:val="both"/>
              <w:rPr>
                <w:sz w:val="20"/>
              </w:rPr>
            </w:pPr>
            <w:r w:rsidRPr="001F1454">
              <w:rPr>
                <w:sz w:val="20"/>
              </w:rPr>
              <w:t>(Gorman J.)</w:t>
            </w:r>
          </w:p>
          <w:p w:rsidR="001F1454" w:rsidRPr="001F1454" w:rsidRDefault="00462420" w:rsidP="001F1454">
            <w:pPr>
              <w:jc w:val="both"/>
              <w:rPr>
                <w:sz w:val="20"/>
              </w:rPr>
            </w:pPr>
            <w:hyperlink r:id="rId13" w:history="1">
              <w:r w:rsidR="001F1454" w:rsidRPr="001F1454">
                <w:rPr>
                  <w:rStyle w:val="Hyperlink"/>
                  <w:sz w:val="20"/>
                </w:rPr>
                <w:t>2016 ONSC 3211</w:t>
              </w:r>
            </w:hyperlink>
          </w:p>
          <w:p w:rsidR="001F1454" w:rsidRPr="001F1454" w:rsidRDefault="001F1454" w:rsidP="001F1454">
            <w:pPr>
              <w:jc w:val="both"/>
              <w:rPr>
                <w:sz w:val="20"/>
              </w:rPr>
            </w:pPr>
          </w:p>
        </w:tc>
        <w:tc>
          <w:tcPr>
            <w:tcW w:w="243" w:type="pct"/>
          </w:tcPr>
          <w:p w:rsidR="001F1454" w:rsidRPr="001F1454" w:rsidRDefault="001F1454" w:rsidP="001F1454">
            <w:pPr>
              <w:jc w:val="both"/>
              <w:rPr>
                <w:sz w:val="20"/>
              </w:rPr>
            </w:pPr>
          </w:p>
        </w:tc>
        <w:tc>
          <w:tcPr>
            <w:tcW w:w="2330" w:type="pct"/>
          </w:tcPr>
          <w:p w:rsidR="001F1454" w:rsidRPr="001F1454" w:rsidRDefault="001F1454" w:rsidP="001F1454">
            <w:pPr>
              <w:jc w:val="both"/>
              <w:rPr>
                <w:sz w:val="20"/>
              </w:rPr>
            </w:pPr>
            <w:r w:rsidRPr="001F1454">
              <w:rPr>
                <w:sz w:val="20"/>
              </w:rPr>
              <w:t>Summary judgments granted.</w:t>
            </w:r>
          </w:p>
          <w:p w:rsidR="001F1454" w:rsidRPr="001F1454" w:rsidRDefault="001F1454" w:rsidP="001F1454">
            <w:pPr>
              <w:jc w:val="both"/>
              <w:rPr>
                <w:sz w:val="20"/>
              </w:rPr>
            </w:pPr>
            <w:r w:rsidRPr="001F1454">
              <w:rPr>
                <w:sz w:val="20"/>
              </w:rPr>
              <w:t>Actions and crossclaims dismissed.</w:t>
            </w:r>
          </w:p>
        </w:tc>
      </w:tr>
      <w:tr w:rsidR="001F1454" w:rsidRPr="001F1454" w:rsidTr="00E95A6A">
        <w:tc>
          <w:tcPr>
            <w:tcW w:w="2427" w:type="pct"/>
            <w:gridSpan w:val="2"/>
          </w:tcPr>
          <w:p w:rsidR="001F1454" w:rsidRPr="001F1454" w:rsidRDefault="001F1454" w:rsidP="001F1454">
            <w:pPr>
              <w:jc w:val="both"/>
              <w:rPr>
                <w:sz w:val="20"/>
              </w:rPr>
            </w:pPr>
            <w:r w:rsidRPr="001F1454">
              <w:rPr>
                <w:sz w:val="20"/>
              </w:rPr>
              <w:t>January 17, 2017</w:t>
            </w:r>
          </w:p>
          <w:p w:rsidR="001F1454" w:rsidRPr="001F1454" w:rsidRDefault="001F1454" w:rsidP="001F1454">
            <w:pPr>
              <w:jc w:val="both"/>
              <w:rPr>
                <w:sz w:val="20"/>
              </w:rPr>
            </w:pPr>
            <w:r w:rsidRPr="001F1454">
              <w:rPr>
                <w:sz w:val="20"/>
              </w:rPr>
              <w:t>Court of Appeal for Ontario</w:t>
            </w:r>
          </w:p>
          <w:p w:rsidR="001F1454" w:rsidRPr="001F1454" w:rsidRDefault="001F1454" w:rsidP="001F1454">
            <w:pPr>
              <w:jc w:val="both"/>
              <w:rPr>
                <w:sz w:val="20"/>
              </w:rPr>
            </w:pPr>
            <w:r w:rsidRPr="001F1454">
              <w:rPr>
                <w:sz w:val="20"/>
              </w:rPr>
              <w:t>(Strathy, MacPherson and Hourigan JJ.A)</w:t>
            </w:r>
          </w:p>
          <w:p w:rsidR="001F1454" w:rsidRPr="001F1454" w:rsidRDefault="00462420" w:rsidP="001F1454">
            <w:pPr>
              <w:jc w:val="both"/>
              <w:rPr>
                <w:sz w:val="20"/>
              </w:rPr>
            </w:pPr>
            <w:hyperlink r:id="rId14" w:history="1">
              <w:r w:rsidR="001F1454" w:rsidRPr="001F1454">
                <w:rPr>
                  <w:rStyle w:val="Hyperlink"/>
                  <w:sz w:val="20"/>
                </w:rPr>
                <w:t>2017 ONCA 32</w:t>
              </w:r>
            </w:hyperlink>
          </w:p>
          <w:p w:rsidR="001F1454" w:rsidRPr="001F1454" w:rsidRDefault="001F1454" w:rsidP="001F1454">
            <w:pPr>
              <w:jc w:val="both"/>
              <w:rPr>
                <w:sz w:val="20"/>
              </w:rPr>
            </w:pPr>
          </w:p>
        </w:tc>
        <w:tc>
          <w:tcPr>
            <w:tcW w:w="243" w:type="pct"/>
          </w:tcPr>
          <w:p w:rsidR="001F1454" w:rsidRPr="001F1454" w:rsidRDefault="001F1454" w:rsidP="001F1454">
            <w:pPr>
              <w:jc w:val="both"/>
              <w:rPr>
                <w:sz w:val="20"/>
              </w:rPr>
            </w:pPr>
          </w:p>
        </w:tc>
        <w:tc>
          <w:tcPr>
            <w:tcW w:w="2330" w:type="pct"/>
          </w:tcPr>
          <w:p w:rsidR="001F1454" w:rsidRPr="001F1454" w:rsidRDefault="001F1454" w:rsidP="001F1454">
            <w:pPr>
              <w:jc w:val="both"/>
              <w:rPr>
                <w:sz w:val="20"/>
              </w:rPr>
            </w:pPr>
            <w:r w:rsidRPr="001F1454">
              <w:rPr>
                <w:sz w:val="20"/>
              </w:rPr>
              <w:t>Appeals dismissed.</w:t>
            </w:r>
          </w:p>
          <w:p w:rsidR="001F1454" w:rsidRPr="001F1454" w:rsidRDefault="001F1454" w:rsidP="001F1454">
            <w:pPr>
              <w:jc w:val="both"/>
              <w:rPr>
                <w:sz w:val="20"/>
              </w:rPr>
            </w:pPr>
          </w:p>
        </w:tc>
      </w:tr>
      <w:tr w:rsidR="001F1454" w:rsidRPr="001F1454" w:rsidTr="00E95A6A">
        <w:tc>
          <w:tcPr>
            <w:tcW w:w="2427" w:type="pct"/>
            <w:gridSpan w:val="2"/>
          </w:tcPr>
          <w:p w:rsidR="001F1454" w:rsidRPr="001F1454" w:rsidRDefault="001F1454" w:rsidP="001F1454">
            <w:pPr>
              <w:jc w:val="both"/>
              <w:rPr>
                <w:sz w:val="20"/>
              </w:rPr>
            </w:pPr>
            <w:r w:rsidRPr="001F1454">
              <w:rPr>
                <w:sz w:val="20"/>
              </w:rPr>
              <w:t>March 20, 2017</w:t>
            </w:r>
          </w:p>
          <w:p w:rsidR="001F1454" w:rsidRPr="001F1454" w:rsidRDefault="001F1454" w:rsidP="001F1454">
            <w:pPr>
              <w:jc w:val="both"/>
              <w:rPr>
                <w:sz w:val="20"/>
              </w:rPr>
            </w:pPr>
            <w:r w:rsidRPr="001F1454">
              <w:rPr>
                <w:sz w:val="20"/>
              </w:rPr>
              <w:t>Supreme Court of Canada</w:t>
            </w:r>
          </w:p>
        </w:tc>
        <w:tc>
          <w:tcPr>
            <w:tcW w:w="243" w:type="pct"/>
          </w:tcPr>
          <w:p w:rsidR="001F1454" w:rsidRPr="001F1454" w:rsidRDefault="001F1454" w:rsidP="001F1454">
            <w:pPr>
              <w:jc w:val="both"/>
              <w:rPr>
                <w:sz w:val="20"/>
              </w:rPr>
            </w:pPr>
          </w:p>
        </w:tc>
        <w:tc>
          <w:tcPr>
            <w:tcW w:w="2330" w:type="pct"/>
          </w:tcPr>
          <w:p w:rsidR="001F1454" w:rsidRPr="001F1454" w:rsidRDefault="001F1454" w:rsidP="001F1454">
            <w:pPr>
              <w:jc w:val="both"/>
              <w:rPr>
                <w:sz w:val="20"/>
              </w:rPr>
            </w:pPr>
            <w:r w:rsidRPr="001F1454">
              <w:rPr>
                <w:sz w:val="20"/>
              </w:rPr>
              <w:t>Application for leave to appeal filed.</w:t>
            </w:r>
          </w:p>
          <w:p w:rsidR="001F1454" w:rsidRPr="001F1454" w:rsidRDefault="001F1454" w:rsidP="001F1454">
            <w:pPr>
              <w:jc w:val="both"/>
              <w:rPr>
                <w:sz w:val="20"/>
              </w:rPr>
            </w:pPr>
          </w:p>
        </w:tc>
      </w:tr>
    </w:tbl>
    <w:p w:rsidR="001F1454" w:rsidRDefault="001F1454" w:rsidP="001F1454">
      <w:pPr>
        <w:jc w:val="both"/>
        <w:rPr>
          <w:sz w:val="20"/>
        </w:rPr>
      </w:pPr>
    </w:p>
    <w:p w:rsidR="001F1454" w:rsidRPr="001F1454" w:rsidRDefault="001F1454" w:rsidP="001F145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454" w:rsidRPr="001F1454" w:rsidTr="00E95A6A">
        <w:tc>
          <w:tcPr>
            <w:tcW w:w="543" w:type="pct"/>
          </w:tcPr>
          <w:p w:rsidR="001F1454" w:rsidRPr="001F1454" w:rsidRDefault="001F1454" w:rsidP="001F1454">
            <w:pPr>
              <w:jc w:val="both"/>
              <w:rPr>
                <w:sz w:val="20"/>
                <w:lang w:val="fr-CA"/>
              </w:rPr>
            </w:pPr>
            <w:r w:rsidRPr="001F1454">
              <w:rPr>
                <w:rStyle w:val="SCCFileNumberChar"/>
                <w:sz w:val="20"/>
                <w:szCs w:val="20"/>
                <w:lang w:val="fr-CA"/>
              </w:rPr>
              <w:t>37494</w:t>
            </w:r>
          </w:p>
        </w:tc>
        <w:tc>
          <w:tcPr>
            <w:tcW w:w="4457" w:type="pct"/>
            <w:gridSpan w:val="3"/>
          </w:tcPr>
          <w:p w:rsidR="001F1454" w:rsidRPr="001F1454" w:rsidRDefault="001F1454" w:rsidP="001F1454">
            <w:pPr>
              <w:pStyle w:val="SCCLsocParty"/>
              <w:jc w:val="both"/>
              <w:rPr>
                <w:b/>
                <w:sz w:val="20"/>
                <w:szCs w:val="20"/>
              </w:rPr>
            </w:pPr>
            <w:r w:rsidRPr="001F1454">
              <w:rPr>
                <w:b/>
                <w:sz w:val="20"/>
                <w:szCs w:val="20"/>
              </w:rPr>
              <w:t>Melanie Ann Dale c. Cathy Sheila Frank</w:t>
            </w:r>
          </w:p>
          <w:p w:rsidR="001F1454" w:rsidRPr="001F1454" w:rsidRDefault="001F1454" w:rsidP="001F1454">
            <w:pPr>
              <w:pStyle w:val="SCCLsocSubfileSeparator"/>
              <w:rPr>
                <w:sz w:val="20"/>
                <w:szCs w:val="20"/>
                <w:lang w:val="fr-CA"/>
              </w:rPr>
            </w:pPr>
            <w:r w:rsidRPr="001F1454">
              <w:rPr>
                <w:sz w:val="20"/>
                <w:szCs w:val="20"/>
                <w:lang w:val="fr-CA"/>
              </w:rPr>
              <w:t>- et entre -</w:t>
            </w:r>
          </w:p>
          <w:p w:rsidR="001F1454" w:rsidRPr="001F1454" w:rsidRDefault="001F1454" w:rsidP="001F1454">
            <w:pPr>
              <w:pStyle w:val="SCCLsocParty"/>
              <w:jc w:val="both"/>
              <w:rPr>
                <w:b/>
                <w:sz w:val="20"/>
                <w:szCs w:val="20"/>
              </w:rPr>
            </w:pPr>
            <w:r w:rsidRPr="001F1454">
              <w:rPr>
                <w:b/>
                <w:sz w:val="20"/>
                <w:szCs w:val="20"/>
              </w:rPr>
              <w:t xml:space="preserve">Rachel </w:t>
            </w:r>
            <w:proofErr w:type="spellStart"/>
            <w:r w:rsidRPr="001F1454">
              <w:rPr>
                <w:b/>
                <w:sz w:val="20"/>
                <w:szCs w:val="20"/>
              </w:rPr>
              <w:t>Gladkowski</w:t>
            </w:r>
            <w:proofErr w:type="spellEnd"/>
            <w:r w:rsidRPr="001F1454">
              <w:rPr>
                <w:b/>
                <w:sz w:val="20"/>
                <w:szCs w:val="20"/>
              </w:rPr>
              <w:t xml:space="preserve"> c. Cathy Sheila Frank et John Alexander McKenzie</w:t>
            </w:r>
          </w:p>
          <w:p w:rsidR="001F1454" w:rsidRPr="001F1454" w:rsidRDefault="001F1454" w:rsidP="001F1454">
            <w:pPr>
              <w:pStyle w:val="SCCLsocSubfileSeparator"/>
              <w:rPr>
                <w:sz w:val="20"/>
                <w:szCs w:val="20"/>
                <w:lang w:val="fr-CA"/>
              </w:rPr>
            </w:pPr>
            <w:r w:rsidRPr="001F1454">
              <w:rPr>
                <w:sz w:val="20"/>
                <w:szCs w:val="20"/>
                <w:lang w:val="fr-CA"/>
              </w:rPr>
              <w:t>- et entre -</w:t>
            </w:r>
          </w:p>
          <w:p w:rsidR="001F1454" w:rsidRPr="001F1454" w:rsidRDefault="001F1454" w:rsidP="001F1454">
            <w:pPr>
              <w:pStyle w:val="SCCLsocParty"/>
              <w:jc w:val="both"/>
              <w:rPr>
                <w:b/>
                <w:sz w:val="20"/>
                <w:szCs w:val="20"/>
              </w:rPr>
            </w:pPr>
            <w:r w:rsidRPr="001F1454">
              <w:rPr>
                <w:b/>
                <w:sz w:val="20"/>
                <w:szCs w:val="20"/>
              </w:rPr>
              <w:t xml:space="preserve">Diane </w:t>
            </w:r>
            <w:proofErr w:type="spellStart"/>
            <w:r w:rsidRPr="001F1454">
              <w:rPr>
                <w:b/>
                <w:sz w:val="20"/>
                <w:szCs w:val="20"/>
              </w:rPr>
              <w:t>Lesak</w:t>
            </w:r>
            <w:proofErr w:type="spellEnd"/>
            <w:r w:rsidRPr="001F1454">
              <w:rPr>
                <w:b/>
                <w:sz w:val="20"/>
                <w:szCs w:val="20"/>
              </w:rPr>
              <w:t xml:space="preserve"> c. Cathy Sheila Frank et John Alexander McKenzie</w:t>
            </w:r>
          </w:p>
          <w:p w:rsidR="001F1454" w:rsidRPr="001F1454" w:rsidRDefault="001F1454" w:rsidP="001F1454">
            <w:pPr>
              <w:pStyle w:val="SCCLsocSubfileSeparator"/>
              <w:rPr>
                <w:sz w:val="20"/>
                <w:szCs w:val="20"/>
                <w:lang w:val="fr-CA"/>
              </w:rPr>
            </w:pPr>
            <w:r w:rsidRPr="001F1454">
              <w:rPr>
                <w:sz w:val="20"/>
                <w:szCs w:val="20"/>
                <w:lang w:val="fr-CA"/>
              </w:rPr>
              <w:t>- et entre -</w:t>
            </w:r>
          </w:p>
          <w:p w:rsidR="001F1454" w:rsidRPr="001F1454" w:rsidRDefault="001F1454" w:rsidP="001F1454">
            <w:pPr>
              <w:pStyle w:val="SCCLsocParty"/>
              <w:jc w:val="both"/>
              <w:rPr>
                <w:b/>
                <w:sz w:val="20"/>
                <w:szCs w:val="20"/>
              </w:rPr>
            </w:pPr>
            <w:r w:rsidRPr="001F1454">
              <w:rPr>
                <w:b/>
                <w:sz w:val="20"/>
                <w:szCs w:val="20"/>
              </w:rPr>
              <w:t xml:space="preserve">Patricia </w:t>
            </w:r>
            <w:proofErr w:type="spellStart"/>
            <w:r w:rsidRPr="001F1454">
              <w:rPr>
                <w:b/>
                <w:sz w:val="20"/>
                <w:szCs w:val="20"/>
              </w:rPr>
              <w:t>Pettit</w:t>
            </w:r>
            <w:proofErr w:type="spellEnd"/>
            <w:r w:rsidRPr="001F1454">
              <w:rPr>
                <w:b/>
                <w:sz w:val="20"/>
                <w:szCs w:val="20"/>
              </w:rPr>
              <w:t xml:space="preserve"> c. Cathy Sheila Frank et John Alexander McKenzie</w:t>
            </w:r>
          </w:p>
          <w:p w:rsidR="001F1454" w:rsidRPr="001F1454" w:rsidRDefault="001F1454" w:rsidP="001F1454">
            <w:pPr>
              <w:pStyle w:val="SCCLsocSubfileSeparator"/>
              <w:rPr>
                <w:sz w:val="20"/>
                <w:szCs w:val="20"/>
                <w:lang w:val="fr-CA"/>
              </w:rPr>
            </w:pPr>
            <w:r w:rsidRPr="001F1454">
              <w:rPr>
                <w:sz w:val="20"/>
                <w:szCs w:val="20"/>
                <w:lang w:val="fr-CA"/>
              </w:rPr>
              <w:t>- et entre -</w:t>
            </w:r>
          </w:p>
          <w:p w:rsidR="001F1454" w:rsidRPr="001F1454" w:rsidRDefault="001F1454" w:rsidP="001F1454">
            <w:pPr>
              <w:pStyle w:val="SCCLsocParty"/>
              <w:jc w:val="both"/>
              <w:rPr>
                <w:b/>
                <w:sz w:val="20"/>
                <w:szCs w:val="20"/>
                <w:lang w:val="en-US"/>
              </w:rPr>
            </w:pPr>
            <w:proofErr w:type="spellStart"/>
            <w:r w:rsidRPr="001F1454">
              <w:rPr>
                <w:b/>
                <w:sz w:val="20"/>
                <w:szCs w:val="20"/>
                <w:lang w:val="en-US"/>
              </w:rPr>
              <w:t>Lidija</w:t>
            </w:r>
            <w:proofErr w:type="spellEnd"/>
            <w:r w:rsidRPr="001F1454">
              <w:rPr>
                <w:b/>
                <w:sz w:val="20"/>
                <w:szCs w:val="20"/>
                <w:lang w:val="en-US"/>
              </w:rPr>
              <w:t xml:space="preserve"> </w:t>
            </w:r>
            <w:proofErr w:type="spellStart"/>
            <w:r w:rsidRPr="001F1454">
              <w:rPr>
                <w:b/>
                <w:sz w:val="20"/>
                <w:szCs w:val="20"/>
                <w:lang w:val="en-US"/>
              </w:rPr>
              <w:t>Poff</w:t>
            </w:r>
            <w:proofErr w:type="spellEnd"/>
            <w:r w:rsidRPr="001F1454">
              <w:rPr>
                <w:b/>
                <w:sz w:val="20"/>
                <w:szCs w:val="20"/>
                <w:lang w:val="en-US"/>
              </w:rPr>
              <w:t xml:space="preserve"> c. Cathy Sheila Frank</w:t>
            </w:r>
          </w:p>
          <w:p w:rsidR="001F1454" w:rsidRPr="001F1454" w:rsidRDefault="001F1454" w:rsidP="001F1454">
            <w:pPr>
              <w:jc w:val="both"/>
              <w:rPr>
                <w:sz w:val="20"/>
                <w:lang w:val="fr-CA"/>
              </w:rPr>
            </w:pPr>
            <w:r w:rsidRPr="001F1454">
              <w:rPr>
                <w:sz w:val="20"/>
                <w:lang w:val="fr-CA"/>
              </w:rPr>
              <w:t>(Ont.) (Civile) (Sur autorisation)</w:t>
            </w:r>
          </w:p>
        </w:tc>
      </w:tr>
      <w:tr w:rsidR="001F1454" w:rsidRPr="001F1454" w:rsidTr="00E95A6A">
        <w:tc>
          <w:tcPr>
            <w:tcW w:w="5000" w:type="pct"/>
            <w:gridSpan w:val="4"/>
          </w:tcPr>
          <w:p w:rsidR="001F1454" w:rsidRPr="001F1454" w:rsidRDefault="001F1454" w:rsidP="001F1454">
            <w:pPr>
              <w:jc w:val="both"/>
              <w:rPr>
                <w:sz w:val="20"/>
                <w:lang w:val="fr-CA"/>
              </w:rPr>
            </w:pPr>
            <w:r w:rsidRPr="001F1454">
              <w:rPr>
                <w:sz w:val="20"/>
                <w:lang w:val="fr-CA"/>
              </w:rPr>
              <w:t xml:space="preserve">Prescription — Possibilité de découvrir — Jugement sommaire — Actions en négligence pour faute médicale — Pour que les faits qui ont donné naissance à une réclamation puissent être découverts, faut-il que le demandeur sache qu’un acte ou une omission causant un préjudice est fautif? — La connaissance des faits donnant ouverture à un type de réclamation (c.-à-d. la négligence) fait-elle automatiquement en sorte que l’on sait qu’une instance serait appropriée pour un autre type de réclamation (c.-à-d. un manquement à l’obligation fiduciaire)? — </w:t>
            </w:r>
            <w:r w:rsidRPr="001F1454">
              <w:rPr>
                <w:i/>
                <w:sz w:val="20"/>
                <w:lang w:val="fr-CA"/>
              </w:rPr>
              <w:t>Loi de 2002 sur la prescription des actions</w:t>
            </w:r>
            <w:r w:rsidRPr="001F1454">
              <w:rPr>
                <w:sz w:val="20"/>
                <w:lang w:val="fr-CA"/>
              </w:rPr>
              <w:t xml:space="preserve">, L.O. 2002, ch. 24, </w:t>
            </w:r>
            <w:proofErr w:type="spellStart"/>
            <w:r w:rsidRPr="001F1454">
              <w:rPr>
                <w:sz w:val="20"/>
                <w:lang w:val="fr-CA"/>
              </w:rPr>
              <w:t>ann</w:t>
            </w:r>
            <w:proofErr w:type="spellEnd"/>
            <w:r w:rsidRPr="001F1454">
              <w:rPr>
                <w:sz w:val="20"/>
                <w:lang w:val="fr-CA"/>
              </w:rPr>
              <w:t>. B, art. 5.</w:t>
            </w:r>
          </w:p>
        </w:tc>
      </w:tr>
      <w:tr w:rsidR="001F1454" w:rsidRPr="001F1454" w:rsidTr="00E95A6A">
        <w:tc>
          <w:tcPr>
            <w:tcW w:w="5000" w:type="pct"/>
            <w:gridSpan w:val="4"/>
          </w:tcPr>
          <w:p w:rsidR="001F1454" w:rsidRPr="001F1454" w:rsidRDefault="001F1454" w:rsidP="001F1454">
            <w:pPr>
              <w:jc w:val="both"/>
              <w:rPr>
                <w:sz w:val="20"/>
                <w:lang w:val="fr-CA"/>
              </w:rPr>
            </w:pPr>
          </w:p>
        </w:tc>
      </w:tr>
      <w:tr w:rsidR="001F1454" w:rsidRPr="001F1454" w:rsidTr="00E95A6A">
        <w:tc>
          <w:tcPr>
            <w:tcW w:w="5000" w:type="pct"/>
            <w:gridSpan w:val="4"/>
          </w:tcPr>
          <w:p w:rsidR="001F1454" w:rsidRPr="001F1454" w:rsidRDefault="001F1454" w:rsidP="001F1454">
            <w:pPr>
              <w:jc w:val="both"/>
              <w:rPr>
                <w:sz w:val="20"/>
                <w:lang w:val="fr-CA"/>
              </w:rPr>
            </w:pPr>
            <w:r w:rsidRPr="001F1454">
              <w:rPr>
                <w:sz w:val="20"/>
                <w:lang w:val="fr-CA"/>
              </w:rPr>
              <w:t xml:space="preserve">L’intimée, la docteure Cathy Sheila Frank, est une obstétricienne et gynécologue qui exerce à l’hôpital général St. Thomas Elgin. Entre 2005 et 2007, elle a pratiqué des interventions chirurgicales sur les demanderesses. L’intimé, le docteur John Alexander McKenzie, assistait la docteure Frank dans la salle d’opération lors de certaines de ces interventions. Après les interventions, chaque demanderesse a éprouvé un éventail de symptômes imprévus qui ont nécessité soit une chirurgie correctrice non planifiée, soit une hospitalisation prolongée. En novembre 2011, le cabinet d’avocats qui représentait les demanderesses a publié un communiqué de presse indiquant que la docteure Frank et des intimés liés étaient poursuivis pour négligence médicale et qu’une plainte avait été déposée auprès de l’Ordre des médecins et chirurgiens. Même si les demanderesses n’étaient pas parties aux poursuites mentionnées dans le communiqué de presse, elles ont pris connaissance de leurs réclamations éventuelles par la couverture médiatique. Entre septembre 2012 et août 2013, elles ont intenté leurs propres actions contre les intimés pour négligence et manquement à l’obligation fiduciaire. Par conséquent, les intimés ont présenté une motion en jugement </w:t>
            </w:r>
            <w:r w:rsidRPr="001F1454">
              <w:rPr>
                <w:sz w:val="20"/>
                <w:lang w:val="fr-CA"/>
              </w:rPr>
              <w:lastRenderedPageBreak/>
              <w:t xml:space="preserve">sommaire contre chaque action à la suite de l’expiration du délai de prescription prévu dans la </w:t>
            </w:r>
            <w:r w:rsidRPr="001F1454">
              <w:rPr>
                <w:i/>
                <w:sz w:val="20"/>
                <w:lang w:val="fr-CA"/>
              </w:rPr>
              <w:t>Loi de 2002 sur la prescription des actions,</w:t>
            </w:r>
            <w:r w:rsidRPr="001F1454">
              <w:rPr>
                <w:sz w:val="20"/>
                <w:lang w:val="fr-CA"/>
              </w:rPr>
              <w:t xml:space="preserve"> L.O. ch. 24, </w:t>
            </w:r>
            <w:proofErr w:type="spellStart"/>
            <w:r w:rsidRPr="001F1454">
              <w:rPr>
                <w:sz w:val="20"/>
                <w:lang w:val="fr-CA"/>
              </w:rPr>
              <w:t>ann</w:t>
            </w:r>
            <w:proofErr w:type="spellEnd"/>
            <w:r w:rsidRPr="001F1454">
              <w:rPr>
                <w:sz w:val="20"/>
                <w:lang w:val="fr-CA"/>
              </w:rPr>
              <w:t>. B, article 5.</w:t>
            </w:r>
          </w:p>
          <w:p w:rsidR="001F1454" w:rsidRPr="001F1454" w:rsidRDefault="001F1454" w:rsidP="001F1454">
            <w:pPr>
              <w:jc w:val="both"/>
              <w:rPr>
                <w:sz w:val="20"/>
                <w:lang w:val="fr-CA"/>
              </w:rPr>
            </w:pPr>
          </w:p>
        </w:tc>
      </w:tr>
      <w:tr w:rsidR="001F1454" w:rsidRPr="00462420" w:rsidTr="00E95A6A">
        <w:tc>
          <w:tcPr>
            <w:tcW w:w="2427" w:type="pct"/>
            <w:gridSpan w:val="2"/>
          </w:tcPr>
          <w:p w:rsidR="001F1454" w:rsidRPr="001F1454" w:rsidRDefault="001F1454" w:rsidP="001F1454">
            <w:pPr>
              <w:jc w:val="both"/>
              <w:rPr>
                <w:sz w:val="20"/>
                <w:lang w:val="fr-CA"/>
              </w:rPr>
            </w:pPr>
            <w:r w:rsidRPr="001F1454">
              <w:rPr>
                <w:sz w:val="20"/>
                <w:lang w:val="fr-CA"/>
              </w:rPr>
              <w:lastRenderedPageBreak/>
              <w:t>16 mai 2016</w:t>
            </w:r>
          </w:p>
          <w:p w:rsidR="001F1454" w:rsidRPr="001F1454" w:rsidRDefault="001F1454" w:rsidP="001F1454">
            <w:pPr>
              <w:jc w:val="both"/>
              <w:rPr>
                <w:sz w:val="20"/>
                <w:lang w:val="fr-CA"/>
              </w:rPr>
            </w:pPr>
            <w:r w:rsidRPr="001F1454">
              <w:rPr>
                <w:sz w:val="20"/>
                <w:lang w:val="fr-CA"/>
              </w:rPr>
              <w:t>Cour supérieure de justice de l’Ontario</w:t>
            </w:r>
          </w:p>
          <w:p w:rsidR="001F1454" w:rsidRPr="001F1454" w:rsidRDefault="001F1454" w:rsidP="001F1454">
            <w:pPr>
              <w:jc w:val="both"/>
              <w:rPr>
                <w:sz w:val="20"/>
                <w:lang w:val="fr-CA"/>
              </w:rPr>
            </w:pPr>
            <w:r w:rsidRPr="001F1454">
              <w:rPr>
                <w:sz w:val="20"/>
                <w:lang w:val="fr-CA"/>
              </w:rPr>
              <w:t>(Juge Gorman)</w:t>
            </w:r>
          </w:p>
          <w:p w:rsidR="001F1454" w:rsidRPr="001F1454" w:rsidRDefault="00462420" w:rsidP="001F1454">
            <w:pPr>
              <w:jc w:val="both"/>
              <w:rPr>
                <w:sz w:val="20"/>
                <w:lang w:val="fr-CA"/>
              </w:rPr>
            </w:pPr>
            <w:hyperlink r:id="rId15" w:history="1">
              <w:r w:rsidR="001F1454" w:rsidRPr="001F1454">
                <w:rPr>
                  <w:rStyle w:val="Hyperlink"/>
                  <w:sz w:val="20"/>
                  <w:lang w:val="fr-CA"/>
                </w:rPr>
                <w:t>2016 ONSC 3211</w:t>
              </w:r>
            </w:hyperlink>
          </w:p>
          <w:p w:rsidR="001F1454" w:rsidRPr="001F1454" w:rsidRDefault="001F1454" w:rsidP="001F1454">
            <w:pPr>
              <w:jc w:val="both"/>
              <w:rPr>
                <w:sz w:val="20"/>
                <w:lang w:val="fr-CA"/>
              </w:rPr>
            </w:pPr>
          </w:p>
        </w:tc>
        <w:tc>
          <w:tcPr>
            <w:tcW w:w="243" w:type="pct"/>
          </w:tcPr>
          <w:p w:rsidR="001F1454" w:rsidRPr="001F1454" w:rsidRDefault="001F1454" w:rsidP="001F1454">
            <w:pPr>
              <w:jc w:val="both"/>
              <w:rPr>
                <w:sz w:val="20"/>
                <w:lang w:val="fr-CA"/>
              </w:rPr>
            </w:pPr>
          </w:p>
        </w:tc>
        <w:tc>
          <w:tcPr>
            <w:tcW w:w="2330" w:type="pct"/>
          </w:tcPr>
          <w:p w:rsidR="001F1454" w:rsidRPr="001F1454" w:rsidRDefault="001F1454" w:rsidP="001F1454">
            <w:pPr>
              <w:jc w:val="both"/>
              <w:rPr>
                <w:sz w:val="20"/>
                <w:lang w:val="fr-CA"/>
              </w:rPr>
            </w:pPr>
            <w:r w:rsidRPr="001F1454">
              <w:rPr>
                <w:sz w:val="20"/>
                <w:lang w:val="fr-CA"/>
              </w:rPr>
              <w:t>Jugement accordant des jugements sommaires.</w:t>
            </w:r>
          </w:p>
          <w:p w:rsidR="001F1454" w:rsidRPr="001F1454" w:rsidRDefault="001F1454" w:rsidP="001F1454">
            <w:pPr>
              <w:jc w:val="both"/>
              <w:rPr>
                <w:sz w:val="20"/>
                <w:lang w:val="fr-CA"/>
              </w:rPr>
            </w:pPr>
            <w:r w:rsidRPr="001F1454">
              <w:rPr>
                <w:sz w:val="20"/>
                <w:lang w:val="fr-CA"/>
              </w:rPr>
              <w:t>Rejet des actions et des demandes reconventionnelles.</w:t>
            </w:r>
          </w:p>
        </w:tc>
      </w:tr>
      <w:tr w:rsidR="001F1454" w:rsidRPr="001F1454" w:rsidTr="00E95A6A">
        <w:tc>
          <w:tcPr>
            <w:tcW w:w="2427" w:type="pct"/>
            <w:gridSpan w:val="2"/>
          </w:tcPr>
          <w:p w:rsidR="001F1454" w:rsidRPr="001F1454" w:rsidRDefault="001F1454" w:rsidP="001F1454">
            <w:pPr>
              <w:jc w:val="both"/>
              <w:rPr>
                <w:sz w:val="20"/>
                <w:lang w:val="fr-CA"/>
              </w:rPr>
            </w:pPr>
            <w:r w:rsidRPr="001F1454">
              <w:rPr>
                <w:sz w:val="20"/>
                <w:lang w:val="fr-CA"/>
              </w:rPr>
              <w:t>17 janvier 2017</w:t>
            </w:r>
          </w:p>
          <w:p w:rsidR="001F1454" w:rsidRPr="001F1454" w:rsidRDefault="001F1454" w:rsidP="001F1454">
            <w:pPr>
              <w:jc w:val="both"/>
              <w:rPr>
                <w:sz w:val="20"/>
                <w:lang w:val="fr-CA"/>
              </w:rPr>
            </w:pPr>
            <w:r w:rsidRPr="001F1454">
              <w:rPr>
                <w:sz w:val="20"/>
                <w:lang w:val="fr-CA"/>
              </w:rPr>
              <w:t>Cour d’appel de l’Ontario</w:t>
            </w:r>
          </w:p>
          <w:p w:rsidR="001F1454" w:rsidRPr="001F1454" w:rsidRDefault="001F1454" w:rsidP="001F1454">
            <w:pPr>
              <w:jc w:val="both"/>
              <w:rPr>
                <w:sz w:val="20"/>
                <w:lang w:val="fr-CA"/>
              </w:rPr>
            </w:pPr>
            <w:r w:rsidRPr="001F1454">
              <w:rPr>
                <w:sz w:val="20"/>
                <w:lang w:val="fr-CA"/>
              </w:rPr>
              <w:t xml:space="preserve">(Juges </w:t>
            </w:r>
            <w:proofErr w:type="spellStart"/>
            <w:r w:rsidRPr="001F1454">
              <w:rPr>
                <w:sz w:val="20"/>
                <w:lang w:val="fr-CA"/>
              </w:rPr>
              <w:t>Strathy</w:t>
            </w:r>
            <w:proofErr w:type="spellEnd"/>
            <w:r w:rsidRPr="001F1454">
              <w:rPr>
                <w:sz w:val="20"/>
                <w:lang w:val="fr-CA"/>
              </w:rPr>
              <w:t xml:space="preserve">, </w:t>
            </w:r>
            <w:proofErr w:type="spellStart"/>
            <w:r w:rsidRPr="001F1454">
              <w:rPr>
                <w:sz w:val="20"/>
                <w:lang w:val="fr-CA"/>
              </w:rPr>
              <w:t>MacPherson</w:t>
            </w:r>
            <w:proofErr w:type="spellEnd"/>
            <w:r w:rsidRPr="001F1454">
              <w:rPr>
                <w:sz w:val="20"/>
                <w:lang w:val="fr-CA"/>
              </w:rPr>
              <w:t xml:space="preserve"> et </w:t>
            </w:r>
            <w:proofErr w:type="spellStart"/>
            <w:r w:rsidRPr="001F1454">
              <w:rPr>
                <w:sz w:val="20"/>
                <w:lang w:val="fr-CA"/>
              </w:rPr>
              <w:t>Hourigan</w:t>
            </w:r>
            <w:proofErr w:type="spellEnd"/>
            <w:r w:rsidRPr="001F1454">
              <w:rPr>
                <w:sz w:val="20"/>
                <w:lang w:val="fr-CA"/>
              </w:rPr>
              <w:t>)</w:t>
            </w:r>
          </w:p>
          <w:p w:rsidR="001F1454" w:rsidRPr="001F1454" w:rsidRDefault="00462420" w:rsidP="001F1454">
            <w:pPr>
              <w:jc w:val="both"/>
              <w:rPr>
                <w:sz w:val="20"/>
                <w:lang w:val="fr-CA"/>
              </w:rPr>
            </w:pPr>
            <w:hyperlink r:id="rId16" w:history="1">
              <w:r w:rsidR="001F1454" w:rsidRPr="001F1454">
                <w:rPr>
                  <w:rStyle w:val="Hyperlink"/>
                  <w:sz w:val="20"/>
                  <w:lang w:val="fr-CA"/>
                </w:rPr>
                <w:t>2017 ONCA 32</w:t>
              </w:r>
            </w:hyperlink>
          </w:p>
          <w:p w:rsidR="001F1454" w:rsidRPr="001F1454" w:rsidRDefault="001F1454" w:rsidP="001F1454">
            <w:pPr>
              <w:jc w:val="both"/>
              <w:rPr>
                <w:sz w:val="20"/>
                <w:lang w:val="fr-CA"/>
              </w:rPr>
            </w:pPr>
          </w:p>
        </w:tc>
        <w:tc>
          <w:tcPr>
            <w:tcW w:w="243" w:type="pct"/>
          </w:tcPr>
          <w:p w:rsidR="001F1454" w:rsidRPr="001F1454" w:rsidRDefault="001F1454" w:rsidP="001F1454">
            <w:pPr>
              <w:jc w:val="both"/>
              <w:rPr>
                <w:sz w:val="20"/>
                <w:lang w:val="fr-CA"/>
              </w:rPr>
            </w:pPr>
          </w:p>
        </w:tc>
        <w:tc>
          <w:tcPr>
            <w:tcW w:w="2330" w:type="pct"/>
          </w:tcPr>
          <w:p w:rsidR="001F1454" w:rsidRPr="001F1454" w:rsidRDefault="001F1454" w:rsidP="001F1454">
            <w:pPr>
              <w:jc w:val="both"/>
              <w:rPr>
                <w:sz w:val="20"/>
                <w:lang w:val="fr-CA"/>
              </w:rPr>
            </w:pPr>
            <w:r w:rsidRPr="001F1454">
              <w:rPr>
                <w:sz w:val="20"/>
                <w:lang w:val="fr-CA"/>
              </w:rPr>
              <w:t>Rejet des appels.</w:t>
            </w:r>
          </w:p>
          <w:p w:rsidR="001F1454" w:rsidRPr="001F1454" w:rsidRDefault="001F1454" w:rsidP="001F1454">
            <w:pPr>
              <w:jc w:val="both"/>
              <w:rPr>
                <w:sz w:val="20"/>
                <w:lang w:val="fr-CA"/>
              </w:rPr>
            </w:pPr>
          </w:p>
        </w:tc>
      </w:tr>
      <w:tr w:rsidR="001F1454" w:rsidRPr="00462420" w:rsidTr="00E95A6A">
        <w:tc>
          <w:tcPr>
            <w:tcW w:w="2427" w:type="pct"/>
            <w:gridSpan w:val="2"/>
          </w:tcPr>
          <w:p w:rsidR="001F1454" w:rsidRPr="001F1454" w:rsidRDefault="001F1454" w:rsidP="001F1454">
            <w:pPr>
              <w:jc w:val="both"/>
              <w:rPr>
                <w:sz w:val="20"/>
                <w:lang w:val="fr-CA"/>
              </w:rPr>
            </w:pPr>
            <w:r w:rsidRPr="001F1454">
              <w:rPr>
                <w:sz w:val="20"/>
                <w:lang w:val="fr-CA"/>
              </w:rPr>
              <w:t>20 mars 2017</w:t>
            </w:r>
          </w:p>
          <w:p w:rsidR="001F1454" w:rsidRPr="001F1454" w:rsidRDefault="001F1454" w:rsidP="001F1454">
            <w:pPr>
              <w:jc w:val="both"/>
              <w:rPr>
                <w:sz w:val="20"/>
                <w:lang w:val="fr-CA"/>
              </w:rPr>
            </w:pPr>
            <w:r w:rsidRPr="001F1454">
              <w:rPr>
                <w:sz w:val="20"/>
                <w:lang w:val="fr-CA"/>
              </w:rPr>
              <w:t>Cour suprême du Canada</w:t>
            </w:r>
          </w:p>
        </w:tc>
        <w:tc>
          <w:tcPr>
            <w:tcW w:w="243" w:type="pct"/>
          </w:tcPr>
          <w:p w:rsidR="001F1454" w:rsidRPr="001F1454" w:rsidRDefault="001F1454" w:rsidP="001F1454">
            <w:pPr>
              <w:jc w:val="both"/>
              <w:rPr>
                <w:sz w:val="20"/>
                <w:lang w:val="fr-CA"/>
              </w:rPr>
            </w:pPr>
          </w:p>
        </w:tc>
        <w:tc>
          <w:tcPr>
            <w:tcW w:w="2330" w:type="pct"/>
          </w:tcPr>
          <w:p w:rsidR="001F1454" w:rsidRPr="001F1454" w:rsidRDefault="001F1454" w:rsidP="001F1454">
            <w:pPr>
              <w:jc w:val="both"/>
              <w:rPr>
                <w:sz w:val="20"/>
                <w:lang w:val="fr-CA"/>
              </w:rPr>
            </w:pPr>
            <w:r w:rsidRPr="001F1454">
              <w:rPr>
                <w:sz w:val="20"/>
                <w:lang w:val="fr-CA"/>
              </w:rPr>
              <w:t>Dépôt de la demande d’autorisation d’appel.</w:t>
            </w:r>
          </w:p>
          <w:p w:rsidR="001F1454" w:rsidRPr="001F1454" w:rsidRDefault="001F1454" w:rsidP="001F1454">
            <w:pPr>
              <w:jc w:val="both"/>
              <w:rPr>
                <w:sz w:val="20"/>
                <w:lang w:val="fr-CA"/>
              </w:rPr>
            </w:pPr>
          </w:p>
        </w:tc>
      </w:tr>
    </w:tbl>
    <w:p w:rsidR="001F1454" w:rsidRPr="001F1454" w:rsidRDefault="001F1454" w:rsidP="001F1454">
      <w:pPr>
        <w:jc w:val="both"/>
        <w:rPr>
          <w:sz w:val="20"/>
          <w:lang w:val="fr-CA"/>
        </w:rPr>
      </w:pPr>
    </w:p>
    <w:p w:rsidR="003952C2" w:rsidRPr="001F1454" w:rsidRDefault="003952C2" w:rsidP="001F145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454" w:rsidRPr="001F1454" w:rsidTr="00E95A6A">
        <w:tc>
          <w:tcPr>
            <w:tcW w:w="543" w:type="pct"/>
          </w:tcPr>
          <w:p w:rsidR="001F1454" w:rsidRPr="001F1454" w:rsidRDefault="001F1454" w:rsidP="001F1454">
            <w:pPr>
              <w:jc w:val="both"/>
              <w:rPr>
                <w:sz w:val="20"/>
              </w:rPr>
            </w:pPr>
            <w:r w:rsidRPr="001F1454">
              <w:rPr>
                <w:rStyle w:val="SCCFileNumberChar"/>
                <w:sz w:val="20"/>
                <w:szCs w:val="20"/>
              </w:rPr>
              <w:t>37537</w:t>
            </w:r>
          </w:p>
        </w:tc>
        <w:tc>
          <w:tcPr>
            <w:tcW w:w="4457" w:type="pct"/>
            <w:gridSpan w:val="3"/>
          </w:tcPr>
          <w:p w:rsidR="001F1454" w:rsidRPr="001F1454" w:rsidRDefault="001F1454" w:rsidP="001F1454">
            <w:pPr>
              <w:pStyle w:val="SCCLsocParty"/>
              <w:jc w:val="both"/>
              <w:rPr>
                <w:b/>
                <w:sz w:val="20"/>
                <w:szCs w:val="20"/>
                <w:lang w:val="en-US"/>
              </w:rPr>
            </w:pPr>
            <w:r w:rsidRPr="001F1454">
              <w:rPr>
                <w:b/>
                <w:sz w:val="20"/>
                <w:szCs w:val="20"/>
                <w:lang w:val="en-US"/>
              </w:rPr>
              <w:t xml:space="preserve">Kenneth F. Salomon, </w:t>
            </w:r>
            <w:proofErr w:type="spellStart"/>
            <w:r w:rsidRPr="001F1454">
              <w:rPr>
                <w:b/>
                <w:sz w:val="20"/>
                <w:szCs w:val="20"/>
                <w:lang w:val="en-US"/>
              </w:rPr>
              <w:t>Sternthal</w:t>
            </w:r>
            <w:proofErr w:type="spellEnd"/>
            <w:r w:rsidRPr="001F1454">
              <w:rPr>
                <w:b/>
                <w:sz w:val="20"/>
                <w:szCs w:val="20"/>
                <w:lang w:val="en-US"/>
              </w:rPr>
              <w:t xml:space="preserve"> </w:t>
            </w:r>
            <w:proofErr w:type="spellStart"/>
            <w:r w:rsidRPr="001F1454">
              <w:rPr>
                <w:b/>
                <w:sz w:val="20"/>
                <w:szCs w:val="20"/>
                <w:lang w:val="en-US"/>
              </w:rPr>
              <w:t>Katznelson</w:t>
            </w:r>
            <w:proofErr w:type="spellEnd"/>
            <w:r w:rsidRPr="001F1454">
              <w:rPr>
                <w:b/>
                <w:sz w:val="20"/>
                <w:szCs w:val="20"/>
                <w:lang w:val="en-US"/>
              </w:rPr>
              <w:t xml:space="preserve"> </w:t>
            </w:r>
            <w:proofErr w:type="spellStart"/>
            <w:r w:rsidRPr="001F1454">
              <w:rPr>
                <w:b/>
                <w:sz w:val="20"/>
                <w:szCs w:val="20"/>
                <w:lang w:val="en-US"/>
              </w:rPr>
              <w:t>Montigny</w:t>
            </w:r>
            <w:proofErr w:type="spellEnd"/>
            <w:r w:rsidRPr="001F1454">
              <w:rPr>
                <w:b/>
                <w:sz w:val="20"/>
                <w:szCs w:val="20"/>
                <w:lang w:val="en-US"/>
              </w:rPr>
              <w:t xml:space="preserve"> LLP v. Judith Matte-Thompson, 166376 Canada Inc.</w:t>
            </w:r>
          </w:p>
          <w:p w:rsidR="001F1454" w:rsidRPr="001F1454" w:rsidRDefault="001F1454" w:rsidP="001F1454">
            <w:pPr>
              <w:jc w:val="both"/>
              <w:rPr>
                <w:sz w:val="20"/>
              </w:rPr>
            </w:pPr>
            <w:r w:rsidRPr="001F1454">
              <w:rPr>
                <w:sz w:val="20"/>
              </w:rPr>
              <w:t>(Que.) (Civil) (By Leave)</w:t>
            </w:r>
          </w:p>
        </w:tc>
      </w:tr>
      <w:tr w:rsidR="001F1454" w:rsidRPr="001F1454" w:rsidTr="00E95A6A">
        <w:tc>
          <w:tcPr>
            <w:tcW w:w="5000" w:type="pct"/>
            <w:gridSpan w:val="4"/>
          </w:tcPr>
          <w:p w:rsidR="001F1454" w:rsidRPr="001F1454" w:rsidRDefault="001F1454" w:rsidP="001F1454">
            <w:pPr>
              <w:jc w:val="both"/>
              <w:rPr>
                <w:sz w:val="20"/>
              </w:rPr>
            </w:pPr>
            <w:r w:rsidRPr="001F1454">
              <w:rPr>
                <w:sz w:val="20"/>
              </w:rPr>
              <w:t>Law of professions – Professional liability – Lawyers – Duty to advise – Appeals – If a lawyer refers clients to, and expresses confidence in, a professional who later commits fraud, in what circumstances should the referring lawyer be held liable for the losses the client incurs as a result of the fraud? – Is the “</w:t>
            </w:r>
            <w:proofErr w:type="spellStart"/>
            <w:r w:rsidRPr="001F1454">
              <w:rPr>
                <w:i/>
                <w:iCs/>
                <w:sz w:val="20"/>
              </w:rPr>
              <w:t>prisme</w:t>
            </w:r>
            <w:proofErr w:type="spellEnd"/>
            <w:r w:rsidRPr="001F1454">
              <w:rPr>
                <w:i/>
                <w:iCs/>
                <w:sz w:val="20"/>
              </w:rPr>
              <w:t xml:space="preserve"> </w:t>
            </w:r>
            <w:proofErr w:type="spellStart"/>
            <w:r w:rsidRPr="001F1454">
              <w:rPr>
                <w:i/>
                <w:iCs/>
                <w:sz w:val="20"/>
              </w:rPr>
              <w:t>déformant</w:t>
            </w:r>
            <w:proofErr w:type="spellEnd"/>
            <w:r w:rsidRPr="001F1454">
              <w:rPr>
                <w:sz w:val="20"/>
              </w:rPr>
              <w:t>” consistent with the standard of palpable and overriding error, and if so, what are the guidelines and limits of its application?</w:t>
            </w:r>
          </w:p>
        </w:tc>
      </w:tr>
      <w:tr w:rsidR="001F1454" w:rsidRPr="001F1454" w:rsidTr="00E95A6A">
        <w:tc>
          <w:tcPr>
            <w:tcW w:w="5000" w:type="pct"/>
            <w:gridSpan w:val="4"/>
          </w:tcPr>
          <w:p w:rsidR="001F1454" w:rsidRPr="001F1454" w:rsidRDefault="001F1454" w:rsidP="001F1454">
            <w:pPr>
              <w:jc w:val="both"/>
              <w:rPr>
                <w:sz w:val="20"/>
              </w:rPr>
            </w:pPr>
          </w:p>
        </w:tc>
      </w:tr>
      <w:tr w:rsidR="001F1454" w:rsidRPr="001F1454" w:rsidTr="00E95A6A">
        <w:tc>
          <w:tcPr>
            <w:tcW w:w="5000" w:type="pct"/>
            <w:gridSpan w:val="4"/>
          </w:tcPr>
          <w:p w:rsidR="001F1454" w:rsidRPr="001F1454" w:rsidRDefault="001F1454" w:rsidP="001F1454">
            <w:pPr>
              <w:jc w:val="both"/>
              <w:rPr>
                <w:sz w:val="20"/>
              </w:rPr>
            </w:pPr>
            <w:r w:rsidRPr="001F1454">
              <w:rPr>
                <w:sz w:val="20"/>
              </w:rPr>
              <w:t>The Respondents, Ms. Judith Matte-Thompson and 166376 Canada Inc., invested millions of dollars with Mr. </w:t>
            </w:r>
            <w:proofErr w:type="spellStart"/>
            <w:r w:rsidRPr="001F1454">
              <w:rPr>
                <w:sz w:val="20"/>
              </w:rPr>
              <w:t>Thémistoklis</w:t>
            </w:r>
            <w:proofErr w:type="spellEnd"/>
            <w:r w:rsidRPr="001F1454">
              <w:rPr>
                <w:sz w:val="20"/>
              </w:rPr>
              <w:t xml:space="preserve"> Papadopoulos (“Papadopoulos”), a representative of </w:t>
            </w:r>
            <w:proofErr w:type="spellStart"/>
            <w:r w:rsidRPr="001F1454">
              <w:rPr>
                <w:sz w:val="20"/>
              </w:rPr>
              <w:t>Triglobal</w:t>
            </w:r>
            <w:proofErr w:type="spellEnd"/>
            <w:r w:rsidRPr="001F1454">
              <w:rPr>
                <w:sz w:val="20"/>
              </w:rPr>
              <w:t xml:space="preserve"> Capital Management Inc. The funds in which the Respondents invested – Focus and </w:t>
            </w:r>
            <w:proofErr w:type="spellStart"/>
            <w:r w:rsidRPr="001F1454">
              <w:rPr>
                <w:sz w:val="20"/>
              </w:rPr>
              <w:t>iVest</w:t>
            </w:r>
            <w:proofErr w:type="spellEnd"/>
            <w:r w:rsidRPr="001F1454">
              <w:rPr>
                <w:sz w:val="20"/>
              </w:rPr>
              <w:t xml:space="preserve"> – turned out to be a Ponzi scheme, Papadopoulos disappeared and the Respondents lost their investments.  The Respondents sued Papadopoulos and his associate Mario Bright, as well as the Applicants, Kenneth Salomon, Ms. Thompson’s lawyer who referred her to Papadopoulos, and his law firm, </w:t>
            </w:r>
            <w:proofErr w:type="spellStart"/>
            <w:r w:rsidRPr="001F1454">
              <w:rPr>
                <w:sz w:val="20"/>
              </w:rPr>
              <w:t>Sternthal</w:t>
            </w:r>
            <w:proofErr w:type="spellEnd"/>
            <w:r w:rsidRPr="001F1454">
              <w:rPr>
                <w:sz w:val="20"/>
              </w:rPr>
              <w:t xml:space="preserve"> </w:t>
            </w:r>
            <w:proofErr w:type="spellStart"/>
            <w:r w:rsidRPr="001F1454">
              <w:rPr>
                <w:sz w:val="20"/>
              </w:rPr>
              <w:t>Katznelson</w:t>
            </w:r>
            <w:proofErr w:type="spellEnd"/>
            <w:r w:rsidRPr="001F1454">
              <w:rPr>
                <w:sz w:val="20"/>
              </w:rPr>
              <w:t xml:space="preserve"> </w:t>
            </w:r>
            <w:proofErr w:type="spellStart"/>
            <w:r w:rsidRPr="001F1454">
              <w:rPr>
                <w:sz w:val="20"/>
              </w:rPr>
              <w:t>Montigny</w:t>
            </w:r>
            <w:proofErr w:type="spellEnd"/>
            <w:r w:rsidRPr="001F1454">
              <w:rPr>
                <w:sz w:val="20"/>
              </w:rPr>
              <w:t xml:space="preserve"> LLP.</w:t>
            </w:r>
          </w:p>
          <w:p w:rsidR="001F1454" w:rsidRPr="001F1454" w:rsidRDefault="001F1454" w:rsidP="001F1454">
            <w:pPr>
              <w:jc w:val="both"/>
              <w:rPr>
                <w:sz w:val="20"/>
              </w:rPr>
            </w:pPr>
          </w:p>
        </w:tc>
      </w:tr>
      <w:tr w:rsidR="001F1454" w:rsidRPr="001F1454" w:rsidTr="00E95A6A">
        <w:tc>
          <w:tcPr>
            <w:tcW w:w="2427" w:type="pct"/>
            <w:gridSpan w:val="2"/>
          </w:tcPr>
          <w:p w:rsidR="001F1454" w:rsidRPr="001F1454" w:rsidRDefault="001F1454" w:rsidP="001F1454">
            <w:pPr>
              <w:jc w:val="both"/>
              <w:rPr>
                <w:sz w:val="20"/>
              </w:rPr>
            </w:pPr>
            <w:r w:rsidRPr="001F1454">
              <w:rPr>
                <w:sz w:val="20"/>
              </w:rPr>
              <w:t>June 19, 2014</w:t>
            </w:r>
          </w:p>
          <w:p w:rsidR="001F1454" w:rsidRPr="001F1454" w:rsidRDefault="001F1454" w:rsidP="001F1454">
            <w:pPr>
              <w:jc w:val="both"/>
              <w:rPr>
                <w:sz w:val="20"/>
              </w:rPr>
            </w:pPr>
            <w:r w:rsidRPr="001F1454">
              <w:rPr>
                <w:sz w:val="20"/>
              </w:rPr>
              <w:t>Superior Court of Quebec</w:t>
            </w:r>
          </w:p>
          <w:p w:rsidR="001F1454" w:rsidRPr="001F1454" w:rsidRDefault="001F1454" w:rsidP="001F1454">
            <w:pPr>
              <w:jc w:val="both"/>
              <w:rPr>
                <w:sz w:val="20"/>
              </w:rPr>
            </w:pPr>
            <w:r w:rsidRPr="001F1454">
              <w:rPr>
                <w:sz w:val="20"/>
              </w:rPr>
              <w:t>(</w:t>
            </w:r>
            <w:proofErr w:type="spellStart"/>
            <w:r w:rsidRPr="001F1454">
              <w:rPr>
                <w:sz w:val="20"/>
              </w:rPr>
              <w:t>Dulude</w:t>
            </w:r>
            <w:proofErr w:type="spellEnd"/>
            <w:r w:rsidRPr="001F1454">
              <w:rPr>
                <w:sz w:val="20"/>
              </w:rPr>
              <w:t xml:space="preserve"> J.)</w:t>
            </w:r>
          </w:p>
          <w:p w:rsidR="001F1454" w:rsidRPr="001F1454" w:rsidRDefault="001F1454" w:rsidP="001F1454">
            <w:pPr>
              <w:jc w:val="both"/>
              <w:rPr>
                <w:sz w:val="20"/>
              </w:rPr>
            </w:pPr>
            <w:r w:rsidRPr="001F1454">
              <w:rPr>
                <w:sz w:val="20"/>
              </w:rPr>
              <w:t>No. 500-17-040927-082</w:t>
            </w:r>
          </w:p>
          <w:p w:rsidR="001F1454" w:rsidRPr="001F1454" w:rsidRDefault="00462420" w:rsidP="001F1454">
            <w:pPr>
              <w:jc w:val="both"/>
              <w:rPr>
                <w:sz w:val="20"/>
              </w:rPr>
            </w:pPr>
            <w:hyperlink r:id="rId17" w:history="1">
              <w:r w:rsidR="001F1454" w:rsidRPr="001F1454">
                <w:rPr>
                  <w:rStyle w:val="Hyperlink"/>
                  <w:sz w:val="20"/>
                </w:rPr>
                <w:t>2014 QCCS 3072</w:t>
              </w:r>
            </w:hyperlink>
          </w:p>
          <w:p w:rsidR="001F1454" w:rsidRPr="001F1454" w:rsidRDefault="001F1454" w:rsidP="001F1454">
            <w:pPr>
              <w:jc w:val="both"/>
              <w:rPr>
                <w:sz w:val="20"/>
              </w:rPr>
            </w:pPr>
          </w:p>
        </w:tc>
        <w:tc>
          <w:tcPr>
            <w:tcW w:w="243" w:type="pct"/>
          </w:tcPr>
          <w:p w:rsidR="001F1454" w:rsidRPr="001F1454" w:rsidRDefault="001F1454" w:rsidP="001F1454">
            <w:pPr>
              <w:jc w:val="both"/>
              <w:rPr>
                <w:sz w:val="20"/>
              </w:rPr>
            </w:pPr>
          </w:p>
        </w:tc>
        <w:tc>
          <w:tcPr>
            <w:tcW w:w="2330" w:type="pct"/>
          </w:tcPr>
          <w:p w:rsidR="001F1454" w:rsidRPr="001F1454" w:rsidRDefault="001F1454" w:rsidP="001F1454">
            <w:pPr>
              <w:jc w:val="both"/>
              <w:rPr>
                <w:sz w:val="20"/>
              </w:rPr>
            </w:pPr>
            <w:r w:rsidRPr="001F1454">
              <w:rPr>
                <w:sz w:val="20"/>
              </w:rPr>
              <w:t>Action against the Applicants dismissed.</w:t>
            </w:r>
          </w:p>
          <w:p w:rsidR="001F1454" w:rsidRPr="001F1454" w:rsidRDefault="001F1454" w:rsidP="001F1454">
            <w:pPr>
              <w:jc w:val="both"/>
              <w:rPr>
                <w:sz w:val="20"/>
              </w:rPr>
            </w:pPr>
          </w:p>
          <w:p w:rsidR="001F1454" w:rsidRPr="001F1454" w:rsidRDefault="001F1454" w:rsidP="001F1454">
            <w:pPr>
              <w:jc w:val="both"/>
              <w:rPr>
                <w:sz w:val="20"/>
              </w:rPr>
            </w:pPr>
          </w:p>
        </w:tc>
      </w:tr>
      <w:tr w:rsidR="001F1454" w:rsidRPr="001F1454" w:rsidTr="00E95A6A">
        <w:tc>
          <w:tcPr>
            <w:tcW w:w="2427" w:type="pct"/>
            <w:gridSpan w:val="2"/>
          </w:tcPr>
          <w:p w:rsidR="001F1454" w:rsidRPr="001F1454" w:rsidRDefault="001F1454" w:rsidP="001F1454">
            <w:pPr>
              <w:jc w:val="both"/>
              <w:rPr>
                <w:sz w:val="20"/>
              </w:rPr>
            </w:pPr>
            <w:r w:rsidRPr="001F1454">
              <w:rPr>
                <w:sz w:val="20"/>
              </w:rPr>
              <w:t>February 21, 2017</w:t>
            </w:r>
          </w:p>
          <w:p w:rsidR="001F1454" w:rsidRPr="001F1454" w:rsidRDefault="001F1454" w:rsidP="001F1454">
            <w:pPr>
              <w:jc w:val="both"/>
              <w:rPr>
                <w:sz w:val="20"/>
              </w:rPr>
            </w:pPr>
            <w:r w:rsidRPr="001F1454">
              <w:rPr>
                <w:sz w:val="20"/>
              </w:rPr>
              <w:t>Court of Appeal of Quebec (Montréal)</w:t>
            </w:r>
          </w:p>
          <w:p w:rsidR="001F1454" w:rsidRPr="001F1454" w:rsidRDefault="001F1454" w:rsidP="001F1454">
            <w:pPr>
              <w:jc w:val="both"/>
              <w:rPr>
                <w:sz w:val="20"/>
              </w:rPr>
            </w:pPr>
            <w:r w:rsidRPr="001F1454">
              <w:rPr>
                <w:sz w:val="20"/>
              </w:rPr>
              <w:t>(</w:t>
            </w:r>
            <w:proofErr w:type="spellStart"/>
            <w:r w:rsidRPr="001F1454">
              <w:rPr>
                <w:sz w:val="20"/>
              </w:rPr>
              <w:t>Kasirer</w:t>
            </w:r>
            <w:proofErr w:type="spellEnd"/>
            <w:r w:rsidRPr="001F1454">
              <w:rPr>
                <w:sz w:val="20"/>
              </w:rPr>
              <w:t xml:space="preserve">, </w:t>
            </w:r>
            <w:proofErr w:type="spellStart"/>
            <w:r w:rsidRPr="001F1454">
              <w:rPr>
                <w:sz w:val="20"/>
              </w:rPr>
              <w:t>Vauclair</w:t>
            </w:r>
            <w:proofErr w:type="spellEnd"/>
            <w:r w:rsidRPr="001F1454">
              <w:rPr>
                <w:sz w:val="20"/>
              </w:rPr>
              <w:t xml:space="preserve"> and Parent JJ.A.)</w:t>
            </w:r>
          </w:p>
          <w:p w:rsidR="001F1454" w:rsidRPr="001F1454" w:rsidRDefault="001F1454" w:rsidP="001F1454">
            <w:pPr>
              <w:jc w:val="both"/>
              <w:rPr>
                <w:sz w:val="20"/>
              </w:rPr>
            </w:pPr>
            <w:r w:rsidRPr="001F1454">
              <w:rPr>
                <w:sz w:val="20"/>
              </w:rPr>
              <w:t xml:space="preserve">No. </w:t>
            </w:r>
            <w:bookmarkStart w:id="1" w:name="NoDossier"/>
            <w:r w:rsidRPr="001F1454">
              <w:rPr>
                <w:sz w:val="20"/>
              </w:rPr>
              <w:t>500-09-024602-146</w:t>
            </w:r>
            <w:bookmarkEnd w:id="1"/>
          </w:p>
          <w:p w:rsidR="001F1454" w:rsidRPr="001F1454" w:rsidRDefault="00462420" w:rsidP="001F1454">
            <w:pPr>
              <w:jc w:val="both"/>
              <w:rPr>
                <w:rStyle w:val="Hyperlink"/>
                <w:sz w:val="20"/>
              </w:rPr>
            </w:pPr>
            <w:hyperlink r:id="rId18" w:history="1">
              <w:r w:rsidR="001F1454" w:rsidRPr="001F1454">
                <w:rPr>
                  <w:rStyle w:val="Hyperlink"/>
                  <w:sz w:val="20"/>
                </w:rPr>
                <w:t>2017 QCCA 273</w:t>
              </w:r>
            </w:hyperlink>
          </w:p>
          <w:p w:rsidR="001F1454" w:rsidRPr="001F1454" w:rsidRDefault="001F1454" w:rsidP="001F1454">
            <w:pPr>
              <w:jc w:val="both"/>
              <w:rPr>
                <w:sz w:val="20"/>
                <w:lang w:val="fr-FR"/>
              </w:rPr>
            </w:pPr>
          </w:p>
        </w:tc>
        <w:tc>
          <w:tcPr>
            <w:tcW w:w="243" w:type="pct"/>
          </w:tcPr>
          <w:p w:rsidR="001F1454" w:rsidRPr="001F1454" w:rsidRDefault="001F1454" w:rsidP="001F1454">
            <w:pPr>
              <w:jc w:val="both"/>
              <w:rPr>
                <w:sz w:val="20"/>
                <w:lang w:val="fr-FR"/>
              </w:rPr>
            </w:pPr>
          </w:p>
        </w:tc>
        <w:tc>
          <w:tcPr>
            <w:tcW w:w="2330" w:type="pct"/>
          </w:tcPr>
          <w:p w:rsidR="001F1454" w:rsidRPr="001F1454" w:rsidRDefault="001F1454" w:rsidP="001F1454">
            <w:pPr>
              <w:jc w:val="both"/>
              <w:rPr>
                <w:sz w:val="20"/>
              </w:rPr>
            </w:pPr>
            <w:r w:rsidRPr="001F1454">
              <w:rPr>
                <w:sz w:val="20"/>
              </w:rPr>
              <w:t>Appeal allowed.</w:t>
            </w:r>
          </w:p>
          <w:p w:rsidR="001F1454" w:rsidRPr="001F1454" w:rsidRDefault="001F1454" w:rsidP="001F1454">
            <w:pPr>
              <w:jc w:val="both"/>
              <w:rPr>
                <w:sz w:val="20"/>
              </w:rPr>
            </w:pPr>
          </w:p>
          <w:p w:rsidR="001F1454" w:rsidRPr="001F1454" w:rsidRDefault="001F1454" w:rsidP="001F1454">
            <w:pPr>
              <w:jc w:val="both"/>
              <w:rPr>
                <w:sz w:val="20"/>
              </w:rPr>
            </w:pPr>
          </w:p>
        </w:tc>
      </w:tr>
      <w:tr w:rsidR="001F1454" w:rsidRPr="001F1454" w:rsidTr="00E95A6A">
        <w:tc>
          <w:tcPr>
            <w:tcW w:w="2427" w:type="pct"/>
            <w:gridSpan w:val="2"/>
          </w:tcPr>
          <w:p w:rsidR="001F1454" w:rsidRPr="001F1454" w:rsidRDefault="001F1454" w:rsidP="001F1454">
            <w:pPr>
              <w:jc w:val="both"/>
              <w:rPr>
                <w:sz w:val="20"/>
              </w:rPr>
            </w:pPr>
            <w:r w:rsidRPr="001F1454">
              <w:rPr>
                <w:sz w:val="20"/>
              </w:rPr>
              <w:t>April 21, 2017</w:t>
            </w:r>
          </w:p>
          <w:p w:rsidR="001F1454" w:rsidRPr="001F1454" w:rsidRDefault="001F1454" w:rsidP="001F1454">
            <w:pPr>
              <w:jc w:val="both"/>
              <w:rPr>
                <w:sz w:val="20"/>
              </w:rPr>
            </w:pPr>
            <w:r w:rsidRPr="001F1454">
              <w:rPr>
                <w:sz w:val="20"/>
              </w:rPr>
              <w:t>Supreme Court of Canada</w:t>
            </w:r>
          </w:p>
        </w:tc>
        <w:tc>
          <w:tcPr>
            <w:tcW w:w="243" w:type="pct"/>
          </w:tcPr>
          <w:p w:rsidR="001F1454" w:rsidRPr="001F1454" w:rsidRDefault="001F1454" w:rsidP="001F1454">
            <w:pPr>
              <w:jc w:val="both"/>
              <w:rPr>
                <w:sz w:val="20"/>
              </w:rPr>
            </w:pPr>
          </w:p>
        </w:tc>
        <w:tc>
          <w:tcPr>
            <w:tcW w:w="2330" w:type="pct"/>
          </w:tcPr>
          <w:p w:rsidR="001F1454" w:rsidRPr="001F1454" w:rsidRDefault="001F1454" w:rsidP="001F1454">
            <w:pPr>
              <w:jc w:val="both"/>
              <w:rPr>
                <w:sz w:val="20"/>
              </w:rPr>
            </w:pPr>
            <w:r w:rsidRPr="001F1454">
              <w:rPr>
                <w:sz w:val="20"/>
              </w:rPr>
              <w:t>Application for leave to appeal filed.</w:t>
            </w:r>
          </w:p>
          <w:p w:rsidR="001F1454" w:rsidRPr="001F1454" w:rsidRDefault="001F1454" w:rsidP="001F1454">
            <w:pPr>
              <w:jc w:val="both"/>
              <w:rPr>
                <w:sz w:val="20"/>
              </w:rPr>
            </w:pPr>
          </w:p>
        </w:tc>
      </w:tr>
    </w:tbl>
    <w:p w:rsidR="001F1454" w:rsidRDefault="001F1454" w:rsidP="001F1454">
      <w:pPr>
        <w:jc w:val="both"/>
        <w:rPr>
          <w:sz w:val="20"/>
        </w:rPr>
      </w:pPr>
    </w:p>
    <w:p w:rsidR="001F1454" w:rsidRPr="001F1454" w:rsidRDefault="001F1454" w:rsidP="001F145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454" w:rsidRPr="001F1454" w:rsidTr="00E95A6A">
        <w:tc>
          <w:tcPr>
            <w:tcW w:w="543" w:type="pct"/>
          </w:tcPr>
          <w:p w:rsidR="001F1454" w:rsidRPr="001F1454" w:rsidRDefault="001F1454" w:rsidP="001F1454">
            <w:pPr>
              <w:jc w:val="both"/>
              <w:rPr>
                <w:sz w:val="20"/>
                <w:lang w:val="fr-CA"/>
              </w:rPr>
            </w:pPr>
            <w:r w:rsidRPr="001F1454">
              <w:rPr>
                <w:rStyle w:val="SCCFileNumberChar"/>
                <w:sz w:val="20"/>
                <w:szCs w:val="20"/>
                <w:lang w:val="fr-CA"/>
              </w:rPr>
              <w:t>37537</w:t>
            </w:r>
          </w:p>
        </w:tc>
        <w:tc>
          <w:tcPr>
            <w:tcW w:w="4457" w:type="pct"/>
            <w:gridSpan w:val="3"/>
          </w:tcPr>
          <w:p w:rsidR="001F1454" w:rsidRPr="001F1454" w:rsidRDefault="001F1454" w:rsidP="001F1454">
            <w:pPr>
              <w:pStyle w:val="SCCLsocParty"/>
              <w:jc w:val="both"/>
              <w:rPr>
                <w:b/>
                <w:sz w:val="20"/>
                <w:szCs w:val="20"/>
                <w:lang w:val="en-US"/>
              </w:rPr>
            </w:pPr>
            <w:r w:rsidRPr="001F1454">
              <w:rPr>
                <w:b/>
                <w:sz w:val="20"/>
                <w:szCs w:val="20"/>
                <w:lang w:val="en-US"/>
              </w:rPr>
              <w:t xml:space="preserve">Kenneth F. Salomon, </w:t>
            </w:r>
            <w:proofErr w:type="spellStart"/>
            <w:r w:rsidRPr="001F1454">
              <w:rPr>
                <w:b/>
                <w:sz w:val="20"/>
                <w:szCs w:val="20"/>
                <w:lang w:val="en-US"/>
              </w:rPr>
              <w:t>Sternthal</w:t>
            </w:r>
            <w:proofErr w:type="spellEnd"/>
            <w:r w:rsidRPr="001F1454">
              <w:rPr>
                <w:b/>
                <w:sz w:val="20"/>
                <w:szCs w:val="20"/>
                <w:lang w:val="en-US"/>
              </w:rPr>
              <w:t xml:space="preserve"> </w:t>
            </w:r>
            <w:proofErr w:type="spellStart"/>
            <w:r w:rsidRPr="001F1454">
              <w:rPr>
                <w:b/>
                <w:sz w:val="20"/>
                <w:szCs w:val="20"/>
                <w:lang w:val="en-US"/>
              </w:rPr>
              <w:t>Katznelson</w:t>
            </w:r>
            <w:proofErr w:type="spellEnd"/>
            <w:r w:rsidRPr="001F1454">
              <w:rPr>
                <w:b/>
                <w:sz w:val="20"/>
                <w:szCs w:val="20"/>
                <w:lang w:val="en-US"/>
              </w:rPr>
              <w:t xml:space="preserve"> </w:t>
            </w:r>
            <w:proofErr w:type="spellStart"/>
            <w:r w:rsidRPr="001F1454">
              <w:rPr>
                <w:b/>
                <w:sz w:val="20"/>
                <w:szCs w:val="20"/>
                <w:lang w:val="en-US"/>
              </w:rPr>
              <w:t>Montigny</w:t>
            </w:r>
            <w:proofErr w:type="spellEnd"/>
            <w:r w:rsidRPr="001F1454">
              <w:rPr>
                <w:b/>
                <w:sz w:val="20"/>
                <w:szCs w:val="20"/>
                <w:lang w:val="en-US"/>
              </w:rPr>
              <w:t xml:space="preserve"> LLP c. Judith Matte-Thompson, 166376 Canada Inc.</w:t>
            </w:r>
          </w:p>
          <w:p w:rsidR="001F1454" w:rsidRPr="001F1454" w:rsidRDefault="001F1454" w:rsidP="001F1454">
            <w:pPr>
              <w:jc w:val="both"/>
              <w:rPr>
                <w:sz w:val="20"/>
                <w:lang w:val="fr-CA"/>
              </w:rPr>
            </w:pPr>
            <w:r w:rsidRPr="001F1454">
              <w:rPr>
                <w:sz w:val="20"/>
                <w:lang w:val="fr-CA"/>
              </w:rPr>
              <w:t>(</w:t>
            </w:r>
            <w:proofErr w:type="spellStart"/>
            <w:r w:rsidRPr="001F1454">
              <w:rPr>
                <w:sz w:val="20"/>
                <w:lang w:val="fr-CA"/>
              </w:rPr>
              <w:t>Qué</w:t>
            </w:r>
            <w:proofErr w:type="spellEnd"/>
            <w:r w:rsidRPr="001F1454">
              <w:rPr>
                <w:sz w:val="20"/>
                <w:lang w:val="fr-CA"/>
              </w:rPr>
              <w:t>.) (Civile) (Sur autorisation)</w:t>
            </w:r>
          </w:p>
        </w:tc>
      </w:tr>
      <w:tr w:rsidR="001F1454" w:rsidRPr="00462420" w:rsidTr="00E95A6A">
        <w:tc>
          <w:tcPr>
            <w:tcW w:w="5000" w:type="pct"/>
            <w:gridSpan w:val="4"/>
          </w:tcPr>
          <w:p w:rsidR="001F1454" w:rsidRPr="001F1454" w:rsidRDefault="001F1454" w:rsidP="001F1454">
            <w:pPr>
              <w:jc w:val="both"/>
              <w:rPr>
                <w:sz w:val="20"/>
                <w:lang w:val="fr-CA"/>
              </w:rPr>
            </w:pPr>
            <w:r w:rsidRPr="001F1454">
              <w:rPr>
                <w:sz w:val="20"/>
                <w:lang w:val="fr-CA"/>
              </w:rPr>
              <w:lastRenderedPageBreak/>
              <w:t>Droit des professions – Responsabilité professionnelle – Avocats – Devoir de conseil – Appels – Si un avocat recommande à ses clients un professionnel en qui il dit avoir confiance, mais qui commet une fraude par la suite, dans quelles circonstances l’avocat doit-il être tenu responsable des pertes que le client subit à la suite de la fraude? – La notion de « </w:t>
            </w:r>
            <w:r w:rsidRPr="001F1454">
              <w:rPr>
                <w:iCs/>
                <w:sz w:val="20"/>
                <w:lang w:val="fr-CA"/>
              </w:rPr>
              <w:t>prisme déformant</w:t>
            </w:r>
            <w:r w:rsidRPr="001F1454">
              <w:rPr>
                <w:sz w:val="20"/>
                <w:lang w:val="fr-CA"/>
              </w:rPr>
              <w:t> » est-elle compatible avec la norme d’erreur manifeste et dominante et, dans l’affirmative, quelles sont les lignes directrices et limites de son application?</w:t>
            </w:r>
          </w:p>
        </w:tc>
      </w:tr>
      <w:tr w:rsidR="001F1454" w:rsidRPr="00462420" w:rsidTr="00E95A6A">
        <w:tc>
          <w:tcPr>
            <w:tcW w:w="5000" w:type="pct"/>
            <w:gridSpan w:val="4"/>
          </w:tcPr>
          <w:p w:rsidR="001F1454" w:rsidRPr="001F1454" w:rsidRDefault="001F1454" w:rsidP="001F1454">
            <w:pPr>
              <w:jc w:val="both"/>
              <w:rPr>
                <w:sz w:val="20"/>
                <w:lang w:val="fr-CA"/>
              </w:rPr>
            </w:pPr>
          </w:p>
        </w:tc>
      </w:tr>
      <w:tr w:rsidR="001F1454" w:rsidRPr="00462420" w:rsidTr="00E95A6A">
        <w:tc>
          <w:tcPr>
            <w:tcW w:w="5000" w:type="pct"/>
            <w:gridSpan w:val="4"/>
          </w:tcPr>
          <w:p w:rsidR="001F1454" w:rsidRPr="001F1454" w:rsidRDefault="001F1454" w:rsidP="001F1454">
            <w:pPr>
              <w:jc w:val="both"/>
              <w:rPr>
                <w:sz w:val="20"/>
                <w:lang w:val="fr-CA"/>
              </w:rPr>
            </w:pPr>
            <w:r w:rsidRPr="001F1454">
              <w:rPr>
                <w:sz w:val="20"/>
                <w:lang w:val="fr-CA"/>
              </w:rPr>
              <w:t>Les intimées, Mme Judith Matte-Thompson et 166376 Canada Inc., ont investi des millions de dollars chez M. </w:t>
            </w:r>
            <w:proofErr w:type="spellStart"/>
            <w:r w:rsidRPr="001F1454">
              <w:rPr>
                <w:sz w:val="20"/>
                <w:lang w:val="fr-CA"/>
              </w:rPr>
              <w:t>Thémistoklis</w:t>
            </w:r>
            <w:proofErr w:type="spellEnd"/>
            <w:r w:rsidRPr="001F1454">
              <w:rPr>
                <w:sz w:val="20"/>
                <w:lang w:val="fr-CA"/>
              </w:rPr>
              <w:t xml:space="preserve"> </w:t>
            </w:r>
            <w:proofErr w:type="spellStart"/>
            <w:r w:rsidRPr="001F1454">
              <w:rPr>
                <w:sz w:val="20"/>
                <w:lang w:val="fr-CA"/>
              </w:rPr>
              <w:t>Papadopoulos</w:t>
            </w:r>
            <w:proofErr w:type="spellEnd"/>
            <w:r w:rsidRPr="001F1454">
              <w:rPr>
                <w:sz w:val="20"/>
                <w:lang w:val="fr-CA"/>
              </w:rPr>
              <w:t xml:space="preserve"> (« M. </w:t>
            </w:r>
            <w:proofErr w:type="spellStart"/>
            <w:r w:rsidRPr="001F1454">
              <w:rPr>
                <w:sz w:val="20"/>
                <w:lang w:val="fr-CA"/>
              </w:rPr>
              <w:t>Papadopoulos</w:t>
            </w:r>
            <w:proofErr w:type="spellEnd"/>
            <w:r w:rsidRPr="001F1454">
              <w:rPr>
                <w:sz w:val="20"/>
                <w:lang w:val="fr-CA"/>
              </w:rPr>
              <w:t xml:space="preserve"> »), un représentant de </w:t>
            </w:r>
            <w:proofErr w:type="spellStart"/>
            <w:r w:rsidRPr="001F1454">
              <w:rPr>
                <w:sz w:val="20"/>
                <w:lang w:val="fr-CA"/>
              </w:rPr>
              <w:t>Triglobal</w:t>
            </w:r>
            <w:proofErr w:type="spellEnd"/>
            <w:r w:rsidRPr="001F1454">
              <w:rPr>
                <w:sz w:val="20"/>
                <w:lang w:val="fr-CA"/>
              </w:rPr>
              <w:t xml:space="preserve"> Capital Management Inc. Les fonds dans lesquels les intimées avaient investi – Focus et </w:t>
            </w:r>
            <w:proofErr w:type="spellStart"/>
            <w:r w:rsidRPr="001F1454">
              <w:rPr>
                <w:sz w:val="20"/>
                <w:lang w:val="fr-CA"/>
              </w:rPr>
              <w:t>iVest</w:t>
            </w:r>
            <w:proofErr w:type="spellEnd"/>
            <w:r w:rsidRPr="001F1454">
              <w:rPr>
                <w:sz w:val="20"/>
                <w:lang w:val="fr-CA"/>
              </w:rPr>
              <w:t xml:space="preserve"> – se sont révélés être une fraude à la </w:t>
            </w:r>
            <w:proofErr w:type="spellStart"/>
            <w:r w:rsidRPr="001F1454">
              <w:rPr>
                <w:sz w:val="20"/>
                <w:lang w:val="fr-CA"/>
              </w:rPr>
              <w:t>Ponzi</w:t>
            </w:r>
            <w:proofErr w:type="spellEnd"/>
            <w:r w:rsidRPr="001F1454">
              <w:rPr>
                <w:sz w:val="20"/>
                <w:lang w:val="fr-CA"/>
              </w:rPr>
              <w:t>, M. </w:t>
            </w:r>
            <w:proofErr w:type="spellStart"/>
            <w:r w:rsidRPr="001F1454">
              <w:rPr>
                <w:sz w:val="20"/>
                <w:lang w:val="fr-CA"/>
              </w:rPr>
              <w:t>Papadopoulos</w:t>
            </w:r>
            <w:proofErr w:type="spellEnd"/>
            <w:r w:rsidRPr="001F1454">
              <w:rPr>
                <w:sz w:val="20"/>
                <w:lang w:val="fr-CA"/>
              </w:rPr>
              <w:t xml:space="preserve"> a disparu et les intimées ont perdu leurs placements. Les intimées ont poursuivi M. </w:t>
            </w:r>
            <w:proofErr w:type="spellStart"/>
            <w:r w:rsidRPr="001F1454">
              <w:rPr>
                <w:sz w:val="20"/>
                <w:lang w:val="fr-CA"/>
              </w:rPr>
              <w:t>Papadopoulos</w:t>
            </w:r>
            <w:proofErr w:type="spellEnd"/>
            <w:r w:rsidRPr="001F1454">
              <w:rPr>
                <w:sz w:val="20"/>
                <w:lang w:val="fr-CA"/>
              </w:rPr>
              <w:t xml:space="preserve"> et son associé Mario Bright, ainsi que les demandeurs, Kenneth Salomon, l’avocat de Mme Thompson qui lui a recommandé M. </w:t>
            </w:r>
            <w:proofErr w:type="spellStart"/>
            <w:r w:rsidRPr="001F1454">
              <w:rPr>
                <w:sz w:val="20"/>
                <w:lang w:val="fr-CA"/>
              </w:rPr>
              <w:t>Papadopoulos</w:t>
            </w:r>
            <w:proofErr w:type="spellEnd"/>
            <w:r w:rsidRPr="001F1454">
              <w:rPr>
                <w:sz w:val="20"/>
                <w:lang w:val="fr-CA"/>
              </w:rPr>
              <w:t xml:space="preserve">, et son cabinet, </w:t>
            </w:r>
            <w:proofErr w:type="spellStart"/>
            <w:r w:rsidRPr="001F1454">
              <w:rPr>
                <w:sz w:val="20"/>
                <w:lang w:val="fr-CA"/>
              </w:rPr>
              <w:t>Sternthal</w:t>
            </w:r>
            <w:proofErr w:type="spellEnd"/>
            <w:r w:rsidRPr="001F1454">
              <w:rPr>
                <w:sz w:val="20"/>
                <w:lang w:val="fr-CA"/>
              </w:rPr>
              <w:t xml:space="preserve"> </w:t>
            </w:r>
            <w:proofErr w:type="spellStart"/>
            <w:r w:rsidRPr="001F1454">
              <w:rPr>
                <w:sz w:val="20"/>
                <w:lang w:val="fr-CA"/>
              </w:rPr>
              <w:t>Katznelson</w:t>
            </w:r>
            <w:proofErr w:type="spellEnd"/>
            <w:r w:rsidRPr="001F1454">
              <w:rPr>
                <w:sz w:val="20"/>
                <w:lang w:val="fr-CA"/>
              </w:rPr>
              <w:t xml:space="preserve"> Montigny LLP.</w:t>
            </w:r>
          </w:p>
          <w:p w:rsidR="001F1454" w:rsidRPr="001F1454" w:rsidRDefault="001F1454" w:rsidP="001F1454">
            <w:pPr>
              <w:jc w:val="both"/>
              <w:rPr>
                <w:sz w:val="20"/>
                <w:lang w:val="fr-CA"/>
              </w:rPr>
            </w:pPr>
          </w:p>
        </w:tc>
      </w:tr>
      <w:tr w:rsidR="001F1454" w:rsidRPr="00462420" w:rsidTr="00E95A6A">
        <w:tc>
          <w:tcPr>
            <w:tcW w:w="2427" w:type="pct"/>
            <w:gridSpan w:val="2"/>
          </w:tcPr>
          <w:p w:rsidR="001F1454" w:rsidRPr="001F1454" w:rsidRDefault="001F1454" w:rsidP="001F1454">
            <w:pPr>
              <w:jc w:val="both"/>
              <w:rPr>
                <w:sz w:val="20"/>
                <w:lang w:val="fr-CA"/>
              </w:rPr>
            </w:pPr>
            <w:r w:rsidRPr="001F1454">
              <w:rPr>
                <w:sz w:val="20"/>
                <w:lang w:val="fr-CA"/>
              </w:rPr>
              <w:t>19 juin 2014</w:t>
            </w:r>
          </w:p>
          <w:p w:rsidR="001F1454" w:rsidRPr="001F1454" w:rsidRDefault="001F1454" w:rsidP="001F1454">
            <w:pPr>
              <w:jc w:val="both"/>
              <w:rPr>
                <w:sz w:val="20"/>
                <w:lang w:val="fr-CA"/>
              </w:rPr>
            </w:pPr>
            <w:r w:rsidRPr="001F1454">
              <w:rPr>
                <w:sz w:val="20"/>
                <w:lang w:val="fr-CA"/>
              </w:rPr>
              <w:t>Cour supérieure du Québec</w:t>
            </w:r>
          </w:p>
          <w:p w:rsidR="001F1454" w:rsidRPr="001F1454" w:rsidRDefault="001F1454" w:rsidP="001F1454">
            <w:pPr>
              <w:jc w:val="both"/>
              <w:rPr>
                <w:sz w:val="20"/>
                <w:lang w:val="fr-CA"/>
              </w:rPr>
            </w:pPr>
            <w:r w:rsidRPr="001F1454">
              <w:rPr>
                <w:sz w:val="20"/>
                <w:lang w:val="fr-CA"/>
              </w:rPr>
              <w:t xml:space="preserve">(Juge </w:t>
            </w:r>
            <w:proofErr w:type="spellStart"/>
            <w:r w:rsidRPr="001F1454">
              <w:rPr>
                <w:sz w:val="20"/>
                <w:lang w:val="fr-CA"/>
              </w:rPr>
              <w:t>Dulude</w:t>
            </w:r>
            <w:proofErr w:type="spellEnd"/>
            <w:r w:rsidRPr="001F1454">
              <w:rPr>
                <w:sz w:val="20"/>
                <w:lang w:val="fr-CA"/>
              </w:rPr>
              <w:t>)</w:t>
            </w:r>
          </w:p>
          <w:p w:rsidR="001F1454" w:rsidRPr="001F1454" w:rsidRDefault="001F1454" w:rsidP="001F1454">
            <w:pPr>
              <w:jc w:val="both"/>
              <w:rPr>
                <w:sz w:val="20"/>
                <w:lang w:val="fr-CA"/>
              </w:rPr>
            </w:pPr>
            <w:r w:rsidRPr="001F1454">
              <w:rPr>
                <w:sz w:val="20"/>
                <w:lang w:val="fr-CA"/>
              </w:rPr>
              <w:t>N</w:t>
            </w:r>
            <w:r w:rsidRPr="001F1454">
              <w:rPr>
                <w:sz w:val="20"/>
                <w:vertAlign w:val="superscript"/>
                <w:lang w:val="fr-CA"/>
              </w:rPr>
              <w:t>o</w:t>
            </w:r>
            <w:r w:rsidRPr="001F1454">
              <w:rPr>
                <w:sz w:val="20"/>
                <w:lang w:val="fr-CA"/>
              </w:rPr>
              <w:t xml:space="preserve"> 500-17-040927-082</w:t>
            </w:r>
          </w:p>
          <w:p w:rsidR="001F1454" w:rsidRPr="001F1454" w:rsidRDefault="00462420" w:rsidP="001F1454">
            <w:pPr>
              <w:jc w:val="both"/>
              <w:rPr>
                <w:sz w:val="20"/>
                <w:lang w:val="fr-CA"/>
              </w:rPr>
            </w:pPr>
            <w:hyperlink r:id="rId19" w:history="1">
              <w:r w:rsidR="001F1454" w:rsidRPr="001F1454">
                <w:rPr>
                  <w:rStyle w:val="Hyperlink"/>
                  <w:sz w:val="20"/>
                  <w:lang w:val="fr-CA"/>
                </w:rPr>
                <w:t>2014 QCCS 3072</w:t>
              </w:r>
            </w:hyperlink>
          </w:p>
          <w:p w:rsidR="001F1454" w:rsidRPr="001F1454" w:rsidRDefault="001F1454" w:rsidP="001F1454">
            <w:pPr>
              <w:jc w:val="both"/>
              <w:rPr>
                <w:sz w:val="20"/>
                <w:lang w:val="fr-CA"/>
              </w:rPr>
            </w:pPr>
          </w:p>
        </w:tc>
        <w:tc>
          <w:tcPr>
            <w:tcW w:w="243" w:type="pct"/>
          </w:tcPr>
          <w:p w:rsidR="001F1454" w:rsidRPr="001F1454" w:rsidRDefault="001F1454" w:rsidP="001F1454">
            <w:pPr>
              <w:jc w:val="both"/>
              <w:rPr>
                <w:sz w:val="20"/>
                <w:lang w:val="fr-CA"/>
              </w:rPr>
            </w:pPr>
          </w:p>
        </w:tc>
        <w:tc>
          <w:tcPr>
            <w:tcW w:w="2330" w:type="pct"/>
          </w:tcPr>
          <w:p w:rsidR="001F1454" w:rsidRPr="001F1454" w:rsidRDefault="001F1454" w:rsidP="001F1454">
            <w:pPr>
              <w:jc w:val="both"/>
              <w:rPr>
                <w:sz w:val="20"/>
                <w:lang w:val="fr-CA"/>
              </w:rPr>
            </w:pPr>
            <w:r w:rsidRPr="001F1454">
              <w:rPr>
                <w:sz w:val="20"/>
                <w:lang w:val="fr-CA"/>
              </w:rPr>
              <w:t>Rejet de l’action contre les demandeurs.</w:t>
            </w:r>
          </w:p>
          <w:p w:rsidR="001F1454" w:rsidRPr="001F1454" w:rsidRDefault="001F1454" w:rsidP="001F1454">
            <w:pPr>
              <w:jc w:val="both"/>
              <w:rPr>
                <w:sz w:val="20"/>
                <w:lang w:val="fr-CA"/>
              </w:rPr>
            </w:pPr>
          </w:p>
          <w:p w:rsidR="001F1454" w:rsidRPr="001F1454" w:rsidRDefault="001F1454" w:rsidP="001F1454">
            <w:pPr>
              <w:jc w:val="both"/>
              <w:rPr>
                <w:sz w:val="20"/>
                <w:lang w:val="fr-CA"/>
              </w:rPr>
            </w:pPr>
          </w:p>
        </w:tc>
      </w:tr>
      <w:tr w:rsidR="001F1454" w:rsidRPr="001F1454" w:rsidTr="00E95A6A">
        <w:tc>
          <w:tcPr>
            <w:tcW w:w="2427" w:type="pct"/>
            <w:gridSpan w:val="2"/>
          </w:tcPr>
          <w:p w:rsidR="001F1454" w:rsidRPr="001F1454" w:rsidRDefault="001F1454" w:rsidP="001F1454">
            <w:pPr>
              <w:jc w:val="both"/>
              <w:rPr>
                <w:sz w:val="20"/>
                <w:lang w:val="fr-CA"/>
              </w:rPr>
            </w:pPr>
            <w:r w:rsidRPr="001F1454">
              <w:rPr>
                <w:sz w:val="20"/>
                <w:lang w:val="fr-CA"/>
              </w:rPr>
              <w:t>21 février 2017</w:t>
            </w:r>
          </w:p>
          <w:p w:rsidR="001F1454" w:rsidRPr="001F1454" w:rsidRDefault="001F1454" w:rsidP="001F1454">
            <w:pPr>
              <w:jc w:val="both"/>
              <w:rPr>
                <w:sz w:val="20"/>
                <w:lang w:val="fr-CA"/>
              </w:rPr>
            </w:pPr>
            <w:r w:rsidRPr="001F1454">
              <w:rPr>
                <w:sz w:val="20"/>
                <w:lang w:val="fr-CA"/>
              </w:rPr>
              <w:t>Cour d’appel du Québec (Montréal)</w:t>
            </w:r>
          </w:p>
          <w:p w:rsidR="001F1454" w:rsidRPr="001F1454" w:rsidRDefault="001F1454" w:rsidP="001F1454">
            <w:pPr>
              <w:jc w:val="both"/>
              <w:rPr>
                <w:sz w:val="20"/>
                <w:lang w:val="fr-CA"/>
              </w:rPr>
            </w:pPr>
            <w:r w:rsidRPr="001F1454">
              <w:rPr>
                <w:sz w:val="20"/>
                <w:lang w:val="fr-CA"/>
              </w:rPr>
              <w:t xml:space="preserve">(Juges </w:t>
            </w:r>
            <w:proofErr w:type="spellStart"/>
            <w:r w:rsidRPr="001F1454">
              <w:rPr>
                <w:sz w:val="20"/>
                <w:lang w:val="fr-CA"/>
              </w:rPr>
              <w:t>Kasirer</w:t>
            </w:r>
            <w:proofErr w:type="spellEnd"/>
            <w:r w:rsidRPr="001F1454">
              <w:rPr>
                <w:sz w:val="20"/>
                <w:lang w:val="fr-CA"/>
              </w:rPr>
              <w:t xml:space="preserve">, </w:t>
            </w:r>
            <w:proofErr w:type="spellStart"/>
            <w:r w:rsidRPr="001F1454">
              <w:rPr>
                <w:sz w:val="20"/>
                <w:lang w:val="fr-CA"/>
              </w:rPr>
              <w:t>Vauclair</w:t>
            </w:r>
            <w:proofErr w:type="spellEnd"/>
            <w:r w:rsidRPr="001F1454">
              <w:rPr>
                <w:sz w:val="20"/>
                <w:lang w:val="fr-CA"/>
              </w:rPr>
              <w:t xml:space="preserve"> et Parent)</w:t>
            </w:r>
          </w:p>
          <w:p w:rsidR="001F1454" w:rsidRPr="001F1454" w:rsidRDefault="001F1454" w:rsidP="001F1454">
            <w:pPr>
              <w:jc w:val="both"/>
              <w:rPr>
                <w:sz w:val="20"/>
                <w:lang w:val="fr-CA"/>
              </w:rPr>
            </w:pPr>
            <w:r w:rsidRPr="001F1454">
              <w:rPr>
                <w:sz w:val="20"/>
                <w:lang w:val="fr-CA"/>
              </w:rPr>
              <w:t>N</w:t>
            </w:r>
            <w:r w:rsidRPr="001F1454">
              <w:rPr>
                <w:sz w:val="20"/>
                <w:vertAlign w:val="superscript"/>
                <w:lang w:val="fr-CA"/>
              </w:rPr>
              <w:t>o</w:t>
            </w:r>
            <w:r w:rsidRPr="001F1454">
              <w:rPr>
                <w:sz w:val="20"/>
                <w:lang w:val="fr-CA"/>
              </w:rPr>
              <w:t xml:space="preserve"> 500-09-024602-146</w:t>
            </w:r>
          </w:p>
          <w:p w:rsidR="001F1454" w:rsidRPr="001F1454" w:rsidRDefault="00462420" w:rsidP="001F1454">
            <w:pPr>
              <w:jc w:val="both"/>
              <w:rPr>
                <w:rStyle w:val="Hyperlink"/>
                <w:sz w:val="20"/>
                <w:lang w:val="fr-CA"/>
              </w:rPr>
            </w:pPr>
            <w:hyperlink r:id="rId20" w:history="1">
              <w:r w:rsidR="001F1454" w:rsidRPr="001F1454">
                <w:rPr>
                  <w:rStyle w:val="Hyperlink"/>
                  <w:sz w:val="20"/>
                  <w:lang w:val="fr-CA"/>
                </w:rPr>
                <w:t>2017 QCCA 273</w:t>
              </w:r>
            </w:hyperlink>
          </w:p>
          <w:p w:rsidR="001F1454" w:rsidRPr="001F1454" w:rsidRDefault="001F1454" w:rsidP="001F1454">
            <w:pPr>
              <w:jc w:val="both"/>
              <w:rPr>
                <w:sz w:val="20"/>
                <w:lang w:val="fr-CA"/>
              </w:rPr>
            </w:pPr>
          </w:p>
        </w:tc>
        <w:tc>
          <w:tcPr>
            <w:tcW w:w="243" w:type="pct"/>
          </w:tcPr>
          <w:p w:rsidR="001F1454" w:rsidRPr="001F1454" w:rsidRDefault="001F1454" w:rsidP="001F1454">
            <w:pPr>
              <w:jc w:val="both"/>
              <w:rPr>
                <w:sz w:val="20"/>
                <w:lang w:val="fr-CA"/>
              </w:rPr>
            </w:pPr>
          </w:p>
        </w:tc>
        <w:tc>
          <w:tcPr>
            <w:tcW w:w="2330" w:type="pct"/>
          </w:tcPr>
          <w:p w:rsidR="001F1454" w:rsidRPr="001F1454" w:rsidRDefault="001F1454" w:rsidP="001F1454">
            <w:pPr>
              <w:jc w:val="both"/>
              <w:rPr>
                <w:sz w:val="20"/>
                <w:lang w:val="fr-CA"/>
              </w:rPr>
            </w:pPr>
            <w:r w:rsidRPr="001F1454">
              <w:rPr>
                <w:sz w:val="20"/>
                <w:lang w:val="fr-CA"/>
              </w:rPr>
              <w:t>Arrêt accueillant l’appel.</w:t>
            </w:r>
          </w:p>
          <w:p w:rsidR="001F1454" w:rsidRPr="001F1454" w:rsidRDefault="001F1454" w:rsidP="001F1454">
            <w:pPr>
              <w:jc w:val="both"/>
              <w:rPr>
                <w:sz w:val="20"/>
                <w:lang w:val="fr-CA"/>
              </w:rPr>
            </w:pPr>
          </w:p>
          <w:p w:rsidR="001F1454" w:rsidRPr="001F1454" w:rsidRDefault="001F1454" w:rsidP="001F1454">
            <w:pPr>
              <w:jc w:val="both"/>
              <w:rPr>
                <w:sz w:val="20"/>
                <w:lang w:val="fr-CA"/>
              </w:rPr>
            </w:pPr>
          </w:p>
        </w:tc>
      </w:tr>
      <w:tr w:rsidR="001F1454" w:rsidRPr="00462420" w:rsidTr="00E95A6A">
        <w:tc>
          <w:tcPr>
            <w:tcW w:w="2427" w:type="pct"/>
            <w:gridSpan w:val="2"/>
          </w:tcPr>
          <w:p w:rsidR="001F1454" w:rsidRPr="001F1454" w:rsidRDefault="001F1454" w:rsidP="001F1454">
            <w:pPr>
              <w:jc w:val="both"/>
              <w:rPr>
                <w:sz w:val="20"/>
                <w:lang w:val="fr-CA"/>
              </w:rPr>
            </w:pPr>
            <w:r w:rsidRPr="001F1454">
              <w:rPr>
                <w:sz w:val="20"/>
                <w:lang w:val="fr-CA"/>
              </w:rPr>
              <w:t>21 avril 2017</w:t>
            </w:r>
          </w:p>
          <w:p w:rsidR="001F1454" w:rsidRPr="001F1454" w:rsidRDefault="001F1454" w:rsidP="001F1454">
            <w:pPr>
              <w:jc w:val="both"/>
              <w:rPr>
                <w:sz w:val="20"/>
                <w:lang w:val="fr-CA"/>
              </w:rPr>
            </w:pPr>
            <w:r w:rsidRPr="001F1454">
              <w:rPr>
                <w:sz w:val="20"/>
                <w:lang w:val="fr-CA"/>
              </w:rPr>
              <w:t>Cour suprême du Canada</w:t>
            </w:r>
          </w:p>
        </w:tc>
        <w:tc>
          <w:tcPr>
            <w:tcW w:w="243" w:type="pct"/>
          </w:tcPr>
          <w:p w:rsidR="001F1454" w:rsidRPr="001F1454" w:rsidRDefault="001F1454" w:rsidP="001F1454">
            <w:pPr>
              <w:jc w:val="both"/>
              <w:rPr>
                <w:sz w:val="20"/>
                <w:lang w:val="fr-CA"/>
              </w:rPr>
            </w:pPr>
          </w:p>
        </w:tc>
        <w:tc>
          <w:tcPr>
            <w:tcW w:w="2330" w:type="pct"/>
          </w:tcPr>
          <w:p w:rsidR="001F1454" w:rsidRPr="001F1454" w:rsidRDefault="001F1454" w:rsidP="001F1454">
            <w:pPr>
              <w:jc w:val="both"/>
              <w:rPr>
                <w:sz w:val="20"/>
                <w:lang w:val="fr-CA"/>
              </w:rPr>
            </w:pPr>
            <w:r w:rsidRPr="001F1454">
              <w:rPr>
                <w:sz w:val="20"/>
                <w:lang w:val="fr-CA"/>
              </w:rPr>
              <w:t>Dépôt de la demande d’autorisation d’appel.</w:t>
            </w:r>
          </w:p>
          <w:p w:rsidR="001F1454" w:rsidRPr="001F1454" w:rsidRDefault="001F1454" w:rsidP="001F1454">
            <w:pPr>
              <w:jc w:val="both"/>
              <w:rPr>
                <w:sz w:val="20"/>
                <w:lang w:val="fr-CA"/>
              </w:rPr>
            </w:pPr>
          </w:p>
        </w:tc>
      </w:tr>
    </w:tbl>
    <w:p w:rsidR="003952C2" w:rsidRPr="001F1454" w:rsidRDefault="003952C2" w:rsidP="00A169B5">
      <w:pPr>
        <w:tabs>
          <w:tab w:val="left" w:pos="900"/>
          <w:tab w:val="center" w:pos="5760"/>
        </w:tabs>
        <w:ind w:left="360" w:hanging="360"/>
        <w:rPr>
          <w:sz w:val="20"/>
          <w:lang w:val="fr-CA"/>
        </w:rPr>
      </w:pPr>
    </w:p>
    <w:p w:rsidR="003952C2" w:rsidRPr="001F1454" w:rsidRDefault="003952C2" w:rsidP="00A169B5">
      <w:pPr>
        <w:tabs>
          <w:tab w:val="left" w:pos="900"/>
          <w:tab w:val="center" w:pos="5760"/>
        </w:tabs>
        <w:ind w:left="360" w:hanging="360"/>
        <w:rPr>
          <w:sz w:val="20"/>
          <w:lang w:val="fr-CA"/>
        </w:rPr>
      </w:pPr>
    </w:p>
    <w:p w:rsidR="00691CDA" w:rsidRPr="001F1454" w:rsidRDefault="00691CDA" w:rsidP="00A169B5">
      <w:pPr>
        <w:tabs>
          <w:tab w:val="left" w:pos="900"/>
          <w:tab w:val="center" w:pos="5760"/>
        </w:tabs>
        <w:ind w:left="360" w:hanging="360"/>
        <w:rPr>
          <w:sz w:val="20"/>
          <w:lang w:val="fr-CA"/>
        </w:rPr>
      </w:pPr>
    </w:p>
    <w:p w:rsidR="00D3344A" w:rsidRPr="00C06879" w:rsidRDefault="00D3344A" w:rsidP="00D3344A">
      <w:pPr>
        <w:widowControl w:val="0"/>
        <w:outlineLvl w:val="0"/>
      </w:pPr>
      <w:r w:rsidRPr="00C06879">
        <w:t xml:space="preserve">Supreme Court of Canada / Cour suprême du </w:t>
      </w:r>
      <w:proofErr w:type="gramStart"/>
      <w:r w:rsidRPr="00C06879">
        <w:t>Canad</w:t>
      </w:r>
      <w:r w:rsidR="00EE289F" w:rsidRPr="00C06879">
        <w:t>a</w:t>
      </w:r>
      <w:r w:rsidRPr="00C06879">
        <w:t xml:space="preserve"> :</w:t>
      </w:r>
      <w:proofErr w:type="gramEnd"/>
    </w:p>
    <w:p w:rsidR="00D3344A" w:rsidRPr="00C06879" w:rsidRDefault="00462420" w:rsidP="00D3344A">
      <w:pPr>
        <w:widowControl w:val="0"/>
        <w:outlineLvl w:val="0"/>
        <w:rPr>
          <w:u w:val="single"/>
        </w:rPr>
      </w:pPr>
      <w:hyperlink r:id="rId21" w:history="1">
        <w:r w:rsidR="009B7391" w:rsidRPr="00C06879">
          <w:rPr>
            <w:rStyle w:val="Hyperlink"/>
          </w:rPr>
          <w:t>comments-commentaires@scc-csc.ca</w:t>
        </w:r>
      </w:hyperlink>
    </w:p>
    <w:p w:rsidR="00D3344A" w:rsidRPr="00C06879" w:rsidRDefault="0065588C" w:rsidP="00D3344A">
      <w:pPr>
        <w:widowControl w:val="0"/>
        <w:outlineLvl w:val="0"/>
      </w:pPr>
      <w:r w:rsidRPr="00C06879">
        <w:t>613-</w:t>
      </w:r>
      <w:r w:rsidR="00D3344A" w:rsidRPr="00C06879">
        <w:t>995-4330</w:t>
      </w:r>
    </w:p>
    <w:p w:rsidR="00497B5E" w:rsidRPr="00C06879" w:rsidRDefault="00497B5E" w:rsidP="00497B5E">
      <w:pPr>
        <w:widowControl w:val="0"/>
        <w:rPr>
          <w:sz w:val="20"/>
        </w:rPr>
      </w:pPr>
    </w:p>
    <w:p w:rsidR="00F6251B" w:rsidRPr="006E558B" w:rsidRDefault="003F43E6" w:rsidP="00F6251B">
      <w:pPr>
        <w:pStyle w:val="Footer"/>
        <w:jc w:val="center"/>
      </w:pPr>
      <w:r w:rsidRPr="00C06879">
        <w:t>- 30 -</w:t>
      </w:r>
    </w:p>
    <w:p w:rsidR="00F6251B" w:rsidRPr="006E558B" w:rsidRDefault="00F6251B" w:rsidP="00F6251B">
      <w:pPr>
        <w:pStyle w:val="Footer"/>
        <w:jc w:val="center"/>
      </w:pPr>
    </w:p>
    <w:sectPr w:rsidR="00F6251B" w:rsidRPr="006E558B" w:rsidSect="0052482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3"/>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7"/>
  </w:num>
  <w:num w:numId="12">
    <w:abstractNumId w:val="11"/>
  </w:num>
  <w:num w:numId="13">
    <w:abstractNumId w:val="5"/>
  </w:num>
  <w:num w:numId="14">
    <w:abstractNumId w:val="2"/>
  </w:num>
  <w:num w:numId="15">
    <w:abstractNumId w:val="15"/>
  </w:num>
  <w:num w:numId="16">
    <w:abstractNumId w:val="3"/>
  </w:num>
  <w:num w:numId="17">
    <w:abstractNumId w:val="8"/>
  </w:num>
  <w:num w:numId="18">
    <w:abstractNumId w:val="16"/>
  </w:num>
  <w:num w:numId="1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4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454"/>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4E5A"/>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2C2"/>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2420"/>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40AB"/>
    <w:rsid w:val="004F47F7"/>
    <w:rsid w:val="004F5AD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A6AB9"/>
    <w:rsid w:val="005B0AAB"/>
    <w:rsid w:val="005B3F91"/>
    <w:rsid w:val="005B409A"/>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35B"/>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601"/>
    <w:rsid w:val="006A7D6E"/>
    <w:rsid w:val="006A7FA7"/>
    <w:rsid w:val="006B0634"/>
    <w:rsid w:val="006B0F9B"/>
    <w:rsid w:val="006B1C34"/>
    <w:rsid w:val="006B1FF1"/>
    <w:rsid w:val="006B293F"/>
    <w:rsid w:val="006B34DE"/>
    <w:rsid w:val="006B35F3"/>
    <w:rsid w:val="006B40C1"/>
    <w:rsid w:val="006B5F49"/>
    <w:rsid w:val="006B60A2"/>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3924"/>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168C8"/>
    <w:rsid w:val="00A169B5"/>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169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536"/>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1F1454"/>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F1454"/>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504" TargetMode="External"/><Relationship Id="rId13" Type="http://schemas.openxmlformats.org/officeDocument/2006/relationships/hyperlink" Target="https://www.canlii.org/en/on/onsc/doc/2016/2016onsc3211/2016onsc3211.pdf" TargetMode="External"/><Relationship Id="rId18" Type="http://schemas.openxmlformats.org/officeDocument/2006/relationships/hyperlink" Target="https://www.canlii.org/fr/qc/qcca/doc/2017/2017qcca273/2017qcca273.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canlii.org/fr/qc/qcca/doc/2017/2017qcca181/2017qcca181.html?resultIndex=1" TargetMode="External"/><Relationship Id="rId17" Type="http://schemas.openxmlformats.org/officeDocument/2006/relationships/hyperlink" Target="https://www.canlii.org/en/qc/qccs/doc/2014/2014qccs3072/2014qccs3072.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on/onca/doc/2017/2017onca32/2017onca32.pdf" TargetMode="External"/><Relationship Id="rId20" Type="http://schemas.openxmlformats.org/officeDocument/2006/relationships/hyperlink" Target="https://www.canlii.org/fr/qc/qcca/doc/2017/2017qcca273/2017qcca27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qcca/doc/2017/2017qcca181/2017qcca181.html?resultIndex=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en/on/onsc/doc/2016/2016onsc3211/2016onsc3211.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cc-csc.ca/case-dossier/info/sum-som-eng.aspx?cas=37537" TargetMode="External"/><Relationship Id="rId19" Type="http://schemas.openxmlformats.org/officeDocument/2006/relationships/hyperlink" Target="https://www.canlii.org/en/qc/qccs/doc/2014/2014qccs3072/2014qccs3072.html" TargetMode="External"/><Relationship Id="rId4" Type="http://schemas.openxmlformats.org/officeDocument/2006/relationships/settings" Target="settings.xml"/><Relationship Id="rId9" Type="http://schemas.openxmlformats.org/officeDocument/2006/relationships/hyperlink" Target="http://www.scc-csc.ca/case-dossier/info/sum-som-eng.aspx?cas=37494" TargetMode="External"/><Relationship Id="rId14" Type="http://schemas.openxmlformats.org/officeDocument/2006/relationships/hyperlink" Target="https://www.canlii.org/en/on/onca/doc/2017/2017onca32/2017onca32.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59287-EE50-40A1-9F50-B4A369A6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2017-10-05T18:14:00Z</dcterms:created>
  <dcterms:modified xsi:type="dcterms:W3CDTF">2017-10-10T13:50:00Z</dcterms:modified>
</cp:coreProperties>
</file>