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50007" w:rsidRDefault="003F43E6" w:rsidP="003F43E6">
      <w:pPr>
        <w:pStyle w:val="Header"/>
        <w:jc w:val="center"/>
        <w:rPr>
          <w:b/>
          <w:sz w:val="32"/>
        </w:rPr>
      </w:pPr>
      <w:r w:rsidRPr="00F50007">
        <w:rPr>
          <w:b/>
          <w:sz w:val="32"/>
        </w:rPr>
        <w:t>Supreme Court of Canada / Cour suprême du Canada</w:t>
      </w:r>
    </w:p>
    <w:p w:rsidR="003F43E6" w:rsidRPr="00F50007" w:rsidRDefault="003F43E6" w:rsidP="006F2579">
      <w:pPr>
        <w:widowControl w:val="0"/>
        <w:rPr>
          <w:i/>
        </w:rPr>
      </w:pPr>
    </w:p>
    <w:p w:rsidR="003F43E6" w:rsidRPr="00F50007" w:rsidRDefault="003F43E6" w:rsidP="006F2579">
      <w:pPr>
        <w:widowControl w:val="0"/>
        <w:rPr>
          <w:i/>
        </w:rPr>
      </w:pPr>
    </w:p>
    <w:p w:rsidR="006F2579" w:rsidRPr="00F50007" w:rsidRDefault="006F2579" w:rsidP="006F2579">
      <w:pPr>
        <w:widowControl w:val="0"/>
        <w:rPr>
          <w:i/>
        </w:rPr>
      </w:pPr>
      <w:r w:rsidRPr="00F50007">
        <w:rPr>
          <w:i/>
        </w:rPr>
        <w:t>(le français suit)</w:t>
      </w:r>
    </w:p>
    <w:p w:rsidR="006F2579" w:rsidRPr="00F50007" w:rsidRDefault="006F2579" w:rsidP="006F2579">
      <w:pPr>
        <w:widowControl w:val="0"/>
      </w:pPr>
    </w:p>
    <w:p w:rsidR="006F2579" w:rsidRPr="00F50007" w:rsidRDefault="00D01D61" w:rsidP="006F2579">
      <w:pPr>
        <w:widowControl w:val="0"/>
        <w:jc w:val="center"/>
        <w:rPr>
          <w:b/>
        </w:rPr>
      </w:pPr>
      <w:r w:rsidRPr="00F50007">
        <w:fldChar w:fldCharType="begin"/>
      </w:r>
      <w:r w:rsidR="006F2579" w:rsidRPr="00F50007">
        <w:instrText xml:space="preserve"> SEQ CHAPTER \h \r 1</w:instrText>
      </w:r>
      <w:r w:rsidRPr="00F50007">
        <w:fldChar w:fldCharType="end"/>
      </w:r>
      <w:r w:rsidR="002767DF" w:rsidRPr="00F50007">
        <w:rPr>
          <w:b/>
        </w:rPr>
        <w:t xml:space="preserve">JUDGMENTS </w:t>
      </w:r>
      <w:r w:rsidR="004C4C26" w:rsidRPr="00F50007">
        <w:rPr>
          <w:b/>
        </w:rPr>
        <w:t>IN APPEAL AND LEAVE APPLICATION</w:t>
      </w:r>
      <w:r w:rsidR="00A35C4D" w:rsidRPr="00F50007">
        <w:rPr>
          <w:b/>
        </w:rPr>
        <w:t>S</w:t>
      </w:r>
    </w:p>
    <w:p w:rsidR="006F2579" w:rsidRPr="00F50007" w:rsidRDefault="006F2579" w:rsidP="006F2579">
      <w:pPr>
        <w:widowControl w:val="0"/>
        <w:rPr>
          <w:b/>
        </w:rPr>
      </w:pPr>
    </w:p>
    <w:p w:rsidR="006F2579" w:rsidRPr="00F50007" w:rsidRDefault="00352C8A" w:rsidP="006F2579">
      <w:pPr>
        <w:widowControl w:val="0"/>
        <w:rPr>
          <w:b/>
        </w:rPr>
      </w:pPr>
      <w:r w:rsidRPr="00F50007">
        <w:rPr>
          <w:b/>
        </w:rPr>
        <w:t>Decem</w:t>
      </w:r>
      <w:r w:rsidR="001D2E61" w:rsidRPr="00F50007">
        <w:rPr>
          <w:b/>
        </w:rPr>
        <w:t>ber</w:t>
      </w:r>
      <w:r w:rsidR="00372704" w:rsidRPr="00F50007">
        <w:rPr>
          <w:b/>
        </w:rPr>
        <w:t xml:space="preserve"> </w:t>
      </w:r>
      <w:r w:rsidRPr="00F50007">
        <w:rPr>
          <w:b/>
        </w:rPr>
        <w:t>14</w:t>
      </w:r>
      <w:r w:rsidR="002E4682" w:rsidRPr="00F50007">
        <w:rPr>
          <w:b/>
        </w:rPr>
        <w:t>, 201</w:t>
      </w:r>
      <w:r w:rsidR="003E7FB7" w:rsidRPr="00F50007">
        <w:rPr>
          <w:b/>
        </w:rPr>
        <w:t>7</w:t>
      </w:r>
    </w:p>
    <w:p w:rsidR="006F2579" w:rsidRPr="00F50007" w:rsidRDefault="006F2579" w:rsidP="006F2579">
      <w:pPr>
        <w:widowControl w:val="0"/>
        <w:rPr>
          <w:b/>
        </w:rPr>
      </w:pPr>
      <w:r w:rsidRPr="00F50007">
        <w:rPr>
          <w:b/>
        </w:rPr>
        <w:t>For immediate release</w:t>
      </w:r>
    </w:p>
    <w:p w:rsidR="006F2579" w:rsidRPr="00F50007" w:rsidRDefault="006F2579" w:rsidP="006F2579">
      <w:pPr>
        <w:widowControl w:val="0"/>
      </w:pPr>
    </w:p>
    <w:p w:rsidR="002767DF" w:rsidRPr="00F50007" w:rsidRDefault="002767DF" w:rsidP="002767DF">
      <w:pPr>
        <w:widowControl w:val="0"/>
      </w:pPr>
      <w:r w:rsidRPr="00F50007">
        <w:rPr>
          <w:b/>
        </w:rPr>
        <w:t>OTTAWA</w:t>
      </w:r>
      <w:r w:rsidRPr="00F50007">
        <w:t xml:space="preserve"> – The Supreme Court of Canada has today deposited with the Registrar judgment in the following appeal and application</w:t>
      </w:r>
      <w:r w:rsidR="00CC044F" w:rsidRPr="00F50007">
        <w:t>s</w:t>
      </w:r>
      <w:r w:rsidRPr="00F50007">
        <w:t xml:space="preserve"> for leave to appeal.</w:t>
      </w:r>
    </w:p>
    <w:p w:rsidR="006F2579" w:rsidRPr="00F50007" w:rsidRDefault="006F2579" w:rsidP="006F2579">
      <w:pPr>
        <w:widowControl w:val="0"/>
      </w:pPr>
    </w:p>
    <w:p w:rsidR="006F2579" w:rsidRPr="00F50007" w:rsidRDefault="006F2579" w:rsidP="006F2579">
      <w:pPr>
        <w:widowControl w:val="0"/>
      </w:pPr>
    </w:p>
    <w:p w:rsidR="002767DF" w:rsidRPr="00F50007" w:rsidRDefault="002767DF" w:rsidP="002767DF">
      <w:pPr>
        <w:widowControl w:val="0"/>
        <w:jc w:val="center"/>
        <w:rPr>
          <w:lang w:val="fr-CA"/>
        </w:rPr>
      </w:pPr>
      <w:r w:rsidRPr="00F50007">
        <w:rPr>
          <w:b/>
          <w:lang w:val="fr-CA"/>
        </w:rPr>
        <w:t>JUGEMENT</w:t>
      </w:r>
      <w:r w:rsidR="004C4C26" w:rsidRPr="00F50007">
        <w:rPr>
          <w:b/>
          <w:lang w:val="fr-CA"/>
        </w:rPr>
        <w:t>S SUR APPEL ET DEMANDE</w:t>
      </w:r>
      <w:r w:rsidR="00CC044F" w:rsidRPr="00F50007">
        <w:rPr>
          <w:b/>
          <w:lang w:val="fr-CA"/>
        </w:rPr>
        <w:t>S</w:t>
      </w:r>
      <w:r w:rsidRPr="00F50007">
        <w:rPr>
          <w:b/>
          <w:lang w:val="fr-CA"/>
        </w:rPr>
        <w:t xml:space="preserve"> D’AUTORISATION</w:t>
      </w:r>
    </w:p>
    <w:p w:rsidR="006F2579" w:rsidRPr="00F50007" w:rsidRDefault="006F2579" w:rsidP="006F2579">
      <w:pPr>
        <w:widowControl w:val="0"/>
        <w:rPr>
          <w:lang w:val="fr-CA"/>
        </w:rPr>
      </w:pPr>
    </w:p>
    <w:p w:rsidR="006F2579" w:rsidRPr="00F50007" w:rsidRDefault="006F2579" w:rsidP="006F2579">
      <w:pPr>
        <w:widowControl w:val="0"/>
        <w:rPr>
          <w:b/>
          <w:lang w:val="fr-CA"/>
        </w:rPr>
      </w:pPr>
      <w:r w:rsidRPr="00F50007">
        <w:rPr>
          <w:b/>
          <w:lang w:val="fr-CA"/>
        </w:rPr>
        <w:t>Le</w:t>
      </w:r>
      <w:r w:rsidR="008825DB" w:rsidRPr="00F50007">
        <w:rPr>
          <w:b/>
          <w:lang w:val="fr-CA"/>
        </w:rPr>
        <w:t xml:space="preserve"> </w:t>
      </w:r>
      <w:r w:rsidR="00352C8A" w:rsidRPr="00F50007">
        <w:rPr>
          <w:b/>
          <w:lang w:val="fr-CA"/>
        </w:rPr>
        <w:t>14</w:t>
      </w:r>
      <w:r w:rsidR="00FF4756" w:rsidRPr="00F50007">
        <w:rPr>
          <w:b/>
          <w:lang w:val="fr-CA"/>
        </w:rPr>
        <w:t xml:space="preserve"> </w:t>
      </w:r>
      <w:r w:rsidR="00352C8A" w:rsidRPr="00F50007">
        <w:rPr>
          <w:b/>
          <w:lang w:val="fr-CA"/>
        </w:rPr>
        <w:t>déc</w:t>
      </w:r>
      <w:r w:rsidR="001D2E61" w:rsidRPr="00F50007">
        <w:rPr>
          <w:b/>
          <w:lang w:val="fr-CA"/>
        </w:rPr>
        <w:t>em</w:t>
      </w:r>
      <w:r w:rsidR="00DD0FAB" w:rsidRPr="00F50007">
        <w:rPr>
          <w:b/>
          <w:lang w:val="fr-CA"/>
        </w:rPr>
        <w:t>bre</w:t>
      </w:r>
      <w:r w:rsidR="002E4682" w:rsidRPr="00F50007">
        <w:rPr>
          <w:b/>
          <w:lang w:val="fr-CA"/>
        </w:rPr>
        <w:t xml:space="preserve"> </w:t>
      </w:r>
      <w:r w:rsidR="008825DB" w:rsidRPr="00F50007">
        <w:rPr>
          <w:b/>
          <w:lang w:val="fr-CA"/>
        </w:rPr>
        <w:t>201</w:t>
      </w:r>
      <w:r w:rsidR="00FF4756" w:rsidRPr="00F50007">
        <w:rPr>
          <w:b/>
          <w:lang w:val="fr-CA"/>
        </w:rPr>
        <w:t>7</w:t>
      </w:r>
    </w:p>
    <w:p w:rsidR="006F2579" w:rsidRPr="00F50007" w:rsidRDefault="006F2579" w:rsidP="006F2579">
      <w:pPr>
        <w:widowControl w:val="0"/>
        <w:rPr>
          <w:b/>
          <w:lang w:val="fr-CA"/>
        </w:rPr>
      </w:pPr>
      <w:r w:rsidRPr="00F50007">
        <w:rPr>
          <w:b/>
          <w:lang w:val="fr-CA"/>
        </w:rPr>
        <w:t>Pour diffusion immédiate</w:t>
      </w:r>
    </w:p>
    <w:p w:rsidR="006F2579" w:rsidRPr="00F50007" w:rsidRDefault="006F2579" w:rsidP="006F2579">
      <w:pPr>
        <w:widowControl w:val="0"/>
        <w:rPr>
          <w:b/>
          <w:lang w:val="fr-CA"/>
        </w:rPr>
      </w:pPr>
    </w:p>
    <w:p w:rsidR="002767DF" w:rsidRPr="00F50007" w:rsidRDefault="002767DF" w:rsidP="002767DF">
      <w:pPr>
        <w:widowControl w:val="0"/>
        <w:rPr>
          <w:lang w:val="fr-CA"/>
        </w:rPr>
      </w:pPr>
      <w:r w:rsidRPr="00F50007">
        <w:rPr>
          <w:b/>
          <w:lang w:val="fr-CA"/>
        </w:rPr>
        <w:t>OTTAWA</w:t>
      </w:r>
      <w:r w:rsidRPr="00F50007">
        <w:rPr>
          <w:lang w:val="fr-CA"/>
        </w:rPr>
        <w:t xml:space="preserve"> – La Cour suprême du Canada a déposé aujourd’hui auprès du registraire les jugements dans l</w:t>
      </w:r>
      <w:r w:rsidR="00DF6BD5" w:rsidRPr="00F50007">
        <w:rPr>
          <w:lang w:val="fr-CA"/>
        </w:rPr>
        <w:t>’</w:t>
      </w:r>
      <w:r w:rsidRPr="00F50007">
        <w:rPr>
          <w:lang w:val="fr-CA"/>
        </w:rPr>
        <w:t>appel</w:t>
      </w:r>
      <w:r w:rsidR="00DF6BD5" w:rsidRPr="00F50007">
        <w:rPr>
          <w:lang w:val="fr-CA"/>
        </w:rPr>
        <w:t xml:space="preserve"> </w:t>
      </w:r>
      <w:r w:rsidRPr="00F50007">
        <w:rPr>
          <w:lang w:val="fr-CA"/>
        </w:rPr>
        <w:t>et</w:t>
      </w:r>
      <w:r w:rsidR="00CC044F" w:rsidRPr="00F50007">
        <w:rPr>
          <w:lang w:val="fr-CA"/>
        </w:rPr>
        <w:t xml:space="preserve"> </w:t>
      </w:r>
      <w:r w:rsidR="004C4C26" w:rsidRPr="00F50007">
        <w:rPr>
          <w:lang w:val="fr-CA"/>
        </w:rPr>
        <w:t>demande</w:t>
      </w:r>
      <w:r w:rsidR="00CC044F" w:rsidRPr="00F50007">
        <w:rPr>
          <w:lang w:val="fr-CA"/>
        </w:rPr>
        <w:t>s</w:t>
      </w:r>
      <w:r w:rsidRPr="00F50007">
        <w:rPr>
          <w:lang w:val="fr-CA"/>
        </w:rPr>
        <w:t xml:space="preserve"> d’autorisation d’appel qui suivent.</w:t>
      </w:r>
    </w:p>
    <w:p w:rsidR="002767DF" w:rsidRPr="00F50007" w:rsidRDefault="002767DF" w:rsidP="002767DF">
      <w:pPr>
        <w:widowControl w:val="0"/>
        <w:rPr>
          <w:lang w:val="fr-CA"/>
        </w:rPr>
      </w:pPr>
    </w:p>
    <w:p w:rsidR="002767DF" w:rsidRPr="00F50007" w:rsidRDefault="00CC43A4" w:rsidP="002767DF">
      <w:pPr>
        <w:widowControl w:val="0"/>
        <w:rPr>
          <w:sz w:val="20"/>
          <w:lang w:val="fr-CA"/>
        </w:rPr>
      </w:pPr>
      <w:r w:rsidRPr="00F50007">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F50007" w:rsidRDefault="002767DF" w:rsidP="002767DF">
      <w:pPr>
        <w:widowControl w:val="0"/>
        <w:jc w:val="both"/>
        <w:rPr>
          <w:sz w:val="20"/>
          <w:lang w:val="fr-CA"/>
        </w:rPr>
      </w:pPr>
    </w:p>
    <w:p w:rsidR="002767DF" w:rsidRPr="00F50007" w:rsidRDefault="002767DF" w:rsidP="002767DF">
      <w:pPr>
        <w:outlineLvl w:val="0"/>
        <w:rPr>
          <w:b/>
          <w:szCs w:val="24"/>
          <w:lang w:val="fr-CA"/>
        </w:rPr>
      </w:pPr>
      <w:r w:rsidRPr="00F50007">
        <w:rPr>
          <w:b/>
          <w:szCs w:val="24"/>
          <w:lang w:val="fr-CA"/>
        </w:rPr>
        <w:t>APPEAL / APPEL</w:t>
      </w:r>
    </w:p>
    <w:p w:rsidR="002767DF" w:rsidRPr="00F50007" w:rsidRDefault="002767DF" w:rsidP="002767DF">
      <w:pPr>
        <w:rPr>
          <w:b/>
          <w:szCs w:val="24"/>
          <w:lang w:val="fr-CA"/>
        </w:rPr>
      </w:pPr>
    </w:p>
    <w:p w:rsidR="002767DF" w:rsidRPr="00F50007" w:rsidRDefault="00347EF8" w:rsidP="002767DF">
      <w:pPr>
        <w:tabs>
          <w:tab w:val="left" w:pos="720"/>
          <w:tab w:val="left" w:pos="1296"/>
          <w:tab w:val="left" w:pos="2160"/>
          <w:tab w:val="left" w:pos="2880"/>
          <w:tab w:val="left" w:pos="4320"/>
          <w:tab w:val="left" w:pos="10224"/>
          <w:tab w:val="left" w:pos="11376"/>
        </w:tabs>
        <w:jc w:val="both"/>
        <w:rPr>
          <w:lang w:val="fr-CA"/>
        </w:rPr>
      </w:pPr>
      <w:r w:rsidRPr="00F50007">
        <w:rPr>
          <w:lang w:val="fr-CA"/>
        </w:rPr>
        <w:t>Reasons for j</w:t>
      </w:r>
      <w:r w:rsidR="002767DF" w:rsidRPr="00F50007">
        <w:rPr>
          <w:lang w:val="fr-CA"/>
        </w:rPr>
        <w:t xml:space="preserve">udgment will be available shortly at: / </w:t>
      </w:r>
      <w:r w:rsidRPr="00F50007">
        <w:rPr>
          <w:lang w:val="fr-CA"/>
        </w:rPr>
        <w:t>Motifs de</w:t>
      </w:r>
      <w:r w:rsidR="00623896" w:rsidRPr="00F50007">
        <w:rPr>
          <w:lang w:val="fr-CA"/>
        </w:rPr>
        <w:t xml:space="preserve"> jugement </w:t>
      </w:r>
      <w:r w:rsidR="003413DF" w:rsidRPr="00F50007">
        <w:rPr>
          <w:lang w:val="fr-CA"/>
        </w:rPr>
        <w:t>disponible</w:t>
      </w:r>
      <w:r w:rsidR="000D01C7" w:rsidRPr="00F50007">
        <w:rPr>
          <w:lang w:val="fr-CA"/>
        </w:rPr>
        <w:t>s</w:t>
      </w:r>
      <w:r w:rsidR="002767DF" w:rsidRPr="00F50007">
        <w:rPr>
          <w:lang w:val="fr-CA"/>
        </w:rPr>
        <w:t xml:space="preserve"> sous peu à: </w:t>
      </w:r>
    </w:p>
    <w:p w:rsidR="00B1256C" w:rsidRPr="00F50007" w:rsidRDefault="006C7E2E" w:rsidP="002767DF">
      <w:pPr>
        <w:tabs>
          <w:tab w:val="left" w:pos="720"/>
          <w:tab w:val="left" w:pos="1296"/>
          <w:tab w:val="left" w:pos="2160"/>
          <w:tab w:val="left" w:pos="2880"/>
          <w:tab w:val="left" w:pos="4320"/>
          <w:tab w:val="left" w:pos="10224"/>
          <w:tab w:val="left" w:pos="11376"/>
        </w:tabs>
        <w:jc w:val="both"/>
        <w:rPr>
          <w:lang w:val="fr-CA"/>
        </w:rPr>
      </w:pPr>
      <w:r>
        <w:fldChar w:fldCharType="begin"/>
      </w:r>
      <w:r w:rsidRPr="006C7E2E">
        <w:rPr>
          <w:lang w:val="fr-CA"/>
        </w:rPr>
        <w:instrText xml:space="preserve"> HYPERLINK "http://scc-csc.lexum.com/scc-csc/en/nav.do" </w:instrText>
      </w:r>
      <w:r>
        <w:fldChar w:fldCharType="separate"/>
      </w:r>
      <w:r w:rsidR="00B1256C" w:rsidRPr="00F50007">
        <w:rPr>
          <w:rStyle w:val="Hyperlink"/>
          <w:lang w:val="fr-CA"/>
        </w:rPr>
        <w:t>http://scc-csc.lexum.com/scc-csc/en/nav.do</w:t>
      </w:r>
      <w:r>
        <w:rPr>
          <w:rStyle w:val="Hyperlink"/>
          <w:lang w:val="fr-CA"/>
        </w:rPr>
        <w:fldChar w:fldCharType="end"/>
      </w:r>
    </w:p>
    <w:p w:rsidR="00B1256C" w:rsidRPr="00F50007" w:rsidRDefault="006C7E2E" w:rsidP="002767DF">
      <w:pPr>
        <w:tabs>
          <w:tab w:val="left" w:pos="720"/>
          <w:tab w:val="left" w:pos="1296"/>
          <w:tab w:val="left" w:pos="2160"/>
          <w:tab w:val="left" w:pos="2880"/>
          <w:tab w:val="left" w:pos="4320"/>
          <w:tab w:val="left" w:pos="10224"/>
          <w:tab w:val="left" w:pos="11376"/>
        </w:tabs>
        <w:jc w:val="both"/>
        <w:rPr>
          <w:lang w:val="fr-CA"/>
        </w:rPr>
      </w:pPr>
      <w:r>
        <w:fldChar w:fldCharType="begin"/>
      </w:r>
      <w:r w:rsidRPr="006C7E2E">
        <w:rPr>
          <w:lang w:val="fr-CA"/>
        </w:rPr>
        <w:instrText xml:space="preserve"> HYPERLINK "http://scc-csc.lexum.com/scc-csc/fr/nav.do" </w:instrText>
      </w:r>
      <w:r>
        <w:fldChar w:fldCharType="separate"/>
      </w:r>
      <w:r w:rsidR="00B1256C" w:rsidRPr="00F50007">
        <w:rPr>
          <w:rStyle w:val="Hyperlink"/>
          <w:lang w:val="fr-CA"/>
        </w:rPr>
        <w:t>http://scc-csc.lexum.com/scc-csc/fr/nav.do</w:t>
      </w:r>
      <w:r>
        <w:rPr>
          <w:rStyle w:val="Hyperlink"/>
          <w:lang w:val="fr-CA"/>
        </w:rPr>
        <w:fldChar w:fldCharType="end"/>
      </w:r>
    </w:p>
    <w:p w:rsidR="002767DF" w:rsidRPr="00F50007" w:rsidRDefault="002767DF" w:rsidP="002767DF">
      <w:pPr>
        <w:rPr>
          <w:lang w:val="fr-CA"/>
        </w:rPr>
      </w:pPr>
    </w:p>
    <w:p w:rsidR="002767DF" w:rsidRPr="00F50007" w:rsidRDefault="002767DF" w:rsidP="002767DF">
      <w:pPr>
        <w:rPr>
          <w:lang w:val="fr-CA"/>
        </w:rPr>
      </w:pPr>
    </w:p>
    <w:p w:rsidR="00BF2A9D" w:rsidRPr="00F50007" w:rsidRDefault="00104BEE" w:rsidP="00BF2A9D">
      <w:pPr>
        <w:ind w:left="1440" w:hanging="1440"/>
        <w:jc w:val="both"/>
        <w:rPr>
          <w:rFonts w:eastAsiaTheme="minorHAnsi" w:cstheme="minorBidi"/>
          <w:sz w:val="20"/>
        </w:rPr>
      </w:pPr>
      <w:r w:rsidRPr="00F50007">
        <w:rPr>
          <w:b/>
          <w:sz w:val="20"/>
        </w:rPr>
        <w:fldChar w:fldCharType="begin"/>
      </w:r>
      <w:r w:rsidRPr="00F50007">
        <w:rPr>
          <w:b/>
          <w:sz w:val="20"/>
        </w:rPr>
        <w:instrText xml:space="preserve"> SEQ CHAPTER \h \r 1</w:instrText>
      </w:r>
      <w:r w:rsidRPr="00F50007">
        <w:rPr>
          <w:b/>
          <w:sz w:val="20"/>
        </w:rPr>
        <w:fldChar w:fldCharType="end"/>
      </w:r>
      <w:r w:rsidRPr="00F50007">
        <w:rPr>
          <w:b/>
          <w:sz w:val="20"/>
        </w:rPr>
        <w:t>3</w:t>
      </w:r>
      <w:r w:rsidR="00FF0799" w:rsidRPr="00F50007">
        <w:rPr>
          <w:b/>
          <w:sz w:val="20"/>
        </w:rPr>
        <w:t>71</w:t>
      </w:r>
      <w:r w:rsidR="0073443B" w:rsidRPr="00F50007">
        <w:rPr>
          <w:b/>
          <w:sz w:val="20"/>
        </w:rPr>
        <w:t>20</w:t>
      </w:r>
      <w:r w:rsidRPr="00F50007">
        <w:rPr>
          <w:color w:val="FF0000"/>
          <w:sz w:val="20"/>
        </w:rPr>
        <w:tab/>
      </w:r>
      <w:r w:rsidR="0073443B" w:rsidRPr="00F50007">
        <w:rPr>
          <w:rFonts w:eastAsiaTheme="minorHAnsi" w:cstheme="minorBidi"/>
          <w:b/>
          <w:sz w:val="20"/>
          <w:u w:val="single"/>
        </w:rPr>
        <w:t>Max Wayne Cowper-Smith v. Gloria Lynn Morgan and Gloria Lynn Morgan Executor of the Will of the Late Elizabeth Flora Cowper-Smith, Deceased</w:t>
      </w:r>
      <w:r w:rsidR="00111DA0" w:rsidRPr="00F50007">
        <w:rPr>
          <w:rFonts w:eastAsiaTheme="minorHAnsi" w:cstheme="minorBidi"/>
          <w:sz w:val="20"/>
        </w:rPr>
        <w:t xml:space="preserve"> </w:t>
      </w:r>
      <w:r w:rsidR="00BF2A9D" w:rsidRPr="00F50007">
        <w:rPr>
          <w:rFonts w:eastAsiaTheme="minorHAnsi" w:cstheme="minorBidi"/>
          <w:iCs/>
          <w:sz w:val="20"/>
        </w:rPr>
        <w:t>(</w:t>
      </w:r>
      <w:r w:rsidR="0073443B" w:rsidRPr="00F50007">
        <w:rPr>
          <w:rFonts w:eastAsiaTheme="minorHAnsi" w:cstheme="minorBidi"/>
          <w:iCs/>
          <w:sz w:val="20"/>
        </w:rPr>
        <w:t>B.C</w:t>
      </w:r>
      <w:r w:rsidR="00821ED8" w:rsidRPr="00F50007">
        <w:rPr>
          <w:rFonts w:eastAsiaTheme="minorHAnsi" w:cstheme="minorBidi"/>
          <w:iCs/>
          <w:sz w:val="20"/>
        </w:rPr>
        <w:t>.</w:t>
      </w:r>
      <w:r w:rsidR="00BF2A9D" w:rsidRPr="00F50007">
        <w:rPr>
          <w:rFonts w:eastAsiaTheme="minorHAnsi" w:cstheme="minorBidi"/>
          <w:iCs/>
          <w:sz w:val="20"/>
        </w:rPr>
        <w:t>)</w:t>
      </w:r>
    </w:p>
    <w:p w:rsidR="00BF2A9D" w:rsidRPr="00F50007"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50007">
        <w:rPr>
          <w:rFonts w:eastAsiaTheme="minorHAnsi" w:cstheme="minorBidi"/>
          <w:b/>
          <w:sz w:val="20"/>
        </w:rPr>
        <w:t xml:space="preserve">2017 SCC </w:t>
      </w:r>
      <w:r w:rsidR="00352C8A" w:rsidRPr="00F50007">
        <w:rPr>
          <w:rFonts w:eastAsiaTheme="minorHAnsi" w:cstheme="minorBidi"/>
          <w:b/>
          <w:sz w:val="20"/>
        </w:rPr>
        <w:t>6</w:t>
      </w:r>
      <w:r w:rsidR="00272D25" w:rsidRPr="00F50007">
        <w:rPr>
          <w:rFonts w:eastAsiaTheme="minorHAnsi" w:cstheme="minorBidi"/>
          <w:b/>
          <w:sz w:val="20"/>
        </w:rPr>
        <w:t>1</w:t>
      </w:r>
      <w:r w:rsidRPr="00F50007">
        <w:rPr>
          <w:rFonts w:eastAsiaTheme="minorHAnsi" w:cstheme="minorBidi"/>
          <w:b/>
          <w:sz w:val="20"/>
        </w:rPr>
        <w:t xml:space="preserve"> / 2017 CSC </w:t>
      </w:r>
      <w:r w:rsidR="00352C8A" w:rsidRPr="00F50007">
        <w:rPr>
          <w:rFonts w:eastAsiaTheme="minorHAnsi" w:cstheme="minorBidi"/>
          <w:b/>
          <w:sz w:val="20"/>
        </w:rPr>
        <w:t>6</w:t>
      </w:r>
      <w:r w:rsidR="00272D25" w:rsidRPr="00F50007">
        <w:rPr>
          <w:rFonts w:eastAsiaTheme="minorHAnsi" w:cstheme="minorBidi"/>
          <w:b/>
          <w:sz w:val="20"/>
        </w:rPr>
        <w:t>1</w:t>
      </w:r>
    </w:p>
    <w:p w:rsidR="00104BEE" w:rsidRPr="00F50007" w:rsidRDefault="00104BEE" w:rsidP="00BF2A9D">
      <w:pPr>
        <w:ind w:left="1440" w:hanging="1440"/>
        <w:jc w:val="both"/>
        <w:rPr>
          <w:sz w:val="20"/>
        </w:rPr>
      </w:pPr>
    </w:p>
    <w:p w:rsidR="00104BEE" w:rsidRPr="00F50007" w:rsidRDefault="00104BEE" w:rsidP="00104BEE">
      <w:pPr>
        <w:ind w:left="1440" w:hanging="1440"/>
        <w:rPr>
          <w:sz w:val="20"/>
        </w:rPr>
      </w:pPr>
      <w:r w:rsidRPr="00F50007">
        <w:rPr>
          <w:sz w:val="20"/>
        </w:rPr>
        <w:t>Coram:</w:t>
      </w:r>
      <w:r w:rsidRPr="00F50007">
        <w:rPr>
          <w:sz w:val="20"/>
        </w:rPr>
        <w:tab/>
      </w:r>
      <w:r w:rsidR="00352C8A" w:rsidRPr="00F50007">
        <w:rPr>
          <w:sz w:val="20"/>
          <w:u w:val="single"/>
        </w:rPr>
        <w:t>McLachlin C.J. and A</w:t>
      </w:r>
      <w:r w:rsidR="00605BA1" w:rsidRPr="00F50007">
        <w:rPr>
          <w:sz w:val="20"/>
          <w:u w:val="single"/>
        </w:rPr>
        <w:t>bella, Moldaver, Kara</w:t>
      </w:r>
      <w:r w:rsidR="00FF0799" w:rsidRPr="00F50007">
        <w:rPr>
          <w:sz w:val="20"/>
          <w:u w:val="single"/>
        </w:rPr>
        <w:t>katsanis, Wagner, Gascon, Côté</w:t>
      </w:r>
      <w:r w:rsidR="00352C8A" w:rsidRPr="00F50007">
        <w:rPr>
          <w:sz w:val="20"/>
          <w:u w:val="single"/>
        </w:rPr>
        <w:t>, Brown</w:t>
      </w:r>
      <w:r w:rsidR="00FF0799" w:rsidRPr="00F50007">
        <w:rPr>
          <w:sz w:val="20"/>
          <w:u w:val="single"/>
        </w:rPr>
        <w:t xml:space="preserve"> </w:t>
      </w:r>
      <w:r w:rsidR="00605BA1" w:rsidRPr="00F50007">
        <w:rPr>
          <w:sz w:val="20"/>
          <w:u w:val="single"/>
        </w:rPr>
        <w:t>and Rowe JJ.</w:t>
      </w:r>
    </w:p>
    <w:p w:rsidR="00605BA1" w:rsidRPr="00F50007" w:rsidRDefault="00605BA1" w:rsidP="00DD0FAB">
      <w:pPr>
        <w:jc w:val="both"/>
        <w:rPr>
          <w:sz w:val="20"/>
          <w:lang w:val="en-CA"/>
        </w:rPr>
      </w:pPr>
    </w:p>
    <w:p w:rsidR="00867716" w:rsidRPr="00F50007" w:rsidRDefault="00826E9D" w:rsidP="00F950AA">
      <w:pPr>
        <w:jc w:val="both"/>
        <w:rPr>
          <w:sz w:val="20"/>
        </w:rPr>
      </w:pPr>
      <w:r w:rsidRPr="00F50007">
        <w:rPr>
          <w:sz w:val="20"/>
        </w:rPr>
        <w:t>The appeal from the judgment of the Court of Appeal for British Columbia (Victoria), Number CA42981, 2016 BCCA 200, dated May 9, 2016, heard on May 26, 2017, is allowed with costs to the appellant throughout. The appellant’s proprietary estoppel claim is allowed. The respondent, in her capacity as executor, is ordered to take all necessary steps to enable the appellant to purchase the respondent beneficiary’s one-third interest in the   property for $223,333.33, plus an amount equal to the post-judgment interest that would be payable on a judgment in that amount issued on February 2, 2011, once the respondent beneficiary has received that interest from the estate. Upon his acquisition of the respondent beneficiary’s interest in the property, the appellant is ordered to account to the estate for the amount of any expenses incurred by the estate in maintaining the property since February 2, 2011.</w:t>
      </w:r>
    </w:p>
    <w:p w:rsidR="00FC21B3" w:rsidRPr="00F50007" w:rsidRDefault="00FC21B3" w:rsidP="00F950AA">
      <w:pPr>
        <w:jc w:val="both"/>
        <w:rPr>
          <w:sz w:val="20"/>
        </w:rPr>
      </w:pPr>
    </w:p>
    <w:p w:rsidR="00F950AA" w:rsidRPr="00F50007" w:rsidRDefault="00826E9D" w:rsidP="00F950AA">
      <w:pPr>
        <w:jc w:val="both"/>
        <w:rPr>
          <w:sz w:val="20"/>
          <w:lang w:val="fr-CA"/>
        </w:rPr>
      </w:pPr>
      <w:r w:rsidRPr="00F50007">
        <w:rPr>
          <w:sz w:val="20"/>
          <w:lang w:val="fr-CA"/>
        </w:rPr>
        <w:t xml:space="preserve">L’appel interjeté contre l’arrêt de la </w:t>
      </w:r>
      <w:r w:rsidRPr="00F50007">
        <w:rPr>
          <w:sz w:val="20"/>
          <w:lang w:val="fr-FR"/>
        </w:rPr>
        <w:t>Cour d’appel de la Colombie-Britannique (Victoria)</w:t>
      </w:r>
      <w:r w:rsidRPr="00F50007">
        <w:rPr>
          <w:sz w:val="20"/>
          <w:lang w:val="fr-CA"/>
        </w:rPr>
        <w:t xml:space="preserve">, numéro </w:t>
      </w:r>
      <w:r w:rsidRPr="00F50007">
        <w:rPr>
          <w:sz w:val="20"/>
          <w:lang w:val="fr-FR"/>
        </w:rPr>
        <w:t>CA42981, 2016 BCCA 200</w:t>
      </w:r>
      <w:r w:rsidRPr="00F50007">
        <w:rPr>
          <w:sz w:val="20"/>
          <w:lang w:val="fr-CA"/>
        </w:rPr>
        <w:t xml:space="preserve">, daté du </w:t>
      </w:r>
      <w:r w:rsidRPr="00F50007">
        <w:rPr>
          <w:sz w:val="20"/>
          <w:lang w:val="fr-FR"/>
        </w:rPr>
        <w:t>9 mai 2016</w:t>
      </w:r>
      <w:r w:rsidRPr="00F50007">
        <w:rPr>
          <w:sz w:val="20"/>
          <w:lang w:val="fr-CA"/>
        </w:rPr>
        <w:t xml:space="preserve">, entendu le </w:t>
      </w:r>
      <w:r w:rsidRPr="00F50007">
        <w:rPr>
          <w:sz w:val="20"/>
          <w:lang w:val="fr-FR"/>
        </w:rPr>
        <w:t>26 mai 2017</w:t>
      </w:r>
      <w:r w:rsidRPr="00F50007">
        <w:rPr>
          <w:sz w:val="20"/>
          <w:lang w:val="fr-CA"/>
        </w:rPr>
        <w:t xml:space="preserve">, est accueilli avec dépens en faveur de l’appelant devant toutes les cours. La demande de l’appelant fondée sur la préclusion propriétale est accueillie. Il est ordonné à l’intimée, en sa qualité d’exécutrice testamentaire, de prendre toutes les mesures nécessaires pour permettre à l’appelant d’acheter l’intérêt de la bénéficiaire intimée sur le tiers de la propriété pour la somme de 223 333,33 $ — plus un montant représentant l’intérêt après jugement qui serait exigible en vertu d’un jugement au même montant rendu le 2 février 2011 — une fois que la bénéficiaire intimée aura reçu cet intérêt de la succession. Après avoir acquis l’intérêt </w:t>
      </w:r>
      <w:r w:rsidRPr="00F50007">
        <w:rPr>
          <w:sz w:val="20"/>
          <w:lang w:val="fr-CA"/>
        </w:rPr>
        <w:lastRenderedPageBreak/>
        <w:t>de la bénéficiaire intimée dans la propriété, l’appelant devra remettre à la succession le montant des dépenses engagées par la succession pour l’entretien de la propriété à compter du 2 février 2011.</w:t>
      </w:r>
    </w:p>
    <w:p w:rsidR="00662A9C" w:rsidRPr="00F50007" w:rsidRDefault="00662A9C" w:rsidP="00F950AA">
      <w:pPr>
        <w:jc w:val="both"/>
        <w:rPr>
          <w:sz w:val="20"/>
          <w:lang w:val="fr-CA"/>
        </w:rPr>
      </w:pPr>
    </w:p>
    <w:p w:rsidR="00FF073E" w:rsidRPr="00F50007" w:rsidRDefault="00FF073E" w:rsidP="00104BEE">
      <w:pPr>
        <w:jc w:val="both"/>
        <w:rPr>
          <w:sz w:val="20"/>
          <w:lang w:val="fr-CA"/>
        </w:rPr>
      </w:pPr>
    </w:p>
    <w:p w:rsidR="009D2AD9" w:rsidRPr="00F50007" w:rsidRDefault="00D01D61" w:rsidP="009D2AD9">
      <w:pPr>
        <w:rPr>
          <w:lang w:val="fr-CA"/>
        </w:rPr>
      </w:pPr>
      <w:r w:rsidRPr="00F50007">
        <w:rPr>
          <w:szCs w:val="24"/>
        </w:rPr>
        <w:fldChar w:fldCharType="begin"/>
      </w:r>
      <w:r w:rsidR="009D2AD9" w:rsidRPr="00F50007">
        <w:rPr>
          <w:szCs w:val="24"/>
          <w:lang w:val="fr-CA"/>
        </w:rPr>
        <w:instrText xml:space="preserve"> SEQ CHAPTER \h \r 1</w:instrText>
      </w:r>
      <w:r w:rsidRPr="00F50007">
        <w:rPr>
          <w:szCs w:val="24"/>
        </w:rPr>
        <w:fldChar w:fldCharType="end"/>
      </w:r>
      <w:r w:rsidR="009D2AD9" w:rsidRPr="00F50007">
        <w:rPr>
          <w:b/>
          <w:bCs/>
          <w:szCs w:val="24"/>
          <w:lang w:val="fr-CA"/>
        </w:rPr>
        <w:t>APPLICATION</w:t>
      </w:r>
      <w:r w:rsidR="0044099A" w:rsidRPr="00F50007">
        <w:rPr>
          <w:b/>
          <w:bCs/>
          <w:szCs w:val="24"/>
          <w:lang w:val="fr-CA"/>
        </w:rPr>
        <w:t>S</w:t>
      </w:r>
      <w:r w:rsidR="009D2AD9" w:rsidRPr="00F50007">
        <w:rPr>
          <w:b/>
          <w:bCs/>
          <w:szCs w:val="24"/>
          <w:lang w:val="fr-CA"/>
        </w:rPr>
        <w:t xml:space="preserve"> FOR LEAVE / DEMANDE</w:t>
      </w:r>
      <w:r w:rsidR="0044099A" w:rsidRPr="00F50007">
        <w:rPr>
          <w:b/>
          <w:bCs/>
          <w:szCs w:val="24"/>
          <w:lang w:val="fr-CA"/>
        </w:rPr>
        <w:t>S</w:t>
      </w:r>
      <w:r w:rsidR="009D2AD9" w:rsidRPr="00F50007">
        <w:rPr>
          <w:b/>
          <w:bCs/>
          <w:szCs w:val="24"/>
          <w:lang w:val="fr-CA"/>
        </w:rPr>
        <w:t xml:space="preserve"> D’AUTORISATION :</w:t>
      </w:r>
    </w:p>
    <w:p w:rsidR="009D2AD9" w:rsidRPr="00F50007" w:rsidRDefault="009D2AD9" w:rsidP="000627A2">
      <w:pPr>
        <w:widowControl w:val="0"/>
        <w:jc w:val="both"/>
        <w:rPr>
          <w:sz w:val="20"/>
          <w:lang w:val="fr-CA"/>
        </w:rPr>
      </w:pPr>
    </w:p>
    <w:p w:rsidR="007E5C9C" w:rsidRPr="00F50007" w:rsidRDefault="007E5C9C" w:rsidP="007E5C9C">
      <w:pPr>
        <w:widowControl w:val="0"/>
        <w:rPr>
          <w:szCs w:val="24"/>
        </w:rPr>
      </w:pPr>
      <w:r w:rsidRPr="00F50007">
        <w:rPr>
          <w:szCs w:val="24"/>
        </w:rPr>
        <w:t xml:space="preserve">Summaries of these cases are available at </w:t>
      </w:r>
      <w:hyperlink r:id="rId7" w:history="1">
        <w:r w:rsidR="00F812A4" w:rsidRPr="00F50007">
          <w:rPr>
            <w:rStyle w:val="Hyperlink"/>
            <w:szCs w:val="24"/>
          </w:rPr>
          <w:t>http://scc-csc.lexum.com/scc-csc/news/en/item/5691/index.do</w:t>
        </w:r>
      </w:hyperlink>
      <w:r w:rsidR="008C7834" w:rsidRPr="00F50007">
        <w:rPr>
          <w:szCs w:val="24"/>
        </w:rPr>
        <w:t>.</w:t>
      </w:r>
    </w:p>
    <w:p w:rsidR="0025713A" w:rsidRPr="00F50007" w:rsidRDefault="0025713A" w:rsidP="000627A2">
      <w:pPr>
        <w:widowControl w:val="0"/>
        <w:jc w:val="both"/>
        <w:rPr>
          <w:sz w:val="20"/>
        </w:rPr>
      </w:pPr>
    </w:p>
    <w:p w:rsidR="007E5C9C" w:rsidRPr="00F50007" w:rsidRDefault="007E5C9C" w:rsidP="007E5C9C">
      <w:pPr>
        <w:widowControl w:val="0"/>
        <w:rPr>
          <w:szCs w:val="24"/>
          <w:lang w:val="fr-CA"/>
        </w:rPr>
      </w:pPr>
      <w:r w:rsidRPr="00F50007">
        <w:rPr>
          <w:lang w:val="fr-CA"/>
        </w:rPr>
        <w:t xml:space="preserve">Les sommaires des causes peuvent être consultés à l'adresse </w:t>
      </w:r>
      <w:r w:rsidRPr="00F50007">
        <w:rPr>
          <w:szCs w:val="24"/>
          <w:lang w:val="fr-CA"/>
        </w:rPr>
        <w:t xml:space="preserve">suivante : </w:t>
      </w:r>
      <w:r w:rsidR="006C7E2E">
        <w:fldChar w:fldCharType="begin"/>
      </w:r>
      <w:r w:rsidR="006C7E2E" w:rsidRPr="006C7E2E">
        <w:rPr>
          <w:lang w:val="fr-CA"/>
        </w:rPr>
        <w:instrText xml:space="preserve"> HYPERLINK "http://scc-csc.lexum.com/scc-csc/news/fr/item/5691/index.do" </w:instrText>
      </w:r>
      <w:r w:rsidR="006C7E2E">
        <w:fldChar w:fldCharType="separate"/>
      </w:r>
      <w:r w:rsidR="00F812A4" w:rsidRPr="00F50007">
        <w:rPr>
          <w:rStyle w:val="Hyperlink"/>
          <w:szCs w:val="24"/>
          <w:lang w:val="fr-CA"/>
        </w:rPr>
        <w:t>http://scc-csc.lexum.com/scc-csc/news/fr/item/5691/index.do</w:t>
      </w:r>
      <w:r w:rsidR="006C7E2E">
        <w:rPr>
          <w:rStyle w:val="Hyperlink"/>
          <w:szCs w:val="24"/>
          <w:lang w:val="fr-CA"/>
        </w:rPr>
        <w:fldChar w:fldCharType="end"/>
      </w:r>
      <w:r w:rsidR="008C7834" w:rsidRPr="00F50007">
        <w:rPr>
          <w:rStyle w:val="Hyperlink"/>
          <w:color w:val="4F6228" w:themeColor="accent3" w:themeShade="80"/>
          <w:szCs w:val="24"/>
          <w:u w:val="none"/>
          <w:lang w:val="fr-CA"/>
        </w:rPr>
        <w:t>.</w:t>
      </w:r>
    </w:p>
    <w:p w:rsidR="008E30CD" w:rsidRPr="00F50007" w:rsidRDefault="008E30CD" w:rsidP="0027631F">
      <w:pPr>
        <w:jc w:val="both"/>
        <w:rPr>
          <w:sz w:val="20"/>
          <w:lang w:val="fr-CA"/>
        </w:rPr>
      </w:pPr>
    </w:p>
    <w:p w:rsidR="009D35AF" w:rsidRPr="00F50007" w:rsidRDefault="009D35AF" w:rsidP="0027631F">
      <w:pPr>
        <w:jc w:val="both"/>
        <w:rPr>
          <w:sz w:val="20"/>
          <w:lang w:val="fr-CA"/>
        </w:rPr>
      </w:pPr>
    </w:p>
    <w:p w:rsidR="00DB5589" w:rsidRPr="00F50007" w:rsidRDefault="00DB5589" w:rsidP="00DB5589">
      <w:pPr>
        <w:jc w:val="both"/>
        <w:rPr>
          <w:b/>
          <w:szCs w:val="24"/>
        </w:rPr>
      </w:pPr>
      <w:r w:rsidRPr="00F50007">
        <w:rPr>
          <w:b/>
          <w:szCs w:val="24"/>
        </w:rPr>
        <w:t>GRANTED / ACCORDÉE</w:t>
      </w:r>
      <w:r w:rsidR="00824220" w:rsidRPr="00F50007">
        <w:rPr>
          <w:b/>
          <w:szCs w:val="24"/>
        </w:rPr>
        <w:t>S</w:t>
      </w:r>
    </w:p>
    <w:p w:rsidR="00DB5589" w:rsidRPr="00F50007" w:rsidRDefault="00DB5589" w:rsidP="0027631F">
      <w:pPr>
        <w:jc w:val="both"/>
        <w:rPr>
          <w:sz w:val="20"/>
        </w:rPr>
      </w:pPr>
    </w:p>
    <w:p w:rsidR="009E10C4" w:rsidRPr="00F50007" w:rsidRDefault="009E10C4" w:rsidP="009E10C4">
      <w:pPr>
        <w:jc w:val="both"/>
        <w:rPr>
          <w:sz w:val="22"/>
          <w:szCs w:val="22"/>
        </w:rPr>
      </w:pPr>
      <w:r w:rsidRPr="00F50007">
        <w:rPr>
          <w:i/>
          <w:sz w:val="22"/>
          <w:szCs w:val="22"/>
        </w:rPr>
        <w:t>Sean Patrick Mills v. Her Majesty the Queen</w:t>
      </w:r>
      <w:r w:rsidRPr="00F50007">
        <w:rPr>
          <w:sz w:val="22"/>
          <w:szCs w:val="22"/>
        </w:rPr>
        <w:t xml:space="preserve"> (N.L.) (Criminal) (By Leave) (</w:t>
      </w:r>
      <w:hyperlink r:id="rId8" w:history="1">
        <w:r w:rsidRPr="00F50007">
          <w:rPr>
            <w:rStyle w:val="Hyperlink"/>
            <w:sz w:val="22"/>
            <w:szCs w:val="22"/>
          </w:rPr>
          <w:t>37518</w:t>
        </w:r>
      </w:hyperlink>
      <w:r w:rsidRPr="00F50007">
        <w:rPr>
          <w:sz w:val="22"/>
          <w:szCs w:val="22"/>
        </w:rPr>
        <w:t>)</w:t>
      </w:r>
    </w:p>
    <w:p w:rsidR="00352C8A" w:rsidRPr="00F50007" w:rsidRDefault="009E10C4" w:rsidP="00DB5589">
      <w:pPr>
        <w:widowControl w:val="0"/>
        <w:rPr>
          <w:sz w:val="20"/>
        </w:rPr>
      </w:pPr>
      <w:r w:rsidRPr="00F50007">
        <w:rPr>
          <w:sz w:val="20"/>
        </w:rPr>
        <w:t xml:space="preserve">(The application for leave to appeal is granted. / La demande d’autorisation d’appel </w:t>
      </w:r>
      <w:proofErr w:type="gramStart"/>
      <w:r w:rsidRPr="00F50007">
        <w:rPr>
          <w:sz w:val="20"/>
        </w:rPr>
        <w:t>est</w:t>
      </w:r>
      <w:proofErr w:type="gramEnd"/>
      <w:r w:rsidRPr="00F50007">
        <w:rPr>
          <w:sz w:val="20"/>
        </w:rPr>
        <w:t xml:space="preserve"> accueillie.)</w:t>
      </w:r>
    </w:p>
    <w:p w:rsidR="00352C8A" w:rsidRPr="00F50007" w:rsidRDefault="00352C8A" w:rsidP="00DB5589">
      <w:pPr>
        <w:widowControl w:val="0"/>
        <w:rPr>
          <w:sz w:val="20"/>
        </w:rPr>
      </w:pPr>
    </w:p>
    <w:p w:rsidR="00DB5589" w:rsidRPr="00F50007" w:rsidRDefault="00DB5589" w:rsidP="00DB5589">
      <w:pPr>
        <w:jc w:val="both"/>
        <w:rPr>
          <w:sz w:val="20"/>
        </w:rPr>
      </w:pPr>
      <w:r w:rsidRPr="00F50007">
        <w:rPr>
          <w:sz w:val="20"/>
        </w:rPr>
        <w:t>****</w:t>
      </w:r>
    </w:p>
    <w:p w:rsidR="009A6043" w:rsidRPr="00F50007" w:rsidRDefault="009A6043" w:rsidP="00DB5589">
      <w:pPr>
        <w:jc w:val="both"/>
        <w:rPr>
          <w:sz w:val="20"/>
        </w:rPr>
      </w:pPr>
    </w:p>
    <w:p w:rsidR="00FB4B18" w:rsidRPr="00F50007" w:rsidRDefault="00FB4B18" w:rsidP="00FB4B18">
      <w:pPr>
        <w:jc w:val="both"/>
        <w:rPr>
          <w:sz w:val="22"/>
          <w:szCs w:val="22"/>
        </w:rPr>
      </w:pPr>
      <w:r w:rsidRPr="00F50007">
        <w:rPr>
          <w:i/>
          <w:sz w:val="22"/>
          <w:szCs w:val="22"/>
          <w:lang w:val="en-CA"/>
        </w:rPr>
        <w:t xml:space="preserve">Thomas Reeves v. Her Majesty the Queen </w:t>
      </w:r>
      <w:r w:rsidRPr="00F50007">
        <w:rPr>
          <w:sz w:val="22"/>
          <w:szCs w:val="22"/>
          <w:lang w:val="en-CA"/>
        </w:rPr>
        <w:t>(Ont.) (Criminal) (By Leave) (</w:t>
      </w:r>
      <w:hyperlink r:id="rId9" w:history="1">
        <w:r w:rsidRPr="00F50007">
          <w:rPr>
            <w:rStyle w:val="Hyperlink"/>
            <w:sz w:val="22"/>
            <w:szCs w:val="22"/>
            <w:lang w:val="en-CA"/>
          </w:rPr>
          <w:t>37676</w:t>
        </w:r>
      </w:hyperlink>
      <w:r w:rsidRPr="00F50007">
        <w:rPr>
          <w:sz w:val="22"/>
          <w:szCs w:val="22"/>
          <w:lang w:val="en-CA"/>
        </w:rPr>
        <w:t>)</w:t>
      </w:r>
    </w:p>
    <w:p w:rsidR="009E10C4" w:rsidRPr="00F50007" w:rsidRDefault="00FB4B18" w:rsidP="00DB5589">
      <w:pPr>
        <w:jc w:val="both"/>
        <w:rPr>
          <w:sz w:val="20"/>
        </w:rPr>
      </w:pPr>
      <w:r w:rsidRPr="00F50007">
        <w:rPr>
          <w:sz w:val="20"/>
        </w:rPr>
        <w:t xml:space="preserve">The application for leave to appeal is granted. / La demande d’autorisation d’appel </w:t>
      </w:r>
      <w:proofErr w:type="gramStart"/>
      <w:r w:rsidRPr="00F50007">
        <w:rPr>
          <w:sz w:val="20"/>
        </w:rPr>
        <w:t>est</w:t>
      </w:r>
      <w:proofErr w:type="gramEnd"/>
      <w:r w:rsidRPr="00F50007">
        <w:rPr>
          <w:sz w:val="20"/>
        </w:rPr>
        <w:t xml:space="preserve"> accueillie.)</w:t>
      </w:r>
    </w:p>
    <w:p w:rsidR="009E10C4" w:rsidRPr="00F50007" w:rsidRDefault="009E10C4" w:rsidP="00DB5589">
      <w:pPr>
        <w:jc w:val="both"/>
        <w:rPr>
          <w:sz w:val="20"/>
        </w:rPr>
      </w:pPr>
    </w:p>
    <w:p w:rsidR="009E10C4" w:rsidRPr="00F50007" w:rsidRDefault="009E10C4" w:rsidP="009E10C4">
      <w:pPr>
        <w:jc w:val="both"/>
        <w:rPr>
          <w:sz w:val="20"/>
        </w:rPr>
      </w:pPr>
      <w:r w:rsidRPr="00F50007">
        <w:rPr>
          <w:sz w:val="20"/>
        </w:rPr>
        <w:t>****</w:t>
      </w:r>
    </w:p>
    <w:p w:rsidR="009E10C4" w:rsidRPr="00F50007" w:rsidRDefault="009E10C4" w:rsidP="00DB5589">
      <w:pPr>
        <w:jc w:val="both"/>
        <w:rPr>
          <w:sz w:val="20"/>
        </w:rPr>
      </w:pPr>
    </w:p>
    <w:p w:rsidR="00060F87" w:rsidRPr="00F50007" w:rsidRDefault="00060F87" w:rsidP="00060F87">
      <w:pPr>
        <w:pStyle w:val="SCCAppellantInfoAppellantInfo"/>
        <w:jc w:val="both"/>
        <w:rPr>
          <w:sz w:val="22"/>
          <w:szCs w:val="22"/>
        </w:rPr>
      </w:pPr>
      <w:r w:rsidRPr="00F50007">
        <w:rPr>
          <w:i/>
          <w:sz w:val="22"/>
          <w:szCs w:val="22"/>
        </w:rPr>
        <w:t xml:space="preserve">Her Majesty the Queen v. Douglas Morrison </w:t>
      </w:r>
      <w:r w:rsidRPr="00F50007">
        <w:rPr>
          <w:sz w:val="22"/>
          <w:szCs w:val="22"/>
        </w:rPr>
        <w:t>(Ont.) (Criminal) (By Leave) (</w:t>
      </w:r>
      <w:hyperlink r:id="rId10" w:history="1">
        <w:r w:rsidRPr="00F50007">
          <w:rPr>
            <w:rStyle w:val="Hyperlink"/>
            <w:sz w:val="22"/>
            <w:szCs w:val="22"/>
          </w:rPr>
          <w:t>37687</w:t>
        </w:r>
      </w:hyperlink>
      <w:r w:rsidRPr="00F50007">
        <w:rPr>
          <w:sz w:val="22"/>
          <w:szCs w:val="22"/>
        </w:rPr>
        <w:t>)</w:t>
      </w:r>
    </w:p>
    <w:p w:rsidR="00060F87" w:rsidRPr="00F50007" w:rsidRDefault="00060F87" w:rsidP="00DB5589">
      <w:pPr>
        <w:jc w:val="both"/>
        <w:rPr>
          <w:sz w:val="20"/>
        </w:rPr>
      </w:pPr>
      <w:r w:rsidRPr="00F50007">
        <w:rPr>
          <w:sz w:val="20"/>
        </w:rPr>
        <w:t xml:space="preserve">(The motion to appoint an </w:t>
      </w:r>
      <w:r w:rsidRPr="00F50007">
        <w:rPr>
          <w:i/>
          <w:sz w:val="20"/>
        </w:rPr>
        <w:t>amicus curiae</w:t>
      </w:r>
      <w:r w:rsidRPr="00F50007">
        <w:rPr>
          <w:sz w:val="20"/>
        </w:rPr>
        <w:t xml:space="preserve"> is granted. The application for leave to appeal and the application for leave to cross-appeal are granted. / </w:t>
      </w:r>
    </w:p>
    <w:p w:rsidR="00060F87" w:rsidRPr="00F50007" w:rsidRDefault="00060F87" w:rsidP="00DB5589">
      <w:pPr>
        <w:jc w:val="both"/>
        <w:rPr>
          <w:sz w:val="20"/>
          <w:lang w:val="fr-CA"/>
        </w:rPr>
      </w:pPr>
      <w:r w:rsidRPr="00F50007">
        <w:rPr>
          <w:sz w:val="20"/>
          <w:lang w:val="fr-CA"/>
        </w:rPr>
        <w:t xml:space="preserve">La requête sollicitant qu’un </w:t>
      </w:r>
      <w:r w:rsidRPr="00F50007">
        <w:rPr>
          <w:i/>
          <w:sz w:val="20"/>
          <w:lang w:val="fr-CA"/>
        </w:rPr>
        <w:t>amicus curiae</w:t>
      </w:r>
      <w:r w:rsidRPr="00F50007">
        <w:rPr>
          <w:sz w:val="20"/>
          <w:lang w:val="fr-CA"/>
        </w:rPr>
        <w:t xml:space="preserve"> soit nommé est accueillie. La demande d’autorisation d’appel et la demande d’autorisation d’appel incident sont accueillies.)</w:t>
      </w:r>
    </w:p>
    <w:p w:rsidR="00060F87" w:rsidRPr="00F50007" w:rsidRDefault="00060F87" w:rsidP="00060F87">
      <w:pPr>
        <w:jc w:val="both"/>
        <w:rPr>
          <w:sz w:val="20"/>
          <w:lang w:val="fr-CA"/>
        </w:rPr>
      </w:pPr>
    </w:p>
    <w:p w:rsidR="00060F87" w:rsidRPr="00F50007" w:rsidRDefault="00060F87" w:rsidP="00060F87">
      <w:pPr>
        <w:jc w:val="both"/>
        <w:rPr>
          <w:sz w:val="20"/>
          <w:lang w:val="fr-CA"/>
        </w:rPr>
      </w:pPr>
      <w:r w:rsidRPr="00F50007">
        <w:rPr>
          <w:sz w:val="20"/>
          <w:lang w:val="fr-CA"/>
        </w:rPr>
        <w:t>****</w:t>
      </w:r>
    </w:p>
    <w:p w:rsidR="00060F87" w:rsidRPr="00F50007" w:rsidRDefault="00060F87" w:rsidP="00DB5589">
      <w:pPr>
        <w:jc w:val="both"/>
        <w:rPr>
          <w:sz w:val="20"/>
          <w:lang w:val="fr-CA"/>
        </w:rPr>
      </w:pPr>
    </w:p>
    <w:p w:rsidR="009F09C0" w:rsidRPr="00F50007" w:rsidRDefault="009F09C0" w:rsidP="009F09C0">
      <w:pPr>
        <w:jc w:val="both"/>
        <w:rPr>
          <w:b/>
          <w:szCs w:val="24"/>
          <w:lang w:val="fr-CA"/>
        </w:rPr>
      </w:pPr>
      <w:r w:rsidRPr="00F50007">
        <w:rPr>
          <w:b/>
          <w:szCs w:val="24"/>
          <w:lang w:val="fr-CA"/>
        </w:rPr>
        <w:t>DISMISSED / REJETÉES</w:t>
      </w:r>
    </w:p>
    <w:p w:rsidR="009971D8" w:rsidRPr="00F50007" w:rsidRDefault="009971D8" w:rsidP="00026162">
      <w:pPr>
        <w:widowControl w:val="0"/>
        <w:rPr>
          <w:sz w:val="20"/>
          <w:lang w:val="fr-CA"/>
        </w:rPr>
      </w:pPr>
    </w:p>
    <w:p w:rsidR="00B86D28" w:rsidRPr="00F50007" w:rsidRDefault="00B86D28" w:rsidP="00B86D28">
      <w:pPr>
        <w:jc w:val="both"/>
        <w:rPr>
          <w:sz w:val="22"/>
          <w:szCs w:val="22"/>
          <w:lang w:val="fr-CA"/>
        </w:rPr>
      </w:pPr>
      <w:r w:rsidRPr="00F50007">
        <w:rPr>
          <w:i/>
          <w:sz w:val="22"/>
          <w:szCs w:val="22"/>
          <w:lang w:val="fr-FR"/>
        </w:rPr>
        <w:t>Michel Morin et autre c. Commission scolaire du Chemin-du-Roy et autre</w:t>
      </w:r>
      <w:r w:rsidRPr="00F50007">
        <w:rPr>
          <w:sz w:val="22"/>
          <w:szCs w:val="22"/>
          <w:lang w:val="fr-FR"/>
        </w:rPr>
        <w:t xml:space="preserve"> </w:t>
      </w:r>
      <w:r w:rsidRPr="00F50007">
        <w:rPr>
          <w:sz w:val="22"/>
          <w:szCs w:val="22"/>
          <w:lang w:val="fr-CA"/>
        </w:rPr>
        <w:t>(Qc) (Civile) (Autorisation) (</w:t>
      </w:r>
      <w:r w:rsidR="006C7E2E">
        <w:fldChar w:fldCharType="begin"/>
      </w:r>
      <w:r w:rsidR="006C7E2E" w:rsidRPr="006C7E2E">
        <w:rPr>
          <w:lang w:val="fr-CA"/>
        </w:rPr>
        <w:instrText xml:space="preserve"> HYPERLINK "http://www.scc-csc.ca/case-dossier/info/sum-som-fra.aspx?cas=37637" </w:instrText>
      </w:r>
      <w:r w:rsidR="006C7E2E">
        <w:fldChar w:fldCharType="separate"/>
      </w:r>
      <w:r w:rsidRPr="00F50007">
        <w:rPr>
          <w:rStyle w:val="Hyperlink"/>
          <w:sz w:val="22"/>
          <w:szCs w:val="22"/>
          <w:lang w:val="fr-CA"/>
        </w:rPr>
        <w:t>37637</w:t>
      </w:r>
      <w:r w:rsidR="006C7E2E">
        <w:rPr>
          <w:rStyle w:val="Hyperlink"/>
          <w:sz w:val="22"/>
          <w:szCs w:val="22"/>
          <w:lang w:val="fr-CA"/>
        </w:rPr>
        <w:fldChar w:fldCharType="end"/>
      </w:r>
      <w:r w:rsidRPr="00F50007">
        <w:rPr>
          <w:sz w:val="22"/>
          <w:szCs w:val="22"/>
          <w:lang w:val="fr-CA"/>
        </w:rPr>
        <w:t>)</w:t>
      </w:r>
    </w:p>
    <w:p w:rsidR="00AB5604" w:rsidRPr="00F50007" w:rsidRDefault="00B86D28" w:rsidP="00026162">
      <w:pPr>
        <w:widowControl w:val="0"/>
        <w:rPr>
          <w:sz w:val="20"/>
        </w:rPr>
      </w:pPr>
      <w:r w:rsidRPr="00F50007">
        <w:rPr>
          <w:sz w:val="20"/>
          <w:lang w:val="fr-CA"/>
        </w:rPr>
        <w:t xml:space="preserve">(La requête en prorogation du délai de signification de la demande d’autorisation d’appel est accueillie. </w:t>
      </w:r>
      <w:r w:rsidRPr="00F50007">
        <w:rPr>
          <w:sz w:val="20"/>
        </w:rPr>
        <w:t xml:space="preserve">La demande d’autorisation d’appel </w:t>
      </w:r>
      <w:proofErr w:type="gramStart"/>
      <w:r w:rsidRPr="00F50007">
        <w:rPr>
          <w:sz w:val="20"/>
        </w:rPr>
        <w:t>est</w:t>
      </w:r>
      <w:proofErr w:type="gramEnd"/>
      <w:r w:rsidRPr="00F50007">
        <w:rPr>
          <w:sz w:val="20"/>
        </w:rPr>
        <w:t xml:space="preserve"> rejetée avec dépens. / </w:t>
      </w:r>
    </w:p>
    <w:p w:rsidR="000F65BF" w:rsidRPr="00F50007" w:rsidRDefault="00B86D28" w:rsidP="00026162">
      <w:pPr>
        <w:widowControl w:val="0"/>
        <w:rPr>
          <w:sz w:val="20"/>
        </w:rPr>
      </w:pPr>
      <w:r w:rsidRPr="00F50007">
        <w:rPr>
          <w:sz w:val="20"/>
          <w:lang w:val="en-CA"/>
        </w:rPr>
        <w:t>The motion for an extension of time to serve the application for leave to appeal is granted. The application for leave to appeal is dismissed with costs.)</w:t>
      </w:r>
    </w:p>
    <w:p w:rsidR="000F65BF" w:rsidRPr="00F50007" w:rsidRDefault="000F65BF" w:rsidP="00026162">
      <w:pPr>
        <w:widowControl w:val="0"/>
        <w:rPr>
          <w:sz w:val="20"/>
        </w:rPr>
      </w:pPr>
    </w:p>
    <w:p w:rsidR="00026162" w:rsidRPr="00F50007" w:rsidRDefault="00026162" w:rsidP="00026162">
      <w:pPr>
        <w:jc w:val="both"/>
        <w:rPr>
          <w:sz w:val="20"/>
        </w:rPr>
      </w:pPr>
      <w:r w:rsidRPr="00F50007">
        <w:rPr>
          <w:sz w:val="20"/>
        </w:rPr>
        <w:t>****</w:t>
      </w:r>
    </w:p>
    <w:p w:rsidR="003D1FDF" w:rsidRPr="00F50007" w:rsidRDefault="003D1FDF" w:rsidP="003D1FDF">
      <w:pPr>
        <w:jc w:val="both"/>
        <w:rPr>
          <w:sz w:val="20"/>
        </w:rPr>
      </w:pPr>
    </w:p>
    <w:p w:rsidR="00F1408F" w:rsidRPr="00F50007" w:rsidRDefault="00F1408F" w:rsidP="00F1408F">
      <w:pPr>
        <w:jc w:val="both"/>
        <w:rPr>
          <w:sz w:val="22"/>
          <w:szCs w:val="22"/>
        </w:rPr>
      </w:pPr>
      <w:r w:rsidRPr="00F50007">
        <w:rPr>
          <w:i/>
          <w:sz w:val="22"/>
          <w:szCs w:val="22"/>
          <w:lang w:val="en-CA"/>
        </w:rPr>
        <w:t>Nathan John Hall v. Canada (Minister of Justice)</w:t>
      </w:r>
      <w:r w:rsidRPr="00F50007">
        <w:rPr>
          <w:sz w:val="22"/>
          <w:szCs w:val="22"/>
          <w:lang w:val="en-CA"/>
        </w:rPr>
        <w:t xml:space="preserve"> (B.C.) </w:t>
      </w:r>
      <w:r w:rsidRPr="00F50007">
        <w:rPr>
          <w:sz w:val="22"/>
          <w:szCs w:val="22"/>
        </w:rPr>
        <w:t>(Criminal) (By Leave) (</w:t>
      </w:r>
      <w:hyperlink r:id="rId11" w:history="1">
        <w:r w:rsidRPr="00F50007">
          <w:rPr>
            <w:rStyle w:val="Hyperlink"/>
            <w:sz w:val="22"/>
            <w:szCs w:val="22"/>
          </w:rPr>
          <w:t>37745</w:t>
        </w:r>
      </w:hyperlink>
      <w:r w:rsidRPr="00F50007">
        <w:rPr>
          <w:sz w:val="22"/>
          <w:szCs w:val="22"/>
        </w:rPr>
        <w:t>)</w:t>
      </w:r>
    </w:p>
    <w:p w:rsidR="00352C8A" w:rsidRPr="00F50007" w:rsidRDefault="00F1408F" w:rsidP="00771432">
      <w:pPr>
        <w:widowControl w:val="0"/>
        <w:rPr>
          <w:sz w:val="20"/>
        </w:rPr>
      </w:pPr>
      <w:r w:rsidRPr="00F50007">
        <w:rPr>
          <w:sz w:val="20"/>
        </w:rPr>
        <w:t xml:space="preserve">(The application for leave to appeal is dismissed. / La demande d’autorisation d’appel </w:t>
      </w:r>
      <w:proofErr w:type="gramStart"/>
      <w:r w:rsidRPr="00F50007">
        <w:rPr>
          <w:sz w:val="20"/>
        </w:rPr>
        <w:t>est</w:t>
      </w:r>
      <w:proofErr w:type="gramEnd"/>
      <w:r w:rsidRPr="00F50007">
        <w:rPr>
          <w:sz w:val="20"/>
        </w:rPr>
        <w:t xml:space="preserve"> rejetée.)</w:t>
      </w:r>
    </w:p>
    <w:p w:rsidR="00352C8A" w:rsidRPr="00F50007" w:rsidRDefault="00352C8A" w:rsidP="00771432">
      <w:pPr>
        <w:widowControl w:val="0"/>
        <w:rPr>
          <w:sz w:val="20"/>
        </w:rPr>
      </w:pPr>
    </w:p>
    <w:p w:rsidR="00771432" w:rsidRPr="00F50007" w:rsidRDefault="00771432" w:rsidP="00771432">
      <w:pPr>
        <w:jc w:val="both"/>
        <w:rPr>
          <w:sz w:val="20"/>
        </w:rPr>
      </w:pPr>
      <w:r w:rsidRPr="00F50007">
        <w:rPr>
          <w:sz w:val="20"/>
        </w:rPr>
        <w:t>****</w:t>
      </w:r>
    </w:p>
    <w:p w:rsidR="003A5E8C" w:rsidRPr="00F50007" w:rsidRDefault="003A5E8C" w:rsidP="003A5E8C">
      <w:pPr>
        <w:jc w:val="both"/>
        <w:rPr>
          <w:sz w:val="20"/>
        </w:rPr>
      </w:pPr>
    </w:p>
    <w:p w:rsidR="00131605" w:rsidRPr="00F50007" w:rsidRDefault="00131605" w:rsidP="00131605">
      <w:pPr>
        <w:jc w:val="both"/>
        <w:rPr>
          <w:sz w:val="22"/>
          <w:szCs w:val="22"/>
          <w:lang w:val="fr-CA"/>
        </w:rPr>
      </w:pPr>
      <w:r w:rsidRPr="00F50007">
        <w:rPr>
          <w:i/>
          <w:sz w:val="22"/>
          <w:szCs w:val="22"/>
          <w:lang w:val="fr-FR"/>
        </w:rPr>
        <w:t xml:space="preserve">Yvan </w:t>
      </w:r>
      <w:proofErr w:type="spellStart"/>
      <w:r w:rsidRPr="00F50007">
        <w:rPr>
          <w:i/>
          <w:sz w:val="22"/>
          <w:szCs w:val="22"/>
          <w:lang w:val="fr-FR"/>
        </w:rPr>
        <w:t>Branconnier</w:t>
      </w:r>
      <w:proofErr w:type="spellEnd"/>
      <w:r w:rsidRPr="00F50007">
        <w:rPr>
          <w:i/>
          <w:sz w:val="22"/>
          <w:szCs w:val="22"/>
          <w:lang w:val="fr-FR"/>
        </w:rPr>
        <w:t xml:space="preserve"> c. Sa Majesté la Reine</w:t>
      </w:r>
      <w:r w:rsidRPr="00F50007">
        <w:rPr>
          <w:sz w:val="22"/>
          <w:szCs w:val="22"/>
          <w:lang w:val="fr-FR"/>
        </w:rPr>
        <w:t xml:space="preserve"> (Qc) (Criminelle) (Autorisation) </w:t>
      </w:r>
      <w:r w:rsidRPr="00F50007">
        <w:rPr>
          <w:sz w:val="22"/>
          <w:szCs w:val="22"/>
          <w:lang w:val="fr-CA"/>
        </w:rPr>
        <w:t>(</w:t>
      </w:r>
      <w:r w:rsidR="006C7E2E">
        <w:fldChar w:fldCharType="begin"/>
      </w:r>
      <w:r w:rsidR="006C7E2E" w:rsidRPr="006C7E2E">
        <w:rPr>
          <w:lang w:val="fr-CA"/>
        </w:rPr>
        <w:instrText xml:space="preserve"> HYPERLINK "http://www.scc-csc.ca/case-dossier/info/sum-som-fra.aspx?cas=37607" </w:instrText>
      </w:r>
      <w:r w:rsidR="006C7E2E">
        <w:fldChar w:fldCharType="separate"/>
      </w:r>
      <w:r w:rsidRPr="00F50007">
        <w:rPr>
          <w:rStyle w:val="Hyperlink"/>
          <w:sz w:val="22"/>
          <w:szCs w:val="22"/>
          <w:lang w:val="fr-CA"/>
        </w:rPr>
        <w:t>37607</w:t>
      </w:r>
      <w:r w:rsidR="006C7E2E">
        <w:rPr>
          <w:rStyle w:val="Hyperlink"/>
          <w:sz w:val="22"/>
          <w:szCs w:val="22"/>
          <w:lang w:val="fr-CA"/>
        </w:rPr>
        <w:fldChar w:fldCharType="end"/>
      </w:r>
      <w:r w:rsidRPr="00F50007">
        <w:rPr>
          <w:sz w:val="22"/>
          <w:szCs w:val="22"/>
          <w:lang w:val="fr-CA"/>
        </w:rPr>
        <w:t>)</w:t>
      </w:r>
    </w:p>
    <w:p w:rsidR="00824220" w:rsidRPr="00F50007" w:rsidRDefault="00131605" w:rsidP="003A5E8C">
      <w:pPr>
        <w:widowControl w:val="0"/>
        <w:rPr>
          <w:sz w:val="20"/>
        </w:rPr>
      </w:pPr>
      <w:r w:rsidRPr="00F50007">
        <w:rPr>
          <w:sz w:val="20"/>
          <w:lang w:val="fr-CA"/>
        </w:rPr>
        <w:t xml:space="preserve">(La requête en prorogation du délai de signification et de dépôt de la demande d’autorisation d’appel est accueillie. </w:t>
      </w:r>
      <w:r w:rsidRPr="00F50007">
        <w:rPr>
          <w:sz w:val="20"/>
        </w:rPr>
        <w:t xml:space="preserve">La demande d’autorisation d’appel </w:t>
      </w:r>
      <w:proofErr w:type="gramStart"/>
      <w:r w:rsidRPr="00F50007">
        <w:rPr>
          <w:sz w:val="20"/>
        </w:rPr>
        <w:t>est</w:t>
      </w:r>
      <w:proofErr w:type="gramEnd"/>
      <w:r w:rsidRPr="00F50007">
        <w:rPr>
          <w:sz w:val="20"/>
        </w:rPr>
        <w:t xml:space="preserve"> rejetée. / </w:t>
      </w:r>
    </w:p>
    <w:p w:rsidR="00352C8A" w:rsidRPr="00F50007" w:rsidRDefault="00131605" w:rsidP="003A5E8C">
      <w:pPr>
        <w:widowControl w:val="0"/>
        <w:rPr>
          <w:sz w:val="20"/>
        </w:rPr>
      </w:pPr>
      <w:r w:rsidRPr="00F50007">
        <w:rPr>
          <w:sz w:val="20"/>
          <w:lang w:val="en-CA"/>
        </w:rPr>
        <w:t>The motion for an extension of time to serve and file the application for leave to appeal is granted. The application for leave to appeal is dismissed.)</w:t>
      </w:r>
    </w:p>
    <w:p w:rsidR="00352C8A" w:rsidRPr="00F50007" w:rsidRDefault="00352C8A" w:rsidP="003A5E8C">
      <w:pPr>
        <w:widowControl w:val="0"/>
        <w:rPr>
          <w:sz w:val="20"/>
        </w:rPr>
      </w:pPr>
    </w:p>
    <w:p w:rsidR="003A5E8C" w:rsidRPr="00F50007" w:rsidRDefault="003A5E8C" w:rsidP="003A5E8C">
      <w:pPr>
        <w:jc w:val="both"/>
        <w:rPr>
          <w:sz w:val="20"/>
        </w:rPr>
      </w:pPr>
      <w:r w:rsidRPr="00F50007">
        <w:rPr>
          <w:sz w:val="20"/>
        </w:rPr>
        <w:t>****</w:t>
      </w:r>
    </w:p>
    <w:p w:rsidR="00FC5FC5" w:rsidRPr="00F50007" w:rsidRDefault="00FC5FC5" w:rsidP="00FC5FC5">
      <w:pPr>
        <w:ind w:left="360" w:hanging="360"/>
        <w:jc w:val="both"/>
        <w:rPr>
          <w:sz w:val="20"/>
          <w:lang w:eastAsia="en-CA"/>
        </w:rPr>
      </w:pPr>
    </w:p>
    <w:p w:rsidR="00342295" w:rsidRPr="00F50007" w:rsidRDefault="00342295" w:rsidP="00342295">
      <w:pPr>
        <w:jc w:val="both"/>
        <w:rPr>
          <w:sz w:val="22"/>
          <w:szCs w:val="22"/>
          <w:lang w:val="en-CA"/>
        </w:rPr>
      </w:pPr>
      <w:r w:rsidRPr="00F50007">
        <w:rPr>
          <w:i/>
          <w:sz w:val="22"/>
          <w:szCs w:val="22"/>
          <w:lang w:val="en-CA"/>
        </w:rPr>
        <w:lastRenderedPageBreak/>
        <w:t>Stephen Parsons v. B. Komer</w:t>
      </w:r>
      <w:r w:rsidRPr="00F50007">
        <w:rPr>
          <w:sz w:val="22"/>
          <w:szCs w:val="22"/>
          <w:lang w:val="en-CA"/>
        </w:rPr>
        <w:t xml:space="preserve"> (Ont.) (Civil) (By Leave) </w:t>
      </w:r>
      <w:r w:rsidRPr="00F50007">
        <w:rPr>
          <w:sz w:val="22"/>
          <w:szCs w:val="22"/>
        </w:rPr>
        <w:t>(</w:t>
      </w:r>
      <w:hyperlink r:id="rId12" w:history="1">
        <w:r w:rsidRPr="00F50007">
          <w:rPr>
            <w:rStyle w:val="Hyperlink"/>
            <w:sz w:val="22"/>
            <w:szCs w:val="22"/>
          </w:rPr>
          <w:t>37704</w:t>
        </w:r>
      </w:hyperlink>
      <w:r w:rsidRPr="00F50007">
        <w:rPr>
          <w:sz w:val="22"/>
          <w:szCs w:val="22"/>
        </w:rPr>
        <w:t>)</w:t>
      </w:r>
    </w:p>
    <w:p w:rsidR="00352C8A" w:rsidRPr="00F50007" w:rsidRDefault="00342295" w:rsidP="003A5E8C">
      <w:pPr>
        <w:widowControl w:val="0"/>
        <w:rPr>
          <w:sz w:val="20"/>
        </w:rPr>
      </w:pPr>
      <w:r w:rsidRPr="00F50007">
        <w:rPr>
          <w:sz w:val="20"/>
          <w:lang w:val="en-CA"/>
        </w:rPr>
        <w:t>(</w:t>
      </w:r>
      <w:r w:rsidRPr="00F50007">
        <w:rPr>
          <w:sz w:val="20"/>
        </w:rPr>
        <w:t xml:space="preserve">The application for leave to appeal is dismissed. / La demande d’autorisation d’appel </w:t>
      </w:r>
      <w:proofErr w:type="gramStart"/>
      <w:r w:rsidRPr="00F50007">
        <w:rPr>
          <w:sz w:val="20"/>
        </w:rPr>
        <w:t>est</w:t>
      </w:r>
      <w:proofErr w:type="gramEnd"/>
      <w:r w:rsidRPr="00F50007">
        <w:rPr>
          <w:sz w:val="20"/>
        </w:rPr>
        <w:t xml:space="preserve"> rejetée.)</w:t>
      </w:r>
    </w:p>
    <w:p w:rsidR="00352C8A" w:rsidRPr="00F50007" w:rsidRDefault="00352C8A" w:rsidP="003A5E8C">
      <w:pPr>
        <w:widowControl w:val="0"/>
        <w:rPr>
          <w:sz w:val="20"/>
        </w:rPr>
      </w:pPr>
    </w:p>
    <w:p w:rsidR="003A5E8C" w:rsidRPr="00F50007" w:rsidRDefault="003A5E8C" w:rsidP="003A5E8C">
      <w:pPr>
        <w:jc w:val="both"/>
        <w:rPr>
          <w:sz w:val="20"/>
        </w:rPr>
      </w:pPr>
      <w:r w:rsidRPr="00F50007">
        <w:rPr>
          <w:sz w:val="20"/>
        </w:rPr>
        <w:t>****</w:t>
      </w:r>
    </w:p>
    <w:p w:rsidR="001D2E61" w:rsidRPr="00F50007" w:rsidRDefault="001D2E61" w:rsidP="001D2E61">
      <w:pPr>
        <w:jc w:val="both"/>
        <w:rPr>
          <w:sz w:val="20"/>
        </w:rPr>
      </w:pPr>
    </w:p>
    <w:p w:rsidR="00952FCA" w:rsidRPr="00F50007" w:rsidRDefault="00952FCA" w:rsidP="00952FCA">
      <w:pPr>
        <w:jc w:val="both"/>
        <w:rPr>
          <w:sz w:val="22"/>
          <w:szCs w:val="22"/>
          <w:lang w:val="en-CA"/>
        </w:rPr>
      </w:pPr>
      <w:r w:rsidRPr="00F50007">
        <w:rPr>
          <w:i/>
          <w:sz w:val="22"/>
          <w:szCs w:val="22"/>
        </w:rPr>
        <w:t>V. Lorne Humphreys v. Barry Trebilcock et al.</w:t>
      </w:r>
      <w:r w:rsidRPr="00F50007">
        <w:rPr>
          <w:sz w:val="22"/>
          <w:szCs w:val="22"/>
        </w:rPr>
        <w:t xml:space="preserve"> (Alta.) (Civil) </w:t>
      </w:r>
      <w:r w:rsidRPr="00F50007">
        <w:rPr>
          <w:sz w:val="22"/>
          <w:szCs w:val="22"/>
          <w:lang w:val="en-CA"/>
        </w:rPr>
        <w:t xml:space="preserve">(By Leave) </w:t>
      </w:r>
      <w:r w:rsidRPr="00F50007">
        <w:rPr>
          <w:sz w:val="22"/>
          <w:szCs w:val="22"/>
        </w:rPr>
        <w:t>(</w:t>
      </w:r>
      <w:hyperlink r:id="rId13" w:history="1">
        <w:r w:rsidRPr="00F50007">
          <w:rPr>
            <w:rStyle w:val="Hyperlink"/>
            <w:sz w:val="22"/>
            <w:szCs w:val="22"/>
          </w:rPr>
          <w:t>37626</w:t>
        </w:r>
      </w:hyperlink>
      <w:r w:rsidRPr="00F50007">
        <w:rPr>
          <w:sz w:val="22"/>
          <w:szCs w:val="22"/>
        </w:rPr>
        <w:t>)</w:t>
      </w:r>
    </w:p>
    <w:p w:rsidR="00352C8A" w:rsidRPr="00F50007" w:rsidRDefault="00952FCA" w:rsidP="001D2E61">
      <w:pPr>
        <w:jc w:val="both"/>
        <w:rPr>
          <w:sz w:val="20"/>
          <w:lang w:val="en-CA"/>
        </w:rPr>
      </w:pPr>
      <w:r w:rsidRPr="00F50007">
        <w:rPr>
          <w:sz w:val="20"/>
          <w:lang w:val="en-CA"/>
        </w:rPr>
        <w:t>(</w:t>
      </w:r>
      <w:r w:rsidRPr="00F50007">
        <w:rPr>
          <w:sz w:val="20"/>
        </w:rPr>
        <w:t xml:space="preserve">The motion to join two orders so that a single application for leave to appeal may be filed is granted. The application for leave to appeal is dismissed with costs in accordance with the Tariff of fees and disbursements set out in Schedule B of the </w:t>
      </w:r>
      <w:r w:rsidRPr="00F50007">
        <w:rPr>
          <w:i/>
          <w:sz w:val="20"/>
        </w:rPr>
        <w:t>Rules of the Supreme Court of Canada</w:t>
      </w:r>
      <w:r w:rsidRPr="00F50007">
        <w:rPr>
          <w:sz w:val="20"/>
        </w:rPr>
        <w:t xml:space="preserve">. / </w:t>
      </w:r>
    </w:p>
    <w:p w:rsidR="00352C8A" w:rsidRPr="00F50007" w:rsidRDefault="00952FCA" w:rsidP="00952FCA">
      <w:pPr>
        <w:jc w:val="both"/>
        <w:textAlignment w:val="top"/>
        <w:rPr>
          <w:sz w:val="20"/>
          <w:lang w:val="fr-FR"/>
        </w:rPr>
      </w:pPr>
      <w:r w:rsidRPr="00F50007">
        <w:rPr>
          <w:sz w:val="20"/>
          <w:lang w:val="fr-FR"/>
        </w:rPr>
        <w:t xml:space="preserve">La requête pour joindre deux ordonnances pour qu’une seule demande d’autorisation d’appel puisse être déposée est accueillie. </w:t>
      </w:r>
      <w:r w:rsidRPr="00F50007">
        <w:rPr>
          <w:sz w:val="20"/>
          <w:lang w:val="fr-CA"/>
        </w:rPr>
        <w:t xml:space="preserve">La demande d’autorisation d’appel est rejetée avec dépens </w:t>
      </w:r>
      <w:r w:rsidRPr="00F50007">
        <w:rPr>
          <w:sz w:val="20"/>
          <w:lang w:val="fr-FR" w:eastAsia="en-CA"/>
        </w:rPr>
        <w:t xml:space="preserve">conformément au tarif des honoraires et débours établi à l’Annexe B des </w:t>
      </w:r>
      <w:r w:rsidRPr="00F50007">
        <w:rPr>
          <w:i/>
          <w:sz w:val="20"/>
          <w:lang w:val="fr-FR" w:eastAsia="en-CA"/>
        </w:rPr>
        <w:t>Règles de la Cour suprême du Canada</w:t>
      </w:r>
      <w:r w:rsidRPr="00F50007">
        <w:rPr>
          <w:sz w:val="20"/>
          <w:lang w:val="fr-FR" w:eastAsia="en-CA"/>
        </w:rPr>
        <w:t>.</w:t>
      </w:r>
      <w:r w:rsidRPr="00F50007">
        <w:rPr>
          <w:sz w:val="20"/>
          <w:lang w:val="fr-FR"/>
        </w:rPr>
        <w:t>)</w:t>
      </w:r>
    </w:p>
    <w:p w:rsidR="00352C8A" w:rsidRPr="00F50007" w:rsidRDefault="00352C8A" w:rsidP="001D2E61">
      <w:pPr>
        <w:jc w:val="both"/>
        <w:rPr>
          <w:sz w:val="20"/>
          <w:lang w:val="fr-CA"/>
        </w:rPr>
      </w:pPr>
    </w:p>
    <w:p w:rsidR="001D2E61" w:rsidRPr="00F50007" w:rsidRDefault="001D2E61" w:rsidP="001D2E61">
      <w:pPr>
        <w:jc w:val="both"/>
        <w:rPr>
          <w:sz w:val="20"/>
          <w:lang w:val="fr-CA"/>
        </w:rPr>
      </w:pPr>
      <w:r w:rsidRPr="00F50007">
        <w:rPr>
          <w:sz w:val="20"/>
          <w:lang w:val="fr-CA"/>
        </w:rPr>
        <w:t>****</w:t>
      </w:r>
    </w:p>
    <w:p w:rsidR="001D2E61" w:rsidRPr="00F50007" w:rsidRDefault="001D2E61" w:rsidP="001D2E61">
      <w:pPr>
        <w:ind w:left="360" w:hanging="360"/>
        <w:jc w:val="both"/>
        <w:rPr>
          <w:sz w:val="20"/>
          <w:lang w:val="fr-CA" w:eastAsia="en-CA"/>
        </w:rPr>
      </w:pPr>
    </w:p>
    <w:p w:rsidR="00013ACB" w:rsidRPr="00F50007" w:rsidRDefault="00013ACB" w:rsidP="00013ACB">
      <w:pPr>
        <w:jc w:val="both"/>
        <w:rPr>
          <w:sz w:val="22"/>
          <w:szCs w:val="22"/>
          <w:lang w:val="en-CA"/>
        </w:rPr>
      </w:pPr>
      <w:r w:rsidRPr="00F50007">
        <w:rPr>
          <w:i/>
          <w:sz w:val="22"/>
          <w:szCs w:val="22"/>
          <w:lang w:val="fr-CA"/>
        </w:rPr>
        <w:t>Pavol Forgac v. Bombardier Inc.</w:t>
      </w:r>
      <w:r w:rsidRPr="00F50007">
        <w:rPr>
          <w:sz w:val="22"/>
          <w:szCs w:val="22"/>
          <w:lang w:val="fr-CA"/>
        </w:rPr>
        <w:t xml:space="preserve"> </w:t>
      </w:r>
      <w:r w:rsidRPr="00F50007">
        <w:rPr>
          <w:sz w:val="22"/>
          <w:szCs w:val="22"/>
          <w:lang w:val="en-CA"/>
        </w:rPr>
        <w:t xml:space="preserve">(Que.) (Civil) (By Leave) </w:t>
      </w:r>
      <w:r w:rsidRPr="00F50007">
        <w:rPr>
          <w:sz w:val="22"/>
          <w:szCs w:val="22"/>
        </w:rPr>
        <w:t>(</w:t>
      </w:r>
      <w:hyperlink r:id="rId14" w:history="1">
        <w:r w:rsidRPr="00F50007">
          <w:rPr>
            <w:rStyle w:val="Hyperlink"/>
            <w:sz w:val="22"/>
            <w:szCs w:val="22"/>
          </w:rPr>
          <w:t>37611</w:t>
        </w:r>
      </w:hyperlink>
      <w:r w:rsidRPr="00F50007">
        <w:rPr>
          <w:sz w:val="22"/>
          <w:szCs w:val="22"/>
        </w:rPr>
        <w:t>)</w:t>
      </w:r>
    </w:p>
    <w:p w:rsidR="00352C8A" w:rsidRPr="00F50007" w:rsidRDefault="00013ACB" w:rsidP="001D2E61">
      <w:pPr>
        <w:widowControl w:val="0"/>
        <w:rPr>
          <w:sz w:val="20"/>
        </w:rPr>
      </w:pPr>
      <w:r w:rsidRPr="00F50007">
        <w:rPr>
          <w:sz w:val="20"/>
        </w:rPr>
        <w:t xml:space="preserve">(The application for leave to appeal is dismissed with costs. / La demande d’autorisation d’appel </w:t>
      </w:r>
      <w:proofErr w:type="gramStart"/>
      <w:r w:rsidRPr="00F50007">
        <w:rPr>
          <w:sz w:val="20"/>
        </w:rPr>
        <w:t>est</w:t>
      </w:r>
      <w:proofErr w:type="gramEnd"/>
      <w:r w:rsidRPr="00F50007">
        <w:rPr>
          <w:sz w:val="20"/>
        </w:rPr>
        <w:t xml:space="preserve"> rejetée avec dépens.)</w:t>
      </w:r>
    </w:p>
    <w:p w:rsidR="00352C8A" w:rsidRPr="00F50007" w:rsidRDefault="00352C8A" w:rsidP="001D2E61">
      <w:pPr>
        <w:widowControl w:val="0"/>
        <w:rPr>
          <w:sz w:val="20"/>
        </w:rPr>
      </w:pPr>
    </w:p>
    <w:p w:rsidR="001D2E61" w:rsidRPr="00F50007" w:rsidRDefault="001D2E61" w:rsidP="001D2E61">
      <w:pPr>
        <w:jc w:val="both"/>
        <w:rPr>
          <w:sz w:val="20"/>
        </w:rPr>
      </w:pPr>
      <w:r w:rsidRPr="00F50007">
        <w:rPr>
          <w:sz w:val="20"/>
        </w:rPr>
        <w:t>****</w:t>
      </w:r>
    </w:p>
    <w:p w:rsidR="001D2E61" w:rsidRPr="00F50007" w:rsidRDefault="001D2E61" w:rsidP="001D2E61">
      <w:pPr>
        <w:jc w:val="both"/>
        <w:rPr>
          <w:sz w:val="20"/>
        </w:rPr>
      </w:pPr>
    </w:p>
    <w:p w:rsidR="00A94210" w:rsidRPr="00F50007" w:rsidRDefault="00A94210" w:rsidP="00A94210">
      <w:pPr>
        <w:jc w:val="both"/>
        <w:rPr>
          <w:sz w:val="22"/>
          <w:szCs w:val="22"/>
          <w:lang w:val="en-CA"/>
        </w:rPr>
      </w:pPr>
      <w:r w:rsidRPr="00F50007">
        <w:rPr>
          <w:i/>
          <w:sz w:val="22"/>
          <w:szCs w:val="22"/>
          <w:lang w:val="en-CA"/>
        </w:rPr>
        <w:t>Colin Hugh Martin v. Canada (Minister of Justice)</w:t>
      </w:r>
      <w:r w:rsidRPr="00F50007">
        <w:rPr>
          <w:sz w:val="22"/>
          <w:szCs w:val="22"/>
          <w:lang w:val="en-CA"/>
        </w:rPr>
        <w:t xml:space="preserve"> (B.C.) (Criminal) (By Leave) </w:t>
      </w:r>
      <w:r w:rsidRPr="00F50007">
        <w:rPr>
          <w:sz w:val="22"/>
          <w:szCs w:val="22"/>
        </w:rPr>
        <w:t>(</w:t>
      </w:r>
      <w:hyperlink r:id="rId15" w:history="1">
        <w:r w:rsidRPr="00F50007">
          <w:rPr>
            <w:rStyle w:val="Hyperlink"/>
            <w:sz w:val="22"/>
            <w:szCs w:val="22"/>
          </w:rPr>
          <w:t>37614</w:t>
        </w:r>
      </w:hyperlink>
      <w:r w:rsidRPr="00F50007">
        <w:rPr>
          <w:sz w:val="22"/>
          <w:szCs w:val="22"/>
        </w:rPr>
        <w:t>)</w:t>
      </w:r>
    </w:p>
    <w:p w:rsidR="00352C8A" w:rsidRPr="00F50007" w:rsidRDefault="00A94210" w:rsidP="001D2E61">
      <w:pPr>
        <w:widowControl w:val="0"/>
        <w:rPr>
          <w:sz w:val="20"/>
        </w:rPr>
      </w:pPr>
      <w:r w:rsidRPr="00F50007">
        <w:rPr>
          <w:sz w:val="20"/>
        </w:rPr>
        <w:t xml:space="preserve">(The application for leave to appeal is dismissed without costs. / La demande d’autorisation d’appel </w:t>
      </w:r>
      <w:proofErr w:type="gramStart"/>
      <w:r w:rsidRPr="00F50007">
        <w:rPr>
          <w:sz w:val="20"/>
        </w:rPr>
        <w:t>est</w:t>
      </w:r>
      <w:proofErr w:type="gramEnd"/>
      <w:r w:rsidRPr="00F50007">
        <w:rPr>
          <w:sz w:val="20"/>
        </w:rPr>
        <w:t xml:space="preserve"> rejetée sans dépens.)</w:t>
      </w:r>
    </w:p>
    <w:p w:rsidR="00352C8A" w:rsidRPr="00F50007" w:rsidRDefault="00352C8A" w:rsidP="001D2E61">
      <w:pPr>
        <w:widowControl w:val="0"/>
        <w:rPr>
          <w:sz w:val="20"/>
        </w:rPr>
      </w:pPr>
    </w:p>
    <w:p w:rsidR="001D2E61" w:rsidRPr="00F50007" w:rsidRDefault="001D2E61" w:rsidP="001D2E61">
      <w:pPr>
        <w:jc w:val="both"/>
        <w:rPr>
          <w:sz w:val="20"/>
        </w:rPr>
      </w:pPr>
      <w:r w:rsidRPr="00F50007">
        <w:rPr>
          <w:sz w:val="20"/>
        </w:rPr>
        <w:t>****</w:t>
      </w:r>
    </w:p>
    <w:p w:rsidR="00B63AF6" w:rsidRPr="00F50007" w:rsidRDefault="00B63AF6" w:rsidP="00B63AF6">
      <w:pPr>
        <w:tabs>
          <w:tab w:val="left" w:pos="900"/>
          <w:tab w:val="center" w:pos="5760"/>
        </w:tabs>
        <w:ind w:left="360" w:hanging="360"/>
        <w:rPr>
          <w:sz w:val="20"/>
        </w:rPr>
      </w:pPr>
    </w:p>
    <w:p w:rsidR="002A0D9F" w:rsidRPr="00F50007" w:rsidRDefault="002A0D9F" w:rsidP="002A0D9F">
      <w:pPr>
        <w:jc w:val="both"/>
        <w:rPr>
          <w:sz w:val="22"/>
          <w:szCs w:val="22"/>
        </w:rPr>
      </w:pPr>
      <w:r w:rsidRPr="00F50007">
        <w:rPr>
          <w:i/>
          <w:sz w:val="22"/>
          <w:szCs w:val="22"/>
          <w:lang w:val="en-CA"/>
        </w:rPr>
        <w:t>Kyla Lee et al. v. Attorney General of British Columbia</w:t>
      </w:r>
      <w:r w:rsidRPr="00F50007">
        <w:rPr>
          <w:sz w:val="22"/>
          <w:szCs w:val="22"/>
          <w:lang w:val="en-CA"/>
        </w:rPr>
        <w:t xml:space="preserve"> (B.C.) </w:t>
      </w:r>
      <w:r w:rsidRPr="00F50007">
        <w:rPr>
          <w:sz w:val="22"/>
          <w:szCs w:val="22"/>
        </w:rPr>
        <w:t>(Civil) (By Leave) (</w:t>
      </w:r>
      <w:hyperlink r:id="rId16" w:history="1">
        <w:r w:rsidRPr="00F50007">
          <w:rPr>
            <w:rStyle w:val="Hyperlink"/>
            <w:sz w:val="22"/>
            <w:szCs w:val="22"/>
          </w:rPr>
          <w:t>37735</w:t>
        </w:r>
      </w:hyperlink>
      <w:r w:rsidRPr="00F50007">
        <w:rPr>
          <w:sz w:val="22"/>
          <w:szCs w:val="22"/>
        </w:rPr>
        <w:t>)</w:t>
      </w:r>
    </w:p>
    <w:p w:rsidR="00136895" w:rsidRPr="00F50007" w:rsidRDefault="002A0D9F" w:rsidP="00136895">
      <w:pPr>
        <w:widowControl w:val="0"/>
        <w:rPr>
          <w:sz w:val="20"/>
        </w:rPr>
      </w:pPr>
      <w:r w:rsidRPr="00F50007">
        <w:rPr>
          <w:sz w:val="20"/>
        </w:rPr>
        <w:t xml:space="preserve">(The application for leave to appeal is dismissed with costs. / La demande d’autorisation d’appel </w:t>
      </w:r>
      <w:proofErr w:type="gramStart"/>
      <w:r w:rsidRPr="00F50007">
        <w:rPr>
          <w:sz w:val="20"/>
        </w:rPr>
        <w:t>est</w:t>
      </w:r>
      <w:proofErr w:type="gramEnd"/>
      <w:r w:rsidRPr="00F50007">
        <w:rPr>
          <w:sz w:val="20"/>
        </w:rPr>
        <w:t xml:space="preserve"> rejetée avec dépens.)</w:t>
      </w:r>
    </w:p>
    <w:p w:rsidR="00136895" w:rsidRPr="00F50007" w:rsidRDefault="00136895" w:rsidP="00136895">
      <w:pPr>
        <w:widowControl w:val="0"/>
        <w:rPr>
          <w:sz w:val="20"/>
        </w:rPr>
      </w:pPr>
    </w:p>
    <w:p w:rsidR="00136895" w:rsidRPr="00F50007" w:rsidRDefault="00136895" w:rsidP="00136895">
      <w:pPr>
        <w:jc w:val="both"/>
        <w:rPr>
          <w:sz w:val="20"/>
        </w:rPr>
      </w:pPr>
      <w:r w:rsidRPr="00F50007">
        <w:rPr>
          <w:sz w:val="20"/>
        </w:rPr>
        <w:t>****</w:t>
      </w:r>
    </w:p>
    <w:p w:rsidR="00136895" w:rsidRPr="00F50007" w:rsidRDefault="00136895" w:rsidP="00136895">
      <w:pPr>
        <w:jc w:val="both"/>
        <w:rPr>
          <w:sz w:val="20"/>
        </w:rPr>
      </w:pPr>
    </w:p>
    <w:p w:rsidR="007D36C9" w:rsidRPr="00F50007" w:rsidRDefault="007D36C9" w:rsidP="007D36C9">
      <w:pPr>
        <w:jc w:val="both"/>
        <w:rPr>
          <w:sz w:val="22"/>
          <w:szCs w:val="22"/>
          <w:lang w:val="fr-FR"/>
        </w:rPr>
      </w:pPr>
      <w:r w:rsidRPr="00F50007">
        <w:rPr>
          <w:i/>
          <w:sz w:val="22"/>
          <w:szCs w:val="22"/>
          <w:lang w:val="fr-FR"/>
        </w:rPr>
        <w:t>Pierre Martel c. Loto-Québec et autre</w:t>
      </w:r>
      <w:r w:rsidRPr="00F50007">
        <w:rPr>
          <w:sz w:val="22"/>
          <w:szCs w:val="22"/>
          <w:lang w:val="fr-FR"/>
        </w:rPr>
        <w:t xml:space="preserve"> (Qc) (Civile) (Autorisation) </w:t>
      </w:r>
      <w:r w:rsidRPr="00F50007">
        <w:rPr>
          <w:sz w:val="22"/>
          <w:szCs w:val="22"/>
          <w:lang w:val="fr-CA"/>
        </w:rPr>
        <w:t>(</w:t>
      </w:r>
      <w:r w:rsidR="006C7E2E">
        <w:fldChar w:fldCharType="begin"/>
      </w:r>
      <w:r w:rsidR="006C7E2E" w:rsidRPr="006C7E2E">
        <w:rPr>
          <w:lang w:val="fr-CA"/>
        </w:rPr>
        <w:instrText xml:space="preserve"> HYPERLINK "http://www.scc-csc.ca/case-dossier/info/sum-som-fra.aspx?cas=37758" </w:instrText>
      </w:r>
      <w:r w:rsidR="006C7E2E">
        <w:fldChar w:fldCharType="separate"/>
      </w:r>
      <w:r w:rsidRPr="00F50007">
        <w:rPr>
          <w:rStyle w:val="Hyperlink"/>
          <w:sz w:val="22"/>
          <w:szCs w:val="22"/>
          <w:lang w:val="fr-CA"/>
        </w:rPr>
        <w:t>37758</w:t>
      </w:r>
      <w:r w:rsidR="006C7E2E">
        <w:rPr>
          <w:rStyle w:val="Hyperlink"/>
          <w:sz w:val="22"/>
          <w:szCs w:val="22"/>
          <w:lang w:val="fr-CA"/>
        </w:rPr>
        <w:fldChar w:fldCharType="end"/>
      </w:r>
      <w:r w:rsidRPr="00F50007">
        <w:rPr>
          <w:sz w:val="22"/>
          <w:szCs w:val="22"/>
          <w:lang w:val="fr-CA"/>
        </w:rPr>
        <w:t>)</w:t>
      </w:r>
    </w:p>
    <w:p w:rsidR="00136895" w:rsidRPr="00F50007" w:rsidRDefault="007D36C9" w:rsidP="00136895">
      <w:pPr>
        <w:jc w:val="both"/>
        <w:rPr>
          <w:sz w:val="20"/>
          <w:lang w:val="fr-FR"/>
        </w:rPr>
      </w:pPr>
      <w:r w:rsidRPr="00F50007">
        <w:rPr>
          <w:sz w:val="20"/>
          <w:lang w:val="fr-FR"/>
        </w:rPr>
        <w:t xml:space="preserve">(La demande d’autorisation d’appel est rejetée sans dépens. / The application for leave to appeal is dismissed </w:t>
      </w:r>
      <w:proofErr w:type="spellStart"/>
      <w:r w:rsidRPr="00F50007">
        <w:rPr>
          <w:sz w:val="20"/>
          <w:lang w:val="fr-FR"/>
        </w:rPr>
        <w:t>without</w:t>
      </w:r>
      <w:proofErr w:type="spellEnd"/>
      <w:r w:rsidRPr="00F50007">
        <w:rPr>
          <w:sz w:val="20"/>
          <w:lang w:val="fr-FR"/>
        </w:rPr>
        <w:t xml:space="preserve"> costs.)</w:t>
      </w:r>
      <w:r w:rsidR="00456E0C" w:rsidRPr="00F50007">
        <w:rPr>
          <w:sz w:val="20"/>
          <w:lang w:val="fr-FR"/>
        </w:rPr>
        <w:t xml:space="preserve"> </w:t>
      </w:r>
    </w:p>
    <w:p w:rsidR="00136895" w:rsidRPr="00F50007" w:rsidRDefault="00136895" w:rsidP="00136895">
      <w:pPr>
        <w:jc w:val="both"/>
        <w:rPr>
          <w:sz w:val="20"/>
          <w:lang w:val="fr-FR"/>
        </w:rPr>
      </w:pPr>
    </w:p>
    <w:p w:rsidR="00136895" w:rsidRPr="00F50007" w:rsidRDefault="00136895" w:rsidP="00136895">
      <w:pPr>
        <w:jc w:val="both"/>
        <w:rPr>
          <w:sz w:val="20"/>
          <w:lang w:val="fr-CA"/>
        </w:rPr>
      </w:pPr>
      <w:r w:rsidRPr="00F50007">
        <w:rPr>
          <w:sz w:val="20"/>
          <w:lang w:val="fr-CA"/>
        </w:rPr>
        <w:t>****</w:t>
      </w:r>
    </w:p>
    <w:p w:rsidR="00136895" w:rsidRPr="00F50007" w:rsidRDefault="00136895" w:rsidP="00136895">
      <w:pPr>
        <w:ind w:left="360" w:hanging="360"/>
        <w:jc w:val="both"/>
        <w:rPr>
          <w:sz w:val="20"/>
          <w:lang w:val="fr-CA" w:eastAsia="en-CA"/>
        </w:rPr>
      </w:pPr>
    </w:p>
    <w:p w:rsidR="00857B21" w:rsidRPr="00F50007" w:rsidRDefault="00857B21" w:rsidP="00857B21">
      <w:pPr>
        <w:jc w:val="both"/>
        <w:rPr>
          <w:sz w:val="22"/>
          <w:szCs w:val="22"/>
          <w:lang w:val="en-CA"/>
        </w:rPr>
      </w:pPr>
      <w:r w:rsidRPr="00F50007">
        <w:rPr>
          <w:i/>
          <w:sz w:val="22"/>
          <w:szCs w:val="22"/>
          <w:lang w:val="fr-CA"/>
        </w:rPr>
        <w:t xml:space="preserve">Paul Azeff et al. v. Ontario Securities Commission </w:t>
      </w:r>
      <w:r w:rsidRPr="00F50007">
        <w:rPr>
          <w:sz w:val="22"/>
          <w:szCs w:val="22"/>
          <w:lang w:val="fr-CA"/>
        </w:rPr>
        <w:t xml:space="preserve">(Ont.) </w:t>
      </w:r>
      <w:r w:rsidRPr="00F50007">
        <w:rPr>
          <w:sz w:val="22"/>
          <w:szCs w:val="22"/>
          <w:lang w:val="en-CA"/>
        </w:rPr>
        <w:t xml:space="preserve">(Civil) (By Leave) </w:t>
      </w:r>
      <w:r w:rsidRPr="00F50007">
        <w:rPr>
          <w:sz w:val="22"/>
          <w:szCs w:val="22"/>
        </w:rPr>
        <w:t>(</w:t>
      </w:r>
      <w:hyperlink r:id="rId17" w:history="1">
        <w:r w:rsidRPr="00F50007">
          <w:rPr>
            <w:rStyle w:val="Hyperlink"/>
            <w:sz w:val="22"/>
            <w:szCs w:val="22"/>
          </w:rPr>
          <w:t>37699</w:t>
        </w:r>
      </w:hyperlink>
      <w:r w:rsidRPr="00F50007">
        <w:rPr>
          <w:sz w:val="22"/>
          <w:szCs w:val="22"/>
        </w:rPr>
        <w:t>)</w:t>
      </w:r>
    </w:p>
    <w:p w:rsidR="00136895" w:rsidRPr="00F50007" w:rsidRDefault="00857B21" w:rsidP="00136895">
      <w:pPr>
        <w:widowControl w:val="0"/>
        <w:rPr>
          <w:sz w:val="20"/>
        </w:rPr>
      </w:pPr>
      <w:r w:rsidRPr="00F50007">
        <w:rPr>
          <w:sz w:val="20"/>
        </w:rPr>
        <w:t xml:space="preserve">(The motion for an extension of time to file the application for leave to appeal is granted. The application for leave to appeal is dismissed with costs. / </w:t>
      </w:r>
    </w:p>
    <w:p w:rsidR="00136895" w:rsidRPr="00F50007" w:rsidRDefault="00857B21" w:rsidP="00136895">
      <w:pPr>
        <w:widowControl w:val="0"/>
        <w:rPr>
          <w:sz w:val="20"/>
          <w:lang w:val="fr-CA"/>
        </w:rPr>
      </w:pPr>
      <w:r w:rsidRPr="00F50007">
        <w:rPr>
          <w:sz w:val="20"/>
          <w:lang w:val="fr-CA"/>
        </w:rPr>
        <w:t>La requête en prorogation du délai de dépôt de la demande d’autorisation d’appel est accueillie. La demande d’autorisation d’appel est rejetée avec dépens.)</w:t>
      </w:r>
    </w:p>
    <w:p w:rsidR="00136895" w:rsidRPr="00F50007" w:rsidRDefault="00136895" w:rsidP="00136895">
      <w:pPr>
        <w:widowControl w:val="0"/>
        <w:rPr>
          <w:sz w:val="20"/>
          <w:lang w:val="fr-CA"/>
        </w:rPr>
      </w:pPr>
    </w:p>
    <w:p w:rsidR="00136895" w:rsidRPr="00F50007" w:rsidRDefault="00136895" w:rsidP="00136895">
      <w:pPr>
        <w:jc w:val="both"/>
        <w:rPr>
          <w:sz w:val="20"/>
          <w:lang w:val="fr-CA"/>
        </w:rPr>
      </w:pPr>
      <w:r w:rsidRPr="00F50007">
        <w:rPr>
          <w:sz w:val="20"/>
          <w:lang w:val="fr-CA"/>
        </w:rPr>
        <w:t>****</w:t>
      </w:r>
    </w:p>
    <w:p w:rsidR="00136895" w:rsidRPr="00F50007" w:rsidRDefault="00136895" w:rsidP="00136895">
      <w:pPr>
        <w:jc w:val="both"/>
        <w:rPr>
          <w:sz w:val="20"/>
          <w:lang w:val="fr-CA"/>
        </w:rPr>
      </w:pPr>
    </w:p>
    <w:p w:rsidR="003A1515" w:rsidRPr="00F50007" w:rsidRDefault="003A1515" w:rsidP="003A1515">
      <w:pPr>
        <w:jc w:val="both"/>
        <w:rPr>
          <w:sz w:val="22"/>
          <w:szCs w:val="22"/>
          <w:lang w:val="en-CA"/>
        </w:rPr>
      </w:pPr>
      <w:r w:rsidRPr="00F50007">
        <w:rPr>
          <w:i/>
          <w:sz w:val="22"/>
          <w:szCs w:val="22"/>
          <w:lang w:val="fr-CA"/>
        </w:rPr>
        <w:t xml:space="preserve">Ade Olumide v. Supreme Court of Canada et al. </w:t>
      </w:r>
      <w:r w:rsidRPr="00F50007">
        <w:rPr>
          <w:sz w:val="22"/>
          <w:szCs w:val="22"/>
          <w:lang w:val="en-CA"/>
        </w:rPr>
        <w:t xml:space="preserve">(F.C.) (Civil) (By Leave) </w:t>
      </w:r>
      <w:r w:rsidRPr="00F50007">
        <w:rPr>
          <w:sz w:val="22"/>
          <w:szCs w:val="22"/>
        </w:rPr>
        <w:t>(</w:t>
      </w:r>
      <w:hyperlink r:id="rId18" w:history="1">
        <w:r w:rsidRPr="00F50007">
          <w:rPr>
            <w:rStyle w:val="Hyperlink"/>
            <w:sz w:val="22"/>
            <w:szCs w:val="22"/>
          </w:rPr>
          <w:t>37761</w:t>
        </w:r>
      </w:hyperlink>
      <w:r w:rsidRPr="00F50007">
        <w:rPr>
          <w:sz w:val="22"/>
          <w:szCs w:val="22"/>
        </w:rPr>
        <w:t>)</w:t>
      </w:r>
    </w:p>
    <w:p w:rsidR="00136895" w:rsidRPr="00F50007" w:rsidRDefault="003A1515" w:rsidP="00136895">
      <w:pPr>
        <w:widowControl w:val="0"/>
        <w:rPr>
          <w:sz w:val="20"/>
          <w:lang w:val="en-CA"/>
        </w:rPr>
      </w:pPr>
      <w:r w:rsidRPr="00F50007">
        <w:rPr>
          <w:sz w:val="20"/>
          <w:lang w:val="en-CA"/>
        </w:rPr>
        <w:t>(</w:t>
      </w:r>
      <w:r w:rsidRPr="00F50007">
        <w:rPr>
          <w:sz w:val="20"/>
        </w:rPr>
        <w:t xml:space="preserve">The application for leave to appeal is dismissed for want of jurisdiction, without costs. / </w:t>
      </w:r>
    </w:p>
    <w:p w:rsidR="00136895" w:rsidRPr="00F50007" w:rsidRDefault="003A1515" w:rsidP="00136895">
      <w:pPr>
        <w:widowControl w:val="0"/>
        <w:rPr>
          <w:sz w:val="20"/>
          <w:lang w:val="fr-CA"/>
        </w:rPr>
      </w:pPr>
      <w:r w:rsidRPr="00F50007">
        <w:rPr>
          <w:sz w:val="20"/>
          <w:lang w:val="fr-CA"/>
        </w:rPr>
        <w:t>La demande d’autorisation d’appel est rejetée pour défaut de compétence, sans dépens.)</w:t>
      </w:r>
    </w:p>
    <w:p w:rsidR="00136895" w:rsidRPr="00F50007" w:rsidRDefault="00136895" w:rsidP="00136895">
      <w:pPr>
        <w:widowControl w:val="0"/>
        <w:rPr>
          <w:sz w:val="20"/>
          <w:lang w:val="fr-CA"/>
        </w:rPr>
      </w:pPr>
    </w:p>
    <w:p w:rsidR="00136895" w:rsidRPr="00F50007" w:rsidRDefault="00136895" w:rsidP="00136895">
      <w:pPr>
        <w:jc w:val="both"/>
        <w:rPr>
          <w:sz w:val="20"/>
        </w:rPr>
      </w:pPr>
      <w:r w:rsidRPr="00F50007">
        <w:rPr>
          <w:sz w:val="20"/>
        </w:rPr>
        <w:t>****</w:t>
      </w:r>
    </w:p>
    <w:p w:rsidR="00352C8A" w:rsidRPr="00F50007" w:rsidRDefault="00352C8A" w:rsidP="006C152B">
      <w:pPr>
        <w:ind w:left="360" w:hanging="360"/>
        <w:jc w:val="both"/>
        <w:rPr>
          <w:sz w:val="20"/>
        </w:rPr>
      </w:pPr>
      <w:bookmarkStart w:id="0" w:name="_GoBack"/>
      <w:bookmarkEnd w:id="0"/>
    </w:p>
    <w:p w:rsidR="00966A89" w:rsidRPr="00C5600A" w:rsidRDefault="00966A89" w:rsidP="00AF4A78">
      <w:pPr>
        <w:jc w:val="both"/>
        <w:rPr>
          <w:sz w:val="20"/>
        </w:rPr>
      </w:pPr>
      <w:r w:rsidRPr="00C5600A">
        <w:rPr>
          <w:i/>
          <w:sz w:val="20"/>
        </w:rPr>
        <w:t xml:space="preserve">Diana Michelle Daniella </w:t>
      </w:r>
      <w:proofErr w:type="spellStart"/>
      <w:r w:rsidRPr="00C5600A">
        <w:rPr>
          <w:i/>
          <w:sz w:val="20"/>
        </w:rPr>
        <w:t>Hordo</w:t>
      </w:r>
      <w:proofErr w:type="spellEnd"/>
      <w:r w:rsidRPr="00C5600A">
        <w:rPr>
          <w:i/>
          <w:sz w:val="20"/>
        </w:rPr>
        <w:t xml:space="preserve"> v. State Farm Mutual Automobile Insurance Company (A United States of America Illinois Registered Mutual Insurer) et al.</w:t>
      </w:r>
      <w:r w:rsidRPr="00C5600A">
        <w:rPr>
          <w:sz w:val="20"/>
        </w:rPr>
        <w:t xml:space="preserve"> (Ont.) (Civil) (By Leave) (</w:t>
      </w:r>
      <w:hyperlink r:id="rId19" w:history="1">
        <w:r w:rsidRPr="00C5600A">
          <w:rPr>
            <w:rStyle w:val="Hyperlink"/>
            <w:sz w:val="20"/>
          </w:rPr>
          <w:t>37650</w:t>
        </w:r>
      </w:hyperlink>
      <w:r w:rsidRPr="00C5600A">
        <w:rPr>
          <w:sz w:val="20"/>
        </w:rPr>
        <w:t>)</w:t>
      </w:r>
    </w:p>
    <w:p w:rsidR="00A02451" w:rsidRPr="00C5600A" w:rsidRDefault="00966A89" w:rsidP="00966A89">
      <w:pPr>
        <w:contextualSpacing/>
        <w:jc w:val="both"/>
        <w:rPr>
          <w:sz w:val="20"/>
        </w:rPr>
      </w:pPr>
      <w:r w:rsidRPr="00C5600A">
        <w:rPr>
          <w:sz w:val="20"/>
        </w:rPr>
        <w:t xml:space="preserve">(The motion for an extension of time to serve and file the application for leave to appeal is dismissed. </w:t>
      </w:r>
      <w:bookmarkStart w:id="1" w:name="BM_1_"/>
      <w:bookmarkEnd w:id="1"/>
      <w:r w:rsidRPr="00C5600A">
        <w:rPr>
          <w:sz w:val="20"/>
        </w:rPr>
        <w:t xml:space="preserve">In any event, had such motion been granted, the application for leave to appeal and all related motions would have been dismissed with costs. / </w:t>
      </w:r>
    </w:p>
    <w:p w:rsidR="00A02451" w:rsidRPr="00F50007" w:rsidRDefault="00966A89" w:rsidP="00A02451">
      <w:pPr>
        <w:widowControl w:val="0"/>
        <w:rPr>
          <w:sz w:val="20"/>
          <w:lang w:val="fr-CA"/>
        </w:rPr>
      </w:pPr>
      <w:r w:rsidRPr="00F50007">
        <w:rPr>
          <w:sz w:val="20"/>
          <w:lang w:val="fr-CA"/>
        </w:rPr>
        <w:lastRenderedPageBreak/>
        <w:t>La requête en prorogation du délai de signification et de dépôt de la demande d’autorisation d’appel est rejetée. Quoi qu’il en soit, même si la requête avait été accueillie, la demande d’autorisation d’appel et les requêtes qui s’y rattachent, auraient été rejetées avec dépens.)</w:t>
      </w:r>
    </w:p>
    <w:p w:rsidR="00A02451" w:rsidRPr="00F50007" w:rsidRDefault="00A02451" w:rsidP="00A02451">
      <w:pPr>
        <w:widowControl w:val="0"/>
        <w:rPr>
          <w:sz w:val="20"/>
          <w:lang w:val="fr-CA"/>
        </w:rPr>
      </w:pPr>
    </w:p>
    <w:p w:rsidR="00A02451" w:rsidRPr="00F50007" w:rsidRDefault="00A02451" w:rsidP="00A02451">
      <w:pPr>
        <w:jc w:val="both"/>
        <w:rPr>
          <w:sz w:val="20"/>
          <w:lang w:val="fr-CA"/>
        </w:rPr>
      </w:pPr>
      <w:r w:rsidRPr="00F50007">
        <w:rPr>
          <w:sz w:val="20"/>
          <w:lang w:val="fr-CA"/>
        </w:rPr>
        <w:t>****</w:t>
      </w:r>
    </w:p>
    <w:p w:rsidR="00A02451" w:rsidRPr="00F50007" w:rsidRDefault="00A02451" w:rsidP="00AF4A78">
      <w:pPr>
        <w:rPr>
          <w:lang w:val="fr-CA"/>
        </w:rPr>
      </w:pPr>
    </w:p>
    <w:p w:rsidR="00EE7852" w:rsidRPr="00F50007" w:rsidRDefault="00EE7852" w:rsidP="00AF4A78">
      <w:pPr>
        <w:jc w:val="both"/>
        <w:rPr>
          <w:sz w:val="22"/>
          <w:szCs w:val="22"/>
        </w:rPr>
      </w:pPr>
      <w:proofErr w:type="spellStart"/>
      <w:r w:rsidRPr="00F50007">
        <w:rPr>
          <w:i/>
          <w:sz w:val="22"/>
          <w:szCs w:val="22"/>
          <w:lang w:val="fr-CA"/>
        </w:rPr>
        <w:t>Veena</w:t>
      </w:r>
      <w:proofErr w:type="spellEnd"/>
      <w:r w:rsidRPr="00F50007">
        <w:rPr>
          <w:i/>
          <w:sz w:val="22"/>
          <w:szCs w:val="22"/>
          <w:lang w:val="fr-CA"/>
        </w:rPr>
        <w:t xml:space="preserve"> Malhotra v. Paul Stunt </w:t>
      </w:r>
      <w:r w:rsidRPr="00F50007">
        <w:rPr>
          <w:sz w:val="22"/>
          <w:szCs w:val="22"/>
          <w:lang w:val="fr-CA"/>
        </w:rPr>
        <w:t xml:space="preserve">(Ont.) </w:t>
      </w:r>
      <w:r w:rsidRPr="00F50007">
        <w:rPr>
          <w:sz w:val="22"/>
          <w:szCs w:val="22"/>
        </w:rPr>
        <w:t>(Civil) (By Leave) (</w:t>
      </w:r>
      <w:hyperlink r:id="rId20" w:history="1">
        <w:r w:rsidRPr="00F50007">
          <w:rPr>
            <w:rStyle w:val="Hyperlink"/>
            <w:sz w:val="22"/>
            <w:szCs w:val="22"/>
          </w:rPr>
          <w:t>37651</w:t>
        </w:r>
      </w:hyperlink>
      <w:r w:rsidRPr="00F50007">
        <w:rPr>
          <w:sz w:val="22"/>
          <w:szCs w:val="22"/>
        </w:rPr>
        <w:t>)</w:t>
      </w:r>
    </w:p>
    <w:p w:rsidR="00A02451" w:rsidRPr="00AF4A78" w:rsidRDefault="00EE7852" w:rsidP="00AF4A78">
      <w:pPr>
        <w:rPr>
          <w:sz w:val="20"/>
        </w:rPr>
      </w:pPr>
      <w:r w:rsidRPr="00AF4A78">
        <w:rPr>
          <w:sz w:val="20"/>
        </w:rPr>
        <w:t xml:space="preserve">(The motion for an extension of time to serve and file the application for leave to appeal is granted. The application for leave to appeal is dismissed with costs. / </w:t>
      </w:r>
    </w:p>
    <w:p w:rsidR="00A02451" w:rsidRPr="00AF4A78" w:rsidRDefault="00EE7852" w:rsidP="00AF4A78">
      <w:pPr>
        <w:rPr>
          <w:sz w:val="20"/>
          <w:lang w:val="fr-CA"/>
        </w:rPr>
      </w:pPr>
      <w:r w:rsidRPr="00AF4A78">
        <w:rPr>
          <w:sz w:val="20"/>
          <w:lang w:val="fr-CA"/>
        </w:rPr>
        <w:t>La requête en prorogation du délai de signification et de dépôt de la demande d’autorisation d’appel est accueillie. La demande d’autorisation d’appel est rejetée avec dépens.)</w:t>
      </w:r>
    </w:p>
    <w:p w:rsidR="00A02451" w:rsidRPr="00AF4A78" w:rsidRDefault="00A02451" w:rsidP="00AF4A78">
      <w:pPr>
        <w:rPr>
          <w:sz w:val="20"/>
          <w:lang w:val="fr-CA"/>
        </w:rPr>
      </w:pPr>
    </w:p>
    <w:p w:rsidR="00A02451" w:rsidRPr="00AF4A78" w:rsidRDefault="00A02451" w:rsidP="00AF4A78">
      <w:pPr>
        <w:rPr>
          <w:sz w:val="20"/>
          <w:lang w:val="fr-CA"/>
        </w:rPr>
      </w:pPr>
      <w:r w:rsidRPr="00AF4A78">
        <w:rPr>
          <w:sz w:val="20"/>
          <w:lang w:val="fr-CA"/>
        </w:rPr>
        <w:t>****</w:t>
      </w:r>
    </w:p>
    <w:p w:rsidR="00A02451" w:rsidRPr="00AF4A78" w:rsidRDefault="00A02451" w:rsidP="00AF4A78">
      <w:pPr>
        <w:rPr>
          <w:sz w:val="20"/>
          <w:lang w:val="fr-CA"/>
        </w:rPr>
      </w:pPr>
    </w:p>
    <w:p w:rsidR="00E108DC" w:rsidRPr="00F50007" w:rsidRDefault="00E108DC" w:rsidP="00AF4A78">
      <w:pPr>
        <w:jc w:val="both"/>
        <w:rPr>
          <w:sz w:val="22"/>
          <w:szCs w:val="22"/>
          <w:lang w:val="fr-CA"/>
        </w:rPr>
      </w:pPr>
      <w:r w:rsidRPr="00F50007">
        <w:rPr>
          <w:i/>
          <w:sz w:val="22"/>
          <w:szCs w:val="22"/>
          <w:lang w:val="fr-CA"/>
        </w:rPr>
        <w:t xml:space="preserve">Tahar </w:t>
      </w:r>
      <w:proofErr w:type="spellStart"/>
      <w:r w:rsidRPr="00F50007">
        <w:rPr>
          <w:i/>
          <w:sz w:val="22"/>
          <w:szCs w:val="22"/>
          <w:lang w:val="fr-CA"/>
        </w:rPr>
        <w:t>Amrane</w:t>
      </w:r>
      <w:proofErr w:type="spellEnd"/>
      <w:r w:rsidRPr="00F50007">
        <w:rPr>
          <w:i/>
          <w:sz w:val="22"/>
          <w:szCs w:val="22"/>
          <w:lang w:val="fr-CA"/>
        </w:rPr>
        <w:t xml:space="preserve"> c. Université York </w:t>
      </w:r>
      <w:r w:rsidRPr="00F50007">
        <w:rPr>
          <w:sz w:val="22"/>
          <w:szCs w:val="22"/>
          <w:lang w:val="fr-CA"/>
        </w:rPr>
        <w:t>(Ont.) (Civile) (Autorisation) (</w:t>
      </w:r>
      <w:r w:rsidR="006C7E2E">
        <w:fldChar w:fldCharType="begin"/>
      </w:r>
      <w:r w:rsidR="006C7E2E" w:rsidRPr="006C7E2E">
        <w:rPr>
          <w:lang w:val="fr-CA"/>
        </w:rPr>
        <w:instrText xml:space="preserve"> HYPERLINK "http://w</w:instrText>
      </w:r>
      <w:r w:rsidR="006C7E2E" w:rsidRPr="006C7E2E">
        <w:rPr>
          <w:lang w:val="fr-CA"/>
        </w:rPr>
        <w:instrText xml:space="preserve">ww.scc-csc.ca/case-dossier/info/sum-som-fra.aspx?cas=37599" </w:instrText>
      </w:r>
      <w:r w:rsidR="006C7E2E">
        <w:fldChar w:fldCharType="separate"/>
      </w:r>
      <w:r w:rsidRPr="00F50007">
        <w:rPr>
          <w:rStyle w:val="Hyperlink"/>
          <w:sz w:val="22"/>
          <w:szCs w:val="22"/>
          <w:lang w:val="fr-CA"/>
        </w:rPr>
        <w:t>37599</w:t>
      </w:r>
      <w:r w:rsidR="006C7E2E">
        <w:rPr>
          <w:rStyle w:val="Hyperlink"/>
          <w:sz w:val="22"/>
          <w:szCs w:val="22"/>
          <w:lang w:val="fr-CA"/>
        </w:rPr>
        <w:fldChar w:fldCharType="end"/>
      </w:r>
      <w:r w:rsidRPr="00F50007">
        <w:rPr>
          <w:sz w:val="22"/>
          <w:szCs w:val="22"/>
          <w:lang w:val="fr-CA"/>
        </w:rPr>
        <w:t>)</w:t>
      </w:r>
    </w:p>
    <w:p w:rsidR="00A02451" w:rsidRPr="00AF4A78" w:rsidRDefault="00E108DC" w:rsidP="00AF4A78">
      <w:pPr>
        <w:rPr>
          <w:sz w:val="20"/>
          <w:lang w:val="fr-CA"/>
        </w:rPr>
      </w:pPr>
      <w:r w:rsidRPr="00AF4A78">
        <w:rPr>
          <w:sz w:val="20"/>
          <w:lang w:val="fr-CA"/>
        </w:rPr>
        <w:t>(La demande d’autorisation d’appel est rejetée avec dépens. / The application for leave to appeal is dismissed with costs.)</w:t>
      </w:r>
    </w:p>
    <w:p w:rsidR="00A02451" w:rsidRPr="00AF4A78" w:rsidRDefault="00A02451" w:rsidP="00AF4A78">
      <w:pPr>
        <w:rPr>
          <w:sz w:val="20"/>
          <w:lang w:val="fr-CA"/>
        </w:rPr>
      </w:pPr>
    </w:p>
    <w:p w:rsidR="00A02451" w:rsidRPr="00AF4A78" w:rsidRDefault="00A02451" w:rsidP="00AF4A78">
      <w:pPr>
        <w:rPr>
          <w:sz w:val="20"/>
        </w:rPr>
      </w:pPr>
      <w:r w:rsidRPr="00AF4A78">
        <w:rPr>
          <w:sz w:val="20"/>
        </w:rPr>
        <w:t>****</w:t>
      </w:r>
    </w:p>
    <w:p w:rsidR="00A02451" w:rsidRPr="00AF4A78" w:rsidRDefault="00A02451" w:rsidP="00AF4A78">
      <w:pPr>
        <w:rPr>
          <w:sz w:val="20"/>
        </w:rPr>
      </w:pPr>
    </w:p>
    <w:p w:rsidR="0022134D" w:rsidRPr="00F50007" w:rsidRDefault="0022134D" w:rsidP="00AF4A78">
      <w:pPr>
        <w:jc w:val="both"/>
        <w:rPr>
          <w:sz w:val="22"/>
          <w:szCs w:val="22"/>
        </w:rPr>
      </w:pPr>
      <w:proofErr w:type="spellStart"/>
      <w:r w:rsidRPr="00F50007">
        <w:rPr>
          <w:i/>
          <w:sz w:val="22"/>
          <w:szCs w:val="22"/>
        </w:rPr>
        <w:t>Apotex</w:t>
      </w:r>
      <w:proofErr w:type="spellEnd"/>
      <w:r w:rsidRPr="00F50007">
        <w:rPr>
          <w:i/>
          <w:sz w:val="22"/>
          <w:szCs w:val="22"/>
        </w:rPr>
        <w:t xml:space="preserve"> Inc. v. Her Majesty the Queen </w:t>
      </w:r>
      <w:r w:rsidRPr="00F50007">
        <w:rPr>
          <w:sz w:val="22"/>
          <w:szCs w:val="22"/>
        </w:rPr>
        <w:t>(F.C.) (Civil) (By Leave) (</w:t>
      </w:r>
      <w:hyperlink r:id="rId21" w:history="1">
        <w:r w:rsidRPr="00F50007">
          <w:rPr>
            <w:rStyle w:val="Hyperlink"/>
            <w:sz w:val="22"/>
            <w:szCs w:val="22"/>
          </w:rPr>
          <w:t>37593</w:t>
        </w:r>
      </w:hyperlink>
      <w:r w:rsidRPr="00F50007">
        <w:rPr>
          <w:sz w:val="22"/>
          <w:szCs w:val="22"/>
        </w:rPr>
        <w:t>)</w:t>
      </w:r>
    </w:p>
    <w:p w:rsidR="00A02451" w:rsidRPr="00AF4A78" w:rsidRDefault="0022134D" w:rsidP="00AF4A78">
      <w:pPr>
        <w:rPr>
          <w:sz w:val="20"/>
        </w:rPr>
      </w:pPr>
      <w:r w:rsidRPr="00AF4A78">
        <w:rPr>
          <w:sz w:val="20"/>
        </w:rPr>
        <w:t xml:space="preserve">(The application for leave to appeal is dismissed with costs. / La demande d’autorisation d’appel </w:t>
      </w:r>
      <w:proofErr w:type="gramStart"/>
      <w:r w:rsidRPr="00AF4A78">
        <w:rPr>
          <w:sz w:val="20"/>
        </w:rPr>
        <w:t>est</w:t>
      </w:r>
      <w:proofErr w:type="gramEnd"/>
      <w:r w:rsidRPr="00AF4A78">
        <w:rPr>
          <w:sz w:val="20"/>
        </w:rPr>
        <w:t xml:space="preserve"> rejetée avec dépens.)</w:t>
      </w:r>
    </w:p>
    <w:p w:rsidR="00A02451" w:rsidRPr="00AF4A78" w:rsidRDefault="00A02451" w:rsidP="00A02451">
      <w:pPr>
        <w:widowControl w:val="0"/>
        <w:rPr>
          <w:sz w:val="20"/>
        </w:rPr>
      </w:pPr>
    </w:p>
    <w:p w:rsidR="00A02451" w:rsidRPr="00AF4A78" w:rsidRDefault="00A02451" w:rsidP="00A02451">
      <w:pPr>
        <w:jc w:val="both"/>
        <w:rPr>
          <w:sz w:val="20"/>
        </w:rPr>
      </w:pPr>
      <w:r w:rsidRPr="00AF4A78">
        <w:rPr>
          <w:sz w:val="20"/>
        </w:rPr>
        <w:t>****</w:t>
      </w:r>
    </w:p>
    <w:p w:rsidR="00A02451" w:rsidRPr="00AF4A78" w:rsidRDefault="00A02451" w:rsidP="006C152B">
      <w:pPr>
        <w:ind w:left="360" w:hanging="360"/>
        <w:jc w:val="both"/>
        <w:rPr>
          <w:sz w:val="20"/>
        </w:rPr>
      </w:pPr>
    </w:p>
    <w:p w:rsidR="00A04539" w:rsidRPr="00F50007" w:rsidRDefault="00A04539" w:rsidP="00AF4A78">
      <w:pPr>
        <w:jc w:val="both"/>
        <w:rPr>
          <w:sz w:val="22"/>
          <w:szCs w:val="22"/>
          <w:lang w:val="fr-CA"/>
        </w:rPr>
      </w:pPr>
      <w:r w:rsidRPr="00F50007">
        <w:rPr>
          <w:i/>
          <w:sz w:val="22"/>
          <w:szCs w:val="22"/>
          <w:lang w:val="fr-CA"/>
        </w:rPr>
        <w:t xml:space="preserve">V.C. c. A.F. </w:t>
      </w:r>
      <w:r w:rsidRPr="00F50007">
        <w:rPr>
          <w:sz w:val="22"/>
          <w:szCs w:val="22"/>
          <w:lang w:val="fr-CA"/>
        </w:rPr>
        <w:t>(Qc) (Civile) (Autorisation) (</w:t>
      </w:r>
      <w:r w:rsidR="006C7E2E">
        <w:fldChar w:fldCharType="begin"/>
      </w:r>
      <w:r w:rsidR="006C7E2E" w:rsidRPr="006C7E2E">
        <w:rPr>
          <w:lang w:val="fr-CA"/>
        </w:rPr>
        <w:instrText xml:space="preserve"> HYPERLINK "http://www.scc-csc.ca/case-dossier/info/sum-som-fra.aspx?cas=37690" </w:instrText>
      </w:r>
      <w:r w:rsidR="006C7E2E">
        <w:fldChar w:fldCharType="separate"/>
      </w:r>
      <w:r w:rsidRPr="00F50007">
        <w:rPr>
          <w:rStyle w:val="Hyperlink"/>
          <w:sz w:val="22"/>
          <w:szCs w:val="22"/>
          <w:lang w:val="fr-CA"/>
        </w:rPr>
        <w:t>37690</w:t>
      </w:r>
      <w:r w:rsidR="006C7E2E">
        <w:rPr>
          <w:rStyle w:val="Hyperlink"/>
          <w:sz w:val="22"/>
          <w:szCs w:val="22"/>
          <w:lang w:val="fr-CA"/>
        </w:rPr>
        <w:fldChar w:fldCharType="end"/>
      </w:r>
      <w:r w:rsidRPr="00F50007">
        <w:rPr>
          <w:sz w:val="22"/>
          <w:szCs w:val="22"/>
          <w:lang w:val="fr-CA"/>
        </w:rPr>
        <w:t>)</w:t>
      </w:r>
    </w:p>
    <w:p w:rsidR="00290C85" w:rsidRPr="00F50007" w:rsidRDefault="00A04539" w:rsidP="00290C85">
      <w:pPr>
        <w:jc w:val="both"/>
        <w:rPr>
          <w:sz w:val="20"/>
          <w:lang w:val="fr-CA"/>
        </w:rPr>
      </w:pPr>
      <w:r w:rsidRPr="00F50007">
        <w:rPr>
          <w:sz w:val="20"/>
          <w:lang w:val="fr-CA"/>
        </w:rPr>
        <w:t xml:space="preserve">(La requête en prorogation du délai de dépôt et de signification de la demande d’autorisation d’appel est rejetée. Quoi qu’il en soit, même si la requête avait été accueillie, la demande d’autorisation d’appel aurait été rejetée. / </w:t>
      </w:r>
    </w:p>
    <w:p w:rsidR="000B32C4" w:rsidRPr="00F50007" w:rsidRDefault="00A04539" w:rsidP="000B32C4">
      <w:pPr>
        <w:widowControl w:val="0"/>
        <w:rPr>
          <w:sz w:val="20"/>
        </w:rPr>
      </w:pPr>
      <w:r w:rsidRPr="00F50007">
        <w:rPr>
          <w:sz w:val="20"/>
          <w:lang w:val="en-CA"/>
        </w:rPr>
        <w:t>The motion for an extension of time to file and serve the application for leave to appeal is dismissed. In any event, had such motion been granted, the application for leave to appeal would have been dismissed.)</w:t>
      </w:r>
    </w:p>
    <w:p w:rsidR="000B32C4" w:rsidRPr="00F50007" w:rsidRDefault="000B32C4" w:rsidP="000B32C4">
      <w:pPr>
        <w:widowControl w:val="0"/>
        <w:rPr>
          <w:sz w:val="20"/>
        </w:rPr>
      </w:pPr>
    </w:p>
    <w:p w:rsidR="000B32C4" w:rsidRPr="00F50007" w:rsidRDefault="000B32C4" w:rsidP="000B32C4">
      <w:pPr>
        <w:jc w:val="both"/>
        <w:rPr>
          <w:sz w:val="20"/>
          <w:lang w:val="fr-CA"/>
        </w:rPr>
      </w:pPr>
      <w:r w:rsidRPr="00F50007">
        <w:rPr>
          <w:sz w:val="20"/>
          <w:lang w:val="fr-CA"/>
        </w:rPr>
        <w:t>****</w:t>
      </w:r>
    </w:p>
    <w:p w:rsidR="000B32C4" w:rsidRPr="00F50007" w:rsidRDefault="000B32C4" w:rsidP="000B32C4">
      <w:pPr>
        <w:jc w:val="both"/>
        <w:rPr>
          <w:sz w:val="20"/>
          <w:lang w:val="fr-CA"/>
        </w:rPr>
      </w:pPr>
    </w:p>
    <w:p w:rsidR="00A04539" w:rsidRPr="00F50007" w:rsidRDefault="00A04539" w:rsidP="00A04539">
      <w:pPr>
        <w:jc w:val="both"/>
        <w:rPr>
          <w:b/>
          <w:szCs w:val="24"/>
          <w:lang w:val="fr-CA"/>
        </w:rPr>
      </w:pPr>
      <w:r w:rsidRPr="00F50007">
        <w:rPr>
          <w:b/>
          <w:szCs w:val="24"/>
          <w:lang w:val="fr-CA"/>
        </w:rPr>
        <w:t>ORAL HEARING / AUDIENCE</w:t>
      </w:r>
    </w:p>
    <w:p w:rsidR="00290C85" w:rsidRPr="00F50007" w:rsidRDefault="00290C85" w:rsidP="00290C85">
      <w:pPr>
        <w:tabs>
          <w:tab w:val="left" w:pos="720"/>
        </w:tabs>
        <w:ind w:left="360" w:hanging="360"/>
        <w:rPr>
          <w:sz w:val="20"/>
          <w:lang w:val="fr-CA"/>
        </w:rPr>
      </w:pPr>
    </w:p>
    <w:p w:rsidR="00290C85" w:rsidRPr="00F50007" w:rsidRDefault="00290C85" w:rsidP="00290C85">
      <w:pPr>
        <w:pStyle w:val="SCCAppellantInfoAppellantInfo"/>
        <w:jc w:val="both"/>
        <w:rPr>
          <w:sz w:val="22"/>
          <w:szCs w:val="22"/>
          <w:lang w:val="fr-CA"/>
        </w:rPr>
      </w:pPr>
      <w:r w:rsidRPr="00F50007">
        <w:rPr>
          <w:i/>
          <w:sz w:val="22"/>
          <w:szCs w:val="22"/>
          <w:lang w:val="fr-CA"/>
        </w:rPr>
        <w:t xml:space="preserve">Michel Ledoux c. Sa Majesté la Reine </w:t>
      </w:r>
      <w:r w:rsidRPr="00F50007">
        <w:rPr>
          <w:sz w:val="22"/>
          <w:szCs w:val="22"/>
          <w:lang w:val="fr-CA"/>
        </w:rPr>
        <w:t>(Qc) (Criminelle) (Autorisation) (</w:t>
      </w:r>
      <w:r w:rsidR="006C7E2E">
        <w:fldChar w:fldCharType="begin"/>
      </w:r>
      <w:r w:rsidR="006C7E2E" w:rsidRPr="006C7E2E">
        <w:rPr>
          <w:lang w:val="fr-CA"/>
        </w:rPr>
        <w:instrText xml:space="preserve"> HYPERLINK "http://www.scc-csc.ca/case-dossier/info/sum-som-fra.aspx?cas=37779" </w:instrText>
      </w:r>
      <w:r w:rsidR="006C7E2E">
        <w:fldChar w:fldCharType="separate"/>
      </w:r>
      <w:r w:rsidRPr="00F50007">
        <w:rPr>
          <w:rStyle w:val="Hyperlink"/>
          <w:sz w:val="22"/>
          <w:szCs w:val="22"/>
          <w:lang w:val="fr-CA"/>
        </w:rPr>
        <w:t>37779</w:t>
      </w:r>
      <w:r w:rsidR="006C7E2E">
        <w:rPr>
          <w:rStyle w:val="Hyperlink"/>
          <w:sz w:val="22"/>
          <w:szCs w:val="22"/>
          <w:lang w:val="fr-CA"/>
        </w:rPr>
        <w:fldChar w:fldCharType="end"/>
      </w:r>
      <w:r w:rsidRPr="00F50007">
        <w:rPr>
          <w:sz w:val="22"/>
          <w:szCs w:val="22"/>
          <w:lang w:val="fr-CA"/>
        </w:rPr>
        <w:t>)</w:t>
      </w:r>
    </w:p>
    <w:p w:rsidR="00290C85" w:rsidRPr="00F50007" w:rsidRDefault="00A04539" w:rsidP="00290C85">
      <w:pPr>
        <w:rPr>
          <w:sz w:val="20"/>
        </w:rPr>
      </w:pPr>
      <w:r w:rsidRPr="00F50007">
        <w:rPr>
          <w:sz w:val="20"/>
          <w:lang w:val="fr-CA"/>
        </w:rPr>
        <w:t xml:space="preserve">(La tenue d’une audience pour décider la demande d’autorisation d’appel est ordonnée, conformément à l’article 43(1.2) de la </w:t>
      </w:r>
      <w:r w:rsidRPr="00F50007">
        <w:rPr>
          <w:i/>
          <w:sz w:val="20"/>
          <w:lang w:val="fr-CA"/>
        </w:rPr>
        <w:t>Loi sur la Cour suprême</w:t>
      </w:r>
      <w:r w:rsidRPr="00F50007">
        <w:rPr>
          <w:sz w:val="20"/>
          <w:lang w:val="fr-CA"/>
        </w:rPr>
        <w:t xml:space="preserve">, L.R.C., 1985, c. S-26. </w:t>
      </w:r>
      <w:r w:rsidRPr="00F50007">
        <w:rPr>
          <w:sz w:val="20"/>
        </w:rPr>
        <w:t xml:space="preserve">La date d’audience sera fixée par le registraire. / </w:t>
      </w:r>
    </w:p>
    <w:p w:rsidR="00A04539" w:rsidRPr="00F50007" w:rsidRDefault="00A04539" w:rsidP="00290C85">
      <w:pPr>
        <w:rPr>
          <w:sz w:val="20"/>
          <w:lang w:val="fr-CA"/>
        </w:rPr>
      </w:pPr>
      <w:r w:rsidRPr="00F50007">
        <w:rPr>
          <w:sz w:val="20"/>
          <w:lang w:val="en-CA"/>
        </w:rPr>
        <w:t xml:space="preserve">An oral hearing of the application for leave to appeal is ordered in accordance with s. 43(1.2) of the </w:t>
      </w:r>
      <w:r w:rsidRPr="00F50007">
        <w:rPr>
          <w:i/>
          <w:sz w:val="20"/>
          <w:lang w:val="en-CA"/>
        </w:rPr>
        <w:t>Supreme Court Act</w:t>
      </w:r>
      <w:r w:rsidRPr="00F50007">
        <w:rPr>
          <w:sz w:val="20"/>
          <w:lang w:val="en-CA"/>
        </w:rPr>
        <w:t>, R.S.C., 1985, c. S-26. The hearing date will be fixed by the Registrar.)</w:t>
      </w:r>
    </w:p>
    <w:p w:rsidR="00A04539" w:rsidRPr="00F50007" w:rsidRDefault="00A04539" w:rsidP="00A04539">
      <w:pPr>
        <w:widowControl w:val="0"/>
        <w:rPr>
          <w:sz w:val="20"/>
        </w:rPr>
      </w:pPr>
    </w:p>
    <w:p w:rsidR="00A04539" w:rsidRPr="00F50007" w:rsidRDefault="00A04539" w:rsidP="00A04539">
      <w:pPr>
        <w:jc w:val="both"/>
        <w:rPr>
          <w:sz w:val="20"/>
        </w:rPr>
      </w:pPr>
      <w:r w:rsidRPr="00F50007">
        <w:rPr>
          <w:sz w:val="20"/>
        </w:rPr>
        <w:t>****</w:t>
      </w:r>
    </w:p>
    <w:p w:rsidR="00352C8A" w:rsidRPr="00F50007" w:rsidRDefault="00352C8A" w:rsidP="00A04539">
      <w:pPr>
        <w:contextualSpacing/>
        <w:jc w:val="both"/>
        <w:rPr>
          <w:sz w:val="20"/>
          <w:lang w:val="fr-CA"/>
        </w:rPr>
      </w:pPr>
    </w:p>
    <w:p w:rsidR="00290C85" w:rsidRPr="00F50007" w:rsidRDefault="00290C85" w:rsidP="006C152B">
      <w:pPr>
        <w:ind w:left="360" w:hanging="360"/>
        <w:contextualSpacing/>
        <w:jc w:val="both"/>
        <w:rPr>
          <w:sz w:val="20"/>
          <w:lang w:val="fr-CA"/>
        </w:rPr>
      </w:pPr>
    </w:p>
    <w:p w:rsidR="00824220" w:rsidRPr="00F50007" w:rsidRDefault="00824220" w:rsidP="006C152B">
      <w:pPr>
        <w:ind w:left="360" w:hanging="360"/>
        <w:contextualSpacing/>
        <w:jc w:val="both"/>
        <w:rPr>
          <w:sz w:val="20"/>
          <w:lang w:val="fr-CA"/>
        </w:rPr>
      </w:pPr>
    </w:p>
    <w:p w:rsidR="002E4682" w:rsidRPr="00F50007" w:rsidRDefault="002E4682" w:rsidP="002E4682">
      <w:pPr>
        <w:widowControl w:val="0"/>
        <w:outlineLvl w:val="0"/>
      </w:pPr>
      <w:r w:rsidRPr="00F50007">
        <w:t xml:space="preserve">Supreme Court of Canada / Cour suprême du </w:t>
      </w:r>
      <w:proofErr w:type="gramStart"/>
      <w:r w:rsidRPr="00F50007">
        <w:t>Canada :</w:t>
      </w:r>
      <w:proofErr w:type="gramEnd"/>
      <w:r w:rsidRPr="00F50007">
        <w:t xml:space="preserve"> </w:t>
      </w:r>
    </w:p>
    <w:p w:rsidR="002E4682" w:rsidRPr="00F50007" w:rsidRDefault="006C7E2E" w:rsidP="002E4682">
      <w:pPr>
        <w:widowControl w:val="0"/>
        <w:outlineLvl w:val="0"/>
        <w:rPr>
          <w:color w:val="0000FF"/>
          <w:u w:val="single"/>
        </w:rPr>
      </w:pPr>
      <w:hyperlink r:id="rId22" w:history="1">
        <w:r w:rsidR="002E4682" w:rsidRPr="00F50007">
          <w:rPr>
            <w:rStyle w:val="Hyperlink"/>
          </w:rPr>
          <w:t>comments-commentaires@scc-csc.ca</w:t>
        </w:r>
      </w:hyperlink>
    </w:p>
    <w:p w:rsidR="002E4682" w:rsidRPr="00F50007" w:rsidRDefault="002E4682" w:rsidP="002E4682">
      <w:pPr>
        <w:widowControl w:val="0"/>
        <w:outlineLvl w:val="0"/>
      </w:pPr>
      <w:r w:rsidRPr="00F50007">
        <w:t>(613) 995-4330</w:t>
      </w:r>
    </w:p>
    <w:p w:rsidR="002E4682" w:rsidRPr="00F50007" w:rsidRDefault="002E4682" w:rsidP="002E4682">
      <w:pPr>
        <w:widowControl w:val="0"/>
        <w:rPr>
          <w:sz w:val="20"/>
        </w:rPr>
      </w:pPr>
    </w:p>
    <w:p w:rsidR="002E4682" w:rsidRPr="00F50007" w:rsidRDefault="002E4682" w:rsidP="002E4682">
      <w:pPr>
        <w:widowControl w:val="0"/>
        <w:rPr>
          <w:sz w:val="20"/>
        </w:rPr>
      </w:pPr>
    </w:p>
    <w:p w:rsidR="000C541E" w:rsidRPr="0057289B" w:rsidRDefault="002E4682">
      <w:pPr>
        <w:pStyle w:val="Footer"/>
        <w:jc w:val="center"/>
      </w:pPr>
      <w:r w:rsidRPr="00F50007">
        <w:t>- 30 -</w:t>
      </w:r>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5"/>
  </w:num>
  <w:num w:numId="5">
    <w:abstractNumId w:val="26"/>
  </w:num>
  <w:num w:numId="6">
    <w:abstractNumId w:val="19"/>
  </w:num>
  <w:num w:numId="7">
    <w:abstractNumId w:val="3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23"/>
  </w:num>
  <w:num w:numId="13">
    <w:abstractNumId w:val="8"/>
  </w:num>
  <w:num w:numId="14">
    <w:abstractNumId w:val="6"/>
  </w:num>
  <w:num w:numId="15">
    <w:abstractNumId w:val="25"/>
  </w:num>
  <w:num w:numId="16">
    <w:abstractNumId w:val="12"/>
  </w:num>
  <w:num w:numId="17">
    <w:abstractNumId w:val="27"/>
  </w:num>
  <w:num w:numId="18">
    <w:abstractNumId w:val="14"/>
  </w:num>
  <w:num w:numId="19">
    <w:abstractNumId w:val="0"/>
  </w:num>
  <w:num w:numId="20">
    <w:abstractNumId w:val="2"/>
  </w:num>
  <w:num w:numId="21">
    <w:abstractNumId w:val="22"/>
  </w:num>
  <w:num w:numId="22">
    <w:abstractNumId w:val="29"/>
  </w:num>
  <w:num w:numId="23">
    <w:abstractNumId w:val="17"/>
  </w:num>
  <w:num w:numId="24">
    <w:abstractNumId w:val="28"/>
  </w:num>
  <w:num w:numId="25">
    <w:abstractNumId w:val="4"/>
  </w:num>
  <w:num w:numId="26">
    <w:abstractNumId w:val="24"/>
  </w:num>
  <w:num w:numId="27">
    <w:abstractNumId w:val="32"/>
  </w:num>
  <w:num w:numId="28">
    <w:abstractNumId w:val="31"/>
  </w:num>
  <w:num w:numId="29">
    <w:abstractNumId w:val="33"/>
  </w:num>
  <w:num w:numId="30">
    <w:abstractNumId w:val="34"/>
  </w:num>
  <w:num w:numId="31">
    <w:abstractNumId w:val="15"/>
  </w:num>
  <w:num w:numId="32">
    <w:abstractNumId w:val="20"/>
  </w:num>
  <w:num w:numId="33">
    <w:abstractNumId w:val="1"/>
  </w:num>
  <w:num w:numId="34">
    <w:abstractNumId w:val="3"/>
  </w:num>
  <w:num w:numId="35">
    <w:abstractNumId w:val="18"/>
  </w:num>
  <w:num w:numId="36">
    <w:abstractNumId w:val="11"/>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4C3D"/>
    <w:rsid w:val="00065F8F"/>
    <w:rsid w:val="000660E6"/>
    <w:rsid w:val="00066B80"/>
    <w:rsid w:val="00067298"/>
    <w:rsid w:val="00067929"/>
    <w:rsid w:val="00067F50"/>
    <w:rsid w:val="00070830"/>
    <w:rsid w:val="00072F91"/>
    <w:rsid w:val="000731E6"/>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952"/>
    <w:rsid w:val="00123976"/>
    <w:rsid w:val="00124DEC"/>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5AD7"/>
    <w:rsid w:val="0040709C"/>
    <w:rsid w:val="004116DA"/>
    <w:rsid w:val="004117D6"/>
    <w:rsid w:val="00411834"/>
    <w:rsid w:val="00411FE6"/>
    <w:rsid w:val="00413157"/>
    <w:rsid w:val="004149DA"/>
    <w:rsid w:val="0041524E"/>
    <w:rsid w:val="00416949"/>
    <w:rsid w:val="00417BA7"/>
    <w:rsid w:val="00420FC0"/>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24"/>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C7E2E"/>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207"/>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41A5"/>
    <w:rsid w:val="00944736"/>
    <w:rsid w:val="00951233"/>
    <w:rsid w:val="00952AFC"/>
    <w:rsid w:val="00952FCA"/>
    <w:rsid w:val="00956067"/>
    <w:rsid w:val="009571E4"/>
    <w:rsid w:val="009574CC"/>
    <w:rsid w:val="00957921"/>
    <w:rsid w:val="00957C00"/>
    <w:rsid w:val="00957EFD"/>
    <w:rsid w:val="009619C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4A78"/>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600A"/>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E89"/>
    <w:rsid w:val="00FB3686"/>
    <w:rsid w:val="00FB4545"/>
    <w:rsid w:val="00FB4B18"/>
    <w:rsid w:val="00FB578C"/>
    <w:rsid w:val="00FB5F91"/>
    <w:rsid w:val="00FB7BC0"/>
    <w:rsid w:val="00FC0756"/>
    <w:rsid w:val="00FC0A50"/>
    <w:rsid w:val="00FC1A5C"/>
    <w:rsid w:val="00FC21B3"/>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18" TargetMode="External"/><Relationship Id="rId13" Type="http://schemas.openxmlformats.org/officeDocument/2006/relationships/hyperlink" Target="http://www.scc-csc.ca/case-dossier/info/sum-som-eng.aspx?cas=37626" TargetMode="External"/><Relationship Id="rId18" Type="http://schemas.openxmlformats.org/officeDocument/2006/relationships/hyperlink" Target="http://www.scc-csc.ca/case-dossier/info/sum-som-eng.aspx?cas=37761" TargetMode="External"/><Relationship Id="rId3" Type="http://schemas.openxmlformats.org/officeDocument/2006/relationships/settings" Target="settings.xml"/><Relationship Id="rId21" Type="http://schemas.openxmlformats.org/officeDocument/2006/relationships/hyperlink" Target="http://www.scc-csc.ca/case-dossier/info/sum-som-eng.aspx?cas=37593" TargetMode="External"/><Relationship Id="rId7" Type="http://schemas.openxmlformats.org/officeDocument/2006/relationships/hyperlink" Target="http://scc-csc.lexum.com/scc-csc/news/en/item/5691/index.do" TargetMode="External"/><Relationship Id="rId12" Type="http://schemas.openxmlformats.org/officeDocument/2006/relationships/hyperlink" Target="http://www.scc-csc.ca/case-dossier/info/sum-som-eng.aspx?cas=37704" TargetMode="External"/><Relationship Id="rId17" Type="http://schemas.openxmlformats.org/officeDocument/2006/relationships/hyperlink" Target="http://www.scc-csc.ca/case-dossier/info/sum-som-eng.aspx?cas=376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7735" TargetMode="External"/><Relationship Id="rId20" Type="http://schemas.openxmlformats.org/officeDocument/2006/relationships/hyperlink" Target="http://www.scc-csc.ca/case-dossier/info/sum-som-eng.aspx?cas=376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4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614" TargetMode="External"/><Relationship Id="rId23" Type="http://schemas.openxmlformats.org/officeDocument/2006/relationships/footer" Target="footer1.xml"/><Relationship Id="rId10" Type="http://schemas.openxmlformats.org/officeDocument/2006/relationships/hyperlink" Target="http://www.scc-csc.ca/case-dossier/info/sum-som-eng.aspx?cas=37687" TargetMode="External"/><Relationship Id="rId19" Type="http://schemas.openxmlformats.org/officeDocument/2006/relationships/hyperlink" Target="http://www.scc-csc.ca/case-dossier/info/sum-som-eng.aspx?cas=37650"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676" TargetMode="External"/><Relationship Id="rId14" Type="http://schemas.openxmlformats.org/officeDocument/2006/relationships/hyperlink" Target="http://www.scc-csc.ca/case-dossier/info/sum-som-eng.aspx?cas=37611"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12193</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2017-12-14T12:45:00Z</dcterms:created>
  <dcterms:modified xsi:type="dcterms:W3CDTF">2017-12-14T12:56:00Z</dcterms:modified>
</cp:coreProperties>
</file>