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2C4135" w:rsidRDefault="001C4415" w:rsidP="001C4415">
      <w:pPr>
        <w:pStyle w:val="Header"/>
        <w:jc w:val="center"/>
        <w:rPr>
          <w:b/>
          <w:sz w:val="32"/>
        </w:rPr>
      </w:pPr>
      <w:r w:rsidRPr="002C4135">
        <w:rPr>
          <w:b/>
          <w:sz w:val="32"/>
        </w:rPr>
        <w:t>Supreme Court of Canada / Cour suprême du Canada</w:t>
      </w:r>
    </w:p>
    <w:p w:rsidR="001C4415" w:rsidRPr="002C4135" w:rsidRDefault="001C4415" w:rsidP="001C4415">
      <w:pPr>
        <w:widowControl w:val="0"/>
        <w:rPr>
          <w:i/>
        </w:rPr>
      </w:pPr>
    </w:p>
    <w:p w:rsidR="001C4415" w:rsidRPr="002C4135" w:rsidRDefault="001C4415" w:rsidP="001C4415">
      <w:pPr>
        <w:widowControl w:val="0"/>
        <w:rPr>
          <w:i/>
        </w:rPr>
      </w:pPr>
    </w:p>
    <w:p w:rsidR="001C4415" w:rsidRPr="002C4135" w:rsidRDefault="001C4415" w:rsidP="001C4415">
      <w:pPr>
        <w:widowControl w:val="0"/>
        <w:rPr>
          <w:i/>
        </w:rPr>
      </w:pPr>
      <w:r w:rsidRPr="002C4135">
        <w:rPr>
          <w:i/>
        </w:rPr>
        <w:t>(le français suit)</w:t>
      </w:r>
    </w:p>
    <w:p w:rsidR="001C4415" w:rsidRPr="002C4135" w:rsidRDefault="001C4415" w:rsidP="001C4415">
      <w:pPr>
        <w:widowControl w:val="0"/>
      </w:pPr>
    </w:p>
    <w:p w:rsidR="001C4415" w:rsidRPr="002C4135" w:rsidRDefault="000347C1" w:rsidP="00214729">
      <w:pPr>
        <w:widowControl w:val="0"/>
        <w:jc w:val="center"/>
        <w:rPr>
          <w:b/>
        </w:rPr>
      </w:pPr>
      <w:r w:rsidRPr="002C4135">
        <w:fldChar w:fldCharType="begin"/>
      </w:r>
      <w:r w:rsidR="00FA7412" w:rsidRPr="002C4135">
        <w:instrText xml:space="preserve"> SEQ CHAPTER \h \r 1</w:instrText>
      </w:r>
      <w:r w:rsidRPr="002C4135">
        <w:fldChar w:fldCharType="end"/>
      </w:r>
      <w:r w:rsidR="00455BB9" w:rsidRPr="002C4135">
        <w:rPr>
          <w:b/>
        </w:rPr>
        <w:t>JUDGMENT</w:t>
      </w:r>
      <w:r w:rsidR="00D8345F" w:rsidRPr="002C4135">
        <w:rPr>
          <w:b/>
        </w:rPr>
        <w:t>S</w:t>
      </w:r>
      <w:r w:rsidR="00FA7412" w:rsidRPr="002C4135">
        <w:rPr>
          <w:b/>
        </w:rPr>
        <w:t xml:space="preserve"> TO BE RENDERED IN APPEA</w:t>
      </w:r>
      <w:r w:rsidR="00CC2799" w:rsidRPr="002C4135">
        <w:rPr>
          <w:b/>
        </w:rPr>
        <w:t>L</w:t>
      </w:r>
      <w:r w:rsidR="00D8345F" w:rsidRPr="002C4135">
        <w:rPr>
          <w:b/>
        </w:rPr>
        <w:t>S</w:t>
      </w:r>
    </w:p>
    <w:p w:rsidR="005A7C1B" w:rsidRPr="002C4135" w:rsidRDefault="005A7C1B" w:rsidP="005A7C1B">
      <w:pPr>
        <w:widowControl w:val="0"/>
      </w:pPr>
    </w:p>
    <w:p w:rsidR="00EC79B0" w:rsidRPr="002C4135" w:rsidRDefault="0081445F" w:rsidP="00EC79B0">
      <w:pPr>
        <w:widowControl w:val="0"/>
        <w:rPr>
          <w:b/>
        </w:rPr>
      </w:pPr>
      <w:r w:rsidRPr="002C4135">
        <w:rPr>
          <w:b/>
        </w:rPr>
        <w:t>Decem</w:t>
      </w:r>
      <w:r w:rsidR="00E538AE" w:rsidRPr="002C4135">
        <w:rPr>
          <w:b/>
        </w:rPr>
        <w:t>ber</w:t>
      </w:r>
      <w:r w:rsidR="00C86395" w:rsidRPr="002C4135">
        <w:rPr>
          <w:b/>
        </w:rPr>
        <w:t xml:space="preserve"> </w:t>
      </w:r>
      <w:r w:rsidR="000002AC" w:rsidRPr="002C4135">
        <w:rPr>
          <w:b/>
        </w:rPr>
        <w:t>1</w:t>
      </w:r>
      <w:r w:rsidR="001E6661" w:rsidRPr="002C4135">
        <w:rPr>
          <w:b/>
        </w:rPr>
        <w:t>5</w:t>
      </w:r>
      <w:r w:rsidR="00EC79B0" w:rsidRPr="002C4135">
        <w:rPr>
          <w:b/>
        </w:rPr>
        <w:t>, 201</w:t>
      </w:r>
      <w:r w:rsidR="00736683" w:rsidRPr="002C4135">
        <w:rPr>
          <w:b/>
        </w:rPr>
        <w:t>7</w:t>
      </w:r>
    </w:p>
    <w:p w:rsidR="00EC79B0" w:rsidRPr="002C4135" w:rsidRDefault="00EC79B0" w:rsidP="00EC79B0">
      <w:pPr>
        <w:widowControl w:val="0"/>
        <w:rPr>
          <w:b/>
        </w:rPr>
      </w:pPr>
      <w:r w:rsidRPr="002C4135">
        <w:rPr>
          <w:b/>
        </w:rPr>
        <w:t>For immediate release</w:t>
      </w:r>
    </w:p>
    <w:p w:rsidR="00EC79B0" w:rsidRPr="002C4135" w:rsidRDefault="00EC79B0" w:rsidP="00EC79B0">
      <w:pPr>
        <w:widowControl w:val="0"/>
      </w:pPr>
    </w:p>
    <w:p w:rsidR="00EC79B0" w:rsidRPr="002C4135" w:rsidRDefault="00EC79B0" w:rsidP="00EC79B0">
      <w:pPr>
        <w:widowControl w:val="0"/>
        <w:rPr>
          <w:lang w:val="fr-CA"/>
        </w:rPr>
      </w:pPr>
      <w:r w:rsidRPr="002C4135">
        <w:rPr>
          <w:b/>
        </w:rPr>
        <w:t>OTTAWA</w:t>
      </w:r>
      <w:r w:rsidRPr="002C4135">
        <w:t xml:space="preserve"> – The Supreme Court of Canad</w:t>
      </w:r>
      <w:r w:rsidR="00455BB9" w:rsidRPr="002C4135">
        <w:t>a announced today that judgment</w:t>
      </w:r>
      <w:r w:rsidR="00D8345F" w:rsidRPr="002C4135">
        <w:t>s</w:t>
      </w:r>
      <w:r w:rsidRPr="002C4135">
        <w:t xml:space="preserve"> in the following appeal</w:t>
      </w:r>
      <w:r w:rsidR="00D8345F" w:rsidRPr="002C4135">
        <w:t>s</w:t>
      </w:r>
      <w:r w:rsidRPr="002C4135">
        <w:t xml:space="preserve"> will be delivered at 9:45 a.m. E</w:t>
      </w:r>
      <w:r w:rsidR="00E538AE" w:rsidRPr="002C4135">
        <w:t>S</w:t>
      </w:r>
      <w:r w:rsidR="00DC6C1E" w:rsidRPr="002C4135">
        <w:t>T</w:t>
      </w:r>
      <w:r w:rsidR="00D74667" w:rsidRPr="002C4135">
        <w:t xml:space="preserve"> on</w:t>
      </w:r>
      <w:r w:rsidR="00DC6C1E" w:rsidRPr="002C4135">
        <w:t xml:space="preserve"> </w:t>
      </w:r>
      <w:r w:rsidR="00D8345F" w:rsidRPr="002C4135">
        <w:t xml:space="preserve">Wednesday, December 20 and </w:t>
      </w:r>
      <w:r w:rsidR="001E6661" w:rsidRPr="002C4135">
        <w:t>Thursd</w:t>
      </w:r>
      <w:r w:rsidR="0081445F" w:rsidRPr="002C4135">
        <w:t>ay</w:t>
      </w:r>
      <w:r w:rsidR="000A7900" w:rsidRPr="002C4135">
        <w:t xml:space="preserve">, </w:t>
      </w:r>
      <w:r w:rsidR="005831CF" w:rsidRPr="002C4135">
        <w:t>Decem</w:t>
      </w:r>
      <w:r w:rsidR="002C177C" w:rsidRPr="002C4135">
        <w:t>ber</w:t>
      </w:r>
      <w:r w:rsidR="004E605A" w:rsidRPr="002C4135">
        <w:t xml:space="preserve"> </w:t>
      </w:r>
      <w:r w:rsidR="001E6661" w:rsidRPr="002C4135">
        <w:t>2</w:t>
      </w:r>
      <w:r w:rsidR="005831CF" w:rsidRPr="002C4135">
        <w:t>1</w:t>
      </w:r>
      <w:r w:rsidR="00E63199" w:rsidRPr="002C4135">
        <w:t>, 2</w:t>
      </w:r>
      <w:r w:rsidR="0086609D" w:rsidRPr="002C4135">
        <w:t>01</w:t>
      </w:r>
      <w:r w:rsidR="00AC3DA6" w:rsidRPr="002C4135">
        <w:t>7</w:t>
      </w:r>
      <w:r w:rsidR="00455BB9" w:rsidRPr="002C4135">
        <w:t xml:space="preserve">. </w:t>
      </w:r>
      <w:r w:rsidR="00455BB9" w:rsidRPr="002C4135">
        <w:rPr>
          <w:lang w:val="fr-CA"/>
        </w:rPr>
        <w:t>This</w:t>
      </w:r>
      <w:r w:rsidRPr="002C4135">
        <w:rPr>
          <w:lang w:val="fr-CA"/>
        </w:rPr>
        <w:t xml:space="preserve"> list is subject to change.</w:t>
      </w:r>
    </w:p>
    <w:p w:rsidR="001C4415" w:rsidRPr="002C4135" w:rsidRDefault="001C4415" w:rsidP="001C4415">
      <w:pPr>
        <w:widowControl w:val="0"/>
        <w:rPr>
          <w:szCs w:val="24"/>
          <w:lang w:val="fr-CA"/>
        </w:rPr>
      </w:pPr>
    </w:p>
    <w:p w:rsidR="001C4415" w:rsidRPr="002C4135" w:rsidRDefault="001C4415" w:rsidP="001C4415">
      <w:pPr>
        <w:widowControl w:val="0"/>
        <w:rPr>
          <w:lang w:val="fr-CA"/>
        </w:rPr>
      </w:pPr>
    </w:p>
    <w:p w:rsidR="001335A1" w:rsidRPr="002C4135" w:rsidRDefault="001335A1" w:rsidP="001335A1">
      <w:pPr>
        <w:widowControl w:val="0"/>
        <w:jc w:val="center"/>
        <w:rPr>
          <w:b/>
          <w:lang w:val="fr-CA"/>
        </w:rPr>
      </w:pPr>
      <w:r w:rsidRPr="002C4135">
        <w:rPr>
          <w:b/>
          <w:lang w:val="fr-CA"/>
        </w:rPr>
        <w:t>PROCHAIN</w:t>
      </w:r>
      <w:r w:rsidR="003A2C15" w:rsidRPr="002C4135">
        <w:rPr>
          <w:b/>
          <w:lang w:val="fr-CA"/>
        </w:rPr>
        <w:t>S</w:t>
      </w:r>
      <w:r w:rsidRPr="002C4135">
        <w:rPr>
          <w:b/>
          <w:lang w:val="fr-CA"/>
        </w:rPr>
        <w:t xml:space="preserve"> JUGEMENT</w:t>
      </w:r>
      <w:r w:rsidR="003A2C15" w:rsidRPr="002C4135">
        <w:rPr>
          <w:b/>
          <w:lang w:val="fr-CA"/>
        </w:rPr>
        <w:t>S</w:t>
      </w:r>
      <w:r w:rsidR="00455BB9" w:rsidRPr="002C4135">
        <w:rPr>
          <w:b/>
          <w:lang w:val="fr-CA"/>
        </w:rPr>
        <w:t xml:space="preserve"> SUR APPEL</w:t>
      </w:r>
      <w:r w:rsidR="003A2C15" w:rsidRPr="002C4135">
        <w:rPr>
          <w:b/>
          <w:lang w:val="fr-CA"/>
        </w:rPr>
        <w:t>S</w:t>
      </w:r>
    </w:p>
    <w:p w:rsidR="001335A1" w:rsidRPr="002C4135" w:rsidRDefault="001335A1" w:rsidP="001335A1">
      <w:pPr>
        <w:widowControl w:val="0"/>
        <w:rPr>
          <w:lang w:val="fr-CA"/>
        </w:rPr>
      </w:pPr>
    </w:p>
    <w:p w:rsidR="00EC79B0" w:rsidRPr="002C4135" w:rsidRDefault="00EC79B0" w:rsidP="00EC79B0">
      <w:pPr>
        <w:widowControl w:val="0"/>
        <w:rPr>
          <w:b/>
          <w:lang w:val="fr-CA"/>
        </w:rPr>
      </w:pPr>
      <w:r w:rsidRPr="002C4135">
        <w:rPr>
          <w:b/>
          <w:lang w:val="fr-CA"/>
        </w:rPr>
        <w:t xml:space="preserve">Le </w:t>
      </w:r>
      <w:r w:rsidR="000002AC" w:rsidRPr="002C4135">
        <w:rPr>
          <w:b/>
          <w:lang w:val="fr-CA"/>
        </w:rPr>
        <w:t>1</w:t>
      </w:r>
      <w:r w:rsidR="001E6661" w:rsidRPr="002C4135">
        <w:rPr>
          <w:b/>
          <w:lang w:val="fr-CA"/>
        </w:rPr>
        <w:t>5</w:t>
      </w:r>
      <w:r w:rsidR="002F28E0" w:rsidRPr="002C4135">
        <w:rPr>
          <w:b/>
          <w:lang w:val="fr-CA"/>
        </w:rPr>
        <w:t xml:space="preserve"> </w:t>
      </w:r>
      <w:r w:rsidR="0081445F" w:rsidRPr="002C4135">
        <w:rPr>
          <w:b/>
          <w:lang w:val="fr-CA"/>
        </w:rPr>
        <w:t>déc</w:t>
      </w:r>
      <w:r w:rsidR="00E538AE" w:rsidRPr="002C4135">
        <w:rPr>
          <w:b/>
          <w:lang w:val="fr-CA"/>
        </w:rPr>
        <w:t>em</w:t>
      </w:r>
      <w:r w:rsidR="00C7690C" w:rsidRPr="002C4135">
        <w:rPr>
          <w:b/>
          <w:lang w:val="fr-CA"/>
        </w:rPr>
        <w:t>bre</w:t>
      </w:r>
      <w:r w:rsidR="00C86395" w:rsidRPr="002C4135">
        <w:rPr>
          <w:b/>
          <w:lang w:val="fr-CA"/>
        </w:rPr>
        <w:t xml:space="preserve"> </w:t>
      </w:r>
      <w:r w:rsidR="0086609D" w:rsidRPr="002C4135">
        <w:rPr>
          <w:b/>
          <w:lang w:val="fr-CA"/>
        </w:rPr>
        <w:t>201</w:t>
      </w:r>
      <w:r w:rsidR="00AC3DA6" w:rsidRPr="002C4135">
        <w:rPr>
          <w:b/>
          <w:lang w:val="fr-CA"/>
        </w:rPr>
        <w:t>7</w:t>
      </w:r>
    </w:p>
    <w:p w:rsidR="00EC79B0" w:rsidRPr="002C4135" w:rsidRDefault="00EC79B0" w:rsidP="00EC79B0">
      <w:pPr>
        <w:widowControl w:val="0"/>
        <w:rPr>
          <w:b/>
          <w:lang w:val="fr-CA"/>
        </w:rPr>
      </w:pPr>
      <w:r w:rsidRPr="002C4135">
        <w:rPr>
          <w:b/>
          <w:lang w:val="fr-CA"/>
        </w:rPr>
        <w:t>Pour diffusion immédiate</w:t>
      </w:r>
    </w:p>
    <w:p w:rsidR="00EC79B0" w:rsidRPr="002C4135" w:rsidRDefault="00EC79B0" w:rsidP="00EC79B0">
      <w:pPr>
        <w:widowControl w:val="0"/>
        <w:rPr>
          <w:b/>
          <w:lang w:val="fr-CA"/>
        </w:rPr>
      </w:pPr>
    </w:p>
    <w:p w:rsidR="00EC79B0" w:rsidRPr="002C4135" w:rsidRDefault="00EC79B0" w:rsidP="00EC79B0">
      <w:pPr>
        <w:widowControl w:val="0"/>
        <w:rPr>
          <w:lang w:val="fr-CA"/>
        </w:rPr>
      </w:pPr>
      <w:r w:rsidRPr="002C4135">
        <w:rPr>
          <w:b/>
          <w:lang w:val="fr-CA"/>
        </w:rPr>
        <w:t>OTTAWA</w:t>
      </w:r>
      <w:r w:rsidRPr="002C4135">
        <w:rPr>
          <w:lang w:val="fr-CA"/>
        </w:rPr>
        <w:t xml:space="preserve"> – La Cour suprême du Canada annonce que jugement</w:t>
      </w:r>
      <w:r w:rsidR="003A2C15" w:rsidRPr="002C4135">
        <w:rPr>
          <w:lang w:val="fr-CA"/>
        </w:rPr>
        <w:t>s</w:t>
      </w:r>
      <w:r w:rsidRPr="002C4135">
        <w:rPr>
          <w:lang w:val="fr-CA"/>
        </w:rPr>
        <w:t xml:space="preserve"> ser</w:t>
      </w:r>
      <w:r w:rsidR="003A2C15" w:rsidRPr="002C4135">
        <w:rPr>
          <w:lang w:val="fr-CA"/>
        </w:rPr>
        <w:t>ont</w:t>
      </w:r>
      <w:r w:rsidRPr="002C4135">
        <w:rPr>
          <w:lang w:val="fr-CA"/>
        </w:rPr>
        <w:t xml:space="preserve"> rendu</w:t>
      </w:r>
      <w:r w:rsidR="003A2C15" w:rsidRPr="002C4135">
        <w:rPr>
          <w:lang w:val="fr-CA"/>
        </w:rPr>
        <w:t>s</w:t>
      </w:r>
      <w:r w:rsidRPr="002C4135">
        <w:rPr>
          <w:lang w:val="fr-CA"/>
        </w:rPr>
        <w:t xml:space="preserve"> dans </w:t>
      </w:r>
      <w:r w:rsidR="001F1643" w:rsidRPr="002C4135">
        <w:rPr>
          <w:lang w:val="fr-CA"/>
        </w:rPr>
        <w:t>l</w:t>
      </w:r>
      <w:r w:rsidR="003A2C15" w:rsidRPr="002C4135">
        <w:rPr>
          <w:lang w:val="fr-CA"/>
        </w:rPr>
        <w:t xml:space="preserve">es </w:t>
      </w:r>
      <w:r w:rsidR="001F1643" w:rsidRPr="002C4135">
        <w:rPr>
          <w:lang w:val="fr-CA"/>
        </w:rPr>
        <w:t>appel</w:t>
      </w:r>
      <w:r w:rsidR="003A2C15" w:rsidRPr="002C4135">
        <w:rPr>
          <w:lang w:val="fr-CA"/>
        </w:rPr>
        <w:t>s</w:t>
      </w:r>
      <w:r w:rsidR="001F1643" w:rsidRPr="002C4135">
        <w:rPr>
          <w:lang w:val="fr-CA"/>
        </w:rPr>
        <w:t xml:space="preserve"> </w:t>
      </w:r>
      <w:r w:rsidRPr="002C4135">
        <w:rPr>
          <w:lang w:val="fr-CA"/>
        </w:rPr>
        <w:t>suivant</w:t>
      </w:r>
      <w:r w:rsidR="003A2C15" w:rsidRPr="002C4135">
        <w:rPr>
          <w:lang w:val="fr-CA"/>
        </w:rPr>
        <w:t>s</w:t>
      </w:r>
      <w:r w:rsidRPr="002C4135">
        <w:rPr>
          <w:lang w:val="fr-CA"/>
        </w:rPr>
        <w:t xml:space="preserve"> le </w:t>
      </w:r>
      <w:r w:rsidR="003A2C15" w:rsidRPr="002C4135">
        <w:rPr>
          <w:lang w:val="fr-CA"/>
        </w:rPr>
        <w:t xml:space="preserve">mercredi 20 décembre et </w:t>
      </w:r>
      <w:r w:rsidR="001E6661" w:rsidRPr="002C4135">
        <w:rPr>
          <w:lang w:val="fr-CA"/>
        </w:rPr>
        <w:t>jeu</w:t>
      </w:r>
      <w:r w:rsidR="00FF69FD" w:rsidRPr="002C4135">
        <w:rPr>
          <w:lang w:val="fr-CA"/>
        </w:rPr>
        <w:t>d</w:t>
      </w:r>
      <w:r w:rsidR="00DB406B" w:rsidRPr="002C4135">
        <w:rPr>
          <w:lang w:val="fr-CA"/>
        </w:rPr>
        <w:t>i</w:t>
      </w:r>
      <w:r w:rsidR="00970EDF" w:rsidRPr="002C4135">
        <w:rPr>
          <w:lang w:val="fr-CA"/>
        </w:rPr>
        <w:t xml:space="preserve"> </w:t>
      </w:r>
      <w:r w:rsidR="001E6661" w:rsidRPr="002C4135">
        <w:rPr>
          <w:lang w:val="fr-CA"/>
        </w:rPr>
        <w:t>2</w:t>
      </w:r>
      <w:r w:rsidR="005831CF" w:rsidRPr="002C4135">
        <w:rPr>
          <w:lang w:val="fr-CA"/>
        </w:rPr>
        <w:t>1</w:t>
      </w:r>
      <w:r w:rsidR="00C7690C" w:rsidRPr="002C4135">
        <w:rPr>
          <w:lang w:val="fr-CA"/>
        </w:rPr>
        <w:t xml:space="preserve"> </w:t>
      </w:r>
      <w:r w:rsidR="005831CF" w:rsidRPr="002C4135">
        <w:rPr>
          <w:lang w:val="fr-CA"/>
        </w:rPr>
        <w:t>déc</w:t>
      </w:r>
      <w:r w:rsidR="002C177C" w:rsidRPr="002C4135">
        <w:rPr>
          <w:lang w:val="fr-CA"/>
        </w:rPr>
        <w:t>em</w:t>
      </w:r>
      <w:r w:rsidR="00475644" w:rsidRPr="002C4135">
        <w:rPr>
          <w:lang w:val="fr-CA"/>
        </w:rPr>
        <w:t>br</w:t>
      </w:r>
      <w:r w:rsidR="00DB406B" w:rsidRPr="002C4135">
        <w:rPr>
          <w:lang w:val="fr-CA"/>
        </w:rPr>
        <w:t>e</w:t>
      </w:r>
      <w:r w:rsidR="00282563" w:rsidRPr="002C4135">
        <w:rPr>
          <w:lang w:val="fr-CA"/>
        </w:rPr>
        <w:t xml:space="preserve"> </w:t>
      </w:r>
      <w:r w:rsidRPr="002C4135">
        <w:rPr>
          <w:lang w:val="fr-CA"/>
        </w:rPr>
        <w:t>201</w:t>
      </w:r>
      <w:r w:rsidR="00AC3DA6" w:rsidRPr="002C4135">
        <w:rPr>
          <w:lang w:val="fr-CA"/>
        </w:rPr>
        <w:t>7</w:t>
      </w:r>
      <w:r w:rsidRPr="002C4135">
        <w:rPr>
          <w:lang w:val="fr-CA"/>
        </w:rPr>
        <w:t>, à 9 h 45 H</w:t>
      </w:r>
      <w:r w:rsidR="00E538AE" w:rsidRPr="002C4135">
        <w:rPr>
          <w:lang w:val="fr-CA"/>
        </w:rPr>
        <w:t>N</w:t>
      </w:r>
      <w:r w:rsidRPr="002C4135">
        <w:rPr>
          <w:lang w:val="fr-CA"/>
        </w:rPr>
        <w:t>E. Cette liste est sujette à modifications.</w:t>
      </w:r>
    </w:p>
    <w:p w:rsidR="001335A1" w:rsidRPr="002C4135" w:rsidRDefault="001335A1" w:rsidP="001335A1">
      <w:pPr>
        <w:widowControl w:val="0"/>
        <w:rPr>
          <w:sz w:val="20"/>
          <w:lang w:val="fr-CA"/>
        </w:rPr>
      </w:pPr>
    </w:p>
    <w:p w:rsidR="001335A1" w:rsidRPr="002C4135" w:rsidRDefault="005C7A4F" w:rsidP="001335A1">
      <w:pPr>
        <w:widowControl w:val="0"/>
        <w:rPr>
          <w:sz w:val="20"/>
          <w:lang w:val="fr-CA"/>
        </w:rPr>
      </w:pPr>
      <w:r w:rsidRPr="002C4135">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2C4135" w:rsidRDefault="00340C6D" w:rsidP="00340C6D">
      <w:pPr>
        <w:jc w:val="both"/>
        <w:rPr>
          <w:bCs/>
          <w:lang w:val="fr-CA"/>
        </w:rPr>
      </w:pPr>
    </w:p>
    <w:p w:rsidR="00E52CA2" w:rsidRPr="002C4135" w:rsidRDefault="00E52CA2" w:rsidP="00340C6D">
      <w:pPr>
        <w:jc w:val="both"/>
        <w:rPr>
          <w:bCs/>
          <w:lang w:val="fr-CA"/>
        </w:rPr>
      </w:pPr>
      <w:r w:rsidRPr="002C4135">
        <w:rPr>
          <w:b/>
          <w:lang w:val="fr-CA"/>
        </w:rPr>
        <w:t>20/12/2017</w:t>
      </w:r>
    </w:p>
    <w:p w:rsidR="003A2C15" w:rsidRPr="002C4135" w:rsidRDefault="003A2C15" w:rsidP="003A2C15">
      <w:pPr>
        <w:jc w:val="both"/>
        <w:rPr>
          <w:szCs w:val="24"/>
        </w:rPr>
      </w:pPr>
      <w:r w:rsidRPr="002C4135">
        <w:rPr>
          <w:i/>
          <w:szCs w:val="24"/>
          <w:lang w:val="fr-CA"/>
        </w:rPr>
        <w:t>D</w:t>
      </w:r>
      <w:r w:rsidR="00A21B6D" w:rsidRPr="002C4135">
        <w:rPr>
          <w:i/>
          <w:szCs w:val="24"/>
          <w:lang w:val="fr-CA"/>
        </w:rPr>
        <w:t>eloitte &amp; Touche</w:t>
      </w:r>
      <w:r w:rsidRPr="002C4135">
        <w:rPr>
          <w:i/>
          <w:szCs w:val="24"/>
          <w:lang w:val="fr-CA"/>
        </w:rPr>
        <w:t xml:space="preserve"> v. </w:t>
      </w:r>
      <w:r w:rsidR="00A21B6D" w:rsidRPr="002C4135">
        <w:rPr>
          <w:i/>
          <w:szCs w:val="24"/>
          <w:lang w:val="fr-CA"/>
        </w:rPr>
        <w:t>Livent Inc., Through its Special Receiver and Manager Roman Doroniuk</w:t>
      </w:r>
      <w:r w:rsidRPr="002C4135">
        <w:rPr>
          <w:i/>
          <w:szCs w:val="24"/>
          <w:lang w:val="fr-CA"/>
        </w:rPr>
        <w:t xml:space="preserve"> </w:t>
      </w:r>
      <w:r w:rsidRPr="002C4135">
        <w:rPr>
          <w:szCs w:val="24"/>
          <w:lang w:val="fr-CA"/>
        </w:rPr>
        <w:t>(</w:t>
      </w:r>
      <w:r w:rsidR="00A21B6D" w:rsidRPr="002C4135">
        <w:rPr>
          <w:szCs w:val="24"/>
          <w:lang w:val="fr-CA"/>
        </w:rPr>
        <w:t>Ont</w:t>
      </w:r>
      <w:r w:rsidRPr="002C4135">
        <w:rPr>
          <w:szCs w:val="24"/>
          <w:lang w:val="fr-CA"/>
        </w:rPr>
        <w:t xml:space="preserve">.) </w:t>
      </w:r>
      <w:r w:rsidRPr="002C4135">
        <w:t>(</w:t>
      </w:r>
      <w:hyperlink r:id="rId7" w:history="1">
        <w:r w:rsidRPr="002C4135">
          <w:rPr>
            <w:rStyle w:val="Hyperlink"/>
          </w:rPr>
          <w:t>36875</w:t>
        </w:r>
      </w:hyperlink>
      <w:r w:rsidRPr="002C4135">
        <w:t>)</w:t>
      </w:r>
    </w:p>
    <w:p w:rsidR="003A2C15" w:rsidRPr="002C4135" w:rsidRDefault="003A2C15" w:rsidP="00340C6D">
      <w:pPr>
        <w:jc w:val="both"/>
        <w:rPr>
          <w:bCs/>
        </w:rPr>
      </w:pPr>
    </w:p>
    <w:p w:rsidR="00E52CA2" w:rsidRPr="002C4135" w:rsidRDefault="00E52CA2" w:rsidP="00340C6D">
      <w:pPr>
        <w:jc w:val="both"/>
        <w:rPr>
          <w:bCs/>
        </w:rPr>
      </w:pPr>
      <w:r w:rsidRPr="002C4135">
        <w:rPr>
          <w:b/>
        </w:rPr>
        <w:t>21/12/2017</w:t>
      </w:r>
    </w:p>
    <w:p w:rsidR="00772636" w:rsidRPr="002C4135" w:rsidRDefault="001E6661" w:rsidP="00772636">
      <w:pPr>
        <w:jc w:val="both"/>
        <w:rPr>
          <w:szCs w:val="24"/>
        </w:rPr>
      </w:pPr>
      <w:r w:rsidRPr="002C4135">
        <w:rPr>
          <w:i/>
          <w:szCs w:val="24"/>
        </w:rPr>
        <w:t>Donald Joseph Boutilier</w:t>
      </w:r>
      <w:r w:rsidR="0081445F" w:rsidRPr="002C4135">
        <w:rPr>
          <w:i/>
          <w:szCs w:val="24"/>
        </w:rPr>
        <w:t xml:space="preserve"> v</w:t>
      </w:r>
      <w:r w:rsidR="00772636" w:rsidRPr="002C4135">
        <w:rPr>
          <w:i/>
          <w:szCs w:val="24"/>
        </w:rPr>
        <w:t xml:space="preserve">. </w:t>
      </w:r>
      <w:r w:rsidRPr="002C4135">
        <w:rPr>
          <w:i/>
          <w:szCs w:val="24"/>
        </w:rPr>
        <w:t>Her Majesty the Queen</w:t>
      </w:r>
      <w:r w:rsidR="00772636" w:rsidRPr="002C4135">
        <w:rPr>
          <w:i/>
          <w:szCs w:val="24"/>
        </w:rPr>
        <w:t xml:space="preserve"> </w:t>
      </w:r>
      <w:r w:rsidR="00772636" w:rsidRPr="002C4135">
        <w:rPr>
          <w:szCs w:val="24"/>
        </w:rPr>
        <w:t>(</w:t>
      </w:r>
      <w:r w:rsidR="0081445F" w:rsidRPr="002C4135">
        <w:rPr>
          <w:szCs w:val="24"/>
        </w:rPr>
        <w:t>B.C</w:t>
      </w:r>
      <w:r w:rsidR="00163F70" w:rsidRPr="002C4135">
        <w:rPr>
          <w:szCs w:val="24"/>
        </w:rPr>
        <w:t>.</w:t>
      </w:r>
      <w:r w:rsidR="00772636" w:rsidRPr="002C4135">
        <w:rPr>
          <w:szCs w:val="24"/>
        </w:rPr>
        <w:t xml:space="preserve">) </w:t>
      </w:r>
      <w:r w:rsidR="00772636" w:rsidRPr="002C4135">
        <w:t>(</w:t>
      </w:r>
      <w:hyperlink r:id="rId8" w:history="1">
        <w:r w:rsidR="00772636" w:rsidRPr="002C4135">
          <w:rPr>
            <w:rStyle w:val="Hyperlink"/>
          </w:rPr>
          <w:t>3</w:t>
        </w:r>
        <w:r w:rsidR="00785AB9" w:rsidRPr="002C4135">
          <w:rPr>
            <w:rStyle w:val="Hyperlink"/>
          </w:rPr>
          <w:t>7</w:t>
        </w:r>
        <w:r w:rsidRPr="002C4135">
          <w:rPr>
            <w:rStyle w:val="Hyperlink"/>
          </w:rPr>
          <w:t>168</w:t>
        </w:r>
      </w:hyperlink>
      <w:r w:rsidR="00772636" w:rsidRPr="002C4135">
        <w:t>)</w:t>
      </w:r>
    </w:p>
    <w:p w:rsidR="009F18D7" w:rsidRPr="002C4135" w:rsidRDefault="009F18D7" w:rsidP="00340C6D">
      <w:pPr>
        <w:jc w:val="both"/>
      </w:pPr>
    </w:p>
    <w:p w:rsidR="00132437" w:rsidRPr="002C4135" w:rsidRDefault="00132437" w:rsidP="00340C6D">
      <w:pPr>
        <w:jc w:val="both"/>
      </w:pPr>
    </w:p>
    <w:bookmarkStart w:id="0" w:name="1"/>
    <w:bookmarkEnd w:id="0"/>
    <w:p w:rsidR="00132437" w:rsidRPr="002C4135" w:rsidRDefault="00132437" w:rsidP="005B791E">
      <w:pPr>
        <w:widowControl w:val="0"/>
        <w:tabs>
          <w:tab w:val="left" w:pos="720"/>
        </w:tabs>
        <w:ind w:left="709" w:hanging="731"/>
        <w:jc w:val="both"/>
        <w:rPr>
          <w:b/>
          <w:i/>
          <w:sz w:val="20"/>
          <w:lang w:val="en-CA"/>
        </w:rPr>
      </w:pPr>
      <w:r w:rsidRPr="002C4135">
        <w:rPr>
          <w:b/>
          <w:sz w:val="20"/>
          <w:lang w:val="en-CA"/>
        </w:rPr>
        <w:fldChar w:fldCharType="begin"/>
      </w:r>
      <w:r w:rsidRPr="002C4135">
        <w:rPr>
          <w:b/>
          <w:sz w:val="20"/>
        </w:rPr>
        <w:instrText xml:space="preserve"> SEQ CHAPTER \h \r 1</w:instrText>
      </w:r>
      <w:r w:rsidRPr="002C4135">
        <w:rPr>
          <w:b/>
          <w:sz w:val="20"/>
        </w:rPr>
        <w:fldChar w:fldCharType="end"/>
      </w:r>
      <w:r w:rsidRPr="002C4135">
        <w:rPr>
          <w:b/>
          <w:sz w:val="20"/>
          <w:lang w:val="en-CA"/>
        </w:rPr>
        <w:t>36875</w:t>
      </w:r>
      <w:r w:rsidRPr="002C4135">
        <w:rPr>
          <w:sz w:val="20"/>
          <w:lang w:val="en-CA"/>
        </w:rPr>
        <w:tab/>
      </w:r>
      <w:bookmarkStart w:id="1" w:name="3"/>
      <w:bookmarkEnd w:id="1"/>
      <w:r w:rsidRPr="002C4135">
        <w:rPr>
          <w:b/>
          <w:i/>
          <w:sz w:val="20"/>
          <w:lang w:val="en-CA"/>
        </w:rPr>
        <w:t>Deloitte</w:t>
      </w:r>
      <w:r w:rsidRPr="002C4135">
        <w:rPr>
          <w:b/>
          <w:i/>
          <w:sz w:val="20"/>
        </w:rPr>
        <w:t xml:space="preserve"> &amp; Touche v. Livent Inc., Through its Special Receiver and Manager Roman</w:t>
      </w:r>
      <w:r w:rsidRPr="002C4135">
        <w:rPr>
          <w:i/>
          <w:sz w:val="20"/>
        </w:rPr>
        <w:t xml:space="preserve"> </w:t>
      </w:r>
      <w:r w:rsidRPr="002C4135">
        <w:rPr>
          <w:b/>
          <w:i/>
          <w:sz w:val="20"/>
        </w:rPr>
        <w:t>Doroniuk</w:t>
      </w:r>
    </w:p>
    <w:p w:rsidR="00132437" w:rsidRPr="002C4135" w:rsidRDefault="00132437" w:rsidP="00FE28F7">
      <w:pPr>
        <w:pStyle w:val="SCCCaseDescriptor"/>
        <w:rPr>
          <w:b w:val="0"/>
          <w:sz w:val="20"/>
        </w:rPr>
      </w:pPr>
      <w:r w:rsidRPr="002C4135">
        <w:rPr>
          <w:sz w:val="20"/>
        </w:rPr>
        <w:tab/>
      </w:r>
      <w:r w:rsidRPr="002C4135">
        <w:rPr>
          <w:sz w:val="20"/>
        </w:rPr>
        <w:tab/>
      </w:r>
      <w:r w:rsidRPr="002C4135">
        <w:rPr>
          <w:b w:val="0"/>
          <w:sz w:val="20"/>
        </w:rPr>
        <w:t>(Ont.) (Civil) (By Leave)</w:t>
      </w:r>
      <w:bookmarkStart w:id="2" w:name="4"/>
      <w:bookmarkEnd w:id="2"/>
    </w:p>
    <w:p w:rsidR="00132437" w:rsidRPr="002C4135" w:rsidRDefault="00132437" w:rsidP="00FE28F7">
      <w:pPr>
        <w:widowControl w:val="0"/>
        <w:ind w:left="1440" w:hanging="1440"/>
        <w:jc w:val="both"/>
        <w:rPr>
          <w:sz w:val="20"/>
          <w:lang w:val="en-CA"/>
        </w:rPr>
      </w:pPr>
    </w:p>
    <w:p w:rsidR="00132437" w:rsidRPr="002C4135" w:rsidRDefault="00132437" w:rsidP="00665D43">
      <w:pPr>
        <w:jc w:val="both"/>
        <w:rPr>
          <w:sz w:val="20"/>
        </w:rPr>
      </w:pPr>
      <w:bookmarkStart w:id="3" w:name="QuickMark_1"/>
      <w:bookmarkEnd w:id="3"/>
      <w:r w:rsidRPr="002C4135">
        <w:rPr>
          <w:sz w:val="20"/>
        </w:rPr>
        <w:t xml:space="preserve">Law of Professions </w:t>
      </w:r>
      <w:r w:rsidRPr="002C4135">
        <w:rPr>
          <w:sz w:val="20"/>
          <w:lang w:val="en-CA"/>
        </w:rPr>
        <w:t>-</w:t>
      </w:r>
      <w:r w:rsidRPr="002C4135">
        <w:rPr>
          <w:sz w:val="20"/>
        </w:rPr>
        <w:t xml:space="preserve"> Professional liability </w:t>
      </w:r>
      <w:r w:rsidRPr="002C4135">
        <w:rPr>
          <w:sz w:val="20"/>
          <w:lang w:val="en-CA"/>
        </w:rPr>
        <w:t>-</w:t>
      </w:r>
      <w:r w:rsidRPr="002C4135">
        <w:rPr>
          <w:sz w:val="20"/>
        </w:rPr>
        <w:t xml:space="preserve"> Negligence </w:t>
      </w:r>
      <w:r w:rsidRPr="002C4135">
        <w:rPr>
          <w:sz w:val="20"/>
          <w:lang w:val="en-CA"/>
        </w:rPr>
        <w:t>-</w:t>
      </w:r>
      <w:r w:rsidRPr="002C4135">
        <w:rPr>
          <w:sz w:val="20"/>
        </w:rPr>
        <w:t xml:space="preserve"> Duty of Care </w:t>
      </w:r>
      <w:r w:rsidRPr="002C4135">
        <w:rPr>
          <w:sz w:val="20"/>
          <w:lang w:val="en-CA"/>
        </w:rPr>
        <w:t>-</w:t>
      </w:r>
      <w:r w:rsidRPr="002C4135">
        <w:rPr>
          <w:sz w:val="20"/>
        </w:rPr>
        <w:t xml:space="preserve"> </w:t>
      </w:r>
      <w:proofErr w:type="spellStart"/>
      <w:r w:rsidRPr="002C4135">
        <w:rPr>
          <w:sz w:val="20"/>
        </w:rPr>
        <w:t>Defences</w:t>
      </w:r>
      <w:proofErr w:type="spellEnd"/>
      <w:r w:rsidRPr="002C4135">
        <w:rPr>
          <w:sz w:val="20"/>
          <w:lang w:val="en-CA"/>
        </w:rPr>
        <w:t xml:space="preserve"> -</w:t>
      </w:r>
      <w:r w:rsidRPr="002C4135">
        <w:rPr>
          <w:sz w:val="20"/>
        </w:rPr>
        <w:t xml:space="preserve"> Whether an auditor’s duty of care to a corporate client includes a duty to resign from the audit relationship and precipitate the corporation’s collapse in order to prevent a decline in the value of the corporation on liquidation </w:t>
      </w:r>
      <w:r w:rsidRPr="002C4135">
        <w:rPr>
          <w:sz w:val="20"/>
          <w:lang w:val="en-CA"/>
        </w:rPr>
        <w:t xml:space="preserve">- </w:t>
      </w:r>
      <w:r w:rsidRPr="002C4135">
        <w:rPr>
          <w:sz w:val="20"/>
        </w:rPr>
        <w:t xml:space="preserve">If an audit client has a right to be compensated by its auditor for breach of such a duty of care, whether the right is unfettered by indeterminate liability concerns </w:t>
      </w:r>
      <w:r w:rsidRPr="002C4135">
        <w:rPr>
          <w:sz w:val="20"/>
          <w:lang w:val="en-CA"/>
        </w:rPr>
        <w:t>and whether</w:t>
      </w:r>
      <w:r w:rsidRPr="002C4135">
        <w:rPr>
          <w:sz w:val="20"/>
        </w:rPr>
        <w:t xml:space="preserve"> any considerations displace or limit the scope of the duty of care </w:t>
      </w:r>
      <w:r w:rsidRPr="002C4135">
        <w:rPr>
          <w:sz w:val="20"/>
          <w:lang w:val="en-CA"/>
        </w:rPr>
        <w:t>-</w:t>
      </w:r>
      <w:r w:rsidRPr="002C4135">
        <w:rPr>
          <w:sz w:val="20"/>
        </w:rPr>
        <w:t xml:space="preserve"> Whether appellant’s failure to resign was a cause in law of any diminution in respondent’s liquidation value </w:t>
      </w:r>
      <w:r w:rsidRPr="002C4135">
        <w:rPr>
          <w:sz w:val="20"/>
          <w:lang w:val="en-CA"/>
        </w:rPr>
        <w:t>-</w:t>
      </w:r>
      <w:r w:rsidRPr="002C4135">
        <w:rPr>
          <w:sz w:val="20"/>
        </w:rPr>
        <w:t xml:space="preserve"> Whether doctrine of deepening insolvency is part of the law of Canada </w:t>
      </w:r>
      <w:r w:rsidRPr="002C4135">
        <w:rPr>
          <w:sz w:val="20"/>
          <w:lang w:val="en-CA"/>
        </w:rPr>
        <w:t>-</w:t>
      </w:r>
      <w:r w:rsidRPr="002C4135">
        <w:rPr>
          <w:sz w:val="20"/>
        </w:rPr>
        <w:t xml:space="preserve"> Whether responsibility or contributory fault should be attributed to the respondent </w:t>
      </w:r>
      <w:r w:rsidRPr="002C4135">
        <w:rPr>
          <w:sz w:val="20"/>
          <w:lang w:val="en-CA"/>
        </w:rPr>
        <w:t>-</w:t>
      </w:r>
      <w:r w:rsidRPr="002C4135">
        <w:rPr>
          <w:sz w:val="20"/>
        </w:rPr>
        <w:t xml:space="preserve"> Whether the </w:t>
      </w:r>
      <w:r w:rsidRPr="002C4135">
        <w:rPr>
          <w:i/>
          <w:sz w:val="20"/>
        </w:rPr>
        <w:t xml:space="preserve">ex </w:t>
      </w:r>
      <w:proofErr w:type="spellStart"/>
      <w:r w:rsidRPr="002C4135">
        <w:rPr>
          <w:i/>
          <w:sz w:val="20"/>
        </w:rPr>
        <w:t>turpi</w:t>
      </w:r>
      <w:proofErr w:type="spellEnd"/>
      <w:r w:rsidRPr="002C4135">
        <w:rPr>
          <w:i/>
          <w:sz w:val="20"/>
        </w:rPr>
        <w:t xml:space="preserve"> causa</w:t>
      </w:r>
      <w:r w:rsidRPr="002C4135">
        <w:rPr>
          <w:sz w:val="20"/>
        </w:rPr>
        <w:t xml:space="preserve"> </w:t>
      </w:r>
      <w:proofErr w:type="spellStart"/>
      <w:r w:rsidRPr="002C4135">
        <w:rPr>
          <w:sz w:val="20"/>
        </w:rPr>
        <w:t>defence</w:t>
      </w:r>
      <w:proofErr w:type="spellEnd"/>
      <w:r w:rsidRPr="002C4135">
        <w:rPr>
          <w:sz w:val="20"/>
        </w:rPr>
        <w:t xml:space="preserve"> applies? </w:t>
      </w:r>
    </w:p>
    <w:p w:rsidR="00132437" w:rsidRPr="002C4135" w:rsidRDefault="00132437" w:rsidP="00665D43">
      <w:pPr>
        <w:jc w:val="both"/>
        <w:rPr>
          <w:sz w:val="20"/>
        </w:rPr>
      </w:pPr>
    </w:p>
    <w:p w:rsidR="00132437" w:rsidRPr="002C4135" w:rsidRDefault="00132437" w:rsidP="00665D43">
      <w:pPr>
        <w:jc w:val="both"/>
        <w:rPr>
          <w:sz w:val="20"/>
        </w:rPr>
      </w:pPr>
      <w:r w:rsidRPr="002C4135">
        <w:rPr>
          <w:sz w:val="20"/>
        </w:rPr>
        <w:t xml:space="preserve">The respondent was a publicly traded company that engaged the appellant as its auditor, in part to issue audit opinions of its financial statements for fiscal years 1993 to 1997. Its principals, some officers and some employees committed fraud. On August 6, 1998, new management discovered and disclosed the fraud. Trading of the respondent’s shares was suspended and an independent investigation was conducted. The appellant withdrew its audit opinions for the 1996 and 1997 fiscal years and conducted a re-audit. On November 18, 1998, the respondent restated some of its financial statements and identified over $98 million in accounting irregularities. </w:t>
      </w:r>
      <w:bookmarkStart w:id="4" w:name="_Toc439940343"/>
      <w:bookmarkEnd w:id="4"/>
      <w:r w:rsidRPr="002C4135">
        <w:rPr>
          <w:sz w:val="20"/>
        </w:rPr>
        <w:t xml:space="preserve">The respondent filed for insolvency </w:t>
      </w:r>
      <w:r w:rsidRPr="002C4135">
        <w:rPr>
          <w:sz w:val="20"/>
        </w:rPr>
        <w:lastRenderedPageBreak/>
        <w:t>protection in Canada and the United States. Its assets were sold. Mr. </w:t>
      </w:r>
      <w:proofErr w:type="spellStart"/>
      <w:r w:rsidRPr="002C4135">
        <w:rPr>
          <w:sz w:val="20"/>
        </w:rPr>
        <w:t>Drabinsky</w:t>
      </w:r>
      <w:proofErr w:type="spellEnd"/>
      <w:r w:rsidRPr="002C4135">
        <w:rPr>
          <w:sz w:val="20"/>
        </w:rPr>
        <w:t xml:space="preserve"> and Mr. Gottlieb, its original principals, were later convicted and imprisoned for fraud and forgery. The respondent was placed in receivership and a Special Receiver and Manager was appointed for various purposes including commencing an action against the appellant claiming negligence.</w:t>
      </w:r>
    </w:p>
    <w:p w:rsidR="00132437" w:rsidRPr="002C4135" w:rsidRDefault="00132437" w:rsidP="00665D43">
      <w:pPr>
        <w:jc w:val="both"/>
        <w:rPr>
          <w:sz w:val="20"/>
        </w:rPr>
      </w:pPr>
    </w:p>
    <w:p w:rsidR="00132437" w:rsidRPr="002C4135" w:rsidRDefault="00132437" w:rsidP="00665D43">
      <w:pPr>
        <w:jc w:val="both"/>
        <w:rPr>
          <w:sz w:val="20"/>
        </w:rPr>
      </w:pPr>
    </w:p>
    <w:p w:rsidR="00132437" w:rsidRPr="002C4135" w:rsidRDefault="00132437" w:rsidP="00146A3F">
      <w:pPr>
        <w:widowControl w:val="0"/>
        <w:tabs>
          <w:tab w:val="left" w:pos="720"/>
        </w:tabs>
        <w:ind w:left="709" w:hanging="731"/>
        <w:jc w:val="both"/>
        <w:rPr>
          <w:b/>
          <w:i/>
          <w:sz w:val="20"/>
          <w:lang w:val="fr-CA"/>
        </w:rPr>
      </w:pPr>
      <w:r w:rsidRPr="002C4135">
        <w:rPr>
          <w:b/>
          <w:sz w:val="20"/>
          <w:lang w:val="en-CA"/>
        </w:rPr>
        <w:fldChar w:fldCharType="begin"/>
      </w:r>
      <w:r w:rsidRPr="002C4135">
        <w:rPr>
          <w:b/>
          <w:sz w:val="20"/>
          <w:lang w:val="fr-CA"/>
        </w:rPr>
        <w:instrText xml:space="preserve"> SEQ CHAPTER \h \r 1</w:instrText>
      </w:r>
      <w:r w:rsidRPr="002C4135">
        <w:rPr>
          <w:b/>
          <w:sz w:val="20"/>
        </w:rPr>
        <w:fldChar w:fldCharType="end"/>
      </w:r>
      <w:r w:rsidRPr="002C4135">
        <w:rPr>
          <w:b/>
          <w:sz w:val="20"/>
          <w:lang w:val="fr-CA"/>
        </w:rPr>
        <w:t>36875</w:t>
      </w:r>
      <w:r w:rsidRPr="002C4135">
        <w:rPr>
          <w:sz w:val="20"/>
          <w:lang w:val="fr-CA"/>
        </w:rPr>
        <w:tab/>
      </w:r>
      <w:r w:rsidRPr="002C4135">
        <w:rPr>
          <w:b/>
          <w:i/>
          <w:sz w:val="20"/>
          <w:lang w:val="fr-CA"/>
        </w:rPr>
        <w:t>Deloitte &amp; Touche c. Livent Inc., par son séquestre et administrateur spécial, Roman Doroniuk</w:t>
      </w:r>
    </w:p>
    <w:p w:rsidR="00132437" w:rsidRPr="002C4135" w:rsidRDefault="00132437" w:rsidP="00146A3F">
      <w:pPr>
        <w:pStyle w:val="SCCCaseDescriptor"/>
        <w:rPr>
          <w:b w:val="0"/>
          <w:sz w:val="20"/>
          <w:lang w:val="fr-CA"/>
        </w:rPr>
      </w:pPr>
      <w:r w:rsidRPr="002C4135">
        <w:rPr>
          <w:sz w:val="20"/>
          <w:lang w:val="fr-CA"/>
        </w:rPr>
        <w:tab/>
      </w:r>
      <w:r w:rsidRPr="002C4135">
        <w:rPr>
          <w:sz w:val="20"/>
          <w:lang w:val="fr-CA"/>
        </w:rPr>
        <w:tab/>
      </w:r>
      <w:r w:rsidRPr="002C4135">
        <w:rPr>
          <w:b w:val="0"/>
          <w:sz w:val="20"/>
          <w:lang w:val="fr-CA"/>
        </w:rPr>
        <w:t>(Ont.) (Civile) (Sur autorisation)</w:t>
      </w:r>
    </w:p>
    <w:p w:rsidR="00132437" w:rsidRPr="002C4135" w:rsidRDefault="00132437" w:rsidP="00146A3F">
      <w:pPr>
        <w:widowControl w:val="0"/>
        <w:ind w:left="1440" w:hanging="1440"/>
        <w:jc w:val="both"/>
        <w:rPr>
          <w:sz w:val="20"/>
          <w:lang w:val="fr-CA"/>
        </w:rPr>
      </w:pPr>
    </w:p>
    <w:p w:rsidR="00132437" w:rsidRPr="002C4135" w:rsidRDefault="00132437" w:rsidP="00146A3F">
      <w:pPr>
        <w:jc w:val="both"/>
        <w:rPr>
          <w:sz w:val="20"/>
          <w:lang w:val="fr-CA"/>
        </w:rPr>
      </w:pPr>
      <w:r w:rsidRPr="002C4135">
        <w:rPr>
          <w:sz w:val="20"/>
          <w:lang w:val="fr-CA"/>
        </w:rPr>
        <w:t>Droit des professions - Responsabilité professionnelle - Négligence - Obligation de diligence -Moyens de défense - L’obligation de diligence du vérificateur envers la société par actions pour laquelle il agit comprend-elle l’obligation de se retirer de la relation de vérification et de précipiter l’effondrement de la société afin d’éviter un déclin de sa valeur à la liquidation? - Si le client qui fait l’objet d’une vérification a le droit d’être indemnisé par son vérificateur pour un manquement à cette obligation de diligence, ce droit est-il indépendant des préoccupations soulevées par le problème de la responsabilité indéterminée et existe-t-il des considérations qui ont pour effet d’écarter ou de restreindre la portée de l’obligation de diligence? - Le fait que l’appelante n’ait pas démissionné représentait-il une cause en droit d’une diminution éventuelle de la valeur liquidative de l’intimée? - La théorie de l’aggravation de l’insolvabilité (« </w:t>
      </w:r>
      <w:proofErr w:type="spellStart"/>
      <w:r w:rsidRPr="002C4135">
        <w:rPr>
          <w:i/>
          <w:sz w:val="20"/>
          <w:lang w:val="fr-CA"/>
        </w:rPr>
        <w:t>deepening</w:t>
      </w:r>
      <w:proofErr w:type="spellEnd"/>
      <w:r w:rsidRPr="002C4135">
        <w:rPr>
          <w:i/>
          <w:sz w:val="20"/>
          <w:lang w:val="fr-CA"/>
        </w:rPr>
        <w:t xml:space="preserve"> </w:t>
      </w:r>
      <w:proofErr w:type="spellStart"/>
      <w:r w:rsidRPr="002C4135">
        <w:rPr>
          <w:i/>
          <w:sz w:val="20"/>
          <w:lang w:val="fr-CA"/>
        </w:rPr>
        <w:t>insolvency</w:t>
      </w:r>
      <w:proofErr w:type="spellEnd"/>
      <w:r w:rsidRPr="002C4135">
        <w:rPr>
          <w:sz w:val="20"/>
          <w:lang w:val="fr-CA"/>
        </w:rPr>
        <w:t xml:space="preserve"> ») fait-elle partie du droit canadien? - Y </w:t>
      </w:r>
      <w:proofErr w:type="spellStart"/>
      <w:r w:rsidRPr="002C4135">
        <w:rPr>
          <w:sz w:val="20"/>
          <w:lang w:val="fr-CA"/>
        </w:rPr>
        <w:t>a-t-il</w:t>
      </w:r>
      <w:proofErr w:type="spellEnd"/>
      <w:r w:rsidRPr="002C4135">
        <w:rPr>
          <w:sz w:val="20"/>
          <w:lang w:val="fr-CA"/>
        </w:rPr>
        <w:t xml:space="preserve"> lieu d’imputer à l’intimée une responsabilité ou une faute contributive? - La défense </w:t>
      </w:r>
      <w:r w:rsidRPr="002C4135">
        <w:rPr>
          <w:i/>
          <w:iCs/>
          <w:sz w:val="20"/>
          <w:lang w:val="fr-CA"/>
        </w:rPr>
        <w:t xml:space="preserve">ex </w:t>
      </w:r>
      <w:proofErr w:type="spellStart"/>
      <w:r w:rsidRPr="002C4135">
        <w:rPr>
          <w:i/>
          <w:iCs/>
          <w:sz w:val="20"/>
          <w:lang w:val="fr-CA"/>
        </w:rPr>
        <w:t>turpi</w:t>
      </w:r>
      <w:proofErr w:type="spellEnd"/>
      <w:r w:rsidRPr="002C4135">
        <w:rPr>
          <w:i/>
          <w:iCs/>
          <w:sz w:val="20"/>
          <w:lang w:val="fr-CA"/>
        </w:rPr>
        <w:t xml:space="preserve"> causa </w:t>
      </w:r>
      <w:r w:rsidRPr="002C4135">
        <w:rPr>
          <w:iCs/>
          <w:sz w:val="20"/>
          <w:lang w:val="fr-CA"/>
        </w:rPr>
        <w:t>s’applique-t-elle?</w:t>
      </w:r>
      <w:r w:rsidRPr="002C4135">
        <w:rPr>
          <w:sz w:val="20"/>
          <w:lang w:val="fr-CA"/>
        </w:rPr>
        <w:t xml:space="preserve"> </w:t>
      </w:r>
    </w:p>
    <w:p w:rsidR="00132437" w:rsidRPr="002C4135" w:rsidRDefault="00132437" w:rsidP="00146A3F">
      <w:pPr>
        <w:jc w:val="both"/>
        <w:rPr>
          <w:sz w:val="20"/>
          <w:lang w:val="fr-CA"/>
        </w:rPr>
      </w:pPr>
    </w:p>
    <w:p w:rsidR="00132437" w:rsidRPr="002C4135" w:rsidRDefault="00132437" w:rsidP="00146A3F">
      <w:pPr>
        <w:jc w:val="both"/>
        <w:rPr>
          <w:sz w:val="20"/>
          <w:lang w:val="fr-CA"/>
        </w:rPr>
      </w:pPr>
      <w:r w:rsidRPr="002C4135">
        <w:rPr>
          <w:sz w:val="20"/>
          <w:lang w:val="fr-CA"/>
        </w:rPr>
        <w:t xml:space="preserve">L’intimée était une société cotée en bourse qui a engagé l’appelante comme vérificateur, notamment pour émettre des opinions sur ses états financiers pour les exercices de 1993 à 1997. Ses principaux directeurs, certains dirigeants et certains employés ont commis une fraude. Le 6 août 1998, la nouvelle direction a découvert et révélé la fraude. La négociation des actions de l’intimée a été suspendue et une enquête indépendante a été tenue. L’appelante a retiré ses opinions pour les exercices 1996 et 1997 et a effectué une nouvelle vérification. Le 18 novembre 1998, l’intimée a régularisé certains de ses états financiers et a mis en évidence plus de 98 millions de dollars en irrégularités comptables. L’intimée a demandé la protection des lois sur l’insolvabilité au Canada et aux États-Unis. Ses actifs ont été vendus. Messieurs </w:t>
      </w:r>
      <w:proofErr w:type="spellStart"/>
      <w:r w:rsidRPr="002C4135">
        <w:rPr>
          <w:sz w:val="20"/>
          <w:lang w:val="fr-CA"/>
        </w:rPr>
        <w:t>Drabinsky</w:t>
      </w:r>
      <w:proofErr w:type="spellEnd"/>
      <w:r w:rsidRPr="002C4135">
        <w:rPr>
          <w:sz w:val="20"/>
          <w:lang w:val="fr-CA"/>
        </w:rPr>
        <w:t xml:space="preserve"> et Gottlieb, ses premiers principaux directeurs, ont été subséquemment déclarés coupables de fraude et de falsification et condamnés à des peines d’emprisonnement. L’intimée a été mise sous séquestre et un séquestre et administrateur spécial a été nommé pour effectuer diverses tâches, notamment l’introduction d’une action en négligence contre l’appelante.</w:t>
      </w:r>
    </w:p>
    <w:p w:rsidR="00132437" w:rsidRPr="002C4135" w:rsidRDefault="00132437" w:rsidP="00340C6D">
      <w:pPr>
        <w:jc w:val="both"/>
        <w:rPr>
          <w:lang w:val="fr-CA"/>
        </w:rPr>
      </w:pPr>
    </w:p>
    <w:p w:rsidR="00132437" w:rsidRPr="002C4135" w:rsidRDefault="00132437" w:rsidP="00340C6D">
      <w:pPr>
        <w:jc w:val="both"/>
        <w:rPr>
          <w:lang w:val="fr-CA"/>
        </w:rPr>
      </w:pPr>
    </w:p>
    <w:p w:rsidR="00132437" w:rsidRPr="002C4135" w:rsidRDefault="00132437" w:rsidP="00132437">
      <w:pPr>
        <w:widowControl w:val="0"/>
        <w:ind w:left="720" w:hanging="720"/>
        <w:jc w:val="both"/>
        <w:rPr>
          <w:b/>
          <w:i/>
          <w:sz w:val="20"/>
          <w:lang w:val="en-CA"/>
        </w:rPr>
      </w:pPr>
      <w:r w:rsidRPr="002C4135">
        <w:rPr>
          <w:b/>
          <w:sz w:val="20"/>
          <w:lang w:val="en-CA"/>
        </w:rPr>
        <w:fldChar w:fldCharType="begin"/>
      </w:r>
      <w:r w:rsidRPr="002C4135">
        <w:rPr>
          <w:b/>
          <w:sz w:val="20"/>
        </w:rPr>
        <w:instrText xml:space="preserve"> SEQ CHAPTER \h \r 1</w:instrText>
      </w:r>
      <w:r w:rsidRPr="002C4135">
        <w:rPr>
          <w:b/>
          <w:sz w:val="20"/>
        </w:rPr>
        <w:fldChar w:fldCharType="end"/>
      </w:r>
      <w:r w:rsidRPr="002C4135">
        <w:rPr>
          <w:b/>
          <w:sz w:val="20"/>
          <w:lang w:val="en-CA"/>
        </w:rPr>
        <w:t>37168</w:t>
      </w:r>
      <w:r w:rsidRPr="002C4135">
        <w:rPr>
          <w:sz w:val="20"/>
          <w:lang w:val="en-CA"/>
        </w:rPr>
        <w:tab/>
      </w:r>
      <w:r w:rsidRPr="002C4135">
        <w:rPr>
          <w:b/>
          <w:i/>
          <w:sz w:val="20"/>
          <w:lang w:val="en-CA"/>
        </w:rPr>
        <w:t>Donald</w:t>
      </w:r>
      <w:r w:rsidRPr="002C4135">
        <w:rPr>
          <w:b/>
          <w:i/>
          <w:sz w:val="20"/>
        </w:rPr>
        <w:t xml:space="preserve"> Joseph Boutilier v. Her Majesty the Queen</w:t>
      </w:r>
    </w:p>
    <w:p w:rsidR="00132437" w:rsidRPr="002C4135" w:rsidRDefault="00132437" w:rsidP="00132437">
      <w:pPr>
        <w:widowControl w:val="0"/>
        <w:ind w:left="1440" w:hanging="720"/>
        <w:jc w:val="both"/>
        <w:rPr>
          <w:sz w:val="20"/>
          <w:lang w:val="en-CA"/>
        </w:rPr>
      </w:pPr>
      <w:r w:rsidRPr="002C4135">
        <w:rPr>
          <w:sz w:val="20"/>
          <w:lang w:val="en-CA"/>
        </w:rPr>
        <w:t>(B.C.) (Criminal) (By leave)</w:t>
      </w:r>
    </w:p>
    <w:p w:rsidR="00132437" w:rsidRPr="002C4135" w:rsidRDefault="00132437" w:rsidP="00132437">
      <w:pPr>
        <w:widowControl w:val="0"/>
        <w:jc w:val="both"/>
        <w:rPr>
          <w:sz w:val="20"/>
          <w:lang w:val="en-CA"/>
        </w:rPr>
      </w:pPr>
    </w:p>
    <w:p w:rsidR="00132437" w:rsidRPr="002C4135" w:rsidRDefault="00132437" w:rsidP="00132437">
      <w:pPr>
        <w:jc w:val="both"/>
        <w:rPr>
          <w:sz w:val="20"/>
        </w:rPr>
      </w:pPr>
      <w:r w:rsidRPr="002C4135">
        <w:rPr>
          <w:i/>
          <w:sz w:val="20"/>
        </w:rPr>
        <w:t>Charter of Rights and Freedoms</w:t>
      </w:r>
      <w:r w:rsidRPr="002C4135">
        <w:rPr>
          <w:sz w:val="20"/>
        </w:rPr>
        <w:t xml:space="preserve"> - Right to life, liberty and security of the person - Cruel and unusual punishment - Dangerous offender designation and sentencing provisions - Constitutionality of ss. 753(1) and 753(4.1) of the </w:t>
      </w:r>
      <w:r w:rsidRPr="002C4135">
        <w:rPr>
          <w:i/>
          <w:sz w:val="20"/>
        </w:rPr>
        <w:t>Criminal Code</w:t>
      </w:r>
      <w:r w:rsidRPr="002C4135">
        <w:rPr>
          <w:sz w:val="20"/>
        </w:rPr>
        <w:t xml:space="preserve">, R.S.C. 1985, c. C-46 - Whether the designation criteria in s. 753(1) of the </w:t>
      </w:r>
      <w:r w:rsidRPr="002C4135">
        <w:rPr>
          <w:i/>
          <w:sz w:val="20"/>
        </w:rPr>
        <w:t xml:space="preserve">Criminal Code </w:t>
      </w:r>
      <w:r w:rsidRPr="002C4135">
        <w:rPr>
          <w:sz w:val="20"/>
        </w:rPr>
        <w:t xml:space="preserve">is overbroad under s. 7 of the </w:t>
      </w:r>
      <w:r w:rsidRPr="002C4135">
        <w:rPr>
          <w:i/>
          <w:sz w:val="20"/>
        </w:rPr>
        <w:t>Charter</w:t>
      </w:r>
      <w:r w:rsidRPr="002C4135">
        <w:rPr>
          <w:sz w:val="20"/>
        </w:rPr>
        <w:t xml:space="preserve"> - Whether an offender’s future treatment prospects are to be considered at the “designation phase” in s. 753(1) of the </w:t>
      </w:r>
      <w:r w:rsidRPr="002C4135">
        <w:rPr>
          <w:i/>
          <w:sz w:val="20"/>
        </w:rPr>
        <w:t>Criminal Code</w:t>
      </w:r>
      <w:r w:rsidRPr="002C4135">
        <w:rPr>
          <w:sz w:val="20"/>
        </w:rPr>
        <w:t xml:space="preserve"> - Whether s. 753(4.1) of the </w:t>
      </w:r>
      <w:r w:rsidRPr="002C4135">
        <w:rPr>
          <w:i/>
          <w:sz w:val="20"/>
        </w:rPr>
        <w:t>Criminal</w:t>
      </w:r>
      <w:r w:rsidRPr="002C4135">
        <w:rPr>
          <w:sz w:val="20"/>
        </w:rPr>
        <w:t xml:space="preserve"> </w:t>
      </w:r>
      <w:r w:rsidRPr="002C4135">
        <w:rPr>
          <w:i/>
          <w:sz w:val="20"/>
        </w:rPr>
        <w:t>Code</w:t>
      </w:r>
      <w:r w:rsidRPr="002C4135">
        <w:rPr>
          <w:sz w:val="20"/>
        </w:rPr>
        <w:t xml:space="preserve"> is overbroad under s. 7 of the </w:t>
      </w:r>
      <w:r w:rsidRPr="002C4135">
        <w:rPr>
          <w:i/>
          <w:sz w:val="20"/>
        </w:rPr>
        <w:t>Charter</w:t>
      </w:r>
      <w:r w:rsidRPr="002C4135">
        <w:rPr>
          <w:sz w:val="20"/>
        </w:rPr>
        <w:t xml:space="preserve"> or grossly disproportionate under s. 12 of the </w:t>
      </w:r>
      <w:r w:rsidRPr="002C4135">
        <w:rPr>
          <w:i/>
          <w:sz w:val="20"/>
        </w:rPr>
        <w:t>Charter</w:t>
      </w:r>
      <w:r w:rsidRPr="002C4135">
        <w:rPr>
          <w:sz w:val="20"/>
        </w:rPr>
        <w:t xml:space="preserve"> - </w:t>
      </w:r>
      <w:r w:rsidRPr="002C4135">
        <w:rPr>
          <w:i/>
          <w:sz w:val="20"/>
        </w:rPr>
        <w:t>Charter</w:t>
      </w:r>
      <w:r w:rsidRPr="002C4135">
        <w:rPr>
          <w:sz w:val="20"/>
        </w:rPr>
        <w:t xml:space="preserve"> ss. 7 and 12.</w:t>
      </w:r>
    </w:p>
    <w:p w:rsidR="00132437" w:rsidRPr="002C4135" w:rsidRDefault="00132437" w:rsidP="00132437">
      <w:pPr>
        <w:widowControl w:val="0"/>
        <w:jc w:val="both"/>
        <w:rPr>
          <w:sz w:val="20"/>
          <w:lang w:val="en-CA"/>
        </w:rPr>
      </w:pPr>
    </w:p>
    <w:p w:rsidR="00132437" w:rsidRPr="002C4135" w:rsidRDefault="00132437" w:rsidP="00132437">
      <w:pPr>
        <w:jc w:val="both"/>
        <w:rPr>
          <w:iCs/>
          <w:sz w:val="20"/>
        </w:rPr>
      </w:pPr>
      <w:r w:rsidRPr="002C4135">
        <w:rPr>
          <w:sz w:val="20"/>
        </w:rPr>
        <w:t xml:space="preserve">The Crown brought a dangerous offender application. Pursuant to s. 752.1 of the </w:t>
      </w:r>
      <w:r w:rsidRPr="002C4135">
        <w:rPr>
          <w:i/>
          <w:sz w:val="20"/>
        </w:rPr>
        <w:t>Criminal Code</w:t>
      </w:r>
      <w:r w:rsidRPr="002C4135">
        <w:rPr>
          <w:sz w:val="20"/>
        </w:rPr>
        <w:t xml:space="preserve">, R.S.C. 1985, c. C-46, Mr. Boutilier was remanded for an assessment. After the evidence in the dangerous offender hearing was completed, and after the Crown had completed its submissions, counsel for Mr. Boutilier served a notice of constitutional question in relation to several amendments to s. 753 of the </w:t>
      </w:r>
      <w:r w:rsidRPr="002C4135">
        <w:rPr>
          <w:i/>
          <w:sz w:val="20"/>
        </w:rPr>
        <w:t xml:space="preserve">Criminal </w:t>
      </w:r>
      <w:r w:rsidRPr="002C4135">
        <w:rPr>
          <w:i/>
          <w:iCs/>
          <w:sz w:val="20"/>
        </w:rPr>
        <w:t>Code.</w:t>
      </w:r>
      <w:r w:rsidRPr="002C4135">
        <w:rPr>
          <w:sz w:val="20"/>
        </w:rPr>
        <w:t xml:space="preserve"> The judge concluded that an aspect of s. 753(1) of the </w:t>
      </w:r>
      <w:r w:rsidRPr="002C4135">
        <w:rPr>
          <w:i/>
          <w:sz w:val="20"/>
        </w:rPr>
        <w:t>Code</w:t>
      </w:r>
      <w:r w:rsidRPr="002C4135">
        <w:rPr>
          <w:sz w:val="20"/>
        </w:rPr>
        <w:t xml:space="preserve"> infringed s. 7 of the </w:t>
      </w:r>
      <w:r w:rsidRPr="002C4135">
        <w:rPr>
          <w:i/>
          <w:sz w:val="20"/>
        </w:rPr>
        <w:t>Charter</w:t>
      </w:r>
      <w:r w:rsidRPr="002C4135">
        <w:rPr>
          <w:i/>
          <w:iCs/>
          <w:sz w:val="20"/>
        </w:rPr>
        <w:t xml:space="preserve"> </w:t>
      </w:r>
      <w:r w:rsidRPr="002C4135">
        <w:rPr>
          <w:iCs/>
          <w:sz w:val="20"/>
        </w:rPr>
        <w:t xml:space="preserve">and could not be saved under s. 1 of the </w:t>
      </w:r>
      <w:r w:rsidRPr="002C4135">
        <w:rPr>
          <w:i/>
          <w:iCs/>
          <w:sz w:val="20"/>
        </w:rPr>
        <w:t>Charter</w:t>
      </w:r>
      <w:r w:rsidRPr="002C4135">
        <w:rPr>
          <w:iCs/>
          <w:sz w:val="20"/>
        </w:rPr>
        <w:t>.</w:t>
      </w:r>
      <w:r w:rsidRPr="002C4135">
        <w:rPr>
          <w:sz w:val="20"/>
        </w:rPr>
        <w:t xml:space="preserve"> Accordingly, s. 753(1) of the </w:t>
      </w:r>
      <w:r w:rsidRPr="002C4135">
        <w:rPr>
          <w:i/>
          <w:sz w:val="20"/>
        </w:rPr>
        <w:t>Code</w:t>
      </w:r>
      <w:r w:rsidRPr="002C4135">
        <w:rPr>
          <w:sz w:val="20"/>
        </w:rPr>
        <w:t xml:space="preserve"> was declared to be inconsistent with the </w:t>
      </w:r>
      <w:r w:rsidRPr="002C4135">
        <w:rPr>
          <w:i/>
          <w:sz w:val="20"/>
        </w:rPr>
        <w:t>Charter</w:t>
      </w:r>
      <w:r w:rsidRPr="002C4135">
        <w:rPr>
          <w:sz w:val="20"/>
        </w:rPr>
        <w:t xml:space="preserve"> and hence void. In consideration of the interests at stake, the judge held that this declaration of invalidity would be suspended for one year. The judge also designated Mr. Boutilier a dangerous offender and sentenced him to an indeterminate prison term. The Crown appealed the declaration of constitutional invalidity with respect to s. 753(1). Mr. Boutilier appealed the dismissal of his application to have s. 753(4.1) declared constitutionally invalid as well as his designation as a dangerous offender and indeterminate sentence. </w:t>
      </w:r>
      <w:r w:rsidRPr="002C4135">
        <w:rPr>
          <w:iCs/>
          <w:sz w:val="20"/>
        </w:rPr>
        <w:t>The Crown’s appeal was allowed. Mr. </w:t>
      </w:r>
      <w:proofErr w:type="spellStart"/>
      <w:r w:rsidRPr="002C4135">
        <w:rPr>
          <w:iCs/>
          <w:sz w:val="20"/>
        </w:rPr>
        <w:t>Boutilier’s</w:t>
      </w:r>
      <w:proofErr w:type="spellEnd"/>
      <w:r w:rsidRPr="002C4135">
        <w:rPr>
          <w:iCs/>
          <w:sz w:val="20"/>
        </w:rPr>
        <w:t xml:space="preserve"> appeal was dismissed.</w:t>
      </w:r>
    </w:p>
    <w:p w:rsidR="00132437" w:rsidRPr="002C4135" w:rsidRDefault="00132437" w:rsidP="00132437">
      <w:pPr>
        <w:jc w:val="both"/>
        <w:rPr>
          <w:iCs/>
          <w:sz w:val="20"/>
        </w:rPr>
      </w:pPr>
    </w:p>
    <w:p w:rsidR="00132437" w:rsidRPr="002C4135" w:rsidRDefault="00132437" w:rsidP="00132437">
      <w:pPr>
        <w:jc w:val="both"/>
        <w:rPr>
          <w:iCs/>
          <w:sz w:val="20"/>
        </w:rPr>
      </w:pPr>
    </w:p>
    <w:p w:rsidR="00132437" w:rsidRPr="002C4135" w:rsidRDefault="00132437" w:rsidP="00132437">
      <w:pPr>
        <w:widowControl w:val="0"/>
        <w:ind w:left="720" w:hanging="720"/>
        <w:rPr>
          <w:b/>
          <w:i/>
          <w:sz w:val="20"/>
          <w:lang w:val="fr-CA" w:eastAsia="en-CA"/>
        </w:rPr>
      </w:pPr>
      <w:r w:rsidRPr="002C4135">
        <w:rPr>
          <w:rStyle w:val="SCCFileNumberChar"/>
          <w:sz w:val="20"/>
          <w:lang w:val="fr-CA"/>
        </w:rPr>
        <w:t>37168</w:t>
      </w:r>
      <w:r w:rsidRPr="002C4135">
        <w:rPr>
          <w:rStyle w:val="SCCFileNumberChar"/>
          <w:sz w:val="20"/>
          <w:lang w:val="fr-CA"/>
        </w:rPr>
        <w:tab/>
      </w:r>
      <w:r w:rsidRPr="002C4135">
        <w:rPr>
          <w:b/>
          <w:i/>
          <w:sz w:val="20"/>
          <w:lang w:val="fr-CA" w:eastAsia="en-CA"/>
        </w:rPr>
        <w:t>Donald Joseph Boutilier c. Sa Majesté la Reine</w:t>
      </w:r>
    </w:p>
    <w:p w:rsidR="00132437" w:rsidRPr="002C4135" w:rsidRDefault="00132437" w:rsidP="00132437">
      <w:pPr>
        <w:ind w:left="194" w:firstLine="526"/>
        <w:jc w:val="both"/>
        <w:rPr>
          <w:sz w:val="20"/>
          <w:lang w:val="fr-CA"/>
        </w:rPr>
      </w:pPr>
      <w:r w:rsidRPr="002C4135">
        <w:rPr>
          <w:sz w:val="20"/>
          <w:lang w:val="fr-CA"/>
        </w:rPr>
        <w:t>(C.-B.) (Criminelle) (Sur autorisation)</w:t>
      </w:r>
    </w:p>
    <w:p w:rsidR="00132437" w:rsidRPr="002C4135" w:rsidRDefault="00132437" w:rsidP="00132437">
      <w:pPr>
        <w:jc w:val="both"/>
        <w:rPr>
          <w:iCs/>
          <w:sz w:val="20"/>
          <w:lang w:val="fr-CA"/>
        </w:rPr>
      </w:pPr>
    </w:p>
    <w:p w:rsidR="00132437" w:rsidRPr="002C4135" w:rsidRDefault="00132437" w:rsidP="00132437">
      <w:pPr>
        <w:jc w:val="both"/>
        <w:rPr>
          <w:iCs/>
          <w:sz w:val="20"/>
          <w:lang w:val="fr-CA"/>
        </w:rPr>
      </w:pPr>
      <w:r w:rsidRPr="002C4135">
        <w:rPr>
          <w:i/>
          <w:sz w:val="20"/>
          <w:lang w:val="fr-CA"/>
        </w:rPr>
        <w:t>Charte des droits et libertés</w:t>
      </w:r>
      <w:r w:rsidRPr="002C4135">
        <w:rPr>
          <w:sz w:val="20"/>
          <w:lang w:val="fr-CA"/>
        </w:rPr>
        <w:t xml:space="preserve"> - Droit à la vie, à la liberté et à la sécurité de la personne - Peine cruelle et inusitée - Déclaration de délinquant dangereux et dispositions relatives à la détermination de la peine - Constitutionnalité des </w:t>
      </w:r>
      <w:proofErr w:type="spellStart"/>
      <w:r w:rsidRPr="002C4135">
        <w:rPr>
          <w:sz w:val="20"/>
          <w:lang w:val="fr-CA"/>
        </w:rPr>
        <w:t>par</w:t>
      </w:r>
      <w:proofErr w:type="spellEnd"/>
      <w:r w:rsidRPr="002C4135">
        <w:rPr>
          <w:sz w:val="20"/>
          <w:lang w:val="fr-CA"/>
        </w:rPr>
        <w:t xml:space="preserve">. 753(1) et 753(4.1) du </w:t>
      </w:r>
      <w:r w:rsidRPr="002C4135">
        <w:rPr>
          <w:i/>
          <w:sz w:val="20"/>
          <w:lang w:val="fr-CA"/>
        </w:rPr>
        <w:t>Code criminel</w:t>
      </w:r>
      <w:r w:rsidRPr="002C4135">
        <w:rPr>
          <w:sz w:val="20"/>
          <w:lang w:val="fr-CA"/>
        </w:rPr>
        <w:t xml:space="preserve">, L.R.C. 1985, c. C-46 - Les critères de désignation prévus au </w:t>
      </w:r>
      <w:proofErr w:type="spellStart"/>
      <w:r w:rsidRPr="002C4135">
        <w:rPr>
          <w:sz w:val="20"/>
          <w:lang w:val="fr-CA"/>
        </w:rPr>
        <w:t>par</w:t>
      </w:r>
      <w:proofErr w:type="spellEnd"/>
      <w:r w:rsidRPr="002C4135">
        <w:rPr>
          <w:sz w:val="20"/>
          <w:lang w:val="fr-CA"/>
        </w:rPr>
        <w:t xml:space="preserve">. 753(1) du </w:t>
      </w:r>
      <w:r w:rsidRPr="002C4135">
        <w:rPr>
          <w:i/>
          <w:sz w:val="20"/>
          <w:lang w:val="fr-CA"/>
        </w:rPr>
        <w:t xml:space="preserve">Code criminel </w:t>
      </w:r>
      <w:r w:rsidRPr="002C4135">
        <w:rPr>
          <w:sz w:val="20"/>
          <w:lang w:val="fr-CA"/>
        </w:rPr>
        <w:t xml:space="preserve">ont-ils une portée excessive au regard de l’art. 7 de la </w:t>
      </w:r>
      <w:r w:rsidRPr="002C4135">
        <w:rPr>
          <w:i/>
          <w:sz w:val="20"/>
          <w:lang w:val="fr-CA"/>
        </w:rPr>
        <w:t>Charte</w:t>
      </w:r>
      <w:r w:rsidRPr="002C4135">
        <w:rPr>
          <w:sz w:val="20"/>
          <w:lang w:val="fr-CA"/>
        </w:rPr>
        <w:t xml:space="preserve">? - Les perspectives de traitement d’un délinquant doivent-elles être prises en compte à la « phase de désignation » en application du par. 753(1) du </w:t>
      </w:r>
      <w:r w:rsidRPr="002C4135">
        <w:rPr>
          <w:i/>
          <w:sz w:val="20"/>
          <w:lang w:val="fr-CA"/>
        </w:rPr>
        <w:t>Code criminel</w:t>
      </w:r>
      <w:r w:rsidRPr="002C4135">
        <w:rPr>
          <w:sz w:val="20"/>
          <w:lang w:val="fr-CA"/>
        </w:rPr>
        <w:t xml:space="preserve">? - Le par. 753(4.1) du </w:t>
      </w:r>
      <w:r w:rsidRPr="002C4135">
        <w:rPr>
          <w:i/>
          <w:sz w:val="20"/>
          <w:lang w:val="fr-CA"/>
        </w:rPr>
        <w:t>Code criminel</w:t>
      </w:r>
      <w:r w:rsidRPr="002C4135">
        <w:rPr>
          <w:sz w:val="20"/>
          <w:lang w:val="fr-CA"/>
        </w:rPr>
        <w:t xml:space="preserve"> </w:t>
      </w:r>
      <w:proofErr w:type="spellStart"/>
      <w:r w:rsidRPr="002C4135">
        <w:rPr>
          <w:sz w:val="20"/>
          <w:lang w:val="fr-CA"/>
        </w:rPr>
        <w:t>a-t-il</w:t>
      </w:r>
      <w:proofErr w:type="spellEnd"/>
      <w:r w:rsidRPr="002C4135">
        <w:rPr>
          <w:sz w:val="20"/>
          <w:lang w:val="fr-CA"/>
        </w:rPr>
        <w:t xml:space="preserve"> une portée excessive au regard de l’art. 7 de la </w:t>
      </w:r>
      <w:r w:rsidRPr="002C4135">
        <w:rPr>
          <w:i/>
          <w:sz w:val="20"/>
          <w:lang w:val="fr-CA"/>
        </w:rPr>
        <w:t>Charte</w:t>
      </w:r>
      <w:r w:rsidRPr="002C4135">
        <w:rPr>
          <w:sz w:val="20"/>
          <w:lang w:val="fr-CA"/>
        </w:rPr>
        <w:t xml:space="preserve"> ou est-il totalement disproportionné sur le fondement de l’art. 12 de la </w:t>
      </w:r>
      <w:r w:rsidRPr="002C4135">
        <w:rPr>
          <w:i/>
          <w:sz w:val="20"/>
          <w:lang w:val="fr-CA"/>
        </w:rPr>
        <w:t>Charte</w:t>
      </w:r>
      <w:r w:rsidRPr="002C4135">
        <w:rPr>
          <w:sz w:val="20"/>
          <w:lang w:val="fr-CA"/>
        </w:rPr>
        <w:t xml:space="preserve">? - </w:t>
      </w:r>
      <w:r w:rsidRPr="002C4135">
        <w:rPr>
          <w:i/>
          <w:sz w:val="20"/>
          <w:lang w:val="fr-CA"/>
        </w:rPr>
        <w:t>Charte</w:t>
      </w:r>
      <w:r w:rsidRPr="002C4135">
        <w:rPr>
          <w:sz w:val="20"/>
          <w:lang w:val="fr-CA"/>
        </w:rPr>
        <w:t>, art. 7 et 12.</w:t>
      </w:r>
    </w:p>
    <w:p w:rsidR="00132437" w:rsidRPr="002C4135" w:rsidRDefault="00132437" w:rsidP="00132437">
      <w:pPr>
        <w:jc w:val="both"/>
        <w:rPr>
          <w:iCs/>
          <w:sz w:val="20"/>
          <w:lang w:val="fr-CA"/>
        </w:rPr>
      </w:pPr>
    </w:p>
    <w:p w:rsidR="00132437" w:rsidRPr="002C4135" w:rsidRDefault="00132437" w:rsidP="00132437">
      <w:pPr>
        <w:jc w:val="both"/>
        <w:rPr>
          <w:iCs/>
          <w:sz w:val="20"/>
          <w:lang w:val="fr-CA"/>
        </w:rPr>
      </w:pPr>
      <w:r w:rsidRPr="002C4135">
        <w:rPr>
          <w:sz w:val="20"/>
          <w:lang w:val="fr-CA"/>
        </w:rPr>
        <w:t xml:space="preserve">Le ministère public a présenté une demande de déclaration de délinquant dangereux. En application de l’art. 752.1 </w:t>
      </w:r>
      <w:proofErr w:type="gramStart"/>
      <w:r w:rsidRPr="002C4135">
        <w:rPr>
          <w:sz w:val="20"/>
          <w:lang w:val="fr-CA"/>
        </w:rPr>
        <w:t>du</w:t>
      </w:r>
      <w:proofErr w:type="gramEnd"/>
      <w:r w:rsidRPr="002C4135">
        <w:rPr>
          <w:sz w:val="20"/>
          <w:lang w:val="fr-CA"/>
        </w:rPr>
        <w:t xml:space="preserve"> </w:t>
      </w:r>
      <w:r w:rsidRPr="002C4135">
        <w:rPr>
          <w:i/>
          <w:sz w:val="20"/>
          <w:lang w:val="fr-CA"/>
        </w:rPr>
        <w:t>Code criminel</w:t>
      </w:r>
      <w:r w:rsidRPr="002C4135">
        <w:rPr>
          <w:sz w:val="20"/>
          <w:lang w:val="fr-CA"/>
        </w:rPr>
        <w:t xml:space="preserve">, L.R.C. 1985, c. C-46, M. Boutilier a été renvoyé pour évaluation. Après la présentation de la preuve à l’audition de la demande de déclaration de délinquant dangereux, et après que le ministère public a présenté ses arguments, l’avocat de M. Boutilier a signifié un avis de question constitutionnelle en lien avec plusieurs modifications à l’art. 753 du </w:t>
      </w:r>
      <w:r w:rsidRPr="002C4135">
        <w:rPr>
          <w:i/>
          <w:sz w:val="20"/>
          <w:lang w:val="fr-CA"/>
        </w:rPr>
        <w:t>Code criminel</w:t>
      </w:r>
      <w:r w:rsidRPr="002C4135">
        <w:rPr>
          <w:i/>
          <w:iCs/>
          <w:sz w:val="20"/>
          <w:lang w:val="fr-CA"/>
        </w:rPr>
        <w:t>.</w:t>
      </w:r>
      <w:r w:rsidRPr="002C4135">
        <w:rPr>
          <w:sz w:val="20"/>
          <w:lang w:val="fr-CA"/>
        </w:rPr>
        <w:t xml:space="preserve"> Le juge a conclu qu’un aspect du par. 753(1) violait l’art. 7 de la </w:t>
      </w:r>
      <w:r w:rsidRPr="002C4135">
        <w:rPr>
          <w:i/>
          <w:sz w:val="20"/>
          <w:lang w:val="fr-CA"/>
        </w:rPr>
        <w:t>Charte</w:t>
      </w:r>
      <w:r w:rsidRPr="002C4135">
        <w:rPr>
          <w:i/>
          <w:iCs/>
          <w:sz w:val="20"/>
          <w:lang w:val="fr-CA"/>
        </w:rPr>
        <w:t xml:space="preserve"> </w:t>
      </w:r>
      <w:r w:rsidRPr="002C4135">
        <w:rPr>
          <w:iCs/>
          <w:sz w:val="20"/>
          <w:lang w:val="fr-CA"/>
        </w:rPr>
        <w:t xml:space="preserve">et ne pouvait être sauvegardé en application de l’article premier de la </w:t>
      </w:r>
      <w:r w:rsidRPr="002C4135">
        <w:rPr>
          <w:i/>
          <w:iCs/>
          <w:sz w:val="20"/>
          <w:lang w:val="fr-CA"/>
        </w:rPr>
        <w:t>Charte</w:t>
      </w:r>
      <w:r w:rsidRPr="002C4135">
        <w:rPr>
          <w:iCs/>
          <w:sz w:val="20"/>
          <w:lang w:val="fr-CA"/>
        </w:rPr>
        <w:t>.</w:t>
      </w:r>
      <w:r w:rsidRPr="002C4135">
        <w:rPr>
          <w:sz w:val="20"/>
          <w:lang w:val="fr-CA"/>
        </w:rPr>
        <w:t xml:space="preserve"> En conséquence, il a déclaré le par. 753(1) incompatible avec la </w:t>
      </w:r>
      <w:r w:rsidRPr="002C4135">
        <w:rPr>
          <w:i/>
          <w:sz w:val="20"/>
          <w:lang w:val="fr-CA"/>
        </w:rPr>
        <w:t>Charte</w:t>
      </w:r>
      <w:r w:rsidRPr="002C4135">
        <w:rPr>
          <w:sz w:val="20"/>
          <w:lang w:val="fr-CA"/>
        </w:rPr>
        <w:t xml:space="preserve"> et donc nul. Compte tenu des intérêts en jeu, le juge a statué que cette déclaration d’invalidité serait suspendue pendant un an. Le juge a également déclaré M. Boutilier délinquant dangereux et l’a condamné à une peine de détention d’une durée indéterminée. Le ministère public a interjeté appel de la déclaration d’invalidité constitutionnelle du par. 753(1). Monsieur Boutilier a interjeté appel du rejet de sa demande visant à faire déclarer le par. 753(4.1) inconstitutionnel, de sa désignation comme délinquant dangereux et de sa peine de détention d’une durée indéterminée. </w:t>
      </w:r>
      <w:r w:rsidRPr="002C4135">
        <w:rPr>
          <w:iCs/>
          <w:sz w:val="20"/>
          <w:lang w:val="fr-CA"/>
        </w:rPr>
        <w:t>L’appel du ministère public a été accueilli. L’appel de M. Boutilier a été rejeté.</w:t>
      </w:r>
    </w:p>
    <w:p w:rsidR="00132437" w:rsidRPr="002C4135" w:rsidRDefault="00132437" w:rsidP="00340C6D">
      <w:pPr>
        <w:jc w:val="both"/>
        <w:rPr>
          <w:lang w:val="fr-CA"/>
        </w:rPr>
      </w:pPr>
    </w:p>
    <w:p w:rsidR="00072A63" w:rsidRPr="002C4135" w:rsidRDefault="00072A63" w:rsidP="00340C6D">
      <w:pPr>
        <w:jc w:val="both"/>
        <w:rPr>
          <w:szCs w:val="24"/>
          <w:lang w:val="fr-CA"/>
        </w:rPr>
      </w:pPr>
    </w:p>
    <w:p w:rsidR="00072A63" w:rsidRPr="002C4135" w:rsidRDefault="00072A63" w:rsidP="00EC79B0">
      <w:pPr>
        <w:jc w:val="both"/>
        <w:rPr>
          <w:szCs w:val="24"/>
          <w:lang w:val="fr-CA"/>
        </w:rPr>
      </w:pPr>
    </w:p>
    <w:p w:rsidR="001C4415" w:rsidRPr="002C4135" w:rsidRDefault="001C4415" w:rsidP="001C4415">
      <w:pPr>
        <w:widowControl w:val="0"/>
        <w:outlineLvl w:val="0"/>
      </w:pPr>
      <w:r w:rsidRPr="002C4135">
        <w:t xml:space="preserve">Supreme Court of Canada / Cour suprême du </w:t>
      </w:r>
      <w:proofErr w:type="gramStart"/>
      <w:r w:rsidRPr="002C4135">
        <w:t>Canada :</w:t>
      </w:r>
      <w:proofErr w:type="gramEnd"/>
      <w:r w:rsidRPr="002C4135">
        <w:t xml:space="preserve"> </w:t>
      </w:r>
    </w:p>
    <w:p w:rsidR="001C4415" w:rsidRPr="002C4135" w:rsidRDefault="002C4135" w:rsidP="001C4415">
      <w:pPr>
        <w:widowControl w:val="0"/>
        <w:outlineLvl w:val="0"/>
      </w:pPr>
      <w:hyperlink r:id="rId9" w:history="1">
        <w:r w:rsidR="001C4415" w:rsidRPr="002C4135">
          <w:rPr>
            <w:rStyle w:val="Hyperlink"/>
          </w:rPr>
          <w:t>comments-commentaires@scc-csc.ca</w:t>
        </w:r>
      </w:hyperlink>
    </w:p>
    <w:p w:rsidR="001C4415" w:rsidRPr="002C4135" w:rsidRDefault="001C4415" w:rsidP="001C4415">
      <w:pPr>
        <w:widowControl w:val="0"/>
        <w:outlineLvl w:val="0"/>
      </w:pPr>
      <w:r w:rsidRPr="002C4135">
        <w:t>(613) 995-4330</w:t>
      </w:r>
    </w:p>
    <w:p w:rsidR="001C4415" w:rsidRPr="002C4135" w:rsidRDefault="001C4415" w:rsidP="001C4415">
      <w:pPr>
        <w:widowControl w:val="0"/>
        <w:rPr>
          <w:sz w:val="20"/>
        </w:rPr>
      </w:pPr>
    </w:p>
    <w:p w:rsidR="0036476C" w:rsidRPr="00A8502B" w:rsidRDefault="001C4415" w:rsidP="0036476C">
      <w:pPr>
        <w:pStyle w:val="Footer"/>
        <w:jc w:val="center"/>
        <w:rPr>
          <w:lang w:val="fr-CA"/>
        </w:rPr>
      </w:pPr>
      <w:r w:rsidRPr="002C4135">
        <w:rPr>
          <w:lang w:val="fr-CA"/>
        </w:rPr>
        <w:t xml:space="preserve">- 30 </w:t>
      </w:r>
      <w:r w:rsidR="003C1B6E" w:rsidRPr="002C4135">
        <w:rPr>
          <w:lang w:val="fr-CA"/>
        </w:rPr>
        <w:t>-</w:t>
      </w:r>
      <w:bookmarkStart w:id="5" w:name="_GoBack"/>
      <w:bookmarkEnd w:id="5"/>
    </w:p>
    <w:p w:rsidR="0036476C" w:rsidRPr="00A8502B" w:rsidRDefault="0036476C" w:rsidP="0036476C">
      <w:pPr>
        <w:pStyle w:val="Footer"/>
        <w:jc w:val="center"/>
        <w:rPr>
          <w:lang w:val="fr-CA"/>
        </w:rPr>
      </w:pPr>
    </w:p>
    <w:sectPr w:rsidR="0036476C" w:rsidRPr="00A850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02A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7E76"/>
    <w:rsid w:val="001305E1"/>
    <w:rsid w:val="00131418"/>
    <w:rsid w:val="00132437"/>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6661"/>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4135"/>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A2C15"/>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0244"/>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3FE"/>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7F1"/>
    <w:rsid w:val="006F3B04"/>
    <w:rsid w:val="006F636B"/>
    <w:rsid w:val="006F73CC"/>
    <w:rsid w:val="006F7FC8"/>
    <w:rsid w:val="0070294E"/>
    <w:rsid w:val="00707B9B"/>
    <w:rsid w:val="00711DBC"/>
    <w:rsid w:val="0071224C"/>
    <w:rsid w:val="0071392B"/>
    <w:rsid w:val="00716381"/>
    <w:rsid w:val="00724998"/>
    <w:rsid w:val="00727681"/>
    <w:rsid w:val="00731F00"/>
    <w:rsid w:val="00732616"/>
    <w:rsid w:val="00732764"/>
    <w:rsid w:val="007364BD"/>
    <w:rsid w:val="00736683"/>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64C3"/>
    <w:rsid w:val="00807EAE"/>
    <w:rsid w:val="00810A3F"/>
    <w:rsid w:val="00811E14"/>
    <w:rsid w:val="0081445F"/>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1B6D"/>
    <w:rsid w:val="00A253E7"/>
    <w:rsid w:val="00A26653"/>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17D4C"/>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45F"/>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2CA2"/>
    <w:rsid w:val="00E538AE"/>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1ED3"/>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132437"/>
    <w:rPr>
      <w:b/>
      <w:lang w:val="en-CA" w:eastAsia="en-CA"/>
    </w:rPr>
  </w:style>
  <w:style w:type="character" w:customStyle="1" w:styleId="SCCCaseDescriptorChar">
    <w:name w:val="SCC.CaseDescriptor Char"/>
    <w:basedOn w:val="DefaultParagraphFont"/>
    <w:link w:val="SCCCaseDescriptor"/>
    <w:rsid w:val="00132437"/>
    <w:rPr>
      <w:b/>
      <w:sz w:val="24"/>
      <w:lang w:val="en-CA" w:eastAsia="en-CA"/>
    </w:rPr>
  </w:style>
  <w:style w:type="paragraph" w:customStyle="1" w:styleId="SCCFileNumber">
    <w:name w:val="SCC.FileNumber"/>
    <w:basedOn w:val="Normal"/>
    <w:next w:val="Normal"/>
    <w:link w:val="SCCFileNumberChar"/>
    <w:rsid w:val="00132437"/>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132437"/>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16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687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1556</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2017-12-15T15:40:00Z</dcterms:created>
  <dcterms:modified xsi:type="dcterms:W3CDTF">2017-12-15T20:24:00Z</dcterms:modified>
</cp:coreProperties>
</file>