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DD0581" w:rsidRDefault="003F43E6" w:rsidP="00122CE1">
      <w:pPr>
        <w:pStyle w:val="Header"/>
        <w:tabs>
          <w:tab w:val="left" w:pos="1620"/>
          <w:tab w:val="left" w:pos="1710"/>
        </w:tabs>
        <w:jc w:val="center"/>
        <w:rPr>
          <w:b/>
          <w:sz w:val="32"/>
        </w:rPr>
      </w:pPr>
      <w:r w:rsidRPr="00DD0581">
        <w:rPr>
          <w:b/>
          <w:sz w:val="32"/>
        </w:rPr>
        <w:t>Supreme Court of Canada / Cour suprême du Canada</w:t>
      </w:r>
    </w:p>
    <w:p w:rsidR="003F43E6" w:rsidRPr="00DD0581" w:rsidRDefault="003F43E6" w:rsidP="006F2579">
      <w:pPr>
        <w:widowControl w:val="0"/>
        <w:rPr>
          <w:i/>
        </w:rPr>
      </w:pPr>
    </w:p>
    <w:p w:rsidR="006F2579" w:rsidRPr="00DD0581" w:rsidRDefault="006F2579" w:rsidP="006F2579">
      <w:pPr>
        <w:widowControl w:val="0"/>
        <w:rPr>
          <w:i/>
        </w:rPr>
      </w:pPr>
      <w:r w:rsidRPr="00DD0581">
        <w:rPr>
          <w:i/>
        </w:rPr>
        <w:t>(le français suit)</w:t>
      </w:r>
    </w:p>
    <w:p w:rsidR="006F2579" w:rsidRPr="00DD0581" w:rsidRDefault="006F2579" w:rsidP="006F2579">
      <w:pPr>
        <w:widowControl w:val="0"/>
      </w:pPr>
    </w:p>
    <w:p w:rsidR="006F2579" w:rsidRPr="00DD0581" w:rsidRDefault="00B07908" w:rsidP="006F2579">
      <w:pPr>
        <w:widowControl w:val="0"/>
        <w:jc w:val="center"/>
        <w:rPr>
          <w:b/>
        </w:rPr>
      </w:pPr>
      <w:r w:rsidRPr="00DD0581">
        <w:fldChar w:fldCharType="begin"/>
      </w:r>
      <w:r w:rsidR="006F2579" w:rsidRPr="00DD0581">
        <w:instrText xml:space="preserve"> SEQ CHAPTER \h \r 1</w:instrText>
      </w:r>
      <w:r w:rsidRPr="00DD0581">
        <w:fldChar w:fldCharType="end"/>
      </w:r>
      <w:r w:rsidR="006F2579" w:rsidRPr="00DD0581">
        <w:rPr>
          <w:b/>
        </w:rPr>
        <w:t>JUDGMENT</w:t>
      </w:r>
      <w:r w:rsidR="00B17AAC" w:rsidRPr="00DD0581">
        <w:rPr>
          <w:b/>
        </w:rPr>
        <w:t>S</w:t>
      </w:r>
      <w:r w:rsidR="006F2579" w:rsidRPr="00DD0581">
        <w:rPr>
          <w:b/>
        </w:rPr>
        <w:t xml:space="preserve"> TO B</w:t>
      </w:r>
      <w:r w:rsidR="00001846" w:rsidRPr="00DD0581">
        <w:rPr>
          <w:b/>
        </w:rPr>
        <w:t>E RENDERED IN LEAVE APPLICATION</w:t>
      </w:r>
      <w:r w:rsidR="00E94FDF" w:rsidRPr="00DD0581">
        <w:rPr>
          <w:b/>
        </w:rPr>
        <w:t>S</w:t>
      </w:r>
    </w:p>
    <w:p w:rsidR="006F2579" w:rsidRPr="00DD0581" w:rsidRDefault="006F2579" w:rsidP="006F2579">
      <w:pPr>
        <w:widowControl w:val="0"/>
      </w:pPr>
    </w:p>
    <w:p w:rsidR="006F2579" w:rsidRPr="00DD0581" w:rsidRDefault="00F840B9" w:rsidP="006F2579">
      <w:pPr>
        <w:widowControl w:val="0"/>
        <w:rPr>
          <w:b/>
        </w:rPr>
      </w:pPr>
      <w:r w:rsidRPr="00DD0581">
        <w:rPr>
          <w:b/>
        </w:rPr>
        <w:t>February</w:t>
      </w:r>
      <w:r w:rsidR="00FD37D0" w:rsidRPr="00DD0581">
        <w:rPr>
          <w:b/>
        </w:rPr>
        <w:t xml:space="preserve"> </w:t>
      </w:r>
      <w:r w:rsidR="004441C7">
        <w:rPr>
          <w:b/>
        </w:rPr>
        <w:t>12,</w:t>
      </w:r>
      <w:r w:rsidR="006F2579" w:rsidRPr="00DD0581">
        <w:rPr>
          <w:b/>
        </w:rPr>
        <w:t xml:space="preserve"> </w:t>
      </w:r>
      <w:r w:rsidR="0054689F" w:rsidRPr="00DD0581">
        <w:rPr>
          <w:b/>
        </w:rPr>
        <w:t>201</w:t>
      </w:r>
      <w:r w:rsidR="00685F7C" w:rsidRPr="00DD0581">
        <w:rPr>
          <w:b/>
        </w:rPr>
        <w:t>8</w:t>
      </w:r>
    </w:p>
    <w:p w:rsidR="006F2579" w:rsidRPr="00DD0581" w:rsidRDefault="00674F39" w:rsidP="006F2579">
      <w:pPr>
        <w:widowControl w:val="0"/>
        <w:rPr>
          <w:b/>
        </w:rPr>
      </w:pPr>
      <w:r w:rsidRPr="00DD0581">
        <w:rPr>
          <w:b/>
        </w:rPr>
        <w:t>For immediate release</w:t>
      </w:r>
    </w:p>
    <w:p w:rsidR="006F2579" w:rsidRPr="00DD0581" w:rsidRDefault="006F2579" w:rsidP="006F2579">
      <w:pPr>
        <w:widowControl w:val="0"/>
      </w:pPr>
    </w:p>
    <w:p w:rsidR="006F2579" w:rsidRPr="00DD0581" w:rsidRDefault="006F2579" w:rsidP="006F2579">
      <w:pPr>
        <w:widowControl w:val="0"/>
      </w:pPr>
      <w:r w:rsidRPr="00DD0581">
        <w:rPr>
          <w:b/>
        </w:rPr>
        <w:t>OTTAWA</w:t>
      </w:r>
      <w:r w:rsidRPr="00DD0581">
        <w:t xml:space="preserve"> – The Supreme Court of Canad</w:t>
      </w:r>
      <w:r w:rsidR="006246E4" w:rsidRPr="00DD0581">
        <w:t>a</w:t>
      </w:r>
      <w:r w:rsidRPr="00DD0581">
        <w:t xml:space="preserve"> announced today that judgment in the following application</w:t>
      </w:r>
      <w:r w:rsidR="008600ED" w:rsidRPr="00DD0581">
        <w:t>s</w:t>
      </w:r>
      <w:r w:rsidRPr="00DD0581">
        <w:t xml:space="preserve"> for leave to appeal will be delivered at 9:45 a.m. E</w:t>
      </w:r>
      <w:r w:rsidR="00213196" w:rsidRPr="00DD0581">
        <w:t>S</w:t>
      </w:r>
      <w:r w:rsidRPr="00DD0581">
        <w:t xml:space="preserve">T on Thursday, </w:t>
      </w:r>
      <w:r w:rsidR="009F28F7" w:rsidRPr="00DD0581">
        <w:t>February</w:t>
      </w:r>
      <w:r w:rsidR="00780317" w:rsidRPr="00DD0581">
        <w:t xml:space="preserve"> </w:t>
      </w:r>
      <w:r w:rsidR="004441C7">
        <w:t>15</w:t>
      </w:r>
      <w:r w:rsidR="007E112F" w:rsidRPr="00DD0581">
        <w:t>,</w:t>
      </w:r>
      <w:r w:rsidR="002F38D7" w:rsidRPr="00DD0581">
        <w:t xml:space="preserve"> </w:t>
      </w:r>
      <w:r w:rsidR="006648D1" w:rsidRPr="00DD0581">
        <w:t>201</w:t>
      </w:r>
      <w:r w:rsidR="00685F7C" w:rsidRPr="00DD0581">
        <w:t>8</w:t>
      </w:r>
      <w:r w:rsidRPr="00DD0581">
        <w:t>. This list is subject to chang</w:t>
      </w:r>
      <w:r w:rsidR="00192F7F" w:rsidRPr="00DD0581">
        <w:t>e</w:t>
      </w:r>
      <w:r w:rsidRPr="00DD0581">
        <w:t>.</w:t>
      </w:r>
    </w:p>
    <w:p w:rsidR="00FF5AA4" w:rsidRPr="00DD0581" w:rsidRDefault="00FF5AA4" w:rsidP="006F2579">
      <w:pPr>
        <w:widowControl w:val="0"/>
      </w:pPr>
    </w:p>
    <w:p w:rsidR="00B43418" w:rsidRPr="00DD0581" w:rsidRDefault="00B43418" w:rsidP="006F2579">
      <w:pPr>
        <w:widowControl w:val="0"/>
      </w:pPr>
    </w:p>
    <w:p w:rsidR="006F2579" w:rsidRPr="00DD0581" w:rsidRDefault="006F2579" w:rsidP="006F2579">
      <w:pPr>
        <w:widowControl w:val="0"/>
        <w:jc w:val="center"/>
        <w:rPr>
          <w:lang w:val="fr-CA"/>
        </w:rPr>
      </w:pPr>
      <w:r w:rsidRPr="00DD0581">
        <w:rPr>
          <w:b/>
          <w:lang w:val="fr-CA"/>
        </w:rPr>
        <w:t>PROCHAIN</w:t>
      </w:r>
      <w:r w:rsidR="00B17AAC" w:rsidRPr="00DD0581">
        <w:rPr>
          <w:b/>
          <w:lang w:val="fr-CA"/>
        </w:rPr>
        <w:t>S</w:t>
      </w:r>
      <w:r w:rsidRPr="00DD0581">
        <w:rPr>
          <w:b/>
          <w:lang w:val="fr-CA"/>
        </w:rPr>
        <w:t xml:space="preserve"> JUGEMENT</w:t>
      </w:r>
      <w:r w:rsidR="00B17AAC" w:rsidRPr="00DD0581">
        <w:rPr>
          <w:b/>
          <w:lang w:val="fr-CA"/>
        </w:rPr>
        <w:t>S</w:t>
      </w:r>
      <w:r w:rsidR="00001846" w:rsidRPr="00DD0581">
        <w:rPr>
          <w:b/>
          <w:lang w:val="fr-CA"/>
        </w:rPr>
        <w:t xml:space="preserve"> SUR DEMANDE</w:t>
      </w:r>
      <w:r w:rsidR="00B17AAC" w:rsidRPr="00DD0581">
        <w:rPr>
          <w:b/>
          <w:lang w:val="fr-CA"/>
        </w:rPr>
        <w:t>S</w:t>
      </w:r>
      <w:r w:rsidRPr="00DD0581">
        <w:rPr>
          <w:b/>
          <w:lang w:val="fr-CA"/>
        </w:rPr>
        <w:t xml:space="preserve"> D’AUTORISATION</w:t>
      </w:r>
    </w:p>
    <w:p w:rsidR="006F2579" w:rsidRPr="00DD0581" w:rsidRDefault="006F2579" w:rsidP="006F2579">
      <w:pPr>
        <w:widowControl w:val="0"/>
        <w:rPr>
          <w:lang w:val="fr-CA"/>
        </w:rPr>
      </w:pPr>
    </w:p>
    <w:p w:rsidR="006F2579" w:rsidRPr="00DD0581" w:rsidRDefault="006F2579" w:rsidP="006F2579">
      <w:pPr>
        <w:widowControl w:val="0"/>
        <w:rPr>
          <w:b/>
          <w:lang w:val="fr-CA"/>
        </w:rPr>
      </w:pPr>
      <w:r w:rsidRPr="00DD0581">
        <w:rPr>
          <w:b/>
          <w:lang w:val="fr-CA"/>
        </w:rPr>
        <w:t>Le</w:t>
      </w:r>
      <w:r w:rsidR="00957A76" w:rsidRPr="00DD0581">
        <w:rPr>
          <w:b/>
          <w:lang w:val="fr-CA"/>
        </w:rPr>
        <w:t xml:space="preserve"> </w:t>
      </w:r>
      <w:r w:rsidR="004441C7">
        <w:rPr>
          <w:b/>
          <w:lang w:val="fr-CA"/>
        </w:rPr>
        <w:t>12</w:t>
      </w:r>
      <w:r w:rsidR="00FD37D0" w:rsidRPr="00DD0581">
        <w:rPr>
          <w:b/>
          <w:lang w:val="fr-CA"/>
        </w:rPr>
        <w:t xml:space="preserve"> </w:t>
      </w:r>
      <w:r w:rsidR="00F840B9" w:rsidRPr="00DD0581">
        <w:rPr>
          <w:b/>
          <w:lang w:val="fr-CA"/>
        </w:rPr>
        <w:t>février</w:t>
      </w:r>
      <w:r w:rsidR="00A151D1" w:rsidRPr="00DD0581">
        <w:rPr>
          <w:b/>
          <w:lang w:val="fr-CA"/>
        </w:rPr>
        <w:t xml:space="preserve"> 201</w:t>
      </w:r>
      <w:r w:rsidR="00685F7C" w:rsidRPr="00DD0581">
        <w:rPr>
          <w:b/>
          <w:lang w:val="fr-CA"/>
        </w:rPr>
        <w:t>8</w:t>
      </w:r>
    </w:p>
    <w:p w:rsidR="006F2579" w:rsidRPr="00DD0581" w:rsidRDefault="006F2579" w:rsidP="006F2579">
      <w:pPr>
        <w:widowControl w:val="0"/>
        <w:rPr>
          <w:b/>
          <w:lang w:val="fr-CA"/>
        </w:rPr>
      </w:pPr>
      <w:r w:rsidRPr="00DD0581">
        <w:rPr>
          <w:b/>
          <w:lang w:val="fr-CA"/>
        </w:rPr>
        <w:t>Pour diffusion immédiate</w:t>
      </w:r>
    </w:p>
    <w:p w:rsidR="006F2579" w:rsidRPr="00DD0581" w:rsidRDefault="006F2579" w:rsidP="006F2579">
      <w:pPr>
        <w:widowControl w:val="0"/>
        <w:rPr>
          <w:b/>
          <w:lang w:val="fr-CA"/>
        </w:rPr>
      </w:pPr>
    </w:p>
    <w:p w:rsidR="006F2579" w:rsidRPr="00DD0581" w:rsidRDefault="006F2579" w:rsidP="006F2579">
      <w:pPr>
        <w:widowControl w:val="0"/>
        <w:rPr>
          <w:lang w:val="fr-CA"/>
        </w:rPr>
      </w:pPr>
      <w:r w:rsidRPr="00DD0581">
        <w:rPr>
          <w:b/>
          <w:lang w:val="fr-CA"/>
        </w:rPr>
        <w:t>OTTAWA</w:t>
      </w:r>
      <w:r w:rsidRPr="00DD0581">
        <w:rPr>
          <w:lang w:val="fr-CA"/>
        </w:rPr>
        <w:t xml:space="preserve"> – La Cour suprême du Canada annonce que jugement ser</w:t>
      </w:r>
      <w:r w:rsidR="004259F9" w:rsidRPr="00DD0581">
        <w:rPr>
          <w:lang w:val="fr-CA"/>
        </w:rPr>
        <w:t>a</w:t>
      </w:r>
      <w:r w:rsidRPr="00DD0581">
        <w:rPr>
          <w:lang w:val="fr-CA"/>
        </w:rPr>
        <w:t xml:space="preserve"> rendu dans l</w:t>
      </w:r>
      <w:r w:rsidR="008600ED" w:rsidRPr="00DD0581">
        <w:rPr>
          <w:lang w:val="fr-CA"/>
        </w:rPr>
        <w:t>es</w:t>
      </w:r>
      <w:r w:rsidRPr="00DD0581">
        <w:rPr>
          <w:lang w:val="fr-CA"/>
        </w:rPr>
        <w:t xml:space="preserve"> demande</w:t>
      </w:r>
      <w:r w:rsidR="008600ED" w:rsidRPr="00DD0581">
        <w:rPr>
          <w:lang w:val="fr-CA"/>
        </w:rPr>
        <w:t>s</w:t>
      </w:r>
      <w:r w:rsidRPr="00DD0581">
        <w:rPr>
          <w:lang w:val="fr-CA"/>
        </w:rPr>
        <w:t xml:space="preserve"> d</w:t>
      </w:r>
      <w:r w:rsidR="00001846" w:rsidRPr="00DD0581">
        <w:rPr>
          <w:lang w:val="fr-CA"/>
        </w:rPr>
        <w:t>’autorisation d’appel suivante</w:t>
      </w:r>
      <w:r w:rsidR="008600ED" w:rsidRPr="00DD0581">
        <w:rPr>
          <w:lang w:val="fr-CA"/>
        </w:rPr>
        <w:t>s</w:t>
      </w:r>
      <w:r w:rsidRPr="00DD0581">
        <w:rPr>
          <w:lang w:val="fr-CA"/>
        </w:rPr>
        <w:t xml:space="preserve"> le jeudi </w:t>
      </w:r>
      <w:r w:rsidR="004441C7">
        <w:rPr>
          <w:lang w:val="fr-CA"/>
        </w:rPr>
        <w:t>15</w:t>
      </w:r>
      <w:r w:rsidR="00780317" w:rsidRPr="00DD0581">
        <w:rPr>
          <w:lang w:val="fr-CA"/>
        </w:rPr>
        <w:t xml:space="preserve"> </w:t>
      </w:r>
      <w:r w:rsidR="009F28F7" w:rsidRPr="00DD0581">
        <w:rPr>
          <w:lang w:val="fr-CA"/>
        </w:rPr>
        <w:t>févr</w:t>
      </w:r>
      <w:r w:rsidR="00685F7C" w:rsidRPr="00DD0581">
        <w:rPr>
          <w:lang w:val="fr-CA"/>
        </w:rPr>
        <w:t>ier</w:t>
      </w:r>
      <w:r w:rsidR="00674329" w:rsidRPr="00DD0581">
        <w:rPr>
          <w:lang w:val="fr-CA"/>
        </w:rPr>
        <w:t xml:space="preserve"> </w:t>
      </w:r>
      <w:r w:rsidR="006648D1" w:rsidRPr="00DD0581">
        <w:rPr>
          <w:lang w:val="fr-CA"/>
        </w:rPr>
        <w:t>201</w:t>
      </w:r>
      <w:r w:rsidR="00685F7C" w:rsidRPr="00DD0581">
        <w:rPr>
          <w:lang w:val="fr-CA"/>
        </w:rPr>
        <w:t>8</w:t>
      </w:r>
      <w:r w:rsidRPr="00DD0581">
        <w:rPr>
          <w:lang w:val="fr-CA"/>
        </w:rPr>
        <w:t xml:space="preserve">, à 9 h 45 </w:t>
      </w:r>
      <w:r w:rsidR="000627A2" w:rsidRPr="00DD0581">
        <w:rPr>
          <w:lang w:val="fr-CA"/>
        </w:rPr>
        <w:t>H</w:t>
      </w:r>
      <w:r w:rsidR="00213196" w:rsidRPr="00DD0581">
        <w:rPr>
          <w:lang w:val="fr-CA"/>
        </w:rPr>
        <w:t>N</w:t>
      </w:r>
      <w:r w:rsidRPr="00DD0581">
        <w:rPr>
          <w:lang w:val="fr-CA"/>
        </w:rPr>
        <w:t>E. Cette liste est sujette à modifications.</w:t>
      </w:r>
    </w:p>
    <w:p w:rsidR="0080556B" w:rsidRPr="00DD0581" w:rsidRDefault="0080556B" w:rsidP="009B14F4">
      <w:pPr>
        <w:widowControl w:val="0"/>
        <w:jc w:val="both"/>
        <w:rPr>
          <w:sz w:val="20"/>
          <w:lang w:val="fr-CA"/>
        </w:rPr>
      </w:pPr>
    </w:p>
    <w:p w:rsidR="001838E0" w:rsidRPr="00DD0581" w:rsidRDefault="003D353C" w:rsidP="009B14F4">
      <w:pPr>
        <w:widowControl w:val="0"/>
        <w:jc w:val="both"/>
        <w:rPr>
          <w:sz w:val="20"/>
          <w:lang w:val="fr-CA"/>
        </w:rPr>
      </w:pPr>
      <w:r w:rsidRPr="00DD0581">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957A1E" w:rsidRDefault="00957A1E" w:rsidP="00957A1E">
      <w:pPr>
        <w:jc w:val="both"/>
        <w:rPr>
          <w:sz w:val="20"/>
          <w:lang w:val="fr-CA"/>
        </w:rPr>
      </w:pPr>
    </w:p>
    <w:p w:rsidR="003D3202" w:rsidRPr="00712E25" w:rsidRDefault="003D3202" w:rsidP="003D3202">
      <w:pPr>
        <w:pStyle w:val="ListParagraph"/>
        <w:numPr>
          <w:ilvl w:val="0"/>
          <w:numId w:val="10"/>
        </w:numPr>
        <w:ind w:left="360"/>
        <w:jc w:val="both"/>
        <w:rPr>
          <w:sz w:val="20"/>
          <w:lang w:val="fr-CA"/>
        </w:rPr>
      </w:pPr>
      <w:r w:rsidRPr="00712E25">
        <w:rPr>
          <w:i/>
          <w:sz w:val="20"/>
          <w:lang w:val="fr-CA"/>
        </w:rPr>
        <w:t>Hélène Banville-Joncas et a</w:t>
      </w:r>
      <w:r w:rsidR="00CF6964" w:rsidRPr="00712E25">
        <w:rPr>
          <w:i/>
          <w:sz w:val="20"/>
          <w:lang w:val="fr-CA"/>
        </w:rPr>
        <w:t>utre</w:t>
      </w:r>
      <w:r w:rsidR="00712E25" w:rsidRPr="00712E25">
        <w:rPr>
          <w:i/>
          <w:sz w:val="20"/>
          <w:lang w:val="fr-CA"/>
        </w:rPr>
        <w:t>s</w:t>
      </w:r>
      <w:r w:rsidRPr="00712E25">
        <w:rPr>
          <w:i/>
          <w:sz w:val="20"/>
          <w:lang w:val="fr-CA"/>
        </w:rPr>
        <w:t xml:space="preserve"> c. Station Mont-Tremblant, société en commandite </w:t>
      </w:r>
      <w:r w:rsidRPr="00712E25">
        <w:rPr>
          <w:sz w:val="20"/>
          <w:lang w:val="fr-CA"/>
        </w:rPr>
        <w:t xml:space="preserve">(Qc) (Civile) (Autorisation) </w:t>
      </w:r>
      <w:r w:rsidRPr="00712E25">
        <w:rPr>
          <w:sz w:val="20"/>
          <w:szCs w:val="20"/>
          <w:lang w:val="fr-CA"/>
        </w:rPr>
        <w:t>(</w:t>
      </w:r>
      <w:hyperlink r:id="rId7" w:history="1">
        <w:r w:rsidRPr="00712E25">
          <w:rPr>
            <w:rStyle w:val="Hyperlink"/>
            <w:sz w:val="20"/>
            <w:szCs w:val="20"/>
            <w:lang w:val="fr-CA"/>
          </w:rPr>
          <w:t>3772</w:t>
        </w:r>
        <w:r w:rsidR="00D150F9" w:rsidRPr="00712E25">
          <w:rPr>
            <w:rStyle w:val="Hyperlink"/>
            <w:sz w:val="20"/>
            <w:szCs w:val="20"/>
            <w:lang w:val="fr-CA"/>
          </w:rPr>
          <w:t>9</w:t>
        </w:r>
      </w:hyperlink>
      <w:r w:rsidRPr="00712E25">
        <w:rPr>
          <w:sz w:val="20"/>
          <w:szCs w:val="20"/>
          <w:lang w:val="fr-CA"/>
        </w:rPr>
        <w:t>)</w:t>
      </w:r>
    </w:p>
    <w:p w:rsidR="003D3202" w:rsidRPr="00712E25" w:rsidRDefault="003D3202" w:rsidP="003D3202">
      <w:pPr>
        <w:widowControl w:val="0"/>
        <w:ind w:left="360" w:hanging="360"/>
        <w:jc w:val="both"/>
        <w:rPr>
          <w:sz w:val="20"/>
          <w:lang w:val="fr-CA"/>
        </w:rPr>
      </w:pPr>
    </w:p>
    <w:p w:rsidR="003D3202" w:rsidRPr="00DB19FA" w:rsidRDefault="003D3202" w:rsidP="003D3202">
      <w:pPr>
        <w:pStyle w:val="ListParagraph"/>
        <w:numPr>
          <w:ilvl w:val="0"/>
          <w:numId w:val="10"/>
        </w:numPr>
        <w:ind w:left="360"/>
        <w:jc w:val="both"/>
        <w:rPr>
          <w:sz w:val="20"/>
          <w:lang w:val="en-CA"/>
        </w:rPr>
      </w:pPr>
      <w:r w:rsidRPr="00DB19FA">
        <w:rPr>
          <w:i/>
          <w:sz w:val="20"/>
          <w:lang w:val="en-CA"/>
        </w:rPr>
        <w:t>Khalid Gakmakge v. Her Majesty the Queen</w:t>
      </w:r>
      <w:r w:rsidRPr="00DB19FA">
        <w:rPr>
          <w:sz w:val="20"/>
          <w:lang w:val="en-CA"/>
        </w:rPr>
        <w:t xml:space="preserve"> (Que.) (Criminal) (By Leave) </w:t>
      </w:r>
      <w:r w:rsidRPr="00DB19FA">
        <w:rPr>
          <w:sz w:val="20"/>
          <w:szCs w:val="20"/>
          <w:lang w:val="fr-CA"/>
        </w:rPr>
        <w:t>(</w:t>
      </w:r>
      <w:hyperlink r:id="rId8" w:history="1">
        <w:r w:rsidRPr="00DB19FA">
          <w:rPr>
            <w:rStyle w:val="Hyperlink"/>
            <w:sz w:val="20"/>
            <w:szCs w:val="20"/>
            <w:lang w:val="fr-CA"/>
          </w:rPr>
          <w:t>37</w:t>
        </w:r>
        <w:r w:rsidR="00D150F9" w:rsidRPr="00DB19FA">
          <w:rPr>
            <w:rStyle w:val="Hyperlink"/>
            <w:sz w:val="20"/>
            <w:szCs w:val="20"/>
            <w:lang w:val="fr-CA"/>
          </w:rPr>
          <w:t>819</w:t>
        </w:r>
      </w:hyperlink>
      <w:r w:rsidRPr="00DB19FA">
        <w:rPr>
          <w:sz w:val="20"/>
          <w:szCs w:val="20"/>
          <w:lang w:val="fr-CA"/>
        </w:rPr>
        <w:t>)</w:t>
      </w:r>
    </w:p>
    <w:p w:rsidR="003D3202" w:rsidRPr="00DB19FA" w:rsidRDefault="003D3202" w:rsidP="003D3202">
      <w:pPr>
        <w:widowControl w:val="0"/>
        <w:ind w:left="360" w:hanging="360"/>
        <w:jc w:val="both"/>
        <w:rPr>
          <w:sz w:val="20"/>
          <w:lang w:val="en-CA"/>
        </w:rPr>
      </w:pPr>
    </w:p>
    <w:p w:rsidR="003D3202" w:rsidRPr="00181FCF" w:rsidRDefault="003D3202" w:rsidP="003D3202">
      <w:pPr>
        <w:pStyle w:val="ListParagraph"/>
        <w:numPr>
          <w:ilvl w:val="0"/>
          <w:numId w:val="10"/>
        </w:numPr>
        <w:ind w:left="360"/>
        <w:jc w:val="both"/>
        <w:rPr>
          <w:sz w:val="20"/>
          <w:lang w:val="en-CA"/>
        </w:rPr>
      </w:pPr>
      <w:r w:rsidRPr="00181FCF">
        <w:rPr>
          <w:i/>
          <w:sz w:val="20"/>
          <w:lang w:val="en-CA"/>
        </w:rPr>
        <w:t xml:space="preserve">Valerie Bergey v. Attorney General of Canada </w:t>
      </w:r>
      <w:r w:rsidRPr="00181FCF">
        <w:rPr>
          <w:sz w:val="20"/>
          <w:lang w:val="en-CA"/>
        </w:rPr>
        <w:t xml:space="preserve">(F.C.) (Criminal) (By Leave) </w:t>
      </w:r>
      <w:r w:rsidRPr="00181FCF">
        <w:rPr>
          <w:sz w:val="20"/>
          <w:szCs w:val="20"/>
        </w:rPr>
        <w:t>(</w:t>
      </w:r>
      <w:hyperlink r:id="rId9" w:history="1">
        <w:r w:rsidRPr="00181FCF">
          <w:rPr>
            <w:rStyle w:val="Hyperlink"/>
            <w:sz w:val="20"/>
            <w:szCs w:val="20"/>
          </w:rPr>
          <w:t>37</w:t>
        </w:r>
        <w:r w:rsidR="00D150F9" w:rsidRPr="00181FCF">
          <w:rPr>
            <w:rStyle w:val="Hyperlink"/>
            <w:sz w:val="20"/>
            <w:szCs w:val="20"/>
          </w:rPr>
          <w:t>657</w:t>
        </w:r>
      </w:hyperlink>
      <w:r w:rsidRPr="00181FCF">
        <w:rPr>
          <w:sz w:val="20"/>
          <w:szCs w:val="20"/>
        </w:rPr>
        <w:t>)</w:t>
      </w:r>
    </w:p>
    <w:p w:rsidR="004441C7" w:rsidRPr="003D3202" w:rsidRDefault="004441C7" w:rsidP="00957A1E">
      <w:pPr>
        <w:jc w:val="both"/>
        <w:rPr>
          <w:sz w:val="20"/>
          <w:lang w:val="en-CA"/>
        </w:rPr>
      </w:pPr>
    </w:p>
    <w:p w:rsidR="004441C7" w:rsidRDefault="004441C7" w:rsidP="00957A1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B2615" w:rsidRPr="00EB2615" w:rsidTr="00E95A6A">
        <w:tc>
          <w:tcPr>
            <w:tcW w:w="543" w:type="pct"/>
          </w:tcPr>
          <w:p w:rsidR="00EB2615" w:rsidRPr="00EB2615" w:rsidRDefault="00EB2615" w:rsidP="00EB2615">
            <w:pPr>
              <w:jc w:val="both"/>
              <w:rPr>
                <w:sz w:val="20"/>
                <w:lang w:val="en-CA"/>
              </w:rPr>
            </w:pPr>
            <w:r w:rsidRPr="00EB2615">
              <w:rPr>
                <w:rStyle w:val="SCCFileNumberChar"/>
                <w:sz w:val="20"/>
                <w:szCs w:val="20"/>
              </w:rPr>
              <w:t>37729</w:t>
            </w:r>
          </w:p>
        </w:tc>
        <w:tc>
          <w:tcPr>
            <w:tcW w:w="4457" w:type="pct"/>
            <w:gridSpan w:val="3"/>
          </w:tcPr>
          <w:p w:rsidR="00EB2615" w:rsidRPr="00EB2615" w:rsidRDefault="00EB2615" w:rsidP="00EB2615">
            <w:pPr>
              <w:pStyle w:val="SCCLsocParty"/>
              <w:jc w:val="both"/>
              <w:rPr>
                <w:b/>
                <w:sz w:val="20"/>
                <w:szCs w:val="20"/>
              </w:rPr>
            </w:pPr>
            <w:r w:rsidRPr="00EB2615">
              <w:rPr>
                <w:b/>
                <w:sz w:val="20"/>
                <w:szCs w:val="20"/>
              </w:rPr>
              <w:t>Hélène Banville-Joncas, Claude Joncas, Gilles Gingras, Lynn Di Gaetano, Roger Charest, Marie-Hélène Houle and Comité des propriétaires d'unités de condominium Ermitage du Lac v. Mont Tremblant Resorts and Company, Limited Partnership</w:t>
            </w:r>
          </w:p>
          <w:p w:rsidR="00EB2615" w:rsidRPr="00EB2615" w:rsidRDefault="00EB2615" w:rsidP="00EB2615">
            <w:pPr>
              <w:jc w:val="both"/>
              <w:rPr>
                <w:sz w:val="20"/>
                <w:lang w:val="en-CA"/>
              </w:rPr>
            </w:pPr>
            <w:r w:rsidRPr="00EB2615">
              <w:rPr>
                <w:sz w:val="20"/>
                <w:lang w:val="en-CA"/>
              </w:rPr>
              <w:t>(Que.) (Civil) (By Leave)</w:t>
            </w:r>
          </w:p>
          <w:p w:rsidR="00EB2615" w:rsidRPr="00EB2615" w:rsidRDefault="00EB2615" w:rsidP="00EB2615">
            <w:pPr>
              <w:jc w:val="both"/>
              <w:rPr>
                <w:sz w:val="20"/>
                <w:lang w:val="en-CA"/>
              </w:rPr>
            </w:pPr>
          </w:p>
        </w:tc>
      </w:tr>
      <w:tr w:rsidR="00EB2615" w:rsidRPr="00EB2615" w:rsidTr="00E95A6A">
        <w:tc>
          <w:tcPr>
            <w:tcW w:w="5000" w:type="pct"/>
            <w:gridSpan w:val="4"/>
          </w:tcPr>
          <w:p w:rsidR="00EB2615" w:rsidRPr="00EB2615" w:rsidRDefault="00EB2615" w:rsidP="00EB2615">
            <w:pPr>
              <w:jc w:val="both"/>
              <w:rPr>
                <w:sz w:val="20"/>
                <w:lang w:val="en-CA"/>
              </w:rPr>
            </w:pPr>
            <w:r w:rsidRPr="00EB2615">
              <w:rPr>
                <w:sz w:val="20"/>
                <w:lang w:val="en-CA"/>
              </w:rPr>
              <w:t xml:space="preserve">Contracts — Characterization — Declaratory action instituted by condominium owners to have leases granted upon purchase of their units in resort hotel project declared to be contracts for services that could be resiliated at any time — Whether Court of Appeal erred, at paragraphs </w:t>
            </w:r>
            <w:r w:rsidRPr="00EB2615">
              <w:rPr>
                <w:bCs/>
                <w:sz w:val="20"/>
                <w:lang w:val="en-CA"/>
              </w:rPr>
              <w:t>68 and 88 of its reasons, in characterizing prospectus issued on June 20, 2003 as [</w:t>
            </w:r>
            <w:r w:rsidRPr="00EB2615">
              <w:rPr>
                <w:bCs/>
                <w:smallCaps/>
                <w:sz w:val="20"/>
                <w:lang w:val="en-CA"/>
              </w:rPr>
              <w:t>translation</w:t>
            </w:r>
            <w:r w:rsidRPr="00EB2615">
              <w:rPr>
                <w:bCs/>
                <w:sz w:val="20"/>
                <w:lang w:val="en-CA"/>
              </w:rPr>
              <w:t xml:space="preserve">] “merely a disclosure document” and, at paragraph 71, in asserting </w:t>
            </w:r>
            <w:r w:rsidRPr="00EB2615">
              <w:rPr>
                <w:bCs/>
                <w:i/>
                <w:iCs/>
                <w:sz w:val="20"/>
                <w:lang w:val="en-CA"/>
              </w:rPr>
              <w:t xml:space="preserve">a contrario </w:t>
            </w:r>
            <w:r w:rsidRPr="00EB2615">
              <w:rPr>
                <w:bCs/>
                <w:sz w:val="20"/>
                <w:lang w:val="en-CA"/>
              </w:rPr>
              <w:t xml:space="preserve">that prospectus did not commit issuer, even though prospectus included offer to public for real estate investment of $23,195,000, which amount was duly paid by all applicants </w:t>
            </w:r>
            <w:r w:rsidRPr="00EB2615">
              <w:rPr>
                <w:sz w:val="20"/>
                <w:lang w:val="en-CA"/>
              </w:rPr>
              <w:t xml:space="preserve">— Whether Court of Appeal erred in failing to consider lease agreement </w:t>
            </w:r>
            <w:r w:rsidRPr="00EB2615">
              <w:rPr>
                <w:bCs/>
                <w:sz w:val="20"/>
                <w:lang w:val="en-CA"/>
              </w:rPr>
              <w:t xml:space="preserve">as element of legal framework for dealings creating relationship of service, namely management of hotel operation, when it applied criteria from </w:t>
            </w:r>
            <w:r w:rsidRPr="00EB2615">
              <w:rPr>
                <w:i/>
                <w:sz w:val="20"/>
                <w:lang w:val="en-CA"/>
              </w:rPr>
              <w:t>Montréal, Maine &amp; Atlantique Canada Cie/Montreal, Maine &amp; Atlantic Canada Co. (M.M.A.) (Arrangement relatif à)</w:t>
            </w:r>
            <w:r w:rsidRPr="00EB2615">
              <w:rPr>
                <w:sz w:val="20"/>
                <w:lang w:val="en-CA"/>
              </w:rPr>
              <w:t>, 2014 QCCA 2072</w:t>
            </w:r>
            <w:r w:rsidRPr="00EB2615">
              <w:rPr>
                <w:bCs/>
                <w:sz w:val="20"/>
                <w:lang w:val="en-CA"/>
              </w:rPr>
              <w:t xml:space="preserve"> </w:t>
            </w:r>
            <w:r w:rsidRPr="00EB2615">
              <w:rPr>
                <w:sz w:val="20"/>
                <w:lang w:val="en-CA"/>
              </w:rPr>
              <w:t xml:space="preserve">— Whether Court of Appeal erred in finding that it could interfere with trial judge’s decision in absence of palpable and overriding error even though trial judge had duly analyzed totality of evidence — </w:t>
            </w:r>
            <w:r w:rsidRPr="00EB2615">
              <w:rPr>
                <w:i/>
                <w:sz w:val="20"/>
                <w:lang w:val="en-CA"/>
              </w:rPr>
              <w:t xml:space="preserve">Civil Code of Québec, </w:t>
            </w:r>
            <w:r w:rsidRPr="00EB2615">
              <w:rPr>
                <w:sz w:val="20"/>
                <w:lang w:val="en-CA"/>
              </w:rPr>
              <w:t>arts. 1851, 2098 and 2125.</w:t>
            </w:r>
          </w:p>
        </w:tc>
      </w:tr>
      <w:tr w:rsidR="00EB2615" w:rsidRPr="00EB2615" w:rsidTr="00E95A6A">
        <w:tc>
          <w:tcPr>
            <w:tcW w:w="5000" w:type="pct"/>
            <w:gridSpan w:val="4"/>
          </w:tcPr>
          <w:p w:rsidR="00EB2615" w:rsidRPr="00EB2615" w:rsidRDefault="00EB2615" w:rsidP="00EB2615">
            <w:pPr>
              <w:jc w:val="both"/>
              <w:rPr>
                <w:sz w:val="20"/>
                <w:lang w:val="en-CA"/>
              </w:rPr>
            </w:pPr>
          </w:p>
        </w:tc>
      </w:tr>
      <w:tr w:rsidR="00EB2615" w:rsidRPr="00EB2615" w:rsidTr="00E95A6A">
        <w:tc>
          <w:tcPr>
            <w:tcW w:w="5000" w:type="pct"/>
            <w:gridSpan w:val="4"/>
          </w:tcPr>
          <w:p w:rsidR="00EB2615" w:rsidRPr="00EB2615" w:rsidRDefault="00EB2615" w:rsidP="00EB2615">
            <w:pPr>
              <w:jc w:val="both"/>
              <w:rPr>
                <w:sz w:val="20"/>
                <w:lang w:val="en-CA"/>
              </w:rPr>
            </w:pPr>
            <w:r w:rsidRPr="00EB2615">
              <w:rPr>
                <w:sz w:val="20"/>
                <w:lang w:val="en-CA"/>
              </w:rPr>
              <w:t>In 2003, the applicants Hélène Banville</w:t>
            </w:r>
            <w:r w:rsidRPr="00EB2615">
              <w:rPr>
                <w:sz w:val="20"/>
                <w:lang w:val="en-CA"/>
              </w:rPr>
              <w:noBreakHyphen/>
              <w:t>Joncas, Claude Joncas, Gilles Gingras, Lynn Di Gaetano, Roger Charest and Marie-Hélène Houle purchased condominiums in the 67</w:t>
            </w:r>
            <w:r w:rsidRPr="00EB2615">
              <w:rPr>
                <w:sz w:val="20"/>
                <w:lang w:val="en-CA"/>
              </w:rPr>
              <w:noBreakHyphen/>
              <w:t>unit Ermitage du Lac resort hotel project built in Mont-Tremblant in the pedestrian village at the foot of the Mont Tremblant ski resort. In 2011, Ms. Banville</w:t>
            </w:r>
            <w:r w:rsidRPr="00EB2615">
              <w:rPr>
                <w:sz w:val="20"/>
                <w:lang w:val="en-CA"/>
              </w:rPr>
              <w:noBreakHyphen/>
              <w:t xml:space="preserve">Joncas was elected chair and member of the board of the applicant Comité des propriétaires d'unités de condominium Ermitage du Lac, and Mr. Gingras and Mr. Charest were elected members of that board. </w:t>
            </w:r>
            <w:proofErr w:type="gramStart"/>
            <w:r w:rsidRPr="00EB2615">
              <w:rPr>
                <w:sz w:val="20"/>
                <w:lang w:val="en-CA"/>
              </w:rPr>
              <w:t>In September 2012, after receiving a mandate from a majority of the owners who were dissatisfied with the hotel management of the respondent, Mont Tremblant Resorts and Company, Limited Partnership, the Comité des propriétaires sent the respondent a formal notice for the purpose of negotiating the termination of the hotel management contract that bound each owner of a unit at the Mont Tremblant resort individually by means of a lease agreement.</w:t>
            </w:r>
            <w:proofErr w:type="gramEnd"/>
            <w:r w:rsidRPr="00EB2615">
              <w:rPr>
                <w:sz w:val="20"/>
                <w:lang w:val="en-CA"/>
              </w:rPr>
              <w:t xml:space="preserve"> In response, Mr. Malo, President and Chief Operating Officer of Mont Tremblant Resorts and Company, denied that there was any basis for the formal notice, which stated that the lease agreement signed by each owner upon purchasing a condominium was in fact merely a contract for services within the meaning of the </w:t>
            </w:r>
            <w:r w:rsidRPr="00EB2615">
              <w:rPr>
                <w:i/>
                <w:sz w:val="20"/>
                <w:lang w:val="en-CA"/>
              </w:rPr>
              <w:t>Civil Code of Québec</w:t>
            </w:r>
            <w:r w:rsidRPr="00EB2615">
              <w:rPr>
                <w:sz w:val="20"/>
                <w:lang w:val="en-CA"/>
              </w:rPr>
              <w:t xml:space="preserve">. He also contested the legal capacity of the owners’ association to act on behalf of individual owners in their contractual relationship with Mont Tremblant Resorts and Company. In November 2012, the applicants instituted a declaratory action against Mont Tremblant Resorts and Company to have the lease agreements declared to be contracts for services that could be </w:t>
            </w:r>
            <w:proofErr w:type="spellStart"/>
            <w:r w:rsidRPr="00EB2615">
              <w:rPr>
                <w:sz w:val="20"/>
                <w:lang w:val="en-CA"/>
              </w:rPr>
              <w:t>resiliated</w:t>
            </w:r>
            <w:proofErr w:type="spellEnd"/>
            <w:r w:rsidRPr="00EB2615">
              <w:rPr>
                <w:sz w:val="20"/>
                <w:lang w:val="en-CA"/>
              </w:rPr>
              <w:t xml:space="preserve"> at any time.</w:t>
            </w:r>
          </w:p>
          <w:p w:rsidR="00EB2615" w:rsidRPr="00EB2615" w:rsidRDefault="00EB2615" w:rsidP="00EB2615">
            <w:pPr>
              <w:jc w:val="both"/>
              <w:rPr>
                <w:sz w:val="20"/>
                <w:lang w:val="en-CA"/>
              </w:rPr>
            </w:pPr>
          </w:p>
        </w:tc>
      </w:tr>
      <w:tr w:rsidR="00EB2615" w:rsidRPr="00EB2615" w:rsidTr="00E95A6A">
        <w:tc>
          <w:tcPr>
            <w:tcW w:w="2427" w:type="pct"/>
            <w:gridSpan w:val="2"/>
          </w:tcPr>
          <w:p w:rsidR="00EB2615" w:rsidRPr="00EB2615" w:rsidRDefault="00EB2615" w:rsidP="00EB2615">
            <w:pPr>
              <w:jc w:val="both"/>
              <w:rPr>
                <w:sz w:val="20"/>
                <w:lang w:val="en-CA"/>
              </w:rPr>
            </w:pPr>
            <w:r w:rsidRPr="00EB2615">
              <w:rPr>
                <w:sz w:val="20"/>
                <w:lang w:val="en-CA"/>
              </w:rPr>
              <w:t>February 3, 2016</w:t>
            </w:r>
          </w:p>
          <w:p w:rsidR="00EB2615" w:rsidRPr="00EB2615" w:rsidRDefault="00EB2615" w:rsidP="00EB2615">
            <w:pPr>
              <w:jc w:val="both"/>
              <w:rPr>
                <w:sz w:val="20"/>
                <w:lang w:val="en-CA"/>
              </w:rPr>
            </w:pPr>
            <w:r w:rsidRPr="00EB2615">
              <w:rPr>
                <w:sz w:val="20"/>
                <w:lang w:val="en-CA"/>
              </w:rPr>
              <w:t>Quebec Superior Court</w:t>
            </w:r>
          </w:p>
          <w:p w:rsidR="00EB2615" w:rsidRPr="00EB2615" w:rsidRDefault="00EB2615" w:rsidP="00EB2615">
            <w:pPr>
              <w:jc w:val="both"/>
              <w:rPr>
                <w:sz w:val="20"/>
                <w:lang w:val="en-CA"/>
              </w:rPr>
            </w:pPr>
            <w:r w:rsidRPr="00EB2615">
              <w:rPr>
                <w:sz w:val="20"/>
                <w:lang w:val="en-CA"/>
              </w:rPr>
              <w:t>(Déziel J.)</w:t>
            </w:r>
          </w:p>
          <w:p w:rsidR="00EB2615" w:rsidRPr="00EB2615" w:rsidRDefault="00EB2615" w:rsidP="00EB2615">
            <w:pPr>
              <w:jc w:val="both"/>
              <w:rPr>
                <w:sz w:val="20"/>
                <w:lang w:val="en-CA"/>
              </w:rPr>
            </w:pPr>
            <w:hyperlink r:id="rId10" w:history="1">
              <w:r w:rsidRPr="00EB2615">
                <w:rPr>
                  <w:rStyle w:val="Hyperlink"/>
                  <w:sz w:val="20"/>
                  <w:lang w:val="en-CA"/>
                </w:rPr>
                <w:t>2016 QCCS 416</w:t>
              </w:r>
            </w:hyperlink>
          </w:p>
          <w:p w:rsidR="00EB2615" w:rsidRPr="00EB2615" w:rsidRDefault="00EB2615" w:rsidP="00EB2615">
            <w:pPr>
              <w:jc w:val="both"/>
              <w:rPr>
                <w:sz w:val="20"/>
                <w:lang w:val="en-CA"/>
              </w:rPr>
            </w:pPr>
          </w:p>
        </w:tc>
        <w:tc>
          <w:tcPr>
            <w:tcW w:w="243" w:type="pct"/>
          </w:tcPr>
          <w:p w:rsidR="00EB2615" w:rsidRPr="00EB2615" w:rsidRDefault="00EB2615" w:rsidP="00EB2615">
            <w:pPr>
              <w:jc w:val="both"/>
              <w:rPr>
                <w:sz w:val="20"/>
                <w:lang w:val="en-CA"/>
              </w:rPr>
            </w:pPr>
          </w:p>
        </w:tc>
        <w:tc>
          <w:tcPr>
            <w:tcW w:w="2330" w:type="pct"/>
          </w:tcPr>
          <w:p w:rsidR="00EB2615" w:rsidRPr="00EB2615" w:rsidRDefault="00EB2615" w:rsidP="00EB2615">
            <w:pPr>
              <w:jc w:val="both"/>
              <w:rPr>
                <w:sz w:val="20"/>
                <w:lang w:val="en-CA"/>
              </w:rPr>
            </w:pPr>
            <w:r w:rsidRPr="00EB2615">
              <w:rPr>
                <w:sz w:val="20"/>
                <w:lang w:val="en-CA"/>
              </w:rPr>
              <w:t>Originating motion for declaratory judgment allowed in part</w:t>
            </w:r>
          </w:p>
          <w:p w:rsidR="00EB2615" w:rsidRPr="00EB2615" w:rsidRDefault="00EB2615" w:rsidP="00EB2615">
            <w:pPr>
              <w:jc w:val="both"/>
              <w:rPr>
                <w:sz w:val="20"/>
                <w:lang w:val="en-CA"/>
              </w:rPr>
            </w:pPr>
          </w:p>
        </w:tc>
      </w:tr>
      <w:tr w:rsidR="00EB2615" w:rsidRPr="00EB2615" w:rsidTr="00E95A6A">
        <w:tc>
          <w:tcPr>
            <w:tcW w:w="2427" w:type="pct"/>
            <w:gridSpan w:val="2"/>
          </w:tcPr>
          <w:p w:rsidR="00EB2615" w:rsidRPr="00EB2615" w:rsidRDefault="00EB2615" w:rsidP="00EB2615">
            <w:pPr>
              <w:jc w:val="both"/>
              <w:rPr>
                <w:sz w:val="20"/>
                <w:lang w:val="en-CA"/>
              </w:rPr>
            </w:pPr>
            <w:r w:rsidRPr="00EB2615">
              <w:rPr>
                <w:sz w:val="20"/>
                <w:lang w:val="en-CA"/>
              </w:rPr>
              <w:t>June 13, 2017</w:t>
            </w:r>
          </w:p>
          <w:p w:rsidR="00EB2615" w:rsidRPr="00EB2615" w:rsidRDefault="00EB2615" w:rsidP="00EB2615">
            <w:pPr>
              <w:jc w:val="both"/>
              <w:rPr>
                <w:sz w:val="20"/>
                <w:lang w:val="en-CA"/>
              </w:rPr>
            </w:pPr>
            <w:r w:rsidRPr="00EB2615">
              <w:rPr>
                <w:sz w:val="20"/>
                <w:lang w:val="en-CA"/>
              </w:rPr>
              <w:t>Quebec Court of Appeal (Montréal)</w:t>
            </w:r>
          </w:p>
          <w:p w:rsidR="00EB2615" w:rsidRPr="00EB2615" w:rsidRDefault="00EB2615" w:rsidP="00EB2615">
            <w:pPr>
              <w:jc w:val="both"/>
              <w:rPr>
                <w:sz w:val="20"/>
                <w:lang w:val="en-CA"/>
              </w:rPr>
            </w:pPr>
            <w:r w:rsidRPr="00EB2615">
              <w:rPr>
                <w:sz w:val="20"/>
                <w:lang w:val="en-CA"/>
              </w:rPr>
              <w:t>(Morissette, Bouchard and Godbout JJ.A.)</w:t>
            </w:r>
          </w:p>
          <w:p w:rsidR="00EB2615" w:rsidRPr="00EB2615" w:rsidRDefault="00EB2615" w:rsidP="00EB2615">
            <w:pPr>
              <w:jc w:val="both"/>
              <w:rPr>
                <w:sz w:val="20"/>
                <w:lang w:val="en-CA"/>
              </w:rPr>
            </w:pPr>
            <w:hyperlink r:id="rId11" w:history="1">
              <w:r w:rsidRPr="00EB2615">
                <w:rPr>
                  <w:rStyle w:val="Hyperlink"/>
                  <w:sz w:val="20"/>
                  <w:lang w:val="en-CA"/>
                </w:rPr>
                <w:t>2017 QCCA 939</w:t>
              </w:r>
            </w:hyperlink>
          </w:p>
          <w:p w:rsidR="00EB2615" w:rsidRPr="00EB2615" w:rsidRDefault="00EB2615" w:rsidP="00EB2615">
            <w:pPr>
              <w:jc w:val="both"/>
              <w:rPr>
                <w:sz w:val="20"/>
                <w:lang w:val="en-CA"/>
              </w:rPr>
            </w:pPr>
          </w:p>
        </w:tc>
        <w:tc>
          <w:tcPr>
            <w:tcW w:w="243" w:type="pct"/>
          </w:tcPr>
          <w:p w:rsidR="00EB2615" w:rsidRPr="00EB2615" w:rsidRDefault="00EB2615" w:rsidP="00EB2615">
            <w:pPr>
              <w:jc w:val="both"/>
              <w:rPr>
                <w:sz w:val="20"/>
                <w:lang w:val="en-CA"/>
              </w:rPr>
            </w:pPr>
          </w:p>
        </w:tc>
        <w:tc>
          <w:tcPr>
            <w:tcW w:w="2330" w:type="pct"/>
          </w:tcPr>
          <w:p w:rsidR="00EB2615" w:rsidRPr="00EB2615" w:rsidRDefault="00EB2615" w:rsidP="00EB2615">
            <w:pPr>
              <w:jc w:val="both"/>
              <w:rPr>
                <w:sz w:val="20"/>
                <w:lang w:val="en-CA"/>
              </w:rPr>
            </w:pPr>
            <w:r w:rsidRPr="00EB2615">
              <w:rPr>
                <w:sz w:val="20"/>
                <w:lang w:val="en-CA"/>
              </w:rPr>
              <w:t>Appeal allowed</w:t>
            </w:r>
          </w:p>
          <w:p w:rsidR="00EB2615" w:rsidRPr="00EB2615" w:rsidRDefault="00EB2615" w:rsidP="00EB2615">
            <w:pPr>
              <w:jc w:val="both"/>
              <w:rPr>
                <w:sz w:val="20"/>
                <w:lang w:val="en-CA"/>
              </w:rPr>
            </w:pPr>
          </w:p>
        </w:tc>
      </w:tr>
      <w:tr w:rsidR="00EB2615" w:rsidRPr="00EB2615" w:rsidTr="00E95A6A">
        <w:tc>
          <w:tcPr>
            <w:tcW w:w="2427" w:type="pct"/>
            <w:gridSpan w:val="2"/>
          </w:tcPr>
          <w:p w:rsidR="00EB2615" w:rsidRPr="00EB2615" w:rsidRDefault="00EB2615" w:rsidP="00EB2615">
            <w:pPr>
              <w:jc w:val="both"/>
              <w:rPr>
                <w:sz w:val="20"/>
                <w:lang w:val="en-CA"/>
              </w:rPr>
            </w:pPr>
            <w:r w:rsidRPr="00EB2615">
              <w:rPr>
                <w:sz w:val="20"/>
                <w:lang w:val="en-CA"/>
              </w:rPr>
              <w:t>August 31, 2017</w:t>
            </w:r>
          </w:p>
          <w:p w:rsidR="00EB2615" w:rsidRPr="00EB2615" w:rsidRDefault="00EB2615" w:rsidP="00EB2615">
            <w:pPr>
              <w:jc w:val="both"/>
              <w:rPr>
                <w:sz w:val="20"/>
                <w:lang w:val="en-CA"/>
              </w:rPr>
            </w:pPr>
            <w:r w:rsidRPr="00EB2615">
              <w:rPr>
                <w:sz w:val="20"/>
                <w:lang w:val="en-CA"/>
              </w:rPr>
              <w:t>Supreme Court of Canada</w:t>
            </w:r>
          </w:p>
        </w:tc>
        <w:tc>
          <w:tcPr>
            <w:tcW w:w="243" w:type="pct"/>
          </w:tcPr>
          <w:p w:rsidR="00EB2615" w:rsidRPr="00EB2615" w:rsidRDefault="00EB2615" w:rsidP="00EB2615">
            <w:pPr>
              <w:jc w:val="both"/>
              <w:rPr>
                <w:sz w:val="20"/>
                <w:lang w:val="en-CA"/>
              </w:rPr>
            </w:pPr>
          </w:p>
        </w:tc>
        <w:tc>
          <w:tcPr>
            <w:tcW w:w="2330" w:type="pct"/>
          </w:tcPr>
          <w:p w:rsidR="00EB2615" w:rsidRPr="00EB2615" w:rsidRDefault="00EB2615" w:rsidP="00EB2615">
            <w:pPr>
              <w:jc w:val="both"/>
              <w:rPr>
                <w:sz w:val="20"/>
                <w:lang w:val="en-CA"/>
              </w:rPr>
            </w:pPr>
            <w:r w:rsidRPr="00EB2615">
              <w:rPr>
                <w:sz w:val="20"/>
                <w:lang w:val="en-CA"/>
              </w:rPr>
              <w:t>Application for leave to appeal filed</w:t>
            </w:r>
          </w:p>
        </w:tc>
      </w:tr>
    </w:tbl>
    <w:p w:rsidR="00EB2615" w:rsidRDefault="00EB2615" w:rsidP="00EB2615">
      <w:pPr>
        <w:jc w:val="both"/>
        <w:rPr>
          <w:sz w:val="20"/>
          <w:lang w:val="en-CA"/>
        </w:rPr>
      </w:pPr>
    </w:p>
    <w:p w:rsidR="00EB2615" w:rsidRPr="00EB2615" w:rsidRDefault="00EB2615" w:rsidP="00EB2615">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B2615" w:rsidRPr="00EB2615" w:rsidTr="00E95A6A">
        <w:tc>
          <w:tcPr>
            <w:tcW w:w="543" w:type="pct"/>
          </w:tcPr>
          <w:p w:rsidR="00EB2615" w:rsidRPr="00EB2615" w:rsidRDefault="00EB2615" w:rsidP="00EB2615">
            <w:pPr>
              <w:jc w:val="both"/>
              <w:rPr>
                <w:sz w:val="20"/>
              </w:rPr>
            </w:pPr>
            <w:r w:rsidRPr="00EB2615">
              <w:rPr>
                <w:rStyle w:val="SCCFileNumberChar"/>
                <w:sz w:val="20"/>
                <w:szCs w:val="20"/>
              </w:rPr>
              <w:t>37729</w:t>
            </w:r>
          </w:p>
        </w:tc>
        <w:tc>
          <w:tcPr>
            <w:tcW w:w="4457" w:type="pct"/>
            <w:gridSpan w:val="3"/>
          </w:tcPr>
          <w:p w:rsidR="00EB2615" w:rsidRPr="00EB2615" w:rsidRDefault="00EB2615" w:rsidP="00EB2615">
            <w:pPr>
              <w:pStyle w:val="SCCLsocParty"/>
              <w:jc w:val="both"/>
              <w:rPr>
                <w:b/>
                <w:sz w:val="20"/>
                <w:szCs w:val="20"/>
              </w:rPr>
            </w:pPr>
            <w:r w:rsidRPr="00EB2615">
              <w:rPr>
                <w:b/>
                <w:sz w:val="20"/>
                <w:szCs w:val="20"/>
              </w:rPr>
              <w:t>Hélène Banville-Joncas, Claude Joncas, Gilles Gingras, Lynn Di Gaetano, Roger Charest, Marie-Hélène Houle et Comité des propriétaires d'unités de condominium Ermitage du Lac c. Station Mont-Tremblant, société en commandite</w:t>
            </w:r>
          </w:p>
          <w:p w:rsidR="00EB2615" w:rsidRPr="00EB2615" w:rsidRDefault="00EB2615" w:rsidP="00EB2615">
            <w:pPr>
              <w:jc w:val="both"/>
              <w:rPr>
                <w:sz w:val="20"/>
              </w:rPr>
            </w:pPr>
            <w:r w:rsidRPr="00EB2615">
              <w:rPr>
                <w:sz w:val="20"/>
              </w:rPr>
              <w:t>(Qc) (Civile) (Autorisation)</w:t>
            </w:r>
          </w:p>
        </w:tc>
      </w:tr>
      <w:tr w:rsidR="00EB2615" w:rsidRPr="00EB2615" w:rsidTr="00E95A6A">
        <w:tc>
          <w:tcPr>
            <w:tcW w:w="5000" w:type="pct"/>
            <w:gridSpan w:val="4"/>
          </w:tcPr>
          <w:p w:rsidR="00EB2615" w:rsidRPr="00EB2615" w:rsidRDefault="00EB2615" w:rsidP="00EB2615">
            <w:pPr>
              <w:jc w:val="both"/>
              <w:rPr>
                <w:sz w:val="20"/>
                <w:lang w:val="fr-CA"/>
              </w:rPr>
            </w:pPr>
            <w:r w:rsidRPr="00EB2615">
              <w:rPr>
                <w:sz w:val="20"/>
                <w:lang w:val="fr-CA"/>
              </w:rPr>
              <w:t xml:space="preserve">Contrats — Qualification — Action en jugement déclaratoire entrepris par les propriétaires afin de faire déclarer les baux de location consentis lors de l’achat de leur unité de condominium dans un projet d’hôtel de villégiature comme étant des contrats de service susceptible d’être résiliés en tout temps. — </w:t>
            </w:r>
            <w:r w:rsidRPr="00EB2615">
              <w:rPr>
                <w:bCs/>
                <w:sz w:val="20"/>
                <w:lang w:val="fr-CA"/>
              </w:rPr>
              <w:t xml:space="preserve">La Cour d’appel a-t-elle erré en qualifiant, aux paragraphes 68 et 88 de son arrêt, le prospectus émis le 20 juin 2003 de « seulement un document d’information » et au paragraphe 71 en affirmant </w:t>
            </w:r>
            <w:r w:rsidRPr="00EB2615">
              <w:rPr>
                <w:bCs/>
                <w:i/>
                <w:iCs/>
                <w:sz w:val="20"/>
                <w:lang w:val="fr-CA"/>
              </w:rPr>
              <w:t xml:space="preserve">a contrario </w:t>
            </w:r>
            <w:r w:rsidRPr="00EB2615">
              <w:rPr>
                <w:bCs/>
                <w:sz w:val="20"/>
                <w:lang w:val="fr-CA"/>
              </w:rPr>
              <w:t>que ce prospectus n’engage pas l’émetteur, alors que le prospectus comportait un appel d’offres au public pour un investissement immobilier de 23 195 000 $ lequel investissement a dûment été payé par l’ensemble des demandeurs?</w:t>
            </w:r>
            <w:r w:rsidRPr="00EB2615">
              <w:rPr>
                <w:sz w:val="20"/>
                <w:lang w:val="fr-CA"/>
              </w:rPr>
              <w:t xml:space="preserve"> — </w:t>
            </w:r>
            <w:r w:rsidRPr="00EB2615">
              <w:rPr>
                <w:bCs/>
                <w:sz w:val="20"/>
                <w:lang w:val="fr-CA"/>
              </w:rPr>
              <w:t xml:space="preserve">La Cour d’appel a-t-elle erré en omettant de considérer la convention de bail comme étant un élément de l’encadrement juridique des rapports qui créent une relation de service, soit la gestion d’une exploitation hôtelière, et ce, lorsqu’elle a appliqué les critères de l’arrêt </w:t>
            </w:r>
            <w:r w:rsidRPr="00EB2615">
              <w:rPr>
                <w:i/>
                <w:sz w:val="20"/>
                <w:lang w:val="fr-FR"/>
              </w:rPr>
              <w:t>Montréal, Maine &amp; Atlantique Canada Cie/</w:t>
            </w:r>
            <w:proofErr w:type="spellStart"/>
            <w:r w:rsidRPr="00EB2615">
              <w:rPr>
                <w:i/>
                <w:sz w:val="20"/>
                <w:lang w:val="fr-FR"/>
              </w:rPr>
              <w:t>Montreal</w:t>
            </w:r>
            <w:proofErr w:type="spellEnd"/>
            <w:r w:rsidRPr="00EB2615">
              <w:rPr>
                <w:i/>
                <w:sz w:val="20"/>
                <w:lang w:val="fr-FR"/>
              </w:rPr>
              <w:t>, Maine &amp; Atlantic Canada Co. (M.M.A.) (Arrangement relatif à)</w:t>
            </w:r>
            <w:r w:rsidRPr="00EB2615">
              <w:rPr>
                <w:sz w:val="20"/>
                <w:lang w:val="fr-FR"/>
              </w:rPr>
              <w:t>, 2014 QCCA 2072</w:t>
            </w:r>
            <w:r w:rsidRPr="00EB2615">
              <w:rPr>
                <w:bCs/>
                <w:sz w:val="20"/>
                <w:lang w:val="fr-CA"/>
              </w:rPr>
              <w:t xml:space="preserve">? </w:t>
            </w:r>
            <w:r w:rsidRPr="00EB2615">
              <w:rPr>
                <w:sz w:val="20"/>
                <w:lang w:val="fr-CA"/>
              </w:rPr>
              <w:t xml:space="preserve">— </w:t>
            </w:r>
            <w:r w:rsidRPr="00EB2615">
              <w:rPr>
                <w:bCs/>
                <w:sz w:val="20"/>
                <w:lang w:val="fr-CA"/>
              </w:rPr>
              <w:t xml:space="preserve">La Cour d’appel a-t-elle erré en s’autorisant à intervenir à l’encontre du jugement de première instance, et ce, en l’absence d’erreur manifeste et déterminante alors que le juge de première instance a dûment analysé l’ensemble de la preuve? </w:t>
            </w:r>
            <w:r w:rsidRPr="00EB2615">
              <w:rPr>
                <w:sz w:val="20"/>
                <w:lang w:val="fr-CA"/>
              </w:rPr>
              <w:t xml:space="preserve">— </w:t>
            </w:r>
            <w:r w:rsidRPr="00EB2615">
              <w:rPr>
                <w:i/>
                <w:sz w:val="20"/>
                <w:lang w:val="fr-CA"/>
              </w:rPr>
              <w:t xml:space="preserve">Code civil du Québec, </w:t>
            </w:r>
            <w:r w:rsidRPr="00EB2615">
              <w:rPr>
                <w:sz w:val="20"/>
                <w:lang w:val="fr-CA"/>
              </w:rPr>
              <w:t>art. 1851, 2098 et 2125.</w:t>
            </w:r>
          </w:p>
        </w:tc>
      </w:tr>
      <w:tr w:rsidR="00EB2615" w:rsidRPr="00EB2615" w:rsidTr="00E95A6A">
        <w:tc>
          <w:tcPr>
            <w:tcW w:w="5000" w:type="pct"/>
            <w:gridSpan w:val="4"/>
          </w:tcPr>
          <w:p w:rsidR="00EB2615" w:rsidRPr="00EB2615" w:rsidRDefault="00EB2615" w:rsidP="00EB2615">
            <w:pPr>
              <w:jc w:val="both"/>
              <w:rPr>
                <w:sz w:val="20"/>
                <w:lang w:val="fr-CA"/>
              </w:rPr>
            </w:pPr>
          </w:p>
        </w:tc>
      </w:tr>
      <w:tr w:rsidR="00EB2615" w:rsidRPr="00EB2615" w:rsidTr="00E95A6A">
        <w:tc>
          <w:tcPr>
            <w:tcW w:w="5000" w:type="pct"/>
            <w:gridSpan w:val="4"/>
          </w:tcPr>
          <w:p w:rsidR="00EB2615" w:rsidRPr="00EB2615" w:rsidRDefault="00EB2615" w:rsidP="00EB2615">
            <w:pPr>
              <w:jc w:val="both"/>
              <w:rPr>
                <w:sz w:val="20"/>
                <w:lang w:val="fr-CA"/>
              </w:rPr>
            </w:pPr>
            <w:r w:rsidRPr="00EB2615">
              <w:rPr>
                <w:sz w:val="20"/>
                <w:lang w:val="fr-CA"/>
              </w:rPr>
              <w:t xml:space="preserve">En 2003, les demandeurs Mme Hélène Banville-Joncas, M. Claude Joncas, M. Gilles Gingras, Mme Lynn Di Gaetano, M. Roger Charest et Mme Marie-Hélène Houle ont fait l’acquisition d’unités de condominium dans le projet d’hôtel de villégiature Ermitage du Lac, composé de 67 unités, construit à Mont-Tremblant dans le village piétonnier au pied de la station de ski Mont-Tremblant. Mme Banville-Joncas, M. Gingras et M. Charest ont été respectivement élus présidente et administratrice et administrateurs du demandeur le Comité des propriétaires d'unités de condominium Ermitage du Lac en 2011. En septembre 2012, après avoir été mandaté par une majorité des copropriétaires insatisfaits de la gestion hôtelière de l’intimée, Station Mont-Tremblant, société en commandite, le Comité des propriétaires a transmis à cette dernière une mise en demeure afin de négocier la terminaison du contrat de gestion hôtelière liant individuellement chaque propriétaire d’unité à Station Mont-Tremblant par l’entremise d’un contrat de location. En réponse, M. Malo, président et chef d’exploitation de Station Mont-Tremblant a nié le bien-fondé de la mise en demeure qui affirme que le contrat de location signé par chacun des propriétaires au moment de l’achat de leur condo n’est en fait qu’un contrat de service au sens du </w:t>
            </w:r>
            <w:r w:rsidRPr="00EB2615">
              <w:rPr>
                <w:i/>
                <w:sz w:val="20"/>
                <w:lang w:val="fr-CA"/>
              </w:rPr>
              <w:t>Code civil du Québec</w:t>
            </w:r>
            <w:r w:rsidRPr="00EB2615">
              <w:rPr>
                <w:sz w:val="20"/>
                <w:lang w:val="fr-CA"/>
              </w:rPr>
              <w:t xml:space="preserve"> et a contesté la capacité juridique de leur association d’agir au nom des propriétaires individuels dans les relations contractuelles qui les lient avec Station Mont-Tremblant. En novembre 2012, les demandeurs ont entrepris un recours en jugement déclaratoire contre Station Mont-Tremblant afin de faire déclarer les contrats de location consentis comme étant des contrats de service susceptibles d’être résiliés en tout temps.</w:t>
            </w:r>
          </w:p>
          <w:p w:rsidR="00EB2615" w:rsidRPr="00EB2615" w:rsidRDefault="00EB2615" w:rsidP="00EB2615">
            <w:pPr>
              <w:jc w:val="both"/>
              <w:rPr>
                <w:sz w:val="20"/>
                <w:lang w:val="fr-CA"/>
              </w:rPr>
            </w:pP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Le 3 février 2016</w:t>
            </w:r>
          </w:p>
          <w:p w:rsidR="00EB2615" w:rsidRPr="00EB2615" w:rsidRDefault="00EB2615" w:rsidP="00EB2615">
            <w:pPr>
              <w:jc w:val="both"/>
              <w:rPr>
                <w:sz w:val="20"/>
                <w:lang w:val="fr-CA"/>
              </w:rPr>
            </w:pPr>
            <w:r w:rsidRPr="00EB2615">
              <w:rPr>
                <w:sz w:val="20"/>
                <w:lang w:val="fr-CA"/>
              </w:rPr>
              <w:t>Cour supérieure du Québec</w:t>
            </w:r>
          </w:p>
          <w:p w:rsidR="00EB2615" w:rsidRPr="00EB2615" w:rsidRDefault="00EB2615" w:rsidP="00EB2615">
            <w:pPr>
              <w:jc w:val="both"/>
              <w:rPr>
                <w:sz w:val="20"/>
              </w:rPr>
            </w:pPr>
            <w:r w:rsidRPr="00EB2615">
              <w:rPr>
                <w:sz w:val="20"/>
              </w:rPr>
              <w:t xml:space="preserve">(Le </w:t>
            </w:r>
            <w:proofErr w:type="spellStart"/>
            <w:r w:rsidRPr="00EB2615">
              <w:rPr>
                <w:sz w:val="20"/>
              </w:rPr>
              <w:t>juge</w:t>
            </w:r>
            <w:proofErr w:type="spellEnd"/>
            <w:r w:rsidRPr="00EB2615">
              <w:rPr>
                <w:sz w:val="20"/>
              </w:rPr>
              <w:t xml:space="preserve"> </w:t>
            </w:r>
            <w:proofErr w:type="spellStart"/>
            <w:r w:rsidRPr="00EB2615">
              <w:rPr>
                <w:sz w:val="20"/>
              </w:rPr>
              <w:t>Déziel</w:t>
            </w:r>
            <w:proofErr w:type="spellEnd"/>
            <w:r w:rsidRPr="00EB2615">
              <w:rPr>
                <w:sz w:val="20"/>
              </w:rPr>
              <w:t>)</w:t>
            </w:r>
          </w:p>
          <w:p w:rsidR="00EB2615" w:rsidRPr="00EB2615" w:rsidRDefault="00EB2615" w:rsidP="00EB2615">
            <w:pPr>
              <w:jc w:val="both"/>
              <w:rPr>
                <w:sz w:val="20"/>
                <w:lang w:val="fr-FR"/>
              </w:rPr>
            </w:pPr>
            <w:hyperlink r:id="rId12" w:history="1">
              <w:r w:rsidRPr="00EB2615">
                <w:rPr>
                  <w:rStyle w:val="Hyperlink"/>
                  <w:sz w:val="20"/>
                  <w:lang w:val="fr-FR"/>
                </w:rPr>
                <w:t>2016 QCCS 416</w:t>
              </w:r>
            </w:hyperlink>
          </w:p>
          <w:p w:rsidR="00EB2615" w:rsidRPr="00EB2615" w:rsidRDefault="00EB2615" w:rsidP="00EB2615">
            <w:pPr>
              <w:jc w:val="both"/>
              <w:rPr>
                <w:sz w:val="20"/>
              </w:rPr>
            </w:pP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lang w:val="fr-CA"/>
              </w:rPr>
            </w:pPr>
            <w:r w:rsidRPr="00EB2615">
              <w:rPr>
                <w:sz w:val="20"/>
                <w:lang w:val="fr-CA"/>
              </w:rPr>
              <w:t>Requête introductive d’instance en jugement déclaratoire accueillie en partie.</w:t>
            </w:r>
          </w:p>
          <w:p w:rsidR="00EB2615" w:rsidRPr="00EB2615" w:rsidRDefault="00EB2615" w:rsidP="00EB2615">
            <w:pPr>
              <w:jc w:val="both"/>
              <w:rPr>
                <w:sz w:val="20"/>
                <w:lang w:val="fr-CA"/>
              </w:rPr>
            </w:pP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Le 13 juin 2017</w:t>
            </w:r>
          </w:p>
          <w:p w:rsidR="00EB2615" w:rsidRPr="00EB2615" w:rsidRDefault="00EB2615" w:rsidP="00EB2615">
            <w:pPr>
              <w:jc w:val="both"/>
              <w:rPr>
                <w:sz w:val="20"/>
                <w:lang w:val="fr-CA"/>
              </w:rPr>
            </w:pPr>
            <w:r w:rsidRPr="00EB2615">
              <w:rPr>
                <w:sz w:val="20"/>
                <w:lang w:val="fr-CA"/>
              </w:rPr>
              <w:t>Cour d’appel du Québec (Montréal)</w:t>
            </w:r>
          </w:p>
          <w:p w:rsidR="00EB2615" w:rsidRPr="00EB2615" w:rsidRDefault="00EB2615" w:rsidP="00EB2615">
            <w:pPr>
              <w:jc w:val="both"/>
              <w:rPr>
                <w:sz w:val="20"/>
                <w:lang w:val="fr-CA"/>
              </w:rPr>
            </w:pPr>
            <w:r w:rsidRPr="00EB2615">
              <w:rPr>
                <w:sz w:val="20"/>
                <w:lang w:val="fr-CA"/>
              </w:rPr>
              <w:t>(Les juges Morissette, Bouchard et Godbout)</w:t>
            </w:r>
          </w:p>
          <w:p w:rsidR="00EB2615" w:rsidRPr="00EB2615" w:rsidRDefault="00EB2615" w:rsidP="00EB2615">
            <w:pPr>
              <w:jc w:val="both"/>
              <w:rPr>
                <w:sz w:val="20"/>
                <w:lang w:val="fr-FR"/>
              </w:rPr>
            </w:pPr>
            <w:hyperlink r:id="rId13" w:history="1">
              <w:r w:rsidRPr="00EB2615">
                <w:rPr>
                  <w:rStyle w:val="Hyperlink"/>
                  <w:sz w:val="20"/>
                  <w:lang w:val="fr-FR"/>
                </w:rPr>
                <w:t>2017 QCCA 939</w:t>
              </w:r>
            </w:hyperlink>
          </w:p>
          <w:p w:rsidR="00EB2615" w:rsidRPr="00EB2615" w:rsidRDefault="00EB2615" w:rsidP="00EB2615">
            <w:pPr>
              <w:jc w:val="both"/>
              <w:rPr>
                <w:sz w:val="20"/>
              </w:rPr>
            </w:pP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Appel accueilli.</w:t>
            </w:r>
          </w:p>
          <w:p w:rsidR="00EB2615" w:rsidRPr="00EB2615" w:rsidRDefault="00EB2615" w:rsidP="00EB2615">
            <w:pPr>
              <w:jc w:val="both"/>
              <w:rPr>
                <w:sz w:val="20"/>
              </w:rPr>
            </w:pP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Le 31 août 2017</w:t>
            </w:r>
          </w:p>
          <w:p w:rsidR="00EB2615" w:rsidRPr="00EB2615" w:rsidRDefault="00EB2615" w:rsidP="00EB2615">
            <w:pPr>
              <w:jc w:val="both"/>
              <w:rPr>
                <w:sz w:val="20"/>
                <w:lang w:val="fr-CA"/>
              </w:rPr>
            </w:pPr>
            <w:r w:rsidRPr="00EB2615">
              <w:rPr>
                <w:sz w:val="20"/>
                <w:lang w:val="fr-CA"/>
              </w:rPr>
              <w:t>Cour suprême du Canada</w:t>
            </w: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rPr>
            </w:pPr>
            <w:r w:rsidRPr="00EB2615">
              <w:rPr>
                <w:sz w:val="20"/>
              </w:rPr>
              <w:t>Demande d'autorisation d'appel déposée.</w:t>
            </w:r>
          </w:p>
        </w:tc>
      </w:tr>
    </w:tbl>
    <w:p w:rsidR="00EB2615" w:rsidRPr="00EB2615" w:rsidRDefault="00EB2615" w:rsidP="00EB2615">
      <w:pPr>
        <w:jc w:val="both"/>
        <w:rPr>
          <w:sz w:val="20"/>
        </w:rPr>
      </w:pPr>
    </w:p>
    <w:p w:rsidR="0081054E" w:rsidRPr="00EB2615" w:rsidRDefault="0081054E" w:rsidP="00EB2615">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B2615" w:rsidRPr="00EB2615" w:rsidTr="00E95A6A">
        <w:tc>
          <w:tcPr>
            <w:tcW w:w="543" w:type="pct"/>
          </w:tcPr>
          <w:p w:rsidR="00EB2615" w:rsidRPr="00EB2615" w:rsidRDefault="00EB2615" w:rsidP="00EB2615">
            <w:pPr>
              <w:jc w:val="both"/>
              <w:rPr>
                <w:sz w:val="20"/>
              </w:rPr>
            </w:pPr>
            <w:r w:rsidRPr="00EB2615">
              <w:rPr>
                <w:rStyle w:val="SCCFileNumberChar"/>
                <w:sz w:val="20"/>
                <w:szCs w:val="20"/>
              </w:rPr>
              <w:t>37819</w:t>
            </w:r>
          </w:p>
        </w:tc>
        <w:tc>
          <w:tcPr>
            <w:tcW w:w="4457" w:type="pct"/>
            <w:gridSpan w:val="3"/>
          </w:tcPr>
          <w:p w:rsidR="00EB2615" w:rsidRPr="001C345F" w:rsidRDefault="00EB2615" w:rsidP="00EB2615">
            <w:pPr>
              <w:pStyle w:val="SCCLsocParty"/>
              <w:jc w:val="both"/>
              <w:rPr>
                <w:b/>
                <w:sz w:val="20"/>
                <w:szCs w:val="20"/>
                <w:lang w:val="en-US"/>
              </w:rPr>
            </w:pPr>
            <w:r w:rsidRPr="001C345F">
              <w:rPr>
                <w:b/>
                <w:sz w:val="20"/>
                <w:szCs w:val="20"/>
                <w:lang w:val="en-US"/>
              </w:rPr>
              <w:t xml:space="preserve">Khalid </w:t>
            </w:r>
            <w:proofErr w:type="spellStart"/>
            <w:r w:rsidRPr="001C345F">
              <w:rPr>
                <w:b/>
                <w:sz w:val="20"/>
                <w:szCs w:val="20"/>
                <w:lang w:val="en-US"/>
              </w:rPr>
              <w:t>Gakmakge</w:t>
            </w:r>
            <w:proofErr w:type="spellEnd"/>
            <w:r w:rsidRPr="001C345F">
              <w:rPr>
                <w:b/>
                <w:sz w:val="20"/>
                <w:szCs w:val="20"/>
                <w:lang w:val="en-US"/>
              </w:rPr>
              <w:t xml:space="preserve"> v. Her Majesty the Queen</w:t>
            </w:r>
          </w:p>
          <w:p w:rsidR="00EB2615" w:rsidRPr="00EB2615" w:rsidRDefault="00EB2615" w:rsidP="00EB2615">
            <w:pPr>
              <w:jc w:val="both"/>
              <w:rPr>
                <w:sz w:val="20"/>
              </w:rPr>
            </w:pPr>
            <w:r w:rsidRPr="00EB2615">
              <w:rPr>
                <w:sz w:val="20"/>
              </w:rPr>
              <w:t>(Que.) (Criminal) (By Leave)</w:t>
            </w:r>
          </w:p>
        </w:tc>
      </w:tr>
      <w:tr w:rsidR="00EB2615" w:rsidRPr="00EB2615" w:rsidTr="00E95A6A">
        <w:tc>
          <w:tcPr>
            <w:tcW w:w="5000" w:type="pct"/>
            <w:gridSpan w:val="4"/>
          </w:tcPr>
          <w:p w:rsidR="00EB2615" w:rsidRPr="00EB2615" w:rsidRDefault="00EB2615" w:rsidP="00EB2615">
            <w:pPr>
              <w:jc w:val="both"/>
              <w:rPr>
                <w:sz w:val="20"/>
              </w:rPr>
            </w:pPr>
            <w:r w:rsidRPr="00EB2615">
              <w:rPr>
                <w:i/>
                <w:sz w:val="20"/>
              </w:rPr>
              <w:t>Charter of Rights and Freedoms</w:t>
            </w:r>
            <w:r w:rsidRPr="00EB2615">
              <w:rPr>
                <w:sz w:val="20"/>
              </w:rPr>
              <w:t xml:space="preserve"> </w:t>
            </w:r>
            <w:r w:rsidRPr="00EB2615">
              <w:rPr>
                <w:rStyle w:val="italic1"/>
                <w:color w:val="000000"/>
                <w:sz w:val="20"/>
              </w:rPr>
              <w:t xml:space="preserve">— Criminal law — Stay of proceedings — Right to be tried within reasonable time — </w:t>
            </w:r>
            <w:r w:rsidRPr="00EB2615">
              <w:rPr>
                <w:sz w:val="20"/>
              </w:rPr>
              <w:t xml:space="preserve">Whether Superior Court erred in not ordering stay of proceedings based on unreasonable delay in violation of s. 11(b) of the </w:t>
            </w:r>
            <w:r w:rsidRPr="00EB2615">
              <w:rPr>
                <w:i/>
                <w:sz w:val="20"/>
              </w:rPr>
              <w:t>Charter</w:t>
            </w:r>
            <w:r w:rsidRPr="00EB2615">
              <w:rPr>
                <w:sz w:val="20"/>
              </w:rPr>
              <w:t>?</w:t>
            </w:r>
          </w:p>
        </w:tc>
      </w:tr>
      <w:tr w:rsidR="00EB2615" w:rsidRPr="00EB2615" w:rsidTr="00E95A6A">
        <w:tc>
          <w:tcPr>
            <w:tcW w:w="5000" w:type="pct"/>
            <w:gridSpan w:val="4"/>
          </w:tcPr>
          <w:p w:rsidR="00EB2615" w:rsidRPr="00EB2615" w:rsidRDefault="00EB2615" w:rsidP="00EB2615">
            <w:pPr>
              <w:jc w:val="both"/>
              <w:rPr>
                <w:sz w:val="20"/>
              </w:rPr>
            </w:pPr>
          </w:p>
        </w:tc>
      </w:tr>
      <w:tr w:rsidR="00EB2615" w:rsidRPr="00EB2615" w:rsidTr="00E95A6A">
        <w:tc>
          <w:tcPr>
            <w:tcW w:w="5000" w:type="pct"/>
            <w:gridSpan w:val="4"/>
          </w:tcPr>
          <w:p w:rsidR="00EB2615" w:rsidRPr="001C345F" w:rsidRDefault="00EB2615" w:rsidP="00EB2615">
            <w:pPr>
              <w:jc w:val="both"/>
              <w:rPr>
                <w:sz w:val="20"/>
              </w:rPr>
            </w:pPr>
            <w:r w:rsidRPr="00EB2615">
              <w:rPr>
                <w:sz w:val="20"/>
              </w:rPr>
              <w:t>On December 12, 2008, Mr. </w:t>
            </w:r>
            <w:proofErr w:type="spellStart"/>
            <w:r w:rsidRPr="00EB2615">
              <w:rPr>
                <w:sz w:val="20"/>
              </w:rPr>
              <w:t>Gakmakge</w:t>
            </w:r>
            <w:proofErr w:type="spellEnd"/>
            <w:r w:rsidRPr="00EB2615">
              <w:rPr>
                <w:sz w:val="20"/>
              </w:rPr>
              <w:t xml:space="preserve"> was charged with second degree murder. On March 11, 2011, he was convicted by a jury. On February 13, 2015, the Court of Appeal of Quebec ordered a new trial. Two weeks later, a coordinating judge scheduled the second trial for October 27, 2017, the first available court date in the judicial district for a jury trial of 7 weeks. Mr. </w:t>
            </w:r>
            <w:proofErr w:type="spellStart"/>
            <w:r w:rsidRPr="00EB2615">
              <w:rPr>
                <w:sz w:val="20"/>
              </w:rPr>
              <w:t>Gakmakge</w:t>
            </w:r>
            <w:proofErr w:type="spellEnd"/>
            <w:r w:rsidRPr="00EB2615">
              <w:rPr>
                <w:sz w:val="20"/>
              </w:rPr>
              <w:t xml:space="preserve"> applied for a stay of proceedings for unreasonable delay in breach of s. 11(b) of the </w:t>
            </w:r>
            <w:r w:rsidRPr="00EB2615">
              <w:rPr>
                <w:i/>
                <w:sz w:val="20"/>
              </w:rPr>
              <w:t>Charter</w:t>
            </w:r>
            <w:r w:rsidRPr="00EB2615">
              <w:rPr>
                <w:sz w:val="20"/>
              </w:rPr>
              <w:t>.</w:t>
            </w:r>
          </w:p>
          <w:p w:rsidR="00EB2615" w:rsidRPr="00EB2615" w:rsidRDefault="00EB2615" w:rsidP="00EB2615">
            <w:pPr>
              <w:jc w:val="both"/>
              <w:rPr>
                <w:sz w:val="20"/>
              </w:rPr>
            </w:pPr>
          </w:p>
        </w:tc>
      </w:tr>
      <w:tr w:rsidR="00EB2615" w:rsidRPr="00EB2615" w:rsidTr="00E95A6A">
        <w:tc>
          <w:tcPr>
            <w:tcW w:w="2427" w:type="pct"/>
            <w:gridSpan w:val="2"/>
          </w:tcPr>
          <w:p w:rsidR="00EB2615" w:rsidRPr="00EB2615" w:rsidRDefault="00EB2615" w:rsidP="00EB2615">
            <w:pPr>
              <w:jc w:val="both"/>
              <w:rPr>
                <w:sz w:val="20"/>
              </w:rPr>
            </w:pPr>
            <w:r w:rsidRPr="00EB2615">
              <w:rPr>
                <w:sz w:val="20"/>
              </w:rPr>
              <w:t>July 17, 2017</w:t>
            </w:r>
          </w:p>
          <w:p w:rsidR="00EB2615" w:rsidRPr="00EB2615" w:rsidRDefault="00EB2615" w:rsidP="00EB2615">
            <w:pPr>
              <w:jc w:val="both"/>
              <w:rPr>
                <w:sz w:val="20"/>
              </w:rPr>
            </w:pPr>
            <w:r w:rsidRPr="00EB2615">
              <w:rPr>
                <w:sz w:val="20"/>
              </w:rPr>
              <w:t>Superior Court of Quebec</w:t>
            </w:r>
          </w:p>
          <w:p w:rsidR="00EB2615" w:rsidRPr="00EB2615" w:rsidRDefault="00EB2615" w:rsidP="00EB2615">
            <w:pPr>
              <w:jc w:val="both"/>
              <w:rPr>
                <w:sz w:val="20"/>
              </w:rPr>
            </w:pPr>
            <w:r w:rsidRPr="00EB2615">
              <w:rPr>
                <w:sz w:val="20"/>
              </w:rPr>
              <w:t>(Mandeville J.)</w:t>
            </w:r>
          </w:p>
          <w:p w:rsidR="00EB2615" w:rsidRPr="00EB2615" w:rsidRDefault="00EB2615" w:rsidP="00EB2615">
            <w:pPr>
              <w:jc w:val="both"/>
              <w:rPr>
                <w:sz w:val="20"/>
              </w:rPr>
            </w:pPr>
            <w:hyperlink r:id="rId14" w:history="1">
              <w:r w:rsidRPr="00EB2615">
                <w:rPr>
                  <w:rStyle w:val="Hyperlink"/>
                  <w:sz w:val="20"/>
                </w:rPr>
                <w:t>2017 QCCS 3279</w:t>
              </w:r>
            </w:hyperlink>
          </w:p>
          <w:p w:rsidR="00EB2615" w:rsidRPr="00EB2615" w:rsidRDefault="00EB2615" w:rsidP="00EB2615">
            <w:pPr>
              <w:jc w:val="both"/>
              <w:rPr>
                <w:sz w:val="20"/>
              </w:rPr>
            </w:pP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 xml:space="preserve">Motion for stay of proceedings for breach of  s. 11(b) of </w:t>
            </w:r>
            <w:r w:rsidRPr="00EB2615">
              <w:rPr>
                <w:i/>
                <w:sz w:val="20"/>
              </w:rPr>
              <w:t>Charter</w:t>
            </w:r>
            <w:r w:rsidRPr="00EB2615">
              <w:rPr>
                <w:sz w:val="20"/>
              </w:rPr>
              <w:t xml:space="preserve"> dismissed </w:t>
            </w:r>
          </w:p>
        </w:tc>
      </w:tr>
      <w:tr w:rsidR="00EB2615" w:rsidRPr="00EB2615" w:rsidTr="00E95A6A">
        <w:tc>
          <w:tcPr>
            <w:tcW w:w="2427" w:type="pct"/>
            <w:gridSpan w:val="2"/>
          </w:tcPr>
          <w:p w:rsidR="00EB2615" w:rsidRPr="00EB2615" w:rsidRDefault="00EB2615" w:rsidP="00EB2615">
            <w:pPr>
              <w:jc w:val="both"/>
              <w:rPr>
                <w:sz w:val="20"/>
              </w:rPr>
            </w:pPr>
            <w:r w:rsidRPr="00EB2615">
              <w:rPr>
                <w:sz w:val="20"/>
              </w:rPr>
              <w:t>October 26, 2017</w:t>
            </w:r>
          </w:p>
          <w:p w:rsidR="00EB2615" w:rsidRPr="00EB2615" w:rsidRDefault="00EB2615" w:rsidP="00EB2615">
            <w:pPr>
              <w:jc w:val="both"/>
              <w:rPr>
                <w:sz w:val="20"/>
              </w:rPr>
            </w:pPr>
            <w:r w:rsidRPr="00EB2615">
              <w:rPr>
                <w:sz w:val="20"/>
              </w:rPr>
              <w:t>Supreme Court of Canada</w:t>
            </w: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Application for extension of time to serve and file application for leave to appeal and Application for leave to appeal filed</w:t>
            </w:r>
          </w:p>
        </w:tc>
      </w:tr>
    </w:tbl>
    <w:p w:rsidR="00EB2615" w:rsidRDefault="00EB2615" w:rsidP="00EB2615">
      <w:pPr>
        <w:jc w:val="both"/>
        <w:rPr>
          <w:sz w:val="20"/>
        </w:rPr>
      </w:pPr>
    </w:p>
    <w:p w:rsidR="001C345F" w:rsidRPr="00EB2615" w:rsidRDefault="001C345F" w:rsidP="00EB2615">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B2615" w:rsidRPr="00EB2615" w:rsidTr="00E95A6A">
        <w:tc>
          <w:tcPr>
            <w:tcW w:w="543" w:type="pct"/>
          </w:tcPr>
          <w:p w:rsidR="00EB2615" w:rsidRPr="00EB2615" w:rsidRDefault="00EB2615" w:rsidP="00EB2615">
            <w:pPr>
              <w:jc w:val="both"/>
              <w:rPr>
                <w:sz w:val="20"/>
                <w:lang w:val="fr-CA"/>
              </w:rPr>
            </w:pPr>
            <w:r w:rsidRPr="00EB2615">
              <w:rPr>
                <w:rStyle w:val="SCCFileNumberChar"/>
                <w:sz w:val="20"/>
                <w:szCs w:val="20"/>
                <w:lang w:val="fr-CA"/>
              </w:rPr>
              <w:t>37819</w:t>
            </w:r>
          </w:p>
        </w:tc>
        <w:tc>
          <w:tcPr>
            <w:tcW w:w="4457" w:type="pct"/>
            <w:gridSpan w:val="3"/>
          </w:tcPr>
          <w:p w:rsidR="00EB2615" w:rsidRPr="001C345F" w:rsidRDefault="00EB2615" w:rsidP="00EB2615">
            <w:pPr>
              <w:pStyle w:val="SCCLsocParty"/>
              <w:jc w:val="both"/>
              <w:rPr>
                <w:b/>
                <w:sz w:val="20"/>
                <w:szCs w:val="20"/>
              </w:rPr>
            </w:pPr>
            <w:r w:rsidRPr="001C345F">
              <w:rPr>
                <w:b/>
                <w:sz w:val="20"/>
                <w:szCs w:val="20"/>
              </w:rPr>
              <w:t>Khalid Gakmakge c. Sa Majesté la Reine</w:t>
            </w:r>
          </w:p>
          <w:p w:rsidR="00EB2615" w:rsidRPr="00EB2615" w:rsidRDefault="00EB2615" w:rsidP="00EB2615">
            <w:pPr>
              <w:jc w:val="both"/>
              <w:rPr>
                <w:sz w:val="20"/>
                <w:lang w:val="fr-CA"/>
              </w:rPr>
            </w:pPr>
            <w:r w:rsidRPr="00EB2615">
              <w:rPr>
                <w:sz w:val="20"/>
                <w:lang w:val="fr-CA"/>
              </w:rPr>
              <w:t>(Qué.) (Criminelle) (Sur autorisation)</w:t>
            </w:r>
          </w:p>
        </w:tc>
      </w:tr>
      <w:tr w:rsidR="00EB2615" w:rsidRPr="00EB2615" w:rsidTr="00E95A6A">
        <w:tc>
          <w:tcPr>
            <w:tcW w:w="5000" w:type="pct"/>
            <w:gridSpan w:val="4"/>
          </w:tcPr>
          <w:p w:rsidR="00EB2615" w:rsidRPr="00EB2615" w:rsidRDefault="00EB2615" w:rsidP="00EB2615">
            <w:pPr>
              <w:jc w:val="both"/>
              <w:rPr>
                <w:sz w:val="20"/>
                <w:lang w:val="fr-CA"/>
              </w:rPr>
            </w:pPr>
            <w:r w:rsidRPr="00EB2615">
              <w:rPr>
                <w:i/>
                <w:sz w:val="20"/>
                <w:lang w:val="fr-CA"/>
              </w:rPr>
              <w:t>Charte des droits et libertés</w:t>
            </w:r>
            <w:r w:rsidRPr="00EB2615">
              <w:rPr>
                <w:sz w:val="20"/>
                <w:lang w:val="fr-CA"/>
              </w:rPr>
              <w:t xml:space="preserve"> </w:t>
            </w:r>
            <w:r w:rsidRPr="00EB2615">
              <w:rPr>
                <w:rStyle w:val="italic1"/>
                <w:color w:val="000000"/>
                <w:sz w:val="20"/>
                <w:lang w:val="fr-CA"/>
              </w:rPr>
              <w:t>— Droit criminel — Arrêt des procédures — Procès dans un délai raisonnable —</w:t>
            </w:r>
            <w:r w:rsidRPr="00EB2615">
              <w:rPr>
                <w:sz w:val="20"/>
                <w:lang w:val="fr-CA"/>
              </w:rPr>
              <w:t xml:space="preserve"> La Cour supérieure a-t-elle commis une erreur en n’ordonnant pas l’arrêt des procédures pour cause de délai déraisonnable en violation de l’al. 11b) de la </w:t>
            </w:r>
            <w:r w:rsidRPr="00EB2615">
              <w:rPr>
                <w:i/>
                <w:sz w:val="20"/>
                <w:lang w:val="fr-CA"/>
              </w:rPr>
              <w:t>Charte</w:t>
            </w:r>
            <w:r w:rsidRPr="00EB2615">
              <w:rPr>
                <w:sz w:val="20"/>
                <w:lang w:val="fr-CA"/>
              </w:rPr>
              <w:t>?</w:t>
            </w:r>
          </w:p>
        </w:tc>
      </w:tr>
      <w:tr w:rsidR="00EB2615" w:rsidRPr="00EB2615" w:rsidTr="00E95A6A">
        <w:tc>
          <w:tcPr>
            <w:tcW w:w="5000" w:type="pct"/>
            <w:gridSpan w:val="4"/>
          </w:tcPr>
          <w:p w:rsidR="00EB2615" w:rsidRPr="00EB2615" w:rsidRDefault="00EB2615" w:rsidP="00EB2615">
            <w:pPr>
              <w:jc w:val="both"/>
              <w:rPr>
                <w:sz w:val="20"/>
                <w:lang w:val="fr-CA"/>
              </w:rPr>
            </w:pPr>
          </w:p>
        </w:tc>
      </w:tr>
      <w:tr w:rsidR="00EB2615" w:rsidRPr="00EB2615" w:rsidTr="00E95A6A">
        <w:tc>
          <w:tcPr>
            <w:tcW w:w="5000" w:type="pct"/>
            <w:gridSpan w:val="4"/>
          </w:tcPr>
          <w:p w:rsidR="00EB2615" w:rsidRPr="00EB2615" w:rsidRDefault="00EB2615" w:rsidP="00EB2615">
            <w:pPr>
              <w:jc w:val="both"/>
              <w:rPr>
                <w:sz w:val="20"/>
                <w:lang w:val="fr-CA"/>
              </w:rPr>
            </w:pPr>
            <w:r w:rsidRPr="00EB2615">
              <w:rPr>
                <w:sz w:val="20"/>
                <w:lang w:val="fr-CA"/>
              </w:rPr>
              <w:t>Le 12 décembre 2008, M. </w:t>
            </w:r>
            <w:proofErr w:type="spellStart"/>
            <w:r w:rsidRPr="00EB2615">
              <w:rPr>
                <w:sz w:val="20"/>
                <w:lang w:val="fr-CA"/>
              </w:rPr>
              <w:t>Gakmakge</w:t>
            </w:r>
            <w:proofErr w:type="spellEnd"/>
            <w:r w:rsidRPr="00EB2615">
              <w:rPr>
                <w:sz w:val="20"/>
                <w:lang w:val="fr-CA"/>
              </w:rPr>
              <w:t xml:space="preserve"> a été accusé de meurtre au deuxième degré. Le 11 mars 2011, il a été déclaré coupable par un jury. Le 13 février 2015, la Cour d’appel du Québec a ordonné un nouveau procès. Deux semaines plus tard, un juge coordonnateur a fixé la date du deuxième procès au 27 octobre 2017, la première date d’audience disponible dans le district judiciaire pour un procès de sept semaines devant jury. Monsieur Gakmakge a demandé l’arrêt des procédures pour cause de délai déraisonnable sur le fondement du par. 11(b) de la </w:t>
            </w:r>
            <w:r w:rsidRPr="00EB2615">
              <w:rPr>
                <w:i/>
                <w:sz w:val="20"/>
                <w:lang w:val="fr-CA"/>
              </w:rPr>
              <w:t>Charte</w:t>
            </w:r>
            <w:r w:rsidRPr="00EB2615">
              <w:rPr>
                <w:sz w:val="20"/>
                <w:lang w:val="fr-CA"/>
              </w:rPr>
              <w:t>.</w:t>
            </w:r>
          </w:p>
          <w:p w:rsidR="00EB2615" w:rsidRPr="00EB2615" w:rsidRDefault="00EB2615" w:rsidP="00EB2615">
            <w:pPr>
              <w:jc w:val="both"/>
              <w:rPr>
                <w:sz w:val="20"/>
                <w:lang w:val="fr-CA"/>
              </w:rPr>
            </w:pP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17 juillet 2017</w:t>
            </w:r>
          </w:p>
          <w:p w:rsidR="00EB2615" w:rsidRPr="00EB2615" w:rsidRDefault="00EB2615" w:rsidP="00EB2615">
            <w:pPr>
              <w:jc w:val="both"/>
              <w:rPr>
                <w:sz w:val="20"/>
                <w:lang w:val="fr-CA"/>
              </w:rPr>
            </w:pPr>
            <w:r w:rsidRPr="00EB2615">
              <w:rPr>
                <w:sz w:val="20"/>
                <w:lang w:val="fr-CA"/>
              </w:rPr>
              <w:t>Cour supérieure du Québec</w:t>
            </w:r>
          </w:p>
          <w:p w:rsidR="00EB2615" w:rsidRPr="00EB2615" w:rsidRDefault="00EB2615" w:rsidP="00EB2615">
            <w:pPr>
              <w:jc w:val="both"/>
              <w:rPr>
                <w:sz w:val="20"/>
                <w:lang w:val="fr-CA"/>
              </w:rPr>
            </w:pPr>
            <w:r w:rsidRPr="00EB2615">
              <w:rPr>
                <w:sz w:val="20"/>
                <w:lang w:val="fr-CA"/>
              </w:rPr>
              <w:t>(Juge Mandeville)</w:t>
            </w:r>
          </w:p>
          <w:p w:rsidR="00EB2615" w:rsidRPr="00EB2615" w:rsidRDefault="00EB2615" w:rsidP="00EB2615">
            <w:pPr>
              <w:jc w:val="both"/>
              <w:rPr>
                <w:sz w:val="20"/>
                <w:lang w:val="fr-CA"/>
              </w:rPr>
            </w:pPr>
            <w:hyperlink r:id="rId15" w:history="1">
              <w:r w:rsidRPr="00EB2615">
                <w:rPr>
                  <w:rStyle w:val="Hyperlink"/>
                  <w:sz w:val="20"/>
                  <w:lang w:val="fr-CA"/>
                </w:rPr>
                <w:t>2017 QCCS 3279</w:t>
              </w:r>
            </w:hyperlink>
          </w:p>
          <w:p w:rsidR="00EB2615" w:rsidRPr="00EB2615" w:rsidRDefault="00EB2615" w:rsidP="00EB2615">
            <w:pPr>
              <w:jc w:val="both"/>
              <w:rPr>
                <w:sz w:val="20"/>
                <w:lang w:val="fr-CA"/>
              </w:rPr>
            </w:pP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lang w:val="fr-CA"/>
              </w:rPr>
            </w:pPr>
            <w:r w:rsidRPr="00EB2615">
              <w:rPr>
                <w:sz w:val="20"/>
                <w:lang w:val="fr-CA"/>
              </w:rPr>
              <w:t xml:space="preserve">Rejet de la requête en arrêt des procédures pour violation de l’al. 11b) de la </w:t>
            </w:r>
            <w:r w:rsidRPr="00EB2615">
              <w:rPr>
                <w:i/>
                <w:sz w:val="20"/>
                <w:lang w:val="fr-CA"/>
              </w:rPr>
              <w:t>Charte</w:t>
            </w:r>
            <w:r w:rsidRPr="00EB2615">
              <w:rPr>
                <w:sz w:val="20"/>
                <w:lang w:val="fr-CA"/>
              </w:rPr>
              <w:t xml:space="preserve"> </w:t>
            </w: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26 octobre 2017</w:t>
            </w:r>
          </w:p>
          <w:p w:rsidR="00EB2615" w:rsidRPr="00EB2615" w:rsidRDefault="00EB2615" w:rsidP="00EB2615">
            <w:pPr>
              <w:jc w:val="both"/>
              <w:rPr>
                <w:sz w:val="20"/>
                <w:lang w:val="fr-CA"/>
              </w:rPr>
            </w:pPr>
            <w:r w:rsidRPr="00EB2615">
              <w:rPr>
                <w:sz w:val="20"/>
                <w:lang w:val="fr-CA"/>
              </w:rPr>
              <w:t>Cour suprême du Canada</w:t>
            </w: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lang w:val="fr-CA"/>
              </w:rPr>
            </w:pPr>
            <w:r w:rsidRPr="00EB2615">
              <w:rPr>
                <w:sz w:val="20"/>
                <w:lang w:val="fr-CA"/>
              </w:rPr>
              <w:t>Dépôt de la demande de prorogation du délai de signification et de dépôt de la demande d’autorisation d’appel et de la demande d’autorisation d’appel</w:t>
            </w:r>
          </w:p>
        </w:tc>
      </w:tr>
    </w:tbl>
    <w:p w:rsidR="00EB2615" w:rsidRPr="00EB2615" w:rsidRDefault="00EB2615" w:rsidP="00EB2615">
      <w:pPr>
        <w:jc w:val="both"/>
        <w:rPr>
          <w:sz w:val="20"/>
          <w:lang w:val="fr-CA"/>
        </w:rPr>
      </w:pPr>
    </w:p>
    <w:p w:rsidR="0081054E" w:rsidRPr="00EB2615" w:rsidRDefault="0081054E" w:rsidP="00EB2615">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B2615" w:rsidRPr="00EB2615" w:rsidTr="00E95A6A">
        <w:tc>
          <w:tcPr>
            <w:tcW w:w="543" w:type="pct"/>
          </w:tcPr>
          <w:p w:rsidR="00EB2615" w:rsidRPr="00EB2615" w:rsidRDefault="00EB2615" w:rsidP="00EB2615">
            <w:pPr>
              <w:jc w:val="both"/>
              <w:rPr>
                <w:sz w:val="20"/>
              </w:rPr>
            </w:pPr>
            <w:r w:rsidRPr="00EB2615">
              <w:rPr>
                <w:rStyle w:val="SCCFileNumberChar"/>
                <w:sz w:val="20"/>
                <w:szCs w:val="20"/>
              </w:rPr>
              <w:t>37657</w:t>
            </w:r>
          </w:p>
        </w:tc>
        <w:tc>
          <w:tcPr>
            <w:tcW w:w="4457" w:type="pct"/>
            <w:gridSpan w:val="3"/>
          </w:tcPr>
          <w:p w:rsidR="00EB2615" w:rsidRPr="001C345F" w:rsidRDefault="00EB2615" w:rsidP="00EB2615">
            <w:pPr>
              <w:pStyle w:val="SCCLsocParty"/>
              <w:jc w:val="both"/>
              <w:rPr>
                <w:b/>
                <w:sz w:val="20"/>
                <w:szCs w:val="20"/>
                <w:lang w:val="en-US"/>
              </w:rPr>
            </w:pPr>
            <w:r w:rsidRPr="001C345F">
              <w:rPr>
                <w:b/>
                <w:sz w:val="20"/>
                <w:szCs w:val="20"/>
                <w:lang w:val="en-US"/>
              </w:rPr>
              <w:t xml:space="preserve">Valerie </w:t>
            </w:r>
            <w:proofErr w:type="spellStart"/>
            <w:r w:rsidRPr="001C345F">
              <w:rPr>
                <w:b/>
                <w:sz w:val="20"/>
                <w:szCs w:val="20"/>
                <w:lang w:val="en-US"/>
              </w:rPr>
              <w:t>Bergey</w:t>
            </w:r>
            <w:proofErr w:type="spellEnd"/>
            <w:r w:rsidRPr="001C345F">
              <w:rPr>
                <w:b/>
                <w:sz w:val="20"/>
                <w:szCs w:val="20"/>
                <w:lang w:val="en-US"/>
              </w:rPr>
              <w:t xml:space="preserve"> v. Attorney General of Canada</w:t>
            </w:r>
          </w:p>
          <w:p w:rsidR="00EB2615" w:rsidRPr="00EB2615" w:rsidRDefault="00EB2615" w:rsidP="00EB2615">
            <w:pPr>
              <w:jc w:val="both"/>
              <w:rPr>
                <w:sz w:val="20"/>
              </w:rPr>
            </w:pPr>
            <w:r w:rsidRPr="00EB2615">
              <w:rPr>
                <w:sz w:val="20"/>
              </w:rPr>
              <w:t>(FC) (Civil) (By Leave)</w:t>
            </w:r>
          </w:p>
        </w:tc>
      </w:tr>
      <w:tr w:rsidR="00EB2615" w:rsidRPr="00EB2615" w:rsidTr="00E95A6A">
        <w:tc>
          <w:tcPr>
            <w:tcW w:w="5000" w:type="pct"/>
            <w:gridSpan w:val="4"/>
          </w:tcPr>
          <w:p w:rsidR="00EB2615" w:rsidRPr="00EB2615" w:rsidRDefault="00EB2615" w:rsidP="00EB2615">
            <w:pPr>
              <w:jc w:val="both"/>
              <w:rPr>
                <w:sz w:val="20"/>
              </w:rPr>
            </w:pPr>
            <w:r w:rsidRPr="00EB2615">
              <w:rPr>
                <w:i/>
                <w:sz w:val="20"/>
              </w:rPr>
              <w:t>Charter of Rights and Freedoms</w:t>
            </w:r>
            <w:r w:rsidRPr="00EB2615">
              <w:rPr>
                <w:sz w:val="20"/>
              </w:rPr>
              <w:t xml:space="preserve"> – Labour relations – Grievance – Procedural fairness – Evidence – Criminal law – Whether the applicant raises a question of public importance?</w:t>
            </w:r>
          </w:p>
        </w:tc>
      </w:tr>
      <w:tr w:rsidR="00EB2615" w:rsidRPr="00EB2615" w:rsidTr="00E95A6A">
        <w:tc>
          <w:tcPr>
            <w:tcW w:w="5000" w:type="pct"/>
            <w:gridSpan w:val="4"/>
          </w:tcPr>
          <w:p w:rsidR="00EB2615" w:rsidRPr="00EB2615" w:rsidRDefault="00EB2615" w:rsidP="00EB2615">
            <w:pPr>
              <w:jc w:val="both"/>
              <w:rPr>
                <w:sz w:val="20"/>
              </w:rPr>
            </w:pPr>
          </w:p>
        </w:tc>
      </w:tr>
      <w:tr w:rsidR="00EB2615" w:rsidRPr="00EB2615" w:rsidTr="00E95A6A">
        <w:tc>
          <w:tcPr>
            <w:tcW w:w="5000" w:type="pct"/>
            <w:gridSpan w:val="4"/>
          </w:tcPr>
          <w:p w:rsidR="00EB2615" w:rsidRPr="00EB2615" w:rsidRDefault="00EB2615" w:rsidP="00EB2615">
            <w:pPr>
              <w:jc w:val="both"/>
              <w:rPr>
                <w:sz w:val="20"/>
              </w:rPr>
            </w:pPr>
            <w:r w:rsidRPr="00EB2615">
              <w:rPr>
                <w:sz w:val="20"/>
              </w:rPr>
              <w:t>Ms. </w:t>
            </w:r>
            <w:proofErr w:type="spellStart"/>
            <w:r w:rsidRPr="00EB2615">
              <w:rPr>
                <w:sz w:val="20"/>
              </w:rPr>
              <w:t>Bergey</w:t>
            </w:r>
            <w:proofErr w:type="spellEnd"/>
            <w:r w:rsidRPr="00EB2615">
              <w:rPr>
                <w:sz w:val="20"/>
              </w:rPr>
              <w:t xml:space="preserve"> was an employee of the RCMP. She was given a 10-day suspension without pay for inappropriate conduct in the workplace. She grieved the suspension under the </w:t>
            </w:r>
            <w:hyperlink r:id="rId16" w:history="1">
              <w:r w:rsidRPr="00EB2615">
                <w:rPr>
                  <w:i/>
                  <w:sz w:val="20"/>
                </w:rPr>
                <w:t>Public Service Labour Relations Act</w:t>
              </w:r>
              <w:r w:rsidRPr="00EB2615">
                <w:rPr>
                  <w:sz w:val="20"/>
                </w:rPr>
                <w:t xml:space="preserve">, S.C. 2003, </w:t>
              </w:r>
              <w:proofErr w:type="gramStart"/>
              <w:r w:rsidRPr="00EB2615">
                <w:rPr>
                  <w:sz w:val="20"/>
                </w:rPr>
                <w:t>c</w:t>
              </w:r>
              <w:proofErr w:type="gramEnd"/>
              <w:r w:rsidRPr="00EB2615">
                <w:rPr>
                  <w:sz w:val="20"/>
                </w:rPr>
                <w:t>. 22</w:t>
              </w:r>
            </w:hyperlink>
            <w:r w:rsidRPr="00EB2615">
              <w:rPr>
                <w:sz w:val="20"/>
              </w:rPr>
              <w:t>. Subsequently, her reliability security designation was revoked and her employment terminated based on the loss of her reliability status. She filed additional grievances in respect of these decisions which were referred to adjudication along with the grievance from the 10-day suspension. Her grievance from the 10-day suspension without pay was dismissed. An application for judicial review was dismissed. The Federal Court of Appeal dismissed an appeal in respect of the 10-day suspension.</w:t>
            </w:r>
          </w:p>
          <w:p w:rsidR="00EB2615" w:rsidRPr="00EB2615" w:rsidRDefault="00EB2615" w:rsidP="00EB2615">
            <w:pPr>
              <w:jc w:val="both"/>
              <w:rPr>
                <w:sz w:val="20"/>
              </w:rPr>
            </w:pPr>
          </w:p>
        </w:tc>
      </w:tr>
      <w:tr w:rsidR="00EB2615" w:rsidRPr="00EB2615" w:rsidTr="00E95A6A">
        <w:tc>
          <w:tcPr>
            <w:tcW w:w="2427" w:type="pct"/>
            <w:gridSpan w:val="2"/>
          </w:tcPr>
          <w:p w:rsidR="00EB2615" w:rsidRPr="00EB2615" w:rsidRDefault="00EB2615" w:rsidP="00EB2615">
            <w:pPr>
              <w:jc w:val="both"/>
              <w:rPr>
                <w:sz w:val="20"/>
              </w:rPr>
            </w:pPr>
            <w:r w:rsidRPr="00EB2615">
              <w:rPr>
                <w:sz w:val="20"/>
              </w:rPr>
              <w:t>July 19, 2013</w:t>
            </w:r>
          </w:p>
          <w:p w:rsidR="00EB2615" w:rsidRPr="00EB2615" w:rsidRDefault="00EB2615" w:rsidP="00EB2615">
            <w:pPr>
              <w:jc w:val="both"/>
              <w:rPr>
                <w:sz w:val="20"/>
              </w:rPr>
            </w:pPr>
            <w:r w:rsidRPr="00EB2615">
              <w:rPr>
                <w:sz w:val="20"/>
              </w:rPr>
              <w:t>Public Service Labour Relations Board</w:t>
            </w:r>
          </w:p>
          <w:p w:rsidR="00EB2615" w:rsidRPr="00EB2615" w:rsidRDefault="00EB2615" w:rsidP="00EB2615">
            <w:pPr>
              <w:jc w:val="both"/>
              <w:rPr>
                <w:sz w:val="20"/>
              </w:rPr>
            </w:pPr>
            <w:r w:rsidRPr="00EB2615">
              <w:rPr>
                <w:sz w:val="20"/>
              </w:rPr>
              <w:t>(Arbitrator Hughes)</w:t>
            </w:r>
          </w:p>
          <w:p w:rsidR="00EB2615" w:rsidRPr="00EB2615" w:rsidRDefault="00EB2615" w:rsidP="00EB2615">
            <w:pPr>
              <w:jc w:val="both"/>
              <w:rPr>
                <w:sz w:val="20"/>
              </w:rPr>
            </w:pPr>
            <w:hyperlink r:id="rId17" w:history="1">
              <w:r w:rsidRPr="00EB2615">
                <w:rPr>
                  <w:rStyle w:val="Hyperlink"/>
                  <w:sz w:val="20"/>
                </w:rPr>
                <w:t>2013 PSLRB 80</w:t>
              </w:r>
            </w:hyperlink>
          </w:p>
          <w:p w:rsidR="00EB2615" w:rsidRPr="00EB2615" w:rsidRDefault="00EB2615" w:rsidP="00EB2615">
            <w:pPr>
              <w:jc w:val="both"/>
              <w:rPr>
                <w:sz w:val="20"/>
              </w:rPr>
            </w:pP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Grievance of 10-day suspension without pay dismissed (other grievances dismissed)</w:t>
            </w:r>
          </w:p>
        </w:tc>
      </w:tr>
      <w:tr w:rsidR="00EB2615" w:rsidRPr="00EB2615" w:rsidTr="00E95A6A">
        <w:tc>
          <w:tcPr>
            <w:tcW w:w="2427" w:type="pct"/>
            <w:gridSpan w:val="2"/>
          </w:tcPr>
          <w:p w:rsidR="00EB2615" w:rsidRPr="00EB2615" w:rsidRDefault="00EB2615" w:rsidP="00EB2615">
            <w:pPr>
              <w:jc w:val="both"/>
              <w:rPr>
                <w:sz w:val="20"/>
              </w:rPr>
            </w:pPr>
            <w:r w:rsidRPr="00EB2615">
              <w:rPr>
                <w:sz w:val="20"/>
              </w:rPr>
              <w:t>May 12, 2015</w:t>
            </w:r>
          </w:p>
          <w:p w:rsidR="00EB2615" w:rsidRPr="00EB2615" w:rsidRDefault="00EB2615" w:rsidP="00EB2615">
            <w:pPr>
              <w:jc w:val="both"/>
              <w:rPr>
                <w:sz w:val="20"/>
              </w:rPr>
            </w:pPr>
            <w:r w:rsidRPr="00EB2615">
              <w:rPr>
                <w:sz w:val="20"/>
              </w:rPr>
              <w:t>Federal Court</w:t>
            </w:r>
          </w:p>
          <w:p w:rsidR="00EB2615" w:rsidRPr="00EB2615" w:rsidRDefault="00EB2615" w:rsidP="00EB2615">
            <w:pPr>
              <w:jc w:val="both"/>
              <w:rPr>
                <w:sz w:val="20"/>
              </w:rPr>
            </w:pPr>
            <w:r w:rsidRPr="00EB2615">
              <w:rPr>
                <w:sz w:val="20"/>
              </w:rPr>
              <w:t>(Hughes J.)</w:t>
            </w:r>
          </w:p>
          <w:p w:rsidR="00EB2615" w:rsidRPr="00EB2615" w:rsidRDefault="00EB2615" w:rsidP="00EB2615">
            <w:pPr>
              <w:jc w:val="both"/>
              <w:rPr>
                <w:sz w:val="20"/>
              </w:rPr>
            </w:pPr>
            <w:r w:rsidRPr="00EB2615">
              <w:rPr>
                <w:sz w:val="20"/>
              </w:rPr>
              <w:t xml:space="preserve">T-1392-13; </w:t>
            </w:r>
            <w:hyperlink r:id="rId18" w:history="1">
              <w:r w:rsidRPr="00EB2615">
                <w:rPr>
                  <w:rStyle w:val="Hyperlink"/>
                  <w:sz w:val="20"/>
                </w:rPr>
                <w:t>2015 FC 617</w:t>
              </w:r>
            </w:hyperlink>
          </w:p>
          <w:p w:rsidR="00EB2615" w:rsidRPr="00EB2615" w:rsidRDefault="00EB2615" w:rsidP="00EB2615">
            <w:pPr>
              <w:jc w:val="both"/>
              <w:rPr>
                <w:sz w:val="20"/>
              </w:rPr>
            </w:pP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Application for judicial review dismissed</w:t>
            </w:r>
          </w:p>
        </w:tc>
      </w:tr>
      <w:tr w:rsidR="00EB2615" w:rsidRPr="00EB2615" w:rsidTr="00E95A6A">
        <w:tc>
          <w:tcPr>
            <w:tcW w:w="2427" w:type="pct"/>
            <w:gridSpan w:val="2"/>
          </w:tcPr>
          <w:p w:rsidR="00EB2615" w:rsidRPr="00EB2615" w:rsidRDefault="00EB2615" w:rsidP="00EB2615">
            <w:pPr>
              <w:jc w:val="both"/>
              <w:rPr>
                <w:sz w:val="20"/>
              </w:rPr>
            </w:pPr>
            <w:r w:rsidRPr="00EB2615">
              <w:rPr>
                <w:sz w:val="20"/>
              </w:rPr>
              <w:t>February 10, 2017</w:t>
            </w:r>
          </w:p>
          <w:p w:rsidR="00EB2615" w:rsidRPr="00EB2615" w:rsidRDefault="00EB2615" w:rsidP="00EB2615">
            <w:pPr>
              <w:jc w:val="both"/>
              <w:rPr>
                <w:sz w:val="20"/>
              </w:rPr>
            </w:pPr>
            <w:r w:rsidRPr="00EB2615">
              <w:rPr>
                <w:sz w:val="20"/>
              </w:rPr>
              <w:t>Federal Court of Appeal</w:t>
            </w:r>
          </w:p>
          <w:p w:rsidR="00EB2615" w:rsidRPr="00EB2615" w:rsidRDefault="00EB2615" w:rsidP="00EB2615">
            <w:pPr>
              <w:jc w:val="both"/>
              <w:rPr>
                <w:sz w:val="20"/>
              </w:rPr>
            </w:pPr>
            <w:r w:rsidRPr="00EB2615">
              <w:rPr>
                <w:sz w:val="20"/>
              </w:rPr>
              <w:t>(</w:t>
            </w:r>
            <w:proofErr w:type="spellStart"/>
            <w:r w:rsidRPr="00EB2615">
              <w:rPr>
                <w:sz w:val="20"/>
              </w:rPr>
              <w:t>Nadon</w:t>
            </w:r>
            <w:proofErr w:type="spellEnd"/>
            <w:r w:rsidRPr="00EB2615">
              <w:rPr>
                <w:sz w:val="20"/>
              </w:rPr>
              <w:t>, Gauthier, Gleason JJ.A.)</w:t>
            </w:r>
          </w:p>
          <w:p w:rsidR="00EB2615" w:rsidRPr="00EB2615" w:rsidRDefault="00EB2615" w:rsidP="00EB2615">
            <w:pPr>
              <w:jc w:val="both"/>
              <w:rPr>
                <w:sz w:val="20"/>
              </w:rPr>
            </w:pPr>
            <w:r w:rsidRPr="00EB2615">
              <w:rPr>
                <w:sz w:val="20"/>
              </w:rPr>
              <w:t xml:space="preserve">A-283-15; </w:t>
            </w:r>
            <w:hyperlink r:id="rId19" w:history="1">
              <w:r w:rsidRPr="00EB2615">
                <w:rPr>
                  <w:rStyle w:val="Hyperlink"/>
                  <w:sz w:val="20"/>
                </w:rPr>
                <w:t>2017 FCA 30</w:t>
              </w:r>
            </w:hyperlink>
          </w:p>
          <w:p w:rsidR="00EB2615" w:rsidRPr="00EB2615" w:rsidRDefault="00EB2615" w:rsidP="00EB2615">
            <w:pPr>
              <w:jc w:val="both"/>
              <w:rPr>
                <w:sz w:val="20"/>
              </w:rPr>
            </w:pP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 xml:space="preserve">Appeal from grievance of 10-day suspension dismissed (appeals from other grievances allowed) </w:t>
            </w:r>
          </w:p>
          <w:p w:rsidR="00EB2615" w:rsidRPr="00EB2615" w:rsidRDefault="00EB2615" w:rsidP="00EB2615">
            <w:pPr>
              <w:jc w:val="both"/>
              <w:rPr>
                <w:sz w:val="20"/>
              </w:rPr>
            </w:pPr>
          </w:p>
        </w:tc>
      </w:tr>
      <w:tr w:rsidR="00EB2615" w:rsidRPr="00EB2615" w:rsidTr="00E95A6A">
        <w:tc>
          <w:tcPr>
            <w:tcW w:w="2427" w:type="pct"/>
            <w:gridSpan w:val="2"/>
          </w:tcPr>
          <w:p w:rsidR="00EB2615" w:rsidRPr="00EB2615" w:rsidRDefault="00EB2615" w:rsidP="00EB2615">
            <w:pPr>
              <w:jc w:val="both"/>
              <w:rPr>
                <w:sz w:val="20"/>
              </w:rPr>
            </w:pPr>
            <w:r w:rsidRPr="00EB2615">
              <w:rPr>
                <w:sz w:val="20"/>
              </w:rPr>
              <w:t>April 10, 2017</w:t>
            </w:r>
          </w:p>
          <w:p w:rsidR="00EB2615" w:rsidRPr="00EB2615" w:rsidRDefault="00EB2615" w:rsidP="00EB2615">
            <w:pPr>
              <w:jc w:val="both"/>
              <w:rPr>
                <w:sz w:val="20"/>
              </w:rPr>
            </w:pPr>
            <w:r w:rsidRPr="00EB2615">
              <w:rPr>
                <w:sz w:val="20"/>
              </w:rPr>
              <w:t>Supreme Court of Canada</w:t>
            </w:r>
          </w:p>
        </w:tc>
        <w:tc>
          <w:tcPr>
            <w:tcW w:w="243" w:type="pct"/>
          </w:tcPr>
          <w:p w:rsidR="00EB2615" w:rsidRPr="00EB2615" w:rsidRDefault="00EB2615" w:rsidP="00EB2615">
            <w:pPr>
              <w:jc w:val="both"/>
              <w:rPr>
                <w:sz w:val="20"/>
              </w:rPr>
            </w:pPr>
          </w:p>
        </w:tc>
        <w:tc>
          <w:tcPr>
            <w:tcW w:w="2330" w:type="pct"/>
          </w:tcPr>
          <w:p w:rsidR="00EB2615" w:rsidRPr="00EB2615" w:rsidRDefault="00EB2615" w:rsidP="00EB2615">
            <w:pPr>
              <w:jc w:val="both"/>
              <w:rPr>
                <w:sz w:val="20"/>
              </w:rPr>
            </w:pPr>
            <w:r w:rsidRPr="00EB2615">
              <w:rPr>
                <w:sz w:val="20"/>
              </w:rPr>
              <w:t>Application for leave to appeal filed</w:t>
            </w:r>
          </w:p>
          <w:p w:rsidR="00EB2615" w:rsidRPr="00EB2615" w:rsidRDefault="00EB2615" w:rsidP="00EB2615">
            <w:pPr>
              <w:jc w:val="both"/>
              <w:rPr>
                <w:sz w:val="20"/>
              </w:rPr>
            </w:pPr>
          </w:p>
        </w:tc>
      </w:tr>
    </w:tbl>
    <w:p w:rsidR="00EB2615" w:rsidRDefault="00EB2615" w:rsidP="00EB2615">
      <w:pPr>
        <w:jc w:val="both"/>
        <w:rPr>
          <w:sz w:val="20"/>
        </w:rPr>
      </w:pPr>
    </w:p>
    <w:p w:rsidR="001C345F" w:rsidRPr="00EB2615" w:rsidRDefault="001C345F" w:rsidP="00EB2615">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B2615" w:rsidRPr="00EB2615" w:rsidTr="00E95A6A">
        <w:tc>
          <w:tcPr>
            <w:tcW w:w="543" w:type="pct"/>
          </w:tcPr>
          <w:p w:rsidR="00EB2615" w:rsidRPr="00EB2615" w:rsidRDefault="00EB2615" w:rsidP="00EB2615">
            <w:pPr>
              <w:jc w:val="both"/>
              <w:rPr>
                <w:sz w:val="20"/>
                <w:lang w:val="fr-CA"/>
              </w:rPr>
            </w:pPr>
            <w:r w:rsidRPr="00EB2615">
              <w:rPr>
                <w:rStyle w:val="SCCFileNumberChar"/>
                <w:sz w:val="20"/>
                <w:szCs w:val="20"/>
                <w:lang w:val="fr-CA"/>
              </w:rPr>
              <w:t>37657</w:t>
            </w:r>
          </w:p>
        </w:tc>
        <w:tc>
          <w:tcPr>
            <w:tcW w:w="4457" w:type="pct"/>
            <w:gridSpan w:val="3"/>
          </w:tcPr>
          <w:p w:rsidR="00EB2615" w:rsidRPr="001C345F" w:rsidRDefault="00EB2615" w:rsidP="00EB2615">
            <w:pPr>
              <w:pStyle w:val="SCCLsocParty"/>
              <w:jc w:val="both"/>
              <w:rPr>
                <w:b/>
                <w:sz w:val="20"/>
                <w:szCs w:val="20"/>
              </w:rPr>
            </w:pPr>
            <w:r w:rsidRPr="001C345F">
              <w:rPr>
                <w:b/>
                <w:sz w:val="20"/>
                <w:szCs w:val="20"/>
              </w:rPr>
              <w:t>Valerie Bergey c. Procureur général du Canada</w:t>
            </w:r>
          </w:p>
          <w:p w:rsidR="00EB2615" w:rsidRPr="00EB2615" w:rsidRDefault="00EB2615" w:rsidP="00EB2615">
            <w:pPr>
              <w:jc w:val="both"/>
              <w:rPr>
                <w:sz w:val="20"/>
                <w:lang w:val="fr-CA"/>
              </w:rPr>
            </w:pPr>
            <w:r w:rsidRPr="00EB2615">
              <w:rPr>
                <w:sz w:val="20"/>
                <w:lang w:val="fr-CA"/>
              </w:rPr>
              <w:t>(CF) (Civile) (Sur autorisation)</w:t>
            </w:r>
          </w:p>
        </w:tc>
      </w:tr>
      <w:tr w:rsidR="00EB2615" w:rsidRPr="00EB2615" w:rsidTr="00E95A6A">
        <w:tc>
          <w:tcPr>
            <w:tcW w:w="5000" w:type="pct"/>
            <w:gridSpan w:val="4"/>
          </w:tcPr>
          <w:p w:rsidR="00EB2615" w:rsidRPr="00EB2615" w:rsidRDefault="00EB2615" w:rsidP="00EB2615">
            <w:pPr>
              <w:jc w:val="both"/>
              <w:rPr>
                <w:sz w:val="20"/>
                <w:lang w:val="fr-CA"/>
              </w:rPr>
            </w:pPr>
            <w:r w:rsidRPr="00EB2615">
              <w:rPr>
                <w:i/>
                <w:sz w:val="20"/>
                <w:lang w:val="fr-CA"/>
              </w:rPr>
              <w:t>Charte des droits et libertés</w:t>
            </w:r>
            <w:r w:rsidRPr="00EB2615">
              <w:rPr>
                <w:sz w:val="20"/>
                <w:lang w:val="fr-CA"/>
              </w:rPr>
              <w:t xml:space="preserve"> – Relations du travail – Grief – Équité procédurale – Preuve – Droit criminel – La demanderesse soulève-t-elle une question d’importance pour le public?</w:t>
            </w:r>
          </w:p>
        </w:tc>
      </w:tr>
      <w:tr w:rsidR="00EB2615" w:rsidRPr="00EB2615" w:rsidTr="00E95A6A">
        <w:tc>
          <w:tcPr>
            <w:tcW w:w="5000" w:type="pct"/>
            <w:gridSpan w:val="4"/>
          </w:tcPr>
          <w:p w:rsidR="00EB2615" w:rsidRPr="00EB2615" w:rsidRDefault="00EB2615" w:rsidP="00EB2615">
            <w:pPr>
              <w:jc w:val="both"/>
              <w:rPr>
                <w:sz w:val="20"/>
                <w:lang w:val="fr-CA"/>
              </w:rPr>
            </w:pPr>
          </w:p>
        </w:tc>
      </w:tr>
      <w:tr w:rsidR="00EB2615" w:rsidRPr="00EB2615" w:rsidTr="00E95A6A">
        <w:tc>
          <w:tcPr>
            <w:tcW w:w="5000" w:type="pct"/>
            <w:gridSpan w:val="4"/>
          </w:tcPr>
          <w:p w:rsidR="00EB2615" w:rsidRPr="00EB2615" w:rsidRDefault="00EB2615" w:rsidP="00EB2615">
            <w:pPr>
              <w:jc w:val="both"/>
              <w:rPr>
                <w:sz w:val="20"/>
                <w:lang w:val="fr-CA"/>
              </w:rPr>
            </w:pPr>
            <w:r w:rsidRPr="00EB2615">
              <w:rPr>
                <w:sz w:val="20"/>
                <w:lang w:val="fr-CA"/>
              </w:rPr>
              <w:t xml:space="preserve">Madame Bergey était une employée de la GRC. Elle s’est vue imposer une suspension de dix jours sans traitement pour conduite déplacée au travail. Elle a présenté un grief contestant la suspension en application de la  </w:t>
            </w:r>
            <w:hyperlink r:id="rId20" w:history="1">
              <w:r w:rsidRPr="00EB2615">
                <w:rPr>
                  <w:i/>
                  <w:sz w:val="20"/>
                  <w:lang w:val="fr-CA"/>
                </w:rPr>
                <w:t>Loi sur les relations de travail dans la fonction publique</w:t>
              </w:r>
              <w:r w:rsidRPr="00EB2615">
                <w:rPr>
                  <w:sz w:val="20"/>
                  <w:lang w:val="fr-CA"/>
                </w:rPr>
                <w:t>, L.C. 2003, ch. 22</w:t>
              </w:r>
            </w:hyperlink>
            <w:r w:rsidRPr="00EB2615">
              <w:rPr>
                <w:sz w:val="20"/>
                <w:lang w:val="fr-CA"/>
              </w:rPr>
              <w:t>.  Sa désignation de sécurité a été révoquée et elle a été licenciée en raison de la perte de sa cote de fiabilité. Elle a déposé d’autres griefs à l’égard de ces décisions, lesquels ont été renvoyés à l’arbitrage avec le grief portant sur la suspension de dix jours. Son grief portant sur la suspension de dix jours sans traitement a été rejeté.  Une demande de contrôle judiciaire a été rejetée.  La Cour d’appel fédérale a rejeté un appel à l’égard de la suspension de dix jours.</w:t>
            </w:r>
            <w:bookmarkStart w:id="0" w:name="_GoBack"/>
            <w:bookmarkEnd w:id="0"/>
          </w:p>
          <w:p w:rsidR="00EB2615" w:rsidRPr="00EB2615" w:rsidRDefault="00EB2615" w:rsidP="00EB2615">
            <w:pPr>
              <w:jc w:val="both"/>
              <w:rPr>
                <w:sz w:val="20"/>
                <w:lang w:val="fr-CA"/>
              </w:rPr>
            </w:pP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19 juillet 2013</w:t>
            </w:r>
          </w:p>
          <w:p w:rsidR="00EB2615" w:rsidRPr="00EB2615" w:rsidRDefault="00EB2615" w:rsidP="00EB2615">
            <w:pPr>
              <w:jc w:val="both"/>
              <w:rPr>
                <w:sz w:val="20"/>
                <w:lang w:val="fr-CA"/>
              </w:rPr>
            </w:pPr>
            <w:r w:rsidRPr="00EB2615">
              <w:rPr>
                <w:sz w:val="20"/>
                <w:lang w:val="fr-CA"/>
              </w:rPr>
              <w:t>Commission des relations de travail dans la fonction publique</w:t>
            </w:r>
          </w:p>
          <w:p w:rsidR="00EB2615" w:rsidRPr="00EB2615" w:rsidRDefault="00EB2615" w:rsidP="00EB2615">
            <w:pPr>
              <w:jc w:val="both"/>
              <w:rPr>
                <w:sz w:val="20"/>
                <w:lang w:val="fr-CA"/>
              </w:rPr>
            </w:pPr>
            <w:r w:rsidRPr="00EB2615">
              <w:rPr>
                <w:sz w:val="20"/>
                <w:lang w:val="fr-CA"/>
              </w:rPr>
              <w:t>(Arbitre Hughes)</w:t>
            </w:r>
          </w:p>
          <w:p w:rsidR="00EB2615" w:rsidRPr="00EB2615" w:rsidRDefault="00EB2615" w:rsidP="00EB2615">
            <w:pPr>
              <w:jc w:val="both"/>
              <w:rPr>
                <w:sz w:val="20"/>
                <w:lang w:val="fr-CA"/>
              </w:rPr>
            </w:pPr>
            <w:hyperlink r:id="rId21" w:history="1">
              <w:r w:rsidRPr="00EB2615">
                <w:rPr>
                  <w:rStyle w:val="Hyperlink"/>
                  <w:sz w:val="20"/>
                  <w:lang w:val="fr-CA"/>
                </w:rPr>
                <w:t>2013 CRTFP 80</w:t>
              </w:r>
            </w:hyperlink>
          </w:p>
          <w:p w:rsidR="00EB2615" w:rsidRPr="00EB2615" w:rsidRDefault="00EB2615" w:rsidP="00EB2615">
            <w:pPr>
              <w:jc w:val="both"/>
              <w:rPr>
                <w:sz w:val="20"/>
                <w:lang w:val="fr-CA"/>
              </w:rPr>
            </w:pP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lang w:val="fr-CA"/>
              </w:rPr>
            </w:pPr>
            <w:r w:rsidRPr="00EB2615">
              <w:rPr>
                <w:sz w:val="20"/>
                <w:lang w:val="fr-CA"/>
              </w:rPr>
              <w:t>Rejet du grief portant sur la suspension de dix jours sans traitement et des autres griefs</w:t>
            </w: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12 mai 2015</w:t>
            </w:r>
          </w:p>
          <w:p w:rsidR="00EB2615" w:rsidRPr="00EB2615" w:rsidRDefault="00EB2615" w:rsidP="00EB2615">
            <w:pPr>
              <w:jc w:val="both"/>
              <w:rPr>
                <w:sz w:val="20"/>
                <w:lang w:val="fr-CA"/>
              </w:rPr>
            </w:pPr>
            <w:r w:rsidRPr="00EB2615">
              <w:rPr>
                <w:sz w:val="20"/>
                <w:lang w:val="fr-CA"/>
              </w:rPr>
              <w:t>Cour fédérale</w:t>
            </w:r>
          </w:p>
          <w:p w:rsidR="00EB2615" w:rsidRPr="00EB2615" w:rsidRDefault="00EB2615" w:rsidP="00EB2615">
            <w:pPr>
              <w:jc w:val="both"/>
              <w:rPr>
                <w:sz w:val="20"/>
                <w:lang w:val="fr-CA"/>
              </w:rPr>
            </w:pPr>
            <w:r w:rsidRPr="00EB2615">
              <w:rPr>
                <w:sz w:val="20"/>
                <w:lang w:val="fr-CA"/>
              </w:rPr>
              <w:t>(Juge Hughes)</w:t>
            </w:r>
          </w:p>
          <w:p w:rsidR="00EB2615" w:rsidRPr="00EB2615" w:rsidRDefault="00EB2615" w:rsidP="00EB2615">
            <w:pPr>
              <w:jc w:val="both"/>
              <w:rPr>
                <w:sz w:val="20"/>
                <w:lang w:val="fr-CA"/>
              </w:rPr>
            </w:pPr>
            <w:r w:rsidRPr="00EB2615">
              <w:rPr>
                <w:sz w:val="20"/>
                <w:lang w:val="fr-CA"/>
              </w:rPr>
              <w:t xml:space="preserve">T-1392-13; </w:t>
            </w:r>
            <w:hyperlink r:id="rId22" w:history="1">
              <w:r w:rsidRPr="00EB2615">
                <w:rPr>
                  <w:rStyle w:val="Hyperlink"/>
                  <w:sz w:val="20"/>
                  <w:lang w:val="fr-CA"/>
                </w:rPr>
                <w:t>2015 CF 617</w:t>
              </w:r>
            </w:hyperlink>
          </w:p>
          <w:p w:rsidR="00EB2615" w:rsidRPr="00EB2615" w:rsidRDefault="00EB2615" w:rsidP="00EB2615">
            <w:pPr>
              <w:jc w:val="both"/>
              <w:rPr>
                <w:sz w:val="20"/>
                <w:lang w:val="fr-CA"/>
              </w:rPr>
            </w:pP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lang w:val="fr-CA"/>
              </w:rPr>
            </w:pPr>
            <w:r w:rsidRPr="00EB2615">
              <w:rPr>
                <w:sz w:val="20"/>
                <w:lang w:val="fr-CA"/>
              </w:rPr>
              <w:t>Rejet de la demande de contrôle judiciaire</w:t>
            </w: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10 février 2017</w:t>
            </w:r>
          </w:p>
          <w:p w:rsidR="00EB2615" w:rsidRPr="00EB2615" w:rsidRDefault="00EB2615" w:rsidP="00EB2615">
            <w:pPr>
              <w:jc w:val="both"/>
              <w:rPr>
                <w:sz w:val="20"/>
                <w:lang w:val="fr-CA"/>
              </w:rPr>
            </w:pPr>
            <w:r w:rsidRPr="00EB2615">
              <w:rPr>
                <w:sz w:val="20"/>
                <w:lang w:val="fr-CA"/>
              </w:rPr>
              <w:t>Cour d’appel fédérale</w:t>
            </w:r>
          </w:p>
          <w:p w:rsidR="00EB2615" w:rsidRPr="00EB2615" w:rsidRDefault="00EB2615" w:rsidP="00EB2615">
            <w:pPr>
              <w:jc w:val="both"/>
              <w:rPr>
                <w:sz w:val="20"/>
                <w:lang w:val="fr-CA"/>
              </w:rPr>
            </w:pPr>
            <w:r w:rsidRPr="00EB2615">
              <w:rPr>
                <w:sz w:val="20"/>
                <w:lang w:val="fr-CA"/>
              </w:rPr>
              <w:t>(Juges Nadon, Gauthier et Gleason)</w:t>
            </w:r>
          </w:p>
          <w:p w:rsidR="00EB2615" w:rsidRPr="00EB2615" w:rsidRDefault="00EB2615" w:rsidP="00EB2615">
            <w:pPr>
              <w:jc w:val="both"/>
              <w:rPr>
                <w:sz w:val="20"/>
                <w:lang w:val="fr-CA"/>
              </w:rPr>
            </w:pPr>
            <w:r w:rsidRPr="00EB2615">
              <w:rPr>
                <w:sz w:val="20"/>
                <w:lang w:val="fr-CA"/>
              </w:rPr>
              <w:t xml:space="preserve">A-283-15; </w:t>
            </w:r>
            <w:hyperlink r:id="rId23" w:history="1">
              <w:r w:rsidRPr="00EB2615">
                <w:rPr>
                  <w:rStyle w:val="Hyperlink"/>
                  <w:sz w:val="20"/>
                  <w:lang w:val="fr-CA"/>
                </w:rPr>
                <w:t>2017 FCA 30</w:t>
              </w:r>
            </w:hyperlink>
          </w:p>
          <w:p w:rsidR="00EB2615" w:rsidRPr="00EB2615" w:rsidRDefault="00EB2615" w:rsidP="00EB2615">
            <w:pPr>
              <w:jc w:val="both"/>
              <w:rPr>
                <w:sz w:val="20"/>
                <w:lang w:val="fr-CA"/>
              </w:rPr>
            </w:pP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lang w:val="fr-CA"/>
              </w:rPr>
            </w:pPr>
            <w:r w:rsidRPr="00EB2615">
              <w:rPr>
                <w:sz w:val="20"/>
                <w:lang w:val="fr-CA"/>
              </w:rPr>
              <w:t xml:space="preserve">Rejet de l’appel du grief portant sur la suspension de dix jours (arrêt accueillant les appels des autres griefs) </w:t>
            </w:r>
          </w:p>
          <w:p w:rsidR="00EB2615" w:rsidRPr="00EB2615" w:rsidRDefault="00EB2615" w:rsidP="00EB2615">
            <w:pPr>
              <w:jc w:val="both"/>
              <w:rPr>
                <w:sz w:val="20"/>
                <w:lang w:val="fr-CA"/>
              </w:rPr>
            </w:pPr>
          </w:p>
        </w:tc>
      </w:tr>
      <w:tr w:rsidR="00EB2615" w:rsidRPr="00EB2615" w:rsidTr="00E95A6A">
        <w:tc>
          <w:tcPr>
            <w:tcW w:w="2427" w:type="pct"/>
            <w:gridSpan w:val="2"/>
          </w:tcPr>
          <w:p w:rsidR="00EB2615" w:rsidRPr="00EB2615" w:rsidRDefault="00EB2615" w:rsidP="00EB2615">
            <w:pPr>
              <w:jc w:val="both"/>
              <w:rPr>
                <w:sz w:val="20"/>
                <w:lang w:val="fr-CA"/>
              </w:rPr>
            </w:pPr>
            <w:r w:rsidRPr="00EB2615">
              <w:rPr>
                <w:sz w:val="20"/>
                <w:lang w:val="fr-CA"/>
              </w:rPr>
              <w:t>10 avril 2017</w:t>
            </w:r>
          </w:p>
          <w:p w:rsidR="00EB2615" w:rsidRPr="00EB2615" w:rsidRDefault="00EB2615" w:rsidP="00EB2615">
            <w:pPr>
              <w:jc w:val="both"/>
              <w:rPr>
                <w:sz w:val="20"/>
                <w:lang w:val="fr-CA"/>
              </w:rPr>
            </w:pPr>
            <w:r w:rsidRPr="00EB2615">
              <w:rPr>
                <w:sz w:val="20"/>
                <w:lang w:val="fr-CA"/>
              </w:rPr>
              <w:t>Cour suprême du Canada</w:t>
            </w:r>
          </w:p>
        </w:tc>
        <w:tc>
          <w:tcPr>
            <w:tcW w:w="243" w:type="pct"/>
          </w:tcPr>
          <w:p w:rsidR="00EB2615" w:rsidRPr="00EB2615" w:rsidRDefault="00EB2615" w:rsidP="00EB2615">
            <w:pPr>
              <w:jc w:val="both"/>
              <w:rPr>
                <w:sz w:val="20"/>
                <w:lang w:val="fr-CA"/>
              </w:rPr>
            </w:pPr>
          </w:p>
        </w:tc>
        <w:tc>
          <w:tcPr>
            <w:tcW w:w="2330" w:type="pct"/>
          </w:tcPr>
          <w:p w:rsidR="00EB2615" w:rsidRPr="00EB2615" w:rsidRDefault="00EB2615" w:rsidP="00EB2615">
            <w:pPr>
              <w:jc w:val="both"/>
              <w:rPr>
                <w:sz w:val="20"/>
                <w:lang w:val="fr-CA"/>
              </w:rPr>
            </w:pPr>
            <w:r w:rsidRPr="00EB2615">
              <w:rPr>
                <w:sz w:val="20"/>
                <w:lang w:val="fr-CA"/>
              </w:rPr>
              <w:t>Dépôt de la demande d’autorisation d’appel</w:t>
            </w:r>
          </w:p>
          <w:p w:rsidR="00EB2615" w:rsidRPr="00EB2615" w:rsidRDefault="00EB2615" w:rsidP="00EB2615">
            <w:pPr>
              <w:jc w:val="both"/>
              <w:rPr>
                <w:sz w:val="20"/>
                <w:lang w:val="fr-CA"/>
              </w:rPr>
            </w:pPr>
          </w:p>
        </w:tc>
      </w:tr>
    </w:tbl>
    <w:p w:rsidR="0081054E" w:rsidRPr="00EB2615" w:rsidRDefault="0081054E" w:rsidP="00957A1E">
      <w:pPr>
        <w:jc w:val="both"/>
        <w:rPr>
          <w:sz w:val="20"/>
          <w:lang w:val="fr-CA"/>
        </w:rPr>
      </w:pPr>
    </w:p>
    <w:p w:rsidR="0081054E" w:rsidRPr="00EB2615" w:rsidRDefault="0081054E" w:rsidP="00957A1E">
      <w:pPr>
        <w:jc w:val="both"/>
        <w:rPr>
          <w:sz w:val="20"/>
          <w:lang w:val="fr-CA"/>
        </w:rPr>
      </w:pPr>
    </w:p>
    <w:p w:rsidR="00691CDA" w:rsidRPr="00EB2615" w:rsidRDefault="00691CDA" w:rsidP="00A169B5">
      <w:pPr>
        <w:tabs>
          <w:tab w:val="left" w:pos="900"/>
          <w:tab w:val="center" w:pos="5760"/>
        </w:tabs>
        <w:ind w:left="360" w:hanging="360"/>
        <w:rPr>
          <w:sz w:val="20"/>
          <w:lang w:val="fr-CA"/>
        </w:rPr>
      </w:pPr>
    </w:p>
    <w:p w:rsidR="00D3344A" w:rsidRPr="00DD0581" w:rsidRDefault="00D3344A" w:rsidP="00D3344A">
      <w:pPr>
        <w:widowControl w:val="0"/>
        <w:outlineLvl w:val="0"/>
      </w:pPr>
      <w:r w:rsidRPr="00DD0581">
        <w:t xml:space="preserve">Supreme Court of Canada / Cour suprême du </w:t>
      </w:r>
      <w:proofErr w:type="gramStart"/>
      <w:r w:rsidRPr="00DD0581">
        <w:t>Canad</w:t>
      </w:r>
      <w:r w:rsidR="00EE289F" w:rsidRPr="00DD0581">
        <w:t>a</w:t>
      </w:r>
      <w:r w:rsidRPr="00DD0581">
        <w:t xml:space="preserve"> :</w:t>
      </w:r>
      <w:proofErr w:type="gramEnd"/>
    </w:p>
    <w:p w:rsidR="00D3344A" w:rsidRPr="00DD0581" w:rsidRDefault="001C345F" w:rsidP="00D3344A">
      <w:pPr>
        <w:widowControl w:val="0"/>
        <w:outlineLvl w:val="0"/>
        <w:rPr>
          <w:u w:val="single"/>
        </w:rPr>
      </w:pPr>
      <w:hyperlink r:id="rId24" w:history="1">
        <w:r w:rsidR="009B7391" w:rsidRPr="00DD0581">
          <w:rPr>
            <w:rStyle w:val="Hyperlink"/>
          </w:rPr>
          <w:t>comments-commentaires@scc-csc.ca</w:t>
        </w:r>
      </w:hyperlink>
    </w:p>
    <w:p w:rsidR="00D3344A" w:rsidRPr="00DD0581" w:rsidRDefault="0065588C" w:rsidP="00D3344A">
      <w:pPr>
        <w:widowControl w:val="0"/>
        <w:outlineLvl w:val="0"/>
      </w:pPr>
      <w:r w:rsidRPr="00DD0581">
        <w:t>613-</w:t>
      </w:r>
      <w:r w:rsidR="00D3344A" w:rsidRPr="00DD0581">
        <w:t>995-4330</w:t>
      </w:r>
    </w:p>
    <w:p w:rsidR="00497B5E" w:rsidRPr="00DD0581" w:rsidRDefault="00497B5E" w:rsidP="00497B5E">
      <w:pPr>
        <w:widowControl w:val="0"/>
        <w:rPr>
          <w:sz w:val="20"/>
        </w:rPr>
      </w:pPr>
    </w:p>
    <w:p w:rsidR="00F6251B" w:rsidRPr="006E558B" w:rsidRDefault="003F43E6" w:rsidP="00F6251B">
      <w:pPr>
        <w:pStyle w:val="Footer"/>
        <w:jc w:val="center"/>
      </w:pPr>
      <w:r w:rsidRPr="00DD0581">
        <w:t>- 30 -</w:t>
      </w:r>
    </w:p>
    <w:sectPr w:rsidR="00F6251B" w:rsidRPr="006E558B" w:rsidSect="0052482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72" w:rsidRDefault="00D46172" w:rsidP="0034178A">
      <w:r>
        <w:separator/>
      </w:r>
    </w:p>
  </w:endnote>
  <w:endnote w:type="continuationSeparator" w:id="0">
    <w:p w:rsidR="00D46172" w:rsidRDefault="00D4617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Pr="009F77F0" w:rsidRDefault="00D46172"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72" w:rsidRDefault="00D46172" w:rsidP="0034178A">
      <w:r>
        <w:separator/>
      </w:r>
    </w:p>
  </w:footnote>
  <w:footnote w:type="continuationSeparator" w:id="0">
    <w:p w:rsidR="00D46172" w:rsidRDefault="00D4617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A4E"/>
    <w:multiLevelType w:val="hybridMultilevel"/>
    <w:tmpl w:val="1786E0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45F44"/>
    <w:multiLevelType w:val="hybridMultilevel"/>
    <w:tmpl w:val="502875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743393"/>
    <w:multiLevelType w:val="hybridMultilevel"/>
    <w:tmpl w:val="75B2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C7B"/>
    <w:multiLevelType w:val="hybridMultilevel"/>
    <w:tmpl w:val="8E8E70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FE5456D"/>
    <w:multiLevelType w:val="hybridMultilevel"/>
    <w:tmpl w:val="3F749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FF56BD"/>
    <w:multiLevelType w:val="hybridMultilevel"/>
    <w:tmpl w:val="C490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77838"/>
    <w:multiLevelType w:val="hybridMultilevel"/>
    <w:tmpl w:val="BC4C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5E8D"/>
    <w:multiLevelType w:val="hybridMultilevel"/>
    <w:tmpl w:val="0B1C7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25BBA"/>
    <w:multiLevelType w:val="hybridMultilevel"/>
    <w:tmpl w:val="920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6207C"/>
    <w:multiLevelType w:val="hybridMultilevel"/>
    <w:tmpl w:val="C7105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4"/>
  </w:num>
  <w:num w:numId="5">
    <w:abstractNumId w:val="6"/>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76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C19"/>
    <w:rsid w:val="00015958"/>
    <w:rsid w:val="000164DB"/>
    <w:rsid w:val="00016932"/>
    <w:rsid w:val="00016D65"/>
    <w:rsid w:val="00016D95"/>
    <w:rsid w:val="0001736B"/>
    <w:rsid w:val="00017D08"/>
    <w:rsid w:val="00020797"/>
    <w:rsid w:val="00020816"/>
    <w:rsid w:val="00020DAE"/>
    <w:rsid w:val="00021515"/>
    <w:rsid w:val="0002267C"/>
    <w:rsid w:val="00022EFE"/>
    <w:rsid w:val="000238E0"/>
    <w:rsid w:val="00024962"/>
    <w:rsid w:val="000250B7"/>
    <w:rsid w:val="00025F42"/>
    <w:rsid w:val="00027443"/>
    <w:rsid w:val="000276EE"/>
    <w:rsid w:val="00027781"/>
    <w:rsid w:val="000277E1"/>
    <w:rsid w:val="00030382"/>
    <w:rsid w:val="00032BD3"/>
    <w:rsid w:val="00032CDB"/>
    <w:rsid w:val="00032E02"/>
    <w:rsid w:val="00033257"/>
    <w:rsid w:val="00033935"/>
    <w:rsid w:val="00033D1E"/>
    <w:rsid w:val="00033D28"/>
    <w:rsid w:val="000343B3"/>
    <w:rsid w:val="0003496D"/>
    <w:rsid w:val="00034A7F"/>
    <w:rsid w:val="000352F8"/>
    <w:rsid w:val="00035790"/>
    <w:rsid w:val="000368C3"/>
    <w:rsid w:val="00036DC6"/>
    <w:rsid w:val="00040247"/>
    <w:rsid w:val="00041302"/>
    <w:rsid w:val="0004159F"/>
    <w:rsid w:val="00041B58"/>
    <w:rsid w:val="00042069"/>
    <w:rsid w:val="00042390"/>
    <w:rsid w:val="0004298B"/>
    <w:rsid w:val="000437B4"/>
    <w:rsid w:val="00043D20"/>
    <w:rsid w:val="00043FDE"/>
    <w:rsid w:val="000467DE"/>
    <w:rsid w:val="00046CB2"/>
    <w:rsid w:val="00047188"/>
    <w:rsid w:val="00047CD6"/>
    <w:rsid w:val="00051DE6"/>
    <w:rsid w:val="00053BAF"/>
    <w:rsid w:val="00054A01"/>
    <w:rsid w:val="00054F8E"/>
    <w:rsid w:val="00055DB2"/>
    <w:rsid w:val="000577D9"/>
    <w:rsid w:val="000579A0"/>
    <w:rsid w:val="00060753"/>
    <w:rsid w:val="00060B62"/>
    <w:rsid w:val="00061283"/>
    <w:rsid w:val="0006231F"/>
    <w:rsid w:val="000627A2"/>
    <w:rsid w:val="000629D7"/>
    <w:rsid w:val="0006325B"/>
    <w:rsid w:val="00063A81"/>
    <w:rsid w:val="0006417A"/>
    <w:rsid w:val="000645F4"/>
    <w:rsid w:val="00065F8F"/>
    <w:rsid w:val="0006649C"/>
    <w:rsid w:val="00066B80"/>
    <w:rsid w:val="00067F50"/>
    <w:rsid w:val="00070830"/>
    <w:rsid w:val="0007424A"/>
    <w:rsid w:val="00074EB7"/>
    <w:rsid w:val="00077C71"/>
    <w:rsid w:val="00077CCC"/>
    <w:rsid w:val="00077E16"/>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5BE8"/>
    <w:rsid w:val="00085D13"/>
    <w:rsid w:val="00086629"/>
    <w:rsid w:val="00087808"/>
    <w:rsid w:val="000879BA"/>
    <w:rsid w:val="0009046F"/>
    <w:rsid w:val="00091FFC"/>
    <w:rsid w:val="00093693"/>
    <w:rsid w:val="00094C56"/>
    <w:rsid w:val="00095627"/>
    <w:rsid w:val="00096BDC"/>
    <w:rsid w:val="000975EC"/>
    <w:rsid w:val="00097C55"/>
    <w:rsid w:val="000A0444"/>
    <w:rsid w:val="000A0472"/>
    <w:rsid w:val="000A0F64"/>
    <w:rsid w:val="000A152E"/>
    <w:rsid w:val="000A20B0"/>
    <w:rsid w:val="000A245A"/>
    <w:rsid w:val="000A4311"/>
    <w:rsid w:val="000A50F9"/>
    <w:rsid w:val="000A6C60"/>
    <w:rsid w:val="000A6F64"/>
    <w:rsid w:val="000A76D7"/>
    <w:rsid w:val="000A78FC"/>
    <w:rsid w:val="000A7978"/>
    <w:rsid w:val="000A7C00"/>
    <w:rsid w:val="000B07FB"/>
    <w:rsid w:val="000B10DF"/>
    <w:rsid w:val="000B163F"/>
    <w:rsid w:val="000B46A2"/>
    <w:rsid w:val="000B6193"/>
    <w:rsid w:val="000B7258"/>
    <w:rsid w:val="000B754A"/>
    <w:rsid w:val="000B76DB"/>
    <w:rsid w:val="000B7CBE"/>
    <w:rsid w:val="000B7EF2"/>
    <w:rsid w:val="000C0262"/>
    <w:rsid w:val="000C02C5"/>
    <w:rsid w:val="000C0E20"/>
    <w:rsid w:val="000C164B"/>
    <w:rsid w:val="000C182C"/>
    <w:rsid w:val="000C18B8"/>
    <w:rsid w:val="000C236F"/>
    <w:rsid w:val="000C2ADE"/>
    <w:rsid w:val="000C2CA7"/>
    <w:rsid w:val="000C3667"/>
    <w:rsid w:val="000C41A6"/>
    <w:rsid w:val="000C41C9"/>
    <w:rsid w:val="000C467B"/>
    <w:rsid w:val="000C4781"/>
    <w:rsid w:val="000C4D58"/>
    <w:rsid w:val="000C572E"/>
    <w:rsid w:val="000C61C7"/>
    <w:rsid w:val="000C6AA2"/>
    <w:rsid w:val="000C6C97"/>
    <w:rsid w:val="000C7BD5"/>
    <w:rsid w:val="000D1DDF"/>
    <w:rsid w:val="000D262B"/>
    <w:rsid w:val="000D2F5C"/>
    <w:rsid w:val="000D2F8A"/>
    <w:rsid w:val="000D3129"/>
    <w:rsid w:val="000D4BBF"/>
    <w:rsid w:val="000D556A"/>
    <w:rsid w:val="000D66BD"/>
    <w:rsid w:val="000D6FB8"/>
    <w:rsid w:val="000E0D38"/>
    <w:rsid w:val="000E1AEC"/>
    <w:rsid w:val="000E1B37"/>
    <w:rsid w:val="000E1FB7"/>
    <w:rsid w:val="000E3195"/>
    <w:rsid w:val="000E35CD"/>
    <w:rsid w:val="000E4F1E"/>
    <w:rsid w:val="000E50F2"/>
    <w:rsid w:val="000E514D"/>
    <w:rsid w:val="000E51E9"/>
    <w:rsid w:val="000E5407"/>
    <w:rsid w:val="000E5979"/>
    <w:rsid w:val="000E68D3"/>
    <w:rsid w:val="000F03FB"/>
    <w:rsid w:val="000F0595"/>
    <w:rsid w:val="000F12B8"/>
    <w:rsid w:val="000F233F"/>
    <w:rsid w:val="000F3118"/>
    <w:rsid w:val="000F352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7219"/>
    <w:rsid w:val="00107DAF"/>
    <w:rsid w:val="001101BB"/>
    <w:rsid w:val="00110FE1"/>
    <w:rsid w:val="0011219D"/>
    <w:rsid w:val="00113F0C"/>
    <w:rsid w:val="001147A4"/>
    <w:rsid w:val="00115CF1"/>
    <w:rsid w:val="001170C6"/>
    <w:rsid w:val="00117137"/>
    <w:rsid w:val="00117AF3"/>
    <w:rsid w:val="001200D6"/>
    <w:rsid w:val="00120360"/>
    <w:rsid w:val="0012068C"/>
    <w:rsid w:val="00120BC7"/>
    <w:rsid w:val="00120CA0"/>
    <w:rsid w:val="0012101A"/>
    <w:rsid w:val="0012202C"/>
    <w:rsid w:val="00122CE1"/>
    <w:rsid w:val="00123976"/>
    <w:rsid w:val="00124629"/>
    <w:rsid w:val="00124DEC"/>
    <w:rsid w:val="00124EFD"/>
    <w:rsid w:val="0012577E"/>
    <w:rsid w:val="001262EF"/>
    <w:rsid w:val="00126583"/>
    <w:rsid w:val="0012732F"/>
    <w:rsid w:val="001307C5"/>
    <w:rsid w:val="00131433"/>
    <w:rsid w:val="0013159F"/>
    <w:rsid w:val="00131EB1"/>
    <w:rsid w:val="00132635"/>
    <w:rsid w:val="0013283A"/>
    <w:rsid w:val="00134190"/>
    <w:rsid w:val="001354E7"/>
    <w:rsid w:val="00135A54"/>
    <w:rsid w:val="00136710"/>
    <w:rsid w:val="001400A0"/>
    <w:rsid w:val="00140982"/>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E3"/>
    <w:rsid w:val="00150453"/>
    <w:rsid w:val="00150A0F"/>
    <w:rsid w:val="00150C10"/>
    <w:rsid w:val="00150D1B"/>
    <w:rsid w:val="00151336"/>
    <w:rsid w:val="00152366"/>
    <w:rsid w:val="00152EC0"/>
    <w:rsid w:val="00153B85"/>
    <w:rsid w:val="001553A8"/>
    <w:rsid w:val="00155FD8"/>
    <w:rsid w:val="0015605D"/>
    <w:rsid w:val="001560EC"/>
    <w:rsid w:val="001561DC"/>
    <w:rsid w:val="00156508"/>
    <w:rsid w:val="0015754D"/>
    <w:rsid w:val="00157B04"/>
    <w:rsid w:val="0016057A"/>
    <w:rsid w:val="00160866"/>
    <w:rsid w:val="00160E97"/>
    <w:rsid w:val="00161774"/>
    <w:rsid w:val="00161E40"/>
    <w:rsid w:val="00161F83"/>
    <w:rsid w:val="00163837"/>
    <w:rsid w:val="00165EAA"/>
    <w:rsid w:val="001665EA"/>
    <w:rsid w:val="00167721"/>
    <w:rsid w:val="001708BE"/>
    <w:rsid w:val="0017098A"/>
    <w:rsid w:val="001716F7"/>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9DA"/>
    <w:rsid w:val="00181FCF"/>
    <w:rsid w:val="00182693"/>
    <w:rsid w:val="001826A0"/>
    <w:rsid w:val="00182705"/>
    <w:rsid w:val="00182DFB"/>
    <w:rsid w:val="00182E38"/>
    <w:rsid w:val="001838E0"/>
    <w:rsid w:val="00183A15"/>
    <w:rsid w:val="00185355"/>
    <w:rsid w:val="00185483"/>
    <w:rsid w:val="00185D52"/>
    <w:rsid w:val="001866BF"/>
    <w:rsid w:val="00186884"/>
    <w:rsid w:val="00187102"/>
    <w:rsid w:val="00187119"/>
    <w:rsid w:val="001878EB"/>
    <w:rsid w:val="0019000C"/>
    <w:rsid w:val="0019030D"/>
    <w:rsid w:val="0019092C"/>
    <w:rsid w:val="00190C7A"/>
    <w:rsid w:val="00190E9E"/>
    <w:rsid w:val="00190F7F"/>
    <w:rsid w:val="0019269B"/>
    <w:rsid w:val="00192F7F"/>
    <w:rsid w:val="001939CB"/>
    <w:rsid w:val="00193F5B"/>
    <w:rsid w:val="00194559"/>
    <w:rsid w:val="001947C1"/>
    <w:rsid w:val="001948EC"/>
    <w:rsid w:val="00194F2A"/>
    <w:rsid w:val="0019508F"/>
    <w:rsid w:val="001953F2"/>
    <w:rsid w:val="0019547E"/>
    <w:rsid w:val="0019734C"/>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B09DF"/>
    <w:rsid w:val="001B1019"/>
    <w:rsid w:val="001B2704"/>
    <w:rsid w:val="001B2F6B"/>
    <w:rsid w:val="001B3657"/>
    <w:rsid w:val="001B3EDD"/>
    <w:rsid w:val="001B43FF"/>
    <w:rsid w:val="001B4478"/>
    <w:rsid w:val="001B4569"/>
    <w:rsid w:val="001B4B99"/>
    <w:rsid w:val="001B5EB4"/>
    <w:rsid w:val="001B68D3"/>
    <w:rsid w:val="001B72AE"/>
    <w:rsid w:val="001B76EB"/>
    <w:rsid w:val="001B7B29"/>
    <w:rsid w:val="001C0B1F"/>
    <w:rsid w:val="001C0C39"/>
    <w:rsid w:val="001C0E0C"/>
    <w:rsid w:val="001C1A1F"/>
    <w:rsid w:val="001C1B4B"/>
    <w:rsid w:val="001C2F21"/>
    <w:rsid w:val="001C321B"/>
    <w:rsid w:val="001C345F"/>
    <w:rsid w:val="001C3C19"/>
    <w:rsid w:val="001C3ED4"/>
    <w:rsid w:val="001C5E6C"/>
    <w:rsid w:val="001C6B3A"/>
    <w:rsid w:val="001C7591"/>
    <w:rsid w:val="001D006E"/>
    <w:rsid w:val="001D0423"/>
    <w:rsid w:val="001D073F"/>
    <w:rsid w:val="001D1020"/>
    <w:rsid w:val="001D1E16"/>
    <w:rsid w:val="001D235D"/>
    <w:rsid w:val="001D2555"/>
    <w:rsid w:val="001D337C"/>
    <w:rsid w:val="001D380D"/>
    <w:rsid w:val="001D65C6"/>
    <w:rsid w:val="001E04E8"/>
    <w:rsid w:val="001E1EE3"/>
    <w:rsid w:val="001E1F20"/>
    <w:rsid w:val="001E394B"/>
    <w:rsid w:val="001E3BCD"/>
    <w:rsid w:val="001E4E84"/>
    <w:rsid w:val="001E4EBC"/>
    <w:rsid w:val="001E55D4"/>
    <w:rsid w:val="001E71B5"/>
    <w:rsid w:val="001E7B18"/>
    <w:rsid w:val="001F15CD"/>
    <w:rsid w:val="001F1F3F"/>
    <w:rsid w:val="001F27B1"/>
    <w:rsid w:val="001F2F00"/>
    <w:rsid w:val="001F348D"/>
    <w:rsid w:val="001F3AE7"/>
    <w:rsid w:val="001F47D0"/>
    <w:rsid w:val="001F5B11"/>
    <w:rsid w:val="001F69E8"/>
    <w:rsid w:val="001F7038"/>
    <w:rsid w:val="00200F31"/>
    <w:rsid w:val="00201B26"/>
    <w:rsid w:val="0020221F"/>
    <w:rsid w:val="00202E67"/>
    <w:rsid w:val="00203AEA"/>
    <w:rsid w:val="00203D33"/>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9FE"/>
    <w:rsid w:val="00216F58"/>
    <w:rsid w:val="00217135"/>
    <w:rsid w:val="0022132D"/>
    <w:rsid w:val="00221D16"/>
    <w:rsid w:val="00221D27"/>
    <w:rsid w:val="00222064"/>
    <w:rsid w:val="00222CAE"/>
    <w:rsid w:val="00223622"/>
    <w:rsid w:val="00223B83"/>
    <w:rsid w:val="00223DAB"/>
    <w:rsid w:val="00225A53"/>
    <w:rsid w:val="00225C88"/>
    <w:rsid w:val="002262C4"/>
    <w:rsid w:val="002264F4"/>
    <w:rsid w:val="00227A81"/>
    <w:rsid w:val="00230A52"/>
    <w:rsid w:val="00231427"/>
    <w:rsid w:val="00231B27"/>
    <w:rsid w:val="002326CA"/>
    <w:rsid w:val="00232934"/>
    <w:rsid w:val="00233057"/>
    <w:rsid w:val="002331EC"/>
    <w:rsid w:val="00234A3D"/>
    <w:rsid w:val="00235ACB"/>
    <w:rsid w:val="00235DEC"/>
    <w:rsid w:val="00236B10"/>
    <w:rsid w:val="00236EEA"/>
    <w:rsid w:val="002372B2"/>
    <w:rsid w:val="002401C8"/>
    <w:rsid w:val="002407C6"/>
    <w:rsid w:val="00240AF3"/>
    <w:rsid w:val="0024142D"/>
    <w:rsid w:val="00241714"/>
    <w:rsid w:val="00241F1E"/>
    <w:rsid w:val="00243D06"/>
    <w:rsid w:val="00244CDD"/>
    <w:rsid w:val="00245302"/>
    <w:rsid w:val="00245D73"/>
    <w:rsid w:val="002460F2"/>
    <w:rsid w:val="002472FE"/>
    <w:rsid w:val="0025030E"/>
    <w:rsid w:val="00250F72"/>
    <w:rsid w:val="002514CA"/>
    <w:rsid w:val="00252675"/>
    <w:rsid w:val="00252FDB"/>
    <w:rsid w:val="00254AAA"/>
    <w:rsid w:val="00255E07"/>
    <w:rsid w:val="002567CD"/>
    <w:rsid w:val="00257287"/>
    <w:rsid w:val="00257322"/>
    <w:rsid w:val="002574ED"/>
    <w:rsid w:val="0025785E"/>
    <w:rsid w:val="00260B9A"/>
    <w:rsid w:val="002612BE"/>
    <w:rsid w:val="002613AC"/>
    <w:rsid w:val="00261D3C"/>
    <w:rsid w:val="00262C42"/>
    <w:rsid w:val="0026349D"/>
    <w:rsid w:val="00265174"/>
    <w:rsid w:val="00266E0E"/>
    <w:rsid w:val="00266FD4"/>
    <w:rsid w:val="002671CC"/>
    <w:rsid w:val="00267241"/>
    <w:rsid w:val="002676FA"/>
    <w:rsid w:val="00270135"/>
    <w:rsid w:val="0027099E"/>
    <w:rsid w:val="002709E7"/>
    <w:rsid w:val="00271222"/>
    <w:rsid w:val="0027369C"/>
    <w:rsid w:val="00273706"/>
    <w:rsid w:val="00274B8F"/>
    <w:rsid w:val="00274D9D"/>
    <w:rsid w:val="00276C42"/>
    <w:rsid w:val="002775A0"/>
    <w:rsid w:val="0027764C"/>
    <w:rsid w:val="00280E55"/>
    <w:rsid w:val="0028141B"/>
    <w:rsid w:val="00282FEC"/>
    <w:rsid w:val="00282FF3"/>
    <w:rsid w:val="0028364E"/>
    <w:rsid w:val="00284655"/>
    <w:rsid w:val="002848CB"/>
    <w:rsid w:val="00285776"/>
    <w:rsid w:val="002858BA"/>
    <w:rsid w:val="0028661B"/>
    <w:rsid w:val="0028686B"/>
    <w:rsid w:val="002912A0"/>
    <w:rsid w:val="0029235D"/>
    <w:rsid w:val="00292574"/>
    <w:rsid w:val="002926A4"/>
    <w:rsid w:val="00292F9A"/>
    <w:rsid w:val="0029396A"/>
    <w:rsid w:val="00293DE2"/>
    <w:rsid w:val="00295E8C"/>
    <w:rsid w:val="00296148"/>
    <w:rsid w:val="0029649C"/>
    <w:rsid w:val="0029771E"/>
    <w:rsid w:val="002A0621"/>
    <w:rsid w:val="002A07B1"/>
    <w:rsid w:val="002A17E0"/>
    <w:rsid w:val="002A21C3"/>
    <w:rsid w:val="002A4823"/>
    <w:rsid w:val="002A50D2"/>
    <w:rsid w:val="002A5245"/>
    <w:rsid w:val="002A55D1"/>
    <w:rsid w:val="002A5C41"/>
    <w:rsid w:val="002A5CF5"/>
    <w:rsid w:val="002A60FB"/>
    <w:rsid w:val="002A63B1"/>
    <w:rsid w:val="002A6EA4"/>
    <w:rsid w:val="002A7839"/>
    <w:rsid w:val="002A7B04"/>
    <w:rsid w:val="002A7E9D"/>
    <w:rsid w:val="002B0F51"/>
    <w:rsid w:val="002B15AC"/>
    <w:rsid w:val="002B19FB"/>
    <w:rsid w:val="002B36C3"/>
    <w:rsid w:val="002B532E"/>
    <w:rsid w:val="002B5525"/>
    <w:rsid w:val="002B5A2E"/>
    <w:rsid w:val="002B5A4B"/>
    <w:rsid w:val="002B61A8"/>
    <w:rsid w:val="002B678E"/>
    <w:rsid w:val="002B68FE"/>
    <w:rsid w:val="002C0BC3"/>
    <w:rsid w:val="002C10D1"/>
    <w:rsid w:val="002C239C"/>
    <w:rsid w:val="002C30B8"/>
    <w:rsid w:val="002C3A5F"/>
    <w:rsid w:val="002C3CEB"/>
    <w:rsid w:val="002C5754"/>
    <w:rsid w:val="002C6BF5"/>
    <w:rsid w:val="002D0C49"/>
    <w:rsid w:val="002D0F70"/>
    <w:rsid w:val="002D2333"/>
    <w:rsid w:val="002D2553"/>
    <w:rsid w:val="002D43A1"/>
    <w:rsid w:val="002D6310"/>
    <w:rsid w:val="002D63D6"/>
    <w:rsid w:val="002D6680"/>
    <w:rsid w:val="002D6EFA"/>
    <w:rsid w:val="002E00CC"/>
    <w:rsid w:val="002E0473"/>
    <w:rsid w:val="002E0BB8"/>
    <w:rsid w:val="002E1197"/>
    <w:rsid w:val="002E1AB7"/>
    <w:rsid w:val="002E1AF1"/>
    <w:rsid w:val="002E24D4"/>
    <w:rsid w:val="002E2A27"/>
    <w:rsid w:val="002E3911"/>
    <w:rsid w:val="002E527B"/>
    <w:rsid w:val="002E5ACF"/>
    <w:rsid w:val="002F06D0"/>
    <w:rsid w:val="002F2CF2"/>
    <w:rsid w:val="002F369F"/>
    <w:rsid w:val="002F3830"/>
    <w:rsid w:val="002F38D7"/>
    <w:rsid w:val="002F42D9"/>
    <w:rsid w:val="002F4929"/>
    <w:rsid w:val="002F5989"/>
    <w:rsid w:val="002F694D"/>
    <w:rsid w:val="002F73F4"/>
    <w:rsid w:val="002F7DD0"/>
    <w:rsid w:val="002F7DDE"/>
    <w:rsid w:val="002F7E97"/>
    <w:rsid w:val="003000FF"/>
    <w:rsid w:val="003006A1"/>
    <w:rsid w:val="003012A2"/>
    <w:rsid w:val="00301499"/>
    <w:rsid w:val="003018B7"/>
    <w:rsid w:val="003020C6"/>
    <w:rsid w:val="00304ACA"/>
    <w:rsid w:val="0030704A"/>
    <w:rsid w:val="003075BC"/>
    <w:rsid w:val="00307E7E"/>
    <w:rsid w:val="00311663"/>
    <w:rsid w:val="003127F4"/>
    <w:rsid w:val="003133C7"/>
    <w:rsid w:val="00313652"/>
    <w:rsid w:val="0031376D"/>
    <w:rsid w:val="003151B5"/>
    <w:rsid w:val="00315AF8"/>
    <w:rsid w:val="00315C91"/>
    <w:rsid w:val="003175F3"/>
    <w:rsid w:val="00317835"/>
    <w:rsid w:val="00317A71"/>
    <w:rsid w:val="00317C72"/>
    <w:rsid w:val="00320ED9"/>
    <w:rsid w:val="003225D9"/>
    <w:rsid w:val="00322AF3"/>
    <w:rsid w:val="0032306C"/>
    <w:rsid w:val="00323146"/>
    <w:rsid w:val="003235CC"/>
    <w:rsid w:val="00324EC4"/>
    <w:rsid w:val="00325427"/>
    <w:rsid w:val="00325668"/>
    <w:rsid w:val="00325823"/>
    <w:rsid w:val="00325E60"/>
    <w:rsid w:val="0032752E"/>
    <w:rsid w:val="0033097A"/>
    <w:rsid w:val="00330C51"/>
    <w:rsid w:val="00330DCC"/>
    <w:rsid w:val="003310D4"/>
    <w:rsid w:val="0033199D"/>
    <w:rsid w:val="00331CFC"/>
    <w:rsid w:val="0033241A"/>
    <w:rsid w:val="00332627"/>
    <w:rsid w:val="00332A87"/>
    <w:rsid w:val="00332E97"/>
    <w:rsid w:val="00332F1F"/>
    <w:rsid w:val="0033535C"/>
    <w:rsid w:val="0033559C"/>
    <w:rsid w:val="0033625F"/>
    <w:rsid w:val="003362C9"/>
    <w:rsid w:val="003379DC"/>
    <w:rsid w:val="00340D7B"/>
    <w:rsid w:val="00341556"/>
    <w:rsid w:val="0034178A"/>
    <w:rsid w:val="003429E0"/>
    <w:rsid w:val="00343A3B"/>
    <w:rsid w:val="00343B7B"/>
    <w:rsid w:val="00343C1E"/>
    <w:rsid w:val="003441F0"/>
    <w:rsid w:val="00346127"/>
    <w:rsid w:val="00346B36"/>
    <w:rsid w:val="0034796D"/>
    <w:rsid w:val="00347CC0"/>
    <w:rsid w:val="003509E6"/>
    <w:rsid w:val="00351237"/>
    <w:rsid w:val="00351946"/>
    <w:rsid w:val="0035210E"/>
    <w:rsid w:val="003521FD"/>
    <w:rsid w:val="00352802"/>
    <w:rsid w:val="00352C0E"/>
    <w:rsid w:val="00353085"/>
    <w:rsid w:val="003535EF"/>
    <w:rsid w:val="003538EF"/>
    <w:rsid w:val="0035515E"/>
    <w:rsid w:val="00355868"/>
    <w:rsid w:val="00355E2C"/>
    <w:rsid w:val="003575B9"/>
    <w:rsid w:val="00357828"/>
    <w:rsid w:val="00357895"/>
    <w:rsid w:val="00357916"/>
    <w:rsid w:val="00357B15"/>
    <w:rsid w:val="00360B19"/>
    <w:rsid w:val="00360FCE"/>
    <w:rsid w:val="0036193E"/>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E91"/>
    <w:rsid w:val="00372FAD"/>
    <w:rsid w:val="00372FD5"/>
    <w:rsid w:val="003731FD"/>
    <w:rsid w:val="003739D8"/>
    <w:rsid w:val="00375433"/>
    <w:rsid w:val="0037552F"/>
    <w:rsid w:val="0037633B"/>
    <w:rsid w:val="00376958"/>
    <w:rsid w:val="00376B25"/>
    <w:rsid w:val="00376C1A"/>
    <w:rsid w:val="00376DE7"/>
    <w:rsid w:val="0037769F"/>
    <w:rsid w:val="0037792A"/>
    <w:rsid w:val="00377C17"/>
    <w:rsid w:val="00377C46"/>
    <w:rsid w:val="003817A9"/>
    <w:rsid w:val="00382BFE"/>
    <w:rsid w:val="0038431A"/>
    <w:rsid w:val="0038547C"/>
    <w:rsid w:val="00385A88"/>
    <w:rsid w:val="00385BA5"/>
    <w:rsid w:val="00386E93"/>
    <w:rsid w:val="00387900"/>
    <w:rsid w:val="00387AF8"/>
    <w:rsid w:val="00387BE8"/>
    <w:rsid w:val="00390065"/>
    <w:rsid w:val="00390A1E"/>
    <w:rsid w:val="00393383"/>
    <w:rsid w:val="00393660"/>
    <w:rsid w:val="003940A4"/>
    <w:rsid w:val="003957B6"/>
    <w:rsid w:val="003958AE"/>
    <w:rsid w:val="00395D43"/>
    <w:rsid w:val="0039618A"/>
    <w:rsid w:val="0039624A"/>
    <w:rsid w:val="0039709D"/>
    <w:rsid w:val="00397213"/>
    <w:rsid w:val="003A00C9"/>
    <w:rsid w:val="003A0258"/>
    <w:rsid w:val="003A08CE"/>
    <w:rsid w:val="003A11C4"/>
    <w:rsid w:val="003A1F69"/>
    <w:rsid w:val="003A58BA"/>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4B3"/>
    <w:rsid w:val="003B693A"/>
    <w:rsid w:val="003B6E18"/>
    <w:rsid w:val="003B7053"/>
    <w:rsid w:val="003B7102"/>
    <w:rsid w:val="003B7EA2"/>
    <w:rsid w:val="003C0862"/>
    <w:rsid w:val="003C0C25"/>
    <w:rsid w:val="003C160A"/>
    <w:rsid w:val="003C2377"/>
    <w:rsid w:val="003C2BBD"/>
    <w:rsid w:val="003C2CE7"/>
    <w:rsid w:val="003C2D62"/>
    <w:rsid w:val="003C3097"/>
    <w:rsid w:val="003C3816"/>
    <w:rsid w:val="003C4234"/>
    <w:rsid w:val="003C5F5E"/>
    <w:rsid w:val="003C5FC2"/>
    <w:rsid w:val="003C6A1E"/>
    <w:rsid w:val="003C6BB7"/>
    <w:rsid w:val="003C7603"/>
    <w:rsid w:val="003D0A88"/>
    <w:rsid w:val="003D12C2"/>
    <w:rsid w:val="003D19A0"/>
    <w:rsid w:val="003D27BD"/>
    <w:rsid w:val="003D3202"/>
    <w:rsid w:val="003D353C"/>
    <w:rsid w:val="003D63C8"/>
    <w:rsid w:val="003D6472"/>
    <w:rsid w:val="003D6A4E"/>
    <w:rsid w:val="003D7756"/>
    <w:rsid w:val="003E19E7"/>
    <w:rsid w:val="003E29B3"/>
    <w:rsid w:val="003E36C0"/>
    <w:rsid w:val="003E3724"/>
    <w:rsid w:val="003E3957"/>
    <w:rsid w:val="003E487B"/>
    <w:rsid w:val="003E5DFE"/>
    <w:rsid w:val="003E5F4F"/>
    <w:rsid w:val="003E6A80"/>
    <w:rsid w:val="003E6EF7"/>
    <w:rsid w:val="003E7F59"/>
    <w:rsid w:val="003F0D8B"/>
    <w:rsid w:val="003F1E6F"/>
    <w:rsid w:val="003F1F9E"/>
    <w:rsid w:val="003F2A93"/>
    <w:rsid w:val="003F3BC1"/>
    <w:rsid w:val="003F3D76"/>
    <w:rsid w:val="003F43E6"/>
    <w:rsid w:val="003F4894"/>
    <w:rsid w:val="003F4DDB"/>
    <w:rsid w:val="003F61E1"/>
    <w:rsid w:val="003F704D"/>
    <w:rsid w:val="003F77FC"/>
    <w:rsid w:val="004000BE"/>
    <w:rsid w:val="00401D3D"/>
    <w:rsid w:val="004020AB"/>
    <w:rsid w:val="004026BA"/>
    <w:rsid w:val="00403038"/>
    <w:rsid w:val="004030D5"/>
    <w:rsid w:val="0040388F"/>
    <w:rsid w:val="00406755"/>
    <w:rsid w:val="004069C5"/>
    <w:rsid w:val="0040709C"/>
    <w:rsid w:val="00407F30"/>
    <w:rsid w:val="00410ECC"/>
    <w:rsid w:val="004116DA"/>
    <w:rsid w:val="004117D6"/>
    <w:rsid w:val="00411834"/>
    <w:rsid w:val="00411963"/>
    <w:rsid w:val="00412A23"/>
    <w:rsid w:val="004149DA"/>
    <w:rsid w:val="00415755"/>
    <w:rsid w:val="004161DE"/>
    <w:rsid w:val="00416211"/>
    <w:rsid w:val="004162D1"/>
    <w:rsid w:val="004167B1"/>
    <w:rsid w:val="0042035D"/>
    <w:rsid w:val="00420604"/>
    <w:rsid w:val="00420841"/>
    <w:rsid w:val="004226AA"/>
    <w:rsid w:val="00422793"/>
    <w:rsid w:val="00423732"/>
    <w:rsid w:val="0042396F"/>
    <w:rsid w:val="00423FCE"/>
    <w:rsid w:val="004259F9"/>
    <w:rsid w:val="00425B31"/>
    <w:rsid w:val="00425BAA"/>
    <w:rsid w:val="0042648D"/>
    <w:rsid w:val="00426957"/>
    <w:rsid w:val="00426976"/>
    <w:rsid w:val="00426D02"/>
    <w:rsid w:val="00427722"/>
    <w:rsid w:val="00427A13"/>
    <w:rsid w:val="00427F4F"/>
    <w:rsid w:val="00430E76"/>
    <w:rsid w:val="00431731"/>
    <w:rsid w:val="00431779"/>
    <w:rsid w:val="00431A2A"/>
    <w:rsid w:val="00431CE6"/>
    <w:rsid w:val="00431F2E"/>
    <w:rsid w:val="00433C39"/>
    <w:rsid w:val="00433C3E"/>
    <w:rsid w:val="00433DA2"/>
    <w:rsid w:val="004343BC"/>
    <w:rsid w:val="00434AC5"/>
    <w:rsid w:val="00437108"/>
    <w:rsid w:val="00437D2F"/>
    <w:rsid w:val="00440246"/>
    <w:rsid w:val="00440912"/>
    <w:rsid w:val="00441588"/>
    <w:rsid w:val="00441CF2"/>
    <w:rsid w:val="0044307B"/>
    <w:rsid w:val="00443B1B"/>
    <w:rsid w:val="00444072"/>
    <w:rsid w:val="004441C7"/>
    <w:rsid w:val="00444204"/>
    <w:rsid w:val="00446A46"/>
    <w:rsid w:val="00446BAE"/>
    <w:rsid w:val="004473E9"/>
    <w:rsid w:val="0045044A"/>
    <w:rsid w:val="004504BB"/>
    <w:rsid w:val="004511AB"/>
    <w:rsid w:val="004511FA"/>
    <w:rsid w:val="004514DB"/>
    <w:rsid w:val="0045235F"/>
    <w:rsid w:val="004533F1"/>
    <w:rsid w:val="00453797"/>
    <w:rsid w:val="00453ABE"/>
    <w:rsid w:val="004542A8"/>
    <w:rsid w:val="004546CE"/>
    <w:rsid w:val="004576E8"/>
    <w:rsid w:val="00457CEE"/>
    <w:rsid w:val="00460794"/>
    <w:rsid w:val="00461DF1"/>
    <w:rsid w:val="00462BA8"/>
    <w:rsid w:val="00463731"/>
    <w:rsid w:val="00463A9F"/>
    <w:rsid w:val="00463CEF"/>
    <w:rsid w:val="00463DEF"/>
    <w:rsid w:val="00464FEE"/>
    <w:rsid w:val="004672B7"/>
    <w:rsid w:val="00467391"/>
    <w:rsid w:val="004706A0"/>
    <w:rsid w:val="004715A8"/>
    <w:rsid w:val="00472190"/>
    <w:rsid w:val="004724BF"/>
    <w:rsid w:val="00472695"/>
    <w:rsid w:val="004729E0"/>
    <w:rsid w:val="00473E9C"/>
    <w:rsid w:val="004744D7"/>
    <w:rsid w:val="00474AAA"/>
    <w:rsid w:val="00474BF7"/>
    <w:rsid w:val="00474D9B"/>
    <w:rsid w:val="00474F62"/>
    <w:rsid w:val="00475E1A"/>
    <w:rsid w:val="004762ED"/>
    <w:rsid w:val="00476F6F"/>
    <w:rsid w:val="00477469"/>
    <w:rsid w:val="004774B6"/>
    <w:rsid w:val="004775E8"/>
    <w:rsid w:val="00477A87"/>
    <w:rsid w:val="0048052E"/>
    <w:rsid w:val="00481888"/>
    <w:rsid w:val="00482BE4"/>
    <w:rsid w:val="0048370B"/>
    <w:rsid w:val="00486750"/>
    <w:rsid w:val="00487EBC"/>
    <w:rsid w:val="00490DDC"/>
    <w:rsid w:val="00490E33"/>
    <w:rsid w:val="00491D56"/>
    <w:rsid w:val="00491D60"/>
    <w:rsid w:val="004947D5"/>
    <w:rsid w:val="0049492A"/>
    <w:rsid w:val="00494CD1"/>
    <w:rsid w:val="00494CDA"/>
    <w:rsid w:val="004957BA"/>
    <w:rsid w:val="0049590A"/>
    <w:rsid w:val="00495CE9"/>
    <w:rsid w:val="004962C7"/>
    <w:rsid w:val="004963CC"/>
    <w:rsid w:val="004970C9"/>
    <w:rsid w:val="00497428"/>
    <w:rsid w:val="00497574"/>
    <w:rsid w:val="004978DC"/>
    <w:rsid w:val="00497B5E"/>
    <w:rsid w:val="004A0C7E"/>
    <w:rsid w:val="004A224A"/>
    <w:rsid w:val="004A28DD"/>
    <w:rsid w:val="004A2F02"/>
    <w:rsid w:val="004A3074"/>
    <w:rsid w:val="004A32DD"/>
    <w:rsid w:val="004A570E"/>
    <w:rsid w:val="004A59B2"/>
    <w:rsid w:val="004A74F3"/>
    <w:rsid w:val="004A7CEC"/>
    <w:rsid w:val="004B06E1"/>
    <w:rsid w:val="004B129A"/>
    <w:rsid w:val="004B24F7"/>
    <w:rsid w:val="004B26C7"/>
    <w:rsid w:val="004B2A91"/>
    <w:rsid w:val="004B31C7"/>
    <w:rsid w:val="004B4BDC"/>
    <w:rsid w:val="004B4D42"/>
    <w:rsid w:val="004B4E10"/>
    <w:rsid w:val="004B612C"/>
    <w:rsid w:val="004B62A5"/>
    <w:rsid w:val="004B7E3E"/>
    <w:rsid w:val="004C0544"/>
    <w:rsid w:val="004C07ED"/>
    <w:rsid w:val="004C1AF9"/>
    <w:rsid w:val="004C228F"/>
    <w:rsid w:val="004C2469"/>
    <w:rsid w:val="004C2585"/>
    <w:rsid w:val="004C279B"/>
    <w:rsid w:val="004C281D"/>
    <w:rsid w:val="004C2E9D"/>
    <w:rsid w:val="004C4513"/>
    <w:rsid w:val="004C4BEC"/>
    <w:rsid w:val="004C5A9B"/>
    <w:rsid w:val="004C7663"/>
    <w:rsid w:val="004C7FC6"/>
    <w:rsid w:val="004D055D"/>
    <w:rsid w:val="004D129E"/>
    <w:rsid w:val="004D25B5"/>
    <w:rsid w:val="004D47B9"/>
    <w:rsid w:val="004D49C8"/>
    <w:rsid w:val="004D5428"/>
    <w:rsid w:val="004D5D5C"/>
    <w:rsid w:val="004D6E67"/>
    <w:rsid w:val="004E00B4"/>
    <w:rsid w:val="004E0963"/>
    <w:rsid w:val="004E0B2F"/>
    <w:rsid w:val="004E1B3F"/>
    <w:rsid w:val="004E21ED"/>
    <w:rsid w:val="004E2A8E"/>
    <w:rsid w:val="004E458C"/>
    <w:rsid w:val="004E70F1"/>
    <w:rsid w:val="004E714B"/>
    <w:rsid w:val="004F000D"/>
    <w:rsid w:val="004F0EC9"/>
    <w:rsid w:val="004F27DD"/>
    <w:rsid w:val="004F40AB"/>
    <w:rsid w:val="004F47F7"/>
    <w:rsid w:val="004F5AD4"/>
    <w:rsid w:val="004F5E74"/>
    <w:rsid w:val="004F7CCB"/>
    <w:rsid w:val="0050050B"/>
    <w:rsid w:val="0050132A"/>
    <w:rsid w:val="00502F3E"/>
    <w:rsid w:val="00503196"/>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208AC"/>
    <w:rsid w:val="00520B14"/>
    <w:rsid w:val="005219BF"/>
    <w:rsid w:val="00521DC2"/>
    <w:rsid w:val="00521EFA"/>
    <w:rsid w:val="0052230A"/>
    <w:rsid w:val="00523237"/>
    <w:rsid w:val="00523A16"/>
    <w:rsid w:val="00523D2D"/>
    <w:rsid w:val="00524432"/>
    <w:rsid w:val="00524822"/>
    <w:rsid w:val="005256BB"/>
    <w:rsid w:val="005256DB"/>
    <w:rsid w:val="00525AC4"/>
    <w:rsid w:val="00525B79"/>
    <w:rsid w:val="005264A5"/>
    <w:rsid w:val="00526D01"/>
    <w:rsid w:val="00531932"/>
    <w:rsid w:val="00531C3D"/>
    <w:rsid w:val="00532EB0"/>
    <w:rsid w:val="005336CE"/>
    <w:rsid w:val="00533CD5"/>
    <w:rsid w:val="00534621"/>
    <w:rsid w:val="00534871"/>
    <w:rsid w:val="00535069"/>
    <w:rsid w:val="00535A60"/>
    <w:rsid w:val="005368AB"/>
    <w:rsid w:val="005372AF"/>
    <w:rsid w:val="00540D5C"/>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70AD"/>
    <w:rsid w:val="00557DCC"/>
    <w:rsid w:val="00561169"/>
    <w:rsid w:val="005617DA"/>
    <w:rsid w:val="00561B18"/>
    <w:rsid w:val="00561F0C"/>
    <w:rsid w:val="005624E0"/>
    <w:rsid w:val="0056329F"/>
    <w:rsid w:val="0056339B"/>
    <w:rsid w:val="00563DF3"/>
    <w:rsid w:val="00564EBB"/>
    <w:rsid w:val="0056580C"/>
    <w:rsid w:val="00565B20"/>
    <w:rsid w:val="00566C79"/>
    <w:rsid w:val="00567966"/>
    <w:rsid w:val="00570169"/>
    <w:rsid w:val="00571FF4"/>
    <w:rsid w:val="005748A1"/>
    <w:rsid w:val="00575001"/>
    <w:rsid w:val="005757C3"/>
    <w:rsid w:val="00580185"/>
    <w:rsid w:val="005809B5"/>
    <w:rsid w:val="005812EF"/>
    <w:rsid w:val="00582010"/>
    <w:rsid w:val="0058254B"/>
    <w:rsid w:val="0058351E"/>
    <w:rsid w:val="005858C5"/>
    <w:rsid w:val="00587914"/>
    <w:rsid w:val="0059181C"/>
    <w:rsid w:val="005921B3"/>
    <w:rsid w:val="005925EC"/>
    <w:rsid w:val="00594F57"/>
    <w:rsid w:val="0059611F"/>
    <w:rsid w:val="005964F5"/>
    <w:rsid w:val="00597224"/>
    <w:rsid w:val="005A0727"/>
    <w:rsid w:val="005A1B7D"/>
    <w:rsid w:val="005A1FB5"/>
    <w:rsid w:val="005A3592"/>
    <w:rsid w:val="005A4082"/>
    <w:rsid w:val="005A46DD"/>
    <w:rsid w:val="005A64FE"/>
    <w:rsid w:val="005B0AAB"/>
    <w:rsid w:val="005B3F91"/>
    <w:rsid w:val="005B409A"/>
    <w:rsid w:val="005B4EB8"/>
    <w:rsid w:val="005B5497"/>
    <w:rsid w:val="005B5790"/>
    <w:rsid w:val="005B5E9D"/>
    <w:rsid w:val="005B5FA3"/>
    <w:rsid w:val="005B5FD3"/>
    <w:rsid w:val="005B633B"/>
    <w:rsid w:val="005B66C5"/>
    <w:rsid w:val="005B6F1B"/>
    <w:rsid w:val="005B711B"/>
    <w:rsid w:val="005C1453"/>
    <w:rsid w:val="005C196C"/>
    <w:rsid w:val="005C1C71"/>
    <w:rsid w:val="005C2CA2"/>
    <w:rsid w:val="005C3064"/>
    <w:rsid w:val="005C3191"/>
    <w:rsid w:val="005C3C86"/>
    <w:rsid w:val="005C4651"/>
    <w:rsid w:val="005C725E"/>
    <w:rsid w:val="005C7653"/>
    <w:rsid w:val="005C7BBF"/>
    <w:rsid w:val="005D019B"/>
    <w:rsid w:val="005D22E9"/>
    <w:rsid w:val="005D3069"/>
    <w:rsid w:val="005D370F"/>
    <w:rsid w:val="005D3730"/>
    <w:rsid w:val="005D3BD1"/>
    <w:rsid w:val="005D40A5"/>
    <w:rsid w:val="005D5D26"/>
    <w:rsid w:val="005D5EBA"/>
    <w:rsid w:val="005E00F5"/>
    <w:rsid w:val="005E0B86"/>
    <w:rsid w:val="005E0FA3"/>
    <w:rsid w:val="005E2F89"/>
    <w:rsid w:val="005E362C"/>
    <w:rsid w:val="005E374E"/>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4197"/>
    <w:rsid w:val="005F4B38"/>
    <w:rsid w:val="005F4C67"/>
    <w:rsid w:val="005F4F12"/>
    <w:rsid w:val="005F5163"/>
    <w:rsid w:val="005F52C6"/>
    <w:rsid w:val="005F541C"/>
    <w:rsid w:val="005F5A77"/>
    <w:rsid w:val="005F6596"/>
    <w:rsid w:val="00601639"/>
    <w:rsid w:val="006024F3"/>
    <w:rsid w:val="006028B7"/>
    <w:rsid w:val="006055FE"/>
    <w:rsid w:val="006067DB"/>
    <w:rsid w:val="006073F9"/>
    <w:rsid w:val="00607F86"/>
    <w:rsid w:val="0061009A"/>
    <w:rsid w:val="00610BC0"/>
    <w:rsid w:val="006114ED"/>
    <w:rsid w:val="0061157C"/>
    <w:rsid w:val="0061282A"/>
    <w:rsid w:val="006131E5"/>
    <w:rsid w:val="006132AE"/>
    <w:rsid w:val="00615427"/>
    <w:rsid w:val="006167B8"/>
    <w:rsid w:val="00617C22"/>
    <w:rsid w:val="00620A9C"/>
    <w:rsid w:val="00620D7C"/>
    <w:rsid w:val="00621A6D"/>
    <w:rsid w:val="00621DB3"/>
    <w:rsid w:val="00621F03"/>
    <w:rsid w:val="00621FED"/>
    <w:rsid w:val="0062265E"/>
    <w:rsid w:val="00622F11"/>
    <w:rsid w:val="00623213"/>
    <w:rsid w:val="006246E4"/>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ADD"/>
    <w:rsid w:val="006373D4"/>
    <w:rsid w:val="00640221"/>
    <w:rsid w:val="006406E5"/>
    <w:rsid w:val="00640B24"/>
    <w:rsid w:val="0064110A"/>
    <w:rsid w:val="006417BC"/>
    <w:rsid w:val="0064185B"/>
    <w:rsid w:val="00641C9C"/>
    <w:rsid w:val="00641EE6"/>
    <w:rsid w:val="00642EB3"/>
    <w:rsid w:val="006441AD"/>
    <w:rsid w:val="006442C8"/>
    <w:rsid w:val="0064476C"/>
    <w:rsid w:val="00644B90"/>
    <w:rsid w:val="00646E32"/>
    <w:rsid w:val="00646E56"/>
    <w:rsid w:val="00647687"/>
    <w:rsid w:val="00651AD8"/>
    <w:rsid w:val="0065230F"/>
    <w:rsid w:val="0065353F"/>
    <w:rsid w:val="006546B9"/>
    <w:rsid w:val="00654B60"/>
    <w:rsid w:val="00655090"/>
    <w:rsid w:val="0065588C"/>
    <w:rsid w:val="00656F58"/>
    <w:rsid w:val="00657727"/>
    <w:rsid w:val="00660B48"/>
    <w:rsid w:val="0066366C"/>
    <w:rsid w:val="006648D1"/>
    <w:rsid w:val="00664E1D"/>
    <w:rsid w:val="00666BA1"/>
    <w:rsid w:val="00667D20"/>
    <w:rsid w:val="006700CB"/>
    <w:rsid w:val="0067011A"/>
    <w:rsid w:val="00670428"/>
    <w:rsid w:val="006708BC"/>
    <w:rsid w:val="00670BF6"/>
    <w:rsid w:val="006721DF"/>
    <w:rsid w:val="00672956"/>
    <w:rsid w:val="00672A20"/>
    <w:rsid w:val="0067345B"/>
    <w:rsid w:val="006734ED"/>
    <w:rsid w:val="00674329"/>
    <w:rsid w:val="00674808"/>
    <w:rsid w:val="00674CE6"/>
    <w:rsid w:val="00674F39"/>
    <w:rsid w:val="00675D53"/>
    <w:rsid w:val="006767DB"/>
    <w:rsid w:val="00676BB6"/>
    <w:rsid w:val="00677279"/>
    <w:rsid w:val="00677979"/>
    <w:rsid w:val="00680232"/>
    <w:rsid w:val="00680316"/>
    <w:rsid w:val="006803A0"/>
    <w:rsid w:val="0068141A"/>
    <w:rsid w:val="00681B55"/>
    <w:rsid w:val="00682088"/>
    <w:rsid w:val="0068303F"/>
    <w:rsid w:val="006830FC"/>
    <w:rsid w:val="00683770"/>
    <w:rsid w:val="00683926"/>
    <w:rsid w:val="00683B58"/>
    <w:rsid w:val="006849D2"/>
    <w:rsid w:val="00685F7C"/>
    <w:rsid w:val="00686A7E"/>
    <w:rsid w:val="00686C41"/>
    <w:rsid w:val="00686CAE"/>
    <w:rsid w:val="00690509"/>
    <w:rsid w:val="00690963"/>
    <w:rsid w:val="00690B95"/>
    <w:rsid w:val="00691156"/>
    <w:rsid w:val="00691601"/>
    <w:rsid w:val="00691CDA"/>
    <w:rsid w:val="00691FAB"/>
    <w:rsid w:val="00693751"/>
    <w:rsid w:val="00693795"/>
    <w:rsid w:val="006937ED"/>
    <w:rsid w:val="00693CE6"/>
    <w:rsid w:val="006940D6"/>
    <w:rsid w:val="0069414F"/>
    <w:rsid w:val="00695005"/>
    <w:rsid w:val="0069571C"/>
    <w:rsid w:val="00695E3A"/>
    <w:rsid w:val="00695E56"/>
    <w:rsid w:val="00696375"/>
    <w:rsid w:val="006965DF"/>
    <w:rsid w:val="00696CA3"/>
    <w:rsid w:val="006A0169"/>
    <w:rsid w:val="006A09A4"/>
    <w:rsid w:val="006A134B"/>
    <w:rsid w:val="006A1957"/>
    <w:rsid w:val="006A21CC"/>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1EDD"/>
    <w:rsid w:val="006C2188"/>
    <w:rsid w:val="006C22E4"/>
    <w:rsid w:val="006C2F5C"/>
    <w:rsid w:val="006C3573"/>
    <w:rsid w:val="006C3593"/>
    <w:rsid w:val="006C4010"/>
    <w:rsid w:val="006C477E"/>
    <w:rsid w:val="006C4EC2"/>
    <w:rsid w:val="006C50D1"/>
    <w:rsid w:val="006C5AD3"/>
    <w:rsid w:val="006C6599"/>
    <w:rsid w:val="006C6D7A"/>
    <w:rsid w:val="006C7F0A"/>
    <w:rsid w:val="006D0350"/>
    <w:rsid w:val="006D0C02"/>
    <w:rsid w:val="006D0F19"/>
    <w:rsid w:val="006D1BE0"/>
    <w:rsid w:val="006D24F7"/>
    <w:rsid w:val="006D2B2B"/>
    <w:rsid w:val="006D2DE9"/>
    <w:rsid w:val="006D35F8"/>
    <w:rsid w:val="006D39A5"/>
    <w:rsid w:val="006D3FB0"/>
    <w:rsid w:val="006D443D"/>
    <w:rsid w:val="006D4512"/>
    <w:rsid w:val="006D46C7"/>
    <w:rsid w:val="006D5E38"/>
    <w:rsid w:val="006D614A"/>
    <w:rsid w:val="006D61AF"/>
    <w:rsid w:val="006D65EC"/>
    <w:rsid w:val="006D6B5E"/>
    <w:rsid w:val="006D6CA1"/>
    <w:rsid w:val="006D7DA7"/>
    <w:rsid w:val="006E08F5"/>
    <w:rsid w:val="006E0EE2"/>
    <w:rsid w:val="006E0FAD"/>
    <w:rsid w:val="006E27D1"/>
    <w:rsid w:val="006E2953"/>
    <w:rsid w:val="006E2CD8"/>
    <w:rsid w:val="006E43D2"/>
    <w:rsid w:val="006E4462"/>
    <w:rsid w:val="006E465C"/>
    <w:rsid w:val="006E4B08"/>
    <w:rsid w:val="006E4EB7"/>
    <w:rsid w:val="006E558B"/>
    <w:rsid w:val="006E753A"/>
    <w:rsid w:val="006E7D59"/>
    <w:rsid w:val="006E7F4D"/>
    <w:rsid w:val="006E7F81"/>
    <w:rsid w:val="006F12A6"/>
    <w:rsid w:val="006F1443"/>
    <w:rsid w:val="006F1C69"/>
    <w:rsid w:val="006F2579"/>
    <w:rsid w:val="006F2855"/>
    <w:rsid w:val="006F2887"/>
    <w:rsid w:val="006F2958"/>
    <w:rsid w:val="006F5439"/>
    <w:rsid w:val="006F713E"/>
    <w:rsid w:val="006F750C"/>
    <w:rsid w:val="006F7EB1"/>
    <w:rsid w:val="00700A36"/>
    <w:rsid w:val="00700AD5"/>
    <w:rsid w:val="00701834"/>
    <w:rsid w:val="007019C6"/>
    <w:rsid w:val="00702B93"/>
    <w:rsid w:val="00702D4F"/>
    <w:rsid w:val="00703D5F"/>
    <w:rsid w:val="007045FC"/>
    <w:rsid w:val="0070488F"/>
    <w:rsid w:val="00704CDE"/>
    <w:rsid w:val="00704CF9"/>
    <w:rsid w:val="00704ECD"/>
    <w:rsid w:val="00705199"/>
    <w:rsid w:val="00705711"/>
    <w:rsid w:val="0070582E"/>
    <w:rsid w:val="00706AAB"/>
    <w:rsid w:val="007073E2"/>
    <w:rsid w:val="0070772C"/>
    <w:rsid w:val="00707EED"/>
    <w:rsid w:val="00710713"/>
    <w:rsid w:val="00710A96"/>
    <w:rsid w:val="00711B38"/>
    <w:rsid w:val="00711F83"/>
    <w:rsid w:val="007123C3"/>
    <w:rsid w:val="0071266E"/>
    <w:rsid w:val="00712C38"/>
    <w:rsid w:val="00712E25"/>
    <w:rsid w:val="007130F7"/>
    <w:rsid w:val="00714183"/>
    <w:rsid w:val="00715CA4"/>
    <w:rsid w:val="00715E75"/>
    <w:rsid w:val="0071691D"/>
    <w:rsid w:val="00720C6C"/>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1957"/>
    <w:rsid w:val="007323E0"/>
    <w:rsid w:val="00732744"/>
    <w:rsid w:val="0073288D"/>
    <w:rsid w:val="00732974"/>
    <w:rsid w:val="00732BB6"/>
    <w:rsid w:val="00733697"/>
    <w:rsid w:val="00733C12"/>
    <w:rsid w:val="00733EF3"/>
    <w:rsid w:val="007356BB"/>
    <w:rsid w:val="00735B0B"/>
    <w:rsid w:val="00735BED"/>
    <w:rsid w:val="0073666D"/>
    <w:rsid w:val="0073669E"/>
    <w:rsid w:val="00736799"/>
    <w:rsid w:val="0073707B"/>
    <w:rsid w:val="00737C67"/>
    <w:rsid w:val="00737D1D"/>
    <w:rsid w:val="00737F76"/>
    <w:rsid w:val="007404A0"/>
    <w:rsid w:val="00741002"/>
    <w:rsid w:val="00741637"/>
    <w:rsid w:val="007418D4"/>
    <w:rsid w:val="00741E81"/>
    <w:rsid w:val="00742121"/>
    <w:rsid w:val="00743353"/>
    <w:rsid w:val="0074467F"/>
    <w:rsid w:val="00744F24"/>
    <w:rsid w:val="0074501E"/>
    <w:rsid w:val="00745868"/>
    <w:rsid w:val="00746472"/>
    <w:rsid w:val="00746CD0"/>
    <w:rsid w:val="00746F76"/>
    <w:rsid w:val="00747C5A"/>
    <w:rsid w:val="00747CD0"/>
    <w:rsid w:val="00751DE7"/>
    <w:rsid w:val="00752CE8"/>
    <w:rsid w:val="00753790"/>
    <w:rsid w:val="0075428A"/>
    <w:rsid w:val="0075561B"/>
    <w:rsid w:val="00760A78"/>
    <w:rsid w:val="007620C8"/>
    <w:rsid w:val="00762317"/>
    <w:rsid w:val="00763C94"/>
    <w:rsid w:val="00764725"/>
    <w:rsid w:val="0076472C"/>
    <w:rsid w:val="00764B6B"/>
    <w:rsid w:val="00764F0C"/>
    <w:rsid w:val="007659EF"/>
    <w:rsid w:val="00766029"/>
    <w:rsid w:val="00766432"/>
    <w:rsid w:val="00766983"/>
    <w:rsid w:val="00767A28"/>
    <w:rsid w:val="00770893"/>
    <w:rsid w:val="007712C3"/>
    <w:rsid w:val="00771D33"/>
    <w:rsid w:val="00771F1C"/>
    <w:rsid w:val="007725DF"/>
    <w:rsid w:val="00772E1A"/>
    <w:rsid w:val="007736D0"/>
    <w:rsid w:val="00773A11"/>
    <w:rsid w:val="00773D01"/>
    <w:rsid w:val="0077411F"/>
    <w:rsid w:val="007754D1"/>
    <w:rsid w:val="007758B8"/>
    <w:rsid w:val="007758CF"/>
    <w:rsid w:val="00775FEC"/>
    <w:rsid w:val="00776317"/>
    <w:rsid w:val="00776B10"/>
    <w:rsid w:val="00776D06"/>
    <w:rsid w:val="00780317"/>
    <w:rsid w:val="007810BC"/>
    <w:rsid w:val="00781EB4"/>
    <w:rsid w:val="007823D7"/>
    <w:rsid w:val="00782941"/>
    <w:rsid w:val="00782E96"/>
    <w:rsid w:val="007844DE"/>
    <w:rsid w:val="007848DA"/>
    <w:rsid w:val="00785A39"/>
    <w:rsid w:val="007861AA"/>
    <w:rsid w:val="00787447"/>
    <w:rsid w:val="0078776F"/>
    <w:rsid w:val="007900EA"/>
    <w:rsid w:val="00790BDA"/>
    <w:rsid w:val="00790CD2"/>
    <w:rsid w:val="0079103F"/>
    <w:rsid w:val="007918A1"/>
    <w:rsid w:val="00792169"/>
    <w:rsid w:val="00793091"/>
    <w:rsid w:val="007943A8"/>
    <w:rsid w:val="007947F4"/>
    <w:rsid w:val="00795FC0"/>
    <w:rsid w:val="007963D7"/>
    <w:rsid w:val="00796527"/>
    <w:rsid w:val="007966D8"/>
    <w:rsid w:val="007975AC"/>
    <w:rsid w:val="00797CF6"/>
    <w:rsid w:val="007A0F7C"/>
    <w:rsid w:val="007A10D6"/>
    <w:rsid w:val="007A1167"/>
    <w:rsid w:val="007A12A7"/>
    <w:rsid w:val="007A14FC"/>
    <w:rsid w:val="007A20A0"/>
    <w:rsid w:val="007A2AD1"/>
    <w:rsid w:val="007A2BE6"/>
    <w:rsid w:val="007A340C"/>
    <w:rsid w:val="007A36E5"/>
    <w:rsid w:val="007A4A3D"/>
    <w:rsid w:val="007A5A11"/>
    <w:rsid w:val="007A6F16"/>
    <w:rsid w:val="007A7512"/>
    <w:rsid w:val="007A752A"/>
    <w:rsid w:val="007A7B6E"/>
    <w:rsid w:val="007A7F7F"/>
    <w:rsid w:val="007A7FD6"/>
    <w:rsid w:val="007B028F"/>
    <w:rsid w:val="007B09DF"/>
    <w:rsid w:val="007B16A1"/>
    <w:rsid w:val="007B2DB6"/>
    <w:rsid w:val="007B300E"/>
    <w:rsid w:val="007B30CA"/>
    <w:rsid w:val="007B3A11"/>
    <w:rsid w:val="007B3AFD"/>
    <w:rsid w:val="007B530F"/>
    <w:rsid w:val="007B567F"/>
    <w:rsid w:val="007B57E8"/>
    <w:rsid w:val="007B65D4"/>
    <w:rsid w:val="007B67FE"/>
    <w:rsid w:val="007B7B2B"/>
    <w:rsid w:val="007B7B34"/>
    <w:rsid w:val="007C204B"/>
    <w:rsid w:val="007C398B"/>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BFC"/>
    <w:rsid w:val="007D5080"/>
    <w:rsid w:val="007D6193"/>
    <w:rsid w:val="007D6B1C"/>
    <w:rsid w:val="007D7A92"/>
    <w:rsid w:val="007E01C5"/>
    <w:rsid w:val="007E0750"/>
    <w:rsid w:val="007E0F2C"/>
    <w:rsid w:val="007E0FAF"/>
    <w:rsid w:val="007E112F"/>
    <w:rsid w:val="007E1C60"/>
    <w:rsid w:val="007E450C"/>
    <w:rsid w:val="007E4A09"/>
    <w:rsid w:val="007E4C9C"/>
    <w:rsid w:val="007E5486"/>
    <w:rsid w:val="007E5B1C"/>
    <w:rsid w:val="007E5F2E"/>
    <w:rsid w:val="007E5FB5"/>
    <w:rsid w:val="007E6196"/>
    <w:rsid w:val="007E6656"/>
    <w:rsid w:val="007E6E12"/>
    <w:rsid w:val="007E70BF"/>
    <w:rsid w:val="007E724E"/>
    <w:rsid w:val="007E735A"/>
    <w:rsid w:val="007E7432"/>
    <w:rsid w:val="007F0085"/>
    <w:rsid w:val="007F080F"/>
    <w:rsid w:val="007F0F01"/>
    <w:rsid w:val="007F155F"/>
    <w:rsid w:val="007F1A99"/>
    <w:rsid w:val="007F22A7"/>
    <w:rsid w:val="007F22ED"/>
    <w:rsid w:val="007F24DA"/>
    <w:rsid w:val="007F3253"/>
    <w:rsid w:val="007F4457"/>
    <w:rsid w:val="007F4DE5"/>
    <w:rsid w:val="007F4F42"/>
    <w:rsid w:val="007F536B"/>
    <w:rsid w:val="007F59CD"/>
    <w:rsid w:val="007F5E48"/>
    <w:rsid w:val="007F6BC7"/>
    <w:rsid w:val="007F7F32"/>
    <w:rsid w:val="00800A70"/>
    <w:rsid w:val="00800DF8"/>
    <w:rsid w:val="008017C2"/>
    <w:rsid w:val="00801E32"/>
    <w:rsid w:val="00801FB7"/>
    <w:rsid w:val="008021FD"/>
    <w:rsid w:val="00802554"/>
    <w:rsid w:val="008026FA"/>
    <w:rsid w:val="00802DB4"/>
    <w:rsid w:val="008036BE"/>
    <w:rsid w:val="00803B18"/>
    <w:rsid w:val="00803B2E"/>
    <w:rsid w:val="00804BA2"/>
    <w:rsid w:val="00804FE6"/>
    <w:rsid w:val="00805224"/>
    <w:rsid w:val="0080556B"/>
    <w:rsid w:val="00805FD6"/>
    <w:rsid w:val="00806809"/>
    <w:rsid w:val="00806ABD"/>
    <w:rsid w:val="00807D00"/>
    <w:rsid w:val="00807EA4"/>
    <w:rsid w:val="00807EB6"/>
    <w:rsid w:val="0081054E"/>
    <w:rsid w:val="008106E3"/>
    <w:rsid w:val="00810F07"/>
    <w:rsid w:val="008115B8"/>
    <w:rsid w:val="008115CF"/>
    <w:rsid w:val="00811E77"/>
    <w:rsid w:val="00812315"/>
    <w:rsid w:val="00813018"/>
    <w:rsid w:val="00814DCA"/>
    <w:rsid w:val="0081539C"/>
    <w:rsid w:val="008154EA"/>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E32"/>
    <w:rsid w:val="00825B9C"/>
    <w:rsid w:val="00827EFF"/>
    <w:rsid w:val="008301C6"/>
    <w:rsid w:val="0083049A"/>
    <w:rsid w:val="008319DA"/>
    <w:rsid w:val="008321A6"/>
    <w:rsid w:val="00833393"/>
    <w:rsid w:val="0083380F"/>
    <w:rsid w:val="00835CF4"/>
    <w:rsid w:val="00835FCE"/>
    <w:rsid w:val="008368DE"/>
    <w:rsid w:val="00840E25"/>
    <w:rsid w:val="0084161A"/>
    <w:rsid w:val="00841962"/>
    <w:rsid w:val="008424BB"/>
    <w:rsid w:val="00842B3A"/>
    <w:rsid w:val="0084383C"/>
    <w:rsid w:val="0084456D"/>
    <w:rsid w:val="00844729"/>
    <w:rsid w:val="008465CB"/>
    <w:rsid w:val="0085127E"/>
    <w:rsid w:val="008517C6"/>
    <w:rsid w:val="00852898"/>
    <w:rsid w:val="00852F4F"/>
    <w:rsid w:val="00853308"/>
    <w:rsid w:val="008534CC"/>
    <w:rsid w:val="00853C98"/>
    <w:rsid w:val="00854103"/>
    <w:rsid w:val="008549B1"/>
    <w:rsid w:val="0085543E"/>
    <w:rsid w:val="008568B0"/>
    <w:rsid w:val="008578F2"/>
    <w:rsid w:val="00857A16"/>
    <w:rsid w:val="008600ED"/>
    <w:rsid w:val="00860366"/>
    <w:rsid w:val="008614BF"/>
    <w:rsid w:val="00861CAB"/>
    <w:rsid w:val="008623CA"/>
    <w:rsid w:val="008627A8"/>
    <w:rsid w:val="00862B21"/>
    <w:rsid w:val="008636D6"/>
    <w:rsid w:val="00863E02"/>
    <w:rsid w:val="0086489A"/>
    <w:rsid w:val="00865274"/>
    <w:rsid w:val="00865301"/>
    <w:rsid w:val="00865940"/>
    <w:rsid w:val="00865EEC"/>
    <w:rsid w:val="00866416"/>
    <w:rsid w:val="00866A27"/>
    <w:rsid w:val="00866C88"/>
    <w:rsid w:val="008701DC"/>
    <w:rsid w:val="00870234"/>
    <w:rsid w:val="0087081B"/>
    <w:rsid w:val="008714CD"/>
    <w:rsid w:val="00872A6E"/>
    <w:rsid w:val="008739F1"/>
    <w:rsid w:val="00873F33"/>
    <w:rsid w:val="00874308"/>
    <w:rsid w:val="00874882"/>
    <w:rsid w:val="00875375"/>
    <w:rsid w:val="008753E4"/>
    <w:rsid w:val="00876C7F"/>
    <w:rsid w:val="00877B13"/>
    <w:rsid w:val="00880AB5"/>
    <w:rsid w:val="00880AD5"/>
    <w:rsid w:val="00880C01"/>
    <w:rsid w:val="00881095"/>
    <w:rsid w:val="00881457"/>
    <w:rsid w:val="00881918"/>
    <w:rsid w:val="00882802"/>
    <w:rsid w:val="00882B0F"/>
    <w:rsid w:val="008836A7"/>
    <w:rsid w:val="00883749"/>
    <w:rsid w:val="00884467"/>
    <w:rsid w:val="00884AB6"/>
    <w:rsid w:val="008872D7"/>
    <w:rsid w:val="00887E8C"/>
    <w:rsid w:val="00887F03"/>
    <w:rsid w:val="00893B95"/>
    <w:rsid w:val="008941B2"/>
    <w:rsid w:val="0089486E"/>
    <w:rsid w:val="00896875"/>
    <w:rsid w:val="008A0D44"/>
    <w:rsid w:val="008A1084"/>
    <w:rsid w:val="008A1C2F"/>
    <w:rsid w:val="008A1DA7"/>
    <w:rsid w:val="008A3884"/>
    <w:rsid w:val="008A3A4B"/>
    <w:rsid w:val="008A41DE"/>
    <w:rsid w:val="008A49EA"/>
    <w:rsid w:val="008A4ABF"/>
    <w:rsid w:val="008A6614"/>
    <w:rsid w:val="008A739F"/>
    <w:rsid w:val="008A790C"/>
    <w:rsid w:val="008B0108"/>
    <w:rsid w:val="008B18E3"/>
    <w:rsid w:val="008B28BB"/>
    <w:rsid w:val="008B3670"/>
    <w:rsid w:val="008B392A"/>
    <w:rsid w:val="008B3E82"/>
    <w:rsid w:val="008B4157"/>
    <w:rsid w:val="008B4A24"/>
    <w:rsid w:val="008B5AFF"/>
    <w:rsid w:val="008B5E0B"/>
    <w:rsid w:val="008B758A"/>
    <w:rsid w:val="008B7CD2"/>
    <w:rsid w:val="008C053C"/>
    <w:rsid w:val="008C0C4F"/>
    <w:rsid w:val="008C0F75"/>
    <w:rsid w:val="008C12F3"/>
    <w:rsid w:val="008C1433"/>
    <w:rsid w:val="008C277A"/>
    <w:rsid w:val="008C561D"/>
    <w:rsid w:val="008C62EC"/>
    <w:rsid w:val="008C7911"/>
    <w:rsid w:val="008C7FAF"/>
    <w:rsid w:val="008D0BE4"/>
    <w:rsid w:val="008D151E"/>
    <w:rsid w:val="008D19DB"/>
    <w:rsid w:val="008D35E2"/>
    <w:rsid w:val="008D41B5"/>
    <w:rsid w:val="008D52D5"/>
    <w:rsid w:val="008D5BE0"/>
    <w:rsid w:val="008D72C3"/>
    <w:rsid w:val="008D7689"/>
    <w:rsid w:val="008D7B10"/>
    <w:rsid w:val="008E04F6"/>
    <w:rsid w:val="008E0FD3"/>
    <w:rsid w:val="008E154C"/>
    <w:rsid w:val="008E1DCB"/>
    <w:rsid w:val="008E2248"/>
    <w:rsid w:val="008E2DF1"/>
    <w:rsid w:val="008E53E7"/>
    <w:rsid w:val="008E5B3B"/>
    <w:rsid w:val="008E63EA"/>
    <w:rsid w:val="008E7537"/>
    <w:rsid w:val="008E7C23"/>
    <w:rsid w:val="008E7F8D"/>
    <w:rsid w:val="008F06E9"/>
    <w:rsid w:val="008F11C4"/>
    <w:rsid w:val="008F2850"/>
    <w:rsid w:val="008F2FC2"/>
    <w:rsid w:val="008F302C"/>
    <w:rsid w:val="008F5D1E"/>
    <w:rsid w:val="008F7242"/>
    <w:rsid w:val="008F75F1"/>
    <w:rsid w:val="00901457"/>
    <w:rsid w:val="0090233F"/>
    <w:rsid w:val="009026E8"/>
    <w:rsid w:val="009030B0"/>
    <w:rsid w:val="009031E3"/>
    <w:rsid w:val="009035A2"/>
    <w:rsid w:val="00904674"/>
    <w:rsid w:val="00904BC9"/>
    <w:rsid w:val="009056C1"/>
    <w:rsid w:val="009056CA"/>
    <w:rsid w:val="009057C5"/>
    <w:rsid w:val="009062BB"/>
    <w:rsid w:val="0090688C"/>
    <w:rsid w:val="0090766E"/>
    <w:rsid w:val="0091038B"/>
    <w:rsid w:val="009119D3"/>
    <w:rsid w:val="00911F66"/>
    <w:rsid w:val="00913377"/>
    <w:rsid w:val="0091344B"/>
    <w:rsid w:val="00913DCC"/>
    <w:rsid w:val="0091409A"/>
    <w:rsid w:val="00914F27"/>
    <w:rsid w:val="00917B21"/>
    <w:rsid w:val="00922101"/>
    <w:rsid w:val="00922A4B"/>
    <w:rsid w:val="009236F3"/>
    <w:rsid w:val="009241BB"/>
    <w:rsid w:val="009244F7"/>
    <w:rsid w:val="00924C0D"/>
    <w:rsid w:val="00924D94"/>
    <w:rsid w:val="0092501B"/>
    <w:rsid w:val="0092587F"/>
    <w:rsid w:val="00925AA4"/>
    <w:rsid w:val="009272CD"/>
    <w:rsid w:val="00930FA6"/>
    <w:rsid w:val="009313BE"/>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491"/>
    <w:rsid w:val="00945752"/>
    <w:rsid w:val="00946910"/>
    <w:rsid w:val="00947C38"/>
    <w:rsid w:val="00952CCB"/>
    <w:rsid w:val="00953BFE"/>
    <w:rsid w:val="009550BB"/>
    <w:rsid w:val="00955992"/>
    <w:rsid w:val="00956067"/>
    <w:rsid w:val="00956244"/>
    <w:rsid w:val="00956304"/>
    <w:rsid w:val="00957342"/>
    <w:rsid w:val="009574F2"/>
    <w:rsid w:val="00957921"/>
    <w:rsid w:val="00957A1E"/>
    <w:rsid w:val="00957A76"/>
    <w:rsid w:val="00957C00"/>
    <w:rsid w:val="00960719"/>
    <w:rsid w:val="009619CF"/>
    <w:rsid w:val="00962255"/>
    <w:rsid w:val="00962B2A"/>
    <w:rsid w:val="00963502"/>
    <w:rsid w:val="00963C96"/>
    <w:rsid w:val="009648EF"/>
    <w:rsid w:val="00966B53"/>
    <w:rsid w:val="00970584"/>
    <w:rsid w:val="00970F04"/>
    <w:rsid w:val="0097114B"/>
    <w:rsid w:val="00971F36"/>
    <w:rsid w:val="0097358B"/>
    <w:rsid w:val="00973A12"/>
    <w:rsid w:val="00973AFE"/>
    <w:rsid w:val="00974614"/>
    <w:rsid w:val="00975084"/>
    <w:rsid w:val="009754BC"/>
    <w:rsid w:val="0097588C"/>
    <w:rsid w:val="00975C3B"/>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43E2"/>
    <w:rsid w:val="0098582B"/>
    <w:rsid w:val="009861EE"/>
    <w:rsid w:val="0098795A"/>
    <w:rsid w:val="0099011B"/>
    <w:rsid w:val="009912E2"/>
    <w:rsid w:val="00991536"/>
    <w:rsid w:val="009918AC"/>
    <w:rsid w:val="0099255B"/>
    <w:rsid w:val="00992A8B"/>
    <w:rsid w:val="00993DAC"/>
    <w:rsid w:val="00995D5C"/>
    <w:rsid w:val="00996373"/>
    <w:rsid w:val="00996A23"/>
    <w:rsid w:val="00997046"/>
    <w:rsid w:val="00997585"/>
    <w:rsid w:val="00997705"/>
    <w:rsid w:val="009A0B7F"/>
    <w:rsid w:val="009A0E19"/>
    <w:rsid w:val="009A1215"/>
    <w:rsid w:val="009A1416"/>
    <w:rsid w:val="009A20E4"/>
    <w:rsid w:val="009A2440"/>
    <w:rsid w:val="009A2448"/>
    <w:rsid w:val="009A28F6"/>
    <w:rsid w:val="009A3D15"/>
    <w:rsid w:val="009A3E6F"/>
    <w:rsid w:val="009A3FD3"/>
    <w:rsid w:val="009A4ECB"/>
    <w:rsid w:val="009A5F3F"/>
    <w:rsid w:val="009A6007"/>
    <w:rsid w:val="009A6F9E"/>
    <w:rsid w:val="009A714A"/>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B2A"/>
    <w:rsid w:val="009C44E4"/>
    <w:rsid w:val="009C4614"/>
    <w:rsid w:val="009C477B"/>
    <w:rsid w:val="009C4918"/>
    <w:rsid w:val="009C4C78"/>
    <w:rsid w:val="009C5124"/>
    <w:rsid w:val="009C5C5F"/>
    <w:rsid w:val="009C5F2B"/>
    <w:rsid w:val="009C6454"/>
    <w:rsid w:val="009C6CF4"/>
    <w:rsid w:val="009C78E3"/>
    <w:rsid w:val="009C7FFB"/>
    <w:rsid w:val="009D04DD"/>
    <w:rsid w:val="009D2018"/>
    <w:rsid w:val="009D2D62"/>
    <w:rsid w:val="009D31CD"/>
    <w:rsid w:val="009D4E10"/>
    <w:rsid w:val="009D4F53"/>
    <w:rsid w:val="009D7121"/>
    <w:rsid w:val="009E01B8"/>
    <w:rsid w:val="009E0843"/>
    <w:rsid w:val="009E1B79"/>
    <w:rsid w:val="009E1E84"/>
    <w:rsid w:val="009E38AF"/>
    <w:rsid w:val="009E52A8"/>
    <w:rsid w:val="009E673E"/>
    <w:rsid w:val="009E68BE"/>
    <w:rsid w:val="009E7AD8"/>
    <w:rsid w:val="009F096D"/>
    <w:rsid w:val="009F0C01"/>
    <w:rsid w:val="009F0D41"/>
    <w:rsid w:val="009F161C"/>
    <w:rsid w:val="009F1BC2"/>
    <w:rsid w:val="009F28F7"/>
    <w:rsid w:val="009F29A4"/>
    <w:rsid w:val="009F2BAF"/>
    <w:rsid w:val="009F2F18"/>
    <w:rsid w:val="009F3041"/>
    <w:rsid w:val="009F4EF8"/>
    <w:rsid w:val="009F4F1B"/>
    <w:rsid w:val="009F5872"/>
    <w:rsid w:val="009F6DB9"/>
    <w:rsid w:val="009F740D"/>
    <w:rsid w:val="009F77F0"/>
    <w:rsid w:val="00A0020E"/>
    <w:rsid w:val="00A00370"/>
    <w:rsid w:val="00A00F88"/>
    <w:rsid w:val="00A016A7"/>
    <w:rsid w:val="00A01A02"/>
    <w:rsid w:val="00A01AAA"/>
    <w:rsid w:val="00A01AED"/>
    <w:rsid w:val="00A02007"/>
    <w:rsid w:val="00A024F6"/>
    <w:rsid w:val="00A02A8B"/>
    <w:rsid w:val="00A02B6A"/>
    <w:rsid w:val="00A030F3"/>
    <w:rsid w:val="00A03652"/>
    <w:rsid w:val="00A041C7"/>
    <w:rsid w:val="00A04E7C"/>
    <w:rsid w:val="00A04F4B"/>
    <w:rsid w:val="00A06B3C"/>
    <w:rsid w:val="00A10003"/>
    <w:rsid w:val="00A1084E"/>
    <w:rsid w:val="00A114CC"/>
    <w:rsid w:val="00A11A74"/>
    <w:rsid w:val="00A11CB9"/>
    <w:rsid w:val="00A12CC9"/>
    <w:rsid w:val="00A1449A"/>
    <w:rsid w:val="00A1467F"/>
    <w:rsid w:val="00A14921"/>
    <w:rsid w:val="00A151D1"/>
    <w:rsid w:val="00A168C8"/>
    <w:rsid w:val="00A169B5"/>
    <w:rsid w:val="00A17386"/>
    <w:rsid w:val="00A20173"/>
    <w:rsid w:val="00A2060D"/>
    <w:rsid w:val="00A20B21"/>
    <w:rsid w:val="00A216B7"/>
    <w:rsid w:val="00A21708"/>
    <w:rsid w:val="00A2186A"/>
    <w:rsid w:val="00A23EF0"/>
    <w:rsid w:val="00A242AE"/>
    <w:rsid w:val="00A242EA"/>
    <w:rsid w:val="00A2504D"/>
    <w:rsid w:val="00A271B3"/>
    <w:rsid w:val="00A272BE"/>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529A"/>
    <w:rsid w:val="00A376F0"/>
    <w:rsid w:val="00A40262"/>
    <w:rsid w:val="00A40A77"/>
    <w:rsid w:val="00A4137E"/>
    <w:rsid w:val="00A41515"/>
    <w:rsid w:val="00A41B5E"/>
    <w:rsid w:val="00A41E03"/>
    <w:rsid w:val="00A42042"/>
    <w:rsid w:val="00A422C2"/>
    <w:rsid w:val="00A4281A"/>
    <w:rsid w:val="00A42CF9"/>
    <w:rsid w:val="00A44228"/>
    <w:rsid w:val="00A44C41"/>
    <w:rsid w:val="00A44E81"/>
    <w:rsid w:val="00A45529"/>
    <w:rsid w:val="00A461E4"/>
    <w:rsid w:val="00A466AC"/>
    <w:rsid w:val="00A47031"/>
    <w:rsid w:val="00A4765E"/>
    <w:rsid w:val="00A50604"/>
    <w:rsid w:val="00A50E26"/>
    <w:rsid w:val="00A522C3"/>
    <w:rsid w:val="00A52331"/>
    <w:rsid w:val="00A524A6"/>
    <w:rsid w:val="00A543D2"/>
    <w:rsid w:val="00A54818"/>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390A"/>
    <w:rsid w:val="00A64A9B"/>
    <w:rsid w:val="00A65A66"/>
    <w:rsid w:val="00A65C73"/>
    <w:rsid w:val="00A66BBF"/>
    <w:rsid w:val="00A66EE4"/>
    <w:rsid w:val="00A67235"/>
    <w:rsid w:val="00A675DD"/>
    <w:rsid w:val="00A70197"/>
    <w:rsid w:val="00A70585"/>
    <w:rsid w:val="00A70C52"/>
    <w:rsid w:val="00A715EF"/>
    <w:rsid w:val="00A71BDB"/>
    <w:rsid w:val="00A720B7"/>
    <w:rsid w:val="00A72719"/>
    <w:rsid w:val="00A72BCC"/>
    <w:rsid w:val="00A731D2"/>
    <w:rsid w:val="00A73387"/>
    <w:rsid w:val="00A73405"/>
    <w:rsid w:val="00A745D3"/>
    <w:rsid w:val="00A7462D"/>
    <w:rsid w:val="00A7498A"/>
    <w:rsid w:val="00A7549A"/>
    <w:rsid w:val="00A77A0F"/>
    <w:rsid w:val="00A77F4A"/>
    <w:rsid w:val="00A8029C"/>
    <w:rsid w:val="00A8033D"/>
    <w:rsid w:val="00A826A0"/>
    <w:rsid w:val="00A826B4"/>
    <w:rsid w:val="00A82E1A"/>
    <w:rsid w:val="00A8395A"/>
    <w:rsid w:val="00A83B75"/>
    <w:rsid w:val="00A83C7E"/>
    <w:rsid w:val="00A8418C"/>
    <w:rsid w:val="00A84DA1"/>
    <w:rsid w:val="00A85676"/>
    <w:rsid w:val="00A856DD"/>
    <w:rsid w:val="00A85812"/>
    <w:rsid w:val="00A864D8"/>
    <w:rsid w:val="00A871C9"/>
    <w:rsid w:val="00A87FE2"/>
    <w:rsid w:val="00A91271"/>
    <w:rsid w:val="00A915C6"/>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E4D"/>
    <w:rsid w:val="00AA219A"/>
    <w:rsid w:val="00AA25C5"/>
    <w:rsid w:val="00AA2B8B"/>
    <w:rsid w:val="00AA2C6E"/>
    <w:rsid w:val="00AA3F84"/>
    <w:rsid w:val="00AA4886"/>
    <w:rsid w:val="00AA53A0"/>
    <w:rsid w:val="00AA66A3"/>
    <w:rsid w:val="00AB0440"/>
    <w:rsid w:val="00AB05C9"/>
    <w:rsid w:val="00AB0BC7"/>
    <w:rsid w:val="00AB1831"/>
    <w:rsid w:val="00AB20AB"/>
    <w:rsid w:val="00AB2AAE"/>
    <w:rsid w:val="00AB2C0F"/>
    <w:rsid w:val="00AB40A0"/>
    <w:rsid w:val="00AB5528"/>
    <w:rsid w:val="00AB5538"/>
    <w:rsid w:val="00AB6656"/>
    <w:rsid w:val="00AB7178"/>
    <w:rsid w:val="00AB74C3"/>
    <w:rsid w:val="00AC0E72"/>
    <w:rsid w:val="00AC1250"/>
    <w:rsid w:val="00AC21C6"/>
    <w:rsid w:val="00AC3779"/>
    <w:rsid w:val="00AC422A"/>
    <w:rsid w:val="00AC7B7D"/>
    <w:rsid w:val="00AD0097"/>
    <w:rsid w:val="00AD020B"/>
    <w:rsid w:val="00AD08E5"/>
    <w:rsid w:val="00AD0D5C"/>
    <w:rsid w:val="00AD0E15"/>
    <w:rsid w:val="00AD129B"/>
    <w:rsid w:val="00AD1A96"/>
    <w:rsid w:val="00AD1E0A"/>
    <w:rsid w:val="00AD1E79"/>
    <w:rsid w:val="00AD2385"/>
    <w:rsid w:val="00AD2A29"/>
    <w:rsid w:val="00AD2FCF"/>
    <w:rsid w:val="00AD4728"/>
    <w:rsid w:val="00AD4CC2"/>
    <w:rsid w:val="00AD4F89"/>
    <w:rsid w:val="00AD52A6"/>
    <w:rsid w:val="00AD5AEC"/>
    <w:rsid w:val="00AD669D"/>
    <w:rsid w:val="00AD6AD0"/>
    <w:rsid w:val="00AD6D0B"/>
    <w:rsid w:val="00AD7537"/>
    <w:rsid w:val="00AD7D99"/>
    <w:rsid w:val="00AD7DC1"/>
    <w:rsid w:val="00AE07B8"/>
    <w:rsid w:val="00AE2C85"/>
    <w:rsid w:val="00AE328A"/>
    <w:rsid w:val="00AE42F5"/>
    <w:rsid w:val="00AE4721"/>
    <w:rsid w:val="00AE4C09"/>
    <w:rsid w:val="00AE541B"/>
    <w:rsid w:val="00AE56D5"/>
    <w:rsid w:val="00AE7160"/>
    <w:rsid w:val="00AE747B"/>
    <w:rsid w:val="00AE7B1F"/>
    <w:rsid w:val="00AE7DE5"/>
    <w:rsid w:val="00AF03C7"/>
    <w:rsid w:val="00AF12DE"/>
    <w:rsid w:val="00AF1653"/>
    <w:rsid w:val="00AF3BF4"/>
    <w:rsid w:val="00AF3F93"/>
    <w:rsid w:val="00AF50BF"/>
    <w:rsid w:val="00AF5369"/>
    <w:rsid w:val="00AF5612"/>
    <w:rsid w:val="00AF5C96"/>
    <w:rsid w:val="00AF63E5"/>
    <w:rsid w:val="00AF71D2"/>
    <w:rsid w:val="00B01410"/>
    <w:rsid w:val="00B01BCB"/>
    <w:rsid w:val="00B02B2E"/>
    <w:rsid w:val="00B02C5B"/>
    <w:rsid w:val="00B02DE3"/>
    <w:rsid w:val="00B037AA"/>
    <w:rsid w:val="00B03A9D"/>
    <w:rsid w:val="00B054BA"/>
    <w:rsid w:val="00B06804"/>
    <w:rsid w:val="00B07908"/>
    <w:rsid w:val="00B1005C"/>
    <w:rsid w:val="00B11D8C"/>
    <w:rsid w:val="00B11F8A"/>
    <w:rsid w:val="00B122A0"/>
    <w:rsid w:val="00B1256E"/>
    <w:rsid w:val="00B13430"/>
    <w:rsid w:val="00B13787"/>
    <w:rsid w:val="00B14007"/>
    <w:rsid w:val="00B1445B"/>
    <w:rsid w:val="00B15801"/>
    <w:rsid w:val="00B1644E"/>
    <w:rsid w:val="00B16CE0"/>
    <w:rsid w:val="00B17AAC"/>
    <w:rsid w:val="00B215D0"/>
    <w:rsid w:val="00B21F73"/>
    <w:rsid w:val="00B22D7B"/>
    <w:rsid w:val="00B2329D"/>
    <w:rsid w:val="00B2343E"/>
    <w:rsid w:val="00B23822"/>
    <w:rsid w:val="00B23A32"/>
    <w:rsid w:val="00B23A60"/>
    <w:rsid w:val="00B23D80"/>
    <w:rsid w:val="00B240C7"/>
    <w:rsid w:val="00B243A4"/>
    <w:rsid w:val="00B245B8"/>
    <w:rsid w:val="00B24ABA"/>
    <w:rsid w:val="00B255C5"/>
    <w:rsid w:val="00B25FB2"/>
    <w:rsid w:val="00B26A92"/>
    <w:rsid w:val="00B26D21"/>
    <w:rsid w:val="00B274C7"/>
    <w:rsid w:val="00B27A36"/>
    <w:rsid w:val="00B27DB4"/>
    <w:rsid w:val="00B30861"/>
    <w:rsid w:val="00B33676"/>
    <w:rsid w:val="00B33FC9"/>
    <w:rsid w:val="00B34D05"/>
    <w:rsid w:val="00B34E1F"/>
    <w:rsid w:val="00B35194"/>
    <w:rsid w:val="00B36C97"/>
    <w:rsid w:val="00B37179"/>
    <w:rsid w:val="00B37AAA"/>
    <w:rsid w:val="00B37AE6"/>
    <w:rsid w:val="00B37C41"/>
    <w:rsid w:val="00B4078C"/>
    <w:rsid w:val="00B40D0C"/>
    <w:rsid w:val="00B4191E"/>
    <w:rsid w:val="00B42C6D"/>
    <w:rsid w:val="00B43418"/>
    <w:rsid w:val="00B437D7"/>
    <w:rsid w:val="00B43B49"/>
    <w:rsid w:val="00B4461F"/>
    <w:rsid w:val="00B4481E"/>
    <w:rsid w:val="00B4516E"/>
    <w:rsid w:val="00B455D4"/>
    <w:rsid w:val="00B45B27"/>
    <w:rsid w:val="00B45D33"/>
    <w:rsid w:val="00B467ED"/>
    <w:rsid w:val="00B46CB0"/>
    <w:rsid w:val="00B50BD3"/>
    <w:rsid w:val="00B5139A"/>
    <w:rsid w:val="00B52315"/>
    <w:rsid w:val="00B5294D"/>
    <w:rsid w:val="00B52D8A"/>
    <w:rsid w:val="00B52DAB"/>
    <w:rsid w:val="00B539BE"/>
    <w:rsid w:val="00B53BAE"/>
    <w:rsid w:val="00B54336"/>
    <w:rsid w:val="00B5549D"/>
    <w:rsid w:val="00B56011"/>
    <w:rsid w:val="00B56EF5"/>
    <w:rsid w:val="00B57C19"/>
    <w:rsid w:val="00B6070A"/>
    <w:rsid w:val="00B60A02"/>
    <w:rsid w:val="00B62043"/>
    <w:rsid w:val="00B63682"/>
    <w:rsid w:val="00B65787"/>
    <w:rsid w:val="00B6581A"/>
    <w:rsid w:val="00B6639E"/>
    <w:rsid w:val="00B670E5"/>
    <w:rsid w:val="00B70807"/>
    <w:rsid w:val="00B70890"/>
    <w:rsid w:val="00B71CAF"/>
    <w:rsid w:val="00B7320C"/>
    <w:rsid w:val="00B73271"/>
    <w:rsid w:val="00B73752"/>
    <w:rsid w:val="00B73779"/>
    <w:rsid w:val="00B749EC"/>
    <w:rsid w:val="00B74DA0"/>
    <w:rsid w:val="00B74DFD"/>
    <w:rsid w:val="00B7733B"/>
    <w:rsid w:val="00B809A7"/>
    <w:rsid w:val="00B80F85"/>
    <w:rsid w:val="00B81CDF"/>
    <w:rsid w:val="00B824E7"/>
    <w:rsid w:val="00B829D3"/>
    <w:rsid w:val="00B82D29"/>
    <w:rsid w:val="00B83B7C"/>
    <w:rsid w:val="00B83EBF"/>
    <w:rsid w:val="00B84F90"/>
    <w:rsid w:val="00B85A66"/>
    <w:rsid w:val="00B86E92"/>
    <w:rsid w:val="00B90370"/>
    <w:rsid w:val="00B90F3B"/>
    <w:rsid w:val="00B91053"/>
    <w:rsid w:val="00B91270"/>
    <w:rsid w:val="00B916F3"/>
    <w:rsid w:val="00B92397"/>
    <w:rsid w:val="00B92EB5"/>
    <w:rsid w:val="00B92EEB"/>
    <w:rsid w:val="00B9309E"/>
    <w:rsid w:val="00B93544"/>
    <w:rsid w:val="00B94A45"/>
    <w:rsid w:val="00B957C1"/>
    <w:rsid w:val="00B95A58"/>
    <w:rsid w:val="00B95A9E"/>
    <w:rsid w:val="00B9625A"/>
    <w:rsid w:val="00B96795"/>
    <w:rsid w:val="00B96958"/>
    <w:rsid w:val="00B974A4"/>
    <w:rsid w:val="00B9752D"/>
    <w:rsid w:val="00B979F7"/>
    <w:rsid w:val="00BA01C1"/>
    <w:rsid w:val="00BA0438"/>
    <w:rsid w:val="00BA06FA"/>
    <w:rsid w:val="00BA0A23"/>
    <w:rsid w:val="00BA33A9"/>
    <w:rsid w:val="00BA3460"/>
    <w:rsid w:val="00BA39C2"/>
    <w:rsid w:val="00BA4B61"/>
    <w:rsid w:val="00BA5BDA"/>
    <w:rsid w:val="00BA5EB3"/>
    <w:rsid w:val="00BA5F1E"/>
    <w:rsid w:val="00BA6D44"/>
    <w:rsid w:val="00BA6F31"/>
    <w:rsid w:val="00BA7782"/>
    <w:rsid w:val="00BB0472"/>
    <w:rsid w:val="00BB134D"/>
    <w:rsid w:val="00BB2F5F"/>
    <w:rsid w:val="00BB3D35"/>
    <w:rsid w:val="00BB3DB6"/>
    <w:rsid w:val="00BB4B53"/>
    <w:rsid w:val="00BB4D5A"/>
    <w:rsid w:val="00BB6658"/>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3541"/>
    <w:rsid w:val="00BD4652"/>
    <w:rsid w:val="00BD4A8F"/>
    <w:rsid w:val="00BD513D"/>
    <w:rsid w:val="00BD5EDD"/>
    <w:rsid w:val="00BD62A2"/>
    <w:rsid w:val="00BD6A96"/>
    <w:rsid w:val="00BD6BF0"/>
    <w:rsid w:val="00BD74B1"/>
    <w:rsid w:val="00BE0172"/>
    <w:rsid w:val="00BE037A"/>
    <w:rsid w:val="00BE112A"/>
    <w:rsid w:val="00BE17E6"/>
    <w:rsid w:val="00BE17EB"/>
    <w:rsid w:val="00BE187B"/>
    <w:rsid w:val="00BE1D6C"/>
    <w:rsid w:val="00BE27CF"/>
    <w:rsid w:val="00BE2C4B"/>
    <w:rsid w:val="00BE2D7E"/>
    <w:rsid w:val="00BE3EAD"/>
    <w:rsid w:val="00BE4084"/>
    <w:rsid w:val="00BE40C9"/>
    <w:rsid w:val="00BE4426"/>
    <w:rsid w:val="00BE540B"/>
    <w:rsid w:val="00BE6364"/>
    <w:rsid w:val="00BE6576"/>
    <w:rsid w:val="00BE7433"/>
    <w:rsid w:val="00BE7CB6"/>
    <w:rsid w:val="00BF048F"/>
    <w:rsid w:val="00BF159A"/>
    <w:rsid w:val="00BF1A2A"/>
    <w:rsid w:val="00BF1EEF"/>
    <w:rsid w:val="00BF1FCA"/>
    <w:rsid w:val="00BF44FB"/>
    <w:rsid w:val="00BF5160"/>
    <w:rsid w:val="00BF7494"/>
    <w:rsid w:val="00BF7FF6"/>
    <w:rsid w:val="00C00650"/>
    <w:rsid w:val="00C00E23"/>
    <w:rsid w:val="00C012C4"/>
    <w:rsid w:val="00C021BB"/>
    <w:rsid w:val="00C026F9"/>
    <w:rsid w:val="00C037A3"/>
    <w:rsid w:val="00C03932"/>
    <w:rsid w:val="00C03D86"/>
    <w:rsid w:val="00C04D79"/>
    <w:rsid w:val="00C0626D"/>
    <w:rsid w:val="00C06879"/>
    <w:rsid w:val="00C06B98"/>
    <w:rsid w:val="00C06DE4"/>
    <w:rsid w:val="00C110FB"/>
    <w:rsid w:val="00C1171A"/>
    <w:rsid w:val="00C1312A"/>
    <w:rsid w:val="00C138FD"/>
    <w:rsid w:val="00C143CD"/>
    <w:rsid w:val="00C14B68"/>
    <w:rsid w:val="00C15480"/>
    <w:rsid w:val="00C166E5"/>
    <w:rsid w:val="00C204EF"/>
    <w:rsid w:val="00C21013"/>
    <w:rsid w:val="00C234F7"/>
    <w:rsid w:val="00C23824"/>
    <w:rsid w:val="00C23B84"/>
    <w:rsid w:val="00C24599"/>
    <w:rsid w:val="00C264D9"/>
    <w:rsid w:val="00C2655A"/>
    <w:rsid w:val="00C269D6"/>
    <w:rsid w:val="00C26F6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50DE"/>
    <w:rsid w:val="00C35A85"/>
    <w:rsid w:val="00C36498"/>
    <w:rsid w:val="00C36C08"/>
    <w:rsid w:val="00C36CF8"/>
    <w:rsid w:val="00C36FF2"/>
    <w:rsid w:val="00C37183"/>
    <w:rsid w:val="00C373FF"/>
    <w:rsid w:val="00C40E5E"/>
    <w:rsid w:val="00C412AD"/>
    <w:rsid w:val="00C418F0"/>
    <w:rsid w:val="00C419F7"/>
    <w:rsid w:val="00C42040"/>
    <w:rsid w:val="00C4313B"/>
    <w:rsid w:val="00C435AB"/>
    <w:rsid w:val="00C44016"/>
    <w:rsid w:val="00C45F01"/>
    <w:rsid w:val="00C4698C"/>
    <w:rsid w:val="00C516F1"/>
    <w:rsid w:val="00C5207F"/>
    <w:rsid w:val="00C52604"/>
    <w:rsid w:val="00C52AC9"/>
    <w:rsid w:val="00C52D21"/>
    <w:rsid w:val="00C53FC7"/>
    <w:rsid w:val="00C54C93"/>
    <w:rsid w:val="00C5509F"/>
    <w:rsid w:val="00C5543B"/>
    <w:rsid w:val="00C573B1"/>
    <w:rsid w:val="00C600EE"/>
    <w:rsid w:val="00C60567"/>
    <w:rsid w:val="00C611F9"/>
    <w:rsid w:val="00C6294C"/>
    <w:rsid w:val="00C62B06"/>
    <w:rsid w:val="00C62DF8"/>
    <w:rsid w:val="00C62E03"/>
    <w:rsid w:val="00C64192"/>
    <w:rsid w:val="00C647CB"/>
    <w:rsid w:val="00C651FF"/>
    <w:rsid w:val="00C66BB7"/>
    <w:rsid w:val="00C67D33"/>
    <w:rsid w:val="00C72D39"/>
    <w:rsid w:val="00C72EB7"/>
    <w:rsid w:val="00C7351D"/>
    <w:rsid w:val="00C73A25"/>
    <w:rsid w:val="00C73D60"/>
    <w:rsid w:val="00C747F2"/>
    <w:rsid w:val="00C752EB"/>
    <w:rsid w:val="00C75878"/>
    <w:rsid w:val="00C75BD1"/>
    <w:rsid w:val="00C76BBB"/>
    <w:rsid w:val="00C7713E"/>
    <w:rsid w:val="00C776FE"/>
    <w:rsid w:val="00C779D4"/>
    <w:rsid w:val="00C77B57"/>
    <w:rsid w:val="00C77C0E"/>
    <w:rsid w:val="00C80125"/>
    <w:rsid w:val="00C809C6"/>
    <w:rsid w:val="00C81430"/>
    <w:rsid w:val="00C83899"/>
    <w:rsid w:val="00C8569F"/>
    <w:rsid w:val="00C86377"/>
    <w:rsid w:val="00C86829"/>
    <w:rsid w:val="00C86A4F"/>
    <w:rsid w:val="00C86DA3"/>
    <w:rsid w:val="00C871F5"/>
    <w:rsid w:val="00C879EA"/>
    <w:rsid w:val="00C87EBA"/>
    <w:rsid w:val="00C9135D"/>
    <w:rsid w:val="00C914F8"/>
    <w:rsid w:val="00C9209C"/>
    <w:rsid w:val="00C9319C"/>
    <w:rsid w:val="00C935F6"/>
    <w:rsid w:val="00C95234"/>
    <w:rsid w:val="00C971B3"/>
    <w:rsid w:val="00C9788C"/>
    <w:rsid w:val="00C97C59"/>
    <w:rsid w:val="00CA047B"/>
    <w:rsid w:val="00CA06A9"/>
    <w:rsid w:val="00CA08E3"/>
    <w:rsid w:val="00CA0C2B"/>
    <w:rsid w:val="00CA2734"/>
    <w:rsid w:val="00CA37CC"/>
    <w:rsid w:val="00CA418B"/>
    <w:rsid w:val="00CA42DE"/>
    <w:rsid w:val="00CA52C0"/>
    <w:rsid w:val="00CA5C69"/>
    <w:rsid w:val="00CB12E9"/>
    <w:rsid w:val="00CB16E0"/>
    <w:rsid w:val="00CB1766"/>
    <w:rsid w:val="00CB1E90"/>
    <w:rsid w:val="00CB1EB4"/>
    <w:rsid w:val="00CB328F"/>
    <w:rsid w:val="00CB3573"/>
    <w:rsid w:val="00CB364D"/>
    <w:rsid w:val="00CB3A38"/>
    <w:rsid w:val="00CB3B10"/>
    <w:rsid w:val="00CB425D"/>
    <w:rsid w:val="00CB4831"/>
    <w:rsid w:val="00CB5DBA"/>
    <w:rsid w:val="00CB5FBD"/>
    <w:rsid w:val="00CB7F2D"/>
    <w:rsid w:val="00CC16EE"/>
    <w:rsid w:val="00CC1763"/>
    <w:rsid w:val="00CC21F6"/>
    <w:rsid w:val="00CC2600"/>
    <w:rsid w:val="00CC4526"/>
    <w:rsid w:val="00CC4B0F"/>
    <w:rsid w:val="00CC4B86"/>
    <w:rsid w:val="00CC5A1A"/>
    <w:rsid w:val="00CC5EA6"/>
    <w:rsid w:val="00CC6B67"/>
    <w:rsid w:val="00CC6CE2"/>
    <w:rsid w:val="00CC70C2"/>
    <w:rsid w:val="00CC71C7"/>
    <w:rsid w:val="00CC759C"/>
    <w:rsid w:val="00CD0363"/>
    <w:rsid w:val="00CD171A"/>
    <w:rsid w:val="00CD1CCA"/>
    <w:rsid w:val="00CD2B43"/>
    <w:rsid w:val="00CD33A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633C"/>
    <w:rsid w:val="00CE6C1C"/>
    <w:rsid w:val="00CE7B3F"/>
    <w:rsid w:val="00CE7C81"/>
    <w:rsid w:val="00CF0D83"/>
    <w:rsid w:val="00CF0EF2"/>
    <w:rsid w:val="00CF234B"/>
    <w:rsid w:val="00CF3BB6"/>
    <w:rsid w:val="00CF40C5"/>
    <w:rsid w:val="00CF47E5"/>
    <w:rsid w:val="00CF5B2D"/>
    <w:rsid w:val="00CF6964"/>
    <w:rsid w:val="00CF6AA3"/>
    <w:rsid w:val="00CF732A"/>
    <w:rsid w:val="00D00533"/>
    <w:rsid w:val="00D00540"/>
    <w:rsid w:val="00D0083A"/>
    <w:rsid w:val="00D00AA4"/>
    <w:rsid w:val="00D01406"/>
    <w:rsid w:val="00D015A7"/>
    <w:rsid w:val="00D0250E"/>
    <w:rsid w:val="00D0423A"/>
    <w:rsid w:val="00D04A90"/>
    <w:rsid w:val="00D05D7C"/>
    <w:rsid w:val="00D06573"/>
    <w:rsid w:val="00D06EF2"/>
    <w:rsid w:val="00D07131"/>
    <w:rsid w:val="00D07526"/>
    <w:rsid w:val="00D07E3B"/>
    <w:rsid w:val="00D1233D"/>
    <w:rsid w:val="00D123CF"/>
    <w:rsid w:val="00D1308F"/>
    <w:rsid w:val="00D13678"/>
    <w:rsid w:val="00D1460D"/>
    <w:rsid w:val="00D14B1E"/>
    <w:rsid w:val="00D150F9"/>
    <w:rsid w:val="00D152F0"/>
    <w:rsid w:val="00D1550B"/>
    <w:rsid w:val="00D166CC"/>
    <w:rsid w:val="00D17E05"/>
    <w:rsid w:val="00D17F23"/>
    <w:rsid w:val="00D2058A"/>
    <w:rsid w:val="00D207B2"/>
    <w:rsid w:val="00D2106D"/>
    <w:rsid w:val="00D216CF"/>
    <w:rsid w:val="00D220F4"/>
    <w:rsid w:val="00D22B49"/>
    <w:rsid w:val="00D22C80"/>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344A"/>
    <w:rsid w:val="00D3355A"/>
    <w:rsid w:val="00D34CA3"/>
    <w:rsid w:val="00D35AA2"/>
    <w:rsid w:val="00D362BE"/>
    <w:rsid w:val="00D36BE9"/>
    <w:rsid w:val="00D3722A"/>
    <w:rsid w:val="00D37579"/>
    <w:rsid w:val="00D379CE"/>
    <w:rsid w:val="00D4006F"/>
    <w:rsid w:val="00D40B0A"/>
    <w:rsid w:val="00D42ACE"/>
    <w:rsid w:val="00D43F58"/>
    <w:rsid w:val="00D4457A"/>
    <w:rsid w:val="00D45734"/>
    <w:rsid w:val="00D45F69"/>
    <w:rsid w:val="00D46172"/>
    <w:rsid w:val="00D46610"/>
    <w:rsid w:val="00D46D5A"/>
    <w:rsid w:val="00D47282"/>
    <w:rsid w:val="00D47829"/>
    <w:rsid w:val="00D47E7C"/>
    <w:rsid w:val="00D50AD1"/>
    <w:rsid w:val="00D542A9"/>
    <w:rsid w:val="00D54789"/>
    <w:rsid w:val="00D54F6A"/>
    <w:rsid w:val="00D5501F"/>
    <w:rsid w:val="00D55807"/>
    <w:rsid w:val="00D56540"/>
    <w:rsid w:val="00D56BA3"/>
    <w:rsid w:val="00D57242"/>
    <w:rsid w:val="00D57F64"/>
    <w:rsid w:val="00D604C4"/>
    <w:rsid w:val="00D605E1"/>
    <w:rsid w:val="00D624DF"/>
    <w:rsid w:val="00D635F6"/>
    <w:rsid w:val="00D63645"/>
    <w:rsid w:val="00D63929"/>
    <w:rsid w:val="00D63C1C"/>
    <w:rsid w:val="00D63E1C"/>
    <w:rsid w:val="00D6421D"/>
    <w:rsid w:val="00D645E0"/>
    <w:rsid w:val="00D65124"/>
    <w:rsid w:val="00D65231"/>
    <w:rsid w:val="00D65507"/>
    <w:rsid w:val="00D6599A"/>
    <w:rsid w:val="00D660C7"/>
    <w:rsid w:val="00D66534"/>
    <w:rsid w:val="00D66977"/>
    <w:rsid w:val="00D669A4"/>
    <w:rsid w:val="00D66E91"/>
    <w:rsid w:val="00D66EFA"/>
    <w:rsid w:val="00D67C8A"/>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7016"/>
    <w:rsid w:val="00D77153"/>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524"/>
    <w:rsid w:val="00D928A3"/>
    <w:rsid w:val="00D93A74"/>
    <w:rsid w:val="00D9440E"/>
    <w:rsid w:val="00D95433"/>
    <w:rsid w:val="00D95689"/>
    <w:rsid w:val="00D956B6"/>
    <w:rsid w:val="00D95F43"/>
    <w:rsid w:val="00D9772E"/>
    <w:rsid w:val="00DA07B1"/>
    <w:rsid w:val="00DA0DC8"/>
    <w:rsid w:val="00DA17B0"/>
    <w:rsid w:val="00DA27C6"/>
    <w:rsid w:val="00DA2C00"/>
    <w:rsid w:val="00DA33EC"/>
    <w:rsid w:val="00DA3B79"/>
    <w:rsid w:val="00DA3F09"/>
    <w:rsid w:val="00DA48B0"/>
    <w:rsid w:val="00DA5E1F"/>
    <w:rsid w:val="00DA6D82"/>
    <w:rsid w:val="00DA7E29"/>
    <w:rsid w:val="00DB06D2"/>
    <w:rsid w:val="00DB1330"/>
    <w:rsid w:val="00DB169C"/>
    <w:rsid w:val="00DB180E"/>
    <w:rsid w:val="00DB19FA"/>
    <w:rsid w:val="00DB21E9"/>
    <w:rsid w:val="00DB27AF"/>
    <w:rsid w:val="00DB292F"/>
    <w:rsid w:val="00DB3608"/>
    <w:rsid w:val="00DB3966"/>
    <w:rsid w:val="00DB3F0F"/>
    <w:rsid w:val="00DB597B"/>
    <w:rsid w:val="00DB5A3F"/>
    <w:rsid w:val="00DB6496"/>
    <w:rsid w:val="00DB78EC"/>
    <w:rsid w:val="00DC124A"/>
    <w:rsid w:val="00DC2393"/>
    <w:rsid w:val="00DC23B0"/>
    <w:rsid w:val="00DC2AD7"/>
    <w:rsid w:val="00DC2CDA"/>
    <w:rsid w:val="00DC5A4C"/>
    <w:rsid w:val="00DC6EBF"/>
    <w:rsid w:val="00DD0581"/>
    <w:rsid w:val="00DD085F"/>
    <w:rsid w:val="00DD19C3"/>
    <w:rsid w:val="00DD3483"/>
    <w:rsid w:val="00DD40A3"/>
    <w:rsid w:val="00DD4C6C"/>
    <w:rsid w:val="00DD4D17"/>
    <w:rsid w:val="00DD5846"/>
    <w:rsid w:val="00DD620A"/>
    <w:rsid w:val="00DD6AAC"/>
    <w:rsid w:val="00DD7392"/>
    <w:rsid w:val="00DE0462"/>
    <w:rsid w:val="00DE10A6"/>
    <w:rsid w:val="00DE11D6"/>
    <w:rsid w:val="00DE1AEE"/>
    <w:rsid w:val="00DE2212"/>
    <w:rsid w:val="00DE2457"/>
    <w:rsid w:val="00DE2796"/>
    <w:rsid w:val="00DE2C8D"/>
    <w:rsid w:val="00DE5E69"/>
    <w:rsid w:val="00DE610C"/>
    <w:rsid w:val="00DE6776"/>
    <w:rsid w:val="00DE6C81"/>
    <w:rsid w:val="00DE7B73"/>
    <w:rsid w:val="00DE7CEB"/>
    <w:rsid w:val="00DE7F13"/>
    <w:rsid w:val="00DF06C4"/>
    <w:rsid w:val="00DF1212"/>
    <w:rsid w:val="00DF12DD"/>
    <w:rsid w:val="00DF1A38"/>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4119"/>
    <w:rsid w:val="00E04A8B"/>
    <w:rsid w:val="00E0592D"/>
    <w:rsid w:val="00E05B90"/>
    <w:rsid w:val="00E05BF7"/>
    <w:rsid w:val="00E06224"/>
    <w:rsid w:val="00E06316"/>
    <w:rsid w:val="00E06B80"/>
    <w:rsid w:val="00E06E46"/>
    <w:rsid w:val="00E10EA2"/>
    <w:rsid w:val="00E10F8D"/>
    <w:rsid w:val="00E114D9"/>
    <w:rsid w:val="00E11EF2"/>
    <w:rsid w:val="00E126BB"/>
    <w:rsid w:val="00E1305B"/>
    <w:rsid w:val="00E134A9"/>
    <w:rsid w:val="00E135F9"/>
    <w:rsid w:val="00E136F7"/>
    <w:rsid w:val="00E13771"/>
    <w:rsid w:val="00E140FF"/>
    <w:rsid w:val="00E14AED"/>
    <w:rsid w:val="00E14D31"/>
    <w:rsid w:val="00E150E0"/>
    <w:rsid w:val="00E155F6"/>
    <w:rsid w:val="00E167A2"/>
    <w:rsid w:val="00E2108D"/>
    <w:rsid w:val="00E214F0"/>
    <w:rsid w:val="00E21F9F"/>
    <w:rsid w:val="00E220EA"/>
    <w:rsid w:val="00E2262C"/>
    <w:rsid w:val="00E2294C"/>
    <w:rsid w:val="00E22E16"/>
    <w:rsid w:val="00E23054"/>
    <w:rsid w:val="00E236F6"/>
    <w:rsid w:val="00E237A8"/>
    <w:rsid w:val="00E24D59"/>
    <w:rsid w:val="00E24F7C"/>
    <w:rsid w:val="00E25852"/>
    <w:rsid w:val="00E259D4"/>
    <w:rsid w:val="00E25B67"/>
    <w:rsid w:val="00E25F3E"/>
    <w:rsid w:val="00E25FDB"/>
    <w:rsid w:val="00E26DDA"/>
    <w:rsid w:val="00E30009"/>
    <w:rsid w:val="00E30B9B"/>
    <w:rsid w:val="00E30FF3"/>
    <w:rsid w:val="00E3151F"/>
    <w:rsid w:val="00E31BA9"/>
    <w:rsid w:val="00E31DD1"/>
    <w:rsid w:val="00E31E1C"/>
    <w:rsid w:val="00E31E48"/>
    <w:rsid w:val="00E337C4"/>
    <w:rsid w:val="00E337E8"/>
    <w:rsid w:val="00E339C0"/>
    <w:rsid w:val="00E33A8F"/>
    <w:rsid w:val="00E34AA2"/>
    <w:rsid w:val="00E35486"/>
    <w:rsid w:val="00E35A3A"/>
    <w:rsid w:val="00E37FAF"/>
    <w:rsid w:val="00E4090B"/>
    <w:rsid w:val="00E40ABB"/>
    <w:rsid w:val="00E416FB"/>
    <w:rsid w:val="00E419BD"/>
    <w:rsid w:val="00E41F06"/>
    <w:rsid w:val="00E422DC"/>
    <w:rsid w:val="00E42B30"/>
    <w:rsid w:val="00E42DA2"/>
    <w:rsid w:val="00E44CAD"/>
    <w:rsid w:val="00E4596A"/>
    <w:rsid w:val="00E45E6B"/>
    <w:rsid w:val="00E465FE"/>
    <w:rsid w:val="00E46B19"/>
    <w:rsid w:val="00E476B7"/>
    <w:rsid w:val="00E47A35"/>
    <w:rsid w:val="00E50167"/>
    <w:rsid w:val="00E5097C"/>
    <w:rsid w:val="00E51DDA"/>
    <w:rsid w:val="00E52A08"/>
    <w:rsid w:val="00E5361B"/>
    <w:rsid w:val="00E5366E"/>
    <w:rsid w:val="00E54925"/>
    <w:rsid w:val="00E57188"/>
    <w:rsid w:val="00E604A4"/>
    <w:rsid w:val="00E609FD"/>
    <w:rsid w:val="00E61C4E"/>
    <w:rsid w:val="00E62147"/>
    <w:rsid w:val="00E631DE"/>
    <w:rsid w:val="00E63872"/>
    <w:rsid w:val="00E63C6C"/>
    <w:rsid w:val="00E63F87"/>
    <w:rsid w:val="00E6527E"/>
    <w:rsid w:val="00E65A41"/>
    <w:rsid w:val="00E70C65"/>
    <w:rsid w:val="00E710C9"/>
    <w:rsid w:val="00E71666"/>
    <w:rsid w:val="00E71676"/>
    <w:rsid w:val="00E724E4"/>
    <w:rsid w:val="00E73155"/>
    <w:rsid w:val="00E73312"/>
    <w:rsid w:val="00E735D4"/>
    <w:rsid w:val="00E73AFD"/>
    <w:rsid w:val="00E7411D"/>
    <w:rsid w:val="00E7483A"/>
    <w:rsid w:val="00E7525A"/>
    <w:rsid w:val="00E76439"/>
    <w:rsid w:val="00E76936"/>
    <w:rsid w:val="00E76CBC"/>
    <w:rsid w:val="00E77D98"/>
    <w:rsid w:val="00E77EE6"/>
    <w:rsid w:val="00E80317"/>
    <w:rsid w:val="00E80877"/>
    <w:rsid w:val="00E810DA"/>
    <w:rsid w:val="00E81E0D"/>
    <w:rsid w:val="00E829FE"/>
    <w:rsid w:val="00E82B29"/>
    <w:rsid w:val="00E82B62"/>
    <w:rsid w:val="00E841D8"/>
    <w:rsid w:val="00E850A8"/>
    <w:rsid w:val="00E858D9"/>
    <w:rsid w:val="00E85DC1"/>
    <w:rsid w:val="00E862F4"/>
    <w:rsid w:val="00E9032B"/>
    <w:rsid w:val="00E90393"/>
    <w:rsid w:val="00E90B5E"/>
    <w:rsid w:val="00E92DE1"/>
    <w:rsid w:val="00E936A7"/>
    <w:rsid w:val="00E93717"/>
    <w:rsid w:val="00E94339"/>
    <w:rsid w:val="00E944FD"/>
    <w:rsid w:val="00E94FA2"/>
    <w:rsid w:val="00E94FDF"/>
    <w:rsid w:val="00E9546A"/>
    <w:rsid w:val="00E95563"/>
    <w:rsid w:val="00E97CCA"/>
    <w:rsid w:val="00E97E2B"/>
    <w:rsid w:val="00EA0177"/>
    <w:rsid w:val="00EA0D5B"/>
    <w:rsid w:val="00EA224E"/>
    <w:rsid w:val="00EA3FF6"/>
    <w:rsid w:val="00EA6DC0"/>
    <w:rsid w:val="00EA7FBE"/>
    <w:rsid w:val="00EB0C5B"/>
    <w:rsid w:val="00EB159B"/>
    <w:rsid w:val="00EB2033"/>
    <w:rsid w:val="00EB2481"/>
    <w:rsid w:val="00EB257B"/>
    <w:rsid w:val="00EB2615"/>
    <w:rsid w:val="00EB2A1F"/>
    <w:rsid w:val="00EB2D88"/>
    <w:rsid w:val="00EB370F"/>
    <w:rsid w:val="00EB404A"/>
    <w:rsid w:val="00EB5234"/>
    <w:rsid w:val="00EB610E"/>
    <w:rsid w:val="00EB722E"/>
    <w:rsid w:val="00EC0E72"/>
    <w:rsid w:val="00EC2028"/>
    <w:rsid w:val="00EC2317"/>
    <w:rsid w:val="00EC25BA"/>
    <w:rsid w:val="00EC2990"/>
    <w:rsid w:val="00EC2A4D"/>
    <w:rsid w:val="00EC43F0"/>
    <w:rsid w:val="00EC4BBD"/>
    <w:rsid w:val="00EC4FBB"/>
    <w:rsid w:val="00EC61E5"/>
    <w:rsid w:val="00EC63BD"/>
    <w:rsid w:val="00EC6654"/>
    <w:rsid w:val="00EC67A3"/>
    <w:rsid w:val="00EC7EEF"/>
    <w:rsid w:val="00ED0E87"/>
    <w:rsid w:val="00ED1037"/>
    <w:rsid w:val="00ED11BA"/>
    <w:rsid w:val="00ED1764"/>
    <w:rsid w:val="00ED200B"/>
    <w:rsid w:val="00ED2520"/>
    <w:rsid w:val="00ED2E12"/>
    <w:rsid w:val="00ED3EDC"/>
    <w:rsid w:val="00ED4F03"/>
    <w:rsid w:val="00ED52B2"/>
    <w:rsid w:val="00ED552A"/>
    <w:rsid w:val="00ED56DC"/>
    <w:rsid w:val="00EE0ADC"/>
    <w:rsid w:val="00EE173D"/>
    <w:rsid w:val="00EE231A"/>
    <w:rsid w:val="00EE24D6"/>
    <w:rsid w:val="00EE289F"/>
    <w:rsid w:val="00EE59C6"/>
    <w:rsid w:val="00EE69B9"/>
    <w:rsid w:val="00EE75E5"/>
    <w:rsid w:val="00EF0066"/>
    <w:rsid w:val="00EF1864"/>
    <w:rsid w:val="00EF26B4"/>
    <w:rsid w:val="00EF2732"/>
    <w:rsid w:val="00EF33BF"/>
    <w:rsid w:val="00EF41F1"/>
    <w:rsid w:val="00EF491E"/>
    <w:rsid w:val="00EF50F3"/>
    <w:rsid w:val="00EF6E6D"/>
    <w:rsid w:val="00EF775A"/>
    <w:rsid w:val="00EF7A66"/>
    <w:rsid w:val="00F00020"/>
    <w:rsid w:val="00F00DA4"/>
    <w:rsid w:val="00F01A7F"/>
    <w:rsid w:val="00F02E36"/>
    <w:rsid w:val="00F03426"/>
    <w:rsid w:val="00F04707"/>
    <w:rsid w:val="00F04ACD"/>
    <w:rsid w:val="00F04D5B"/>
    <w:rsid w:val="00F0539D"/>
    <w:rsid w:val="00F0571B"/>
    <w:rsid w:val="00F0635E"/>
    <w:rsid w:val="00F071CC"/>
    <w:rsid w:val="00F07867"/>
    <w:rsid w:val="00F10181"/>
    <w:rsid w:val="00F107A8"/>
    <w:rsid w:val="00F10F01"/>
    <w:rsid w:val="00F110F6"/>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41D"/>
    <w:rsid w:val="00F22AEB"/>
    <w:rsid w:val="00F22AFE"/>
    <w:rsid w:val="00F23754"/>
    <w:rsid w:val="00F237A4"/>
    <w:rsid w:val="00F23F6D"/>
    <w:rsid w:val="00F24087"/>
    <w:rsid w:val="00F243AE"/>
    <w:rsid w:val="00F24A5E"/>
    <w:rsid w:val="00F265F6"/>
    <w:rsid w:val="00F26653"/>
    <w:rsid w:val="00F27291"/>
    <w:rsid w:val="00F2770C"/>
    <w:rsid w:val="00F31113"/>
    <w:rsid w:val="00F314C0"/>
    <w:rsid w:val="00F31E5C"/>
    <w:rsid w:val="00F32084"/>
    <w:rsid w:val="00F32457"/>
    <w:rsid w:val="00F32541"/>
    <w:rsid w:val="00F3254D"/>
    <w:rsid w:val="00F32569"/>
    <w:rsid w:val="00F33889"/>
    <w:rsid w:val="00F351D3"/>
    <w:rsid w:val="00F357FA"/>
    <w:rsid w:val="00F35C22"/>
    <w:rsid w:val="00F377FB"/>
    <w:rsid w:val="00F37FE3"/>
    <w:rsid w:val="00F40306"/>
    <w:rsid w:val="00F41337"/>
    <w:rsid w:val="00F4140B"/>
    <w:rsid w:val="00F41940"/>
    <w:rsid w:val="00F43E13"/>
    <w:rsid w:val="00F44405"/>
    <w:rsid w:val="00F44796"/>
    <w:rsid w:val="00F44D8E"/>
    <w:rsid w:val="00F46255"/>
    <w:rsid w:val="00F47DC5"/>
    <w:rsid w:val="00F50A23"/>
    <w:rsid w:val="00F50E9F"/>
    <w:rsid w:val="00F518F3"/>
    <w:rsid w:val="00F5367B"/>
    <w:rsid w:val="00F54B12"/>
    <w:rsid w:val="00F55403"/>
    <w:rsid w:val="00F55934"/>
    <w:rsid w:val="00F5608F"/>
    <w:rsid w:val="00F6027C"/>
    <w:rsid w:val="00F60DAD"/>
    <w:rsid w:val="00F60DE0"/>
    <w:rsid w:val="00F617DE"/>
    <w:rsid w:val="00F6194D"/>
    <w:rsid w:val="00F61F8E"/>
    <w:rsid w:val="00F62233"/>
    <w:rsid w:val="00F6251B"/>
    <w:rsid w:val="00F626C6"/>
    <w:rsid w:val="00F62CF6"/>
    <w:rsid w:val="00F63405"/>
    <w:rsid w:val="00F63C7A"/>
    <w:rsid w:val="00F64156"/>
    <w:rsid w:val="00F6576A"/>
    <w:rsid w:val="00F65925"/>
    <w:rsid w:val="00F66924"/>
    <w:rsid w:val="00F66F13"/>
    <w:rsid w:val="00F66FA6"/>
    <w:rsid w:val="00F67BD1"/>
    <w:rsid w:val="00F70293"/>
    <w:rsid w:val="00F708A1"/>
    <w:rsid w:val="00F70C8A"/>
    <w:rsid w:val="00F71087"/>
    <w:rsid w:val="00F71242"/>
    <w:rsid w:val="00F71C01"/>
    <w:rsid w:val="00F7246A"/>
    <w:rsid w:val="00F73A04"/>
    <w:rsid w:val="00F74DE7"/>
    <w:rsid w:val="00F74E5A"/>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535"/>
    <w:rsid w:val="00F916C9"/>
    <w:rsid w:val="00F91915"/>
    <w:rsid w:val="00F921C0"/>
    <w:rsid w:val="00F92282"/>
    <w:rsid w:val="00F9337A"/>
    <w:rsid w:val="00F944B3"/>
    <w:rsid w:val="00F962B4"/>
    <w:rsid w:val="00F96CF3"/>
    <w:rsid w:val="00F972B0"/>
    <w:rsid w:val="00FA0210"/>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CD7"/>
    <w:rsid w:val="00FB3FD6"/>
    <w:rsid w:val="00FB4545"/>
    <w:rsid w:val="00FB478F"/>
    <w:rsid w:val="00FB4AA0"/>
    <w:rsid w:val="00FB5045"/>
    <w:rsid w:val="00FB56BD"/>
    <w:rsid w:val="00FB578C"/>
    <w:rsid w:val="00FB58BB"/>
    <w:rsid w:val="00FB597D"/>
    <w:rsid w:val="00FB5AF9"/>
    <w:rsid w:val="00FB634D"/>
    <w:rsid w:val="00FB66D9"/>
    <w:rsid w:val="00FC0D59"/>
    <w:rsid w:val="00FC1A3D"/>
    <w:rsid w:val="00FC1A5C"/>
    <w:rsid w:val="00FC1C53"/>
    <w:rsid w:val="00FC1D2A"/>
    <w:rsid w:val="00FC2D03"/>
    <w:rsid w:val="00FC2D4C"/>
    <w:rsid w:val="00FC39EA"/>
    <w:rsid w:val="00FC469C"/>
    <w:rsid w:val="00FC4943"/>
    <w:rsid w:val="00FC4AA6"/>
    <w:rsid w:val="00FC56B8"/>
    <w:rsid w:val="00FC5CFE"/>
    <w:rsid w:val="00FC60B8"/>
    <w:rsid w:val="00FC6DE6"/>
    <w:rsid w:val="00FC6E48"/>
    <w:rsid w:val="00FD0A9D"/>
    <w:rsid w:val="00FD0A9E"/>
    <w:rsid w:val="00FD0F14"/>
    <w:rsid w:val="00FD15AF"/>
    <w:rsid w:val="00FD2F1A"/>
    <w:rsid w:val="00FD3053"/>
    <w:rsid w:val="00FD3715"/>
    <w:rsid w:val="00FD37D0"/>
    <w:rsid w:val="00FD440C"/>
    <w:rsid w:val="00FD4EC8"/>
    <w:rsid w:val="00FD5E81"/>
    <w:rsid w:val="00FD5FF0"/>
    <w:rsid w:val="00FD7F01"/>
    <w:rsid w:val="00FE0775"/>
    <w:rsid w:val="00FE0F88"/>
    <w:rsid w:val="00FE2400"/>
    <w:rsid w:val="00FE3782"/>
    <w:rsid w:val="00FE3A6A"/>
    <w:rsid w:val="00FE3AC5"/>
    <w:rsid w:val="00FE44CF"/>
    <w:rsid w:val="00FE4721"/>
    <w:rsid w:val="00FE4D2A"/>
    <w:rsid w:val="00FE4FD0"/>
    <w:rsid w:val="00FE5051"/>
    <w:rsid w:val="00FE53DC"/>
    <w:rsid w:val="00FE566B"/>
    <w:rsid w:val="00FE5839"/>
    <w:rsid w:val="00FE5B58"/>
    <w:rsid w:val="00FE6E80"/>
    <w:rsid w:val="00FF02E4"/>
    <w:rsid w:val="00FF10F1"/>
    <w:rsid w:val="00FF2F3F"/>
    <w:rsid w:val="00FF524A"/>
    <w:rsid w:val="00FF524F"/>
    <w:rsid w:val="00FF58A5"/>
    <w:rsid w:val="00FF58F3"/>
    <w:rsid w:val="00FF5AA4"/>
    <w:rsid w:val="00FF6251"/>
    <w:rsid w:val="00FF6A5E"/>
    <w:rsid w:val="00FF7151"/>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character" w:customStyle="1" w:styleId="italic1">
    <w:name w:val="italic1"/>
    <w:basedOn w:val="DefaultParagraphFont"/>
    <w:rsid w:val="00EB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7819" TargetMode="External"/><Relationship Id="rId13" Type="http://schemas.openxmlformats.org/officeDocument/2006/relationships/hyperlink" Target="https://www.canlii.org/fr/qc/qcca/doc/2017/2017qcca939/2017qcca939.pdf" TargetMode="External"/><Relationship Id="rId18" Type="http://schemas.openxmlformats.org/officeDocument/2006/relationships/hyperlink" Target="https://www.canlii.org/en/ca/fct/doc/2015/2015fc617/2015fc617.html?resultIndex=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anlii.org/fr/ca/crtfp/doc/2013/2013crtfp80/2013crtfp80.html" TargetMode="External"/><Relationship Id="rId7" Type="http://schemas.openxmlformats.org/officeDocument/2006/relationships/hyperlink" Target="http://www.scc-csc.ca/case-dossier/info/sum-som-fra.aspx?cas=37729" TargetMode="External"/><Relationship Id="rId12" Type="http://schemas.openxmlformats.org/officeDocument/2006/relationships/hyperlink" Target="https://www.canlii.org/fr/qc/qccs/doc/2016/2016qccs416/2016qccs416.pdf" TargetMode="External"/><Relationship Id="rId17" Type="http://schemas.openxmlformats.org/officeDocument/2006/relationships/hyperlink" Target="https://www.canlii.org/en/ca/pssrb/doc/2013/2013pslrb80/2013pslrb80.html?resultIndex=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nlii.org/en/ca/laws/stat/sc-2003-c-22-s-2/latest/sc-2003-c-22-s-2.html" TargetMode="External"/><Relationship Id="rId20" Type="http://schemas.openxmlformats.org/officeDocument/2006/relationships/hyperlink" Target="https://www.canlii.org/en/ca/laws/stat/sc-2003-c-22-s-2/latest/sc-2003-c-22-s-2.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lii.org/fr/qc/qcca/doc/2017/2017qcca939/2017qcca939.pdf" TargetMode="External"/><Relationship Id="rId24" Type="http://schemas.openxmlformats.org/officeDocument/2006/relationships/hyperlink" Target="mailto:comments-commentaires@scc-csc.c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nlii.org/en/qc/qccs/doc/2017/2017qccs3279/2017qccs3279.html?resultIndex=1" TargetMode="External"/><Relationship Id="rId23" Type="http://schemas.openxmlformats.org/officeDocument/2006/relationships/hyperlink" Target="https://www.canlii.org/en/ca/fca/doc/2017/2017fca30/2017fca30.html?resultIndex=1" TargetMode="External"/><Relationship Id="rId28" Type="http://schemas.openxmlformats.org/officeDocument/2006/relationships/footer" Target="footer2.xml"/><Relationship Id="rId10" Type="http://schemas.openxmlformats.org/officeDocument/2006/relationships/hyperlink" Target="https://www.canlii.org/fr/qc/qccs/doc/2016/2016qccs416/2016qccs416.pdf" TargetMode="External"/><Relationship Id="rId19" Type="http://schemas.openxmlformats.org/officeDocument/2006/relationships/hyperlink" Target="https://www.canlii.org/en/ca/fca/doc/2017/2017fca30/2017fca30.html?resultIndex=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c-csc.ca/case-dossier/info/sum-som-eng.aspx?cas=37657" TargetMode="External"/><Relationship Id="rId14" Type="http://schemas.openxmlformats.org/officeDocument/2006/relationships/hyperlink" Target="https://www.canlii.org/en/qc/qccs/doc/2017/2017qccs3279/2017qccs3279.html?resultIndex=1" TargetMode="External"/><Relationship Id="rId22" Type="http://schemas.openxmlformats.org/officeDocument/2006/relationships/hyperlink" Target="https://www.canlii.org/fr/ca/cfpi/doc/2015/2015cf617/2015cf617.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15629</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2018-02-12T13:22:00Z</dcterms:created>
  <dcterms:modified xsi:type="dcterms:W3CDTF">2018-02-12T13:25:00Z</dcterms:modified>
</cp:coreProperties>
</file>