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8004B" w:rsidRDefault="003F43E6" w:rsidP="003F43E6">
      <w:pPr>
        <w:pStyle w:val="Header"/>
        <w:jc w:val="center"/>
        <w:rPr>
          <w:b/>
          <w:sz w:val="32"/>
        </w:rPr>
      </w:pPr>
      <w:r w:rsidRPr="0008004B">
        <w:rPr>
          <w:b/>
          <w:sz w:val="32"/>
        </w:rPr>
        <w:t>Supreme Court of Canada / Cour suprême du Canada</w:t>
      </w:r>
    </w:p>
    <w:p w:rsidR="003F43E6" w:rsidRPr="0008004B" w:rsidRDefault="003F43E6" w:rsidP="006F2579">
      <w:pPr>
        <w:widowControl w:val="0"/>
        <w:rPr>
          <w:i/>
        </w:rPr>
      </w:pPr>
    </w:p>
    <w:p w:rsidR="003F43E6" w:rsidRPr="0008004B" w:rsidRDefault="003F43E6" w:rsidP="006F2579">
      <w:pPr>
        <w:widowControl w:val="0"/>
        <w:rPr>
          <w:i/>
        </w:rPr>
      </w:pPr>
    </w:p>
    <w:p w:rsidR="006F2579" w:rsidRPr="0008004B" w:rsidRDefault="006F2579" w:rsidP="006F2579">
      <w:pPr>
        <w:widowControl w:val="0"/>
        <w:rPr>
          <w:i/>
        </w:rPr>
      </w:pPr>
      <w:r w:rsidRPr="0008004B">
        <w:rPr>
          <w:i/>
        </w:rPr>
        <w:t>(le français suit)</w:t>
      </w:r>
    </w:p>
    <w:p w:rsidR="006F2579" w:rsidRPr="0008004B" w:rsidRDefault="006F2579" w:rsidP="006F2579">
      <w:pPr>
        <w:widowControl w:val="0"/>
      </w:pPr>
    </w:p>
    <w:p w:rsidR="006F2579" w:rsidRPr="0008004B" w:rsidRDefault="00D01D61" w:rsidP="006F2579">
      <w:pPr>
        <w:widowControl w:val="0"/>
        <w:jc w:val="center"/>
        <w:rPr>
          <w:b/>
        </w:rPr>
      </w:pPr>
      <w:r w:rsidRPr="0008004B">
        <w:fldChar w:fldCharType="begin"/>
      </w:r>
      <w:r w:rsidR="006F2579" w:rsidRPr="0008004B">
        <w:instrText xml:space="preserve"> SEQ CHAPTER \h \r 1</w:instrText>
      </w:r>
      <w:r w:rsidRPr="0008004B">
        <w:fldChar w:fldCharType="end"/>
      </w:r>
      <w:r w:rsidR="002767DF" w:rsidRPr="0008004B">
        <w:rPr>
          <w:b/>
        </w:rPr>
        <w:t xml:space="preserve">JUDGMENTS </w:t>
      </w:r>
      <w:r w:rsidR="004C4C26" w:rsidRPr="0008004B">
        <w:rPr>
          <w:b/>
        </w:rPr>
        <w:t>IN APPEAL AND LEAVE APPLICATION</w:t>
      </w:r>
      <w:r w:rsidR="00A35C4D" w:rsidRPr="0008004B">
        <w:rPr>
          <w:b/>
        </w:rPr>
        <w:t>S</w:t>
      </w:r>
    </w:p>
    <w:p w:rsidR="006F2579" w:rsidRPr="0008004B" w:rsidRDefault="006F2579" w:rsidP="006F2579">
      <w:pPr>
        <w:widowControl w:val="0"/>
        <w:rPr>
          <w:b/>
        </w:rPr>
      </w:pPr>
    </w:p>
    <w:p w:rsidR="006F2579" w:rsidRPr="0008004B" w:rsidRDefault="0042160E" w:rsidP="006F2579">
      <w:pPr>
        <w:widowControl w:val="0"/>
        <w:rPr>
          <w:b/>
        </w:rPr>
      </w:pPr>
      <w:r>
        <w:rPr>
          <w:b/>
        </w:rPr>
        <w:t>May</w:t>
      </w:r>
      <w:r w:rsidR="00372704" w:rsidRPr="0008004B">
        <w:rPr>
          <w:b/>
        </w:rPr>
        <w:t xml:space="preserve"> </w:t>
      </w:r>
      <w:r>
        <w:rPr>
          <w:b/>
        </w:rPr>
        <w:t>3</w:t>
      </w:r>
      <w:r w:rsidR="00352C8A" w:rsidRPr="0008004B">
        <w:rPr>
          <w:b/>
        </w:rPr>
        <w:t>1</w:t>
      </w:r>
      <w:r w:rsidR="002E4682" w:rsidRPr="0008004B">
        <w:rPr>
          <w:b/>
        </w:rPr>
        <w:t>, 201</w:t>
      </w:r>
      <w:r w:rsidR="00C5378C" w:rsidRPr="0008004B">
        <w:rPr>
          <w:b/>
        </w:rPr>
        <w:t>8</w:t>
      </w:r>
    </w:p>
    <w:p w:rsidR="006F2579" w:rsidRPr="0008004B" w:rsidRDefault="006F2579" w:rsidP="006F2579">
      <w:pPr>
        <w:widowControl w:val="0"/>
        <w:rPr>
          <w:b/>
        </w:rPr>
      </w:pPr>
      <w:r w:rsidRPr="0008004B">
        <w:rPr>
          <w:b/>
        </w:rPr>
        <w:t>For immediate release</w:t>
      </w:r>
    </w:p>
    <w:p w:rsidR="006F2579" w:rsidRPr="0008004B" w:rsidRDefault="006F2579" w:rsidP="006F2579">
      <w:pPr>
        <w:widowControl w:val="0"/>
      </w:pPr>
    </w:p>
    <w:p w:rsidR="002767DF" w:rsidRPr="0008004B" w:rsidRDefault="002767DF" w:rsidP="002767DF">
      <w:pPr>
        <w:widowControl w:val="0"/>
      </w:pPr>
      <w:r w:rsidRPr="0008004B">
        <w:rPr>
          <w:b/>
        </w:rPr>
        <w:t>OTTAWA</w:t>
      </w:r>
      <w:r w:rsidRPr="0008004B">
        <w:t xml:space="preserve"> – The Supreme Court of Canada has today deposited with the Registrar judgment in the following appeal and application</w:t>
      </w:r>
      <w:r w:rsidR="00CC044F" w:rsidRPr="0008004B">
        <w:t>s</w:t>
      </w:r>
      <w:r w:rsidRPr="0008004B">
        <w:t xml:space="preserve"> for leave to appeal.</w:t>
      </w:r>
    </w:p>
    <w:p w:rsidR="006F2579" w:rsidRPr="0008004B" w:rsidRDefault="006F2579" w:rsidP="006F2579">
      <w:pPr>
        <w:widowControl w:val="0"/>
      </w:pPr>
    </w:p>
    <w:p w:rsidR="006F2579" w:rsidRPr="0008004B" w:rsidRDefault="006F2579" w:rsidP="006F2579">
      <w:pPr>
        <w:widowControl w:val="0"/>
      </w:pPr>
    </w:p>
    <w:p w:rsidR="002767DF" w:rsidRPr="0008004B" w:rsidRDefault="002767DF" w:rsidP="002767DF">
      <w:pPr>
        <w:widowControl w:val="0"/>
        <w:jc w:val="center"/>
        <w:rPr>
          <w:lang w:val="fr-CA"/>
        </w:rPr>
      </w:pPr>
      <w:r w:rsidRPr="0008004B">
        <w:rPr>
          <w:b/>
          <w:lang w:val="fr-CA"/>
        </w:rPr>
        <w:t>JUGEMENT</w:t>
      </w:r>
      <w:r w:rsidR="004C4C26" w:rsidRPr="0008004B">
        <w:rPr>
          <w:b/>
          <w:lang w:val="fr-CA"/>
        </w:rPr>
        <w:t>S SUR APPEL ET DEMANDE</w:t>
      </w:r>
      <w:r w:rsidR="00CC044F" w:rsidRPr="0008004B">
        <w:rPr>
          <w:b/>
          <w:lang w:val="fr-CA"/>
        </w:rPr>
        <w:t>S</w:t>
      </w:r>
      <w:r w:rsidRPr="0008004B">
        <w:rPr>
          <w:b/>
          <w:lang w:val="fr-CA"/>
        </w:rPr>
        <w:t xml:space="preserve"> D’AUTORISATION</w:t>
      </w:r>
    </w:p>
    <w:p w:rsidR="006F2579" w:rsidRPr="0008004B" w:rsidRDefault="006F2579" w:rsidP="006F2579">
      <w:pPr>
        <w:widowControl w:val="0"/>
        <w:rPr>
          <w:lang w:val="fr-CA"/>
        </w:rPr>
      </w:pPr>
    </w:p>
    <w:p w:rsidR="006F2579" w:rsidRPr="0008004B" w:rsidRDefault="006F2579" w:rsidP="006F2579">
      <w:pPr>
        <w:widowControl w:val="0"/>
        <w:rPr>
          <w:b/>
          <w:lang w:val="fr-CA"/>
        </w:rPr>
      </w:pPr>
      <w:r w:rsidRPr="0008004B">
        <w:rPr>
          <w:b/>
          <w:lang w:val="fr-CA"/>
        </w:rPr>
        <w:t>Le</w:t>
      </w:r>
      <w:r w:rsidR="008825DB" w:rsidRPr="0008004B">
        <w:rPr>
          <w:b/>
          <w:lang w:val="fr-CA"/>
        </w:rPr>
        <w:t xml:space="preserve"> </w:t>
      </w:r>
      <w:r w:rsidR="0042160E">
        <w:rPr>
          <w:b/>
          <w:lang w:val="fr-CA"/>
        </w:rPr>
        <w:t>3</w:t>
      </w:r>
      <w:r w:rsidR="00352C8A" w:rsidRPr="0008004B">
        <w:rPr>
          <w:b/>
          <w:lang w:val="fr-CA"/>
        </w:rPr>
        <w:t>1</w:t>
      </w:r>
      <w:r w:rsidR="00FF4756" w:rsidRPr="0008004B">
        <w:rPr>
          <w:b/>
          <w:lang w:val="fr-CA"/>
        </w:rPr>
        <w:t xml:space="preserve"> </w:t>
      </w:r>
      <w:r w:rsidR="0042160E">
        <w:rPr>
          <w:b/>
          <w:lang w:val="fr-CA"/>
        </w:rPr>
        <w:t>m</w:t>
      </w:r>
      <w:r w:rsidR="00A80695">
        <w:rPr>
          <w:b/>
          <w:lang w:val="fr-CA"/>
        </w:rPr>
        <w:t>ai</w:t>
      </w:r>
      <w:r w:rsidR="002E4682" w:rsidRPr="0008004B">
        <w:rPr>
          <w:b/>
          <w:lang w:val="fr-CA"/>
        </w:rPr>
        <w:t xml:space="preserve"> </w:t>
      </w:r>
      <w:r w:rsidR="008825DB" w:rsidRPr="0008004B">
        <w:rPr>
          <w:b/>
          <w:lang w:val="fr-CA"/>
        </w:rPr>
        <w:t>201</w:t>
      </w:r>
      <w:r w:rsidR="00C5378C" w:rsidRPr="0008004B">
        <w:rPr>
          <w:b/>
          <w:lang w:val="fr-CA"/>
        </w:rPr>
        <w:t>8</w:t>
      </w:r>
    </w:p>
    <w:p w:rsidR="006F2579" w:rsidRPr="0008004B" w:rsidRDefault="006F2579" w:rsidP="006F2579">
      <w:pPr>
        <w:widowControl w:val="0"/>
        <w:rPr>
          <w:b/>
          <w:lang w:val="fr-CA"/>
        </w:rPr>
      </w:pPr>
      <w:r w:rsidRPr="0008004B">
        <w:rPr>
          <w:b/>
          <w:lang w:val="fr-CA"/>
        </w:rPr>
        <w:t>Pour diffusion immédiate</w:t>
      </w:r>
    </w:p>
    <w:p w:rsidR="006F2579" w:rsidRPr="0008004B" w:rsidRDefault="006F2579" w:rsidP="006F2579">
      <w:pPr>
        <w:widowControl w:val="0"/>
        <w:rPr>
          <w:b/>
          <w:lang w:val="fr-CA"/>
        </w:rPr>
      </w:pPr>
    </w:p>
    <w:p w:rsidR="002767DF" w:rsidRPr="0008004B" w:rsidRDefault="002767DF" w:rsidP="002767DF">
      <w:pPr>
        <w:widowControl w:val="0"/>
        <w:rPr>
          <w:lang w:val="fr-CA"/>
        </w:rPr>
      </w:pPr>
      <w:r w:rsidRPr="0008004B">
        <w:rPr>
          <w:b/>
          <w:lang w:val="fr-CA"/>
        </w:rPr>
        <w:t>OTTAWA</w:t>
      </w:r>
      <w:r w:rsidRPr="0008004B">
        <w:rPr>
          <w:lang w:val="fr-CA"/>
        </w:rPr>
        <w:t xml:space="preserve"> – La Cour suprême du Canada a déposé aujourd’hui auprès du registraire les jugements dans l</w:t>
      </w:r>
      <w:r w:rsidR="00DF6BD5" w:rsidRPr="0008004B">
        <w:rPr>
          <w:lang w:val="fr-CA"/>
        </w:rPr>
        <w:t>’</w:t>
      </w:r>
      <w:r w:rsidRPr="0008004B">
        <w:rPr>
          <w:lang w:val="fr-CA"/>
        </w:rPr>
        <w:t>appel</w:t>
      </w:r>
      <w:r w:rsidR="00DF6BD5" w:rsidRPr="0008004B">
        <w:rPr>
          <w:lang w:val="fr-CA"/>
        </w:rPr>
        <w:t xml:space="preserve"> </w:t>
      </w:r>
      <w:r w:rsidRPr="0008004B">
        <w:rPr>
          <w:lang w:val="fr-CA"/>
        </w:rPr>
        <w:t>et</w:t>
      </w:r>
      <w:r w:rsidR="00CC044F" w:rsidRPr="0008004B">
        <w:rPr>
          <w:lang w:val="fr-CA"/>
        </w:rPr>
        <w:t xml:space="preserve"> </w:t>
      </w:r>
      <w:r w:rsidR="004C4C26" w:rsidRPr="0008004B">
        <w:rPr>
          <w:lang w:val="fr-CA"/>
        </w:rPr>
        <w:t>demande</w:t>
      </w:r>
      <w:r w:rsidR="00CC044F" w:rsidRPr="0008004B">
        <w:rPr>
          <w:lang w:val="fr-CA"/>
        </w:rPr>
        <w:t>s</w:t>
      </w:r>
      <w:r w:rsidRPr="0008004B">
        <w:rPr>
          <w:lang w:val="fr-CA"/>
        </w:rPr>
        <w:t xml:space="preserve"> d’autorisation d’appel qui suivent.</w:t>
      </w:r>
    </w:p>
    <w:p w:rsidR="002767DF" w:rsidRPr="0008004B" w:rsidRDefault="002767DF" w:rsidP="002767DF">
      <w:pPr>
        <w:widowControl w:val="0"/>
        <w:rPr>
          <w:lang w:val="fr-CA"/>
        </w:rPr>
      </w:pPr>
    </w:p>
    <w:p w:rsidR="002767DF" w:rsidRPr="0008004B" w:rsidRDefault="00CC43A4" w:rsidP="002767DF">
      <w:pPr>
        <w:widowControl w:val="0"/>
        <w:rPr>
          <w:sz w:val="20"/>
          <w:lang w:val="fr-CA"/>
        </w:rPr>
      </w:pPr>
      <w:r w:rsidRPr="0008004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8004B" w:rsidRDefault="002767DF" w:rsidP="002767DF">
      <w:pPr>
        <w:widowControl w:val="0"/>
        <w:jc w:val="both"/>
        <w:rPr>
          <w:sz w:val="20"/>
          <w:lang w:val="fr-CA"/>
        </w:rPr>
      </w:pPr>
    </w:p>
    <w:p w:rsidR="002767DF" w:rsidRPr="00C276DA" w:rsidRDefault="002767DF" w:rsidP="002767DF">
      <w:pPr>
        <w:outlineLvl w:val="0"/>
        <w:rPr>
          <w:b/>
          <w:szCs w:val="24"/>
          <w:lang w:val="fr-CA"/>
        </w:rPr>
      </w:pPr>
      <w:r w:rsidRPr="00C276DA">
        <w:rPr>
          <w:b/>
          <w:szCs w:val="24"/>
          <w:lang w:val="fr-CA"/>
        </w:rPr>
        <w:t>APPEAL / APPEL</w:t>
      </w:r>
    </w:p>
    <w:p w:rsidR="002767DF" w:rsidRPr="00C276DA" w:rsidRDefault="002767DF" w:rsidP="002767DF">
      <w:pPr>
        <w:rPr>
          <w:szCs w:val="24"/>
          <w:lang w:val="fr-CA"/>
        </w:rPr>
      </w:pPr>
    </w:p>
    <w:p w:rsidR="00CC31EF" w:rsidRPr="00DD0EF5" w:rsidRDefault="00CC31EF" w:rsidP="00CC31EF">
      <w:pPr>
        <w:tabs>
          <w:tab w:val="left" w:pos="720"/>
          <w:tab w:val="left" w:pos="1296"/>
          <w:tab w:val="left" w:pos="2160"/>
          <w:tab w:val="left" w:pos="2880"/>
          <w:tab w:val="left" w:pos="4320"/>
          <w:tab w:val="left" w:pos="10224"/>
          <w:tab w:val="left" w:pos="11376"/>
        </w:tabs>
        <w:jc w:val="both"/>
        <w:rPr>
          <w:lang w:val="fr-CA"/>
        </w:rPr>
      </w:pPr>
      <w:r w:rsidRPr="00C276DA">
        <w:rPr>
          <w:lang w:val="fr-CA"/>
        </w:rPr>
        <w:t xml:space="preserve">The </w:t>
      </w:r>
      <w:hyperlink r:id="rId8" w:history="1">
        <w:r w:rsidRPr="00C276DA">
          <w:rPr>
            <w:rStyle w:val="Hyperlink"/>
            <w:lang w:val="fr-CA"/>
          </w:rPr>
          <w:t>reasons for judgment</w:t>
        </w:r>
      </w:hyperlink>
      <w:r w:rsidRPr="00C276DA">
        <w:rPr>
          <w:lang w:val="fr-CA"/>
        </w:rPr>
        <w:t xml:space="preserve"> will be available shortly. / Les </w:t>
      </w:r>
      <w:hyperlink r:id="rId9" w:history="1">
        <w:r w:rsidRPr="00C276DA">
          <w:rPr>
            <w:rStyle w:val="Hyperlink"/>
            <w:lang w:val="fr-CA"/>
          </w:rPr>
          <w:t>motifs de jugement</w:t>
        </w:r>
      </w:hyperlink>
      <w:r w:rsidRPr="00C276DA">
        <w:rPr>
          <w:lang w:val="fr-CA"/>
        </w:rPr>
        <w:t xml:space="preserve"> seront disponibles </w:t>
      </w:r>
      <w:r w:rsidRPr="00DD0EF5">
        <w:rPr>
          <w:lang w:val="fr-CA"/>
        </w:rPr>
        <w:t>sous peu.</w:t>
      </w:r>
    </w:p>
    <w:p w:rsidR="002767DF" w:rsidRPr="00DD0EF5" w:rsidRDefault="002767DF" w:rsidP="002767DF">
      <w:pPr>
        <w:rPr>
          <w:lang w:val="fr-CA"/>
        </w:rPr>
      </w:pPr>
    </w:p>
    <w:p w:rsidR="005173DC" w:rsidRPr="008C5A1E" w:rsidRDefault="005173DC" w:rsidP="005173DC">
      <w:r w:rsidRPr="00DD0EF5">
        <w:t xml:space="preserve">The </w:t>
      </w:r>
      <w:hyperlink r:id="rId10" w:history="1">
        <w:r w:rsidRPr="00DD0EF5">
          <w:rPr>
            <w:rStyle w:val="Hyperlink"/>
          </w:rPr>
          <w:t>Case in Brief</w:t>
        </w:r>
      </w:hyperlink>
      <w:r w:rsidRPr="00DD0EF5">
        <w:t xml:space="preserve"> will be available at around </w:t>
      </w:r>
      <w:r w:rsidR="00031ACA" w:rsidRPr="00DD0EF5">
        <w:t>noon</w:t>
      </w:r>
      <w:r w:rsidRPr="00DD0EF5">
        <w:t xml:space="preserve"> (E</w:t>
      </w:r>
      <w:r w:rsidR="00031ACA" w:rsidRPr="00DD0EF5">
        <w:t xml:space="preserve">astern </w:t>
      </w:r>
      <w:proofErr w:type="gramStart"/>
      <w:r w:rsidR="00031ACA" w:rsidRPr="00DD0EF5">
        <w:t>time</w:t>
      </w:r>
      <w:proofErr w:type="gramEnd"/>
      <w:r w:rsidRPr="00DD0EF5">
        <w:t xml:space="preserve">). / </w:t>
      </w:r>
      <w:hyperlink r:id="rId11" w:history="1">
        <w:r w:rsidRPr="00DD0EF5">
          <w:rPr>
            <w:rStyle w:val="Hyperlink"/>
          </w:rPr>
          <w:t>La cause en bref</w:t>
        </w:r>
      </w:hyperlink>
      <w:r w:rsidRPr="00DD0EF5">
        <w:t xml:space="preserve"> sera disponible vers </w:t>
      </w:r>
      <w:r w:rsidR="00031ACA" w:rsidRPr="00DD0EF5">
        <w:t xml:space="preserve">midi </w:t>
      </w:r>
      <w:r w:rsidRPr="00DD0EF5">
        <w:t>(</w:t>
      </w:r>
      <w:r w:rsidR="00031ACA" w:rsidRPr="00DD0EF5">
        <w:t>heure de l’Est</w:t>
      </w:r>
      <w:r w:rsidRPr="00DD0EF5">
        <w:t>).</w:t>
      </w:r>
    </w:p>
    <w:p w:rsidR="005173DC" w:rsidRPr="008C5A1E" w:rsidRDefault="005173DC" w:rsidP="002767DF"/>
    <w:p w:rsidR="002767DF" w:rsidRPr="008C5A1E" w:rsidRDefault="002767DF" w:rsidP="002767DF"/>
    <w:p w:rsidR="0042160E" w:rsidRPr="00DD0EF5" w:rsidRDefault="00104BEE" w:rsidP="0042160E">
      <w:pPr>
        <w:ind w:left="1440" w:hanging="1440"/>
        <w:jc w:val="both"/>
        <w:rPr>
          <w:rFonts w:eastAsiaTheme="minorHAnsi" w:cstheme="minorBidi"/>
          <w:iCs/>
          <w:sz w:val="20"/>
        </w:rPr>
      </w:pPr>
      <w:r w:rsidRPr="0008004B">
        <w:rPr>
          <w:b/>
          <w:sz w:val="20"/>
        </w:rPr>
        <w:fldChar w:fldCharType="begin"/>
      </w:r>
      <w:r w:rsidRPr="0008004B">
        <w:rPr>
          <w:b/>
          <w:sz w:val="20"/>
        </w:rPr>
        <w:instrText xml:space="preserve"> SEQ CHAPTER \h \r 1</w:instrText>
      </w:r>
      <w:r w:rsidRPr="0008004B">
        <w:rPr>
          <w:b/>
          <w:sz w:val="20"/>
        </w:rPr>
        <w:fldChar w:fldCharType="end"/>
      </w:r>
      <w:r w:rsidRPr="0008004B">
        <w:rPr>
          <w:b/>
          <w:sz w:val="20"/>
        </w:rPr>
        <w:t>3</w:t>
      </w:r>
      <w:r w:rsidR="000B618B" w:rsidRPr="0008004B">
        <w:rPr>
          <w:b/>
          <w:sz w:val="20"/>
        </w:rPr>
        <w:t>7</w:t>
      </w:r>
      <w:r w:rsidR="00B73AEA">
        <w:rPr>
          <w:b/>
          <w:sz w:val="20"/>
        </w:rPr>
        <w:t>27</w:t>
      </w:r>
      <w:bookmarkStart w:id="0" w:name="_GoBack"/>
      <w:bookmarkEnd w:id="0"/>
      <w:r w:rsidR="00A54F6C">
        <w:rPr>
          <w:b/>
          <w:sz w:val="20"/>
        </w:rPr>
        <w:t>3</w:t>
      </w:r>
      <w:r w:rsidRPr="0008004B">
        <w:rPr>
          <w:color w:val="FF0000"/>
          <w:sz w:val="20"/>
        </w:rPr>
        <w:tab/>
      </w:r>
      <w:r w:rsidR="0042160E" w:rsidRPr="0042160E">
        <w:rPr>
          <w:rFonts w:eastAsiaTheme="minorHAnsi" w:cstheme="minorBidi"/>
          <w:b/>
          <w:sz w:val="20"/>
          <w:u w:val="single"/>
        </w:rPr>
        <w:t>Judicial Committee of the Highwood Congregation of Jehovah’s Witnesses (Vaughn Lee — Chairman and Elders James Scott Lang and Joe Gurney) and Highwood Congregation of Jehovah’s Witnesses</w:t>
      </w:r>
      <w:r w:rsidR="0073443B" w:rsidRPr="0008004B">
        <w:rPr>
          <w:rFonts w:eastAsiaTheme="minorHAnsi" w:cstheme="minorBidi"/>
          <w:b/>
          <w:sz w:val="20"/>
          <w:u w:val="single"/>
        </w:rPr>
        <w:t xml:space="preserve"> </w:t>
      </w:r>
      <w:r w:rsidR="00FA7261" w:rsidRPr="0008004B">
        <w:rPr>
          <w:rFonts w:eastAsiaTheme="minorHAnsi" w:cstheme="minorBidi"/>
          <w:b/>
          <w:sz w:val="20"/>
          <w:u w:val="single"/>
        </w:rPr>
        <w:t>v</w:t>
      </w:r>
      <w:r w:rsidR="0073443B" w:rsidRPr="0008004B">
        <w:rPr>
          <w:rFonts w:eastAsiaTheme="minorHAnsi" w:cstheme="minorBidi"/>
          <w:b/>
          <w:sz w:val="20"/>
          <w:u w:val="single"/>
        </w:rPr>
        <w:t xml:space="preserve">. </w:t>
      </w:r>
      <w:r w:rsidR="0042160E">
        <w:rPr>
          <w:rFonts w:eastAsiaTheme="minorHAnsi" w:cstheme="minorBidi"/>
          <w:b/>
          <w:sz w:val="20"/>
          <w:u w:val="single"/>
        </w:rPr>
        <w:t xml:space="preserve">Randy Wall </w:t>
      </w:r>
      <w:r w:rsidR="00CC7478" w:rsidRPr="0008004B">
        <w:rPr>
          <w:rFonts w:eastAsiaTheme="minorHAnsi" w:cstheme="minorBidi"/>
          <w:b/>
          <w:sz w:val="20"/>
          <w:u w:val="single"/>
        </w:rPr>
        <w:t xml:space="preserve">– </w:t>
      </w:r>
      <w:r w:rsidR="00FA7261" w:rsidRPr="0008004B">
        <w:rPr>
          <w:rFonts w:eastAsiaTheme="minorHAnsi" w:cstheme="minorBidi"/>
          <w:b/>
          <w:sz w:val="20"/>
          <w:u w:val="single"/>
        </w:rPr>
        <w:t>and</w:t>
      </w:r>
      <w:r w:rsidR="00CC7478" w:rsidRPr="0008004B">
        <w:rPr>
          <w:rFonts w:eastAsiaTheme="minorHAnsi" w:cstheme="minorBidi"/>
          <w:b/>
          <w:sz w:val="20"/>
          <w:u w:val="single"/>
        </w:rPr>
        <w:t xml:space="preserve"> – </w:t>
      </w:r>
      <w:r w:rsidR="0042160E" w:rsidRPr="0042160E">
        <w:rPr>
          <w:rFonts w:eastAsiaTheme="minorHAnsi" w:cstheme="minorBidi"/>
          <w:b/>
          <w:sz w:val="20"/>
          <w:u w:val="single"/>
        </w:rPr>
        <w:t xml:space="preserve">Canadian Council of Christian Charities, Association for Reformed Political Action Canada, Canadian Constitution Foundation, Evangelical Fellowship of Canada, Catholic Civil Rights League, Christian Legal Fellowship, World Sikh Organization of Canada, Seventh-Day Adventist Church in Canada, Justice Centre for Constitutional Freedoms, Church of Jesus Christ of Latter-day Saints in Canada, </w:t>
      </w:r>
      <w:r w:rsidR="0042160E" w:rsidRPr="00DD0EF5">
        <w:rPr>
          <w:rFonts w:eastAsiaTheme="minorHAnsi" w:cstheme="minorBidi"/>
          <w:b/>
          <w:sz w:val="20"/>
          <w:u w:val="single"/>
        </w:rPr>
        <w:t>British Columbia Civil Liberties Association and Canadian Muslim Lawyers Association</w:t>
      </w:r>
      <w:r w:rsidR="00D22FBA" w:rsidRPr="00DD0EF5">
        <w:rPr>
          <w:rFonts w:eastAsiaTheme="minorHAnsi" w:cstheme="minorBidi"/>
          <w:sz w:val="20"/>
        </w:rPr>
        <w:t xml:space="preserve"> </w:t>
      </w:r>
      <w:r w:rsidR="00BF2A9D" w:rsidRPr="00DD0EF5">
        <w:rPr>
          <w:rFonts w:eastAsiaTheme="minorHAnsi" w:cstheme="minorBidi"/>
          <w:iCs/>
          <w:sz w:val="20"/>
        </w:rPr>
        <w:t>(</w:t>
      </w:r>
      <w:r w:rsidR="00CA1975" w:rsidRPr="00DD0EF5">
        <w:rPr>
          <w:rFonts w:eastAsiaTheme="minorHAnsi" w:cstheme="minorBidi"/>
          <w:iCs/>
          <w:sz w:val="20"/>
        </w:rPr>
        <w:t>Alta.</w:t>
      </w:r>
      <w:r w:rsidR="00BF2A9D" w:rsidRPr="00DD0EF5">
        <w:rPr>
          <w:rFonts w:eastAsiaTheme="minorHAnsi" w:cstheme="minorBidi"/>
          <w:iCs/>
          <w:sz w:val="20"/>
        </w:rPr>
        <w:t>)</w:t>
      </w:r>
    </w:p>
    <w:p w:rsidR="00BF2A9D" w:rsidRPr="0008004B" w:rsidRDefault="00BF2A9D" w:rsidP="0042160E">
      <w:pPr>
        <w:ind w:left="1440"/>
        <w:jc w:val="both"/>
        <w:rPr>
          <w:rFonts w:eastAsiaTheme="minorHAnsi" w:cstheme="minorBidi"/>
          <w:sz w:val="20"/>
        </w:rPr>
      </w:pPr>
      <w:r w:rsidRPr="00DD0EF5">
        <w:rPr>
          <w:rFonts w:eastAsiaTheme="minorHAnsi" w:cstheme="minorBidi"/>
          <w:b/>
          <w:sz w:val="20"/>
        </w:rPr>
        <w:t>201</w:t>
      </w:r>
      <w:r w:rsidR="00C5378C" w:rsidRPr="00DD0EF5">
        <w:rPr>
          <w:rFonts w:eastAsiaTheme="minorHAnsi" w:cstheme="minorBidi"/>
          <w:b/>
          <w:sz w:val="20"/>
        </w:rPr>
        <w:t>8</w:t>
      </w:r>
      <w:r w:rsidRPr="00DD0EF5">
        <w:rPr>
          <w:rFonts w:eastAsiaTheme="minorHAnsi" w:cstheme="minorBidi"/>
          <w:b/>
          <w:sz w:val="20"/>
        </w:rPr>
        <w:t xml:space="preserve"> SCC </w:t>
      </w:r>
      <w:r w:rsidR="002D1D51" w:rsidRPr="00DD0EF5">
        <w:rPr>
          <w:rFonts w:eastAsiaTheme="minorHAnsi" w:cstheme="minorBidi"/>
          <w:b/>
          <w:sz w:val="20"/>
        </w:rPr>
        <w:t>26</w:t>
      </w:r>
      <w:r w:rsidRPr="00DD0EF5">
        <w:rPr>
          <w:rFonts w:eastAsiaTheme="minorHAnsi" w:cstheme="minorBidi"/>
          <w:b/>
          <w:sz w:val="20"/>
        </w:rPr>
        <w:t xml:space="preserve"> / 201</w:t>
      </w:r>
      <w:r w:rsidR="00C5378C" w:rsidRPr="00DD0EF5">
        <w:rPr>
          <w:rFonts w:eastAsiaTheme="minorHAnsi" w:cstheme="minorBidi"/>
          <w:b/>
          <w:sz w:val="20"/>
        </w:rPr>
        <w:t>8</w:t>
      </w:r>
      <w:r w:rsidRPr="00DD0EF5">
        <w:rPr>
          <w:rFonts w:eastAsiaTheme="minorHAnsi" w:cstheme="minorBidi"/>
          <w:b/>
          <w:sz w:val="20"/>
        </w:rPr>
        <w:t xml:space="preserve"> CSC </w:t>
      </w:r>
      <w:r w:rsidR="002D1D51" w:rsidRPr="00DD0EF5">
        <w:rPr>
          <w:rFonts w:eastAsiaTheme="minorHAnsi" w:cstheme="minorBidi"/>
          <w:b/>
          <w:sz w:val="20"/>
        </w:rPr>
        <w:t>26</w:t>
      </w:r>
    </w:p>
    <w:p w:rsidR="00104BEE" w:rsidRPr="0008004B" w:rsidRDefault="00104BEE" w:rsidP="00BF2A9D">
      <w:pPr>
        <w:ind w:left="1440" w:hanging="1440"/>
        <w:jc w:val="both"/>
        <w:rPr>
          <w:sz w:val="20"/>
        </w:rPr>
      </w:pPr>
    </w:p>
    <w:p w:rsidR="00605BA1" w:rsidRPr="0008004B" w:rsidRDefault="00104BEE" w:rsidP="00B77409">
      <w:pPr>
        <w:ind w:left="1440" w:hanging="1440"/>
        <w:rPr>
          <w:sz w:val="20"/>
        </w:rPr>
      </w:pPr>
      <w:r w:rsidRPr="0008004B">
        <w:rPr>
          <w:sz w:val="20"/>
        </w:rPr>
        <w:t>Coram:</w:t>
      </w:r>
      <w:r w:rsidRPr="0008004B">
        <w:rPr>
          <w:sz w:val="20"/>
        </w:rPr>
        <w:tab/>
      </w:r>
      <w:r w:rsidR="00B77409" w:rsidRPr="0008004B">
        <w:rPr>
          <w:sz w:val="20"/>
          <w:u w:val="single"/>
        </w:rPr>
        <w:t xml:space="preserve">McLachlin C.J. and Abella, Moldaver, Karakatsanis, </w:t>
      </w:r>
      <w:r w:rsidR="00C95FE4">
        <w:rPr>
          <w:sz w:val="20"/>
          <w:u w:val="single"/>
        </w:rPr>
        <w:t xml:space="preserve">Wagner, Gascon, </w:t>
      </w:r>
      <w:r w:rsidR="00B77409" w:rsidRPr="0008004B">
        <w:rPr>
          <w:sz w:val="20"/>
          <w:u w:val="single"/>
        </w:rPr>
        <w:t>Côté, Brown and Rowe JJ.</w:t>
      </w:r>
    </w:p>
    <w:p w:rsidR="00B77409" w:rsidRPr="00D07DA2" w:rsidRDefault="00B77409" w:rsidP="00B77409">
      <w:pPr>
        <w:ind w:left="1440" w:hanging="1440"/>
        <w:rPr>
          <w:sz w:val="20"/>
        </w:rPr>
      </w:pPr>
    </w:p>
    <w:p w:rsidR="0096282F" w:rsidRPr="00D07DA2" w:rsidRDefault="00D07DA2" w:rsidP="0096282F">
      <w:pPr>
        <w:jc w:val="both"/>
        <w:rPr>
          <w:rFonts w:eastAsiaTheme="minorHAnsi" w:cstheme="minorBidi"/>
          <w:sz w:val="20"/>
          <w:lang w:val="en-CA"/>
        </w:rPr>
      </w:pPr>
      <w:r w:rsidRPr="00D07DA2">
        <w:rPr>
          <w:sz w:val="20"/>
        </w:rPr>
        <w:t xml:space="preserve">The appeal from the judgment </w:t>
      </w:r>
      <w:bookmarkStart w:id="1" w:name="BM_1_"/>
      <w:bookmarkEnd w:id="1"/>
      <w:r w:rsidRPr="00D07DA2">
        <w:rPr>
          <w:sz w:val="20"/>
        </w:rPr>
        <w:t xml:space="preserve">of the Court of Appeal of Alberta (Calgary), Number 1501-0120-AC, </w:t>
      </w:r>
      <w:proofErr w:type="gramStart"/>
      <w:r w:rsidRPr="00D07DA2">
        <w:rPr>
          <w:sz w:val="20"/>
        </w:rPr>
        <w:t>2016</w:t>
      </w:r>
      <w:proofErr w:type="gramEnd"/>
      <w:r w:rsidRPr="00D07DA2">
        <w:rPr>
          <w:sz w:val="20"/>
        </w:rPr>
        <w:t xml:space="preserve"> ABCA 255, dated September 8, 2016, heard on November 2, 2017, is allowed. The originating application for judicial review filed by Mr. Wall is quashed.</w:t>
      </w:r>
    </w:p>
    <w:p w:rsidR="0096282F" w:rsidRPr="00D07DA2" w:rsidRDefault="0096282F" w:rsidP="0096282F">
      <w:pPr>
        <w:jc w:val="both"/>
        <w:rPr>
          <w:rFonts w:eastAsiaTheme="minorHAnsi" w:cstheme="minorBidi"/>
          <w:sz w:val="20"/>
          <w:lang w:val="en-CA"/>
        </w:rPr>
      </w:pPr>
    </w:p>
    <w:p w:rsidR="0096282F" w:rsidRPr="00D07DA2" w:rsidRDefault="00D07DA2" w:rsidP="0096282F">
      <w:pPr>
        <w:jc w:val="both"/>
        <w:rPr>
          <w:rFonts w:eastAsiaTheme="minorHAnsi" w:cstheme="minorBidi"/>
          <w:sz w:val="20"/>
          <w:lang w:val="fr-CA"/>
        </w:rPr>
      </w:pPr>
      <w:r w:rsidRPr="00D07DA2">
        <w:rPr>
          <w:sz w:val="20"/>
          <w:lang w:val="fr-CA"/>
        </w:rPr>
        <w:lastRenderedPageBreak/>
        <w:t>L’appel interjeté contre l’arrêt de la Cour d’appel de l’Alberta (Calgary), numéro 1501-0120-AC, 2016 ABCA 255, daté du 8 septembre 2016, entendu le 2 novembre 2017, est accueilli. La demande introductive de contrôle judiciaire déposée par M. Wall est annulée.</w:t>
      </w:r>
    </w:p>
    <w:p w:rsidR="00FF073E" w:rsidRPr="0008004B" w:rsidRDefault="00FF073E" w:rsidP="00104BEE">
      <w:pPr>
        <w:jc w:val="both"/>
        <w:rPr>
          <w:sz w:val="20"/>
          <w:lang w:val="fr-CA"/>
        </w:rPr>
      </w:pPr>
    </w:p>
    <w:p w:rsidR="002C2D5B" w:rsidRPr="0008004B" w:rsidRDefault="002C2D5B" w:rsidP="00104BEE">
      <w:pPr>
        <w:jc w:val="both"/>
        <w:rPr>
          <w:sz w:val="20"/>
          <w:lang w:val="fr-CA"/>
        </w:rPr>
      </w:pPr>
    </w:p>
    <w:p w:rsidR="009D2AD9" w:rsidRPr="0008004B" w:rsidRDefault="00D01D61" w:rsidP="009D2AD9">
      <w:pPr>
        <w:rPr>
          <w:lang w:val="fr-CA"/>
        </w:rPr>
      </w:pPr>
      <w:r w:rsidRPr="0008004B">
        <w:rPr>
          <w:szCs w:val="24"/>
        </w:rPr>
        <w:fldChar w:fldCharType="begin"/>
      </w:r>
      <w:r w:rsidR="009D2AD9" w:rsidRPr="0008004B">
        <w:rPr>
          <w:szCs w:val="24"/>
          <w:lang w:val="fr-CA"/>
        </w:rPr>
        <w:instrText xml:space="preserve"> SEQ CHAPTER \h \r 1</w:instrText>
      </w:r>
      <w:r w:rsidRPr="0008004B">
        <w:rPr>
          <w:szCs w:val="24"/>
        </w:rPr>
        <w:fldChar w:fldCharType="end"/>
      </w:r>
      <w:r w:rsidR="009D2AD9" w:rsidRPr="0008004B">
        <w:rPr>
          <w:b/>
          <w:bCs/>
          <w:szCs w:val="24"/>
          <w:lang w:val="fr-CA"/>
        </w:rPr>
        <w:t>APPLICATION</w:t>
      </w:r>
      <w:r w:rsidR="0044099A" w:rsidRPr="0008004B">
        <w:rPr>
          <w:b/>
          <w:bCs/>
          <w:szCs w:val="24"/>
          <w:lang w:val="fr-CA"/>
        </w:rPr>
        <w:t>S</w:t>
      </w:r>
      <w:r w:rsidR="009D2AD9" w:rsidRPr="0008004B">
        <w:rPr>
          <w:b/>
          <w:bCs/>
          <w:szCs w:val="24"/>
          <w:lang w:val="fr-CA"/>
        </w:rPr>
        <w:t xml:space="preserve"> FOR LEAVE / DEMANDE</w:t>
      </w:r>
      <w:r w:rsidR="0044099A" w:rsidRPr="0008004B">
        <w:rPr>
          <w:b/>
          <w:bCs/>
          <w:szCs w:val="24"/>
          <w:lang w:val="fr-CA"/>
        </w:rPr>
        <w:t>S</w:t>
      </w:r>
      <w:r w:rsidR="009D2AD9" w:rsidRPr="0008004B">
        <w:rPr>
          <w:b/>
          <w:bCs/>
          <w:szCs w:val="24"/>
          <w:lang w:val="fr-CA"/>
        </w:rPr>
        <w:t xml:space="preserve"> D’AUTORISATION :</w:t>
      </w:r>
    </w:p>
    <w:p w:rsidR="009D2AD9" w:rsidRPr="0008004B" w:rsidRDefault="009D2AD9" w:rsidP="000627A2">
      <w:pPr>
        <w:widowControl w:val="0"/>
        <w:jc w:val="both"/>
        <w:rPr>
          <w:sz w:val="20"/>
          <w:lang w:val="fr-CA"/>
        </w:rPr>
      </w:pPr>
    </w:p>
    <w:p w:rsidR="00E22F66" w:rsidRDefault="00E22F66" w:rsidP="0027631F">
      <w:pPr>
        <w:jc w:val="both"/>
        <w:rPr>
          <w:sz w:val="20"/>
          <w:lang w:val="fr-CA"/>
        </w:rPr>
      </w:pPr>
    </w:p>
    <w:p w:rsidR="009F09C0" w:rsidRPr="00DD0EF5" w:rsidRDefault="009F09C0" w:rsidP="009F09C0">
      <w:pPr>
        <w:jc w:val="both"/>
        <w:rPr>
          <w:b/>
          <w:sz w:val="22"/>
          <w:szCs w:val="22"/>
          <w:lang w:val="fr-CA"/>
        </w:rPr>
      </w:pPr>
      <w:r w:rsidRPr="00DD0EF5">
        <w:rPr>
          <w:b/>
          <w:sz w:val="22"/>
          <w:szCs w:val="22"/>
          <w:lang w:val="fr-CA"/>
        </w:rPr>
        <w:t>DISMISSED / REJETÉES</w:t>
      </w:r>
    </w:p>
    <w:p w:rsidR="009971D8" w:rsidRPr="00DD0EF5" w:rsidRDefault="009971D8" w:rsidP="00026162">
      <w:pPr>
        <w:widowControl w:val="0"/>
        <w:rPr>
          <w:sz w:val="20"/>
          <w:lang w:val="fr-CA"/>
        </w:rPr>
      </w:pPr>
    </w:p>
    <w:p w:rsidR="00064BA8" w:rsidRPr="00064BA8" w:rsidRDefault="00064BA8" w:rsidP="00064BA8">
      <w:pPr>
        <w:rPr>
          <w:rFonts w:eastAsia="Calibri"/>
          <w:sz w:val="22"/>
          <w:szCs w:val="22"/>
          <w:lang w:val="fr-FR"/>
        </w:rPr>
      </w:pPr>
      <w:r w:rsidRPr="00064BA8">
        <w:rPr>
          <w:rFonts w:eastAsia="Calibri"/>
          <w:i/>
          <w:sz w:val="22"/>
          <w:szCs w:val="22"/>
          <w:lang w:val="fr-FR"/>
        </w:rPr>
        <w:t>Brault &amp; Martineau inc. et autres c. Luc Cantin et autre</w:t>
      </w:r>
      <w:r w:rsidRPr="00064BA8">
        <w:rPr>
          <w:rFonts w:eastAsia="Calibri"/>
          <w:sz w:val="22"/>
          <w:szCs w:val="22"/>
          <w:lang w:val="fr-FR"/>
        </w:rPr>
        <w:t xml:space="preserve"> (Que.) (Civile) (Autorisation) </w:t>
      </w:r>
      <w:r w:rsidRPr="00064BA8">
        <w:rPr>
          <w:sz w:val="22"/>
          <w:szCs w:val="22"/>
          <w:lang w:val="fr-CA"/>
        </w:rPr>
        <w:t>(</w:t>
      </w:r>
      <w:hyperlink r:id="rId12" w:history="1">
        <w:r w:rsidRPr="00064BA8">
          <w:rPr>
            <w:rStyle w:val="Hyperlink"/>
            <w:sz w:val="22"/>
            <w:szCs w:val="22"/>
            <w:lang w:val="fr-CA"/>
          </w:rPr>
          <w:t>37824</w:t>
        </w:r>
      </w:hyperlink>
      <w:r w:rsidRPr="00064BA8">
        <w:rPr>
          <w:sz w:val="22"/>
          <w:szCs w:val="22"/>
          <w:lang w:val="fr-CA"/>
        </w:rPr>
        <w:t>)</w:t>
      </w:r>
    </w:p>
    <w:p w:rsidR="00064BA8" w:rsidRPr="00DD0EF5" w:rsidRDefault="00064BA8" w:rsidP="00A357F9">
      <w:pPr>
        <w:widowControl w:val="0"/>
        <w:rPr>
          <w:sz w:val="20"/>
          <w:lang w:val="fr-FR"/>
        </w:rPr>
      </w:pPr>
      <w:r w:rsidRPr="00064BA8">
        <w:rPr>
          <w:sz w:val="20"/>
          <w:lang w:val="fr-CA"/>
        </w:rPr>
        <w:t xml:space="preserve">(La demande d’autorisation d’appel est rejetée avec dépens. / </w:t>
      </w:r>
      <w:r w:rsidRPr="00DD0EF5">
        <w:rPr>
          <w:sz w:val="20"/>
          <w:lang w:val="fr-FR"/>
        </w:rPr>
        <w:t>The application for leave to appeal is dismissed with costs.)</w:t>
      </w:r>
    </w:p>
    <w:p w:rsidR="00064BA8" w:rsidRPr="00DD0EF5" w:rsidRDefault="00064BA8" w:rsidP="00A357F9">
      <w:pPr>
        <w:widowControl w:val="0"/>
        <w:rPr>
          <w:sz w:val="20"/>
          <w:lang w:val="fr-FR"/>
        </w:rPr>
      </w:pPr>
    </w:p>
    <w:p w:rsidR="00A357F9" w:rsidRPr="006C7E68" w:rsidRDefault="00A357F9" w:rsidP="00A357F9">
      <w:pPr>
        <w:jc w:val="both"/>
        <w:rPr>
          <w:sz w:val="20"/>
          <w:lang w:val="fr-CA"/>
        </w:rPr>
      </w:pPr>
      <w:r w:rsidRPr="006C7E68">
        <w:rPr>
          <w:sz w:val="20"/>
          <w:lang w:val="fr-CA"/>
        </w:rPr>
        <w:t>****</w:t>
      </w:r>
    </w:p>
    <w:p w:rsidR="00A357F9" w:rsidRPr="006C7E68" w:rsidRDefault="00A357F9" w:rsidP="00026162">
      <w:pPr>
        <w:widowControl w:val="0"/>
        <w:rPr>
          <w:sz w:val="20"/>
          <w:lang w:val="fr-CA"/>
        </w:rPr>
      </w:pPr>
    </w:p>
    <w:p w:rsidR="00B76DCA" w:rsidRPr="00B76DCA" w:rsidRDefault="00B76DCA" w:rsidP="00B76DCA">
      <w:pPr>
        <w:rPr>
          <w:rFonts w:eastAsia="Calibri"/>
          <w:sz w:val="22"/>
          <w:szCs w:val="22"/>
          <w:lang w:val="fr-CA"/>
        </w:rPr>
      </w:pPr>
      <w:r w:rsidRPr="00B76DCA">
        <w:rPr>
          <w:rFonts w:eastAsia="Calibri"/>
          <w:i/>
          <w:sz w:val="22"/>
          <w:szCs w:val="22"/>
          <w:lang w:val="fr-CA"/>
        </w:rPr>
        <w:t>Ameublements Tanguay inc. c. Luc Cantin et autre</w:t>
      </w:r>
      <w:r w:rsidRPr="00B76DCA">
        <w:rPr>
          <w:rFonts w:eastAsia="Calibri"/>
          <w:sz w:val="22"/>
          <w:szCs w:val="22"/>
          <w:lang w:val="fr-CA"/>
        </w:rPr>
        <w:t xml:space="preserve"> (Que.) (Civile) (Autorisation) </w:t>
      </w:r>
      <w:r w:rsidRPr="00B76DCA">
        <w:rPr>
          <w:sz w:val="22"/>
          <w:szCs w:val="22"/>
          <w:lang w:val="fr-CA"/>
        </w:rPr>
        <w:t>(</w:t>
      </w:r>
      <w:hyperlink r:id="rId13" w:history="1">
        <w:r w:rsidRPr="00B76DCA">
          <w:rPr>
            <w:rStyle w:val="Hyperlink"/>
            <w:sz w:val="22"/>
            <w:szCs w:val="22"/>
            <w:lang w:val="fr-CA"/>
          </w:rPr>
          <w:t>37823</w:t>
        </w:r>
      </w:hyperlink>
      <w:r w:rsidRPr="00B76DCA">
        <w:rPr>
          <w:sz w:val="22"/>
          <w:szCs w:val="22"/>
          <w:lang w:val="fr-CA"/>
        </w:rPr>
        <w:t>)</w:t>
      </w:r>
    </w:p>
    <w:p w:rsidR="002D1D51" w:rsidRPr="00DD0EF5" w:rsidRDefault="00B76DCA" w:rsidP="00026162">
      <w:pPr>
        <w:widowControl w:val="0"/>
        <w:rPr>
          <w:sz w:val="20"/>
          <w:lang w:val="fr-CA"/>
        </w:rPr>
      </w:pPr>
      <w:r w:rsidRPr="00B76DCA">
        <w:rPr>
          <w:sz w:val="20"/>
          <w:lang w:val="fr-CA"/>
        </w:rPr>
        <w:t xml:space="preserve">(La demande d’autorisation d’appel est rejetée avec dépens. / </w:t>
      </w:r>
      <w:r w:rsidRPr="00DD0EF5">
        <w:rPr>
          <w:sz w:val="20"/>
          <w:lang w:val="fr-CA"/>
        </w:rPr>
        <w:t>The application for leave to appeal is dismissed with costs.)</w:t>
      </w:r>
    </w:p>
    <w:p w:rsidR="00922A7B" w:rsidRPr="00DD0EF5" w:rsidRDefault="00922A7B" w:rsidP="00026162">
      <w:pPr>
        <w:widowControl w:val="0"/>
        <w:rPr>
          <w:sz w:val="20"/>
          <w:lang w:val="fr-CA"/>
        </w:rPr>
      </w:pPr>
    </w:p>
    <w:p w:rsidR="00026162" w:rsidRPr="00DD0EF5" w:rsidRDefault="00026162" w:rsidP="00026162">
      <w:pPr>
        <w:jc w:val="both"/>
        <w:rPr>
          <w:sz w:val="20"/>
        </w:rPr>
      </w:pPr>
      <w:r w:rsidRPr="00DD0EF5">
        <w:rPr>
          <w:sz w:val="20"/>
        </w:rPr>
        <w:t>****</w:t>
      </w:r>
    </w:p>
    <w:p w:rsidR="003D1FDF" w:rsidRPr="00DD0EF5" w:rsidRDefault="003D1FDF" w:rsidP="003D1FDF">
      <w:pPr>
        <w:jc w:val="both"/>
        <w:rPr>
          <w:sz w:val="20"/>
        </w:rPr>
      </w:pPr>
    </w:p>
    <w:p w:rsidR="00E37C49" w:rsidRPr="00E37C49" w:rsidRDefault="00E37C49" w:rsidP="00E37C49">
      <w:pPr>
        <w:rPr>
          <w:rFonts w:eastAsia="Calibri"/>
          <w:i/>
          <w:sz w:val="22"/>
          <w:szCs w:val="22"/>
          <w:lang w:val="en-CA"/>
        </w:rPr>
      </w:pPr>
      <w:r w:rsidRPr="00E37C49">
        <w:rPr>
          <w:rFonts w:eastAsia="Calibri"/>
          <w:i/>
          <w:sz w:val="22"/>
          <w:szCs w:val="22"/>
          <w:lang w:val="en-CA"/>
        </w:rPr>
        <w:t xml:space="preserve">John Paul Abbott v. Law Society of Upper Canada </w:t>
      </w:r>
      <w:r w:rsidRPr="00E37C49">
        <w:rPr>
          <w:sz w:val="22"/>
          <w:szCs w:val="22"/>
        </w:rPr>
        <w:t>(Ont.) (Civil) (By Leave) (</w:t>
      </w:r>
      <w:hyperlink r:id="rId14" w:history="1">
        <w:r w:rsidRPr="00E37C49">
          <w:rPr>
            <w:rStyle w:val="Hyperlink"/>
            <w:sz w:val="22"/>
            <w:szCs w:val="22"/>
          </w:rPr>
          <w:t>37753</w:t>
        </w:r>
      </w:hyperlink>
      <w:r w:rsidRPr="00E37C49">
        <w:rPr>
          <w:sz w:val="22"/>
          <w:szCs w:val="22"/>
        </w:rPr>
        <w:t>)</w:t>
      </w:r>
    </w:p>
    <w:p w:rsidR="002D1D51" w:rsidRPr="00DD0EF5" w:rsidRDefault="00E37C49" w:rsidP="00771432">
      <w:pPr>
        <w:widowControl w:val="0"/>
        <w:rPr>
          <w:sz w:val="20"/>
        </w:rPr>
      </w:pPr>
      <w:r w:rsidRPr="00E37C49">
        <w:rPr>
          <w:sz w:val="20"/>
        </w:rPr>
        <w:t xml:space="preserve">(The application for leave to appeal is dismissed with costs. / </w:t>
      </w:r>
      <w:r w:rsidRPr="00DD0EF5">
        <w:rPr>
          <w:sz w:val="20"/>
        </w:rPr>
        <w:t>La demande d’autorisation d’appel est rejetée avec dépens.)</w:t>
      </w:r>
    </w:p>
    <w:p w:rsidR="002D1D51" w:rsidRPr="00DD0EF5" w:rsidRDefault="002D1D51" w:rsidP="00771432">
      <w:pPr>
        <w:widowControl w:val="0"/>
        <w:rPr>
          <w:sz w:val="20"/>
        </w:rPr>
      </w:pPr>
    </w:p>
    <w:p w:rsidR="00771432" w:rsidRPr="00DD0EF5" w:rsidRDefault="00771432" w:rsidP="00771432">
      <w:pPr>
        <w:jc w:val="both"/>
        <w:rPr>
          <w:sz w:val="20"/>
        </w:rPr>
      </w:pPr>
      <w:r w:rsidRPr="00DD0EF5">
        <w:rPr>
          <w:sz w:val="20"/>
        </w:rPr>
        <w:t>****</w:t>
      </w:r>
    </w:p>
    <w:p w:rsidR="004C2D83" w:rsidRPr="00DD0EF5" w:rsidRDefault="004C2D83" w:rsidP="004C2D83">
      <w:pPr>
        <w:jc w:val="both"/>
        <w:rPr>
          <w:sz w:val="20"/>
        </w:rPr>
      </w:pPr>
    </w:p>
    <w:p w:rsidR="00296512" w:rsidRPr="00296512" w:rsidRDefault="00296512" w:rsidP="00296512">
      <w:pPr>
        <w:rPr>
          <w:sz w:val="22"/>
          <w:szCs w:val="22"/>
        </w:rPr>
      </w:pPr>
      <w:r w:rsidRPr="00296512">
        <w:rPr>
          <w:i/>
          <w:sz w:val="22"/>
          <w:szCs w:val="22"/>
        </w:rPr>
        <w:t>Rashida Abdulrasul Samji v. Her Majesty the Queen</w:t>
      </w:r>
      <w:r w:rsidRPr="00296512">
        <w:rPr>
          <w:sz w:val="22"/>
          <w:szCs w:val="22"/>
        </w:rPr>
        <w:t xml:space="preserve"> (B.C.) (Criminal) (By Leave) (</w:t>
      </w:r>
      <w:hyperlink r:id="rId15" w:history="1">
        <w:r w:rsidRPr="00296512">
          <w:rPr>
            <w:rStyle w:val="Hyperlink"/>
            <w:sz w:val="22"/>
            <w:szCs w:val="22"/>
          </w:rPr>
          <w:t>37862</w:t>
        </w:r>
      </w:hyperlink>
      <w:r w:rsidRPr="00296512">
        <w:rPr>
          <w:sz w:val="22"/>
          <w:szCs w:val="22"/>
        </w:rPr>
        <w:t>)</w:t>
      </w:r>
    </w:p>
    <w:p w:rsidR="002D1D51" w:rsidRPr="00DD0EF5" w:rsidRDefault="00296512" w:rsidP="004C2D83">
      <w:pPr>
        <w:widowControl w:val="0"/>
        <w:rPr>
          <w:sz w:val="20"/>
        </w:rPr>
      </w:pPr>
      <w:r w:rsidRPr="00296512">
        <w:rPr>
          <w:sz w:val="20"/>
        </w:rPr>
        <w:t xml:space="preserve">(The application for leave to appeal is dismissed. / </w:t>
      </w:r>
      <w:r w:rsidRPr="00DD0EF5">
        <w:rPr>
          <w:sz w:val="20"/>
        </w:rPr>
        <w:t>La demande d’autorisation d’appel est rejetée.)</w:t>
      </w:r>
    </w:p>
    <w:p w:rsidR="002D1D51" w:rsidRPr="00DD0EF5" w:rsidRDefault="002D1D51" w:rsidP="004C2D83">
      <w:pPr>
        <w:widowControl w:val="0"/>
        <w:rPr>
          <w:sz w:val="20"/>
        </w:rPr>
      </w:pPr>
    </w:p>
    <w:p w:rsidR="004C2D83" w:rsidRPr="00DD0EF5" w:rsidRDefault="004C2D83" w:rsidP="004C2D83">
      <w:pPr>
        <w:jc w:val="both"/>
        <w:rPr>
          <w:sz w:val="20"/>
        </w:rPr>
      </w:pPr>
      <w:r w:rsidRPr="00DD0EF5">
        <w:rPr>
          <w:sz w:val="20"/>
        </w:rPr>
        <w:t>****</w:t>
      </w:r>
    </w:p>
    <w:p w:rsidR="002D1D51" w:rsidRPr="00DD0EF5" w:rsidRDefault="002D1D51" w:rsidP="002D1D51">
      <w:pPr>
        <w:widowControl w:val="0"/>
        <w:rPr>
          <w:sz w:val="20"/>
        </w:rPr>
      </w:pPr>
    </w:p>
    <w:p w:rsidR="003C7BF7" w:rsidRPr="003C7BF7" w:rsidRDefault="003C7BF7" w:rsidP="003C7BF7">
      <w:pPr>
        <w:rPr>
          <w:sz w:val="22"/>
          <w:szCs w:val="22"/>
        </w:rPr>
      </w:pPr>
      <w:r w:rsidRPr="003C7BF7">
        <w:rPr>
          <w:i/>
          <w:sz w:val="22"/>
          <w:szCs w:val="22"/>
        </w:rPr>
        <w:t xml:space="preserve">Peter Childs v. Michael Childs et al. </w:t>
      </w:r>
      <w:r w:rsidRPr="003C7BF7">
        <w:rPr>
          <w:sz w:val="22"/>
          <w:szCs w:val="22"/>
        </w:rPr>
        <w:t>(Ont.) (Civil) (By Leave) (</w:t>
      </w:r>
      <w:hyperlink r:id="rId16" w:history="1">
        <w:r w:rsidRPr="003C7BF7">
          <w:rPr>
            <w:rStyle w:val="Hyperlink"/>
            <w:sz w:val="22"/>
            <w:szCs w:val="22"/>
          </w:rPr>
          <w:t>37808</w:t>
        </w:r>
      </w:hyperlink>
      <w:r w:rsidRPr="003C7BF7">
        <w:rPr>
          <w:sz w:val="22"/>
          <w:szCs w:val="22"/>
        </w:rPr>
        <w:t>)</w:t>
      </w:r>
    </w:p>
    <w:p w:rsidR="002D1D51" w:rsidRPr="003C7BF7" w:rsidRDefault="003C7BF7" w:rsidP="002D1D51">
      <w:pPr>
        <w:widowControl w:val="0"/>
        <w:rPr>
          <w:sz w:val="20"/>
        </w:rPr>
      </w:pPr>
      <w:r w:rsidRPr="003C7BF7">
        <w:rPr>
          <w:sz w:val="20"/>
        </w:rPr>
        <w:t xml:space="preserve">(The motions to adduce new evidence are dismissed. The application for leave to appeal is dismissed with costs to the respondent Michael Childs and to the intervener Wendy Griesdorf. / </w:t>
      </w:r>
    </w:p>
    <w:p w:rsidR="002D1D51" w:rsidRPr="003C7BF7" w:rsidRDefault="003C7BF7" w:rsidP="002D1D51">
      <w:pPr>
        <w:widowControl w:val="0"/>
        <w:rPr>
          <w:sz w:val="20"/>
          <w:lang w:val="fr-CA"/>
        </w:rPr>
      </w:pPr>
      <w:r w:rsidRPr="003C7BF7">
        <w:rPr>
          <w:sz w:val="20"/>
          <w:lang w:val="fr-CA"/>
        </w:rPr>
        <w:t xml:space="preserve">Les requêtes sollicitant l’autorisation de présenter une nouvelle preuve sont rejetées. La demande d’autorisation d’appel est rejetée avec dépens en faveur de l’intimé </w:t>
      </w:r>
      <w:r w:rsidRPr="003C7BF7">
        <w:rPr>
          <w:sz w:val="20"/>
          <w:lang w:val="fr-FR"/>
        </w:rPr>
        <w:t>Michael Childs et de l’intervenante Wendy Griesdorf</w:t>
      </w:r>
      <w:r w:rsidRPr="003C7BF7">
        <w:rPr>
          <w:sz w:val="20"/>
          <w:lang w:val="fr-CA"/>
        </w:rPr>
        <w:t>.)</w:t>
      </w:r>
    </w:p>
    <w:p w:rsidR="002D1D51" w:rsidRPr="003C7BF7" w:rsidRDefault="002D1D51" w:rsidP="002D1D51">
      <w:pPr>
        <w:widowControl w:val="0"/>
        <w:rPr>
          <w:sz w:val="20"/>
          <w:lang w:val="fr-CA"/>
        </w:rPr>
      </w:pPr>
    </w:p>
    <w:p w:rsidR="002D1D51" w:rsidRPr="00DD0EF5" w:rsidRDefault="002D1D51" w:rsidP="002D1D51">
      <w:pPr>
        <w:jc w:val="both"/>
        <w:rPr>
          <w:sz w:val="20"/>
        </w:rPr>
      </w:pPr>
      <w:r w:rsidRPr="00DD0EF5">
        <w:rPr>
          <w:sz w:val="20"/>
        </w:rPr>
        <w:t>****</w:t>
      </w:r>
    </w:p>
    <w:p w:rsidR="002D1D51" w:rsidRPr="00DD0EF5" w:rsidRDefault="002D1D51" w:rsidP="002D1D51">
      <w:pPr>
        <w:jc w:val="both"/>
        <w:rPr>
          <w:sz w:val="20"/>
        </w:rPr>
      </w:pPr>
    </w:p>
    <w:p w:rsidR="00CA6FFC" w:rsidRPr="00CA6FFC" w:rsidRDefault="00CA6FFC" w:rsidP="00CA6FFC">
      <w:pPr>
        <w:pStyle w:val="SCCAppellantInfoAppellantInfo"/>
        <w:rPr>
          <w:sz w:val="22"/>
          <w:szCs w:val="22"/>
        </w:rPr>
      </w:pPr>
      <w:r w:rsidRPr="00CA6FFC">
        <w:rPr>
          <w:i/>
          <w:sz w:val="22"/>
          <w:szCs w:val="22"/>
        </w:rPr>
        <w:t>Mary Ranieri v. Her Majesty the Queen</w:t>
      </w:r>
      <w:r w:rsidRPr="00CA6FFC">
        <w:rPr>
          <w:sz w:val="22"/>
          <w:szCs w:val="22"/>
        </w:rPr>
        <w:t xml:space="preserve"> (Ont.) (Criminal) (By Leave) (</w:t>
      </w:r>
      <w:hyperlink r:id="rId17" w:history="1">
        <w:r w:rsidRPr="00CA6FFC">
          <w:rPr>
            <w:rStyle w:val="Hyperlink"/>
            <w:sz w:val="22"/>
            <w:szCs w:val="22"/>
          </w:rPr>
          <w:t>37830</w:t>
        </w:r>
      </w:hyperlink>
      <w:r w:rsidRPr="00CA6FFC">
        <w:rPr>
          <w:sz w:val="22"/>
          <w:szCs w:val="22"/>
        </w:rPr>
        <w:t>)</w:t>
      </w:r>
    </w:p>
    <w:p w:rsidR="002D1D51" w:rsidRPr="00DD0EF5" w:rsidRDefault="00CA6FFC" w:rsidP="002D1D51">
      <w:pPr>
        <w:widowControl w:val="0"/>
        <w:rPr>
          <w:sz w:val="20"/>
          <w:lang w:val="fr-CA"/>
        </w:rPr>
      </w:pPr>
      <w:r w:rsidRPr="00CA6FFC">
        <w:rPr>
          <w:sz w:val="20"/>
        </w:rPr>
        <w:t xml:space="preserve">(The motion for an extension of time to serve and file the response is granted. </w:t>
      </w:r>
      <w:r w:rsidRPr="00DD0EF5">
        <w:rPr>
          <w:sz w:val="20"/>
          <w:lang w:val="fr-CA"/>
        </w:rPr>
        <w:t xml:space="preserve">The application for leave to appeal is dismissed. / </w:t>
      </w:r>
    </w:p>
    <w:p w:rsidR="002D1D51" w:rsidRPr="00CA6FFC" w:rsidRDefault="00CA6FFC" w:rsidP="002D1D51">
      <w:pPr>
        <w:widowControl w:val="0"/>
        <w:rPr>
          <w:sz w:val="20"/>
          <w:lang w:val="fr-CA"/>
        </w:rPr>
      </w:pPr>
      <w:r w:rsidRPr="00CA6FFC">
        <w:rPr>
          <w:sz w:val="20"/>
          <w:lang w:val="fr-CA"/>
        </w:rPr>
        <w:t>La requête en prorogation du délai de signification et de dépôt d’une réponse est accueillie. La demande d’autorisation d’appel est rejetée.)</w:t>
      </w:r>
    </w:p>
    <w:p w:rsidR="002D1D51" w:rsidRPr="00CA6FFC" w:rsidRDefault="002D1D51" w:rsidP="002D1D51">
      <w:pPr>
        <w:widowControl w:val="0"/>
        <w:rPr>
          <w:sz w:val="20"/>
          <w:lang w:val="fr-CA"/>
        </w:rPr>
      </w:pPr>
    </w:p>
    <w:p w:rsidR="002D1D51" w:rsidRPr="006C7E68" w:rsidRDefault="002D1D51" w:rsidP="002D1D51">
      <w:pPr>
        <w:jc w:val="both"/>
        <w:rPr>
          <w:sz w:val="20"/>
          <w:lang w:val="fr-CA"/>
        </w:rPr>
      </w:pPr>
      <w:r w:rsidRPr="006C7E68">
        <w:rPr>
          <w:sz w:val="20"/>
          <w:lang w:val="fr-CA"/>
        </w:rPr>
        <w:t>****</w:t>
      </w:r>
    </w:p>
    <w:p w:rsidR="002D1D51" w:rsidRPr="006C7E68" w:rsidRDefault="002D1D51" w:rsidP="002D1D51">
      <w:pPr>
        <w:jc w:val="both"/>
        <w:rPr>
          <w:sz w:val="20"/>
          <w:lang w:val="fr-CA"/>
        </w:rPr>
      </w:pPr>
    </w:p>
    <w:p w:rsidR="00745EE1" w:rsidRPr="00745EE1" w:rsidRDefault="00745EE1" w:rsidP="00745EE1">
      <w:pPr>
        <w:pStyle w:val="SCCAppellantInfoAppellantInfo"/>
        <w:rPr>
          <w:sz w:val="22"/>
          <w:szCs w:val="22"/>
        </w:rPr>
      </w:pPr>
      <w:r w:rsidRPr="00745EE1">
        <w:rPr>
          <w:i/>
          <w:sz w:val="22"/>
          <w:szCs w:val="22"/>
          <w:lang w:val="fr-CA"/>
        </w:rPr>
        <w:t>SouthGobi Resources Ltd. et al. v. Paiman Rahimi</w:t>
      </w:r>
      <w:r w:rsidRPr="00745EE1">
        <w:rPr>
          <w:sz w:val="22"/>
          <w:szCs w:val="22"/>
          <w:lang w:val="fr-CA"/>
        </w:rPr>
        <w:t xml:space="preserve"> (Ont.) </w:t>
      </w:r>
      <w:r w:rsidRPr="00745EE1">
        <w:rPr>
          <w:sz w:val="22"/>
          <w:szCs w:val="22"/>
        </w:rPr>
        <w:t>(Civil) (By Leave) (</w:t>
      </w:r>
      <w:hyperlink r:id="rId18" w:history="1">
        <w:r w:rsidRPr="00745EE1">
          <w:rPr>
            <w:rStyle w:val="Hyperlink"/>
            <w:sz w:val="22"/>
            <w:szCs w:val="22"/>
          </w:rPr>
          <w:t>37844</w:t>
        </w:r>
      </w:hyperlink>
      <w:r w:rsidRPr="00745EE1">
        <w:rPr>
          <w:sz w:val="22"/>
          <w:szCs w:val="22"/>
        </w:rPr>
        <w:t>)</w:t>
      </w:r>
    </w:p>
    <w:p w:rsidR="002D1D51" w:rsidRPr="00DD0EF5" w:rsidRDefault="00745EE1" w:rsidP="002D1D51">
      <w:pPr>
        <w:widowControl w:val="0"/>
        <w:rPr>
          <w:sz w:val="20"/>
        </w:rPr>
      </w:pPr>
      <w:r w:rsidRPr="00745EE1">
        <w:rPr>
          <w:sz w:val="20"/>
        </w:rPr>
        <w:t xml:space="preserve">(The application for leave to appeal is dismissed with costs. / </w:t>
      </w:r>
      <w:r w:rsidRPr="00DD0EF5">
        <w:rPr>
          <w:sz w:val="20"/>
        </w:rPr>
        <w:t>La demande d’autorisation d’appel est rejetée avec dépens.)</w:t>
      </w:r>
    </w:p>
    <w:p w:rsidR="002D1D51" w:rsidRPr="00DD0EF5" w:rsidRDefault="002D1D51" w:rsidP="002D1D51">
      <w:pPr>
        <w:widowControl w:val="0"/>
        <w:rPr>
          <w:sz w:val="20"/>
        </w:rPr>
      </w:pPr>
    </w:p>
    <w:p w:rsidR="002D1D51" w:rsidRPr="00D07DA2" w:rsidRDefault="002D1D51" w:rsidP="002D1D51">
      <w:pPr>
        <w:jc w:val="both"/>
        <w:rPr>
          <w:sz w:val="20"/>
          <w:lang w:val="fr-CA"/>
        </w:rPr>
      </w:pPr>
      <w:r w:rsidRPr="00D07DA2">
        <w:rPr>
          <w:sz w:val="20"/>
          <w:lang w:val="fr-CA"/>
        </w:rPr>
        <w:t>****</w:t>
      </w:r>
    </w:p>
    <w:p w:rsidR="00F03839" w:rsidRPr="00D07DA2" w:rsidRDefault="00F03839" w:rsidP="00F03839">
      <w:pPr>
        <w:jc w:val="both"/>
        <w:rPr>
          <w:sz w:val="20"/>
          <w:lang w:val="fr-CA"/>
        </w:rPr>
      </w:pPr>
    </w:p>
    <w:p w:rsidR="00A46D73" w:rsidRPr="00A46D73" w:rsidRDefault="00A46D73" w:rsidP="00A46D73">
      <w:pPr>
        <w:pStyle w:val="SCCAppellantInfoAppellantInfo"/>
        <w:rPr>
          <w:i/>
          <w:sz w:val="22"/>
          <w:szCs w:val="22"/>
        </w:rPr>
      </w:pPr>
      <w:r w:rsidRPr="00A46D73">
        <w:rPr>
          <w:i/>
          <w:sz w:val="22"/>
          <w:szCs w:val="22"/>
          <w:lang w:val="fr-CA"/>
        </w:rPr>
        <w:t xml:space="preserve">Mary Ranieri v. Satyadev Nagari </w:t>
      </w:r>
      <w:r w:rsidRPr="00A46D73">
        <w:rPr>
          <w:sz w:val="22"/>
          <w:szCs w:val="22"/>
          <w:lang w:val="fr-CA"/>
        </w:rPr>
        <w:t xml:space="preserve">(Ont.) </w:t>
      </w:r>
      <w:r w:rsidRPr="00A46D73">
        <w:rPr>
          <w:sz w:val="22"/>
          <w:szCs w:val="22"/>
        </w:rPr>
        <w:t>(Civil) (By Leave) (</w:t>
      </w:r>
      <w:hyperlink r:id="rId19" w:history="1">
        <w:r w:rsidRPr="00A46D73">
          <w:rPr>
            <w:rStyle w:val="Hyperlink"/>
            <w:sz w:val="22"/>
            <w:szCs w:val="22"/>
          </w:rPr>
          <w:t>37796</w:t>
        </w:r>
      </w:hyperlink>
      <w:r w:rsidRPr="00A46D73">
        <w:rPr>
          <w:sz w:val="22"/>
          <w:szCs w:val="22"/>
        </w:rPr>
        <w:t>)</w:t>
      </w:r>
    </w:p>
    <w:p w:rsidR="00F03839" w:rsidRPr="00A46D73" w:rsidRDefault="00A46D73" w:rsidP="00F03839">
      <w:pPr>
        <w:widowControl w:val="0"/>
        <w:rPr>
          <w:b/>
          <w:sz w:val="20"/>
        </w:rPr>
      </w:pPr>
      <w:r w:rsidRPr="00A46D73">
        <w:rPr>
          <w:sz w:val="20"/>
        </w:rPr>
        <w:t>(The motion for an extension of time to serve and file the application for leave to appeal is granted. The application for leave to appeal is dismissed without costs.</w:t>
      </w:r>
      <w:r w:rsidRPr="00A46D73">
        <w:rPr>
          <w:b/>
          <w:sz w:val="20"/>
        </w:rPr>
        <w:t xml:space="preserve"> / </w:t>
      </w:r>
    </w:p>
    <w:p w:rsidR="00F03839" w:rsidRPr="00A46D73" w:rsidRDefault="00A46D73" w:rsidP="00F03839">
      <w:pPr>
        <w:widowControl w:val="0"/>
        <w:rPr>
          <w:sz w:val="20"/>
          <w:lang w:val="fr-CA"/>
        </w:rPr>
      </w:pPr>
      <w:r w:rsidRPr="00A46D73">
        <w:rPr>
          <w:sz w:val="20"/>
          <w:lang w:val="fr-CA"/>
        </w:rPr>
        <w:lastRenderedPageBreak/>
        <w:t>La requête en prorogation du délai de signification et de dépôt de la demande d’autorisation d’appel est accueillie. La demande d’autorisation d’appel est rejetée sans dépens.)</w:t>
      </w:r>
    </w:p>
    <w:p w:rsidR="00F03839" w:rsidRPr="00A46D73" w:rsidRDefault="00F03839" w:rsidP="00F03839">
      <w:pPr>
        <w:widowControl w:val="0"/>
        <w:rPr>
          <w:sz w:val="20"/>
          <w:lang w:val="fr-CA"/>
        </w:rPr>
      </w:pPr>
    </w:p>
    <w:p w:rsidR="00F03839" w:rsidRPr="006C7E68" w:rsidRDefault="00F03839" w:rsidP="00F03839">
      <w:pPr>
        <w:jc w:val="both"/>
        <w:rPr>
          <w:sz w:val="20"/>
          <w:lang w:val="fr-CA"/>
        </w:rPr>
      </w:pPr>
      <w:r w:rsidRPr="006C7E68">
        <w:rPr>
          <w:sz w:val="20"/>
          <w:lang w:val="fr-CA"/>
        </w:rPr>
        <w:t>****</w:t>
      </w:r>
    </w:p>
    <w:p w:rsidR="00F03839" w:rsidRPr="006C7E68" w:rsidRDefault="00F03839" w:rsidP="00F03839">
      <w:pPr>
        <w:jc w:val="both"/>
        <w:rPr>
          <w:sz w:val="20"/>
          <w:lang w:val="fr-CA"/>
        </w:rPr>
      </w:pPr>
    </w:p>
    <w:p w:rsidR="002F0FF7" w:rsidRPr="002F0FF7" w:rsidRDefault="002F0FF7" w:rsidP="002F0FF7">
      <w:pPr>
        <w:rPr>
          <w:sz w:val="22"/>
          <w:szCs w:val="22"/>
          <w:lang w:val="en-CA"/>
        </w:rPr>
      </w:pPr>
      <w:r w:rsidRPr="00DD0EF5">
        <w:rPr>
          <w:i/>
          <w:sz w:val="22"/>
          <w:szCs w:val="22"/>
          <w:lang w:val="fr-CA"/>
        </w:rPr>
        <w:t>James Rajbhandari v. Her Majesty the Queen</w:t>
      </w:r>
      <w:r w:rsidRPr="00DD0EF5">
        <w:rPr>
          <w:sz w:val="22"/>
          <w:szCs w:val="22"/>
          <w:lang w:val="fr-CA"/>
        </w:rPr>
        <w:t xml:space="preserve"> (Alta.) </w:t>
      </w:r>
      <w:r w:rsidRPr="002F0FF7">
        <w:rPr>
          <w:sz w:val="22"/>
          <w:szCs w:val="22"/>
          <w:lang w:val="en-CA"/>
        </w:rPr>
        <w:t xml:space="preserve">(Criminal) (By Leave) </w:t>
      </w:r>
      <w:r w:rsidRPr="002F0FF7">
        <w:rPr>
          <w:sz w:val="22"/>
          <w:szCs w:val="22"/>
        </w:rPr>
        <w:t>(</w:t>
      </w:r>
      <w:hyperlink r:id="rId20" w:history="1">
        <w:r w:rsidRPr="002F0FF7">
          <w:rPr>
            <w:rStyle w:val="Hyperlink"/>
            <w:sz w:val="22"/>
            <w:szCs w:val="22"/>
          </w:rPr>
          <w:t>37935</w:t>
        </w:r>
      </w:hyperlink>
      <w:r w:rsidRPr="002F0FF7">
        <w:rPr>
          <w:sz w:val="22"/>
          <w:szCs w:val="22"/>
        </w:rPr>
        <w:t>)</w:t>
      </w:r>
    </w:p>
    <w:p w:rsidR="00F03839" w:rsidRPr="002F0FF7" w:rsidRDefault="002F0FF7" w:rsidP="002F0FF7">
      <w:pPr>
        <w:jc w:val="both"/>
        <w:rPr>
          <w:sz w:val="20"/>
        </w:rPr>
      </w:pPr>
      <w:r w:rsidRPr="002F0FF7">
        <w:rPr>
          <w:sz w:val="20"/>
        </w:rPr>
        <w:t xml:space="preserve">(The motion for an extension of time to serve and file the application for leave to appeal is granted. The application for leave to appeal is dismissed. Martin J. took no part in the judgment. / </w:t>
      </w:r>
    </w:p>
    <w:p w:rsidR="00F03839" w:rsidRPr="002F0FF7" w:rsidRDefault="002F0FF7" w:rsidP="002F0FF7">
      <w:pPr>
        <w:jc w:val="both"/>
        <w:rPr>
          <w:sz w:val="20"/>
          <w:lang w:val="fr-CA"/>
        </w:rPr>
      </w:pPr>
      <w:r w:rsidRPr="002F0FF7">
        <w:rPr>
          <w:sz w:val="20"/>
          <w:lang w:val="fr-CA"/>
        </w:rPr>
        <w:t>La requête en prorogation du délai de signification et de dépôt de la demande d’autorisation d’appel est accueillie. La demande d’autorisation d’appel est rejetée. La juge Martin n’a pas participé au jugement.)</w:t>
      </w:r>
    </w:p>
    <w:p w:rsidR="00F03839" w:rsidRPr="002F0FF7" w:rsidRDefault="00F03839" w:rsidP="00F03839">
      <w:pPr>
        <w:widowControl w:val="0"/>
        <w:rPr>
          <w:sz w:val="20"/>
          <w:lang w:val="fr-CA"/>
        </w:rPr>
      </w:pPr>
    </w:p>
    <w:p w:rsidR="00F03839" w:rsidRPr="00236C93" w:rsidRDefault="00F03839" w:rsidP="00F03839">
      <w:pPr>
        <w:jc w:val="both"/>
        <w:rPr>
          <w:sz w:val="20"/>
        </w:rPr>
      </w:pPr>
      <w:r w:rsidRPr="00236C93">
        <w:rPr>
          <w:sz w:val="20"/>
        </w:rPr>
        <w:t>****</w:t>
      </w:r>
    </w:p>
    <w:p w:rsidR="00F03839" w:rsidRPr="00236C93" w:rsidRDefault="00F03839" w:rsidP="00F03839">
      <w:pPr>
        <w:widowControl w:val="0"/>
        <w:rPr>
          <w:sz w:val="20"/>
        </w:rPr>
      </w:pPr>
    </w:p>
    <w:p w:rsidR="00236C93" w:rsidRPr="00236C93" w:rsidRDefault="00236C93" w:rsidP="00236C93">
      <w:pPr>
        <w:rPr>
          <w:sz w:val="22"/>
          <w:szCs w:val="22"/>
        </w:rPr>
      </w:pPr>
      <w:r w:rsidRPr="00236C93">
        <w:rPr>
          <w:i/>
          <w:sz w:val="22"/>
          <w:szCs w:val="22"/>
          <w:lang w:val="en-CA"/>
        </w:rPr>
        <w:t>Hai Xiong (Hanson) Ruan v. Her Majesty the Queen</w:t>
      </w:r>
      <w:r w:rsidRPr="00236C93">
        <w:rPr>
          <w:sz w:val="22"/>
          <w:szCs w:val="22"/>
        </w:rPr>
        <w:t xml:space="preserve"> </w:t>
      </w:r>
      <w:r w:rsidRPr="00236C93">
        <w:rPr>
          <w:sz w:val="22"/>
          <w:szCs w:val="22"/>
          <w:lang w:val="en-CA"/>
        </w:rPr>
        <w:t>(B.C.) (Criminal) (By Leave)</w:t>
      </w:r>
      <w:r w:rsidRPr="00236C93">
        <w:rPr>
          <w:sz w:val="22"/>
          <w:szCs w:val="22"/>
        </w:rPr>
        <w:t xml:space="preserve"> (</w:t>
      </w:r>
      <w:hyperlink r:id="rId21" w:history="1">
        <w:r w:rsidRPr="00236C93">
          <w:rPr>
            <w:rStyle w:val="Hyperlink"/>
            <w:sz w:val="22"/>
            <w:szCs w:val="22"/>
          </w:rPr>
          <w:t>37960</w:t>
        </w:r>
      </w:hyperlink>
      <w:r w:rsidRPr="00236C93">
        <w:rPr>
          <w:sz w:val="22"/>
          <w:szCs w:val="22"/>
        </w:rPr>
        <w:t>)</w:t>
      </w:r>
    </w:p>
    <w:p w:rsidR="00F03839" w:rsidRPr="00DD0EF5" w:rsidRDefault="00236C93" w:rsidP="00F03839">
      <w:pPr>
        <w:widowControl w:val="0"/>
        <w:rPr>
          <w:sz w:val="20"/>
          <w:lang w:val="fr-CA"/>
        </w:rPr>
      </w:pPr>
      <w:r w:rsidRPr="00236C93">
        <w:rPr>
          <w:sz w:val="20"/>
        </w:rPr>
        <w:t xml:space="preserve">(The motion for an extension of time to serve and file the application for leave to appeal is granted. </w:t>
      </w:r>
      <w:r w:rsidRPr="00DD0EF5">
        <w:rPr>
          <w:sz w:val="20"/>
          <w:lang w:val="fr-CA"/>
        </w:rPr>
        <w:t xml:space="preserve">The application for leave to appeal is dismissed. / </w:t>
      </w:r>
    </w:p>
    <w:p w:rsidR="00F03839" w:rsidRPr="00DD0EF5" w:rsidRDefault="00236C93" w:rsidP="00F03839">
      <w:pPr>
        <w:widowControl w:val="0"/>
        <w:rPr>
          <w:sz w:val="20"/>
        </w:rPr>
      </w:pPr>
      <w:r w:rsidRPr="00236C93">
        <w:rPr>
          <w:sz w:val="20"/>
          <w:lang w:val="fr-CA"/>
        </w:rPr>
        <w:t xml:space="preserve">La requête en prorogation du délai de signification et de dépôt de la demande d’autorisation d’appel est accueillie. </w:t>
      </w:r>
      <w:r w:rsidRPr="00DD0EF5">
        <w:rPr>
          <w:sz w:val="20"/>
        </w:rPr>
        <w:t>La demande d’autorisation d’appel est rejetée.)</w:t>
      </w:r>
    </w:p>
    <w:p w:rsidR="00F03839" w:rsidRPr="00DD0EF5" w:rsidRDefault="00F03839" w:rsidP="00F03839">
      <w:pPr>
        <w:widowControl w:val="0"/>
        <w:rPr>
          <w:sz w:val="20"/>
        </w:rPr>
      </w:pPr>
    </w:p>
    <w:p w:rsidR="00F03839" w:rsidRPr="00DD0EF5" w:rsidRDefault="00F03839" w:rsidP="00F03839">
      <w:pPr>
        <w:jc w:val="both"/>
        <w:rPr>
          <w:sz w:val="20"/>
        </w:rPr>
      </w:pPr>
      <w:r w:rsidRPr="00DD0EF5">
        <w:rPr>
          <w:sz w:val="20"/>
        </w:rPr>
        <w:t>****</w:t>
      </w:r>
    </w:p>
    <w:p w:rsidR="00F03839" w:rsidRPr="00DD0EF5" w:rsidRDefault="00F03839" w:rsidP="00F03839">
      <w:pPr>
        <w:jc w:val="both"/>
        <w:rPr>
          <w:sz w:val="20"/>
        </w:rPr>
      </w:pPr>
    </w:p>
    <w:p w:rsidR="00A17090" w:rsidRPr="00A17090" w:rsidRDefault="00A17090" w:rsidP="00A17090">
      <w:pPr>
        <w:rPr>
          <w:sz w:val="22"/>
          <w:szCs w:val="22"/>
        </w:rPr>
      </w:pPr>
      <w:r w:rsidRPr="00A17090">
        <w:rPr>
          <w:i/>
          <w:sz w:val="22"/>
          <w:szCs w:val="22"/>
          <w:lang w:val="en-CA"/>
        </w:rPr>
        <w:t>Nylene Canada Inc. v. Corporation of the Town of Arnprior</w:t>
      </w:r>
      <w:r w:rsidRPr="00A17090">
        <w:rPr>
          <w:sz w:val="22"/>
          <w:szCs w:val="22"/>
        </w:rPr>
        <w:t xml:space="preserve"> (Ont.) (Civil) (By Leave) (</w:t>
      </w:r>
      <w:hyperlink r:id="rId22" w:history="1">
        <w:r w:rsidRPr="00A17090">
          <w:rPr>
            <w:rStyle w:val="Hyperlink"/>
            <w:sz w:val="22"/>
            <w:szCs w:val="22"/>
          </w:rPr>
          <w:t>37837</w:t>
        </w:r>
      </w:hyperlink>
      <w:r w:rsidRPr="00A17090">
        <w:rPr>
          <w:sz w:val="22"/>
          <w:szCs w:val="22"/>
        </w:rPr>
        <w:t>)</w:t>
      </w:r>
    </w:p>
    <w:p w:rsidR="00F03839" w:rsidRPr="00A17090" w:rsidRDefault="00A17090" w:rsidP="00F03839">
      <w:pPr>
        <w:widowControl w:val="0"/>
        <w:rPr>
          <w:sz w:val="20"/>
          <w:lang w:val="fr-CA"/>
        </w:rPr>
      </w:pPr>
      <w:r w:rsidRPr="00A17090">
        <w:rPr>
          <w:sz w:val="20"/>
        </w:rPr>
        <w:t xml:space="preserve">(The application for leave to appeal is dismissed with costs. / </w:t>
      </w:r>
      <w:r w:rsidRPr="00A17090">
        <w:rPr>
          <w:sz w:val="20"/>
          <w:lang w:val="fr-CA"/>
        </w:rPr>
        <w:t xml:space="preserve">La demande d’autorisation d’appel </w:t>
      </w:r>
      <w:proofErr w:type="gramStart"/>
      <w:r w:rsidRPr="00A17090">
        <w:rPr>
          <w:sz w:val="20"/>
          <w:lang w:val="fr-CA"/>
        </w:rPr>
        <w:t>est</w:t>
      </w:r>
      <w:proofErr w:type="gramEnd"/>
      <w:r w:rsidRPr="00A17090">
        <w:rPr>
          <w:sz w:val="20"/>
          <w:lang w:val="fr-CA"/>
        </w:rPr>
        <w:t xml:space="preserve"> rejetée avec dépens.)</w:t>
      </w:r>
    </w:p>
    <w:p w:rsidR="00F03839" w:rsidRPr="00A17090" w:rsidRDefault="00F03839" w:rsidP="00F03839">
      <w:pPr>
        <w:widowControl w:val="0"/>
        <w:rPr>
          <w:sz w:val="20"/>
          <w:lang w:val="fr-CA"/>
        </w:rPr>
      </w:pPr>
    </w:p>
    <w:p w:rsidR="00F03839" w:rsidRPr="006C7E68" w:rsidRDefault="00F03839" w:rsidP="00F03839">
      <w:pPr>
        <w:jc w:val="both"/>
        <w:rPr>
          <w:sz w:val="20"/>
          <w:lang w:val="fr-CA"/>
        </w:rPr>
      </w:pPr>
      <w:r w:rsidRPr="006C7E68">
        <w:rPr>
          <w:sz w:val="20"/>
          <w:lang w:val="fr-CA"/>
        </w:rPr>
        <w:t>****</w:t>
      </w:r>
    </w:p>
    <w:p w:rsidR="00922A7B" w:rsidRPr="006C7E68" w:rsidRDefault="00922A7B" w:rsidP="006C152B">
      <w:pPr>
        <w:ind w:left="360" w:hanging="360"/>
        <w:contextualSpacing/>
        <w:jc w:val="both"/>
        <w:rPr>
          <w:sz w:val="20"/>
          <w:lang w:val="fr-CA"/>
        </w:rPr>
      </w:pPr>
    </w:p>
    <w:p w:rsidR="006C7E68" w:rsidRPr="006C7E68" w:rsidRDefault="006C7E68" w:rsidP="006C7E68">
      <w:pPr>
        <w:ind w:left="360" w:hanging="360"/>
        <w:rPr>
          <w:sz w:val="20"/>
          <w:lang w:val="en-CA"/>
        </w:rPr>
      </w:pPr>
    </w:p>
    <w:p w:rsidR="00824220" w:rsidRPr="0008004B" w:rsidRDefault="00824220" w:rsidP="00A17090">
      <w:pPr>
        <w:contextualSpacing/>
        <w:jc w:val="both"/>
        <w:rPr>
          <w:sz w:val="20"/>
        </w:rPr>
      </w:pPr>
    </w:p>
    <w:p w:rsidR="002E4682" w:rsidRPr="0008004B" w:rsidRDefault="002E4682" w:rsidP="002E4682">
      <w:pPr>
        <w:widowControl w:val="0"/>
        <w:outlineLvl w:val="0"/>
      </w:pPr>
      <w:r w:rsidRPr="0008004B">
        <w:t xml:space="preserve">Supreme Court of Canada / Cour suprême du </w:t>
      </w:r>
      <w:proofErr w:type="gramStart"/>
      <w:r w:rsidRPr="0008004B">
        <w:t>Canada :</w:t>
      </w:r>
      <w:proofErr w:type="gramEnd"/>
      <w:r w:rsidRPr="0008004B">
        <w:t xml:space="preserve"> </w:t>
      </w:r>
    </w:p>
    <w:p w:rsidR="002E4682" w:rsidRPr="0008004B" w:rsidRDefault="00B73AEA" w:rsidP="002E4682">
      <w:pPr>
        <w:widowControl w:val="0"/>
        <w:outlineLvl w:val="0"/>
        <w:rPr>
          <w:color w:val="0000FF"/>
          <w:u w:val="single"/>
        </w:rPr>
      </w:pPr>
      <w:hyperlink r:id="rId23" w:history="1">
        <w:r w:rsidR="002E4682" w:rsidRPr="0008004B">
          <w:rPr>
            <w:rStyle w:val="Hyperlink"/>
          </w:rPr>
          <w:t>comments-commentaires@scc-csc.ca</w:t>
        </w:r>
      </w:hyperlink>
    </w:p>
    <w:p w:rsidR="002E4682" w:rsidRPr="0008004B" w:rsidRDefault="002E4682" w:rsidP="002E4682">
      <w:pPr>
        <w:widowControl w:val="0"/>
        <w:outlineLvl w:val="0"/>
      </w:pPr>
      <w:r w:rsidRPr="0008004B">
        <w:t>(613) 995-4330</w:t>
      </w:r>
    </w:p>
    <w:p w:rsidR="002E4682" w:rsidRPr="0008004B" w:rsidRDefault="002E4682" w:rsidP="002E4682">
      <w:pPr>
        <w:widowControl w:val="0"/>
        <w:rPr>
          <w:sz w:val="20"/>
        </w:rPr>
      </w:pPr>
    </w:p>
    <w:p w:rsidR="002E4682" w:rsidRPr="0008004B" w:rsidRDefault="002E4682" w:rsidP="002E4682">
      <w:pPr>
        <w:widowControl w:val="0"/>
        <w:rPr>
          <w:sz w:val="20"/>
        </w:rPr>
      </w:pPr>
    </w:p>
    <w:p w:rsidR="000C541E" w:rsidRPr="0057289B" w:rsidRDefault="002E4682">
      <w:pPr>
        <w:pStyle w:val="Footer"/>
        <w:jc w:val="center"/>
      </w:pPr>
      <w:r w:rsidRPr="0008004B">
        <w:t>- 30 -</w:t>
      </w:r>
    </w:p>
    <w:sectPr w:rsidR="000C541E" w:rsidRPr="0057289B" w:rsidSect="007C3E99">
      <w:footerReference w:type="defaul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96CBA"/>
    <w:multiLevelType w:val="hybridMultilevel"/>
    <w:tmpl w:val="E5BC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30"/>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7"/>
  </w:num>
  <w:num w:numId="13">
    <w:abstractNumId w:val="8"/>
  </w:num>
  <w:num w:numId="14">
    <w:abstractNumId w:val="6"/>
  </w:num>
  <w:num w:numId="15">
    <w:abstractNumId w:val="29"/>
  </w:num>
  <w:num w:numId="16">
    <w:abstractNumId w:val="15"/>
  </w:num>
  <w:num w:numId="17">
    <w:abstractNumId w:val="31"/>
  </w:num>
  <w:num w:numId="18">
    <w:abstractNumId w:val="17"/>
  </w:num>
  <w:num w:numId="19">
    <w:abstractNumId w:val="0"/>
  </w:num>
  <w:num w:numId="20">
    <w:abstractNumId w:val="2"/>
  </w:num>
  <w:num w:numId="21">
    <w:abstractNumId w:val="26"/>
  </w:num>
  <w:num w:numId="22">
    <w:abstractNumId w:val="33"/>
  </w:num>
  <w:num w:numId="23">
    <w:abstractNumId w:val="20"/>
  </w:num>
  <w:num w:numId="24">
    <w:abstractNumId w:val="32"/>
  </w:num>
  <w:num w:numId="25">
    <w:abstractNumId w:val="4"/>
  </w:num>
  <w:num w:numId="26">
    <w:abstractNumId w:val="28"/>
  </w:num>
  <w:num w:numId="27">
    <w:abstractNumId w:val="36"/>
  </w:num>
  <w:num w:numId="28">
    <w:abstractNumId w:val="35"/>
  </w:num>
  <w:num w:numId="29">
    <w:abstractNumId w:val="37"/>
  </w:num>
  <w:num w:numId="30">
    <w:abstractNumId w:val="38"/>
  </w:num>
  <w:num w:numId="31">
    <w:abstractNumId w:val="18"/>
  </w:num>
  <w:num w:numId="32">
    <w:abstractNumId w:val="24"/>
  </w:num>
  <w:num w:numId="33">
    <w:abstractNumId w:val="1"/>
  </w:num>
  <w:num w:numId="34">
    <w:abstractNumId w:val="3"/>
  </w:num>
  <w:num w:numId="35">
    <w:abstractNumId w:val="21"/>
  </w:num>
  <w:num w:numId="36">
    <w:abstractNumId w:val="13"/>
  </w:num>
  <w:num w:numId="37">
    <w:abstractNumId w:val="16"/>
  </w:num>
  <w:num w:numId="38">
    <w:abstractNumId w:val="39"/>
  </w:num>
  <w:num w:numId="39">
    <w:abstractNumId w:val="11"/>
  </w:num>
  <w:num w:numId="40">
    <w:abstractNumId w:val="23"/>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1ACA"/>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BA8"/>
    <w:rsid w:val="00064C3D"/>
    <w:rsid w:val="00065F8F"/>
    <w:rsid w:val="000660E6"/>
    <w:rsid w:val="00066B80"/>
    <w:rsid w:val="00067298"/>
    <w:rsid w:val="00067929"/>
    <w:rsid w:val="00067F50"/>
    <w:rsid w:val="00070830"/>
    <w:rsid w:val="00072F91"/>
    <w:rsid w:val="000731E6"/>
    <w:rsid w:val="00073D38"/>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7484"/>
    <w:rsid w:val="00130FF5"/>
    <w:rsid w:val="00131605"/>
    <w:rsid w:val="00132635"/>
    <w:rsid w:val="00132E67"/>
    <w:rsid w:val="001352E4"/>
    <w:rsid w:val="001354E7"/>
    <w:rsid w:val="00136895"/>
    <w:rsid w:val="00136F92"/>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2188"/>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14"/>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6C93"/>
    <w:rsid w:val="00237C53"/>
    <w:rsid w:val="002407C6"/>
    <w:rsid w:val="002407D0"/>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51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2D5B"/>
    <w:rsid w:val="002C5B18"/>
    <w:rsid w:val="002C61DF"/>
    <w:rsid w:val="002C63CB"/>
    <w:rsid w:val="002C6D9C"/>
    <w:rsid w:val="002D0C49"/>
    <w:rsid w:val="002D1371"/>
    <w:rsid w:val="002D1D5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0FF7"/>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E25"/>
    <w:rsid w:val="003C5F5E"/>
    <w:rsid w:val="003C6BB7"/>
    <w:rsid w:val="003C7BF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1A03"/>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160E"/>
    <w:rsid w:val="00426676"/>
    <w:rsid w:val="00426976"/>
    <w:rsid w:val="00427F4F"/>
    <w:rsid w:val="00430373"/>
    <w:rsid w:val="004305A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869EA"/>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2585"/>
    <w:rsid w:val="004C281D"/>
    <w:rsid w:val="004C2D83"/>
    <w:rsid w:val="004C2E9D"/>
    <w:rsid w:val="004C4513"/>
    <w:rsid w:val="004C4C26"/>
    <w:rsid w:val="004C7FC6"/>
    <w:rsid w:val="004D0704"/>
    <w:rsid w:val="004D422A"/>
    <w:rsid w:val="004E020B"/>
    <w:rsid w:val="004E0B2F"/>
    <w:rsid w:val="004E1B3F"/>
    <w:rsid w:val="004E33C5"/>
    <w:rsid w:val="004E62C6"/>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173DC"/>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5E4"/>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C7E68"/>
    <w:rsid w:val="006D0DD8"/>
    <w:rsid w:val="006D0F19"/>
    <w:rsid w:val="006D3FB0"/>
    <w:rsid w:val="006D443D"/>
    <w:rsid w:val="006D4C3A"/>
    <w:rsid w:val="006D50F8"/>
    <w:rsid w:val="006D56E9"/>
    <w:rsid w:val="006D614A"/>
    <w:rsid w:val="006D6B0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6F79EE"/>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5EE1"/>
    <w:rsid w:val="007479FD"/>
    <w:rsid w:val="00747C5A"/>
    <w:rsid w:val="0075018B"/>
    <w:rsid w:val="00750A93"/>
    <w:rsid w:val="00750B42"/>
    <w:rsid w:val="00751DE7"/>
    <w:rsid w:val="00755055"/>
    <w:rsid w:val="00757888"/>
    <w:rsid w:val="00760D26"/>
    <w:rsid w:val="00761D51"/>
    <w:rsid w:val="007626D3"/>
    <w:rsid w:val="00763367"/>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086"/>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8DF"/>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5A1E"/>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2A7B"/>
    <w:rsid w:val="00923646"/>
    <w:rsid w:val="00925955"/>
    <w:rsid w:val="00925C95"/>
    <w:rsid w:val="0092773B"/>
    <w:rsid w:val="00930D7C"/>
    <w:rsid w:val="00932E04"/>
    <w:rsid w:val="009340AB"/>
    <w:rsid w:val="00936192"/>
    <w:rsid w:val="00936642"/>
    <w:rsid w:val="009367AC"/>
    <w:rsid w:val="00940746"/>
    <w:rsid w:val="00942A08"/>
    <w:rsid w:val="00942CAD"/>
    <w:rsid w:val="00943363"/>
    <w:rsid w:val="009434F5"/>
    <w:rsid w:val="009441A5"/>
    <w:rsid w:val="00944736"/>
    <w:rsid w:val="00950FA8"/>
    <w:rsid w:val="00951233"/>
    <w:rsid w:val="00952AFC"/>
    <w:rsid w:val="00952FCA"/>
    <w:rsid w:val="00956067"/>
    <w:rsid w:val="009571E4"/>
    <w:rsid w:val="009574CC"/>
    <w:rsid w:val="00957921"/>
    <w:rsid w:val="00957C00"/>
    <w:rsid w:val="00957EFD"/>
    <w:rsid w:val="009619CF"/>
    <w:rsid w:val="0096282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17090"/>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6D73"/>
    <w:rsid w:val="00A476D4"/>
    <w:rsid w:val="00A50604"/>
    <w:rsid w:val="00A50E26"/>
    <w:rsid w:val="00A52186"/>
    <w:rsid w:val="00A54818"/>
    <w:rsid w:val="00A54F6C"/>
    <w:rsid w:val="00A56409"/>
    <w:rsid w:val="00A5682D"/>
    <w:rsid w:val="00A575AD"/>
    <w:rsid w:val="00A57B79"/>
    <w:rsid w:val="00A602C0"/>
    <w:rsid w:val="00A60CA4"/>
    <w:rsid w:val="00A62285"/>
    <w:rsid w:val="00A635D9"/>
    <w:rsid w:val="00A64BF1"/>
    <w:rsid w:val="00A70197"/>
    <w:rsid w:val="00A73387"/>
    <w:rsid w:val="00A8029C"/>
    <w:rsid w:val="00A8033D"/>
    <w:rsid w:val="00A80695"/>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AF74DF"/>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66A"/>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24"/>
    <w:rsid w:val="00B57067"/>
    <w:rsid w:val="00B63AF6"/>
    <w:rsid w:val="00B6480A"/>
    <w:rsid w:val="00B6581A"/>
    <w:rsid w:val="00B6639E"/>
    <w:rsid w:val="00B67C07"/>
    <w:rsid w:val="00B70890"/>
    <w:rsid w:val="00B71369"/>
    <w:rsid w:val="00B73606"/>
    <w:rsid w:val="00B73AEA"/>
    <w:rsid w:val="00B74DA0"/>
    <w:rsid w:val="00B75614"/>
    <w:rsid w:val="00B76DCA"/>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55DE"/>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6D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074"/>
    <w:rsid w:val="00C779D4"/>
    <w:rsid w:val="00C77C0E"/>
    <w:rsid w:val="00C8231C"/>
    <w:rsid w:val="00C8343F"/>
    <w:rsid w:val="00C85915"/>
    <w:rsid w:val="00C86AE1"/>
    <w:rsid w:val="00C935F6"/>
    <w:rsid w:val="00C94C9B"/>
    <w:rsid w:val="00C9530B"/>
    <w:rsid w:val="00C959D0"/>
    <w:rsid w:val="00C95D6B"/>
    <w:rsid w:val="00C95FE4"/>
    <w:rsid w:val="00C96CB2"/>
    <w:rsid w:val="00C9788C"/>
    <w:rsid w:val="00C97C59"/>
    <w:rsid w:val="00CA1975"/>
    <w:rsid w:val="00CA40AB"/>
    <w:rsid w:val="00CA64A9"/>
    <w:rsid w:val="00CA6FFC"/>
    <w:rsid w:val="00CA7BB3"/>
    <w:rsid w:val="00CB1766"/>
    <w:rsid w:val="00CB1E90"/>
    <w:rsid w:val="00CB215C"/>
    <w:rsid w:val="00CB3B10"/>
    <w:rsid w:val="00CB3FC8"/>
    <w:rsid w:val="00CB4831"/>
    <w:rsid w:val="00CB5DBA"/>
    <w:rsid w:val="00CB5FBD"/>
    <w:rsid w:val="00CB6701"/>
    <w:rsid w:val="00CB7716"/>
    <w:rsid w:val="00CB7F2D"/>
    <w:rsid w:val="00CC044F"/>
    <w:rsid w:val="00CC1D2F"/>
    <w:rsid w:val="00CC23DF"/>
    <w:rsid w:val="00CC31E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07DA2"/>
    <w:rsid w:val="00D1308F"/>
    <w:rsid w:val="00D1479F"/>
    <w:rsid w:val="00D16C4E"/>
    <w:rsid w:val="00D202AE"/>
    <w:rsid w:val="00D207B2"/>
    <w:rsid w:val="00D22FBA"/>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1775"/>
    <w:rsid w:val="00D72617"/>
    <w:rsid w:val="00D72F0C"/>
    <w:rsid w:val="00D74860"/>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EF5"/>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0723"/>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C49"/>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1F85"/>
    <w:rsid w:val="00EF26B4"/>
    <w:rsid w:val="00EF3641"/>
    <w:rsid w:val="00EF3F23"/>
    <w:rsid w:val="00EF5BF9"/>
    <w:rsid w:val="00EF63CB"/>
    <w:rsid w:val="00EF7C06"/>
    <w:rsid w:val="00F02E36"/>
    <w:rsid w:val="00F03839"/>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1696"/>
    <w:rsid w:val="00F32569"/>
    <w:rsid w:val="00F33612"/>
    <w:rsid w:val="00F33C90"/>
    <w:rsid w:val="00F33EEA"/>
    <w:rsid w:val="00F35C22"/>
    <w:rsid w:val="00F3661E"/>
    <w:rsid w:val="00F41337"/>
    <w:rsid w:val="00F41940"/>
    <w:rsid w:val="00F4298E"/>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E08"/>
    <w:rsid w:val="00FA3AA3"/>
    <w:rsid w:val="00FA5D62"/>
    <w:rsid w:val="00FA7261"/>
    <w:rsid w:val="00FB08CC"/>
    <w:rsid w:val="00FB28D5"/>
    <w:rsid w:val="00FB2E89"/>
    <w:rsid w:val="00FB3686"/>
    <w:rsid w:val="00FB4545"/>
    <w:rsid w:val="00FB4B18"/>
    <w:rsid w:val="00FB578C"/>
    <w:rsid w:val="00FB5F91"/>
    <w:rsid w:val="00FB7BC0"/>
    <w:rsid w:val="00FC0756"/>
    <w:rsid w:val="00FC0A50"/>
    <w:rsid w:val="00FC1A5C"/>
    <w:rsid w:val="00FC21B3"/>
    <w:rsid w:val="00FC39EA"/>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2350"/>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2626121">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75675716">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fra.aspx?cas=37823" TargetMode="External"/><Relationship Id="rId18" Type="http://schemas.openxmlformats.org/officeDocument/2006/relationships/hyperlink" Target="http://www.scc-csc.ca/case-dossier/info/sum-som-eng.aspx?cas=378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c-csc.ca/case-dossier/info/sum-som-eng.aspx?cas=37960" TargetMode="External"/><Relationship Id="rId7" Type="http://schemas.openxmlformats.org/officeDocument/2006/relationships/endnotes" Target="endnotes.xml"/><Relationship Id="rId12" Type="http://schemas.openxmlformats.org/officeDocument/2006/relationships/hyperlink" Target="http://www.scc-csc.ca/case-dossier/info/sum-som-fra.aspx?cas=37824" TargetMode="External"/><Relationship Id="rId17" Type="http://schemas.openxmlformats.org/officeDocument/2006/relationships/hyperlink" Target="http://www.scc-csc.ca/case-dossier/info/sum-som-eng.aspx?cas=378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808" TargetMode="External"/><Relationship Id="rId20" Type="http://schemas.openxmlformats.org/officeDocument/2006/relationships/hyperlink" Target="http://www.scc-csc.ca/case-dossier/info/sum-som-eng.aspx?cas=379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c-csc.ca/case-dossier/info/sum-som-eng.aspx?cas=37862" TargetMode="External"/><Relationship Id="rId23" Type="http://schemas.openxmlformats.org/officeDocument/2006/relationships/hyperlink" Target="mailto:comments-commentaires@scc-csc.ca" TargetMode="External"/><Relationship Id="rId10" Type="http://schemas.openxmlformats.org/officeDocument/2006/relationships/hyperlink" Target="https://www.scc-csc.ca/case-dossier/cb/index-eng.aspx" TargetMode="External"/><Relationship Id="rId19" Type="http://schemas.openxmlformats.org/officeDocument/2006/relationships/hyperlink" Target="http://www.scc-csc.ca/case-dossier/info/sum-som-eng.aspx?cas=37796" TargetMode="Externa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7753" TargetMode="External"/><Relationship Id="rId22" Type="http://schemas.openxmlformats.org/officeDocument/2006/relationships/hyperlink" Target="http://www.scc-csc.ca/case-dossier/info/sum-som-eng.aspx?cas=37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66AA-FAED-4374-A698-43019192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2018-05-30T18:28:00Z</dcterms:created>
  <dcterms:modified xsi:type="dcterms:W3CDTF">2018-05-31T13:53:00Z</dcterms:modified>
</cp:coreProperties>
</file>