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FF09DA" w:rsidRDefault="001C4415" w:rsidP="001C4415">
      <w:pPr>
        <w:pStyle w:val="Header"/>
        <w:jc w:val="center"/>
        <w:rPr>
          <w:b/>
          <w:sz w:val="32"/>
        </w:rPr>
      </w:pPr>
      <w:r w:rsidRPr="00FF09DA">
        <w:rPr>
          <w:b/>
          <w:sz w:val="32"/>
        </w:rPr>
        <w:t>Supreme Court of Canada / Cour suprême du Canada</w:t>
      </w:r>
    </w:p>
    <w:p w:rsidR="001C4415" w:rsidRPr="00FF09DA" w:rsidRDefault="001C4415" w:rsidP="001C4415">
      <w:pPr>
        <w:widowControl w:val="0"/>
        <w:rPr>
          <w:i/>
        </w:rPr>
      </w:pPr>
    </w:p>
    <w:p w:rsidR="001C4415" w:rsidRPr="00FF09DA" w:rsidRDefault="001C4415" w:rsidP="001C4415">
      <w:pPr>
        <w:widowControl w:val="0"/>
        <w:rPr>
          <w:i/>
        </w:rPr>
      </w:pPr>
    </w:p>
    <w:p w:rsidR="001C4415" w:rsidRPr="00FF09DA" w:rsidRDefault="001C4415" w:rsidP="001C4415">
      <w:pPr>
        <w:widowControl w:val="0"/>
        <w:rPr>
          <w:i/>
        </w:rPr>
      </w:pPr>
      <w:r w:rsidRPr="00FF09DA">
        <w:rPr>
          <w:i/>
        </w:rPr>
        <w:t>(le français suit)</w:t>
      </w:r>
    </w:p>
    <w:p w:rsidR="001C4415" w:rsidRPr="00FF09DA" w:rsidRDefault="001C4415" w:rsidP="001C4415">
      <w:pPr>
        <w:widowControl w:val="0"/>
      </w:pPr>
    </w:p>
    <w:p w:rsidR="001C4415" w:rsidRPr="009F6C90" w:rsidRDefault="000347C1" w:rsidP="00214729">
      <w:pPr>
        <w:widowControl w:val="0"/>
        <w:jc w:val="center"/>
        <w:rPr>
          <w:b/>
        </w:rPr>
      </w:pPr>
      <w:r w:rsidRPr="009F6C90">
        <w:fldChar w:fldCharType="begin"/>
      </w:r>
      <w:r w:rsidR="00FA7412" w:rsidRPr="009F6C90">
        <w:instrText xml:space="preserve"> SEQ CHAPTER \h \r 1</w:instrText>
      </w:r>
      <w:r w:rsidRPr="009F6C90">
        <w:fldChar w:fldCharType="end"/>
      </w:r>
      <w:r w:rsidR="00455BB9" w:rsidRPr="009F6C90">
        <w:rPr>
          <w:b/>
        </w:rPr>
        <w:t>JUDGMENT</w:t>
      </w:r>
      <w:r w:rsidR="00FA7412" w:rsidRPr="009F6C90">
        <w:rPr>
          <w:b/>
        </w:rPr>
        <w:t xml:space="preserve"> TO BE RENDERED IN APPEA</w:t>
      </w:r>
      <w:r w:rsidR="00CC2799" w:rsidRPr="009F6C90">
        <w:rPr>
          <w:b/>
        </w:rPr>
        <w:t>L</w:t>
      </w:r>
    </w:p>
    <w:p w:rsidR="005A7C1B" w:rsidRPr="009F6C90" w:rsidRDefault="005A7C1B" w:rsidP="005A7C1B">
      <w:pPr>
        <w:widowControl w:val="0"/>
      </w:pPr>
    </w:p>
    <w:p w:rsidR="00EC79B0" w:rsidRPr="009F6C90" w:rsidRDefault="00C9358F" w:rsidP="00EC79B0">
      <w:pPr>
        <w:widowControl w:val="0"/>
        <w:rPr>
          <w:b/>
        </w:rPr>
      </w:pPr>
      <w:r w:rsidRPr="009F6C90">
        <w:rPr>
          <w:b/>
        </w:rPr>
        <w:t>June</w:t>
      </w:r>
      <w:r w:rsidR="00C86395" w:rsidRPr="009F6C90">
        <w:rPr>
          <w:b/>
        </w:rPr>
        <w:t xml:space="preserve"> </w:t>
      </w:r>
      <w:r w:rsidR="00B96022" w:rsidRPr="009F6C90">
        <w:rPr>
          <w:b/>
        </w:rPr>
        <w:t>7</w:t>
      </w:r>
      <w:r w:rsidR="00EC79B0" w:rsidRPr="009F6C90">
        <w:rPr>
          <w:b/>
        </w:rPr>
        <w:t>, 2</w:t>
      </w:r>
      <w:r w:rsidR="00E6600C" w:rsidRPr="009F6C90">
        <w:rPr>
          <w:b/>
        </w:rPr>
        <w:t>0</w:t>
      </w:r>
      <w:r w:rsidR="00EC79B0" w:rsidRPr="009F6C90">
        <w:rPr>
          <w:b/>
        </w:rPr>
        <w:t>1</w:t>
      </w:r>
      <w:r w:rsidR="0088662B" w:rsidRPr="009F6C90">
        <w:rPr>
          <w:b/>
        </w:rPr>
        <w:t>8</w:t>
      </w:r>
    </w:p>
    <w:p w:rsidR="00EC79B0" w:rsidRPr="009F6C90" w:rsidRDefault="00EC79B0" w:rsidP="00EC79B0">
      <w:pPr>
        <w:widowControl w:val="0"/>
        <w:rPr>
          <w:b/>
        </w:rPr>
      </w:pPr>
      <w:r w:rsidRPr="009F6C90">
        <w:rPr>
          <w:b/>
        </w:rPr>
        <w:t>For immediate release</w:t>
      </w:r>
    </w:p>
    <w:p w:rsidR="00EC79B0" w:rsidRPr="009F6C90" w:rsidRDefault="00EC79B0" w:rsidP="00EC79B0">
      <w:pPr>
        <w:widowControl w:val="0"/>
      </w:pPr>
    </w:p>
    <w:p w:rsidR="00EC79B0" w:rsidRPr="009F6C90" w:rsidRDefault="00EC79B0" w:rsidP="00EC79B0">
      <w:pPr>
        <w:widowControl w:val="0"/>
        <w:rPr>
          <w:lang w:val="fr-CA"/>
        </w:rPr>
      </w:pPr>
      <w:r w:rsidRPr="009F6C90">
        <w:rPr>
          <w:b/>
        </w:rPr>
        <w:t>OTTAWA</w:t>
      </w:r>
      <w:r w:rsidRPr="009F6C90">
        <w:t xml:space="preserve"> – The Supreme Court of Canad</w:t>
      </w:r>
      <w:r w:rsidR="00455BB9" w:rsidRPr="009F6C90">
        <w:t>a announced today that judgment</w:t>
      </w:r>
      <w:r w:rsidRPr="009F6C90">
        <w:t xml:space="preserve"> in the following appeal will be delivered at 9:45 a.m. E</w:t>
      </w:r>
      <w:r w:rsidR="00F531CE" w:rsidRPr="009F6C90">
        <w:t>D</w:t>
      </w:r>
      <w:r w:rsidR="00DC6C1E" w:rsidRPr="009F6C90">
        <w:t>T</w:t>
      </w:r>
      <w:r w:rsidR="00D74667" w:rsidRPr="009F6C90">
        <w:t xml:space="preserve"> on</w:t>
      </w:r>
      <w:r w:rsidR="00DC6C1E" w:rsidRPr="009F6C90">
        <w:t xml:space="preserve"> </w:t>
      </w:r>
      <w:r w:rsidR="00B96022" w:rsidRPr="009F6C90">
        <w:t>Thursday</w:t>
      </w:r>
      <w:r w:rsidR="000A7900" w:rsidRPr="009F6C90">
        <w:t xml:space="preserve">, </w:t>
      </w:r>
      <w:r w:rsidR="00542361" w:rsidRPr="009F6C90">
        <w:t>June</w:t>
      </w:r>
      <w:r w:rsidR="004E605A" w:rsidRPr="009F6C90">
        <w:t xml:space="preserve"> </w:t>
      </w:r>
      <w:r w:rsidR="0010171C" w:rsidRPr="009F6C90">
        <w:t>1</w:t>
      </w:r>
      <w:r w:rsidR="00B96022" w:rsidRPr="009F6C90">
        <w:t>4</w:t>
      </w:r>
      <w:r w:rsidR="00E63199" w:rsidRPr="009F6C90">
        <w:t>, 2</w:t>
      </w:r>
      <w:r w:rsidR="0086609D" w:rsidRPr="009F6C90">
        <w:t>01</w:t>
      </w:r>
      <w:r w:rsidR="0088662B" w:rsidRPr="009F6C90">
        <w:t>8</w:t>
      </w:r>
      <w:r w:rsidR="00455BB9" w:rsidRPr="009F6C90">
        <w:t xml:space="preserve">. </w:t>
      </w:r>
      <w:r w:rsidR="00455BB9" w:rsidRPr="009F6C90">
        <w:rPr>
          <w:lang w:val="fr-CA"/>
        </w:rPr>
        <w:t>This</w:t>
      </w:r>
      <w:r w:rsidRPr="009F6C90">
        <w:rPr>
          <w:lang w:val="fr-CA"/>
        </w:rPr>
        <w:t xml:space="preserve"> list is subject to change.</w:t>
      </w:r>
    </w:p>
    <w:p w:rsidR="001C4415" w:rsidRPr="009F6C90" w:rsidRDefault="001C4415" w:rsidP="001C4415">
      <w:pPr>
        <w:widowControl w:val="0"/>
        <w:rPr>
          <w:szCs w:val="24"/>
          <w:lang w:val="fr-CA"/>
        </w:rPr>
      </w:pPr>
    </w:p>
    <w:p w:rsidR="001C4415" w:rsidRPr="009F6C90" w:rsidRDefault="001C4415" w:rsidP="001C4415">
      <w:pPr>
        <w:widowControl w:val="0"/>
        <w:rPr>
          <w:lang w:val="fr-CA"/>
        </w:rPr>
      </w:pPr>
    </w:p>
    <w:p w:rsidR="001335A1" w:rsidRPr="009F6C90" w:rsidRDefault="001335A1" w:rsidP="001335A1">
      <w:pPr>
        <w:widowControl w:val="0"/>
        <w:jc w:val="center"/>
        <w:rPr>
          <w:b/>
          <w:lang w:val="fr-CA"/>
        </w:rPr>
      </w:pPr>
      <w:r w:rsidRPr="009F6C90">
        <w:rPr>
          <w:b/>
          <w:lang w:val="fr-CA"/>
        </w:rPr>
        <w:t>PROCHAIN JUGEMENT</w:t>
      </w:r>
      <w:r w:rsidR="00455BB9" w:rsidRPr="009F6C90">
        <w:rPr>
          <w:b/>
          <w:lang w:val="fr-CA"/>
        </w:rPr>
        <w:t xml:space="preserve"> SUR APPEL</w:t>
      </w:r>
    </w:p>
    <w:p w:rsidR="001335A1" w:rsidRPr="009F6C90" w:rsidRDefault="001335A1" w:rsidP="001335A1">
      <w:pPr>
        <w:widowControl w:val="0"/>
        <w:rPr>
          <w:lang w:val="fr-CA"/>
        </w:rPr>
      </w:pPr>
    </w:p>
    <w:p w:rsidR="00EC79B0" w:rsidRPr="009F6C90" w:rsidRDefault="00EC79B0" w:rsidP="00EC79B0">
      <w:pPr>
        <w:widowControl w:val="0"/>
        <w:rPr>
          <w:b/>
          <w:lang w:val="fr-CA"/>
        </w:rPr>
      </w:pPr>
      <w:r w:rsidRPr="009F6C90">
        <w:rPr>
          <w:b/>
          <w:lang w:val="fr-CA"/>
        </w:rPr>
        <w:t xml:space="preserve">Le </w:t>
      </w:r>
      <w:r w:rsidR="00B96022" w:rsidRPr="009F6C90">
        <w:rPr>
          <w:b/>
          <w:lang w:val="fr-CA"/>
        </w:rPr>
        <w:t>7</w:t>
      </w:r>
      <w:r w:rsidR="002F28E0" w:rsidRPr="009F6C90">
        <w:rPr>
          <w:b/>
          <w:lang w:val="fr-CA"/>
        </w:rPr>
        <w:t xml:space="preserve"> </w:t>
      </w:r>
      <w:r w:rsidR="00C9358F" w:rsidRPr="009F6C90">
        <w:rPr>
          <w:b/>
          <w:lang w:val="fr-CA"/>
        </w:rPr>
        <w:t>juin</w:t>
      </w:r>
      <w:r w:rsidR="00C86395" w:rsidRPr="009F6C90">
        <w:rPr>
          <w:b/>
          <w:lang w:val="fr-CA"/>
        </w:rPr>
        <w:t xml:space="preserve"> </w:t>
      </w:r>
      <w:r w:rsidR="0086609D" w:rsidRPr="009F6C90">
        <w:rPr>
          <w:b/>
          <w:lang w:val="fr-CA"/>
        </w:rPr>
        <w:t>201</w:t>
      </w:r>
      <w:r w:rsidR="0088662B" w:rsidRPr="009F6C90">
        <w:rPr>
          <w:b/>
          <w:lang w:val="fr-CA"/>
        </w:rPr>
        <w:t>8</w:t>
      </w:r>
    </w:p>
    <w:p w:rsidR="00EC79B0" w:rsidRPr="009F6C90" w:rsidRDefault="00EC79B0" w:rsidP="00EC79B0">
      <w:pPr>
        <w:widowControl w:val="0"/>
        <w:rPr>
          <w:b/>
          <w:lang w:val="fr-CA"/>
        </w:rPr>
      </w:pPr>
      <w:r w:rsidRPr="009F6C90">
        <w:rPr>
          <w:b/>
          <w:lang w:val="fr-CA"/>
        </w:rPr>
        <w:t>Pour diffusion immédiate</w:t>
      </w:r>
    </w:p>
    <w:p w:rsidR="00EC79B0" w:rsidRPr="009F6C90" w:rsidRDefault="00EC79B0" w:rsidP="00EC79B0">
      <w:pPr>
        <w:widowControl w:val="0"/>
        <w:rPr>
          <w:b/>
          <w:lang w:val="fr-CA"/>
        </w:rPr>
      </w:pPr>
    </w:p>
    <w:p w:rsidR="00EC79B0" w:rsidRPr="00B96022" w:rsidRDefault="00EC79B0" w:rsidP="00EC79B0">
      <w:pPr>
        <w:widowControl w:val="0"/>
      </w:pPr>
      <w:r w:rsidRPr="009F6C90">
        <w:rPr>
          <w:b/>
          <w:lang w:val="fr-CA"/>
        </w:rPr>
        <w:t>OTTAWA</w:t>
      </w:r>
      <w:r w:rsidRPr="009F6C90">
        <w:rPr>
          <w:lang w:val="fr-CA"/>
        </w:rPr>
        <w:t xml:space="preserve"> – La</w:t>
      </w:r>
      <w:bookmarkStart w:id="0" w:name="_GoBack"/>
      <w:bookmarkEnd w:id="0"/>
      <w:r w:rsidRPr="0012635E">
        <w:rPr>
          <w:lang w:val="fr-CA"/>
        </w:rPr>
        <w:t xml:space="preserve"> Cour suprême du Canada annonce que jugement ser</w:t>
      </w:r>
      <w:r w:rsidR="00C86395" w:rsidRPr="0012635E">
        <w:rPr>
          <w:lang w:val="fr-CA"/>
        </w:rPr>
        <w:t>a</w:t>
      </w:r>
      <w:r w:rsidRPr="0012635E">
        <w:rPr>
          <w:lang w:val="fr-CA"/>
        </w:rPr>
        <w:t xml:space="preserve"> rendu dans </w:t>
      </w:r>
      <w:r w:rsidR="001F1643" w:rsidRPr="0012635E">
        <w:rPr>
          <w:lang w:val="fr-CA"/>
        </w:rPr>
        <w:t>l</w:t>
      </w:r>
      <w:r w:rsidR="00C86395" w:rsidRPr="0012635E">
        <w:rPr>
          <w:lang w:val="fr-CA"/>
        </w:rPr>
        <w:t>’</w:t>
      </w:r>
      <w:r w:rsidR="001F1643" w:rsidRPr="0012635E">
        <w:rPr>
          <w:lang w:val="fr-CA"/>
        </w:rPr>
        <w:t xml:space="preserve">appel </w:t>
      </w:r>
      <w:r w:rsidRPr="0012635E">
        <w:rPr>
          <w:lang w:val="fr-CA"/>
        </w:rPr>
        <w:t xml:space="preserve">suivant le </w:t>
      </w:r>
      <w:r w:rsidR="00B96022">
        <w:rPr>
          <w:lang w:val="fr-CA"/>
        </w:rPr>
        <w:t>jeu</w:t>
      </w:r>
      <w:r w:rsidR="00831D1B">
        <w:rPr>
          <w:lang w:val="fr-CA"/>
        </w:rPr>
        <w:t>d</w:t>
      </w:r>
      <w:r w:rsidR="00945121" w:rsidRPr="0012635E">
        <w:rPr>
          <w:lang w:val="fr-CA"/>
        </w:rPr>
        <w:t>i</w:t>
      </w:r>
      <w:r w:rsidR="007C1648" w:rsidRPr="0012635E">
        <w:rPr>
          <w:lang w:val="fr-CA"/>
        </w:rPr>
        <w:t xml:space="preserve"> </w:t>
      </w:r>
      <w:r w:rsidR="0010171C">
        <w:rPr>
          <w:lang w:val="fr-CA"/>
        </w:rPr>
        <w:t>1</w:t>
      </w:r>
      <w:r w:rsidR="00B96022">
        <w:rPr>
          <w:lang w:val="fr-CA"/>
        </w:rPr>
        <w:t>4</w:t>
      </w:r>
      <w:r w:rsidR="00C7690C" w:rsidRPr="0012635E">
        <w:rPr>
          <w:lang w:val="fr-CA"/>
        </w:rPr>
        <w:t xml:space="preserve"> </w:t>
      </w:r>
      <w:r w:rsidR="00542361">
        <w:rPr>
          <w:lang w:val="fr-CA"/>
        </w:rPr>
        <w:t>juin</w:t>
      </w:r>
      <w:r w:rsidR="00282563" w:rsidRPr="0012635E">
        <w:rPr>
          <w:lang w:val="fr-CA"/>
        </w:rPr>
        <w:t xml:space="preserve"> </w:t>
      </w:r>
      <w:r w:rsidRPr="0012635E">
        <w:rPr>
          <w:lang w:val="fr-CA"/>
        </w:rPr>
        <w:t>201</w:t>
      </w:r>
      <w:r w:rsidR="0088662B" w:rsidRPr="0012635E">
        <w:rPr>
          <w:lang w:val="fr-CA"/>
        </w:rPr>
        <w:t>8</w:t>
      </w:r>
      <w:r w:rsidRPr="0012635E">
        <w:rPr>
          <w:lang w:val="fr-CA"/>
        </w:rPr>
        <w:t>, à 9 h 45 H</w:t>
      </w:r>
      <w:r w:rsidR="00F531CE" w:rsidRPr="0012635E">
        <w:rPr>
          <w:lang w:val="fr-CA"/>
        </w:rPr>
        <w:t>A</w:t>
      </w:r>
      <w:r w:rsidRPr="0012635E">
        <w:rPr>
          <w:lang w:val="fr-CA"/>
        </w:rPr>
        <w:t xml:space="preserve">E. </w:t>
      </w:r>
      <w:proofErr w:type="spellStart"/>
      <w:r w:rsidRPr="00B96022">
        <w:t>Cette</w:t>
      </w:r>
      <w:proofErr w:type="spellEnd"/>
      <w:r w:rsidRPr="00B96022">
        <w:t xml:space="preserve"> </w:t>
      </w:r>
      <w:proofErr w:type="spellStart"/>
      <w:r w:rsidRPr="00B96022">
        <w:t>liste</w:t>
      </w:r>
      <w:proofErr w:type="spellEnd"/>
      <w:r w:rsidRPr="00B96022">
        <w:t xml:space="preserve"> </w:t>
      </w:r>
      <w:proofErr w:type="gramStart"/>
      <w:r w:rsidRPr="00B96022">
        <w:t>est</w:t>
      </w:r>
      <w:proofErr w:type="gramEnd"/>
      <w:r w:rsidRPr="00B96022">
        <w:t xml:space="preserve"> </w:t>
      </w:r>
      <w:proofErr w:type="spellStart"/>
      <w:r w:rsidRPr="00B96022">
        <w:t>sujette</w:t>
      </w:r>
      <w:proofErr w:type="spellEnd"/>
      <w:r w:rsidRPr="00B96022">
        <w:t xml:space="preserve"> à modifications.</w:t>
      </w:r>
    </w:p>
    <w:p w:rsidR="001335A1" w:rsidRPr="00B96022" w:rsidRDefault="001335A1" w:rsidP="001335A1">
      <w:pPr>
        <w:widowControl w:val="0"/>
        <w:rPr>
          <w:szCs w:val="24"/>
        </w:rPr>
      </w:pPr>
    </w:p>
    <w:p w:rsidR="001335A1" w:rsidRPr="00B96022" w:rsidRDefault="005C7A4F" w:rsidP="001335A1">
      <w:pPr>
        <w:widowControl w:val="0"/>
        <w:rPr>
          <w:szCs w:val="24"/>
        </w:rPr>
      </w:pPr>
      <w:r w:rsidRPr="00EF78B8">
        <w:rPr>
          <w:noProof/>
          <w:szCs w:val="24"/>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6985" r="11430"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A13DAE" id="_x0000_t32" coordsize="21600,21600" o:spt="32" o:oned="t" path="m,l21600,21600e" filled="f">
                <v:path arrowok="t" fillok="f" o:connecttype="none"/>
                <o:lock v:ext="edit" shapetype="t"/>
              </v:shapetype>
              <v:shape id="AutoShape 7"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Q1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fQYxjMYV0BUpbY2NEiP6tW8aPrdIaWrjqiWx+C3k4HcLGQk71LCxRkoshs+awYxBPDj&#10;rI6N7QMkTAEdoySnmyT86BGFj5NsMhvPphj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ASTnQ1HwIAADsEAAAOAAAAAAAAAAAAAAAAAC4CAABkcnMvZTJvRG9jLnhtbFBLAQIt&#10;ABQABgAIAAAAIQAjyLjm2wAAAAYBAAAPAAAAAAAAAAAAAAAAAHkEAABkcnMvZG93bnJldi54bWxQ&#10;SwUGAAAAAAQABADzAAAAgQUAAAAA&#10;">
                <w10:wrap anchorx="margin"/>
              </v:shape>
            </w:pict>
          </mc:Fallback>
        </mc:AlternateContent>
      </w:r>
    </w:p>
    <w:p w:rsidR="00340C6D" w:rsidRPr="00B96022" w:rsidRDefault="00340C6D" w:rsidP="00340C6D">
      <w:pPr>
        <w:jc w:val="both"/>
        <w:rPr>
          <w:bCs/>
          <w:szCs w:val="24"/>
        </w:rPr>
      </w:pPr>
    </w:p>
    <w:p w:rsidR="00772636" w:rsidRPr="00961DA1" w:rsidRDefault="008F73AA" w:rsidP="00772636">
      <w:pPr>
        <w:jc w:val="both"/>
        <w:rPr>
          <w:szCs w:val="24"/>
        </w:rPr>
      </w:pPr>
      <w:r w:rsidRPr="008F73AA">
        <w:rPr>
          <w:i/>
          <w:szCs w:val="24"/>
        </w:rPr>
        <w:t>Canadian Human Rights Commission v. Attorney General of Canada</w:t>
      </w:r>
      <w:r w:rsidR="00A50E58" w:rsidRPr="00961DA1">
        <w:rPr>
          <w:i/>
          <w:szCs w:val="24"/>
        </w:rPr>
        <w:t xml:space="preserve"> </w:t>
      </w:r>
      <w:r w:rsidR="00772636" w:rsidRPr="00961DA1">
        <w:rPr>
          <w:szCs w:val="24"/>
        </w:rPr>
        <w:t>(</w:t>
      </w:r>
      <w:r w:rsidR="00961DA1">
        <w:rPr>
          <w:szCs w:val="24"/>
        </w:rPr>
        <w:t>F.C.</w:t>
      </w:r>
      <w:r w:rsidR="00772636" w:rsidRPr="00961DA1">
        <w:rPr>
          <w:szCs w:val="24"/>
        </w:rPr>
        <w:t xml:space="preserve">) </w:t>
      </w:r>
      <w:r w:rsidR="00772636" w:rsidRPr="00961DA1">
        <w:t>(</w:t>
      </w:r>
      <w:hyperlink r:id="rId7" w:history="1">
        <w:r w:rsidR="00772636" w:rsidRPr="00961DA1">
          <w:rPr>
            <w:rStyle w:val="Hyperlink"/>
          </w:rPr>
          <w:t>3</w:t>
        </w:r>
        <w:r w:rsidR="00717966" w:rsidRPr="00961DA1">
          <w:rPr>
            <w:rStyle w:val="Hyperlink"/>
          </w:rPr>
          <w:t>7</w:t>
        </w:r>
        <w:r w:rsidR="00961DA1" w:rsidRPr="00961DA1">
          <w:rPr>
            <w:rStyle w:val="Hyperlink"/>
          </w:rPr>
          <w:t>2</w:t>
        </w:r>
        <w:r>
          <w:rPr>
            <w:rStyle w:val="Hyperlink"/>
          </w:rPr>
          <w:t>08</w:t>
        </w:r>
      </w:hyperlink>
      <w:r w:rsidR="00772636" w:rsidRPr="00961DA1">
        <w:t>)</w:t>
      </w:r>
    </w:p>
    <w:p w:rsidR="009F18D7" w:rsidRPr="00961DA1" w:rsidRDefault="009F18D7" w:rsidP="00340C6D">
      <w:pPr>
        <w:jc w:val="both"/>
      </w:pPr>
    </w:p>
    <w:p w:rsidR="00072A63" w:rsidRDefault="00072A63" w:rsidP="00340C6D">
      <w:pPr>
        <w:jc w:val="both"/>
        <w:rPr>
          <w:szCs w:val="24"/>
        </w:rPr>
      </w:pPr>
    </w:p>
    <w:bookmarkStart w:id="1" w:name="1"/>
    <w:bookmarkEnd w:id="1"/>
    <w:p w:rsidR="00135188" w:rsidRPr="00135188" w:rsidRDefault="00135188" w:rsidP="00CC4723">
      <w:pPr>
        <w:widowControl w:val="0"/>
        <w:ind w:left="720" w:hanging="720"/>
        <w:jc w:val="both"/>
        <w:rPr>
          <w:b/>
          <w:i/>
          <w:sz w:val="20"/>
          <w:lang w:val="en-CA"/>
        </w:rPr>
      </w:pPr>
      <w:r w:rsidRPr="00135188">
        <w:rPr>
          <w:b/>
          <w:sz w:val="20"/>
          <w:lang w:val="en-CA"/>
        </w:rPr>
        <w:fldChar w:fldCharType="begin"/>
      </w:r>
      <w:r w:rsidRPr="00135188">
        <w:rPr>
          <w:b/>
          <w:sz w:val="20"/>
        </w:rPr>
        <w:instrText xml:space="preserve"> SEQ CHAPTER \h \r 1</w:instrText>
      </w:r>
      <w:r w:rsidRPr="00135188">
        <w:rPr>
          <w:b/>
          <w:sz w:val="20"/>
        </w:rPr>
        <w:fldChar w:fldCharType="end"/>
      </w:r>
      <w:r w:rsidRPr="00135188">
        <w:rPr>
          <w:b/>
          <w:sz w:val="20"/>
          <w:lang w:val="en-CA"/>
        </w:rPr>
        <w:t>37208</w:t>
      </w:r>
      <w:r w:rsidRPr="00135188">
        <w:rPr>
          <w:b/>
          <w:sz w:val="20"/>
          <w:lang w:val="en-CA"/>
        </w:rPr>
        <w:tab/>
      </w:r>
      <w:bookmarkStart w:id="2" w:name="3"/>
      <w:bookmarkEnd w:id="2"/>
      <w:r w:rsidRPr="00135188">
        <w:rPr>
          <w:b/>
          <w:i/>
          <w:sz w:val="20"/>
          <w:lang w:val="en-CA"/>
        </w:rPr>
        <w:t>Canadian</w:t>
      </w:r>
      <w:r w:rsidRPr="00135188">
        <w:rPr>
          <w:b/>
          <w:i/>
          <w:sz w:val="20"/>
        </w:rPr>
        <w:t xml:space="preserve"> Human Rights Commission v. Attorney General of Canada</w:t>
      </w:r>
    </w:p>
    <w:p w:rsidR="00135188" w:rsidRPr="00135188" w:rsidRDefault="00135188" w:rsidP="000E0E45">
      <w:pPr>
        <w:widowControl w:val="0"/>
        <w:jc w:val="both"/>
        <w:rPr>
          <w:sz w:val="20"/>
          <w:lang w:val="en-CA"/>
        </w:rPr>
      </w:pPr>
      <w:r w:rsidRPr="00135188">
        <w:rPr>
          <w:sz w:val="20"/>
          <w:lang w:val="en-CA"/>
        </w:rPr>
        <w:tab/>
      </w:r>
      <w:r>
        <w:rPr>
          <w:sz w:val="20"/>
          <w:lang w:val="en-CA"/>
        </w:rPr>
        <w:tab/>
      </w:r>
      <w:r w:rsidRPr="00135188">
        <w:rPr>
          <w:sz w:val="20"/>
          <w:lang w:val="en-CA"/>
        </w:rPr>
        <w:t>(F</w:t>
      </w:r>
      <w:r>
        <w:rPr>
          <w:sz w:val="20"/>
          <w:lang w:val="en-CA"/>
        </w:rPr>
        <w:t>.</w:t>
      </w:r>
      <w:r w:rsidRPr="00135188">
        <w:rPr>
          <w:sz w:val="20"/>
          <w:lang w:val="en-CA"/>
        </w:rPr>
        <w:t>C</w:t>
      </w:r>
      <w:r>
        <w:rPr>
          <w:sz w:val="20"/>
          <w:lang w:val="en-CA"/>
        </w:rPr>
        <w:t>.</w:t>
      </w:r>
      <w:r w:rsidRPr="00135188">
        <w:rPr>
          <w:sz w:val="20"/>
          <w:lang w:val="en-CA"/>
        </w:rPr>
        <w:t>) (Civil) (By Leave)</w:t>
      </w:r>
    </w:p>
    <w:p w:rsidR="00135188" w:rsidRPr="00135188" w:rsidRDefault="00135188">
      <w:pPr>
        <w:widowControl w:val="0"/>
        <w:jc w:val="both"/>
        <w:rPr>
          <w:sz w:val="20"/>
          <w:lang w:val="en-CA"/>
        </w:rPr>
      </w:pPr>
      <w:bookmarkStart w:id="3" w:name="QuickMark_1"/>
      <w:bookmarkEnd w:id="3"/>
    </w:p>
    <w:p w:rsidR="00135188" w:rsidRPr="00135188" w:rsidRDefault="00135188" w:rsidP="009950AD">
      <w:pPr>
        <w:jc w:val="both"/>
        <w:rPr>
          <w:sz w:val="20"/>
        </w:rPr>
      </w:pPr>
      <w:r w:rsidRPr="00135188">
        <w:rPr>
          <w:i/>
          <w:sz w:val="20"/>
        </w:rPr>
        <w:t>Canadian Charter of Rights and Freedoms</w:t>
      </w:r>
      <w:r w:rsidRPr="00135188">
        <w:rPr>
          <w:sz w:val="20"/>
        </w:rPr>
        <w:t xml:space="preserve"> - Equality rights - Administrative law - Standard of review - Human Rights - Discrimination - Meaning of “services customarily available to the general public,” under s. 5 of the </w:t>
      </w:r>
      <w:r w:rsidRPr="00135188">
        <w:rPr>
          <w:i/>
          <w:sz w:val="20"/>
        </w:rPr>
        <w:t>Canadian Human Rights Act</w:t>
      </w:r>
      <w:r w:rsidRPr="00135188">
        <w:rPr>
          <w:sz w:val="20"/>
        </w:rPr>
        <w:t xml:space="preserve"> - Aboriginal law - “Indian” status - Eligibility for registration under </w:t>
      </w:r>
      <w:r w:rsidRPr="00135188">
        <w:rPr>
          <w:i/>
          <w:sz w:val="20"/>
        </w:rPr>
        <w:t>Indian Act</w:t>
      </w:r>
      <w:r w:rsidRPr="00135188">
        <w:rPr>
          <w:sz w:val="20"/>
        </w:rPr>
        <w:t xml:space="preserve"> - What standard of review is to be applied when a human rights tribunal (</w:t>
      </w:r>
      <w:proofErr w:type="spellStart"/>
      <w:r w:rsidRPr="00135188">
        <w:rPr>
          <w:sz w:val="20"/>
        </w:rPr>
        <w:t>i</w:t>
      </w:r>
      <w:proofErr w:type="spellEnd"/>
      <w:r w:rsidRPr="00135188">
        <w:rPr>
          <w:sz w:val="20"/>
        </w:rPr>
        <w:t xml:space="preserve">) articulates the legal test to be used in deciding whether something is a “service” within the meaning of its enabling legislation, and (ii) applies that test to the facts before it? - How is the term “services” to be interpreted, in the context of statutory human rights protections against discrimination in the provision of “services customarily available to the general public”? - Do human rights statutes apply where a complainant seeks to access benefits, but is denied because of legislated eligibility criteria? - </w:t>
      </w:r>
      <w:r w:rsidRPr="00135188">
        <w:rPr>
          <w:i/>
          <w:sz w:val="20"/>
        </w:rPr>
        <w:t>Canadian Charter of Rights and Freedoms</w:t>
      </w:r>
      <w:r w:rsidRPr="00135188">
        <w:rPr>
          <w:sz w:val="20"/>
        </w:rPr>
        <w:t xml:space="preserve">, s. 15 - </w:t>
      </w:r>
      <w:r w:rsidRPr="00135188">
        <w:rPr>
          <w:i/>
          <w:sz w:val="20"/>
        </w:rPr>
        <w:t>Canadian Human Rights Act</w:t>
      </w:r>
      <w:r w:rsidRPr="00135188">
        <w:rPr>
          <w:sz w:val="20"/>
        </w:rPr>
        <w:t xml:space="preserve">, R.S.C. 1985, c. H-6, s. 5 - </w:t>
      </w:r>
      <w:r w:rsidRPr="00135188">
        <w:rPr>
          <w:i/>
          <w:sz w:val="20"/>
        </w:rPr>
        <w:t>Indian Act</w:t>
      </w:r>
      <w:r w:rsidRPr="00135188">
        <w:rPr>
          <w:sz w:val="20"/>
        </w:rPr>
        <w:t>, R.S.C. 1985, c. 1-5, s. 6.</w:t>
      </w:r>
    </w:p>
    <w:p w:rsidR="00135188" w:rsidRPr="00135188" w:rsidRDefault="00135188">
      <w:pPr>
        <w:widowControl w:val="0"/>
        <w:jc w:val="both"/>
        <w:rPr>
          <w:sz w:val="20"/>
          <w:lang w:val="en-CA"/>
        </w:rPr>
      </w:pPr>
    </w:p>
    <w:p w:rsidR="00135188" w:rsidRDefault="00135188">
      <w:pPr>
        <w:widowControl w:val="0"/>
        <w:jc w:val="both"/>
        <w:rPr>
          <w:sz w:val="20"/>
        </w:rPr>
      </w:pPr>
      <w:r w:rsidRPr="00135188">
        <w:rPr>
          <w:sz w:val="20"/>
        </w:rPr>
        <w:t xml:space="preserve">Several members of two families belonging to two separate First Nations filed complaints under the </w:t>
      </w:r>
      <w:r w:rsidRPr="00135188">
        <w:rPr>
          <w:i/>
          <w:sz w:val="20"/>
        </w:rPr>
        <w:t>Canadian Human Rights Act</w:t>
      </w:r>
      <w:r w:rsidRPr="00135188">
        <w:rPr>
          <w:sz w:val="20"/>
        </w:rPr>
        <w:t>, R.S.C. 1985, c. H-6 (“</w:t>
      </w:r>
      <w:r w:rsidRPr="00135188">
        <w:rPr>
          <w:i/>
          <w:sz w:val="20"/>
        </w:rPr>
        <w:t>CHRA</w:t>
      </w:r>
      <w:r w:rsidRPr="00135188">
        <w:rPr>
          <w:sz w:val="20"/>
        </w:rPr>
        <w:t xml:space="preserve">”) with the Canadian Human Rights Commission (the Matson and Andrews complaints). The complainants alleged that the eligibility criteria in s. 6 of the </w:t>
      </w:r>
      <w:r w:rsidRPr="00135188">
        <w:rPr>
          <w:i/>
          <w:sz w:val="20"/>
        </w:rPr>
        <w:t>Indian Act</w:t>
      </w:r>
      <w:r w:rsidRPr="00135188">
        <w:rPr>
          <w:sz w:val="20"/>
        </w:rPr>
        <w:t xml:space="preserve">, R.S.C. 1985, c. I-5, that precludes the registration of their children as “Indians” in their particular circumstances, violates their human rights because the impugned restrictions constitute prohibited discrimination on the basis of race, national or ethnic origin, sex or family status, in the provision of a “services customarily available to the general public” under s. 5 of the </w:t>
      </w:r>
      <w:r w:rsidRPr="00135188">
        <w:rPr>
          <w:i/>
          <w:sz w:val="20"/>
        </w:rPr>
        <w:t>CHRA</w:t>
      </w:r>
      <w:r w:rsidRPr="00135188">
        <w:rPr>
          <w:sz w:val="20"/>
        </w:rPr>
        <w:t xml:space="preserve">. In two decisions which relied on </w:t>
      </w:r>
      <w:r w:rsidRPr="00135188">
        <w:rPr>
          <w:i/>
          <w:sz w:val="20"/>
        </w:rPr>
        <w:t>Public Service Alliance of Canada v. Canada (Revenue Agency)</w:t>
      </w:r>
      <w:r w:rsidRPr="00135188">
        <w:rPr>
          <w:sz w:val="20"/>
        </w:rPr>
        <w:t xml:space="preserve">, 2012 FCA 7, 428 N.R. 240, the Canadian Human Rights Tribunal dismissed the complaints for lack of jurisdiction. In doing so, the Tribunal found the complaints were direct challenges to provisions in the </w:t>
      </w:r>
      <w:r w:rsidRPr="00135188">
        <w:rPr>
          <w:i/>
          <w:sz w:val="20"/>
        </w:rPr>
        <w:t>Indian Act</w:t>
      </w:r>
      <w:r w:rsidRPr="00135188">
        <w:rPr>
          <w:sz w:val="20"/>
        </w:rPr>
        <w:t xml:space="preserve"> and the adoption of legislation is not a service customarily available to the general public within the meaning of s. 5 of the </w:t>
      </w:r>
      <w:r w:rsidRPr="00135188">
        <w:rPr>
          <w:i/>
          <w:sz w:val="20"/>
        </w:rPr>
        <w:t>CHRA</w:t>
      </w:r>
      <w:r w:rsidRPr="00135188">
        <w:rPr>
          <w:sz w:val="20"/>
        </w:rPr>
        <w:t xml:space="preserve">. The Tribunal concluded such a challenge may only be brought under s. 15 of the </w:t>
      </w:r>
      <w:r w:rsidRPr="00135188">
        <w:rPr>
          <w:i/>
          <w:sz w:val="20"/>
        </w:rPr>
        <w:t>Canadian Charter of Rights and Freedoms</w:t>
      </w:r>
      <w:r w:rsidRPr="00135188">
        <w:rPr>
          <w:sz w:val="20"/>
        </w:rPr>
        <w:t xml:space="preserve"> and </w:t>
      </w:r>
      <w:r w:rsidRPr="00135188">
        <w:rPr>
          <w:sz w:val="20"/>
        </w:rPr>
        <w:lastRenderedPageBreak/>
        <w:t>therefore must be made to a court of law. Applying a reasonableness standard of review, the Federal Court held the Tribunal’s decisions were reasonable and dismissed the Commission’s applications for judicial review. The Federal Court of Appeal dismissed the Commission’s appeal.</w:t>
      </w:r>
    </w:p>
    <w:p w:rsidR="00135188" w:rsidRDefault="00135188">
      <w:pPr>
        <w:widowControl w:val="0"/>
        <w:jc w:val="both"/>
        <w:rPr>
          <w:sz w:val="20"/>
        </w:rPr>
      </w:pPr>
    </w:p>
    <w:p w:rsidR="00135188" w:rsidRPr="00135188" w:rsidRDefault="00135188">
      <w:pPr>
        <w:widowControl w:val="0"/>
        <w:jc w:val="both"/>
        <w:rPr>
          <w:sz w:val="20"/>
          <w:lang w:val="en-CA"/>
        </w:rPr>
      </w:pPr>
    </w:p>
    <w:p w:rsidR="00135188" w:rsidRPr="009F6C90" w:rsidRDefault="00135188" w:rsidP="00B104A0">
      <w:pPr>
        <w:widowControl w:val="0"/>
        <w:ind w:left="720" w:hanging="720"/>
        <w:jc w:val="both"/>
        <w:rPr>
          <w:b/>
          <w:i/>
          <w:sz w:val="20"/>
        </w:rPr>
      </w:pPr>
      <w:r w:rsidRPr="00135188">
        <w:rPr>
          <w:b/>
          <w:sz w:val="20"/>
          <w:lang w:val="fr-CA"/>
        </w:rPr>
        <w:fldChar w:fldCharType="begin"/>
      </w:r>
      <w:r w:rsidRPr="009F6C90">
        <w:rPr>
          <w:b/>
          <w:sz w:val="20"/>
        </w:rPr>
        <w:instrText xml:space="preserve"> SEQ CHAPTER \h \r 1</w:instrText>
      </w:r>
      <w:r w:rsidRPr="00135188">
        <w:rPr>
          <w:b/>
          <w:sz w:val="20"/>
          <w:lang w:val="fr-CA"/>
        </w:rPr>
        <w:fldChar w:fldCharType="end"/>
      </w:r>
      <w:r w:rsidRPr="009F6C90">
        <w:rPr>
          <w:b/>
          <w:sz w:val="20"/>
        </w:rPr>
        <w:t>37208</w:t>
      </w:r>
      <w:r w:rsidRPr="009F6C90">
        <w:rPr>
          <w:b/>
          <w:sz w:val="20"/>
        </w:rPr>
        <w:tab/>
      </w:r>
      <w:r w:rsidRPr="009F6C90">
        <w:rPr>
          <w:b/>
          <w:i/>
          <w:sz w:val="20"/>
        </w:rPr>
        <w:t>Commission canadienne des droits de la personne c. Procureur général du Canada</w:t>
      </w:r>
    </w:p>
    <w:p w:rsidR="00135188" w:rsidRPr="00135188" w:rsidRDefault="00135188" w:rsidP="00B104A0">
      <w:pPr>
        <w:widowControl w:val="0"/>
        <w:ind w:left="1440" w:hanging="720"/>
        <w:jc w:val="both"/>
        <w:rPr>
          <w:sz w:val="20"/>
          <w:lang w:val="fr-CA"/>
        </w:rPr>
      </w:pPr>
      <w:r w:rsidRPr="00135188">
        <w:rPr>
          <w:sz w:val="20"/>
          <w:lang w:val="fr-CA"/>
        </w:rPr>
        <w:t>(C</w:t>
      </w:r>
      <w:r>
        <w:rPr>
          <w:sz w:val="20"/>
          <w:lang w:val="fr-CA"/>
        </w:rPr>
        <w:t>.</w:t>
      </w:r>
      <w:r w:rsidRPr="00135188">
        <w:rPr>
          <w:sz w:val="20"/>
          <w:lang w:val="fr-CA"/>
        </w:rPr>
        <w:t>F</w:t>
      </w:r>
      <w:r>
        <w:rPr>
          <w:sz w:val="20"/>
          <w:lang w:val="fr-CA"/>
        </w:rPr>
        <w:t>.</w:t>
      </w:r>
      <w:r w:rsidRPr="00135188">
        <w:rPr>
          <w:sz w:val="20"/>
          <w:lang w:val="fr-CA"/>
        </w:rPr>
        <w:t>) (Civile) (Sur autorisation)</w:t>
      </w:r>
    </w:p>
    <w:p w:rsidR="00135188" w:rsidRPr="00135188" w:rsidRDefault="00135188" w:rsidP="00B104A0">
      <w:pPr>
        <w:widowControl w:val="0"/>
        <w:jc w:val="both"/>
        <w:rPr>
          <w:sz w:val="20"/>
          <w:lang w:val="fr-CA"/>
        </w:rPr>
      </w:pPr>
    </w:p>
    <w:p w:rsidR="00135188" w:rsidRPr="00135188" w:rsidRDefault="00135188" w:rsidP="00B104A0">
      <w:pPr>
        <w:jc w:val="both"/>
        <w:rPr>
          <w:sz w:val="20"/>
          <w:lang w:val="fr-CA"/>
        </w:rPr>
      </w:pPr>
      <w:r w:rsidRPr="00135188">
        <w:rPr>
          <w:i/>
          <w:sz w:val="20"/>
          <w:lang w:val="fr-CA"/>
        </w:rPr>
        <w:t xml:space="preserve">Charte canadienne des droits et libertés </w:t>
      </w:r>
      <w:r w:rsidRPr="00135188">
        <w:rPr>
          <w:sz w:val="20"/>
          <w:lang w:val="fr-CA"/>
        </w:rPr>
        <w:t>- Droits à l’égalité - Droit administratif - Norme de contrôle - Droits de la personne - Discrimination - Sens de l’expression « services destinés au public » que l’on trouve à l’art. 5 de la</w:t>
      </w:r>
      <w:r w:rsidRPr="00135188">
        <w:rPr>
          <w:i/>
          <w:sz w:val="20"/>
          <w:lang w:val="fr-CA"/>
        </w:rPr>
        <w:t xml:space="preserve"> Loi canadienne sur les droits de la personne </w:t>
      </w:r>
      <w:r w:rsidRPr="00135188">
        <w:rPr>
          <w:sz w:val="20"/>
          <w:lang w:val="fr-CA"/>
        </w:rPr>
        <w:t>- Droit des Autochtones - Statut d’« Indien » - Admissibilité à l’inscription sous le régime de la</w:t>
      </w:r>
      <w:r w:rsidRPr="00135188">
        <w:rPr>
          <w:i/>
          <w:sz w:val="20"/>
          <w:lang w:val="fr-CA"/>
        </w:rPr>
        <w:t xml:space="preserve"> Loi sur les Indiens </w:t>
      </w:r>
      <w:r w:rsidRPr="00135188">
        <w:rPr>
          <w:sz w:val="20"/>
          <w:lang w:val="fr-CA"/>
        </w:rPr>
        <w:t xml:space="preserve">- Quelle norme de contrôle s’applique lorsqu’un tribunal des droits de la personne (i) formule le critère juridique à employer pour trancher la question de savoir si quelque chose est un « service » au sens de sa loi habilitante et (ii) applique ce critère aux faits dont il dispose? - Comment faut-il interpréter le terme « services », dans le contexte des protections légales des droits de la personne contre la discrimination dans la prestation de « services destinés au public »? - Les lois sur les droits de la personne s’appliquent-elles lorsqu’un plaignant demande l’accès à des avantages, mais se les voit refuser en raison de critères législatifs d’admissibilité? - </w:t>
      </w:r>
      <w:r w:rsidRPr="00135188">
        <w:rPr>
          <w:i/>
          <w:sz w:val="20"/>
          <w:lang w:val="fr-CA"/>
        </w:rPr>
        <w:t>Charte canadienne des droits et libertés</w:t>
      </w:r>
      <w:r w:rsidRPr="00135188">
        <w:rPr>
          <w:sz w:val="20"/>
          <w:lang w:val="fr-CA"/>
        </w:rPr>
        <w:t xml:space="preserve">, art. 15 - </w:t>
      </w:r>
      <w:r w:rsidRPr="00135188">
        <w:rPr>
          <w:i/>
          <w:sz w:val="20"/>
          <w:lang w:val="fr-CA"/>
        </w:rPr>
        <w:t>Loi canadienne sur les droits de la personne</w:t>
      </w:r>
      <w:r w:rsidRPr="00135188">
        <w:rPr>
          <w:sz w:val="20"/>
          <w:lang w:val="fr-CA"/>
        </w:rPr>
        <w:t xml:space="preserve">, L.R.C. 1985, ch. H-6, art. 5 - </w:t>
      </w:r>
      <w:r w:rsidRPr="00135188">
        <w:rPr>
          <w:i/>
          <w:sz w:val="20"/>
          <w:lang w:val="fr-CA"/>
        </w:rPr>
        <w:t>Loi sur les Indiens</w:t>
      </w:r>
      <w:r w:rsidRPr="00135188">
        <w:rPr>
          <w:sz w:val="20"/>
          <w:lang w:val="fr-CA"/>
        </w:rPr>
        <w:t>, L.R.C. 1985, ch. 1-5, art. 6.</w:t>
      </w:r>
    </w:p>
    <w:p w:rsidR="00135188" w:rsidRPr="00135188" w:rsidRDefault="00135188" w:rsidP="00B104A0">
      <w:pPr>
        <w:widowControl w:val="0"/>
        <w:jc w:val="both"/>
        <w:rPr>
          <w:sz w:val="20"/>
          <w:lang w:val="fr-CA"/>
        </w:rPr>
      </w:pPr>
    </w:p>
    <w:p w:rsidR="00135188" w:rsidRPr="00135188" w:rsidRDefault="00135188" w:rsidP="00B104A0">
      <w:pPr>
        <w:widowControl w:val="0"/>
        <w:jc w:val="both"/>
        <w:rPr>
          <w:sz w:val="20"/>
          <w:lang w:val="fr-CA"/>
        </w:rPr>
      </w:pPr>
      <w:r w:rsidRPr="00135188">
        <w:rPr>
          <w:sz w:val="20"/>
          <w:lang w:val="fr-CA"/>
        </w:rPr>
        <w:t xml:space="preserve">Plusieurs membres de deux familles appartenant à deux Premières Nations distinctes ont déposé à la Commission canadienne des droits de la personne des plaintes sous le régime de la </w:t>
      </w:r>
      <w:r w:rsidRPr="00135188">
        <w:rPr>
          <w:i/>
          <w:sz w:val="20"/>
          <w:lang w:val="fr-CA"/>
        </w:rPr>
        <w:t>Loi canadienne sur les droits de la personne</w:t>
      </w:r>
      <w:r w:rsidRPr="00135188">
        <w:rPr>
          <w:sz w:val="20"/>
          <w:lang w:val="fr-CA"/>
        </w:rPr>
        <w:t>, L.R.C. 1985, ch. H-6 (« </w:t>
      </w:r>
      <w:r w:rsidRPr="00135188">
        <w:rPr>
          <w:i/>
          <w:sz w:val="20"/>
          <w:lang w:val="fr-CA"/>
        </w:rPr>
        <w:t>LCDP</w:t>
      </w:r>
      <w:r w:rsidRPr="00135188">
        <w:rPr>
          <w:sz w:val="20"/>
          <w:lang w:val="fr-CA"/>
        </w:rPr>
        <w:t xml:space="preserve"> ») (les plaintes Matson et Andrews). Selon les plaignants, les critères d’admissibilité prévus à l’art. 6 de la </w:t>
      </w:r>
      <w:r w:rsidRPr="00135188">
        <w:rPr>
          <w:i/>
          <w:sz w:val="20"/>
          <w:lang w:val="fr-CA"/>
        </w:rPr>
        <w:t>Loi sur les Indiens</w:t>
      </w:r>
      <w:r w:rsidRPr="00135188">
        <w:rPr>
          <w:sz w:val="20"/>
          <w:lang w:val="fr-CA"/>
        </w:rPr>
        <w:t xml:space="preserve">, L.R.C. 1985, ch. I-5, qui empêchent l’inscription de leurs enfants comme « Indiens » dans leur situation particulière, violent leurs droits de la personne, parce que les restrictions contestées constituent de la discrimination illicite fondée sur la race, l’origine nationale ou ethnique, le sexe ou la situation de famille dans la prestation d’un service « destiné au public » visé par l’art. 5 de la </w:t>
      </w:r>
      <w:r w:rsidRPr="00135188">
        <w:rPr>
          <w:i/>
          <w:sz w:val="20"/>
          <w:lang w:val="fr-CA"/>
        </w:rPr>
        <w:t>LCDP</w:t>
      </w:r>
      <w:r w:rsidRPr="00135188">
        <w:rPr>
          <w:sz w:val="20"/>
          <w:lang w:val="fr-CA"/>
        </w:rPr>
        <w:t xml:space="preserve">. Dans deux décisions qui s’appuyaient sur l’arrêt </w:t>
      </w:r>
      <w:r w:rsidRPr="00135188">
        <w:rPr>
          <w:i/>
          <w:sz w:val="20"/>
          <w:lang w:val="fr-CA"/>
        </w:rPr>
        <w:t>Alliance de la fonction publique du Canada c. Canada (Agence du revenu)</w:t>
      </w:r>
      <w:r w:rsidRPr="00135188">
        <w:rPr>
          <w:sz w:val="20"/>
          <w:lang w:val="fr-CA"/>
        </w:rPr>
        <w:t xml:space="preserve">, 2012 CAF 7, 428 N.R. 240, le Tribunal canadien des droits de la personne a rejeté les plaintes, se déclarant incompétent. Ce faisant, le Tribunal a conclu que les plaintes constituaient des contestations directes de dispositions de la </w:t>
      </w:r>
      <w:r w:rsidRPr="00135188">
        <w:rPr>
          <w:i/>
          <w:sz w:val="20"/>
          <w:lang w:val="fr-CA"/>
        </w:rPr>
        <w:t>Loi sur les Indiens</w:t>
      </w:r>
      <w:r w:rsidRPr="00135188">
        <w:rPr>
          <w:sz w:val="20"/>
          <w:lang w:val="fr-CA"/>
        </w:rPr>
        <w:t xml:space="preserve"> et que l’adoption de la loi n’était pas un service destiné au public au sens de l’art. 5 de la </w:t>
      </w:r>
      <w:r w:rsidRPr="00135188">
        <w:rPr>
          <w:i/>
          <w:sz w:val="20"/>
          <w:lang w:val="fr-CA"/>
        </w:rPr>
        <w:t>LCDP</w:t>
      </w:r>
      <w:r w:rsidRPr="00135188">
        <w:rPr>
          <w:sz w:val="20"/>
          <w:lang w:val="fr-CA"/>
        </w:rPr>
        <w:t>. Le Tribunal a conclu qu’une telle contestation ne pouvait être présentée qu’en application de l’art. 15 de la</w:t>
      </w:r>
      <w:r w:rsidRPr="00135188">
        <w:rPr>
          <w:i/>
          <w:sz w:val="20"/>
          <w:lang w:val="fr-CA"/>
        </w:rPr>
        <w:t xml:space="preserve"> Charte canadienne des droits et libertés </w:t>
      </w:r>
      <w:r w:rsidRPr="00135188">
        <w:rPr>
          <w:sz w:val="20"/>
          <w:lang w:val="fr-CA"/>
        </w:rPr>
        <w:t>et qu’elle devait donc être présentée à une cour de justice. Appliquant la norme de contrôle de la décision raisonnable, la Cour fédérale a statué que les décisions du Tribunal étaient raisonnables et a rejeté les demandes de contrôle judiciaire de la Commission. La Cour d’appel fédérale a rejeté l’appel de la Commission.</w:t>
      </w:r>
    </w:p>
    <w:p w:rsidR="00135188" w:rsidRPr="00135188" w:rsidRDefault="00135188" w:rsidP="00340C6D">
      <w:pPr>
        <w:jc w:val="both"/>
        <w:rPr>
          <w:szCs w:val="24"/>
          <w:lang w:val="fr-CA"/>
        </w:rPr>
      </w:pPr>
    </w:p>
    <w:p w:rsidR="00135188" w:rsidRPr="00135188" w:rsidRDefault="00135188" w:rsidP="00340C6D">
      <w:pPr>
        <w:jc w:val="both"/>
        <w:rPr>
          <w:szCs w:val="24"/>
          <w:lang w:val="fr-CA"/>
        </w:rPr>
      </w:pPr>
    </w:p>
    <w:p w:rsidR="00072A63" w:rsidRPr="00135188" w:rsidRDefault="00072A63" w:rsidP="00EC79B0">
      <w:pPr>
        <w:jc w:val="both"/>
        <w:rPr>
          <w:szCs w:val="24"/>
          <w:lang w:val="fr-CA"/>
        </w:rPr>
      </w:pPr>
    </w:p>
    <w:p w:rsidR="001C4415" w:rsidRPr="00FF09DA" w:rsidRDefault="001C4415" w:rsidP="001C4415">
      <w:pPr>
        <w:widowControl w:val="0"/>
        <w:outlineLvl w:val="0"/>
      </w:pPr>
      <w:r w:rsidRPr="00FF09DA">
        <w:t xml:space="preserve">Supreme Court of Canada / Cour suprême du </w:t>
      </w:r>
      <w:proofErr w:type="gramStart"/>
      <w:r w:rsidRPr="00FF09DA">
        <w:t>Canada :</w:t>
      </w:r>
      <w:proofErr w:type="gramEnd"/>
      <w:r w:rsidRPr="00FF09DA">
        <w:t xml:space="preserve"> </w:t>
      </w:r>
    </w:p>
    <w:p w:rsidR="001C4415" w:rsidRPr="00FF09DA" w:rsidRDefault="009F6C90" w:rsidP="001C4415">
      <w:pPr>
        <w:widowControl w:val="0"/>
        <w:outlineLvl w:val="0"/>
      </w:pPr>
      <w:hyperlink r:id="rId8" w:history="1">
        <w:r w:rsidR="001C4415" w:rsidRPr="00FF09DA">
          <w:rPr>
            <w:rStyle w:val="Hyperlink"/>
          </w:rPr>
          <w:t>comments-commentaires@scc-csc.ca</w:t>
        </w:r>
      </w:hyperlink>
    </w:p>
    <w:p w:rsidR="001C4415" w:rsidRPr="00FF09DA" w:rsidRDefault="001C4415" w:rsidP="001C4415">
      <w:pPr>
        <w:widowControl w:val="0"/>
        <w:outlineLvl w:val="0"/>
      </w:pPr>
      <w:r w:rsidRPr="00FF09DA">
        <w:t>(613) 995-4330</w:t>
      </w:r>
    </w:p>
    <w:p w:rsidR="001C4415" w:rsidRPr="00FF09DA" w:rsidRDefault="001C4415" w:rsidP="001C4415">
      <w:pPr>
        <w:widowControl w:val="0"/>
        <w:rPr>
          <w:sz w:val="20"/>
        </w:rPr>
      </w:pPr>
    </w:p>
    <w:p w:rsidR="0036476C" w:rsidRPr="00A8502B" w:rsidRDefault="001C4415" w:rsidP="0036476C">
      <w:pPr>
        <w:pStyle w:val="Footer"/>
        <w:jc w:val="center"/>
        <w:rPr>
          <w:lang w:val="fr-CA"/>
        </w:rPr>
      </w:pPr>
      <w:r w:rsidRPr="00FF09DA">
        <w:rPr>
          <w:lang w:val="fr-CA"/>
        </w:rPr>
        <w:t xml:space="preserve">- 30 </w:t>
      </w:r>
      <w:r w:rsidR="003C1B6E" w:rsidRPr="00FF09DA">
        <w:rPr>
          <w:lang w:val="fr-CA"/>
        </w:rPr>
        <w:t>-</w:t>
      </w:r>
    </w:p>
    <w:p w:rsidR="0036476C" w:rsidRPr="00A8502B" w:rsidRDefault="0036476C" w:rsidP="0036476C">
      <w:pPr>
        <w:pStyle w:val="Footer"/>
        <w:jc w:val="center"/>
        <w:rPr>
          <w:lang w:val="fr-CA"/>
        </w:rPr>
      </w:pPr>
    </w:p>
    <w:sectPr w:rsidR="0036476C" w:rsidRPr="00A8502B"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32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53111"/>
    <w:rsid w:val="00060140"/>
    <w:rsid w:val="00060B39"/>
    <w:rsid w:val="00061A14"/>
    <w:rsid w:val="00072A63"/>
    <w:rsid w:val="0008116D"/>
    <w:rsid w:val="000855FD"/>
    <w:rsid w:val="00087122"/>
    <w:rsid w:val="0009615F"/>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1002A7"/>
    <w:rsid w:val="00101539"/>
    <w:rsid w:val="0010171C"/>
    <w:rsid w:val="00103400"/>
    <w:rsid w:val="00105085"/>
    <w:rsid w:val="001065AF"/>
    <w:rsid w:val="00114B52"/>
    <w:rsid w:val="00114D6F"/>
    <w:rsid w:val="00116CE5"/>
    <w:rsid w:val="001170D1"/>
    <w:rsid w:val="00121D32"/>
    <w:rsid w:val="0012635E"/>
    <w:rsid w:val="00127E76"/>
    <w:rsid w:val="001305E1"/>
    <w:rsid w:val="00131418"/>
    <w:rsid w:val="001335A1"/>
    <w:rsid w:val="00135188"/>
    <w:rsid w:val="001364D9"/>
    <w:rsid w:val="0013792F"/>
    <w:rsid w:val="00141A4B"/>
    <w:rsid w:val="001439C6"/>
    <w:rsid w:val="00143A58"/>
    <w:rsid w:val="001448DF"/>
    <w:rsid w:val="00145925"/>
    <w:rsid w:val="001476BD"/>
    <w:rsid w:val="00150BC6"/>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91F98"/>
    <w:rsid w:val="00193030"/>
    <w:rsid w:val="001936BC"/>
    <w:rsid w:val="00194B53"/>
    <w:rsid w:val="001A1632"/>
    <w:rsid w:val="001A24F4"/>
    <w:rsid w:val="001A29BA"/>
    <w:rsid w:val="001A4A73"/>
    <w:rsid w:val="001B092D"/>
    <w:rsid w:val="001B0D7E"/>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32E"/>
    <w:rsid w:val="001F37AC"/>
    <w:rsid w:val="001F57C9"/>
    <w:rsid w:val="001F5973"/>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630C"/>
    <w:rsid w:val="00290E05"/>
    <w:rsid w:val="00290F21"/>
    <w:rsid w:val="00291F84"/>
    <w:rsid w:val="00297E1D"/>
    <w:rsid w:val="002A23AD"/>
    <w:rsid w:val="002A2F5A"/>
    <w:rsid w:val="002A3DD8"/>
    <w:rsid w:val="002A4252"/>
    <w:rsid w:val="002A44BE"/>
    <w:rsid w:val="002A5496"/>
    <w:rsid w:val="002A6BD5"/>
    <w:rsid w:val="002A7752"/>
    <w:rsid w:val="002B06A9"/>
    <w:rsid w:val="002B23EF"/>
    <w:rsid w:val="002B4A1D"/>
    <w:rsid w:val="002B4D23"/>
    <w:rsid w:val="002B4F4E"/>
    <w:rsid w:val="002C177C"/>
    <w:rsid w:val="002C23CB"/>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4E7E"/>
    <w:rsid w:val="003B6ECB"/>
    <w:rsid w:val="003C1B6E"/>
    <w:rsid w:val="003C381F"/>
    <w:rsid w:val="003D4D2A"/>
    <w:rsid w:val="003D74E7"/>
    <w:rsid w:val="003E0326"/>
    <w:rsid w:val="003E101F"/>
    <w:rsid w:val="003E1BBF"/>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91284"/>
    <w:rsid w:val="004927D1"/>
    <w:rsid w:val="004A017B"/>
    <w:rsid w:val="004A2228"/>
    <w:rsid w:val="004A40E1"/>
    <w:rsid w:val="004A4570"/>
    <w:rsid w:val="004A56AC"/>
    <w:rsid w:val="004A6F06"/>
    <w:rsid w:val="004B22B5"/>
    <w:rsid w:val="004B4821"/>
    <w:rsid w:val="004B6E20"/>
    <w:rsid w:val="004B6F3A"/>
    <w:rsid w:val="004C070B"/>
    <w:rsid w:val="004D033B"/>
    <w:rsid w:val="004D2539"/>
    <w:rsid w:val="004D4322"/>
    <w:rsid w:val="004D465A"/>
    <w:rsid w:val="004D488A"/>
    <w:rsid w:val="004E5455"/>
    <w:rsid w:val="004E605A"/>
    <w:rsid w:val="004E7227"/>
    <w:rsid w:val="004F0A44"/>
    <w:rsid w:val="004F215A"/>
    <w:rsid w:val="004F22F6"/>
    <w:rsid w:val="004F3FB9"/>
    <w:rsid w:val="004F76A1"/>
    <w:rsid w:val="00504582"/>
    <w:rsid w:val="0051320D"/>
    <w:rsid w:val="005132EC"/>
    <w:rsid w:val="00517F18"/>
    <w:rsid w:val="00520A3C"/>
    <w:rsid w:val="00525362"/>
    <w:rsid w:val="00525B8E"/>
    <w:rsid w:val="005271AD"/>
    <w:rsid w:val="00531567"/>
    <w:rsid w:val="00534E1E"/>
    <w:rsid w:val="00537187"/>
    <w:rsid w:val="005400BA"/>
    <w:rsid w:val="00542361"/>
    <w:rsid w:val="0054302E"/>
    <w:rsid w:val="0054378D"/>
    <w:rsid w:val="00545B3E"/>
    <w:rsid w:val="005463D9"/>
    <w:rsid w:val="005511F1"/>
    <w:rsid w:val="00552278"/>
    <w:rsid w:val="0055520C"/>
    <w:rsid w:val="00560D32"/>
    <w:rsid w:val="005631B8"/>
    <w:rsid w:val="00563EF8"/>
    <w:rsid w:val="005671BC"/>
    <w:rsid w:val="005717F4"/>
    <w:rsid w:val="00572E24"/>
    <w:rsid w:val="00575FA2"/>
    <w:rsid w:val="0057727D"/>
    <w:rsid w:val="00580897"/>
    <w:rsid w:val="00580EBF"/>
    <w:rsid w:val="005831CF"/>
    <w:rsid w:val="00591F70"/>
    <w:rsid w:val="005932DF"/>
    <w:rsid w:val="00595150"/>
    <w:rsid w:val="00595922"/>
    <w:rsid w:val="005A0FB1"/>
    <w:rsid w:val="005A5B16"/>
    <w:rsid w:val="005A5D20"/>
    <w:rsid w:val="005A7C1B"/>
    <w:rsid w:val="005B10FA"/>
    <w:rsid w:val="005B4F58"/>
    <w:rsid w:val="005B7E1A"/>
    <w:rsid w:val="005C258D"/>
    <w:rsid w:val="005C2979"/>
    <w:rsid w:val="005C3F3D"/>
    <w:rsid w:val="005C4CDC"/>
    <w:rsid w:val="005C571B"/>
    <w:rsid w:val="005C7767"/>
    <w:rsid w:val="005C7A4F"/>
    <w:rsid w:val="005D1FAA"/>
    <w:rsid w:val="005D4151"/>
    <w:rsid w:val="005E1617"/>
    <w:rsid w:val="005E1FA2"/>
    <w:rsid w:val="005E3E02"/>
    <w:rsid w:val="005E696E"/>
    <w:rsid w:val="005E74B7"/>
    <w:rsid w:val="005F3B17"/>
    <w:rsid w:val="005F6821"/>
    <w:rsid w:val="005F6E1A"/>
    <w:rsid w:val="006004E2"/>
    <w:rsid w:val="00600C43"/>
    <w:rsid w:val="00615DA3"/>
    <w:rsid w:val="00616C60"/>
    <w:rsid w:val="006219EE"/>
    <w:rsid w:val="00622F54"/>
    <w:rsid w:val="006256B4"/>
    <w:rsid w:val="006268A3"/>
    <w:rsid w:val="006269C3"/>
    <w:rsid w:val="006306BF"/>
    <w:rsid w:val="0063116A"/>
    <w:rsid w:val="0063254B"/>
    <w:rsid w:val="00632844"/>
    <w:rsid w:val="006334F5"/>
    <w:rsid w:val="0063679E"/>
    <w:rsid w:val="0063766F"/>
    <w:rsid w:val="00640A4E"/>
    <w:rsid w:val="006429EF"/>
    <w:rsid w:val="00650518"/>
    <w:rsid w:val="00651F3A"/>
    <w:rsid w:val="006630E5"/>
    <w:rsid w:val="00666E0D"/>
    <w:rsid w:val="0067017D"/>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E0932"/>
    <w:rsid w:val="006E1781"/>
    <w:rsid w:val="006E3A6A"/>
    <w:rsid w:val="006E416A"/>
    <w:rsid w:val="006E5414"/>
    <w:rsid w:val="006E6156"/>
    <w:rsid w:val="006E7CC3"/>
    <w:rsid w:val="006E7FD1"/>
    <w:rsid w:val="006F1899"/>
    <w:rsid w:val="006F1A6D"/>
    <w:rsid w:val="006F202E"/>
    <w:rsid w:val="006F3B04"/>
    <w:rsid w:val="006F636B"/>
    <w:rsid w:val="006F73CC"/>
    <w:rsid w:val="006F7FC8"/>
    <w:rsid w:val="007009F9"/>
    <w:rsid w:val="0070294E"/>
    <w:rsid w:val="00711DBC"/>
    <w:rsid w:val="0071224C"/>
    <w:rsid w:val="0071392B"/>
    <w:rsid w:val="00716381"/>
    <w:rsid w:val="00717966"/>
    <w:rsid w:val="00724998"/>
    <w:rsid w:val="00727681"/>
    <w:rsid w:val="00731F00"/>
    <w:rsid w:val="00732616"/>
    <w:rsid w:val="00732764"/>
    <w:rsid w:val="00736325"/>
    <w:rsid w:val="007364BD"/>
    <w:rsid w:val="00743AB2"/>
    <w:rsid w:val="00743CD0"/>
    <w:rsid w:val="007464AD"/>
    <w:rsid w:val="007505FE"/>
    <w:rsid w:val="00753E0D"/>
    <w:rsid w:val="00753FDD"/>
    <w:rsid w:val="00755A54"/>
    <w:rsid w:val="00762239"/>
    <w:rsid w:val="00767B87"/>
    <w:rsid w:val="00772636"/>
    <w:rsid w:val="00777C18"/>
    <w:rsid w:val="007805CD"/>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8662B"/>
    <w:rsid w:val="00890FD7"/>
    <w:rsid w:val="00893647"/>
    <w:rsid w:val="008B0841"/>
    <w:rsid w:val="008B305D"/>
    <w:rsid w:val="008B5FA3"/>
    <w:rsid w:val="008B5FDB"/>
    <w:rsid w:val="008B6308"/>
    <w:rsid w:val="008C2F61"/>
    <w:rsid w:val="008C5D03"/>
    <w:rsid w:val="008D2829"/>
    <w:rsid w:val="008D3DE1"/>
    <w:rsid w:val="008D557C"/>
    <w:rsid w:val="008D5B1F"/>
    <w:rsid w:val="008D6BC4"/>
    <w:rsid w:val="008E0CE6"/>
    <w:rsid w:val="008E0CF4"/>
    <w:rsid w:val="008E5108"/>
    <w:rsid w:val="008E5567"/>
    <w:rsid w:val="008E7015"/>
    <w:rsid w:val="008E7777"/>
    <w:rsid w:val="008F15CD"/>
    <w:rsid w:val="008F246A"/>
    <w:rsid w:val="008F6C55"/>
    <w:rsid w:val="008F73AA"/>
    <w:rsid w:val="0090380F"/>
    <w:rsid w:val="009062BF"/>
    <w:rsid w:val="009079AF"/>
    <w:rsid w:val="00911071"/>
    <w:rsid w:val="00916404"/>
    <w:rsid w:val="00916B9F"/>
    <w:rsid w:val="009202FD"/>
    <w:rsid w:val="00921102"/>
    <w:rsid w:val="009214B3"/>
    <w:rsid w:val="0092264F"/>
    <w:rsid w:val="009234CE"/>
    <w:rsid w:val="009246D2"/>
    <w:rsid w:val="00925384"/>
    <w:rsid w:val="00931A3C"/>
    <w:rsid w:val="0093468B"/>
    <w:rsid w:val="009408A3"/>
    <w:rsid w:val="009421D0"/>
    <w:rsid w:val="009448B0"/>
    <w:rsid w:val="00945121"/>
    <w:rsid w:val="00945199"/>
    <w:rsid w:val="00945849"/>
    <w:rsid w:val="00946EC7"/>
    <w:rsid w:val="00955BCE"/>
    <w:rsid w:val="009603A2"/>
    <w:rsid w:val="00961DA1"/>
    <w:rsid w:val="00962301"/>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68EF"/>
    <w:rsid w:val="009B72F4"/>
    <w:rsid w:val="009C0D0F"/>
    <w:rsid w:val="009C2A17"/>
    <w:rsid w:val="009C643F"/>
    <w:rsid w:val="009C7B71"/>
    <w:rsid w:val="009D109B"/>
    <w:rsid w:val="009D30BC"/>
    <w:rsid w:val="009E15E2"/>
    <w:rsid w:val="009E23BF"/>
    <w:rsid w:val="009E2D9A"/>
    <w:rsid w:val="009E478A"/>
    <w:rsid w:val="009E6E2B"/>
    <w:rsid w:val="009E7F8F"/>
    <w:rsid w:val="009F18D7"/>
    <w:rsid w:val="009F1E2B"/>
    <w:rsid w:val="009F5005"/>
    <w:rsid w:val="009F5F96"/>
    <w:rsid w:val="009F6C90"/>
    <w:rsid w:val="009F74D0"/>
    <w:rsid w:val="00A06BFF"/>
    <w:rsid w:val="00A129AE"/>
    <w:rsid w:val="00A12B84"/>
    <w:rsid w:val="00A13112"/>
    <w:rsid w:val="00A17FF7"/>
    <w:rsid w:val="00A20D09"/>
    <w:rsid w:val="00A21A0F"/>
    <w:rsid w:val="00A253E7"/>
    <w:rsid w:val="00A26653"/>
    <w:rsid w:val="00A2764E"/>
    <w:rsid w:val="00A40505"/>
    <w:rsid w:val="00A409CF"/>
    <w:rsid w:val="00A42C03"/>
    <w:rsid w:val="00A45E77"/>
    <w:rsid w:val="00A47417"/>
    <w:rsid w:val="00A50E58"/>
    <w:rsid w:val="00A52FC3"/>
    <w:rsid w:val="00A539FF"/>
    <w:rsid w:val="00A60F48"/>
    <w:rsid w:val="00A64DFD"/>
    <w:rsid w:val="00A709E8"/>
    <w:rsid w:val="00A8420B"/>
    <w:rsid w:val="00A8502B"/>
    <w:rsid w:val="00A86226"/>
    <w:rsid w:val="00A86D9C"/>
    <w:rsid w:val="00A920FB"/>
    <w:rsid w:val="00A9462E"/>
    <w:rsid w:val="00A96F68"/>
    <w:rsid w:val="00A97C36"/>
    <w:rsid w:val="00AA6478"/>
    <w:rsid w:val="00AB4EFD"/>
    <w:rsid w:val="00AB6E49"/>
    <w:rsid w:val="00AB7298"/>
    <w:rsid w:val="00AB76F5"/>
    <w:rsid w:val="00AC0E55"/>
    <w:rsid w:val="00AC1EBB"/>
    <w:rsid w:val="00AC29C3"/>
    <w:rsid w:val="00AC3DA6"/>
    <w:rsid w:val="00AD28E3"/>
    <w:rsid w:val="00AD4D8B"/>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6A2D"/>
    <w:rsid w:val="00B348B0"/>
    <w:rsid w:val="00B36EC1"/>
    <w:rsid w:val="00B435C2"/>
    <w:rsid w:val="00B46027"/>
    <w:rsid w:val="00B46448"/>
    <w:rsid w:val="00B46917"/>
    <w:rsid w:val="00B50803"/>
    <w:rsid w:val="00B51F4D"/>
    <w:rsid w:val="00B57CEE"/>
    <w:rsid w:val="00B622BC"/>
    <w:rsid w:val="00B62425"/>
    <w:rsid w:val="00B67B8C"/>
    <w:rsid w:val="00B75D52"/>
    <w:rsid w:val="00B7734D"/>
    <w:rsid w:val="00B80672"/>
    <w:rsid w:val="00B8086C"/>
    <w:rsid w:val="00B809D3"/>
    <w:rsid w:val="00B80A40"/>
    <w:rsid w:val="00B84353"/>
    <w:rsid w:val="00B87097"/>
    <w:rsid w:val="00B87662"/>
    <w:rsid w:val="00B90B28"/>
    <w:rsid w:val="00B92053"/>
    <w:rsid w:val="00B96022"/>
    <w:rsid w:val="00BA5D3E"/>
    <w:rsid w:val="00BB4305"/>
    <w:rsid w:val="00BB4CC8"/>
    <w:rsid w:val="00BB5F43"/>
    <w:rsid w:val="00BC097C"/>
    <w:rsid w:val="00BC4F13"/>
    <w:rsid w:val="00BD0BD6"/>
    <w:rsid w:val="00BD2EF8"/>
    <w:rsid w:val="00BD2F73"/>
    <w:rsid w:val="00BD325B"/>
    <w:rsid w:val="00BD4D56"/>
    <w:rsid w:val="00BD762D"/>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495B"/>
    <w:rsid w:val="00C14970"/>
    <w:rsid w:val="00C173E2"/>
    <w:rsid w:val="00C20C17"/>
    <w:rsid w:val="00C210C3"/>
    <w:rsid w:val="00C23E02"/>
    <w:rsid w:val="00C26855"/>
    <w:rsid w:val="00C26ED7"/>
    <w:rsid w:val="00C343BF"/>
    <w:rsid w:val="00C34DBC"/>
    <w:rsid w:val="00C3754A"/>
    <w:rsid w:val="00C443AF"/>
    <w:rsid w:val="00C51144"/>
    <w:rsid w:val="00C54C7F"/>
    <w:rsid w:val="00C55365"/>
    <w:rsid w:val="00C56B06"/>
    <w:rsid w:val="00C63FB9"/>
    <w:rsid w:val="00C65E58"/>
    <w:rsid w:val="00C724D2"/>
    <w:rsid w:val="00C72BFA"/>
    <w:rsid w:val="00C72F53"/>
    <w:rsid w:val="00C7690C"/>
    <w:rsid w:val="00C7692E"/>
    <w:rsid w:val="00C76C3D"/>
    <w:rsid w:val="00C77D60"/>
    <w:rsid w:val="00C80CEE"/>
    <w:rsid w:val="00C86395"/>
    <w:rsid w:val="00C87AA9"/>
    <w:rsid w:val="00C92D07"/>
    <w:rsid w:val="00C9358F"/>
    <w:rsid w:val="00C9499A"/>
    <w:rsid w:val="00C96187"/>
    <w:rsid w:val="00C96700"/>
    <w:rsid w:val="00CA0D0B"/>
    <w:rsid w:val="00CA4014"/>
    <w:rsid w:val="00CA425B"/>
    <w:rsid w:val="00CA4B10"/>
    <w:rsid w:val="00CB05B1"/>
    <w:rsid w:val="00CB0F26"/>
    <w:rsid w:val="00CB3AE2"/>
    <w:rsid w:val="00CB3FBB"/>
    <w:rsid w:val="00CB5906"/>
    <w:rsid w:val="00CB65F1"/>
    <w:rsid w:val="00CC2799"/>
    <w:rsid w:val="00CC2CF7"/>
    <w:rsid w:val="00CC59ED"/>
    <w:rsid w:val="00CD00F0"/>
    <w:rsid w:val="00CD2A1C"/>
    <w:rsid w:val="00CD2EFD"/>
    <w:rsid w:val="00CD4BC4"/>
    <w:rsid w:val="00CD72FE"/>
    <w:rsid w:val="00CD75D2"/>
    <w:rsid w:val="00CD77BC"/>
    <w:rsid w:val="00CE1B9F"/>
    <w:rsid w:val="00CE6F80"/>
    <w:rsid w:val="00CF18AB"/>
    <w:rsid w:val="00D00632"/>
    <w:rsid w:val="00D01F37"/>
    <w:rsid w:val="00D02758"/>
    <w:rsid w:val="00D03A26"/>
    <w:rsid w:val="00D05D59"/>
    <w:rsid w:val="00D17D39"/>
    <w:rsid w:val="00D17D8F"/>
    <w:rsid w:val="00D22031"/>
    <w:rsid w:val="00D303D6"/>
    <w:rsid w:val="00D32687"/>
    <w:rsid w:val="00D32D6E"/>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3AE3"/>
    <w:rsid w:val="00D94FA0"/>
    <w:rsid w:val="00DA1A84"/>
    <w:rsid w:val="00DA2EAA"/>
    <w:rsid w:val="00DA6A86"/>
    <w:rsid w:val="00DB2F91"/>
    <w:rsid w:val="00DB406B"/>
    <w:rsid w:val="00DB531C"/>
    <w:rsid w:val="00DC32EB"/>
    <w:rsid w:val="00DC42B7"/>
    <w:rsid w:val="00DC4589"/>
    <w:rsid w:val="00DC4734"/>
    <w:rsid w:val="00DC4E25"/>
    <w:rsid w:val="00DC6C1E"/>
    <w:rsid w:val="00DD4383"/>
    <w:rsid w:val="00DD78FE"/>
    <w:rsid w:val="00DE04BB"/>
    <w:rsid w:val="00DE2FDB"/>
    <w:rsid w:val="00DE3506"/>
    <w:rsid w:val="00DE746A"/>
    <w:rsid w:val="00DF349B"/>
    <w:rsid w:val="00DF42A7"/>
    <w:rsid w:val="00DF44C2"/>
    <w:rsid w:val="00DF4A3F"/>
    <w:rsid w:val="00DF54E7"/>
    <w:rsid w:val="00DF614F"/>
    <w:rsid w:val="00DF6B95"/>
    <w:rsid w:val="00DF7A2E"/>
    <w:rsid w:val="00E02404"/>
    <w:rsid w:val="00E046A3"/>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1DCC"/>
    <w:rsid w:val="00E538AE"/>
    <w:rsid w:val="00E575D4"/>
    <w:rsid w:val="00E602CC"/>
    <w:rsid w:val="00E60BCF"/>
    <w:rsid w:val="00E63199"/>
    <w:rsid w:val="00E631BB"/>
    <w:rsid w:val="00E6600C"/>
    <w:rsid w:val="00E66FC2"/>
    <w:rsid w:val="00E67137"/>
    <w:rsid w:val="00E701AC"/>
    <w:rsid w:val="00E71B6C"/>
    <w:rsid w:val="00E71F47"/>
    <w:rsid w:val="00E7552C"/>
    <w:rsid w:val="00E75EDC"/>
    <w:rsid w:val="00E76F19"/>
    <w:rsid w:val="00E77DF7"/>
    <w:rsid w:val="00E802FE"/>
    <w:rsid w:val="00E823D3"/>
    <w:rsid w:val="00E828F0"/>
    <w:rsid w:val="00E82DB5"/>
    <w:rsid w:val="00E8450A"/>
    <w:rsid w:val="00E857F1"/>
    <w:rsid w:val="00E919C6"/>
    <w:rsid w:val="00E919F1"/>
    <w:rsid w:val="00E93DBE"/>
    <w:rsid w:val="00E9584F"/>
    <w:rsid w:val="00EA00F5"/>
    <w:rsid w:val="00EA2FA7"/>
    <w:rsid w:val="00EA389B"/>
    <w:rsid w:val="00EB1B1D"/>
    <w:rsid w:val="00EB3D84"/>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65C0"/>
    <w:rsid w:val="00EF778F"/>
    <w:rsid w:val="00EF78B8"/>
    <w:rsid w:val="00EF7999"/>
    <w:rsid w:val="00F006DA"/>
    <w:rsid w:val="00F01ED3"/>
    <w:rsid w:val="00F020DF"/>
    <w:rsid w:val="00F03BFD"/>
    <w:rsid w:val="00F118D3"/>
    <w:rsid w:val="00F1242C"/>
    <w:rsid w:val="00F128C3"/>
    <w:rsid w:val="00F1711D"/>
    <w:rsid w:val="00F200BC"/>
    <w:rsid w:val="00F223F4"/>
    <w:rsid w:val="00F23EAF"/>
    <w:rsid w:val="00F25C3E"/>
    <w:rsid w:val="00F269BB"/>
    <w:rsid w:val="00F317F9"/>
    <w:rsid w:val="00F33A4A"/>
    <w:rsid w:val="00F353AE"/>
    <w:rsid w:val="00F36D46"/>
    <w:rsid w:val="00F42BF1"/>
    <w:rsid w:val="00F43DC9"/>
    <w:rsid w:val="00F441EF"/>
    <w:rsid w:val="00F443E2"/>
    <w:rsid w:val="00F52595"/>
    <w:rsid w:val="00F530EE"/>
    <w:rsid w:val="00F531CE"/>
    <w:rsid w:val="00F54B30"/>
    <w:rsid w:val="00F57324"/>
    <w:rsid w:val="00F64A4F"/>
    <w:rsid w:val="00F67027"/>
    <w:rsid w:val="00F71933"/>
    <w:rsid w:val="00F74DE7"/>
    <w:rsid w:val="00F7795B"/>
    <w:rsid w:val="00F803D9"/>
    <w:rsid w:val="00F823B0"/>
    <w:rsid w:val="00F82D1B"/>
    <w:rsid w:val="00F85483"/>
    <w:rsid w:val="00F950E6"/>
    <w:rsid w:val="00F960F5"/>
    <w:rsid w:val="00F97939"/>
    <w:rsid w:val="00FA0ED7"/>
    <w:rsid w:val="00FA3210"/>
    <w:rsid w:val="00FA62A2"/>
    <w:rsid w:val="00FA7412"/>
    <w:rsid w:val="00FB0F59"/>
    <w:rsid w:val="00FB3BF9"/>
    <w:rsid w:val="00FB55B6"/>
    <w:rsid w:val="00FB56B2"/>
    <w:rsid w:val="00FB5B7E"/>
    <w:rsid w:val="00FB709E"/>
    <w:rsid w:val="00FC57AE"/>
    <w:rsid w:val="00FC6C27"/>
    <w:rsid w:val="00FE3585"/>
    <w:rsid w:val="00FF09DA"/>
    <w:rsid w:val="00FF16A1"/>
    <w:rsid w:val="00FF330A"/>
    <w:rsid w:val="00FF3CAD"/>
    <w:rsid w:val="00FF483D"/>
    <w:rsid w:val="00FF49A5"/>
    <w:rsid w:val="00FF69FD"/>
    <w:rsid w:val="00FF6B2B"/>
    <w:rsid w:val="00FF6CAF"/>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28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cc-csc.ca/case-dossier/info/sum-som-fra.aspx?cas=37208"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1087</Words>
  <Characters>5724</Characters>
  <Application>Microsoft Office Word</Application>
  <DocSecurity>0</DocSecurity>
  <Lines>228</Lines>
  <Paragraphs>59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6752</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2018-06-06T14:09:00Z</dcterms:created>
  <dcterms:modified xsi:type="dcterms:W3CDTF">2018-06-07T14:39:00Z</dcterms:modified>
</cp:coreProperties>
</file>