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D0E52" w:rsidRDefault="003F43E6" w:rsidP="003F43E6">
      <w:pPr>
        <w:pStyle w:val="Header"/>
        <w:jc w:val="center"/>
        <w:rPr>
          <w:b/>
          <w:sz w:val="32"/>
        </w:rPr>
      </w:pPr>
      <w:r w:rsidRPr="00ED0E52">
        <w:rPr>
          <w:b/>
          <w:sz w:val="32"/>
        </w:rPr>
        <w:t>Supreme Court of Canada / Cour suprême du Canada</w:t>
      </w:r>
    </w:p>
    <w:p w:rsidR="003F43E6" w:rsidRPr="00ED0E52" w:rsidRDefault="003F43E6" w:rsidP="006F2579">
      <w:pPr>
        <w:widowControl w:val="0"/>
        <w:rPr>
          <w:i/>
        </w:rPr>
      </w:pPr>
    </w:p>
    <w:p w:rsidR="003F43E6" w:rsidRPr="00ED0E52" w:rsidRDefault="003F43E6" w:rsidP="006F2579">
      <w:pPr>
        <w:widowControl w:val="0"/>
        <w:rPr>
          <w:i/>
        </w:rPr>
      </w:pPr>
    </w:p>
    <w:p w:rsidR="006F2579" w:rsidRPr="00ED0E52" w:rsidRDefault="006F2579" w:rsidP="006F2579">
      <w:pPr>
        <w:widowControl w:val="0"/>
        <w:rPr>
          <w:i/>
          <w:lang w:val="fr-CA"/>
        </w:rPr>
      </w:pPr>
      <w:r w:rsidRPr="00ED0E52">
        <w:rPr>
          <w:i/>
          <w:lang w:val="fr-CA"/>
        </w:rPr>
        <w:t>(le français suit)</w:t>
      </w:r>
    </w:p>
    <w:p w:rsidR="006F2579" w:rsidRPr="00ED0E52" w:rsidRDefault="006F2579" w:rsidP="006F2579">
      <w:pPr>
        <w:widowControl w:val="0"/>
        <w:rPr>
          <w:lang w:val="fr-CA"/>
        </w:rPr>
      </w:pPr>
    </w:p>
    <w:p w:rsidR="006F2579" w:rsidRPr="00ED0E52" w:rsidRDefault="00C007C3" w:rsidP="006F2579">
      <w:pPr>
        <w:widowControl w:val="0"/>
        <w:jc w:val="center"/>
        <w:rPr>
          <w:b/>
          <w:lang w:val="fr-CA"/>
        </w:rPr>
      </w:pPr>
      <w:r w:rsidRPr="00ED0E52">
        <w:fldChar w:fldCharType="begin"/>
      </w:r>
      <w:r w:rsidR="006F2579" w:rsidRPr="00ED0E52">
        <w:rPr>
          <w:lang w:val="fr-CA"/>
        </w:rPr>
        <w:instrText xml:space="preserve"> SEQ CHAPTER \h \r 1</w:instrText>
      </w:r>
      <w:r w:rsidRPr="00ED0E52">
        <w:fldChar w:fldCharType="end"/>
      </w:r>
      <w:r w:rsidR="002767DF" w:rsidRPr="00ED0E52">
        <w:rPr>
          <w:b/>
          <w:lang w:val="fr-CA"/>
        </w:rPr>
        <w:t xml:space="preserve">JUDGMENTS </w:t>
      </w:r>
      <w:r w:rsidR="004C4C26" w:rsidRPr="00ED0E52">
        <w:rPr>
          <w:b/>
          <w:lang w:val="fr-CA"/>
        </w:rPr>
        <w:t>IN LEAVE APPLICATION</w:t>
      </w:r>
      <w:r w:rsidR="00005B6D" w:rsidRPr="00ED0E52">
        <w:rPr>
          <w:b/>
          <w:lang w:val="fr-CA"/>
        </w:rPr>
        <w:t>S</w:t>
      </w:r>
    </w:p>
    <w:p w:rsidR="006F2579" w:rsidRPr="00ED0E52" w:rsidRDefault="006F2579" w:rsidP="006F2579">
      <w:pPr>
        <w:widowControl w:val="0"/>
        <w:rPr>
          <w:b/>
          <w:lang w:val="fr-CA"/>
        </w:rPr>
      </w:pPr>
    </w:p>
    <w:p w:rsidR="006F2579" w:rsidRPr="00ED0E52" w:rsidRDefault="002934C0" w:rsidP="006F2579">
      <w:pPr>
        <w:widowControl w:val="0"/>
        <w:rPr>
          <w:b/>
        </w:rPr>
      </w:pPr>
      <w:r w:rsidRPr="00ED0E52">
        <w:rPr>
          <w:b/>
        </w:rPr>
        <w:t>June</w:t>
      </w:r>
      <w:r w:rsidR="00C9475D" w:rsidRPr="00ED0E52">
        <w:rPr>
          <w:b/>
        </w:rPr>
        <w:t xml:space="preserve"> </w:t>
      </w:r>
      <w:r w:rsidR="004D727F" w:rsidRPr="00ED0E52">
        <w:rPr>
          <w:b/>
        </w:rPr>
        <w:t>21</w:t>
      </w:r>
      <w:r w:rsidR="00170148" w:rsidRPr="00ED0E52">
        <w:rPr>
          <w:b/>
        </w:rPr>
        <w:t>,</w:t>
      </w:r>
      <w:r w:rsidR="008825DB" w:rsidRPr="00ED0E52">
        <w:rPr>
          <w:b/>
        </w:rPr>
        <w:t xml:space="preserve"> 201</w:t>
      </w:r>
      <w:r w:rsidR="00C565E8" w:rsidRPr="00ED0E52">
        <w:rPr>
          <w:b/>
        </w:rPr>
        <w:t>8</w:t>
      </w:r>
    </w:p>
    <w:p w:rsidR="006F2579" w:rsidRPr="00ED0E52" w:rsidRDefault="006F2579" w:rsidP="006F2579">
      <w:pPr>
        <w:widowControl w:val="0"/>
        <w:rPr>
          <w:b/>
        </w:rPr>
      </w:pPr>
      <w:r w:rsidRPr="00ED0E52">
        <w:rPr>
          <w:b/>
        </w:rPr>
        <w:t>For immediate release</w:t>
      </w:r>
    </w:p>
    <w:p w:rsidR="006F2579" w:rsidRPr="00ED0E52" w:rsidRDefault="006F2579" w:rsidP="006F2579">
      <w:pPr>
        <w:widowControl w:val="0"/>
      </w:pPr>
    </w:p>
    <w:p w:rsidR="002767DF" w:rsidRPr="00ED0E52" w:rsidRDefault="002767DF" w:rsidP="002767DF">
      <w:pPr>
        <w:widowControl w:val="0"/>
      </w:pPr>
      <w:r w:rsidRPr="00ED0E52">
        <w:rPr>
          <w:b/>
        </w:rPr>
        <w:t>OTTAWA</w:t>
      </w:r>
      <w:r w:rsidRPr="00ED0E52">
        <w:t xml:space="preserve"> – The Suprem</w:t>
      </w:r>
      <w:r w:rsidR="00580213" w:rsidRPr="00ED0E52">
        <w:t>e</w:t>
      </w:r>
      <w:r w:rsidRPr="00ED0E52">
        <w:t xml:space="preserve"> Court of Canada has today deposited with the Registrar judgment</w:t>
      </w:r>
      <w:r w:rsidR="004D3B41" w:rsidRPr="00ED0E52">
        <w:t>s</w:t>
      </w:r>
      <w:r w:rsidRPr="00ED0E52">
        <w:t xml:space="preserve"> in the following application</w:t>
      </w:r>
      <w:r w:rsidR="00CC044F" w:rsidRPr="00ED0E52">
        <w:t>s</w:t>
      </w:r>
      <w:r w:rsidRPr="00ED0E52">
        <w:t xml:space="preserve"> for leave to appeal.</w:t>
      </w:r>
    </w:p>
    <w:p w:rsidR="006F2579" w:rsidRPr="00ED0E52" w:rsidRDefault="006F2579" w:rsidP="006F2579">
      <w:pPr>
        <w:widowControl w:val="0"/>
      </w:pPr>
    </w:p>
    <w:p w:rsidR="006F2579" w:rsidRPr="00ED0E52" w:rsidRDefault="006F2579" w:rsidP="006F2579">
      <w:pPr>
        <w:widowControl w:val="0"/>
      </w:pPr>
    </w:p>
    <w:p w:rsidR="002767DF" w:rsidRPr="00ED0E52" w:rsidRDefault="002767DF" w:rsidP="002767DF">
      <w:pPr>
        <w:widowControl w:val="0"/>
        <w:jc w:val="center"/>
        <w:rPr>
          <w:lang w:val="fr-CA"/>
        </w:rPr>
      </w:pPr>
      <w:r w:rsidRPr="00ED0E52">
        <w:rPr>
          <w:b/>
          <w:lang w:val="fr-CA"/>
        </w:rPr>
        <w:t>JUGEMENT</w:t>
      </w:r>
      <w:r w:rsidR="004C4C26" w:rsidRPr="00ED0E52">
        <w:rPr>
          <w:b/>
          <w:lang w:val="fr-CA"/>
        </w:rPr>
        <w:t>S SUR DEMANDE</w:t>
      </w:r>
      <w:r w:rsidR="00CC044F" w:rsidRPr="00ED0E52">
        <w:rPr>
          <w:b/>
          <w:lang w:val="fr-CA"/>
        </w:rPr>
        <w:t>S</w:t>
      </w:r>
      <w:r w:rsidRPr="00ED0E52">
        <w:rPr>
          <w:b/>
          <w:lang w:val="fr-CA"/>
        </w:rPr>
        <w:t xml:space="preserve"> D’AUTORISATION</w:t>
      </w:r>
    </w:p>
    <w:p w:rsidR="006F2579" w:rsidRPr="00ED0E52" w:rsidRDefault="006F2579" w:rsidP="006F2579">
      <w:pPr>
        <w:widowControl w:val="0"/>
        <w:rPr>
          <w:lang w:val="fr-CA"/>
        </w:rPr>
      </w:pPr>
    </w:p>
    <w:p w:rsidR="006F2579" w:rsidRPr="00ED0E52" w:rsidRDefault="006F2579" w:rsidP="006F2579">
      <w:pPr>
        <w:widowControl w:val="0"/>
        <w:rPr>
          <w:b/>
          <w:lang w:val="fr-CA"/>
        </w:rPr>
      </w:pPr>
      <w:r w:rsidRPr="00ED0E52">
        <w:rPr>
          <w:b/>
          <w:lang w:val="fr-CA"/>
        </w:rPr>
        <w:t>Le</w:t>
      </w:r>
      <w:r w:rsidR="008825DB" w:rsidRPr="00ED0E52">
        <w:rPr>
          <w:b/>
          <w:lang w:val="fr-CA"/>
        </w:rPr>
        <w:t xml:space="preserve"> </w:t>
      </w:r>
      <w:r w:rsidR="004D727F" w:rsidRPr="00ED0E52">
        <w:rPr>
          <w:b/>
          <w:lang w:val="fr-CA"/>
        </w:rPr>
        <w:t>21</w:t>
      </w:r>
      <w:r w:rsidR="00C9475D" w:rsidRPr="00ED0E52">
        <w:rPr>
          <w:b/>
          <w:lang w:val="fr-CA"/>
        </w:rPr>
        <w:t xml:space="preserve"> </w:t>
      </w:r>
      <w:r w:rsidR="002934C0" w:rsidRPr="00ED0E52">
        <w:rPr>
          <w:b/>
          <w:lang w:val="fr-CA"/>
        </w:rPr>
        <w:t>juin</w:t>
      </w:r>
      <w:r w:rsidR="004E4B02" w:rsidRPr="00ED0E52">
        <w:rPr>
          <w:b/>
          <w:lang w:val="fr-CA"/>
        </w:rPr>
        <w:t xml:space="preserve"> </w:t>
      </w:r>
      <w:r w:rsidR="008825DB" w:rsidRPr="00ED0E52">
        <w:rPr>
          <w:b/>
          <w:lang w:val="fr-CA"/>
        </w:rPr>
        <w:t>201</w:t>
      </w:r>
      <w:r w:rsidR="00C565E8" w:rsidRPr="00ED0E52">
        <w:rPr>
          <w:b/>
          <w:lang w:val="fr-CA"/>
        </w:rPr>
        <w:t>8</w:t>
      </w:r>
    </w:p>
    <w:p w:rsidR="006F2579" w:rsidRPr="00ED0E52" w:rsidRDefault="006F2579" w:rsidP="006F2579">
      <w:pPr>
        <w:widowControl w:val="0"/>
        <w:rPr>
          <w:b/>
          <w:lang w:val="fr-CA"/>
        </w:rPr>
      </w:pPr>
      <w:r w:rsidRPr="00ED0E52">
        <w:rPr>
          <w:b/>
          <w:lang w:val="fr-CA"/>
        </w:rPr>
        <w:t>Pour diffusion immédiate</w:t>
      </w:r>
    </w:p>
    <w:p w:rsidR="006F2579" w:rsidRPr="00ED0E52" w:rsidRDefault="006F2579" w:rsidP="006F2579">
      <w:pPr>
        <w:widowControl w:val="0"/>
        <w:rPr>
          <w:b/>
          <w:lang w:val="fr-CA"/>
        </w:rPr>
      </w:pPr>
    </w:p>
    <w:p w:rsidR="002767DF" w:rsidRPr="00ED0E52" w:rsidRDefault="002767DF" w:rsidP="002767DF">
      <w:pPr>
        <w:widowControl w:val="0"/>
        <w:rPr>
          <w:lang w:val="fr-CA"/>
        </w:rPr>
      </w:pPr>
      <w:r w:rsidRPr="00ED0E52">
        <w:rPr>
          <w:b/>
          <w:lang w:val="fr-CA"/>
        </w:rPr>
        <w:t>OTTAWA</w:t>
      </w:r>
      <w:r w:rsidRPr="00ED0E52">
        <w:rPr>
          <w:lang w:val="fr-CA"/>
        </w:rPr>
        <w:t xml:space="preserve"> – La Cour suprême du Canada a déposé aujourd’hui auprès du registraire les jugements dans </w:t>
      </w:r>
      <w:r w:rsidR="00CC044F" w:rsidRPr="00ED0E52">
        <w:rPr>
          <w:lang w:val="fr-CA"/>
        </w:rPr>
        <w:t>les</w:t>
      </w:r>
      <w:r w:rsidR="008C7CD9" w:rsidRPr="00ED0E52">
        <w:rPr>
          <w:lang w:val="fr-CA"/>
        </w:rPr>
        <w:t xml:space="preserve"> </w:t>
      </w:r>
      <w:r w:rsidR="004C4C26" w:rsidRPr="00ED0E52">
        <w:rPr>
          <w:lang w:val="fr-CA"/>
        </w:rPr>
        <w:t>demande</w:t>
      </w:r>
      <w:r w:rsidR="0088435A" w:rsidRPr="00ED0E52">
        <w:rPr>
          <w:lang w:val="fr-CA"/>
        </w:rPr>
        <w:t>s</w:t>
      </w:r>
      <w:r w:rsidRPr="00ED0E52">
        <w:rPr>
          <w:lang w:val="fr-CA"/>
        </w:rPr>
        <w:t xml:space="preserve"> d’autorisation d’appel qui suivent. </w:t>
      </w:r>
    </w:p>
    <w:p w:rsidR="00694BDA" w:rsidRPr="00ED0E52" w:rsidRDefault="00694BDA" w:rsidP="000B5274">
      <w:pPr>
        <w:jc w:val="both"/>
        <w:rPr>
          <w:sz w:val="20"/>
          <w:lang w:val="fr-CA"/>
        </w:rPr>
      </w:pPr>
    </w:p>
    <w:p w:rsidR="00ED6E66" w:rsidRPr="00ED0E52" w:rsidRDefault="00ED6E66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E65D1C" w:rsidRPr="00ED0E52" w:rsidRDefault="00E65D1C" w:rsidP="00E65D1C">
      <w:pPr>
        <w:jc w:val="both"/>
        <w:rPr>
          <w:b/>
          <w:sz w:val="22"/>
          <w:szCs w:val="22"/>
        </w:rPr>
      </w:pPr>
      <w:r w:rsidRPr="00ED0E52">
        <w:rPr>
          <w:b/>
          <w:sz w:val="22"/>
          <w:szCs w:val="22"/>
        </w:rPr>
        <w:t>GRANTED / ACCORDÉE</w:t>
      </w:r>
    </w:p>
    <w:p w:rsidR="00E65D1C" w:rsidRPr="00ED0E52" w:rsidRDefault="00E65D1C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994908" w:rsidRPr="00ED0E52" w:rsidRDefault="00994908" w:rsidP="00994908">
      <w:pPr>
        <w:jc w:val="both"/>
        <w:rPr>
          <w:sz w:val="22"/>
          <w:szCs w:val="22"/>
          <w:lang w:val="en-CA"/>
        </w:rPr>
      </w:pPr>
      <w:r w:rsidRPr="00ED0E52">
        <w:rPr>
          <w:i/>
          <w:sz w:val="22"/>
          <w:szCs w:val="22"/>
          <w:lang w:val="en-CA"/>
        </w:rPr>
        <w:t>Keatley Surveying Ltd. v. Teranet Inc.</w:t>
      </w:r>
      <w:r w:rsidRPr="00ED0E52">
        <w:rPr>
          <w:sz w:val="22"/>
          <w:szCs w:val="22"/>
          <w:lang w:val="en-CA"/>
        </w:rPr>
        <w:t xml:space="preserve"> (Ont.) (Civil) (By Leave) </w:t>
      </w:r>
      <w:r w:rsidRPr="00ED0E52">
        <w:rPr>
          <w:sz w:val="22"/>
          <w:szCs w:val="22"/>
        </w:rPr>
        <w:t>(</w:t>
      </w:r>
      <w:hyperlink r:id="rId8" w:history="1">
        <w:r w:rsidRPr="00ED0E52">
          <w:rPr>
            <w:rStyle w:val="Hyperlink"/>
            <w:sz w:val="22"/>
            <w:szCs w:val="22"/>
          </w:rPr>
          <w:t>37863</w:t>
        </w:r>
      </w:hyperlink>
      <w:r w:rsidRPr="00ED0E52">
        <w:rPr>
          <w:sz w:val="22"/>
          <w:szCs w:val="22"/>
        </w:rPr>
        <w:t>)</w:t>
      </w:r>
    </w:p>
    <w:p w:rsidR="002934C0" w:rsidRPr="00A067AF" w:rsidRDefault="00994908" w:rsidP="00B51521">
      <w:pPr>
        <w:jc w:val="both"/>
        <w:rPr>
          <w:sz w:val="20"/>
        </w:rPr>
      </w:pPr>
      <w:r w:rsidRPr="00ED0E52">
        <w:rPr>
          <w:sz w:val="20"/>
        </w:rPr>
        <w:t>(The application for leave to appeal and the application for leave to cross</w:t>
      </w:r>
      <w:r w:rsidRPr="00ED0E52">
        <w:rPr>
          <w:b/>
          <w:sz w:val="20"/>
        </w:rPr>
        <w:t>-</w:t>
      </w:r>
      <w:r w:rsidRPr="00ED0E52">
        <w:rPr>
          <w:sz w:val="20"/>
        </w:rPr>
        <w:t>appeal are granted with costs in the cause.</w:t>
      </w:r>
      <w:r w:rsidR="00A067AF">
        <w:rPr>
          <w:sz w:val="20"/>
        </w:rPr>
        <w:t xml:space="preserve"> </w:t>
      </w:r>
      <w:r w:rsidR="00A067AF" w:rsidRPr="00A067AF">
        <w:rPr>
          <w:sz w:val="20"/>
        </w:rPr>
        <w:t>The schedule for serving and filing material will be set by the Registrar.</w:t>
      </w:r>
      <w:r w:rsidRPr="00A067AF">
        <w:rPr>
          <w:sz w:val="20"/>
        </w:rPr>
        <w:t xml:space="preserve"> / </w:t>
      </w:r>
    </w:p>
    <w:p w:rsidR="004D727F" w:rsidRPr="00ED0E52" w:rsidRDefault="00994908" w:rsidP="00B51521">
      <w:pPr>
        <w:jc w:val="both"/>
        <w:rPr>
          <w:sz w:val="20"/>
          <w:lang w:val="fr-CA"/>
        </w:rPr>
      </w:pPr>
      <w:r w:rsidRPr="00ED0E52">
        <w:rPr>
          <w:sz w:val="20"/>
          <w:lang w:val="fr-CA"/>
        </w:rPr>
        <w:t>La demande d’autorisation d’appel et la demande d’autorisation d’appel incident sont accueillies avec dépens suivant l’issue de la cause</w:t>
      </w:r>
      <w:r w:rsidRPr="00A067AF">
        <w:rPr>
          <w:sz w:val="20"/>
          <w:lang w:val="fr-CA"/>
        </w:rPr>
        <w:t>.</w:t>
      </w:r>
      <w:r w:rsidR="00A067AF" w:rsidRPr="00A067AF">
        <w:rPr>
          <w:sz w:val="20"/>
          <w:lang w:val="fr-CA"/>
        </w:rPr>
        <w:t xml:space="preserve"> </w:t>
      </w:r>
      <w:r w:rsidR="00A067AF" w:rsidRPr="00A067AF">
        <w:rPr>
          <w:sz w:val="20"/>
          <w:lang w:val="fr-CA"/>
        </w:rPr>
        <w:t>L’échéancier pour la signification et le dépôt des documents sera fixé par le Registraire.</w:t>
      </w:r>
      <w:r w:rsidRPr="00A067AF">
        <w:rPr>
          <w:sz w:val="20"/>
          <w:lang w:val="fr-CA"/>
        </w:rPr>
        <w:t>)</w:t>
      </w:r>
    </w:p>
    <w:p w:rsidR="004D727F" w:rsidRPr="00ED0E52" w:rsidRDefault="004D727F" w:rsidP="00B51521">
      <w:pPr>
        <w:jc w:val="both"/>
        <w:rPr>
          <w:sz w:val="20"/>
          <w:lang w:val="fr-CA"/>
        </w:rPr>
      </w:pPr>
    </w:p>
    <w:p w:rsidR="00B51521" w:rsidRPr="00ED0E52" w:rsidRDefault="00B51521" w:rsidP="00B51521">
      <w:pPr>
        <w:jc w:val="both"/>
        <w:rPr>
          <w:sz w:val="22"/>
          <w:szCs w:val="22"/>
          <w:lang w:val="fr-CA"/>
        </w:rPr>
      </w:pPr>
      <w:r w:rsidRPr="00ED0E52">
        <w:rPr>
          <w:sz w:val="22"/>
          <w:szCs w:val="22"/>
          <w:lang w:val="fr-CA"/>
        </w:rPr>
        <w:t>****</w:t>
      </w:r>
      <w:bookmarkStart w:id="0" w:name="_GoBack"/>
      <w:bookmarkEnd w:id="0"/>
    </w:p>
    <w:p w:rsidR="001904F9" w:rsidRPr="00ED0E52" w:rsidRDefault="001904F9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2C446D" w:rsidRPr="00ED0E52" w:rsidRDefault="002C446D" w:rsidP="002C446D">
      <w:pPr>
        <w:jc w:val="both"/>
        <w:rPr>
          <w:b/>
          <w:sz w:val="22"/>
          <w:szCs w:val="22"/>
          <w:lang w:val="fr-CA"/>
        </w:rPr>
      </w:pPr>
      <w:r w:rsidRPr="00ED0E52">
        <w:rPr>
          <w:b/>
          <w:sz w:val="22"/>
          <w:szCs w:val="22"/>
          <w:lang w:val="fr-CA"/>
        </w:rPr>
        <w:t>DISMISSED / REJETÉE</w:t>
      </w:r>
      <w:r w:rsidR="001904F9" w:rsidRPr="00ED0E52">
        <w:rPr>
          <w:b/>
          <w:sz w:val="22"/>
          <w:szCs w:val="22"/>
          <w:lang w:val="fr-CA"/>
        </w:rPr>
        <w:t>S</w:t>
      </w:r>
    </w:p>
    <w:p w:rsidR="00310222" w:rsidRPr="00ED0E52" w:rsidRDefault="00310222" w:rsidP="00310222">
      <w:pPr>
        <w:jc w:val="both"/>
        <w:rPr>
          <w:sz w:val="20"/>
          <w:lang w:val="fr-CA"/>
        </w:rPr>
      </w:pPr>
    </w:p>
    <w:p w:rsidR="00C079CB" w:rsidRPr="00ED0E52" w:rsidRDefault="00C079CB" w:rsidP="00C079CB">
      <w:pPr>
        <w:pStyle w:val="SCCAppellantInfoAppellantInfo"/>
        <w:rPr>
          <w:sz w:val="22"/>
          <w:szCs w:val="22"/>
        </w:rPr>
      </w:pPr>
      <w:r w:rsidRPr="00ED0E52">
        <w:rPr>
          <w:i/>
          <w:sz w:val="22"/>
          <w:szCs w:val="22"/>
          <w:lang w:val="fr-CA"/>
        </w:rPr>
        <w:t>Assessment Direct Inc. et al. v. Ontario Provincial Police et al.</w:t>
      </w:r>
      <w:r w:rsidRPr="00ED0E52">
        <w:rPr>
          <w:sz w:val="22"/>
          <w:szCs w:val="22"/>
          <w:lang w:val="fr-CA"/>
        </w:rPr>
        <w:t xml:space="preserve"> </w:t>
      </w:r>
      <w:r w:rsidRPr="00ED0E52">
        <w:rPr>
          <w:sz w:val="22"/>
          <w:szCs w:val="22"/>
        </w:rPr>
        <w:t>(Ont.) (Criminal) (By Leave) (</w:t>
      </w:r>
      <w:hyperlink r:id="rId9" w:history="1">
        <w:r w:rsidRPr="00ED0E52">
          <w:rPr>
            <w:rStyle w:val="Hyperlink"/>
            <w:sz w:val="22"/>
            <w:szCs w:val="22"/>
          </w:rPr>
          <w:t>37918</w:t>
        </w:r>
      </w:hyperlink>
      <w:r w:rsidRPr="00ED0E52">
        <w:rPr>
          <w:sz w:val="22"/>
          <w:szCs w:val="22"/>
        </w:rPr>
        <w:t>)</w:t>
      </w:r>
    </w:p>
    <w:p w:rsidR="00C079CB" w:rsidRPr="00ED0E52" w:rsidRDefault="00C079CB" w:rsidP="00FF0664">
      <w:pPr>
        <w:jc w:val="both"/>
        <w:rPr>
          <w:sz w:val="20"/>
        </w:rPr>
      </w:pPr>
      <w:r w:rsidRPr="00ED0E52">
        <w:rPr>
          <w:sz w:val="20"/>
        </w:rPr>
        <w:t>(The application for leave to appeal is dismissed. / La demande d’autorisation d’appel est rejetée.)</w:t>
      </w:r>
    </w:p>
    <w:p w:rsidR="00C079CB" w:rsidRPr="00ED0E52" w:rsidRDefault="00C079CB" w:rsidP="00FF0664">
      <w:pPr>
        <w:jc w:val="both"/>
        <w:rPr>
          <w:sz w:val="20"/>
        </w:rPr>
      </w:pPr>
    </w:p>
    <w:p w:rsidR="00FF0664" w:rsidRPr="00ED0E52" w:rsidRDefault="00FF0664" w:rsidP="00FF0664">
      <w:pPr>
        <w:jc w:val="both"/>
        <w:rPr>
          <w:sz w:val="22"/>
          <w:szCs w:val="22"/>
        </w:rPr>
      </w:pPr>
      <w:r w:rsidRPr="00ED0E52">
        <w:rPr>
          <w:sz w:val="22"/>
          <w:szCs w:val="22"/>
        </w:rPr>
        <w:t>****</w:t>
      </w:r>
    </w:p>
    <w:p w:rsidR="00B14593" w:rsidRPr="00ED0E52" w:rsidRDefault="00B14593" w:rsidP="00B14593">
      <w:pPr>
        <w:jc w:val="both"/>
        <w:rPr>
          <w:sz w:val="20"/>
        </w:rPr>
      </w:pPr>
    </w:p>
    <w:p w:rsidR="00684D16" w:rsidRPr="00ED0E52" w:rsidRDefault="00684D16" w:rsidP="00684D16">
      <w:pPr>
        <w:pStyle w:val="SCCAppellantInfoAppellantInfo"/>
        <w:rPr>
          <w:sz w:val="22"/>
          <w:szCs w:val="22"/>
        </w:rPr>
      </w:pPr>
      <w:r w:rsidRPr="00ED0E52">
        <w:rPr>
          <w:i/>
          <w:sz w:val="22"/>
          <w:szCs w:val="22"/>
        </w:rPr>
        <w:t>Public Service Alliance of Canada v. Attorney General of Canada</w:t>
      </w:r>
      <w:r w:rsidRPr="00ED0E52">
        <w:rPr>
          <w:sz w:val="22"/>
          <w:szCs w:val="22"/>
        </w:rPr>
        <w:t xml:space="preserve"> (F.C.) (Civil) (By Leave) (</w:t>
      </w:r>
      <w:hyperlink r:id="rId10" w:history="1">
        <w:r w:rsidRPr="00ED0E52">
          <w:rPr>
            <w:rStyle w:val="Hyperlink"/>
            <w:sz w:val="22"/>
            <w:szCs w:val="22"/>
          </w:rPr>
          <w:t>37886</w:t>
        </w:r>
      </w:hyperlink>
      <w:r w:rsidRPr="00ED0E52">
        <w:rPr>
          <w:sz w:val="22"/>
          <w:szCs w:val="22"/>
        </w:rPr>
        <w:t>)</w:t>
      </w:r>
    </w:p>
    <w:p w:rsidR="004D727F" w:rsidRPr="00ED0E52" w:rsidRDefault="00684D16" w:rsidP="00B14593">
      <w:pPr>
        <w:jc w:val="both"/>
        <w:rPr>
          <w:sz w:val="20"/>
        </w:rPr>
      </w:pPr>
      <w:r w:rsidRPr="00ED0E52">
        <w:rPr>
          <w:sz w:val="20"/>
        </w:rPr>
        <w:t>(The application for leave to appeal is dismissed with costs. / La demande d’autorisation d’appel est rejetée avec dépens.)</w:t>
      </w:r>
    </w:p>
    <w:p w:rsidR="004D727F" w:rsidRPr="00ED0E52" w:rsidRDefault="004D727F" w:rsidP="00B14593">
      <w:pPr>
        <w:jc w:val="both"/>
        <w:rPr>
          <w:sz w:val="20"/>
        </w:rPr>
      </w:pPr>
    </w:p>
    <w:p w:rsidR="00B14593" w:rsidRPr="00ED0E52" w:rsidRDefault="00B14593" w:rsidP="00B14593">
      <w:pPr>
        <w:jc w:val="both"/>
        <w:rPr>
          <w:sz w:val="22"/>
          <w:szCs w:val="22"/>
        </w:rPr>
      </w:pPr>
      <w:r w:rsidRPr="00ED0E52">
        <w:rPr>
          <w:sz w:val="22"/>
          <w:szCs w:val="22"/>
        </w:rPr>
        <w:t>****</w:t>
      </w:r>
    </w:p>
    <w:p w:rsidR="00B14593" w:rsidRPr="00ED0E52" w:rsidRDefault="00B14593" w:rsidP="00B14593">
      <w:pPr>
        <w:jc w:val="both"/>
        <w:rPr>
          <w:sz w:val="20"/>
        </w:rPr>
      </w:pPr>
    </w:p>
    <w:p w:rsidR="001E425B" w:rsidRPr="00ED0E52" w:rsidRDefault="001E425B" w:rsidP="001E425B">
      <w:pPr>
        <w:pStyle w:val="SCCAppellantInfoAppellantInfo"/>
        <w:rPr>
          <w:sz w:val="22"/>
          <w:szCs w:val="22"/>
        </w:rPr>
      </w:pPr>
      <w:r w:rsidRPr="00ED0E52">
        <w:rPr>
          <w:i/>
          <w:sz w:val="22"/>
          <w:szCs w:val="22"/>
        </w:rPr>
        <w:t>Alan MacPhee v. Karen Creighan et al.</w:t>
      </w:r>
      <w:r w:rsidRPr="00ED0E52">
        <w:rPr>
          <w:sz w:val="22"/>
          <w:szCs w:val="22"/>
        </w:rPr>
        <w:t xml:space="preserve"> (P.E.I.) (Civil) (By Leave) (</w:t>
      </w:r>
      <w:hyperlink r:id="rId11" w:history="1">
        <w:r w:rsidRPr="00ED0E52">
          <w:rPr>
            <w:rStyle w:val="Hyperlink"/>
            <w:sz w:val="22"/>
            <w:szCs w:val="22"/>
          </w:rPr>
          <w:t>38019</w:t>
        </w:r>
      </w:hyperlink>
      <w:r w:rsidRPr="00ED0E52">
        <w:rPr>
          <w:sz w:val="22"/>
          <w:szCs w:val="22"/>
        </w:rPr>
        <w:t>)</w:t>
      </w:r>
    </w:p>
    <w:p w:rsidR="002934C0" w:rsidRPr="00ED0E52" w:rsidRDefault="001E425B" w:rsidP="00B14593">
      <w:pPr>
        <w:jc w:val="both"/>
        <w:rPr>
          <w:sz w:val="20"/>
          <w:lang w:val="en-CA"/>
        </w:rPr>
      </w:pPr>
      <w:r w:rsidRPr="00ED0E52">
        <w:rPr>
          <w:sz w:val="20"/>
          <w:lang w:val="en-CA"/>
        </w:rPr>
        <w:t>(</w:t>
      </w:r>
      <w:r w:rsidRPr="00ED0E52">
        <w:rPr>
          <w:sz w:val="20"/>
        </w:rPr>
        <w:t xml:space="preserve">The application for leave to appeal is dismissed with costs to the respondent, Karen Creighan. / </w:t>
      </w:r>
    </w:p>
    <w:p w:rsidR="004D727F" w:rsidRPr="00ED0E52" w:rsidRDefault="001E425B" w:rsidP="00B14593">
      <w:pPr>
        <w:jc w:val="both"/>
        <w:rPr>
          <w:sz w:val="20"/>
          <w:lang w:val="fr-CA"/>
        </w:rPr>
      </w:pPr>
      <w:r w:rsidRPr="00ED0E52">
        <w:rPr>
          <w:sz w:val="20"/>
          <w:lang w:val="fr-CA"/>
        </w:rPr>
        <w:t>La demande d’autorisation d’appel est rejetée avec dépens en faveur de l’intimée, Karen Creighan.)</w:t>
      </w:r>
    </w:p>
    <w:p w:rsidR="004D727F" w:rsidRPr="00ED0E52" w:rsidRDefault="004D727F" w:rsidP="00B14593">
      <w:pPr>
        <w:jc w:val="both"/>
        <w:rPr>
          <w:sz w:val="20"/>
          <w:lang w:val="fr-CA"/>
        </w:rPr>
      </w:pPr>
    </w:p>
    <w:p w:rsidR="00B14593" w:rsidRPr="00ED0E52" w:rsidRDefault="00B14593" w:rsidP="00B14593">
      <w:pPr>
        <w:jc w:val="both"/>
        <w:rPr>
          <w:sz w:val="22"/>
          <w:szCs w:val="22"/>
        </w:rPr>
      </w:pPr>
      <w:r w:rsidRPr="00ED0E52">
        <w:rPr>
          <w:sz w:val="22"/>
          <w:szCs w:val="22"/>
        </w:rPr>
        <w:t>****</w:t>
      </w:r>
    </w:p>
    <w:p w:rsidR="00B14593" w:rsidRPr="00ED0E52" w:rsidRDefault="00B14593" w:rsidP="00B14593">
      <w:pPr>
        <w:jc w:val="both"/>
        <w:rPr>
          <w:sz w:val="20"/>
        </w:rPr>
      </w:pPr>
    </w:p>
    <w:p w:rsidR="00D72F77" w:rsidRPr="00ED0E52" w:rsidRDefault="00D72F77" w:rsidP="00D72F77">
      <w:pPr>
        <w:pStyle w:val="SCCAppellantInfoAppellantInfo"/>
        <w:rPr>
          <w:sz w:val="22"/>
          <w:szCs w:val="22"/>
        </w:rPr>
      </w:pPr>
      <w:r w:rsidRPr="00ED0E52">
        <w:rPr>
          <w:i/>
          <w:sz w:val="22"/>
          <w:szCs w:val="22"/>
        </w:rPr>
        <w:t>City of Dieppe v. Noron Inc.</w:t>
      </w:r>
      <w:r w:rsidRPr="00ED0E52">
        <w:rPr>
          <w:sz w:val="22"/>
          <w:szCs w:val="22"/>
        </w:rPr>
        <w:t xml:space="preserve"> (N.B.) (Civil) (By Leave) (</w:t>
      </w:r>
      <w:hyperlink r:id="rId12" w:history="1">
        <w:r w:rsidRPr="00ED0E52">
          <w:rPr>
            <w:rStyle w:val="Hyperlink"/>
            <w:sz w:val="22"/>
            <w:szCs w:val="22"/>
          </w:rPr>
          <w:t>37856</w:t>
        </w:r>
      </w:hyperlink>
      <w:r w:rsidRPr="00ED0E52">
        <w:rPr>
          <w:sz w:val="22"/>
          <w:szCs w:val="22"/>
        </w:rPr>
        <w:t>)</w:t>
      </w:r>
    </w:p>
    <w:p w:rsidR="004D727F" w:rsidRPr="00ED0E52" w:rsidRDefault="00D72F77" w:rsidP="00B14593">
      <w:pPr>
        <w:jc w:val="both"/>
        <w:rPr>
          <w:sz w:val="20"/>
          <w:lang w:val="fr-CA"/>
        </w:rPr>
      </w:pPr>
      <w:r w:rsidRPr="00ED0E52">
        <w:rPr>
          <w:sz w:val="20"/>
          <w:lang w:val="en-CA"/>
        </w:rPr>
        <w:lastRenderedPageBreak/>
        <w:t>(</w:t>
      </w:r>
      <w:r w:rsidRPr="00ED0E52">
        <w:rPr>
          <w:sz w:val="20"/>
        </w:rPr>
        <w:t xml:space="preserve">The application for leave to appeal is dismissed with costs. / </w:t>
      </w:r>
      <w:r w:rsidRPr="00ED0E52">
        <w:rPr>
          <w:sz w:val="20"/>
          <w:lang w:val="fr-CA"/>
        </w:rPr>
        <w:t xml:space="preserve">La demande d’autorisation d’appel </w:t>
      </w:r>
      <w:proofErr w:type="gramStart"/>
      <w:r w:rsidRPr="00ED0E52">
        <w:rPr>
          <w:sz w:val="20"/>
          <w:lang w:val="fr-CA"/>
        </w:rPr>
        <w:t>est</w:t>
      </w:r>
      <w:proofErr w:type="gramEnd"/>
      <w:r w:rsidRPr="00ED0E52">
        <w:rPr>
          <w:sz w:val="20"/>
          <w:lang w:val="fr-CA"/>
        </w:rPr>
        <w:t xml:space="preserve"> rejetée avec dépens.)</w:t>
      </w:r>
    </w:p>
    <w:p w:rsidR="004D727F" w:rsidRPr="00ED0E52" w:rsidRDefault="004D727F" w:rsidP="00B14593">
      <w:pPr>
        <w:jc w:val="both"/>
        <w:rPr>
          <w:sz w:val="20"/>
          <w:lang w:val="fr-CA"/>
        </w:rPr>
      </w:pPr>
    </w:p>
    <w:p w:rsidR="00B14593" w:rsidRPr="00ED0E52" w:rsidRDefault="00B14593" w:rsidP="00B14593">
      <w:pPr>
        <w:jc w:val="both"/>
        <w:rPr>
          <w:sz w:val="22"/>
          <w:szCs w:val="22"/>
        </w:rPr>
      </w:pPr>
      <w:r w:rsidRPr="00ED0E52">
        <w:rPr>
          <w:sz w:val="22"/>
          <w:szCs w:val="22"/>
        </w:rPr>
        <w:t>****</w:t>
      </w:r>
    </w:p>
    <w:p w:rsidR="00A27F4A" w:rsidRPr="00ED0E52" w:rsidRDefault="00A27F4A" w:rsidP="00A27F4A">
      <w:pPr>
        <w:jc w:val="both"/>
        <w:rPr>
          <w:sz w:val="20"/>
        </w:rPr>
      </w:pPr>
    </w:p>
    <w:p w:rsidR="004D727F" w:rsidRPr="00ED0E52" w:rsidRDefault="004D727F" w:rsidP="004D727F">
      <w:pPr>
        <w:ind w:left="360" w:hanging="360"/>
        <w:rPr>
          <w:sz w:val="20"/>
          <w:lang w:val="en-CA"/>
        </w:rPr>
      </w:pPr>
    </w:p>
    <w:p w:rsidR="004D727F" w:rsidRPr="00ED0E52" w:rsidRDefault="004D727F" w:rsidP="004D727F">
      <w:pPr>
        <w:ind w:left="360" w:hanging="360"/>
        <w:rPr>
          <w:sz w:val="20"/>
          <w:lang w:val="en-CA"/>
        </w:rPr>
      </w:pPr>
    </w:p>
    <w:p w:rsidR="00D3344A" w:rsidRPr="00ED0E52" w:rsidRDefault="00D3344A" w:rsidP="00D3344A">
      <w:pPr>
        <w:widowControl w:val="0"/>
        <w:outlineLvl w:val="0"/>
      </w:pPr>
      <w:r w:rsidRPr="00ED0E52">
        <w:t xml:space="preserve">Supreme Court of Canada / Cour suprême du </w:t>
      </w:r>
      <w:proofErr w:type="gramStart"/>
      <w:r w:rsidRPr="00ED0E52">
        <w:t>Canada :</w:t>
      </w:r>
      <w:proofErr w:type="gramEnd"/>
      <w:r w:rsidRPr="00ED0E52">
        <w:t xml:space="preserve"> </w:t>
      </w:r>
    </w:p>
    <w:p w:rsidR="00D3344A" w:rsidRPr="00ED0E52" w:rsidRDefault="00A067AF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ED0E52">
          <w:rPr>
            <w:rStyle w:val="Hyperlink"/>
          </w:rPr>
          <w:t>comments-commentaires@scc-csc.ca</w:t>
        </w:r>
      </w:hyperlink>
    </w:p>
    <w:p w:rsidR="00D3344A" w:rsidRPr="00ED0E52" w:rsidRDefault="00D3344A" w:rsidP="00D3344A">
      <w:pPr>
        <w:widowControl w:val="0"/>
        <w:outlineLvl w:val="0"/>
      </w:pPr>
      <w:r w:rsidRPr="00ED0E52">
        <w:t>(613) 995-4330</w:t>
      </w:r>
    </w:p>
    <w:p w:rsidR="00497B5E" w:rsidRPr="00ED0E52" w:rsidRDefault="00497B5E" w:rsidP="00497B5E">
      <w:pPr>
        <w:widowControl w:val="0"/>
        <w:rPr>
          <w:sz w:val="20"/>
        </w:rPr>
      </w:pPr>
    </w:p>
    <w:p w:rsidR="003F43E6" w:rsidRPr="00ED0E52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ED0E52">
        <w:t>- 30</w:t>
      </w:r>
      <w:r w:rsidR="00312438" w:rsidRPr="00ED0E52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3393"/>
    <w:multiLevelType w:val="hybridMultilevel"/>
    <w:tmpl w:val="75B2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608E"/>
    <w:multiLevelType w:val="hybridMultilevel"/>
    <w:tmpl w:val="054A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6A18"/>
    <w:multiLevelType w:val="hybridMultilevel"/>
    <w:tmpl w:val="D66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B1C"/>
    <w:multiLevelType w:val="hybridMultilevel"/>
    <w:tmpl w:val="E3E6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57396"/>
    <w:multiLevelType w:val="hybridMultilevel"/>
    <w:tmpl w:val="49D8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6DF2"/>
    <w:multiLevelType w:val="hybridMultilevel"/>
    <w:tmpl w:val="38C0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3200A"/>
    <w:multiLevelType w:val="hybridMultilevel"/>
    <w:tmpl w:val="B03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F78C2"/>
    <w:multiLevelType w:val="hybridMultilevel"/>
    <w:tmpl w:val="1968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43A48"/>
    <w:multiLevelType w:val="hybridMultilevel"/>
    <w:tmpl w:val="1B668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C6886"/>
    <w:multiLevelType w:val="hybridMultilevel"/>
    <w:tmpl w:val="3ED4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0773C"/>
    <w:multiLevelType w:val="hybridMultilevel"/>
    <w:tmpl w:val="24E0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77838"/>
    <w:multiLevelType w:val="hybridMultilevel"/>
    <w:tmpl w:val="BC4C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74C55"/>
    <w:multiLevelType w:val="hybridMultilevel"/>
    <w:tmpl w:val="540C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87689"/>
    <w:multiLevelType w:val="hybridMultilevel"/>
    <w:tmpl w:val="90FE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C39D3"/>
    <w:multiLevelType w:val="hybridMultilevel"/>
    <w:tmpl w:val="215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343F1"/>
    <w:multiLevelType w:val="hybridMultilevel"/>
    <w:tmpl w:val="8E76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67301"/>
    <w:multiLevelType w:val="hybridMultilevel"/>
    <w:tmpl w:val="5C4A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93E64"/>
    <w:multiLevelType w:val="hybridMultilevel"/>
    <w:tmpl w:val="6368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661F8"/>
    <w:multiLevelType w:val="hybridMultilevel"/>
    <w:tmpl w:val="792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170E4"/>
    <w:multiLevelType w:val="hybridMultilevel"/>
    <w:tmpl w:val="755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C6D61"/>
    <w:multiLevelType w:val="hybridMultilevel"/>
    <w:tmpl w:val="F924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22E9E"/>
    <w:multiLevelType w:val="hybridMultilevel"/>
    <w:tmpl w:val="A5EE0A7A"/>
    <w:lvl w:ilvl="0" w:tplc="2602A6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A2FDB"/>
    <w:multiLevelType w:val="hybridMultilevel"/>
    <w:tmpl w:val="487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B7EEC"/>
    <w:multiLevelType w:val="hybridMultilevel"/>
    <w:tmpl w:val="D7E2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25FC6"/>
    <w:multiLevelType w:val="hybridMultilevel"/>
    <w:tmpl w:val="0720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92BB4"/>
    <w:multiLevelType w:val="hybridMultilevel"/>
    <w:tmpl w:val="B724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84873"/>
    <w:multiLevelType w:val="hybridMultilevel"/>
    <w:tmpl w:val="31A8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65CFF"/>
    <w:multiLevelType w:val="hybridMultilevel"/>
    <w:tmpl w:val="E864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F4598"/>
    <w:multiLevelType w:val="hybridMultilevel"/>
    <w:tmpl w:val="5BD6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1"/>
  </w:num>
  <w:num w:numId="4">
    <w:abstractNumId w:val="11"/>
  </w:num>
  <w:num w:numId="5">
    <w:abstractNumId w:val="14"/>
  </w:num>
  <w:num w:numId="6">
    <w:abstractNumId w:val="25"/>
  </w:num>
  <w:num w:numId="7">
    <w:abstractNumId w:val="23"/>
  </w:num>
  <w:num w:numId="8">
    <w:abstractNumId w:val="41"/>
  </w:num>
  <w:num w:numId="9">
    <w:abstractNumId w:val="40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  <w:num w:numId="15">
    <w:abstractNumId w:val="17"/>
  </w:num>
  <w:num w:numId="16">
    <w:abstractNumId w:val="38"/>
  </w:num>
  <w:num w:numId="17">
    <w:abstractNumId w:val="28"/>
  </w:num>
  <w:num w:numId="18">
    <w:abstractNumId w:val="4"/>
  </w:num>
  <w:num w:numId="19">
    <w:abstractNumId w:val="22"/>
  </w:num>
  <w:num w:numId="20">
    <w:abstractNumId w:val="9"/>
  </w:num>
  <w:num w:numId="21">
    <w:abstractNumId w:val="5"/>
  </w:num>
  <w:num w:numId="22">
    <w:abstractNumId w:val="15"/>
  </w:num>
  <w:num w:numId="23">
    <w:abstractNumId w:val="33"/>
  </w:num>
  <w:num w:numId="24">
    <w:abstractNumId w:val="18"/>
  </w:num>
  <w:num w:numId="25">
    <w:abstractNumId w:val="36"/>
  </w:num>
  <w:num w:numId="26">
    <w:abstractNumId w:val="21"/>
  </w:num>
  <w:num w:numId="27">
    <w:abstractNumId w:val="32"/>
  </w:num>
  <w:num w:numId="28">
    <w:abstractNumId w:val="6"/>
  </w:num>
  <w:num w:numId="29">
    <w:abstractNumId w:val="39"/>
  </w:num>
  <w:num w:numId="30">
    <w:abstractNumId w:val="19"/>
  </w:num>
  <w:num w:numId="31">
    <w:abstractNumId w:val="2"/>
  </w:num>
  <w:num w:numId="32">
    <w:abstractNumId w:val="37"/>
  </w:num>
  <w:num w:numId="33">
    <w:abstractNumId w:val="34"/>
  </w:num>
  <w:num w:numId="34">
    <w:abstractNumId w:val="35"/>
  </w:num>
  <w:num w:numId="35">
    <w:abstractNumId w:val="24"/>
  </w:num>
  <w:num w:numId="36">
    <w:abstractNumId w:val="20"/>
  </w:num>
  <w:num w:numId="37">
    <w:abstractNumId w:val="26"/>
  </w:num>
  <w:num w:numId="38">
    <w:abstractNumId w:val="29"/>
  </w:num>
  <w:num w:numId="39">
    <w:abstractNumId w:val="42"/>
  </w:num>
  <w:num w:numId="40">
    <w:abstractNumId w:val="27"/>
  </w:num>
  <w:num w:numId="41">
    <w:abstractNumId w:val="8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474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4D50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C24"/>
    <w:rsid w:val="00033257"/>
    <w:rsid w:val="00033817"/>
    <w:rsid w:val="00033B10"/>
    <w:rsid w:val="00033D1C"/>
    <w:rsid w:val="00033D1E"/>
    <w:rsid w:val="00033D28"/>
    <w:rsid w:val="000349EC"/>
    <w:rsid w:val="00034A7F"/>
    <w:rsid w:val="0003545E"/>
    <w:rsid w:val="00035790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77D9"/>
    <w:rsid w:val="000578A8"/>
    <w:rsid w:val="000603E0"/>
    <w:rsid w:val="00060B60"/>
    <w:rsid w:val="00062204"/>
    <w:rsid w:val="000627A2"/>
    <w:rsid w:val="00064C3D"/>
    <w:rsid w:val="00065F8F"/>
    <w:rsid w:val="00066B80"/>
    <w:rsid w:val="00067F50"/>
    <w:rsid w:val="00070569"/>
    <w:rsid w:val="00070830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2AA0"/>
    <w:rsid w:val="00093146"/>
    <w:rsid w:val="000931FD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6DBE"/>
    <w:rsid w:val="000B7258"/>
    <w:rsid w:val="000C014A"/>
    <w:rsid w:val="000C0E20"/>
    <w:rsid w:val="000C182C"/>
    <w:rsid w:val="000C1B64"/>
    <w:rsid w:val="000C21E8"/>
    <w:rsid w:val="000C3667"/>
    <w:rsid w:val="000C55EE"/>
    <w:rsid w:val="000C5EFC"/>
    <w:rsid w:val="000C67B8"/>
    <w:rsid w:val="000C716D"/>
    <w:rsid w:val="000C78FC"/>
    <w:rsid w:val="000C7BA4"/>
    <w:rsid w:val="000D04F9"/>
    <w:rsid w:val="000D0CA5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0D70"/>
    <w:rsid w:val="000F1957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1144F"/>
    <w:rsid w:val="0011236E"/>
    <w:rsid w:val="001123E0"/>
    <w:rsid w:val="001125B4"/>
    <w:rsid w:val="00113872"/>
    <w:rsid w:val="00113B62"/>
    <w:rsid w:val="00113C6F"/>
    <w:rsid w:val="00117762"/>
    <w:rsid w:val="00117AF3"/>
    <w:rsid w:val="0012083A"/>
    <w:rsid w:val="0012101A"/>
    <w:rsid w:val="00122D26"/>
    <w:rsid w:val="00123976"/>
    <w:rsid w:val="00124DEC"/>
    <w:rsid w:val="00125413"/>
    <w:rsid w:val="00125E1F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76F5B"/>
    <w:rsid w:val="001776CC"/>
    <w:rsid w:val="001801AA"/>
    <w:rsid w:val="001808AF"/>
    <w:rsid w:val="00180D70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47C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C69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D17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4566"/>
    <w:rsid w:val="001D46C0"/>
    <w:rsid w:val="001D5B3C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14CA"/>
    <w:rsid w:val="00252431"/>
    <w:rsid w:val="00252FDB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D0C49"/>
    <w:rsid w:val="002D0CFB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BE8"/>
    <w:rsid w:val="002E4D15"/>
    <w:rsid w:val="002E4E73"/>
    <w:rsid w:val="002E5228"/>
    <w:rsid w:val="002E5371"/>
    <w:rsid w:val="002E6B05"/>
    <w:rsid w:val="002F06D0"/>
    <w:rsid w:val="002F1658"/>
    <w:rsid w:val="002F3830"/>
    <w:rsid w:val="002F455E"/>
    <w:rsid w:val="002F4929"/>
    <w:rsid w:val="002F4C2A"/>
    <w:rsid w:val="002F721D"/>
    <w:rsid w:val="002F7599"/>
    <w:rsid w:val="002F7877"/>
    <w:rsid w:val="002F7DDE"/>
    <w:rsid w:val="002F7E97"/>
    <w:rsid w:val="003012A2"/>
    <w:rsid w:val="00301937"/>
    <w:rsid w:val="00304091"/>
    <w:rsid w:val="003050DD"/>
    <w:rsid w:val="00306CCE"/>
    <w:rsid w:val="00307609"/>
    <w:rsid w:val="00307CC7"/>
    <w:rsid w:val="00307D1C"/>
    <w:rsid w:val="00310222"/>
    <w:rsid w:val="00312438"/>
    <w:rsid w:val="00312D0B"/>
    <w:rsid w:val="00313652"/>
    <w:rsid w:val="003151B5"/>
    <w:rsid w:val="00316DFA"/>
    <w:rsid w:val="00316F29"/>
    <w:rsid w:val="003203A3"/>
    <w:rsid w:val="003205B7"/>
    <w:rsid w:val="0032287A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4E14"/>
    <w:rsid w:val="00355B0F"/>
    <w:rsid w:val="00355BF0"/>
    <w:rsid w:val="00355FCE"/>
    <w:rsid w:val="00356E97"/>
    <w:rsid w:val="003602E0"/>
    <w:rsid w:val="0036051F"/>
    <w:rsid w:val="00360FCE"/>
    <w:rsid w:val="003622A7"/>
    <w:rsid w:val="00362E82"/>
    <w:rsid w:val="00362F59"/>
    <w:rsid w:val="00364001"/>
    <w:rsid w:val="003652D8"/>
    <w:rsid w:val="00365F0E"/>
    <w:rsid w:val="003674E9"/>
    <w:rsid w:val="00367B9E"/>
    <w:rsid w:val="0037013D"/>
    <w:rsid w:val="003701A6"/>
    <w:rsid w:val="003710CD"/>
    <w:rsid w:val="00371DB2"/>
    <w:rsid w:val="00372CF9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4E9B"/>
    <w:rsid w:val="003C58D1"/>
    <w:rsid w:val="003C5F5E"/>
    <w:rsid w:val="003C6BB7"/>
    <w:rsid w:val="003D045F"/>
    <w:rsid w:val="003D0A88"/>
    <w:rsid w:val="003D14D4"/>
    <w:rsid w:val="003D15C1"/>
    <w:rsid w:val="003D1900"/>
    <w:rsid w:val="003D1AFA"/>
    <w:rsid w:val="003D27BD"/>
    <w:rsid w:val="003D2A04"/>
    <w:rsid w:val="003D3540"/>
    <w:rsid w:val="003D3740"/>
    <w:rsid w:val="003D3A02"/>
    <w:rsid w:val="003D431C"/>
    <w:rsid w:val="003D53DE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E03"/>
    <w:rsid w:val="00433C3E"/>
    <w:rsid w:val="00434871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4CD1"/>
    <w:rsid w:val="004957BA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7313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98B"/>
    <w:rsid w:val="004B7DE3"/>
    <w:rsid w:val="004C0201"/>
    <w:rsid w:val="004C0544"/>
    <w:rsid w:val="004C1EC0"/>
    <w:rsid w:val="004C2585"/>
    <w:rsid w:val="004C281D"/>
    <w:rsid w:val="004C2E9D"/>
    <w:rsid w:val="004C363A"/>
    <w:rsid w:val="004C3B86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727F"/>
    <w:rsid w:val="004D7335"/>
    <w:rsid w:val="004E0005"/>
    <w:rsid w:val="004E0B2F"/>
    <w:rsid w:val="004E1B3F"/>
    <w:rsid w:val="004E2857"/>
    <w:rsid w:val="004E288D"/>
    <w:rsid w:val="004E33C5"/>
    <w:rsid w:val="004E4B02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619D"/>
    <w:rsid w:val="004F642D"/>
    <w:rsid w:val="004F66ED"/>
    <w:rsid w:val="004F7009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443"/>
    <w:rsid w:val="005378E5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C62"/>
    <w:rsid w:val="005534F1"/>
    <w:rsid w:val="005537A8"/>
    <w:rsid w:val="005537AF"/>
    <w:rsid w:val="005537FA"/>
    <w:rsid w:val="005542A1"/>
    <w:rsid w:val="005545EB"/>
    <w:rsid w:val="00554603"/>
    <w:rsid w:val="00556CC9"/>
    <w:rsid w:val="00556D95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0E7"/>
    <w:rsid w:val="005A3592"/>
    <w:rsid w:val="005A4082"/>
    <w:rsid w:val="005A4114"/>
    <w:rsid w:val="005A57F9"/>
    <w:rsid w:val="005A5A35"/>
    <w:rsid w:val="005B0AAB"/>
    <w:rsid w:val="005B0D9E"/>
    <w:rsid w:val="005B2319"/>
    <w:rsid w:val="005B2412"/>
    <w:rsid w:val="005B4EB8"/>
    <w:rsid w:val="005B5BA7"/>
    <w:rsid w:val="005B5DAE"/>
    <w:rsid w:val="005B660D"/>
    <w:rsid w:val="005C137E"/>
    <w:rsid w:val="005C18A2"/>
    <w:rsid w:val="005C196C"/>
    <w:rsid w:val="005C1C0C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EE1"/>
    <w:rsid w:val="005E5C5B"/>
    <w:rsid w:val="005E6C1D"/>
    <w:rsid w:val="005E73A1"/>
    <w:rsid w:val="005E7A89"/>
    <w:rsid w:val="005F0CB5"/>
    <w:rsid w:val="005F3B66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581"/>
    <w:rsid w:val="006067DB"/>
    <w:rsid w:val="00606A18"/>
    <w:rsid w:val="00607D3F"/>
    <w:rsid w:val="0061048F"/>
    <w:rsid w:val="00610BC0"/>
    <w:rsid w:val="006127C2"/>
    <w:rsid w:val="0061282A"/>
    <w:rsid w:val="006132AE"/>
    <w:rsid w:val="0061351E"/>
    <w:rsid w:val="006144E2"/>
    <w:rsid w:val="006167B8"/>
    <w:rsid w:val="0061691E"/>
    <w:rsid w:val="00616A84"/>
    <w:rsid w:val="00617C9B"/>
    <w:rsid w:val="00620B86"/>
    <w:rsid w:val="00621F03"/>
    <w:rsid w:val="0062413C"/>
    <w:rsid w:val="00624A4F"/>
    <w:rsid w:val="00625B63"/>
    <w:rsid w:val="00627A18"/>
    <w:rsid w:val="00631275"/>
    <w:rsid w:val="00631CAA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6E5"/>
    <w:rsid w:val="00640B24"/>
    <w:rsid w:val="006415CA"/>
    <w:rsid w:val="00644178"/>
    <w:rsid w:val="006442C8"/>
    <w:rsid w:val="00644642"/>
    <w:rsid w:val="00645CDC"/>
    <w:rsid w:val="00646273"/>
    <w:rsid w:val="00646CCD"/>
    <w:rsid w:val="00650536"/>
    <w:rsid w:val="006505D0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F81"/>
    <w:rsid w:val="006F0FD3"/>
    <w:rsid w:val="006F2579"/>
    <w:rsid w:val="006F2E4C"/>
    <w:rsid w:val="006F2F23"/>
    <w:rsid w:val="006F38CE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5055"/>
    <w:rsid w:val="00755758"/>
    <w:rsid w:val="00756085"/>
    <w:rsid w:val="007562CA"/>
    <w:rsid w:val="00760957"/>
    <w:rsid w:val="00761042"/>
    <w:rsid w:val="0076216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B8C"/>
    <w:rsid w:val="007823D7"/>
    <w:rsid w:val="00782E96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8E7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4AB"/>
    <w:rsid w:val="007D2643"/>
    <w:rsid w:val="007D2971"/>
    <w:rsid w:val="007D3A7F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24BB"/>
    <w:rsid w:val="008036BE"/>
    <w:rsid w:val="00804FE6"/>
    <w:rsid w:val="00805B15"/>
    <w:rsid w:val="00805D73"/>
    <w:rsid w:val="00807EB6"/>
    <w:rsid w:val="00810E0C"/>
    <w:rsid w:val="008115B8"/>
    <w:rsid w:val="00812315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702A"/>
    <w:rsid w:val="00830011"/>
    <w:rsid w:val="00832D35"/>
    <w:rsid w:val="0083380F"/>
    <w:rsid w:val="0083421A"/>
    <w:rsid w:val="00835B1C"/>
    <w:rsid w:val="00835C37"/>
    <w:rsid w:val="00835FCE"/>
    <w:rsid w:val="0083686C"/>
    <w:rsid w:val="008368DE"/>
    <w:rsid w:val="0084161A"/>
    <w:rsid w:val="00841962"/>
    <w:rsid w:val="00841D14"/>
    <w:rsid w:val="0084308D"/>
    <w:rsid w:val="008436E8"/>
    <w:rsid w:val="00843E06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3153"/>
    <w:rsid w:val="00853253"/>
    <w:rsid w:val="00853C98"/>
    <w:rsid w:val="0085543E"/>
    <w:rsid w:val="00857C7B"/>
    <w:rsid w:val="008608D2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0830"/>
    <w:rsid w:val="008716D1"/>
    <w:rsid w:val="00871A67"/>
    <w:rsid w:val="00871C02"/>
    <w:rsid w:val="00871DAF"/>
    <w:rsid w:val="0087219B"/>
    <w:rsid w:val="008736DB"/>
    <w:rsid w:val="00874308"/>
    <w:rsid w:val="008743C8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6319"/>
    <w:rsid w:val="0088733D"/>
    <w:rsid w:val="00890762"/>
    <w:rsid w:val="00891ABC"/>
    <w:rsid w:val="00893DAB"/>
    <w:rsid w:val="0089414D"/>
    <w:rsid w:val="00894D04"/>
    <w:rsid w:val="008952C3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26CA"/>
    <w:rsid w:val="008C30DA"/>
    <w:rsid w:val="008C37D8"/>
    <w:rsid w:val="008C4E87"/>
    <w:rsid w:val="008C628B"/>
    <w:rsid w:val="008C67F6"/>
    <w:rsid w:val="008C7CD9"/>
    <w:rsid w:val="008D3B18"/>
    <w:rsid w:val="008D68D4"/>
    <w:rsid w:val="008D7F59"/>
    <w:rsid w:val="008E10A7"/>
    <w:rsid w:val="008E2917"/>
    <w:rsid w:val="008E2ACE"/>
    <w:rsid w:val="008E4516"/>
    <w:rsid w:val="008E4F93"/>
    <w:rsid w:val="008E5721"/>
    <w:rsid w:val="008E57B3"/>
    <w:rsid w:val="008E67B5"/>
    <w:rsid w:val="008E6D94"/>
    <w:rsid w:val="008E6FD2"/>
    <w:rsid w:val="008E7841"/>
    <w:rsid w:val="008E7C23"/>
    <w:rsid w:val="008E7F8D"/>
    <w:rsid w:val="008F0676"/>
    <w:rsid w:val="008F06B7"/>
    <w:rsid w:val="008F2850"/>
    <w:rsid w:val="008F302C"/>
    <w:rsid w:val="008F400D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293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66D"/>
    <w:rsid w:val="00931CFE"/>
    <w:rsid w:val="009329B7"/>
    <w:rsid w:val="00933086"/>
    <w:rsid w:val="00933CA3"/>
    <w:rsid w:val="009340AB"/>
    <w:rsid w:val="00934102"/>
    <w:rsid w:val="00934D48"/>
    <w:rsid w:val="009360C1"/>
    <w:rsid w:val="00936192"/>
    <w:rsid w:val="00936642"/>
    <w:rsid w:val="009367AC"/>
    <w:rsid w:val="00936A76"/>
    <w:rsid w:val="00936D03"/>
    <w:rsid w:val="009370CC"/>
    <w:rsid w:val="00940C53"/>
    <w:rsid w:val="009416E1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E7F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A4E"/>
    <w:rsid w:val="009731BD"/>
    <w:rsid w:val="0097357C"/>
    <w:rsid w:val="009739B3"/>
    <w:rsid w:val="0097588C"/>
    <w:rsid w:val="00977274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4908"/>
    <w:rsid w:val="00995670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372B"/>
    <w:rsid w:val="009B38BC"/>
    <w:rsid w:val="009B4A9A"/>
    <w:rsid w:val="009B4C43"/>
    <w:rsid w:val="009B4EC5"/>
    <w:rsid w:val="009B5089"/>
    <w:rsid w:val="009B50CC"/>
    <w:rsid w:val="009B67B3"/>
    <w:rsid w:val="009B71CB"/>
    <w:rsid w:val="009B739B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2461"/>
    <w:rsid w:val="009E2E0D"/>
    <w:rsid w:val="009E37AB"/>
    <w:rsid w:val="009E3C8B"/>
    <w:rsid w:val="009E4CAB"/>
    <w:rsid w:val="009E52A8"/>
    <w:rsid w:val="009E54B7"/>
    <w:rsid w:val="009E5BE0"/>
    <w:rsid w:val="009E6E75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72"/>
    <w:rsid w:val="009F59FD"/>
    <w:rsid w:val="009F6F6E"/>
    <w:rsid w:val="009F73DF"/>
    <w:rsid w:val="00A00009"/>
    <w:rsid w:val="00A00A96"/>
    <w:rsid w:val="00A00F88"/>
    <w:rsid w:val="00A01AAA"/>
    <w:rsid w:val="00A0213D"/>
    <w:rsid w:val="00A025E1"/>
    <w:rsid w:val="00A03291"/>
    <w:rsid w:val="00A041C7"/>
    <w:rsid w:val="00A049EA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1E95"/>
    <w:rsid w:val="00A33AC4"/>
    <w:rsid w:val="00A352F9"/>
    <w:rsid w:val="00A3560F"/>
    <w:rsid w:val="00A36994"/>
    <w:rsid w:val="00A36A7B"/>
    <w:rsid w:val="00A37AF9"/>
    <w:rsid w:val="00A37D55"/>
    <w:rsid w:val="00A41314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6B78"/>
    <w:rsid w:val="00A86C5B"/>
    <w:rsid w:val="00A906B6"/>
    <w:rsid w:val="00A9112D"/>
    <w:rsid w:val="00A91936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6B1"/>
    <w:rsid w:val="00AD6AD0"/>
    <w:rsid w:val="00AD73E4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EC6"/>
    <w:rsid w:val="00B11F59"/>
    <w:rsid w:val="00B1256C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37CB7"/>
    <w:rsid w:val="00B4078C"/>
    <w:rsid w:val="00B40FB9"/>
    <w:rsid w:val="00B4191E"/>
    <w:rsid w:val="00B41997"/>
    <w:rsid w:val="00B4208B"/>
    <w:rsid w:val="00B42C6D"/>
    <w:rsid w:val="00B442AC"/>
    <w:rsid w:val="00B45159"/>
    <w:rsid w:val="00B4516E"/>
    <w:rsid w:val="00B45B27"/>
    <w:rsid w:val="00B467BD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4662"/>
    <w:rsid w:val="00B65625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5F9C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FCA"/>
    <w:rsid w:val="00BF25CF"/>
    <w:rsid w:val="00BF39F5"/>
    <w:rsid w:val="00BF5C89"/>
    <w:rsid w:val="00BF666B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16BC7"/>
    <w:rsid w:val="00C16F22"/>
    <w:rsid w:val="00C20393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F01"/>
    <w:rsid w:val="00C4629E"/>
    <w:rsid w:val="00C4698C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605A"/>
    <w:rsid w:val="00C56513"/>
    <w:rsid w:val="00C565E8"/>
    <w:rsid w:val="00C56E34"/>
    <w:rsid w:val="00C573B1"/>
    <w:rsid w:val="00C5767F"/>
    <w:rsid w:val="00C613BC"/>
    <w:rsid w:val="00C6146D"/>
    <w:rsid w:val="00C640E6"/>
    <w:rsid w:val="00C64192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2CA"/>
    <w:rsid w:val="00C779D4"/>
    <w:rsid w:val="00C77C0E"/>
    <w:rsid w:val="00C80B32"/>
    <w:rsid w:val="00C821A5"/>
    <w:rsid w:val="00C826BF"/>
    <w:rsid w:val="00C8303A"/>
    <w:rsid w:val="00C84303"/>
    <w:rsid w:val="00C8493F"/>
    <w:rsid w:val="00C85915"/>
    <w:rsid w:val="00C85F5E"/>
    <w:rsid w:val="00C87EE9"/>
    <w:rsid w:val="00C90F9B"/>
    <w:rsid w:val="00C935F6"/>
    <w:rsid w:val="00C9475D"/>
    <w:rsid w:val="00C947C4"/>
    <w:rsid w:val="00C95D6B"/>
    <w:rsid w:val="00C95EA0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2909"/>
    <w:rsid w:val="00CB3A03"/>
    <w:rsid w:val="00CB3B10"/>
    <w:rsid w:val="00CB469F"/>
    <w:rsid w:val="00CB4831"/>
    <w:rsid w:val="00CB4EAC"/>
    <w:rsid w:val="00CB5DBA"/>
    <w:rsid w:val="00CB5FBD"/>
    <w:rsid w:val="00CB6701"/>
    <w:rsid w:val="00CB7D6D"/>
    <w:rsid w:val="00CB7F2D"/>
    <w:rsid w:val="00CC0090"/>
    <w:rsid w:val="00CC044F"/>
    <w:rsid w:val="00CC3084"/>
    <w:rsid w:val="00CC57C1"/>
    <w:rsid w:val="00CC594E"/>
    <w:rsid w:val="00CC759C"/>
    <w:rsid w:val="00CD0363"/>
    <w:rsid w:val="00CD171A"/>
    <w:rsid w:val="00CD1CCD"/>
    <w:rsid w:val="00CD4BBB"/>
    <w:rsid w:val="00CD4F9A"/>
    <w:rsid w:val="00CD507B"/>
    <w:rsid w:val="00CD79F7"/>
    <w:rsid w:val="00CE10A1"/>
    <w:rsid w:val="00CE113C"/>
    <w:rsid w:val="00CE138D"/>
    <w:rsid w:val="00CE31E2"/>
    <w:rsid w:val="00CE3714"/>
    <w:rsid w:val="00CE3FA5"/>
    <w:rsid w:val="00CE4C48"/>
    <w:rsid w:val="00CE6B98"/>
    <w:rsid w:val="00CE6C1C"/>
    <w:rsid w:val="00CE708F"/>
    <w:rsid w:val="00CE7839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7526"/>
    <w:rsid w:val="00D07C5B"/>
    <w:rsid w:val="00D1183B"/>
    <w:rsid w:val="00D12CDF"/>
    <w:rsid w:val="00D1308F"/>
    <w:rsid w:val="00D13DE2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68A0"/>
    <w:rsid w:val="00D46BEA"/>
    <w:rsid w:val="00D471E8"/>
    <w:rsid w:val="00D47829"/>
    <w:rsid w:val="00D47927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1307"/>
    <w:rsid w:val="00D7143F"/>
    <w:rsid w:val="00D72F77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7B4A"/>
    <w:rsid w:val="00D90171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26B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1C44"/>
    <w:rsid w:val="00DE6166"/>
    <w:rsid w:val="00DF0B9B"/>
    <w:rsid w:val="00DF0E05"/>
    <w:rsid w:val="00DF14FC"/>
    <w:rsid w:val="00DF2C09"/>
    <w:rsid w:val="00DF2C1F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7B76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73"/>
    <w:rsid w:val="00E611B7"/>
    <w:rsid w:val="00E6129C"/>
    <w:rsid w:val="00E61C4E"/>
    <w:rsid w:val="00E62E0E"/>
    <w:rsid w:val="00E65A41"/>
    <w:rsid w:val="00E65D1C"/>
    <w:rsid w:val="00E70D0F"/>
    <w:rsid w:val="00E710C9"/>
    <w:rsid w:val="00E715B3"/>
    <w:rsid w:val="00E724E4"/>
    <w:rsid w:val="00E73312"/>
    <w:rsid w:val="00E735D4"/>
    <w:rsid w:val="00E742A0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11A2"/>
    <w:rsid w:val="00E91330"/>
    <w:rsid w:val="00E91F79"/>
    <w:rsid w:val="00E920B1"/>
    <w:rsid w:val="00E92DE1"/>
    <w:rsid w:val="00E9308B"/>
    <w:rsid w:val="00E94F8A"/>
    <w:rsid w:val="00E959B6"/>
    <w:rsid w:val="00E95DA1"/>
    <w:rsid w:val="00E96DCA"/>
    <w:rsid w:val="00EA0F88"/>
    <w:rsid w:val="00EA1B0F"/>
    <w:rsid w:val="00EA1C0A"/>
    <w:rsid w:val="00EA1E47"/>
    <w:rsid w:val="00EA3BFB"/>
    <w:rsid w:val="00EB0730"/>
    <w:rsid w:val="00EB0CA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C5D"/>
    <w:rsid w:val="00EC4FBB"/>
    <w:rsid w:val="00EC52E0"/>
    <w:rsid w:val="00EC5968"/>
    <w:rsid w:val="00EC6950"/>
    <w:rsid w:val="00EC737B"/>
    <w:rsid w:val="00EC7462"/>
    <w:rsid w:val="00EC7AB1"/>
    <w:rsid w:val="00ED0E52"/>
    <w:rsid w:val="00ED10CE"/>
    <w:rsid w:val="00ED200B"/>
    <w:rsid w:val="00ED2E12"/>
    <w:rsid w:val="00ED4F03"/>
    <w:rsid w:val="00ED5E8B"/>
    <w:rsid w:val="00ED6E66"/>
    <w:rsid w:val="00ED6E98"/>
    <w:rsid w:val="00ED7741"/>
    <w:rsid w:val="00EE173D"/>
    <w:rsid w:val="00EE19F4"/>
    <w:rsid w:val="00EE24D6"/>
    <w:rsid w:val="00EE2BA9"/>
    <w:rsid w:val="00EE3269"/>
    <w:rsid w:val="00EE39BB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227"/>
    <w:rsid w:val="00F11706"/>
    <w:rsid w:val="00F122E7"/>
    <w:rsid w:val="00F137B4"/>
    <w:rsid w:val="00F14355"/>
    <w:rsid w:val="00F147DB"/>
    <w:rsid w:val="00F152B2"/>
    <w:rsid w:val="00F15518"/>
    <w:rsid w:val="00F1565F"/>
    <w:rsid w:val="00F157B5"/>
    <w:rsid w:val="00F200E3"/>
    <w:rsid w:val="00F210BA"/>
    <w:rsid w:val="00F21AF7"/>
    <w:rsid w:val="00F22AFE"/>
    <w:rsid w:val="00F230D5"/>
    <w:rsid w:val="00F257BD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73B8"/>
    <w:rsid w:val="00F52DA1"/>
    <w:rsid w:val="00F52E8F"/>
    <w:rsid w:val="00F53B21"/>
    <w:rsid w:val="00F546B1"/>
    <w:rsid w:val="00F5470F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951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ECE"/>
    <w:rsid w:val="00F818C7"/>
    <w:rsid w:val="00F81900"/>
    <w:rsid w:val="00F828B8"/>
    <w:rsid w:val="00F829D3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2D44"/>
    <w:rsid w:val="00F9335D"/>
    <w:rsid w:val="00F94491"/>
    <w:rsid w:val="00F962B4"/>
    <w:rsid w:val="00FA0210"/>
    <w:rsid w:val="00FA325A"/>
    <w:rsid w:val="00FA37CA"/>
    <w:rsid w:val="00FA3AA3"/>
    <w:rsid w:val="00FA3ECA"/>
    <w:rsid w:val="00FA4061"/>
    <w:rsid w:val="00FA5D62"/>
    <w:rsid w:val="00FB0131"/>
    <w:rsid w:val="00FB08CC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3956"/>
    <w:rsid w:val="00FC39EA"/>
    <w:rsid w:val="00FC4ECC"/>
    <w:rsid w:val="00FC67B1"/>
    <w:rsid w:val="00FD147A"/>
    <w:rsid w:val="00FD15AF"/>
    <w:rsid w:val="00FD23EE"/>
    <w:rsid w:val="00FD2699"/>
    <w:rsid w:val="00FD2F1A"/>
    <w:rsid w:val="00FD41E0"/>
    <w:rsid w:val="00FD46F2"/>
    <w:rsid w:val="00FD5B12"/>
    <w:rsid w:val="00FD5F57"/>
    <w:rsid w:val="00FD73EE"/>
    <w:rsid w:val="00FD7F01"/>
    <w:rsid w:val="00FE0418"/>
    <w:rsid w:val="00FE44CF"/>
    <w:rsid w:val="00FE4692"/>
    <w:rsid w:val="00FE4721"/>
    <w:rsid w:val="00FE4D2A"/>
    <w:rsid w:val="00FE4FD0"/>
    <w:rsid w:val="00FE555F"/>
    <w:rsid w:val="00FE5B9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7863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c-csc.ca/case-dossier/info/sum-som-eng.aspx?cas=3785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eng.aspx?cas=38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cc-csc.ca/case-dossier/info/sum-som-eng.aspx?cas=3788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cc-csc.ca/case-dossier/info/sum-som-eng.aspx?cas=379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78E0-7FFA-4188-BD8B-F2A963A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2573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2017-07-18T13:33:00Z</dcterms:created>
  <dcterms:modified xsi:type="dcterms:W3CDTF">2018-06-21T12:07:00Z</dcterms:modified>
</cp:coreProperties>
</file>